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29815" w14:textId="77777777" w:rsidR="00A87364" w:rsidRPr="00A87364" w:rsidRDefault="00A87364" w:rsidP="00A87364">
      <w:pPr>
        <w:jc w:val="both"/>
        <w:rPr>
          <w:b/>
          <w:bCs/>
        </w:rPr>
      </w:pPr>
      <w:r w:rsidRPr="00A87364">
        <w:rPr>
          <w:b/>
          <w:bCs/>
        </w:rPr>
        <w:t>MINUTA DEZBATERII PUBLICE</w:t>
      </w:r>
    </w:p>
    <w:p w14:paraId="3FEB99A9" w14:textId="77777777" w:rsidR="00A87364" w:rsidRDefault="00A87364" w:rsidP="00A87364">
      <w:pPr>
        <w:jc w:val="both"/>
        <w:rPr>
          <w:b/>
          <w:bCs/>
        </w:rPr>
      </w:pPr>
      <w:r w:rsidRPr="00A87364">
        <w:rPr>
          <w:b/>
          <w:bCs/>
        </w:rPr>
        <w:t>privind proiectul de modificare a Ghidului de finanțare a Programului privind reducerea emisiilor de gaze cu efect de seră în transporturi, prin promovarea vehiculelor de transport rutier nepoluante şi eficiente din punct de vedere energetic, dedicat persoanelor fizice</w:t>
      </w:r>
    </w:p>
    <w:p w14:paraId="6ED812D0" w14:textId="2AB3462E" w:rsidR="00A87364" w:rsidRPr="00A87364" w:rsidRDefault="00A87364" w:rsidP="00A87364">
      <w:pPr>
        <w:jc w:val="both"/>
      </w:pPr>
      <w:r w:rsidRPr="00A87364">
        <w:t>În data de 23.06.2026 a avut loc dezbaterea publică privind proiectul de modificare a Ghidului de finanțare aferent Programului „Rabla</w:t>
      </w:r>
      <w:r>
        <w:t xml:space="preserve"> persoane fizice</w:t>
      </w:r>
      <w:r w:rsidRPr="00A87364">
        <w:t>”.</w:t>
      </w:r>
    </w:p>
    <w:p w14:paraId="72569C10" w14:textId="77777777" w:rsidR="00A87364" w:rsidRPr="00A87364" w:rsidRDefault="00A87364" w:rsidP="00A87364">
      <w:pPr>
        <w:jc w:val="both"/>
      </w:pPr>
      <w:r w:rsidRPr="00A87364">
        <w:t xml:space="preserve">Ședința a fost deschisă de domnul Raul Pop, secretar de stat în cadrul Ministerului Mediului, Apelor și Pădurilor, care i-a prezentat pe participanții din prezidiu: doamna Anca Cristea, director general al Administrației Fondului pentru Mediu, și domnul Tudor Roșca, director de cabinet al ministrului mediului. Totodată, a realizat o scurtă prezentare a Programului Rabla și a principalelor aspecte care fac obiectul dezbaterii publice. </w:t>
      </w:r>
    </w:p>
    <w:p w14:paraId="7FADFE3B" w14:textId="77777777" w:rsidR="00A87364" w:rsidRPr="00A87364" w:rsidRDefault="00A87364" w:rsidP="00A87364">
      <w:pPr>
        <w:jc w:val="both"/>
      </w:pPr>
      <w:r w:rsidRPr="00A87364">
        <w:t>A luat cuvântul doamna Anca Cristea, care a prezentat principalele modificări propuse prin proiectul de ordin, respectiv:</w:t>
      </w:r>
    </w:p>
    <w:p w14:paraId="50FF1757" w14:textId="77777777" w:rsidR="00A87364" w:rsidRPr="00A87364" w:rsidRDefault="00A87364" w:rsidP="00A87364">
      <w:pPr>
        <w:numPr>
          <w:ilvl w:val="0"/>
          <w:numId w:val="2"/>
        </w:numPr>
        <w:tabs>
          <w:tab w:val="num" w:pos="720"/>
        </w:tabs>
        <w:jc w:val="both"/>
      </w:pPr>
      <w:r w:rsidRPr="00A87364">
        <w:t xml:space="preserve">majorarea bugetului alocat programului față de anul precedent; </w:t>
      </w:r>
    </w:p>
    <w:p w14:paraId="652F52D3" w14:textId="77777777" w:rsidR="00A87364" w:rsidRPr="00A87364" w:rsidRDefault="00A87364" w:rsidP="00A87364">
      <w:pPr>
        <w:numPr>
          <w:ilvl w:val="0"/>
          <w:numId w:val="2"/>
        </w:numPr>
        <w:tabs>
          <w:tab w:val="num" w:pos="720"/>
        </w:tabs>
        <w:jc w:val="both"/>
      </w:pPr>
      <w:r w:rsidRPr="00A87364">
        <w:t xml:space="preserve">limitarea eligibilității la vehicule fabricate în Uniunea Europeană și în statele integrate în piața europeană; </w:t>
      </w:r>
    </w:p>
    <w:p w14:paraId="638949E8" w14:textId="77777777" w:rsidR="00A87364" w:rsidRPr="00A87364" w:rsidRDefault="00A87364" w:rsidP="00A87364">
      <w:pPr>
        <w:numPr>
          <w:ilvl w:val="0"/>
          <w:numId w:val="2"/>
        </w:numPr>
        <w:tabs>
          <w:tab w:val="num" w:pos="720"/>
        </w:tabs>
        <w:jc w:val="both"/>
      </w:pPr>
      <w:r w:rsidRPr="00A87364">
        <w:t xml:space="preserve">eliminarea cvadriciclurilor din cadrul programului; </w:t>
      </w:r>
    </w:p>
    <w:p w14:paraId="24E540A5" w14:textId="77777777" w:rsidR="00A87364" w:rsidRPr="00A87364" w:rsidRDefault="00A87364" w:rsidP="00A87364">
      <w:pPr>
        <w:numPr>
          <w:ilvl w:val="0"/>
          <w:numId w:val="2"/>
        </w:numPr>
        <w:tabs>
          <w:tab w:val="num" w:pos="720"/>
        </w:tabs>
        <w:jc w:val="both"/>
      </w:pPr>
      <w:r w:rsidRPr="00A87364">
        <w:t xml:space="preserve">reducerea termenului de implementare de la 90 de zile la 60 de zile. </w:t>
      </w:r>
    </w:p>
    <w:p w14:paraId="09EDBAFC" w14:textId="77777777" w:rsidR="00A87364" w:rsidRPr="00A87364" w:rsidRDefault="00A87364" w:rsidP="00A87364">
      <w:pPr>
        <w:jc w:val="both"/>
      </w:pPr>
      <w:r w:rsidRPr="00A87364">
        <w:t xml:space="preserve">Totodată, aceasta a precizat că nu sunt propuse modificări ale altor condiții esențiale ale programului și că, în perioada de consultare publică, au fost primite numeroase observații și propuneri, inclusiv propuneri privind diminuarea valorii ecotichetului. </w:t>
      </w:r>
    </w:p>
    <w:p w14:paraId="002AFC24" w14:textId="77777777" w:rsidR="00A87364" w:rsidRPr="00A87364" w:rsidRDefault="00A87364" w:rsidP="00A87364">
      <w:pPr>
        <w:jc w:val="both"/>
      </w:pPr>
      <w:r w:rsidRPr="00A87364">
        <w:t xml:space="preserve">A intervenit domnul Doru Istrate, participant online, care a arătat că principalul aspect care îl preocupă este limitarea eligibilității la vehicule fabricate în Uniunea Europeană și în statele integrate în piața europeană, în special în ceea ce privește motocicletele și scuterele. Acesta a susținut că majoritatea modelelor disponibile pe piață provin din Asia, iar introducerea criteriului propus ar restrânge semnificativ opțiunile disponibile pentru beneficiari. Totodată, a precizat că modelele fabricate în Uniunea Europeană sunt, în general, din categoria premium și depășesc frecvent valoarea de 10.000 euro. </w:t>
      </w:r>
    </w:p>
    <w:p w14:paraId="0C179319" w14:textId="77777777" w:rsidR="00A87364" w:rsidRPr="00A87364" w:rsidRDefault="00A87364" w:rsidP="00A87364">
      <w:pPr>
        <w:jc w:val="both"/>
      </w:pPr>
      <w:r w:rsidRPr="00A87364">
        <w:t xml:space="preserve">Domnul Tudor Roșca a răspuns că programul a fost conceput în principal pentru reînnoirea parcului auto, iar includerea motocicletelor a reprezentat o extindere a sferei de aplicare a programului, având în vedere contribuția acestora la mobilitatea urbană și reducerea emisiilor. A precizat că observația formulată este pertinentă și va fi analizată în cadrul procesului de definitivare a ghidului. </w:t>
      </w:r>
    </w:p>
    <w:p w14:paraId="7F72EB63" w14:textId="77777777" w:rsidR="00A87364" w:rsidRPr="00A87364" w:rsidRDefault="00A87364" w:rsidP="00A87364">
      <w:pPr>
        <w:jc w:val="both"/>
      </w:pPr>
      <w:r w:rsidRPr="00A87364">
        <w:t xml:space="preserve">A luat cuvântul domnul Cristi Chirac, reprezentant APIA, care a precizat că organizația pe care o reprezintă nu este de acord cu introducerea criteriului referitor la vehiculele fabricate în Uniunea Europeană. Acesta a arătat că la nivel european nu există o definiție clară a noțiunii de „vehicul fabricat în UE”, că modalitatea de verificare a criteriului este dificil de stabilit și că vehiculele provenite din China sunt deja supuse unor măsuri tarifare la nivel european. De asemenea, a ridicat întrebări referitoare la excluderea unor state precum Serbia și includerea altora, precum Marocul, precum și la situația statelor cu care Uniunea Europeană are acorduri comerciale, precum Japonia. </w:t>
      </w:r>
    </w:p>
    <w:p w14:paraId="76BD4437" w14:textId="77777777" w:rsidR="00A87364" w:rsidRPr="00A87364" w:rsidRDefault="00A87364" w:rsidP="00A87364">
      <w:pPr>
        <w:jc w:val="both"/>
      </w:pPr>
      <w:r w:rsidRPr="00A87364">
        <w:t xml:space="preserve">Domnul Raul Pop a precizat că trebuie făcută o distincție între fundamentul reglementării și aspectele de implementare. Acesta a arătat că distanța de transport a unui vehicul până la utilizatorul final generează un impact asupra mediului și reprezintă unul dintre argumentele care au stat la baza propunerii. În ceea ce privește modalitatea concretă de verificare a criteriului, aceasta urmează să fie detaliată în cadrul ghidului de finanțare. </w:t>
      </w:r>
    </w:p>
    <w:p w14:paraId="55EEEE6F" w14:textId="77777777" w:rsidR="00A87364" w:rsidRPr="00A87364" w:rsidRDefault="00A87364" w:rsidP="00A87364">
      <w:pPr>
        <w:jc w:val="both"/>
      </w:pPr>
      <w:r w:rsidRPr="00A87364">
        <w:t xml:space="preserve">A intervenit domnul Andrei Sârbu, participant online și persoană fizică interesată de accesarea programului, care a solicitat lansarea cât mai rapidă a sesiunii de finanțare. </w:t>
      </w:r>
    </w:p>
    <w:p w14:paraId="4A3E0D49" w14:textId="77777777" w:rsidR="00A87364" w:rsidRPr="00A87364" w:rsidRDefault="00A87364" w:rsidP="00A87364">
      <w:pPr>
        <w:jc w:val="both"/>
      </w:pPr>
      <w:r w:rsidRPr="00A87364">
        <w:lastRenderedPageBreak/>
        <w:t xml:space="preserve">A luat cuvântul domnul Daniel Ionașcu, reprezentant al publicației Libertatea, care a prezentat o analiză privind impactul criteriului propus asupra pieței auto și a menționat că anumite mărci, precum Subaru, Mazda, Honda și KGM, ar putea fi excluse de la finanțare. Totodată, acesta a făcut referire la existența unor acorduri comerciale între Uniunea Europeană și alte state și la emisiile de CO₂ generate de producerea autovehiculelor. </w:t>
      </w:r>
    </w:p>
    <w:p w14:paraId="4990981D" w14:textId="77777777" w:rsidR="00A87364" w:rsidRPr="00A87364" w:rsidRDefault="00A87364" w:rsidP="00A87364">
      <w:pPr>
        <w:jc w:val="both"/>
      </w:pPr>
      <w:r w:rsidRPr="00A87364">
        <w:t xml:space="preserve">A intervenit domnul Adrian Sandu, secretar general ACAROM, care a subliniat că programul a fost conceput în principal pentru autovehicule și că statul român are dreptul de a stabili criteriile de eligibilitate și prioritățile de finanțare, cu respectarea legislației aplicabile și a regulilor concurențiale. Acesta a precizat că introducerea unor criterii suplimentare nu împiedică comercializarea anumitor vehicule pe piață, ci doar stabilește condițiile în care acestea pot beneficia de finanțare prin program. </w:t>
      </w:r>
    </w:p>
    <w:p w14:paraId="4B286E45" w14:textId="77777777" w:rsidR="00A87364" w:rsidRPr="00A87364" w:rsidRDefault="00A87364" w:rsidP="00A87364">
      <w:pPr>
        <w:jc w:val="both"/>
      </w:pPr>
      <w:r w:rsidRPr="00A87364">
        <w:t xml:space="preserve">Domnul Doru Istrate a revenit asupra subiectului, subliniind că, indiferent de modul în care au fost introduse motocicletele în program, acestea fac în prezent parte din ghid, iar modificarea propusă restrânge opțiunile disponibile pentru beneficiari. </w:t>
      </w:r>
    </w:p>
    <w:p w14:paraId="691B2FD2" w14:textId="77777777" w:rsidR="00A87364" w:rsidRPr="00A87364" w:rsidRDefault="00A87364" w:rsidP="00A87364">
      <w:pPr>
        <w:jc w:val="both"/>
      </w:pPr>
      <w:r w:rsidRPr="00A87364">
        <w:t xml:space="preserve">Doamna Roxana Căpotă, reprezentant ACAROM, a arătat că și în prezent există modele fabricate în Uniunea Europeană care nu sunt eligibile din cauza criteriilor privind emisiile de CO₂ și că programul a conținut permanent criterii de eligibilitate. În opinia sa, modificarea propusă nu reprezintă o excludere a anumitor mărci, ci introducerea unor criterii suplimentare. </w:t>
      </w:r>
    </w:p>
    <w:p w14:paraId="53067490" w14:textId="77777777" w:rsidR="00A87364" w:rsidRPr="00A87364" w:rsidRDefault="00A87364" w:rsidP="00A87364">
      <w:pPr>
        <w:jc w:val="both"/>
      </w:pPr>
      <w:r w:rsidRPr="00A87364">
        <w:t xml:space="preserve">Domnul Cristi Chirac și-a exprimat nemulțumirea cu privire la direcția discuției, apreciind că decizia pare deja luată, în condițiile în care definiția noțiunii de „fabricat în UE” nu este încă stabilită. Domnul Raul Pop a precizat că acest aspect va fi clarificat în forma finală a ghidului. </w:t>
      </w:r>
    </w:p>
    <w:p w14:paraId="39B29A05" w14:textId="77777777" w:rsidR="00A87364" w:rsidRPr="00A87364" w:rsidRDefault="00A87364" w:rsidP="00A87364">
      <w:pPr>
        <w:jc w:val="both"/>
      </w:pPr>
      <w:r w:rsidRPr="00A87364">
        <w:t xml:space="preserve">Doamna Nicoleta Gerea, reprezentant Suzuki, a precizat că a transmis deja observații către AFM și a solicitat lansarea cât mai rapidă a programului. Totodată, a susținut organizarea unei sesiuni permanente de validare a producătorilor, introducerea unui termen de decontare, extinderea termenului de implementare și clarificarea unor noțiuni din ghid, precum „defecțiune majoră” și „stat cu acord vamal de liber schimb”. </w:t>
      </w:r>
    </w:p>
    <w:p w14:paraId="13CB8643" w14:textId="77777777" w:rsidR="00A87364" w:rsidRPr="00A87364" w:rsidRDefault="00A87364" w:rsidP="00A87364">
      <w:pPr>
        <w:jc w:val="both"/>
      </w:pPr>
      <w:r w:rsidRPr="00A87364">
        <w:t xml:space="preserve">Domnul Daniel Ionașcu a solicitat clarificări suplimentare cu privire la definiția utilizată de România pentru criteriul referitor la vehiculele fabricate în Europa și la includerea Marocului în categoria statelor eligibile. Domnul Tudor Roșca a precizat că forma propusă poate suferi modificări în urma consultărilor și că aceasta a fost construită pe baza analizei pieței și a modelelor cel mai frecvent achiziționate. Totodată, a arătat că, în prezent, nu există o metodologie care să permită calcularea exactă a costului de CO₂ asociat fiecărui vehicul. </w:t>
      </w:r>
    </w:p>
    <w:p w14:paraId="01EA8705" w14:textId="77777777" w:rsidR="00A87364" w:rsidRPr="00A87364" w:rsidRDefault="00A87364" w:rsidP="00A87364">
      <w:pPr>
        <w:jc w:val="both"/>
      </w:pPr>
      <w:r w:rsidRPr="00A87364">
        <w:t xml:space="preserve">Doamna Luminița Moroianu, reprezentant Focus Energetic, a solicitat clarificări privind beneficiarii reali ai programului, respectiv dacă acesta este destinat persoanelor fizice sau producătorilor. Totodată, a ridicat aspecte privind funcționarea aplicațiilor informatice, validarea producătorilor, accesul nediscriminatoriu la finanțare și utilizarea fondurilor rămase necheltuite. </w:t>
      </w:r>
    </w:p>
    <w:p w14:paraId="1D4A73A8" w14:textId="77777777" w:rsidR="00A87364" w:rsidRPr="00A87364" w:rsidRDefault="00A87364" w:rsidP="00A87364">
      <w:pPr>
        <w:jc w:val="both"/>
      </w:pPr>
      <w:r w:rsidRPr="00A87364">
        <w:t xml:space="preserve">Doamna Anca Cristea a precizat că programul se derulează în perioada 2025-2030, producătorii fiind validați la începutul sesiunii și revalidați anual. De asemenea, a arătat că este analizată posibilitatea deschiderii unei noi sesiuni de validare și a explicat că dificultățile întâmpinate în anii anteriori au fost generate inclusiv de procesul de digitalizare și de suspendarea unor sesiuni ca urmare a preluării proiectelor PNRR de către AFM. </w:t>
      </w:r>
    </w:p>
    <w:p w14:paraId="4C43A749" w14:textId="77777777" w:rsidR="00A87364" w:rsidRPr="00A87364" w:rsidRDefault="00A87364" w:rsidP="00A87364">
      <w:pPr>
        <w:jc w:val="both"/>
      </w:pPr>
      <w:r w:rsidRPr="00A87364">
        <w:t xml:space="preserve">A fost prezentată și o solicitare transmisă în scris privind majorarea cuantumului ecotichetului. </w:t>
      </w:r>
    </w:p>
    <w:p w14:paraId="5A756F4A" w14:textId="77777777" w:rsidR="00A87364" w:rsidRPr="00A87364" w:rsidRDefault="00A87364" w:rsidP="00A87364">
      <w:pPr>
        <w:jc w:val="both"/>
      </w:pPr>
      <w:r w:rsidRPr="00A87364">
        <w:t xml:space="preserve">Domnul Gabriel Gont a solicitat posibilitatea depunerii certificatelor de atestare fiscală într-un termen ulterior înscrierii în program, motivând că obținerea acestora poate dura. </w:t>
      </w:r>
    </w:p>
    <w:p w14:paraId="663B4691" w14:textId="77777777" w:rsidR="00A87364" w:rsidRPr="00A87364" w:rsidRDefault="00A87364" w:rsidP="00A87364">
      <w:pPr>
        <w:jc w:val="both"/>
      </w:pPr>
      <w:r w:rsidRPr="00A87364">
        <w:t xml:space="preserve">Doamna Roxana Căpotă a precizat că legislația actuală impune prezentarea certificatelor fiscale la achiziția unui autovehicul. Totodată, doamna Andreea Damian a arătat că obligația de a nu înregistra datorii la bugetul de stat și la bugetul local este prevăzută expres de legislația care reglementează activitatea AFM, motiv pentru care prezentarea documentelor justificative este obligatorie. Doamna Anca Cristea a completat că lipsa unui sistem de </w:t>
      </w:r>
      <w:r w:rsidRPr="00A87364">
        <w:lastRenderedPageBreak/>
        <w:t>interconectare completă cu toate unitățile administrativ-teritoriale nu permite verificarea directă a acestor informații de către AFM.</w:t>
      </w:r>
    </w:p>
    <w:p w14:paraId="1A6BB88E" w14:textId="77777777" w:rsidR="00A87364" w:rsidRPr="00A87364" w:rsidRDefault="00A87364" w:rsidP="00A87364">
      <w:pPr>
        <w:jc w:val="both"/>
      </w:pPr>
      <w:r w:rsidRPr="00A87364">
        <w:t>A luat cuvântul domnul Victor Jucan, reprezentant VAD Consulting, care a solicitat informații privind data estimată de lansare a programului. Reprezentanții MMAP au precizat că, la acest moment, se estimează demararea programului către sfârșitul lunii iulie 2026, sub rezerva finalizării procedurilor necesare de aprobare a actului normativ.</w:t>
      </w:r>
    </w:p>
    <w:p w14:paraId="3193D071" w14:textId="77777777" w:rsidR="00A87364" w:rsidRPr="00A87364" w:rsidRDefault="00A87364" w:rsidP="00A87364">
      <w:pPr>
        <w:jc w:val="both"/>
      </w:pPr>
      <w:r w:rsidRPr="00A87364">
        <w:t>Totodată, acesta a formulat o serie de propuneri privind includerea Japoniei în categoria statelor eligibile, majorarea valorii ecotichetelor, reintroducerea persoanelor juridice în cadrul programului și limitarea numărului de autovehicule care pot fi achiziționate prin intermediul finanțării acordate.</w:t>
      </w:r>
    </w:p>
    <w:p w14:paraId="0EB04304" w14:textId="77777777" w:rsidR="00A87364" w:rsidRPr="00A87364" w:rsidRDefault="00A87364" w:rsidP="00A87364">
      <w:pPr>
        <w:jc w:val="both"/>
      </w:pPr>
      <w:r w:rsidRPr="00A87364">
        <w:t>Domnul Cristi Chirac a reiterat necesitatea ca forma finală a ghidului să respecte cerințele de legalitate și predictibilitate, apreciind că necesitatea lansării rapide a programului nu trebuie să afecteze calitatea reglementării. Reprezentanții MMAP au arătat că perioada de transparență decizională are tocmai rolul de a permite îmbunătățirea proiectului de act normativ și analizarea observațiilor primite.</w:t>
      </w:r>
    </w:p>
    <w:p w14:paraId="1B079A44" w14:textId="77777777" w:rsidR="00A87364" w:rsidRPr="00A87364" w:rsidRDefault="00A87364" w:rsidP="00A87364">
      <w:pPr>
        <w:jc w:val="both"/>
      </w:pPr>
      <w:r w:rsidRPr="00A87364">
        <w:t>Domnul Tudor Roșca a prezentat contextul bugetar și financiar care a stat la baza elaborării propunerilor de modificare, subliniind că, atât în anul precedent, cât și în anul curent, au fost identificate resurse pentru continuarea programului, inclusiv prin majorarea bugetului alocat. Acesta a făcut referire și la evoluția pieței autovehiculelor electrice, arătând că prețurile acestora au scăzut semnificativ în ultimii ani, aspect care a influențat analiza privind nivelul sprijinului acordat prin program.</w:t>
      </w:r>
    </w:p>
    <w:p w14:paraId="0DB5E3D2" w14:textId="77777777" w:rsidR="00A87364" w:rsidRPr="00A87364" w:rsidRDefault="00A87364" w:rsidP="00A87364">
      <w:pPr>
        <w:jc w:val="both"/>
      </w:pPr>
      <w:r w:rsidRPr="00A87364">
        <w:t>În ceea ce privește noul criteriu referitor la eligibilitatea vehiculelor fabricate în Uniunea Europeană și în statele integrate în piața europeană, reprezentanții MMAP au arătat că acesta urmărește, printre altele, luarea în considerare a impactului asupra mediului generat de transportul vehiculelor de la locul de producție până la locul utilizării acestora. Totodată, s-a precizat că propunerea poate fi îmbunătățită în urma observațiilor formulate în cadrul dezbaterii publice.</w:t>
      </w:r>
    </w:p>
    <w:p w14:paraId="15F19CD9" w14:textId="77777777" w:rsidR="00A87364" w:rsidRPr="00A87364" w:rsidRDefault="00A87364" w:rsidP="00A87364">
      <w:pPr>
        <w:jc w:val="both"/>
      </w:pPr>
      <w:r w:rsidRPr="00A87364">
        <w:t>Domnul Daniel Ionașcu a solicitat clarificări suplimentare cu privire la includerea anumitor state în categoria celor eligibile și la criteriile care au stat la baza selecției acestora. Reprezentanții MMAP au precizat că forma propusă nu este una definitivă și că toate observațiile primite vor fi analizate în vederea definitivării ghidului.</w:t>
      </w:r>
    </w:p>
    <w:p w14:paraId="711AF517" w14:textId="1C637656" w:rsidR="00A87364" w:rsidRPr="00A87364" w:rsidRDefault="00A87364" w:rsidP="00A87364">
      <w:pPr>
        <w:jc w:val="both"/>
      </w:pPr>
      <w:r w:rsidRPr="00A87364">
        <w:t xml:space="preserve">Domnul Cristi Chirac a solicitat clarificări cu privire la procedura de aprobare a ghidului și la posibilitatea adoptării acestuia prin ordin de ministru, </w:t>
      </w:r>
      <w:r>
        <w:t xml:space="preserve">în contextul politic actual, </w:t>
      </w:r>
      <w:r w:rsidRPr="00A87364">
        <w:t>fiind precizat că actul normativ poate fi aprobat prin această procedură, cu respectarea dispozițiilor legale aplicabile.</w:t>
      </w:r>
    </w:p>
    <w:p w14:paraId="32395F67" w14:textId="77777777" w:rsidR="00A87364" w:rsidRPr="00A87364" w:rsidRDefault="00A87364" w:rsidP="00A87364">
      <w:pPr>
        <w:jc w:val="both"/>
      </w:pPr>
      <w:r w:rsidRPr="00A87364">
        <w:t>Au fost preluate și observații transmise prin intermediul platformei online, printre care propunerea introducerii unui criteriu bazat pe gradul de integrare a componentelor sau pe originea economică a vehiculului, precum și observații referitoare la calendarul de desfășurare a programului.</w:t>
      </w:r>
    </w:p>
    <w:p w14:paraId="5E0DC98F" w14:textId="77777777" w:rsidR="00A87364" w:rsidRPr="00A87364" w:rsidRDefault="00A87364" w:rsidP="00A87364">
      <w:pPr>
        <w:jc w:val="both"/>
      </w:pPr>
      <w:r w:rsidRPr="00A87364">
        <w:t>Domnul Ionel [nume neprecizat] a solicitat clarificări cu privire la posibilitatea utilizării a două autovehicule uzate pentru achiziția unui singur autovehicul nou și la obligativitatea deținerii unui ITP valabil pentru autovehiculul propus spre casare, fiind oferite răspunsuri de către reprezentanții AFM și MMAP.</w:t>
      </w:r>
    </w:p>
    <w:p w14:paraId="51FA564E" w14:textId="77777777" w:rsidR="00A87364" w:rsidRPr="00A87364" w:rsidRDefault="00A87364" w:rsidP="00A87364">
      <w:pPr>
        <w:jc w:val="both"/>
      </w:pPr>
      <w:r w:rsidRPr="00A87364">
        <w:t>Domnul Mugurel Rădulescu, reprezentant al Asociației de Leasing Operațional, a propus introducerea posibilității finanțării autovehiculelor prin leasing operațional.</w:t>
      </w:r>
    </w:p>
    <w:p w14:paraId="0BCDC2A2" w14:textId="77777777" w:rsidR="00A87364" w:rsidRPr="00A87364" w:rsidRDefault="00A87364" w:rsidP="00A87364">
      <w:pPr>
        <w:jc w:val="both"/>
      </w:pPr>
      <w:r w:rsidRPr="00A87364">
        <w:t>Domnul Victor Jucan a revenit asupra subiectului privind perioada minimă de păstrare a autovehiculelor achiziționate prin program, apreciind că aceasta ar trebui extinsă. Reprezentanții AFM au precizat că, potrivit reglementărilor actuale, perioada este de 18 luni.</w:t>
      </w:r>
    </w:p>
    <w:p w14:paraId="6FB08196" w14:textId="77777777" w:rsidR="00A87364" w:rsidRPr="00A87364" w:rsidRDefault="00A87364" w:rsidP="00A87364">
      <w:pPr>
        <w:jc w:val="both"/>
      </w:pPr>
      <w:r w:rsidRPr="00A87364">
        <w:t>Domnul Cristian Nevzoreanu, reprezentant al Grup Renault România, și-a exprimat susținerea pentru lansarea cu celeritate a programului și pentru asigurarea predictibilității acestuia.</w:t>
      </w:r>
    </w:p>
    <w:p w14:paraId="6168554C" w14:textId="77777777" w:rsidR="00A87364" w:rsidRPr="00A87364" w:rsidRDefault="00A87364" w:rsidP="00A87364">
      <w:pPr>
        <w:jc w:val="both"/>
      </w:pPr>
      <w:r w:rsidRPr="00A87364">
        <w:lastRenderedPageBreak/>
        <w:t>Doamna Luminița Moroianu a solicitat informații privind numărul estimat de autovehicule care ar putea fi finanțate în cadrul programului, reprezentanții MMAP precizând că estimarea actuală este de aproximativ 20.000 de autovehicule.</w:t>
      </w:r>
    </w:p>
    <w:p w14:paraId="7A9D1D8C" w14:textId="77777777" w:rsidR="00A87364" w:rsidRPr="00A87364" w:rsidRDefault="00A87364" w:rsidP="00A87364">
      <w:pPr>
        <w:jc w:val="both"/>
      </w:pPr>
      <w:r w:rsidRPr="00A87364">
        <w:t>În continuare, au fost formulate observații privind plafonul maxim al valorii autovehiculelor eligibile pentru finanțare. Domnul Daniel Ionașcu a apreciat că valoarea maximă eligibilă este ridicată, în timp ce reprezentanții AFM și participanții din industrie au arătat că plafonul actual permite accesarea programului și pentru autovehicule de familie sau vehicule electrice cu caracteristici tehnice specifice, fără a influența valoarea ecotichetului acordat. Totodată, s-a subliniat că diferența de preț este suportată integral de beneficiar.</w:t>
      </w:r>
    </w:p>
    <w:p w14:paraId="788374FF" w14:textId="77777777" w:rsidR="00A87364" w:rsidRPr="00A87364" w:rsidRDefault="00A87364" w:rsidP="00A87364">
      <w:pPr>
        <w:jc w:val="both"/>
      </w:pPr>
      <w:r w:rsidRPr="00A87364">
        <w:t>De asemenea, au fost formulate propuneri privind diminuarea valorii maxime eligibile a autovehiculelor finanțate, aspecte care urmează să fie analizate în cadrul procesului de definitivare a ghidului.</w:t>
      </w:r>
    </w:p>
    <w:p w14:paraId="662C65A0" w14:textId="77777777" w:rsidR="00A87364" w:rsidRPr="00A87364" w:rsidRDefault="00A87364" w:rsidP="00A87364">
      <w:pPr>
        <w:jc w:val="both"/>
      </w:pPr>
      <w:r w:rsidRPr="00A87364">
        <w:t>La finalul dezbaterii, reprezentanții MMAP și AFM au precizat că toate observațiile și propunerile formulate în cadrul ședinței, precum și cele transmise în scris în perioada de consultare publică, vor fi analizate și vor primi răspunsuri motivate privind preluarea sau nepreluarea acestora în forma finală a ghidului de finanțare.</w:t>
      </w:r>
    </w:p>
    <w:p w14:paraId="2194A018" w14:textId="77777777" w:rsidR="00A87364" w:rsidRPr="002E25B9" w:rsidRDefault="00A87364" w:rsidP="00A87364">
      <w:pPr>
        <w:jc w:val="both"/>
        <w:rPr>
          <w:lang w:val="en-US"/>
        </w:rPr>
      </w:pPr>
    </w:p>
    <w:sectPr w:rsidR="00A87364" w:rsidRPr="002E25B9" w:rsidSect="006F3C8C">
      <w:pgSz w:w="12240" w:h="15840" w:code="1"/>
      <w:pgMar w:top="720" w:right="720" w:bottom="720"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C61BB"/>
    <w:multiLevelType w:val="multilevel"/>
    <w:tmpl w:val="219A5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8D02252"/>
    <w:multiLevelType w:val="hybridMultilevel"/>
    <w:tmpl w:val="72603D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65625669">
    <w:abstractNumId w:val="1"/>
  </w:num>
  <w:num w:numId="2" w16cid:durableId="169299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51"/>
    <w:rsid w:val="001724C3"/>
    <w:rsid w:val="001E64B9"/>
    <w:rsid w:val="002E25B9"/>
    <w:rsid w:val="0036653B"/>
    <w:rsid w:val="004A74E3"/>
    <w:rsid w:val="004D1C51"/>
    <w:rsid w:val="00555C9A"/>
    <w:rsid w:val="00581586"/>
    <w:rsid w:val="00660F76"/>
    <w:rsid w:val="006F3C8C"/>
    <w:rsid w:val="00780785"/>
    <w:rsid w:val="007C01DC"/>
    <w:rsid w:val="00830CD3"/>
    <w:rsid w:val="00853B73"/>
    <w:rsid w:val="00961680"/>
    <w:rsid w:val="009A3F9F"/>
    <w:rsid w:val="00A534FB"/>
    <w:rsid w:val="00A87364"/>
    <w:rsid w:val="00CA3727"/>
    <w:rsid w:val="00DF4B73"/>
    <w:rsid w:val="00F14F59"/>
    <w:rsid w:val="00F62D81"/>
    <w:rsid w:val="00F94E26"/>
    <w:rsid w:val="00FE4DA4"/>
    <w:rsid w:val="00FF7C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FEAF"/>
  <w15:chartTrackingRefBased/>
  <w15:docId w15:val="{1E0A464F-E75D-4BCC-8549-10C8A57A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C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1C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1C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1C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C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C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1C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1C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1C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C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C51"/>
    <w:rPr>
      <w:rFonts w:eastAsiaTheme="majorEastAsia" w:cstheme="majorBidi"/>
      <w:color w:val="272727" w:themeColor="text1" w:themeTint="D8"/>
    </w:rPr>
  </w:style>
  <w:style w:type="paragraph" w:styleId="Title">
    <w:name w:val="Title"/>
    <w:basedOn w:val="Normal"/>
    <w:next w:val="Normal"/>
    <w:link w:val="TitleChar"/>
    <w:uiPriority w:val="10"/>
    <w:qFormat/>
    <w:rsid w:val="004D1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C51"/>
    <w:pPr>
      <w:spacing w:before="160"/>
      <w:jc w:val="center"/>
    </w:pPr>
    <w:rPr>
      <w:i/>
      <w:iCs/>
      <w:color w:val="404040" w:themeColor="text1" w:themeTint="BF"/>
    </w:rPr>
  </w:style>
  <w:style w:type="character" w:customStyle="1" w:styleId="QuoteChar">
    <w:name w:val="Quote Char"/>
    <w:basedOn w:val="DefaultParagraphFont"/>
    <w:link w:val="Quote"/>
    <w:uiPriority w:val="29"/>
    <w:rsid w:val="004D1C51"/>
    <w:rPr>
      <w:i/>
      <w:iCs/>
      <w:color w:val="404040" w:themeColor="text1" w:themeTint="BF"/>
    </w:rPr>
  </w:style>
  <w:style w:type="paragraph" w:styleId="ListParagraph">
    <w:name w:val="List Paragraph"/>
    <w:basedOn w:val="Normal"/>
    <w:uiPriority w:val="34"/>
    <w:qFormat/>
    <w:rsid w:val="004D1C51"/>
    <w:pPr>
      <w:ind w:left="720"/>
      <w:contextualSpacing/>
    </w:pPr>
  </w:style>
  <w:style w:type="character" w:styleId="IntenseEmphasis">
    <w:name w:val="Intense Emphasis"/>
    <w:basedOn w:val="DefaultParagraphFont"/>
    <w:uiPriority w:val="21"/>
    <w:qFormat/>
    <w:rsid w:val="004D1C51"/>
    <w:rPr>
      <w:i/>
      <w:iCs/>
      <w:color w:val="2F5496" w:themeColor="accent1" w:themeShade="BF"/>
    </w:rPr>
  </w:style>
  <w:style w:type="paragraph" w:styleId="IntenseQuote">
    <w:name w:val="Intense Quote"/>
    <w:basedOn w:val="Normal"/>
    <w:next w:val="Normal"/>
    <w:link w:val="IntenseQuoteChar"/>
    <w:uiPriority w:val="30"/>
    <w:qFormat/>
    <w:rsid w:val="004D1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C51"/>
    <w:rPr>
      <w:i/>
      <w:iCs/>
      <w:color w:val="2F5496" w:themeColor="accent1" w:themeShade="BF"/>
    </w:rPr>
  </w:style>
  <w:style w:type="character" w:styleId="IntenseReference">
    <w:name w:val="Intense Reference"/>
    <w:basedOn w:val="DefaultParagraphFont"/>
    <w:uiPriority w:val="32"/>
    <w:qFormat/>
    <w:rsid w:val="004D1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2013</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DAMIAN</dc:creator>
  <cp:keywords/>
  <dc:description/>
  <cp:lastModifiedBy>Andreea DAMIAN</cp:lastModifiedBy>
  <cp:revision>6</cp:revision>
  <dcterms:created xsi:type="dcterms:W3CDTF">2026-06-24T07:46:00Z</dcterms:created>
  <dcterms:modified xsi:type="dcterms:W3CDTF">2026-06-24T10:44:00Z</dcterms:modified>
</cp:coreProperties>
</file>