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B1B89" w14:textId="1AF54884" w:rsidR="005C0FC4" w:rsidRDefault="005C0FC4" w:rsidP="005204CB">
      <w:pPr>
        <w:spacing w:line="276" w:lineRule="auto"/>
        <w:rPr>
          <w:lang w:val="en-US"/>
        </w:rPr>
      </w:pPr>
      <w:r>
        <w:rPr>
          <w:lang w:val="en-US"/>
        </w:rPr>
        <w:t>Nr.: DGEICPSC/</w:t>
      </w:r>
      <w:r w:rsidR="00D509DC">
        <w:rPr>
          <w:lang w:val="en-US"/>
        </w:rPr>
        <w:t>125636</w:t>
      </w:r>
      <w:r w:rsidR="008358D7">
        <w:rPr>
          <w:lang w:val="en-US"/>
        </w:rPr>
        <w:t>/</w:t>
      </w:r>
      <w:r w:rsidR="00AA3A46">
        <w:rPr>
          <w:lang w:val="en-US"/>
        </w:rPr>
        <w:t>20.07.2026</w:t>
      </w:r>
    </w:p>
    <w:p w14:paraId="0960004C" w14:textId="77777777" w:rsidR="005B04C9" w:rsidRDefault="005B04C9" w:rsidP="005204CB">
      <w:pPr>
        <w:keepNext/>
        <w:keepLines/>
        <w:suppressAutoHyphens/>
        <w:spacing w:after="120" w:line="276" w:lineRule="auto"/>
        <w:jc w:val="center"/>
        <w:rPr>
          <w:rFonts w:ascii="Times New Roman" w:eastAsia="MS Mincho" w:hAnsi="Times New Roman" w:cs="Times New Roman"/>
          <w:b/>
          <w:bCs/>
          <w:color w:val="000000"/>
          <w:sz w:val="26"/>
          <w:szCs w:val="26"/>
          <w:lang w:eastAsia="zh-CN"/>
        </w:rPr>
      </w:pPr>
    </w:p>
    <w:p w14:paraId="54CDE622" w14:textId="77777777" w:rsidR="00845C2A" w:rsidRDefault="00845C2A" w:rsidP="005204CB">
      <w:pPr>
        <w:keepNext/>
        <w:keepLines/>
        <w:suppressAutoHyphens/>
        <w:spacing w:after="120" w:line="276" w:lineRule="auto"/>
        <w:jc w:val="center"/>
        <w:rPr>
          <w:rFonts w:ascii="Times New Roman" w:eastAsia="MS Mincho" w:hAnsi="Times New Roman" w:cs="Times New Roman"/>
          <w:b/>
          <w:bCs/>
          <w:color w:val="000000"/>
          <w:sz w:val="26"/>
          <w:szCs w:val="26"/>
          <w:lang w:eastAsia="zh-CN"/>
        </w:rPr>
      </w:pPr>
    </w:p>
    <w:p w14:paraId="6E3A0375" w14:textId="44018534" w:rsidR="005C0FC4" w:rsidRPr="00655699" w:rsidRDefault="005C0FC4" w:rsidP="005204CB">
      <w:pPr>
        <w:keepNext/>
        <w:keepLines/>
        <w:suppressAutoHyphens/>
        <w:spacing w:after="120" w:line="276" w:lineRule="auto"/>
        <w:jc w:val="center"/>
        <w:rPr>
          <w:rFonts w:ascii="Trebuchet MS" w:eastAsia="MS Mincho" w:hAnsi="Trebuchet MS" w:cs="Calibri"/>
          <w:b/>
          <w:bCs/>
          <w:lang w:eastAsia="ar-SA"/>
        </w:rPr>
      </w:pPr>
      <w:r w:rsidRPr="00272EBC">
        <w:rPr>
          <w:rFonts w:ascii="Times New Roman" w:eastAsia="MS Mincho" w:hAnsi="Times New Roman" w:cs="Times New Roman"/>
          <w:b/>
          <w:bCs/>
          <w:color w:val="000000"/>
          <w:sz w:val="26"/>
          <w:szCs w:val="26"/>
          <w:lang w:eastAsia="zh-CN"/>
        </w:rPr>
        <w:t xml:space="preserve">REFERAT DE APROBARE </w:t>
      </w:r>
    </w:p>
    <w:p w14:paraId="42A37F56" w14:textId="5E1CACFE" w:rsidR="005C0FC4" w:rsidRDefault="00AC669C" w:rsidP="005204CB">
      <w:pPr>
        <w:keepNext/>
        <w:keepLines/>
        <w:suppressAutoHyphens/>
        <w:spacing w:after="120" w:line="276" w:lineRule="auto"/>
        <w:jc w:val="center"/>
        <w:rPr>
          <w:rFonts w:ascii="Trebuchet MS" w:eastAsia="MS Mincho" w:hAnsi="Trebuchet MS" w:cs="Calibri"/>
          <w:b/>
          <w:bCs/>
          <w:lang w:eastAsia="ar-SA"/>
        </w:rPr>
      </w:pPr>
      <w:r w:rsidRPr="00655699">
        <w:rPr>
          <w:rFonts w:ascii="Trebuchet MS" w:eastAsia="MS Mincho" w:hAnsi="Trebuchet MS" w:cs="Calibri"/>
          <w:b/>
          <w:bCs/>
          <w:lang w:eastAsia="ar-SA"/>
        </w:rPr>
        <w:t>a</w:t>
      </w:r>
      <w:r>
        <w:rPr>
          <w:rFonts w:ascii="Trebuchet MS" w:eastAsia="MS Mincho" w:hAnsi="Trebuchet MS" w:cs="Calibri"/>
          <w:b/>
          <w:bCs/>
          <w:lang w:eastAsia="ar-SA"/>
        </w:rPr>
        <w:t xml:space="preserve"> proiectului </w:t>
      </w:r>
      <w:r w:rsidR="005C0FC4" w:rsidRPr="005C6DC7">
        <w:rPr>
          <w:rFonts w:ascii="Trebuchet MS" w:eastAsia="MS Mincho" w:hAnsi="Trebuchet MS" w:cs="Calibri"/>
          <w:b/>
          <w:bCs/>
          <w:lang w:eastAsia="ar-SA"/>
        </w:rPr>
        <w:t>Ordinului pentru modificarea Metodologi</w:t>
      </w:r>
      <w:r w:rsidR="006801F6">
        <w:rPr>
          <w:rFonts w:ascii="Trebuchet MS" w:eastAsia="MS Mincho" w:hAnsi="Trebuchet MS" w:cs="Calibri"/>
          <w:b/>
          <w:bCs/>
          <w:lang w:eastAsia="ar-SA"/>
        </w:rPr>
        <w:t>ei</w:t>
      </w:r>
      <w:r w:rsidR="005C0FC4" w:rsidRPr="005C6DC7">
        <w:rPr>
          <w:rFonts w:ascii="Trebuchet MS" w:eastAsia="MS Mincho" w:hAnsi="Trebuchet MS" w:cs="Calibri"/>
          <w:b/>
          <w:bCs/>
          <w:lang w:eastAsia="ar-SA"/>
        </w:rPr>
        <w:t xml:space="preserve"> pentru stabilirea </w:t>
      </w:r>
      <w:proofErr w:type="spellStart"/>
      <w:r w:rsidR="005C0FC4" w:rsidRPr="005C6DC7">
        <w:rPr>
          <w:rFonts w:ascii="Trebuchet MS" w:eastAsia="MS Mincho" w:hAnsi="Trebuchet MS" w:cs="Calibri"/>
          <w:b/>
          <w:bCs/>
          <w:lang w:eastAsia="ar-SA"/>
        </w:rPr>
        <w:t>distanţelor</w:t>
      </w:r>
      <w:proofErr w:type="spellEnd"/>
      <w:r w:rsidR="005C0FC4" w:rsidRPr="005C6DC7">
        <w:rPr>
          <w:rFonts w:ascii="Trebuchet MS" w:eastAsia="MS Mincho" w:hAnsi="Trebuchet MS" w:cs="Calibri"/>
          <w:b/>
          <w:bCs/>
          <w:lang w:eastAsia="ar-SA"/>
        </w:rPr>
        <w:t xml:space="preserve"> adecvate față de sursele potențiale de risc din cadrul amplasamentelor care se încadrează în prevederile Legii nr. 59/2016 privind controlul asupra pericolelor de accident major în care sunt implicate </w:t>
      </w:r>
      <w:proofErr w:type="spellStart"/>
      <w:r w:rsidR="005C0FC4" w:rsidRPr="005C6DC7">
        <w:rPr>
          <w:rFonts w:ascii="Trebuchet MS" w:eastAsia="MS Mincho" w:hAnsi="Trebuchet MS" w:cs="Calibri"/>
          <w:b/>
          <w:bCs/>
          <w:lang w:eastAsia="ar-SA"/>
        </w:rPr>
        <w:t>substanţe</w:t>
      </w:r>
      <w:proofErr w:type="spellEnd"/>
      <w:r w:rsidR="005C0FC4" w:rsidRPr="005C6DC7">
        <w:rPr>
          <w:rFonts w:ascii="Trebuchet MS" w:eastAsia="MS Mincho" w:hAnsi="Trebuchet MS" w:cs="Calibri"/>
          <w:b/>
          <w:bCs/>
          <w:lang w:eastAsia="ar-SA"/>
        </w:rPr>
        <w:t xml:space="preserve"> periculoase în activită</w:t>
      </w:r>
      <w:r w:rsidR="00615281">
        <w:rPr>
          <w:rFonts w:ascii="Trebuchet MS" w:eastAsia="MS Mincho" w:hAnsi="Trebuchet MS" w:cs="Calibri"/>
          <w:b/>
          <w:bCs/>
          <w:lang w:eastAsia="ar-SA"/>
        </w:rPr>
        <w:t>ț</w:t>
      </w:r>
      <w:r w:rsidR="005C0FC4" w:rsidRPr="005C6DC7">
        <w:rPr>
          <w:rFonts w:ascii="Trebuchet MS" w:eastAsia="MS Mincho" w:hAnsi="Trebuchet MS" w:cs="Calibri"/>
          <w:b/>
          <w:bCs/>
          <w:lang w:eastAsia="ar-SA"/>
        </w:rPr>
        <w:t>ile de amenajare</w:t>
      </w:r>
      <w:r w:rsidR="00615281">
        <w:rPr>
          <w:rFonts w:ascii="Trebuchet MS" w:eastAsia="MS Mincho" w:hAnsi="Trebuchet MS" w:cs="Calibri"/>
          <w:b/>
          <w:bCs/>
          <w:lang w:eastAsia="ar-SA"/>
        </w:rPr>
        <w:t xml:space="preserve"> </w:t>
      </w:r>
      <w:r w:rsidR="005C0FC4" w:rsidRPr="005C6DC7">
        <w:rPr>
          <w:rFonts w:ascii="Trebuchet MS" w:eastAsia="MS Mincho" w:hAnsi="Trebuchet MS" w:cs="Calibri"/>
          <w:b/>
          <w:bCs/>
          <w:lang w:eastAsia="ar-SA"/>
        </w:rPr>
        <w:t xml:space="preserve">a teritoriului </w:t>
      </w:r>
      <w:proofErr w:type="spellStart"/>
      <w:r w:rsidR="005C0FC4" w:rsidRPr="005C6DC7">
        <w:rPr>
          <w:rFonts w:ascii="Trebuchet MS" w:eastAsia="MS Mincho" w:hAnsi="Trebuchet MS" w:cs="Calibri"/>
          <w:b/>
          <w:bCs/>
          <w:lang w:eastAsia="ar-SA"/>
        </w:rPr>
        <w:t>şi</w:t>
      </w:r>
      <w:proofErr w:type="spellEnd"/>
      <w:r w:rsidR="005C0FC4" w:rsidRPr="005C6DC7">
        <w:rPr>
          <w:rFonts w:ascii="Trebuchet MS" w:eastAsia="MS Mincho" w:hAnsi="Trebuchet MS" w:cs="Calibri"/>
          <w:b/>
          <w:bCs/>
          <w:lang w:eastAsia="ar-SA"/>
        </w:rPr>
        <w:t xml:space="preserve"> urbanism, aprobată prin Ordinul</w:t>
      </w:r>
      <w:r w:rsidR="005C0FC4" w:rsidRPr="005C6DC7">
        <w:rPr>
          <w:rFonts w:ascii="Trebuchet MS" w:hAnsi="Trebuchet MS" w:cs="Arial"/>
        </w:rPr>
        <w:t xml:space="preserve"> </w:t>
      </w:r>
      <w:r w:rsidR="005C0FC4" w:rsidRPr="005C6DC7">
        <w:rPr>
          <w:rFonts w:ascii="Trebuchet MS" w:eastAsia="MS Mincho" w:hAnsi="Trebuchet MS" w:cs="Calibri"/>
          <w:b/>
          <w:bCs/>
          <w:lang w:eastAsia="ar-SA"/>
        </w:rPr>
        <w:t>viceprim-ministrului, ministrul dezvoltării regionale, administrației publice și fondurilor europene, al viceprim-ministrului, ministrul mediului și al ministrului afacerilor interne nr. 3710/1212/99/2017</w:t>
      </w:r>
    </w:p>
    <w:p w14:paraId="412D36AD" w14:textId="77777777" w:rsidR="005204CB" w:rsidRPr="005C6DC7" w:rsidRDefault="005204CB" w:rsidP="005204CB">
      <w:pPr>
        <w:keepNext/>
        <w:keepLines/>
        <w:suppressAutoHyphens/>
        <w:spacing w:after="120" w:line="276" w:lineRule="auto"/>
        <w:jc w:val="center"/>
        <w:rPr>
          <w:rFonts w:ascii="Trebuchet MS" w:eastAsia="MS Mincho" w:hAnsi="Trebuchet MS" w:cs="Calibri"/>
          <w:b/>
          <w:bCs/>
          <w:lang w:eastAsia="ar-SA"/>
        </w:rPr>
      </w:pPr>
    </w:p>
    <w:p w14:paraId="4A514E3E" w14:textId="77777777" w:rsidR="005204CB" w:rsidRDefault="005204CB" w:rsidP="005204CB">
      <w:pPr>
        <w:keepNext/>
        <w:keepLines/>
        <w:suppressAutoHyphens/>
        <w:spacing w:after="120" w:line="276" w:lineRule="auto"/>
        <w:jc w:val="both"/>
        <w:rPr>
          <w:rFonts w:ascii="Trebuchet MS" w:hAnsi="Trebuchet MS" w:cs="Arial"/>
        </w:rPr>
      </w:pPr>
      <w:r w:rsidRPr="001E05CA">
        <w:rPr>
          <w:rFonts w:ascii="Trebuchet MS" w:eastAsia="MS Mincho" w:hAnsi="Trebuchet MS" w:cs="Calibri"/>
          <w:lang w:eastAsia="ar-SA"/>
        </w:rPr>
        <w:t>Prin</w:t>
      </w:r>
      <w:r w:rsidRPr="001E05CA">
        <w:rPr>
          <w:rFonts w:ascii="Trebuchet MS" w:eastAsia="MS Mincho" w:hAnsi="Trebuchet MS" w:cs="Calibri"/>
          <w:b/>
          <w:lang w:eastAsia="ar-SA"/>
        </w:rPr>
        <w:t xml:space="preserve"> </w:t>
      </w:r>
      <w:r w:rsidRPr="001E05CA">
        <w:rPr>
          <w:rFonts w:ascii="Trebuchet MS" w:hAnsi="Trebuchet MS" w:cs="Arial"/>
        </w:rPr>
        <w:t xml:space="preserve">Ordinul viceprim-ministrului, ministrul dezvoltării regionale, administrației publice și fondurilor europene, al viceprim-ministrului, ministrul mediului și al ministrului afacerilor interne nr. 3710/1212/99/2017 </w:t>
      </w:r>
      <w:r w:rsidRPr="00AC669C">
        <w:rPr>
          <w:rFonts w:ascii="Trebuchet MS" w:hAnsi="Trebuchet MS" w:cs="Arial"/>
          <w:bCs/>
        </w:rPr>
        <w:t xml:space="preserve">a fost aprobată </w:t>
      </w:r>
      <w:r w:rsidRPr="00AC669C">
        <w:rPr>
          <w:rFonts w:ascii="Trebuchet MS" w:hAnsi="Trebuchet MS" w:cs="Arial"/>
          <w:bCs/>
          <w:i/>
          <w:iCs/>
        </w:rPr>
        <w:t>Metodologia</w:t>
      </w:r>
      <w:r w:rsidRPr="00AC669C">
        <w:rPr>
          <w:rFonts w:ascii="Trebuchet MS" w:hAnsi="Trebuchet MS" w:cs="Arial"/>
          <w:i/>
          <w:iCs/>
        </w:rPr>
        <w:t xml:space="preserve"> pentru stabilirea distanțelor adecvate față de sursele potențiale de risc din cadrul amplasamentelor care se încadrează în prevederile Legii nr. 59/2016 privind controlul asupra pericolelor de accident major în care sunt implicate substanțe periculoase în activitățile de amenajare a teritoriului și urbanism</w:t>
      </w:r>
      <w:r>
        <w:rPr>
          <w:rFonts w:ascii="Trebuchet MS" w:hAnsi="Trebuchet MS" w:cs="Arial"/>
        </w:rPr>
        <w:t>, denumită în continuare Metodologia</w:t>
      </w:r>
      <w:r w:rsidRPr="001E05CA">
        <w:rPr>
          <w:rFonts w:ascii="Trebuchet MS" w:hAnsi="Trebuchet MS" w:cs="Arial"/>
        </w:rPr>
        <w:t>.</w:t>
      </w:r>
    </w:p>
    <w:p w14:paraId="2C3387C7" w14:textId="56AC09A5" w:rsidR="005204CB" w:rsidRPr="001E05CA" w:rsidRDefault="005204CB" w:rsidP="005204CB">
      <w:pPr>
        <w:keepNext/>
        <w:keepLines/>
        <w:suppressAutoHyphens/>
        <w:spacing w:after="120" w:line="276" w:lineRule="auto"/>
        <w:jc w:val="both"/>
        <w:rPr>
          <w:rFonts w:ascii="Trebuchet MS" w:eastAsia="MS Mincho" w:hAnsi="Trebuchet MS" w:cs="Calibri"/>
          <w:lang w:eastAsia="ar-SA"/>
        </w:rPr>
      </w:pPr>
      <w:r>
        <w:rPr>
          <w:rFonts w:ascii="Trebuchet MS" w:eastAsia="MS Mincho" w:hAnsi="Trebuchet MS" w:cs="Calibri"/>
          <w:lang w:eastAsia="ar-SA"/>
        </w:rPr>
        <w:t>P</w:t>
      </w:r>
      <w:r w:rsidRPr="001E05CA">
        <w:rPr>
          <w:rFonts w:ascii="Trebuchet MS" w:eastAsia="MS Mincho" w:hAnsi="Trebuchet MS" w:cs="Calibri"/>
          <w:lang w:eastAsia="ar-SA"/>
        </w:rPr>
        <w:t>otrivit prevederilor art. 6 alin. (5) din</w:t>
      </w:r>
      <w:r w:rsidR="00845C2A">
        <w:rPr>
          <w:rFonts w:ascii="Trebuchet MS" w:eastAsia="MS Mincho" w:hAnsi="Trebuchet MS" w:cs="Calibri"/>
          <w:lang w:eastAsia="ar-SA"/>
        </w:rPr>
        <w:t xml:space="preserve"> Metodologie,</w:t>
      </w:r>
      <w:r w:rsidRPr="001E05CA">
        <w:rPr>
          <w:rFonts w:ascii="Trebuchet MS" w:eastAsia="MS Mincho" w:hAnsi="Trebuchet MS" w:cs="Calibri"/>
          <w:lang w:eastAsia="ar-SA"/>
        </w:rPr>
        <w:t xml:space="preserve"> frecvențele considerate prag de siguranță</w:t>
      </w:r>
      <w:r w:rsidR="002A3701">
        <w:rPr>
          <w:rFonts w:ascii="Trebuchet MS" w:eastAsia="MS Mincho" w:hAnsi="Trebuchet MS" w:cs="Calibri"/>
          <w:lang w:eastAsia="ar-SA"/>
        </w:rPr>
        <w:t xml:space="preserve"> pentru un scenariu de accident</w:t>
      </w:r>
      <w:r w:rsidRPr="001E05CA">
        <w:rPr>
          <w:rFonts w:ascii="Trebuchet MS" w:eastAsia="MS Mincho" w:hAnsi="Trebuchet MS" w:cs="Calibri"/>
          <w:lang w:eastAsia="ar-SA"/>
        </w:rPr>
        <w:t xml:space="preserve"> sunt: 10</w:t>
      </w:r>
      <w:r w:rsidRPr="001E05CA">
        <w:rPr>
          <w:rFonts w:ascii="Trebuchet MS" w:eastAsia="MS Mincho" w:hAnsi="Trebuchet MS" w:cs="Calibri"/>
          <w:vertAlign w:val="superscript"/>
          <w:lang w:eastAsia="ar-SA"/>
        </w:rPr>
        <w:t>-3</w:t>
      </w:r>
      <w:r w:rsidRPr="001E05CA">
        <w:rPr>
          <w:rFonts w:ascii="Trebuchet MS" w:eastAsia="MS Mincho" w:hAnsi="Trebuchet MS" w:cs="Calibri"/>
          <w:lang w:eastAsia="ar-SA"/>
        </w:rPr>
        <w:t xml:space="preserve"> evenimente/an - frecvența maxim</w:t>
      </w:r>
      <w:r>
        <w:rPr>
          <w:rFonts w:ascii="Trebuchet MS" w:eastAsia="MS Mincho" w:hAnsi="Trebuchet MS" w:cs="Calibri"/>
          <w:lang w:eastAsia="ar-SA"/>
        </w:rPr>
        <w:t>ă</w:t>
      </w:r>
      <w:r w:rsidRPr="001E05CA">
        <w:rPr>
          <w:rFonts w:ascii="Trebuchet MS" w:eastAsia="MS Mincho" w:hAnsi="Trebuchet MS" w:cs="Calibri"/>
          <w:lang w:eastAsia="ar-SA"/>
        </w:rPr>
        <w:t xml:space="preserve"> admisă pentru un scenariu de accident și 10</w:t>
      </w:r>
      <w:r w:rsidRPr="001E05CA">
        <w:rPr>
          <w:rFonts w:ascii="Trebuchet MS" w:eastAsia="MS Mincho" w:hAnsi="Trebuchet MS" w:cs="Calibri"/>
          <w:vertAlign w:val="superscript"/>
          <w:lang w:eastAsia="ar-SA"/>
        </w:rPr>
        <w:t>-6</w:t>
      </w:r>
      <w:r w:rsidRPr="001E05CA">
        <w:rPr>
          <w:rFonts w:ascii="Trebuchet MS" w:eastAsia="MS Mincho" w:hAnsi="Trebuchet MS" w:cs="Calibri"/>
          <w:lang w:eastAsia="ar-SA"/>
        </w:rPr>
        <w:t xml:space="preserve"> evenimente/an - frecvența minimă pentru care se iau în considerare scenarii de accident.</w:t>
      </w:r>
    </w:p>
    <w:p w14:paraId="4FEC9C4F" w14:textId="071B5629" w:rsidR="005204CB" w:rsidRPr="001E05CA" w:rsidRDefault="002A3701" w:rsidP="005204CB">
      <w:pPr>
        <w:keepNext/>
        <w:keepLines/>
        <w:suppressAutoHyphens/>
        <w:spacing w:after="120" w:line="276" w:lineRule="auto"/>
        <w:jc w:val="both"/>
        <w:rPr>
          <w:rFonts w:ascii="Trebuchet MS" w:eastAsia="MS Mincho" w:hAnsi="Trebuchet MS" w:cs="Calibri"/>
          <w:b/>
          <w:lang w:eastAsia="ar-SA"/>
        </w:rPr>
      </w:pPr>
      <w:r>
        <w:rPr>
          <w:rFonts w:ascii="Trebuchet MS" w:eastAsia="MS Mincho" w:hAnsi="Trebuchet MS" w:cs="Calibri"/>
          <w:b/>
          <w:lang w:eastAsia="ar-SA"/>
        </w:rPr>
        <w:t xml:space="preserve">Totodată, </w:t>
      </w:r>
      <w:r w:rsidRPr="001E05CA">
        <w:rPr>
          <w:rFonts w:ascii="Trebuchet MS" w:eastAsia="MS Mincho" w:hAnsi="Trebuchet MS" w:cs="Calibri"/>
          <w:b/>
          <w:lang w:eastAsia="ar-SA"/>
        </w:rPr>
        <w:t xml:space="preserve">în </w:t>
      </w:r>
      <w:r w:rsidR="005204CB" w:rsidRPr="001E05CA">
        <w:rPr>
          <w:rFonts w:ascii="Trebuchet MS" w:eastAsia="MS Mincho" w:hAnsi="Trebuchet MS" w:cs="Calibri"/>
          <w:b/>
          <w:lang w:eastAsia="ar-SA"/>
        </w:rPr>
        <w:t>anexa nr. 3 a aceluiași ordin</w:t>
      </w:r>
      <w:r w:rsidR="005204CB" w:rsidRPr="001E05CA">
        <w:rPr>
          <w:rFonts w:ascii="Trebuchet MS" w:eastAsia="MS Mincho" w:hAnsi="Trebuchet MS" w:cs="Calibri"/>
          <w:lang w:eastAsia="ar-SA"/>
        </w:rPr>
        <w:t xml:space="preserve"> sunt prezentate matricele de compatibilitate teritorială</w:t>
      </w:r>
      <w:r w:rsidR="005C74F1">
        <w:rPr>
          <w:rFonts w:ascii="Trebuchet MS" w:eastAsia="MS Mincho" w:hAnsi="Trebuchet MS" w:cs="Calibri"/>
          <w:lang w:eastAsia="ar-SA"/>
        </w:rPr>
        <w:t>,</w:t>
      </w:r>
      <w:r w:rsidR="005204CB" w:rsidRPr="001E05CA">
        <w:rPr>
          <w:rFonts w:ascii="Trebuchet MS" w:eastAsia="MS Mincho" w:hAnsi="Trebuchet MS" w:cs="Calibri"/>
          <w:lang w:eastAsia="ar-SA"/>
        </w:rPr>
        <w:t xml:space="preserve"> </w:t>
      </w:r>
      <w:r w:rsidR="005204CB">
        <w:rPr>
          <w:rFonts w:ascii="Trebuchet MS" w:eastAsia="MS Mincho" w:hAnsi="Trebuchet MS" w:cs="Calibri"/>
          <w:lang w:eastAsia="ar-SA"/>
        </w:rPr>
        <w:t>în care</w:t>
      </w:r>
      <w:r w:rsidR="005204CB" w:rsidRPr="001E05CA">
        <w:rPr>
          <w:rFonts w:ascii="Trebuchet MS" w:eastAsia="MS Mincho" w:hAnsi="Trebuchet MS" w:cs="Calibri"/>
          <w:lang w:eastAsia="ar-SA"/>
        </w:rPr>
        <w:t xml:space="preserve"> </w:t>
      </w:r>
      <w:r w:rsidR="005204CB" w:rsidRPr="001E05CA">
        <w:rPr>
          <w:rFonts w:ascii="Trebuchet MS" w:eastAsia="MS Mincho" w:hAnsi="Trebuchet MS" w:cs="Calibri"/>
          <w:b/>
          <w:lang w:eastAsia="ar-SA"/>
        </w:rPr>
        <w:t>frecvența</w:t>
      </w:r>
      <w:r>
        <w:rPr>
          <w:rFonts w:ascii="Trebuchet MS" w:eastAsia="MS Mincho" w:hAnsi="Trebuchet MS" w:cs="Calibri"/>
          <w:b/>
          <w:lang w:eastAsia="ar-SA"/>
        </w:rPr>
        <w:t xml:space="preserve"> minimă pentru care se iau în considerare scenarii de accident este prevăzută ca fiind </w:t>
      </w:r>
      <w:r>
        <w:rPr>
          <w:rFonts w:ascii="Trebuchet MS" w:eastAsia="MS Mincho" w:hAnsi="Trebuchet MS" w:cs="Calibri"/>
          <w:b/>
          <w:lang w:val="en-US" w:eastAsia="ar-SA"/>
        </w:rPr>
        <w:t>&lt;10</w:t>
      </w:r>
      <w:r w:rsidRPr="001E05CA">
        <w:rPr>
          <w:rFonts w:ascii="Trebuchet MS" w:eastAsia="MS Mincho" w:hAnsi="Trebuchet MS" w:cs="Calibri"/>
          <w:b/>
          <w:vertAlign w:val="superscript"/>
          <w:lang w:eastAsia="ar-SA"/>
        </w:rPr>
        <w:t>-6</w:t>
      </w:r>
      <w:r>
        <w:rPr>
          <w:rFonts w:ascii="Trebuchet MS" w:eastAsia="MS Mincho" w:hAnsi="Trebuchet MS" w:cs="Calibri"/>
          <w:b/>
          <w:vertAlign w:val="superscript"/>
          <w:lang w:eastAsia="ar-SA"/>
        </w:rPr>
        <w:t>,</w:t>
      </w:r>
      <w:r w:rsidR="005204CB" w:rsidRPr="001E05CA">
        <w:rPr>
          <w:rFonts w:ascii="Trebuchet MS" w:eastAsia="MS Mincho" w:hAnsi="Trebuchet MS" w:cs="Calibri"/>
          <w:b/>
          <w:lang w:eastAsia="ar-SA"/>
        </w:rPr>
        <w:t xml:space="preserve"> </w:t>
      </w:r>
      <w:r w:rsidR="005204CB" w:rsidRPr="00E03653">
        <w:rPr>
          <w:rFonts w:ascii="Trebuchet MS" w:eastAsia="MS Mincho" w:hAnsi="Trebuchet MS" w:cs="Calibri"/>
          <w:b/>
          <w:lang w:eastAsia="ar-SA"/>
        </w:rPr>
        <w:t xml:space="preserve">ceea ce </w:t>
      </w:r>
      <w:r>
        <w:rPr>
          <w:rFonts w:ascii="Trebuchet MS" w:eastAsia="MS Mincho" w:hAnsi="Trebuchet MS" w:cs="Calibri"/>
          <w:b/>
          <w:lang w:eastAsia="ar-SA"/>
        </w:rPr>
        <w:t>nu este în concordanță cu prevederile art.6 alin. (5) din ordinul menționat</w:t>
      </w:r>
      <w:r w:rsidR="005C74F1">
        <w:rPr>
          <w:rFonts w:ascii="Trebuchet MS" w:eastAsia="MS Mincho" w:hAnsi="Trebuchet MS" w:cs="Calibri"/>
          <w:b/>
          <w:lang w:eastAsia="ar-SA"/>
        </w:rPr>
        <w:t>, unde este prevăzută ca fiind =</w:t>
      </w:r>
      <w:r w:rsidR="005C74F1" w:rsidRPr="001E05CA">
        <w:rPr>
          <w:rFonts w:ascii="Trebuchet MS" w:eastAsia="MS Mincho" w:hAnsi="Trebuchet MS" w:cs="Calibri"/>
          <w:b/>
          <w:lang w:eastAsia="ar-SA"/>
        </w:rPr>
        <w:t>10</w:t>
      </w:r>
      <w:r w:rsidR="005C74F1" w:rsidRPr="001E05CA">
        <w:rPr>
          <w:rFonts w:ascii="Trebuchet MS" w:eastAsia="MS Mincho" w:hAnsi="Trebuchet MS" w:cs="Calibri"/>
          <w:b/>
          <w:vertAlign w:val="superscript"/>
          <w:lang w:eastAsia="ar-SA"/>
        </w:rPr>
        <w:t>-6</w:t>
      </w:r>
      <w:r w:rsidR="005C74F1">
        <w:rPr>
          <w:rFonts w:ascii="Trebuchet MS" w:eastAsia="MS Mincho" w:hAnsi="Trebuchet MS" w:cs="Calibri"/>
          <w:b/>
          <w:bCs/>
          <w:lang w:eastAsia="ar-SA"/>
        </w:rPr>
        <w:t>.</w:t>
      </w:r>
    </w:p>
    <w:p w14:paraId="43355352" w14:textId="63D43F81" w:rsidR="005204CB" w:rsidRDefault="005204CB" w:rsidP="005204CB">
      <w:pPr>
        <w:keepNext/>
        <w:keepLines/>
        <w:suppressAutoHyphens/>
        <w:spacing w:after="120" w:line="276" w:lineRule="auto"/>
        <w:jc w:val="both"/>
        <w:rPr>
          <w:rFonts w:ascii="Trebuchet MS" w:eastAsia="MS Mincho" w:hAnsi="Trebuchet MS" w:cs="Calibri"/>
          <w:b/>
          <w:lang w:eastAsia="ar-SA"/>
        </w:rPr>
      </w:pPr>
      <w:r w:rsidRPr="00E16926">
        <w:rPr>
          <w:rFonts w:ascii="Trebuchet MS" w:eastAsia="MS Mincho" w:hAnsi="Trebuchet MS" w:cs="Calibri"/>
          <w:b/>
          <w:lang w:eastAsia="ar-SA"/>
        </w:rPr>
        <w:t>Ca urmare a analizei efectuate la nivelul grupului tehnic constituit din reprezentanți ai Ministerului Dezvoltării, Lucrărilor Publice și Administrației, Ministerului Mediului, Apelor și Pădurilor, Agenției Naționale pentru Mediu și Arii Protejate, Inspectoratului General pentru Situații de Urgență și Gărzii Naționale de Mediu – Comisariatul General s-a constatat că formularea prevăzut</w:t>
      </w:r>
      <w:r w:rsidR="00845C2A">
        <w:rPr>
          <w:rFonts w:ascii="Trebuchet MS" w:eastAsia="MS Mincho" w:hAnsi="Trebuchet MS" w:cs="Calibri"/>
          <w:b/>
          <w:lang w:eastAsia="ar-SA"/>
        </w:rPr>
        <w:t>ă</w:t>
      </w:r>
      <w:r w:rsidRPr="00E16926">
        <w:rPr>
          <w:rFonts w:ascii="Trebuchet MS" w:eastAsia="MS Mincho" w:hAnsi="Trebuchet MS" w:cs="Calibri"/>
          <w:b/>
          <w:lang w:eastAsia="ar-SA"/>
        </w:rPr>
        <w:t xml:space="preserve"> în anexa nr. 3 la </w:t>
      </w:r>
      <w:r w:rsidR="00845C2A">
        <w:rPr>
          <w:rFonts w:ascii="Trebuchet MS" w:eastAsia="MS Mincho" w:hAnsi="Trebuchet MS" w:cs="Calibri"/>
          <w:b/>
          <w:lang w:eastAsia="ar-SA"/>
        </w:rPr>
        <w:t xml:space="preserve">Metodologie </w:t>
      </w:r>
      <w:r w:rsidRPr="00E16926">
        <w:rPr>
          <w:rFonts w:ascii="Trebuchet MS" w:eastAsia="MS Mincho" w:hAnsi="Trebuchet MS" w:cs="Calibri"/>
          <w:b/>
          <w:lang w:eastAsia="ar-SA"/>
        </w:rPr>
        <w:t xml:space="preserve">reprezintă o eroare materială de redactare. </w:t>
      </w:r>
    </w:p>
    <w:p w14:paraId="11861C1F" w14:textId="1558EC5F" w:rsidR="005C0FC4" w:rsidRDefault="005C0FC4" w:rsidP="005204CB">
      <w:pPr>
        <w:autoSpaceDE w:val="0"/>
        <w:autoSpaceDN w:val="0"/>
        <w:adjustRightInd w:val="0"/>
        <w:spacing w:after="232" w:line="276" w:lineRule="auto"/>
        <w:jc w:val="center"/>
        <w:rPr>
          <w:rFonts w:ascii="Times New Roman" w:eastAsia="MS Mincho" w:hAnsi="Times New Roman" w:cs="Times New Roman"/>
          <w:b/>
          <w:bCs/>
          <w:color w:val="000000"/>
          <w:sz w:val="26"/>
          <w:szCs w:val="26"/>
          <w:lang w:eastAsia="zh-CN"/>
        </w:rPr>
      </w:pPr>
    </w:p>
    <w:p w14:paraId="439E4CE8" w14:textId="77777777" w:rsidR="0014635D" w:rsidRDefault="0014635D" w:rsidP="005204CB">
      <w:pPr>
        <w:keepNext/>
        <w:keepLines/>
        <w:suppressAutoHyphens/>
        <w:spacing w:after="120" w:line="276" w:lineRule="auto"/>
        <w:jc w:val="both"/>
        <w:rPr>
          <w:rFonts w:ascii="Trebuchet MS" w:eastAsia="MS Mincho" w:hAnsi="Trebuchet MS" w:cs="Calibri"/>
          <w:b/>
          <w:lang w:eastAsia="ar-SA"/>
        </w:rPr>
      </w:pPr>
    </w:p>
    <w:p w14:paraId="7160DA4A" w14:textId="2BB875DD" w:rsidR="00425E7D" w:rsidRDefault="00425E7D" w:rsidP="005204CB">
      <w:pPr>
        <w:keepNext/>
        <w:keepLines/>
        <w:suppressAutoHyphens/>
        <w:spacing w:after="120" w:line="276" w:lineRule="auto"/>
        <w:jc w:val="both"/>
        <w:rPr>
          <w:rFonts w:ascii="Trebuchet MS" w:eastAsia="MS Mincho" w:hAnsi="Trebuchet MS" w:cs="Calibri"/>
          <w:b/>
          <w:lang w:eastAsia="ar-SA"/>
        </w:rPr>
      </w:pPr>
      <w:r w:rsidRPr="00425E7D">
        <w:rPr>
          <w:rFonts w:ascii="Trebuchet MS" w:eastAsia="MS Mincho" w:hAnsi="Trebuchet MS" w:cs="Calibri"/>
          <w:b/>
          <w:lang w:eastAsia="ar-SA"/>
        </w:rPr>
        <w:t>Totodată, analiza efectuată a evidențiat necesitatea clarificării criteriilor de încadrare prevăzute în anexa nr. 3, întrucât, în cazul scenariilor de accident cu frecvențe egale cu 10</w:t>
      </w:r>
      <w:r w:rsidRPr="00845C2A">
        <w:rPr>
          <w:rFonts w:ascii="Trebuchet MS" w:eastAsia="MS Mincho" w:hAnsi="Trebuchet MS" w:cs="Calibri"/>
          <w:b/>
          <w:vertAlign w:val="superscript"/>
          <w:lang w:eastAsia="ar-SA"/>
        </w:rPr>
        <w:t>-5</w:t>
      </w:r>
      <w:r w:rsidRPr="00425E7D">
        <w:rPr>
          <w:rFonts w:ascii="Trebuchet MS" w:eastAsia="MS Mincho" w:hAnsi="Trebuchet MS" w:cs="Calibri"/>
          <w:b/>
          <w:lang w:eastAsia="ar-SA"/>
        </w:rPr>
        <w:t xml:space="preserve"> sau 10</w:t>
      </w:r>
      <w:r w:rsidRPr="00845C2A">
        <w:rPr>
          <w:rFonts w:ascii="Trebuchet MS" w:eastAsia="MS Mincho" w:hAnsi="Trebuchet MS" w:cs="Calibri"/>
          <w:b/>
          <w:vertAlign w:val="superscript"/>
          <w:lang w:eastAsia="ar-SA"/>
        </w:rPr>
        <w:t>-4</w:t>
      </w:r>
      <w:r w:rsidRPr="00425E7D">
        <w:rPr>
          <w:rFonts w:ascii="Trebuchet MS" w:eastAsia="MS Mincho" w:hAnsi="Trebuchet MS" w:cs="Calibri"/>
          <w:b/>
          <w:lang w:eastAsia="ar-SA"/>
        </w:rPr>
        <w:t xml:space="preserve"> cazuri/an, formularea actuală permite încadrarea acestora pe mai multe </w:t>
      </w:r>
      <w:r w:rsidR="00845C2A">
        <w:rPr>
          <w:rFonts w:ascii="Trebuchet MS" w:eastAsia="MS Mincho" w:hAnsi="Trebuchet MS" w:cs="Calibri"/>
          <w:b/>
          <w:lang w:eastAsia="ar-SA"/>
        </w:rPr>
        <w:t>zone de impact</w:t>
      </w:r>
      <w:r w:rsidRPr="00425E7D">
        <w:rPr>
          <w:rFonts w:ascii="Trebuchet MS" w:eastAsia="MS Mincho" w:hAnsi="Trebuchet MS" w:cs="Calibri"/>
          <w:b/>
          <w:lang w:eastAsia="ar-SA"/>
        </w:rPr>
        <w:t xml:space="preserve"> de compatibilitate teritorială. Această situație este de natură să genereze interpretări și aplicări neunitare ale metodologiei.</w:t>
      </w:r>
    </w:p>
    <w:p w14:paraId="1F93B669" w14:textId="137FA456" w:rsidR="005204CB" w:rsidRDefault="005204CB" w:rsidP="005204CB">
      <w:pPr>
        <w:keepNext/>
        <w:keepLines/>
        <w:suppressAutoHyphens/>
        <w:spacing w:after="120" w:line="276" w:lineRule="auto"/>
        <w:jc w:val="both"/>
        <w:rPr>
          <w:rFonts w:ascii="Trebuchet MS" w:eastAsia="MS Mincho" w:hAnsi="Trebuchet MS" w:cs="Calibri"/>
          <w:lang w:eastAsia="ar-SA"/>
        </w:rPr>
      </w:pPr>
      <w:r>
        <w:rPr>
          <w:rFonts w:ascii="Trebuchet MS" w:eastAsia="MS Mincho" w:hAnsi="Trebuchet MS" w:cs="Calibri"/>
          <w:lang w:eastAsia="ar-SA"/>
        </w:rPr>
        <w:t>Având în vedere cele de mai sus,</w:t>
      </w:r>
      <w:r w:rsidRPr="00EC1F92">
        <w:rPr>
          <w:rFonts w:ascii="Trebuchet MS" w:eastAsia="MS Mincho" w:hAnsi="Trebuchet MS" w:cs="Calibri"/>
          <w:lang w:eastAsia="ar-SA"/>
        </w:rPr>
        <w:t xml:space="preserve"> se </w:t>
      </w:r>
      <w:r>
        <w:rPr>
          <w:rFonts w:ascii="Trebuchet MS" w:eastAsia="MS Mincho" w:hAnsi="Trebuchet MS" w:cs="Calibri"/>
          <w:lang w:eastAsia="ar-SA"/>
        </w:rPr>
        <w:t>propune</w:t>
      </w:r>
      <w:r w:rsidRPr="00EC1F92">
        <w:rPr>
          <w:rFonts w:ascii="Trebuchet MS" w:eastAsia="MS Mincho" w:hAnsi="Trebuchet MS" w:cs="Calibri"/>
          <w:lang w:eastAsia="ar-SA"/>
        </w:rPr>
        <w:t xml:space="preserve"> modificarea </w:t>
      </w:r>
      <w:r w:rsidR="00845C2A">
        <w:rPr>
          <w:rFonts w:ascii="Trebuchet MS" w:eastAsia="MS Mincho" w:hAnsi="Trebuchet MS" w:cs="Calibri"/>
          <w:lang w:eastAsia="ar-SA"/>
        </w:rPr>
        <w:t xml:space="preserve">și </w:t>
      </w:r>
      <w:r w:rsidRPr="00CB1441">
        <w:rPr>
          <w:rFonts w:ascii="Trebuchet MS" w:eastAsia="MS Mincho" w:hAnsi="Trebuchet MS" w:cs="Calibri"/>
          <w:lang w:eastAsia="ar-SA"/>
        </w:rPr>
        <w:t xml:space="preserve">înlocuirea anexei nr. 3 – </w:t>
      </w:r>
      <w:r w:rsidRPr="00845C2A">
        <w:rPr>
          <w:rFonts w:ascii="Trebuchet MS" w:eastAsia="MS Mincho" w:hAnsi="Trebuchet MS" w:cs="Calibri"/>
          <w:i/>
          <w:iCs/>
          <w:lang w:eastAsia="ar-SA"/>
        </w:rPr>
        <w:t>Matricele de compatibilitate teritorială</w:t>
      </w:r>
      <w:r w:rsidR="00845C2A">
        <w:rPr>
          <w:rFonts w:ascii="Trebuchet MS" w:eastAsia="MS Mincho" w:hAnsi="Trebuchet MS" w:cs="Calibri"/>
          <w:i/>
          <w:iCs/>
          <w:lang w:eastAsia="ar-SA"/>
        </w:rPr>
        <w:t xml:space="preserve"> </w:t>
      </w:r>
      <w:r w:rsidR="00845C2A">
        <w:rPr>
          <w:rFonts w:ascii="Trebuchet MS" w:eastAsia="MS Mincho" w:hAnsi="Trebuchet MS" w:cs="Calibri"/>
          <w:lang w:eastAsia="ar-SA"/>
        </w:rPr>
        <w:t xml:space="preserve">la </w:t>
      </w:r>
      <w:r w:rsidR="00845C2A" w:rsidRPr="00845C2A">
        <w:rPr>
          <w:rFonts w:ascii="Trebuchet MS" w:eastAsia="MS Mincho" w:hAnsi="Trebuchet MS" w:cs="Calibri"/>
          <w:lang w:eastAsia="ar-SA"/>
        </w:rPr>
        <w:t>Metodologie</w:t>
      </w:r>
      <w:r w:rsidRPr="00CB1441">
        <w:rPr>
          <w:rFonts w:ascii="Trebuchet MS" w:eastAsia="MS Mincho" w:hAnsi="Trebuchet MS" w:cs="Calibri"/>
          <w:lang w:eastAsia="ar-SA"/>
        </w:rPr>
        <w:t xml:space="preserve">, în scopul eliminării interpretărilor neunitare </w:t>
      </w:r>
      <w:r w:rsidR="00425E7D">
        <w:rPr>
          <w:rFonts w:ascii="Trebuchet MS" w:eastAsia="MS Mincho" w:hAnsi="Trebuchet MS" w:cs="Calibri"/>
          <w:lang w:eastAsia="ar-SA"/>
        </w:rPr>
        <w:t>astfel încât criteriile de încadrare a scenariilor de accident în funcție de frecvență să fie formulate fără echivoc și să permită o interpretare și aplicare unitară.</w:t>
      </w:r>
    </w:p>
    <w:p w14:paraId="00C9AB99" w14:textId="0E1B4576" w:rsidR="005204CB" w:rsidRDefault="005204CB" w:rsidP="005204CB">
      <w:pPr>
        <w:keepNext/>
        <w:keepLines/>
        <w:suppressAutoHyphens/>
        <w:spacing w:after="120" w:line="276" w:lineRule="auto"/>
        <w:jc w:val="both"/>
        <w:rPr>
          <w:rFonts w:ascii="Trebuchet MS" w:eastAsia="MS Mincho" w:hAnsi="Trebuchet MS" w:cs="Calibri"/>
          <w:lang w:eastAsia="ar-SA"/>
        </w:rPr>
      </w:pPr>
      <w:r w:rsidRPr="00BC042F">
        <w:rPr>
          <w:rFonts w:ascii="Trebuchet MS" w:eastAsia="MS Mincho" w:hAnsi="Trebuchet MS" w:cs="Calibri"/>
          <w:lang w:eastAsia="ar-SA"/>
        </w:rPr>
        <w:t xml:space="preserve">Prin noua anexă nr. 3, criteriile de încadrare a scenariilor de accident în </w:t>
      </w:r>
      <w:proofErr w:type="spellStart"/>
      <w:r w:rsidRPr="00BC042F">
        <w:rPr>
          <w:rFonts w:ascii="Trebuchet MS" w:eastAsia="MS Mincho" w:hAnsi="Trebuchet MS" w:cs="Calibri"/>
          <w:lang w:eastAsia="ar-SA"/>
        </w:rPr>
        <w:t>funcţie</w:t>
      </w:r>
      <w:proofErr w:type="spellEnd"/>
      <w:r w:rsidRPr="00BC042F">
        <w:rPr>
          <w:rFonts w:ascii="Trebuchet MS" w:eastAsia="MS Mincho" w:hAnsi="Trebuchet MS" w:cs="Calibri"/>
          <w:lang w:eastAsia="ar-SA"/>
        </w:rPr>
        <w:t xml:space="preserve"> de </w:t>
      </w:r>
      <w:proofErr w:type="spellStart"/>
      <w:r w:rsidRPr="00BC042F">
        <w:rPr>
          <w:rFonts w:ascii="Trebuchet MS" w:eastAsia="MS Mincho" w:hAnsi="Trebuchet MS" w:cs="Calibri"/>
          <w:lang w:eastAsia="ar-SA"/>
        </w:rPr>
        <w:t>frecvenţă</w:t>
      </w:r>
      <w:proofErr w:type="spellEnd"/>
      <w:r w:rsidRPr="00BC042F">
        <w:rPr>
          <w:rFonts w:ascii="Trebuchet MS" w:eastAsia="MS Mincho" w:hAnsi="Trebuchet MS" w:cs="Calibri"/>
          <w:lang w:eastAsia="ar-SA"/>
        </w:rPr>
        <w:t xml:space="preserve"> sunt reformulate astfel încât să fie exprimate fără echivoc </w:t>
      </w:r>
      <w:proofErr w:type="spellStart"/>
      <w:r w:rsidRPr="00BC042F">
        <w:rPr>
          <w:rFonts w:ascii="Trebuchet MS" w:eastAsia="MS Mincho" w:hAnsi="Trebuchet MS" w:cs="Calibri"/>
          <w:lang w:eastAsia="ar-SA"/>
        </w:rPr>
        <w:t>şi</w:t>
      </w:r>
      <w:proofErr w:type="spellEnd"/>
      <w:r w:rsidRPr="00BC042F">
        <w:rPr>
          <w:rFonts w:ascii="Trebuchet MS" w:eastAsia="MS Mincho" w:hAnsi="Trebuchet MS" w:cs="Calibri"/>
          <w:lang w:eastAsia="ar-SA"/>
        </w:rPr>
        <w:t xml:space="preserve"> să permită o interpretare </w:t>
      </w:r>
      <w:proofErr w:type="spellStart"/>
      <w:r w:rsidRPr="00BC042F">
        <w:rPr>
          <w:rFonts w:ascii="Trebuchet MS" w:eastAsia="MS Mincho" w:hAnsi="Trebuchet MS" w:cs="Calibri"/>
          <w:lang w:eastAsia="ar-SA"/>
        </w:rPr>
        <w:t>şi</w:t>
      </w:r>
      <w:proofErr w:type="spellEnd"/>
      <w:r w:rsidRPr="00BC042F">
        <w:rPr>
          <w:rFonts w:ascii="Trebuchet MS" w:eastAsia="MS Mincho" w:hAnsi="Trebuchet MS" w:cs="Calibri"/>
          <w:lang w:eastAsia="ar-SA"/>
        </w:rPr>
        <w:t xml:space="preserve"> aplicare unitară a Metodologiei</w:t>
      </w:r>
      <w:r w:rsidR="00845C2A">
        <w:rPr>
          <w:rFonts w:ascii="Trebuchet MS" w:eastAsia="MS Mincho" w:hAnsi="Trebuchet MS" w:cs="Calibri"/>
          <w:lang w:eastAsia="ar-SA"/>
        </w:rPr>
        <w:t>.</w:t>
      </w:r>
    </w:p>
    <w:p w14:paraId="224BC526" w14:textId="1FB31A67" w:rsidR="005204CB" w:rsidRDefault="006D0FB0" w:rsidP="005204CB">
      <w:pPr>
        <w:keepNext/>
        <w:keepLines/>
        <w:suppressAutoHyphens/>
        <w:spacing w:after="120" w:line="276" w:lineRule="auto"/>
        <w:jc w:val="both"/>
        <w:rPr>
          <w:rFonts w:ascii="Trebuchet MS" w:eastAsia="MS Mincho" w:hAnsi="Trebuchet MS" w:cs="Calibri"/>
          <w:lang w:eastAsia="ar-SA"/>
        </w:rPr>
      </w:pPr>
      <w:r>
        <w:rPr>
          <w:rFonts w:ascii="Trebuchet MS" w:eastAsia="MS Mincho" w:hAnsi="Trebuchet MS" w:cs="Calibri"/>
          <w:b/>
          <w:bCs/>
          <w:lang w:eastAsia="ar-SA"/>
        </w:rPr>
        <w:t>De asemenea, î</w:t>
      </w:r>
      <w:r w:rsidR="005204CB" w:rsidRPr="005204CB">
        <w:rPr>
          <w:rFonts w:ascii="Trebuchet MS" w:eastAsia="MS Mincho" w:hAnsi="Trebuchet MS" w:cs="Calibri"/>
          <w:b/>
          <w:bCs/>
          <w:lang w:eastAsia="ar-SA"/>
        </w:rPr>
        <w:t xml:space="preserve">n vederea delimitării mai clare a </w:t>
      </w:r>
      <w:r w:rsidR="008358D7">
        <w:rPr>
          <w:rFonts w:ascii="Trebuchet MS" w:eastAsia="MS Mincho" w:hAnsi="Trebuchet MS" w:cs="Calibri"/>
          <w:b/>
          <w:bCs/>
          <w:lang w:eastAsia="ar-SA"/>
        </w:rPr>
        <w:t xml:space="preserve">aplicării Metodologiei a fost analizată și modificarea dispozițiilor </w:t>
      </w:r>
      <w:r w:rsidR="008358D7" w:rsidRPr="005204CB">
        <w:rPr>
          <w:rFonts w:ascii="Trebuchet MS" w:eastAsia="MS Mincho" w:hAnsi="Trebuchet MS" w:cs="Calibri"/>
          <w:b/>
          <w:bCs/>
          <w:lang w:eastAsia="ar-SA"/>
        </w:rPr>
        <w:t>art. 2 lit. c)</w:t>
      </w:r>
      <w:r w:rsidR="00845C2A">
        <w:rPr>
          <w:rFonts w:ascii="Trebuchet MS" w:eastAsia="MS Mincho" w:hAnsi="Trebuchet MS" w:cs="Calibri"/>
          <w:b/>
          <w:bCs/>
          <w:lang w:eastAsia="ar-SA"/>
        </w:rPr>
        <w:t xml:space="preserve">, </w:t>
      </w:r>
      <w:r w:rsidR="00845C2A" w:rsidRPr="00845C2A">
        <w:rPr>
          <w:rFonts w:ascii="Trebuchet MS" w:eastAsia="MS Mincho" w:hAnsi="Trebuchet MS" w:cs="Calibri"/>
          <w:lang w:eastAsia="ar-SA"/>
        </w:rPr>
        <w:t>care</w:t>
      </w:r>
      <w:r w:rsidR="00845C2A">
        <w:rPr>
          <w:rFonts w:ascii="Trebuchet MS" w:eastAsia="MS Mincho" w:hAnsi="Trebuchet MS" w:cs="Calibri"/>
          <w:b/>
          <w:bCs/>
          <w:lang w:eastAsia="ar-SA"/>
        </w:rPr>
        <w:t xml:space="preserve"> </w:t>
      </w:r>
      <w:r w:rsidR="00845C2A" w:rsidRPr="005204CB">
        <w:rPr>
          <w:rFonts w:ascii="Trebuchet MS" w:eastAsia="MS Mincho" w:hAnsi="Trebuchet MS" w:cs="Calibri"/>
          <w:lang w:eastAsia="ar-SA"/>
        </w:rPr>
        <w:t xml:space="preserve">în </w:t>
      </w:r>
      <w:r w:rsidR="005204CB" w:rsidRPr="005204CB">
        <w:rPr>
          <w:rFonts w:ascii="Trebuchet MS" w:eastAsia="MS Mincho" w:hAnsi="Trebuchet MS" w:cs="Calibri"/>
          <w:lang w:eastAsia="ar-SA"/>
        </w:rPr>
        <w:t>forma actuală</w:t>
      </w:r>
      <w:r w:rsidR="00845C2A">
        <w:rPr>
          <w:rFonts w:ascii="Trebuchet MS" w:eastAsia="MS Mincho" w:hAnsi="Trebuchet MS" w:cs="Calibri"/>
          <w:lang w:eastAsia="ar-SA"/>
        </w:rPr>
        <w:t xml:space="preserve"> </w:t>
      </w:r>
      <w:r w:rsidR="005204CB" w:rsidRPr="005204CB">
        <w:rPr>
          <w:rFonts w:ascii="Trebuchet MS" w:eastAsia="MS Mincho" w:hAnsi="Trebuchet MS" w:cs="Calibri"/>
          <w:lang w:eastAsia="ar-SA"/>
        </w:rPr>
        <w:t>face referire exclusiv la construirea de noi obiective de investiții dezvoltate în vecinătatea amplasamentelor care se încadrează în prevederile Legii nr. 59/2016, fără a include în mod expres situațiile în care sunt propuse extinderi ale unor obiective de investiții existente.</w:t>
      </w:r>
    </w:p>
    <w:p w14:paraId="4FD7093D" w14:textId="77777777" w:rsidR="005204CB" w:rsidRPr="005204CB" w:rsidRDefault="005204CB" w:rsidP="005204CB">
      <w:pPr>
        <w:keepNext/>
        <w:keepLines/>
        <w:suppressAutoHyphens/>
        <w:spacing w:after="120" w:line="276" w:lineRule="auto"/>
        <w:jc w:val="both"/>
        <w:rPr>
          <w:rFonts w:ascii="Trebuchet MS" w:eastAsia="MS Mincho" w:hAnsi="Trebuchet MS" w:cs="Calibri"/>
          <w:b/>
          <w:bCs/>
          <w:lang w:eastAsia="ar-SA"/>
        </w:rPr>
      </w:pPr>
      <w:r w:rsidRPr="005204CB">
        <w:rPr>
          <w:rFonts w:ascii="Trebuchet MS" w:eastAsia="MS Mincho" w:hAnsi="Trebuchet MS" w:cs="Calibri"/>
          <w:lang w:eastAsia="ar-SA"/>
        </w:rPr>
        <w:t xml:space="preserve">Întrucât asemenea intervenții pot, în egală măsură, genera ori crește riscul sau pot agrava consecințele unui accident major, </w:t>
      </w:r>
      <w:r w:rsidRPr="005204CB">
        <w:rPr>
          <w:rFonts w:ascii="Trebuchet MS" w:eastAsia="MS Mincho" w:hAnsi="Trebuchet MS" w:cs="Calibri"/>
          <w:b/>
          <w:bCs/>
          <w:lang w:eastAsia="ar-SA"/>
        </w:rPr>
        <w:t>se propune completarea dispozițiilor art. 2 lit. c), astfel încât metodologia să se aplice în mod expres atât construirii de noi obiective de investiții, cât și extinderii celor existente.</w:t>
      </w:r>
    </w:p>
    <w:p w14:paraId="1BB5E349" w14:textId="502C3643" w:rsidR="006801F6" w:rsidRDefault="006801F6" w:rsidP="005204CB">
      <w:pPr>
        <w:keepNext/>
        <w:keepLines/>
        <w:suppressAutoHyphens/>
        <w:spacing w:after="120" w:line="276" w:lineRule="auto"/>
        <w:jc w:val="both"/>
        <w:rPr>
          <w:rFonts w:ascii="Trebuchet MS" w:eastAsia="MS Mincho" w:hAnsi="Trebuchet MS" w:cs="Calibri"/>
          <w:b/>
          <w:lang w:eastAsia="ar-SA"/>
        </w:rPr>
      </w:pPr>
      <w:r w:rsidRPr="001E05CA">
        <w:rPr>
          <w:rFonts w:ascii="Trebuchet MS" w:eastAsia="MS Mincho" w:hAnsi="Trebuchet MS" w:cs="Calibri"/>
          <w:bCs/>
          <w:lang w:eastAsia="ar-SA"/>
        </w:rPr>
        <w:t xml:space="preserve">Având în vedere aspectele </w:t>
      </w:r>
      <w:r w:rsidR="004F56B0">
        <w:rPr>
          <w:rFonts w:ascii="Trebuchet MS" w:eastAsia="MS Mincho" w:hAnsi="Trebuchet MS" w:cs="Calibri"/>
          <w:bCs/>
          <w:lang w:eastAsia="ar-SA"/>
        </w:rPr>
        <w:t>prezentate</w:t>
      </w:r>
      <w:r w:rsidRPr="001E05CA">
        <w:rPr>
          <w:rFonts w:ascii="Trebuchet MS" w:eastAsia="MS Mincho" w:hAnsi="Trebuchet MS" w:cs="Calibri"/>
          <w:bCs/>
          <w:lang w:eastAsia="ar-SA"/>
        </w:rPr>
        <w:t xml:space="preserve">, </w:t>
      </w:r>
      <w:r w:rsidR="0050795C">
        <w:rPr>
          <w:rFonts w:ascii="Trebuchet MS" w:eastAsia="MS Mincho" w:hAnsi="Trebuchet MS" w:cs="Calibri"/>
          <w:bCs/>
          <w:lang w:eastAsia="ar-SA"/>
        </w:rPr>
        <w:t xml:space="preserve">vă rugăm să fiți de acord cu aprobarea </w:t>
      </w:r>
      <w:r w:rsidRPr="0050795C">
        <w:rPr>
          <w:rFonts w:ascii="Trebuchet MS" w:eastAsia="MS Mincho" w:hAnsi="Trebuchet MS" w:cs="Calibri"/>
          <w:b/>
          <w:i/>
          <w:iCs/>
          <w:lang w:eastAsia="ar-SA"/>
        </w:rPr>
        <w:t>proiect</w:t>
      </w:r>
      <w:r w:rsidR="004F56B0">
        <w:rPr>
          <w:rFonts w:ascii="Trebuchet MS" w:eastAsia="MS Mincho" w:hAnsi="Trebuchet MS" w:cs="Calibri"/>
          <w:b/>
          <w:i/>
          <w:iCs/>
          <w:lang w:eastAsia="ar-SA"/>
        </w:rPr>
        <w:t>ului</w:t>
      </w:r>
      <w:r w:rsidRPr="0050795C">
        <w:rPr>
          <w:rFonts w:ascii="Trebuchet MS" w:eastAsia="MS Mincho" w:hAnsi="Trebuchet MS" w:cs="Calibri"/>
          <w:b/>
          <w:i/>
          <w:iCs/>
          <w:lang w:eastAsia="ar-SA"/>
        </w:rPr>
        <w:t xml:space="preserve"> </w:t>
      </w:r>
      <w:r w:rsidR="00845C2A">
        <w:rPr>
          <w:rFonts w:ascii="Trebuchet MS" w:eastAsia="MS Mincho" w:hAnsi="Trebuchet MS" w:cs="Calibri"/>
          <w:b/>
          <w:i/>
          <w:iCs/>
          <w:lang w:eastAsia="ar-SA"/>
        </w:rPr>
        <w:t xml:space="preserve">de </w:t>
      </w:r>
      <w:r w:rsidRPr="0050795C">
        <w:rPr>
          <w:rFonts w:ascii="Trebuchet MS" w:eastAsia="MS Mincho" w:hAnsi="Trebuchet MS" w:cs="Calibri"/>
          <w:b/>
          <w:i/>
          <w:iCs/>
          <w:lang w:eastAsia="ar-SA"/>
        </w:rPr>
        <w:t>Ordin</w:t>
      </w:r>
      <w:r w:rsidR="00845C2A">
        <w:rPr>
          <w:rFonts w:ascii="Trebuchet MS" w:eastAsia="MS Mincho" w:hAnsi="Trebuchet MS" w:cs="Calibri"/>
          <w:b/>
          <w:i/>
          <w:iCs/>
          <w:lang w:eastAsia="ar-SA"/>
        </w:rPr>
        <w:t xml:space="preserve"> </w:t>
      </w:r>
      <w:r w:rsidRPr="0050795C">
        <w:rPr>
          <w:rFonts w:ascii="Trebuchet MS" w:eastAsia="MS Mincho" w:hAnsi="Trebuchet MS" w:cs="Calibri"/>
          <w:b/>
          <w:i/>
          <w:iCs/>
          <w:lang w:eastAsia="ar-SA"/>
        </w:rPr>
        <w:t xml:space="preserve">pentru modificarea Metodologiei pentru stabilirea </w:t>
      </w:r>
      <w:proofErr w:type="spellStart"/>
      <w:r w:rsidRPr="0050795C">
        <w:rPr>
          <w:rFonts w:ascii="Trebuchet MS" w:eastAsia="MS Mincho" w:hAnsi="Trebuchet MS" w:cs="Calibri"/>
          <w:b/>
          <w:i/>
          <w:iCs/>
          <w:lang w:eastAsia="ar-SA"/>
        </w:rPr>
        <w:t>distanţelor</w:t>
      </w:r>
      <w:proofErr w:type="spellEnd"/>
      <w:r w:rsidRPr="0050795C">
        <w:rPr>
          <w:rFonts w:ascii="Trebuchet MS" w:eastAsia="MS Mincho" w:hAnsi="Trebuchet MS" w:cs="Calibri"/>
          <w:b/>
          <w:i/>
          <w:iCs/>
          <w:lang w:eastAsia="ar-SA"/>
        </w:rPr>
        <w:t xml:space="preserve"> adecvate față de sursele potențiale de risc din cadrul amplasamentelor care se încadrează în prevederile Legii nr. 59/2016 privind controlul asupra pericolelor de accident major în care sunt implicate </w:t>
      </w:r>
      <w:proofErr w:type="spellStart"/>
      <w:r w:rsidRPr="0050795C">
        <w:rPr>
          <w:rFonts w:ascii="Trebuchet MS" w:eastAsia="MS Mincho" w:hAnsi="Trebuchet MS" w:cs="Calibri"/>
          <w:b/>
          <w:i/>
          <w:iCs/>
          <w:lang w:eastAsia="ar-SA"/>
        </w:rPr>
        <w:t>substanţe</w:t>
      </w:r>
      <w:proofErr w:type="spellEnd"/>
      <w:r w:rsidRPr="0050795C">
        <w:rPr>
          <w:rFonts w:ascii="Trebuchet MS" w:eastAsia="MS Mincho" w:hAnsi="Trebuchet MS" w:cs="Calibri"/>
          <w:b/>
          <w:i/>
          <w:iCs/>
          <w:lang w:eastAsia="ar-SA"/>
        </w:rPr>
        <w:t xml:space="preserve"> periculoase în </w:t>
      </w:r>
      <w:proofErr w:type="spellStart"/>
      <w:r w:rsidRPr="0050795C">
        <w:rPr>
          <w:rFonts w:ascii="Trebuchet MS" w:eastAsia="MS Mincho" w:hAnsi="Trebuchet MS" w:cs="Calibri"/>
          <w:b/>
          <w:i/>
          <w:iCs/>
          <w:lang w:eastAsia="ar-SA"/>
        </w:rPr>
        <w:t>activităţile</w:t>
      </w:r>
      <w:proofErr w:type="spellEnd"/>
      <w:r w:rsidRPr="0050795C">
        <w:rPr>
          <w:rFonts w:ascii="Trebuchet MS" w:eastAsia="MS Mincho" w:hAnsi="Trebuchet MS" w:cs="Calibri"/>
          <w:b/>
          <w:i/>
          <w:iCs/>
          <w:lang w:eastAsia="ar-SA"/>
        </w:rPr>
        <w:t xml:space="preserve"> de amenajare</w:t>
      </w:r>
      <w:r w:rsidR="00615281" w:rsidRPr="0050795C">
        <w:rPr>
          <w:rFonts w:ascii="Trebuchet MS" w:eastAsia="MS Mincho" w:hAnsi="Trebuchet MS" w:cs="Calibri"/>
          <w:b/>
          <w:i/>
          <w:iCs/>
          <w:lang w:eastAsia="ar-SA"/>
        </w:rPr>
        <w:t xml:space="preserve"> </w:t>
      </w:r>
      <w:r w:rsidRPr="0050795C">
        <w:rPr>
          <w:rFonts w:ascii="Trebuchet MS" w:eastAsia="MS Mincho" w:hAnsi="Trebuchet MS" w:cs="Calibri"/>
          <w:b/>
          <w:i/>
          <w:iCs/>
          <w:lang w:eastAsia="ar-SA"/>
        </w:rPr>
        <w:t xml:space="preserve">a teritoriului </w:t>
      </w:r>
      <w:proofErr w:type="spellStart"/>
      <w:r w:rsidRPr="0050795C">
        <w:rPr>
          <w:rFonts w:ascii="Trebuchet MS" w:eastAsia="MS Mincho" w:hAnsi="Trebuchet MS" w:cs="Calibri"/>
          <w:b/>
          <w:i/>
          <w:iCs/>
          <w:lang w:eastAsia="ar-SA"/>
        </w:rPr>
        <w:t>şi</w:t>
      </w:r>
      <w:proofErr w:type="spellEnd"/>
      <w:r w:rsidRPr="0050795C">
        <w:rPr>
          <w:rFonts w:ascii="Trebuchet MS" w:eastAsia="MS Mincho" w:hAnsi="Trebuchet MS" w:cs="Calibri"/>
          <w:b/>
          <w:i/>
          <w:iCs/>
          <w:lang w:eastAsia="ar-SA"/>
        </w:rPr>
        <w:t xml:space="preserve"> urbanism, aprobată prin Ordinul viceprim-ministrului, ministrul dezvoltării regionale, administrației publice și fondurilor europene, al viceprim-ministrului, ministrul mediului și al ministrului afacerilor interne nr. 3710/1212/99/2017</w:t>
      </w:r>
      <w:r w:rsidRPr="001E05CA">
        <w:rPr>
          <w:rFonts w:ascii="Trebuchet MS" w:eastAsia="MS Mincho" w:hAnsi="Trebuchet MS" w:cs="Calibri"/>
          <w:b/>
          <w:lang w:eastAsia="ar-SA"/>
        </w:rPr>
        <w:t xml:space="preserve">. </w:t>
      </w:r>
    </w:p>
    <w:p w14:paraId="21420AAA" w14:textId="09F7C7FF" w:rsidR="00C7055D" w:rsidRPr="005C6DC7" w:rsidRDefault="00C7055D" w:rsidP="005204CB">
      <w:pPr>
        <w:keepNext/>
        <w:keepLines/>
        <w:suppressAutoHyphens/>
        <w:spacing w:after="120" w:line="276" w:lineRule="auto"/>
        <w:jc w:val="both"/>
        <w:rPr>
          <w:rFonts w:ascii="Trebuchet MS" w:eastAsia="MS Mincho" w:hAnsi="Trebuchet MS" w:cs="Calibri"/>
          <w:b/>
          <w:lang w:eastAsia="ar-SA"/>
        </w:rPr>
      </w:pPr>
    </w:p>
    <w:p w14:paraId="65F9F5CA" w14:textId="4D24AC74" w:rsidR="00615281" w:rsidRPr="00272EBC" w:rsidRDefault="00615281" w:rsidP="005204CB">
      <w:pPr>
        <w:spacing w:before="120" w:after="120" w:line="276" w:lineRule="auto"/>
        <w:jc w:val="center"/>
        <w:rPr>
          <w:rFonts w:ascii="Times New Roman" w:eastAsia="MS Mincho" w:hAnsi="Times New Roman" w:cs="Times New Roman"/>
          <w:b/>
          <w:sz w:val="26"/>
          <w:szCs w:val="26"/>
        </w:rPr>
      </w:pPr>
      <w:r w:rsidRPr="00272EBC">
        <w:rPr>
          <w:rFonts w:ascii="Times New Roman" w:eastAsia="MS Mincho" w:hAnsi="Times New Roman" w:cs="Times New Roman"/>
          <w:b/>
          <w:sz w:val="26"/>
          <w:szCs w:val="26"/>
        </w:rPr>
        <w:t>DIRECTOR GENERAL</w:t>
      </w:r>
    </w:p>
    <w:p w14:paraId="4157228B" w14:textId="77777777" w:rsidR="00615281" w:rsidRPr="00272EBC" w:rsidRDefault="00615281" w:rsidP="005204CB">
      <w:pPr>
        <w:spacing w:before="120" w:after="120" w:line="276" w:lineRule="auto"/>
        <w:jc w:val="center"/>
        <w:rPr>
          <w:rFonts w:ascii="Times New Roman" w:eastAsia="MS Mincho" w:hAnsi="Times New Roman" w:cs="Times New Roman"/>
          <w:b/>
          <w:sz w:val="26"/>
          <w:szCs w:val="26"/>
        </w:rPr>
      </w:pPr>
      <w:r w:rsidRPr="00272EBC">
        <w:rPr>
          <w:rFonts w:ascii="Times New Roman" w:eastAsia="MS Mincho" w:hAnsi="Times New Roman" w:cs="Times New Roman"/>
          <w:b/>
          <w:sz w:val="26"/>
          <w:szCs w:val="26"/>
        </w:rPr>
        <w:t>Dorina MOCANU</w:t>
      </w:r>
    </w:p>
    <w:p w14:paraId="507FC8CA" w14:textId="77777777" w:rsidR="00C7055D" w:rsidRPr="005C6DC7" w:rsidRDefault="00C7055D" w:rsidP="005204CB">
      <w:pPr>
        <w:keepNext/>
        <w:keepLines/>
        <w:suppressAutoHyphens/>
        <w:spacing w:after="120" w:line="276" w:lineRule="auto"/>
        <w:jc w:val="both"/>
        <w:rPr>
          <w:rFonts w:ascii="Trebuchet MS" w:eastAsia="MS Mincho" w:hAnsi="Trebuchet MS" w:cs="Calibri"/>
          <w:lang w:eastAsia="ar-SA"/>
        </w:rPr>
      </w:pPr>
    </w:p>
    <w:p w14:paraId="59ACB33C" w14:textId="77777777" w:rsidR="005C0FC4" w:rsidRDefault="005C0FC4" w:rsidP="005204CB">
      <w:pPr>
        <w:spacing w:line="276" w:lineRule="auto"/>
        <w:rPr>
          <w:lang w:val="en-US"/>
        </w:rPr>
      </w:pPr>
    </w:p>
    <w:p w14:paraId="6F753D4B" w14:textId="77777777" w:rsidR="00B97998" w:rsidRDefault="00B97998" w:rsidP="005204CB">
      <w:pPr>
        <w:spacing w:line="276" w:lineRule="auto"/>
        <w:rPr>
          <w:lang w:val="en-US"/>
        </w:rPr>
      </w:pPr>
    </w:p>
    <w:p w14:paraId="6D7887F7" w14:textId="77777777" w:rsidR="0050795C" w:rsidRDefault="0050795C" w:rsidP="005204CB">
      <w:pPr>
        <w:spacing w:line="276" w:lineRule="auto"/>
        <w:rPr>
          <w:lang w:val="en-US"/>
        </w:rPr>
      </w:pPr>
    </w:p>
    <w:p w14:paraId="3F8C401F" w14:textId="77777777" w:rsidR="00B97998" w:rsidRPr="005C0FC4" w:rsidRDefault="00B97998" w:rsidP="005204CB">
      <w:pPr>
        <w:spacing w:line="276" w:lineRule="auto"/>
        <w:rPr>
          <w:lang w:val="en-US"/>
        </w:rPr>
      </w:pPr>
    </w:p>
    <w:sectPr w:rsidR="00B97998" w:rsidRPr="005C0FC4" w:rsidSect="005B04C9">
      <w:headerReference w:type="even" r:id="rId7"/>
      <w:headerReference w:type="default" r:id="rId8"/>
      <w:headerReference w:type="first" r:id="rId9"/>
      <w:pgSz w:w="12240" w:h="15840"/>
      <w:pgMar w:top="1440" w:right="758" w:bottom="568" w:left="144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AFB66" w14:textId="77777777" w:rsidR="00106FB3" w:rsidRDefault="00106FB3" w:rsidP="005C0FC4">
      <w:pPr>
        <w:spacing w:after="0" w:line="240" w:lineRule="auto"/>
      </w:pPr>
      <w:r>
        <w:separator/>
      </w:r>
    </w:p>
  </w:endnote>
  <w:endnote w:type="continuationSeparator" w:id="0">
    <w:p w14:paraId="0BC16EC2" w14:textId="77777777" w:rsidR="00106FB3" w:rsidRDefault="00106FB3" w:rsidP="005C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0CB3" w14:textId="77777777" w:rsidR="00106FB3" w:rsidRDefault="00106FB3" w:rsidP="005C0FC4">
      <w:pPr>
        <w:spacing w:after="0" w:line="240" w:lineRule="auto"/>
      </w:pPr>
      <w:r>
        <w:separator/>
      </w:r>
    </w:p>
  </w:footnote>
  <w:footnote w:type="continuationSeparator" w:id="0">
    <w:p w14:paraId="638DE228" w14:textId="77777777" w:rsidR="00106FB3" w:rsidRDefault="00106FB3" w:rsidP="005C0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04D9" w14:textId="757C18DF" w:rsidR="005C0FC4" w:rsidRDefault="005C0FC4">
    <w:pPr>
      <w:pStyle w:val="Header"/>
    </w:pPr>
    <w:r w:rsidRPr="00272EBC">
      <w:rPr>
        <w:rFonts w:ascii="Calibri" w:eastAsia="Times New Roman" w:hAnsi="Calibri" w:cs="Times New Roman"/>
        <w:noProof/>
      </w:rPr>
      <w:drawing>
        <wp:inline distT="0" distB="0" distL="0" distR="0" wp14:anchorId="34D311E8" wp14:editId="2062C487">
          <wp:extent cx="3237230" cy="902335"/>
          <wp:effectExtent l="0" t="0" r="1270" b="0"/>
          <wp:docPr id="864978844" name="Picture 864978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902335"/>
                  </a:xfrm>
                  <a:prstGeom prst="rect">
                    <a:avLst/>
                  </a:prstGeom>
                  <a:noFill/>
                </pic:spPr>
              </pic:pic>
            </a:graphicData>
          </a:graphic>
        </wp:inline>
      </w:drawing>
    </w:r>
  </w:p>
  <w:p w14:paraId="067B00AF" w14:textId="77777777" w:rsidR="005C0FC4" w:rsidRDefault="005C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D128" w14:textId="3E8C80F6" w:rsidR="005C0FC4" w:rsidRDefault="005C0FC4">
    <w:pPr>
      <w:pStyle w:val="Header"/>
    </w:pPr>
    <w:r w:rsidRPr="00272EBC">
      <w:rPr>
        <w:rFonts w:ascii="Calibri" w:eastAsia="Times New Roman" w:hAnsi="Calibri" w:cs="Times New Roman"/>
        <w:noProof/>
      </w:rPr>
      <w:drawing>
        <wp:inline distT="0" distB="0" distL="0" distR="0" wp14:anchorId="2F3C2599" wp14:editId="317B3C52">
          <wp:extent cx="3237230" cy="902335"/>
          <wp:effectExtent l="0" t="0" r="1270" b="0"/>
          <wp:docPr id="996277224" name="Picture 99627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902335"/>
                  </a:xfrm>
                  <a:prstGeom prst="rect">
                    <a:avLst/>
                  </a:prstGeom>
                  <a:noFill/>
                </pic:spPr>
              </pic:pic>
            </a:graphicData>
          </a:graphic>
        </wp:inline>
      </w:drawing>
    </w:r>
  </w:p>
  <w:p w14:paraId="1CA61EA2" w14:textId="77777777" w:rsidR="005C0FC4" w:rsidRDefault="005C0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E505" w14:textId="66E584C6" w:rsidR="005C0FC4" w:rsidRDefault="005C0FC4">
    <w:pPr>
      <w:pStyle w:val="Header"/>
    </w:pPr>
    <w:r w:rsidRPr="00272EBC">
      <w:rPr>
        <w:rFonts w:ascii="Calibri" w:eastAsia="Times New Roman" w:hAnsi="Calibri" w:cs="Times New Roman"/>
        <w:noProof/>
      </w:rPr>
      <w:drawing>
        <wp:inline distT="0" distB="0" distL="0" distR="0" wp14:anchorId="0E2380F7" wp14:editId="03173FD4">
          <wp:extent cx="3237230" cy="902335"/>
          <wp:effectExtent l="0" t="0" r="1270" b="0"/>
          <wp:docPr id="1607501114" name="Picture 160750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902335"/>
                  </a:xfrm>
                  <a:prstGeom prst="rect">
                    <a:avLst/>
                  </a:prstGeom>
                  <a:noFill/>
                </pic:spPr>
              </pic:pic>
            </a:graphicData>
          </a:graphic>
        </wp:inline>
      </w:drawing>
    </w:r>
  </w:p>
  <w:p w14:paraId="5098C4C4" w14:textId="39E3F76E" w:rsidR="005C0FC4" w:rsidRPr="00272EBC" w:rsidRDefault="005C0FC4" w:rsidP="005C0FC4">
    <w:pPr>
      <w:spacing w:after="0" w:line="360" w:lineRule="auto"/>
      <w:rPr>
        <w:rFonts w:ascii="Times New Roman" w:eastAsia="MS Mincho" w:hAnsi="Times New Roman" w:cs="Times New Roman"/>
        <w:sz w:val="24"/>
        <w:szCs w:val="24"/>
      </w:rPr>
    </w:pPr>
    <w:r w:rsidRPr="00272EBC">
      <w:rPr>
        <w:rFonts w:ascii="Times New Roman" w:eastAsia="MS Mincho" w:hAnsi="Times New Roman" w:cs="Times New Roman"/>
        <w:color w:val="000000"/>
        <w:sz w:val="24"/>
        <w:szCs w:val="24"/>
      </w:rPr>
      <w:t xml:space="preserve">Direcția Generală Evaluare Impact, Controlul Poluării </w:t>
    </w:r>
    <w:r w:rsidR="003045F8" w:rsidRPr="00272EBC">
      <w:rPr>
        <w:rFonts w:ascii="Times New Roman" w:eastAsia="MS Mincho" w:hAnsi="Times New Roman" w:cs="Times New Roman"/>
        <w:color w:val="000000"/>
        <w:sz w:val="24"/>
        <w:szCs w:val="24"/>
      </w:rPr>
      <w:t xml:space="preserve">și </w:t>
    </w:r>
    <w:r w:rsidRPr="00272EBC">
      <w:rPr>
        <w:rFonts w:ascii="Times New Roman" w:eastAsia="MS Mincho" w:hAnsi="Times New Roman" w:cs="Times New Roman"/>
        <w:color w:val="000000"/>
        <w:sz w:val="24"/>
        <w:szCs w:val="24"/>
      </w:rPr>
      <w:t>Schimbări Climatice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507F0"/>
    <w:multiLevelType w:val="hybridMultilevel"/>
    <w:tmpl w:val="57F4962A"/>
    <w:lvl w:ilvl="0" w:tplc="2D823EA0">
      <w:numFmt w:val="bullet"/>
      <w:lvlText w:val="-"/>
      <w:lvlJc w:val="left"/>
      <w:pPr>
        <w:ind w:left="1004" w:hanging="360"/>
      </w:pPr>
      <w:rPr>
        <w:rFonts w:ascii="Calibri" w:eastAsiaTheme="minorHAnsi" w:hAnsi="Calibri" w:cs="Calibri" w:hint="default"/>
        <w:sz w:val="22"/>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 w15:restartNumberingAfterBreak="0">
    <w:nsid w:val="2E971588"/>
    <w:multiLevelType w:val="multilevel"/>
    <w:tmpl w:val="599E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3856683">
    <w:abstractNumId w:val="1"/>
  </w:num>
  <w:num w:numId="2" w16cid:durableId="15395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554"/>
    <w:rsid w:val="000B5CEF"/>
    <w:rsid w:val="00106FB3"/>
    <w:rsid w:val="0014635D"/>
    <w:rsid w:val="00215554"/>
    <w:rsid w:val="00221369"/>
    <w:rsid w:val="002326BD"/>
    <w:rsid w:val="002543DE"/>
    <w:rsid w:val="002647C3"/>
    <w:rsid w:val="002A3701"/>
    <w:rsid w:val="002D4B8E"/>
    <w:rsid w:val="003045F8"/>
    <w:rsid w:val="00425E7D"/>
    <w:rsid w:val="004F56B0"/>
    <w:rsid w:val="0050795C"/>
    <w:rsid w:val="00510FDB"/>
    <w:rsid w:val="005204CB"/>
    <w:rsid w:val="005B04C9"/>
    <w:rsid w:val="005C0FC4"/>
    <w:rsid w:val="005C74F1"/>
    <w:rsid w:val="00615281"/>
    <w:rsid w:val="006801F6"/>
    <w:rsid w:val="00693243"/>
    <w:rsid w:val="006D0FB0"/>
    <w:rsid w:val="007D7AF6"/>
    <w:rsid w:val="0080097A"/>
    <w:rsid w:val="008358D7"/>
    <w:rsid w:val="00845C2A"/>
    <w:rsid w:val="008B4BB5"/>
    <w:rsid w:val="009E3330"/>
    <w:rsid w:val="00A267A9"/>
    <w:rsid w:val="00A523BE"/>
    <w:rsid w:val="00A83314"/>
    <w:rsid w:val="00AA3A46"/>
    <w:rsid w:val="00AC669C"/>
    <w:rsid w:val="00B97998"/>
    <w:rsid w:val="00BC042F"/>
    <w:rsid w:val="00BD0FCF"/>
    <w:rsid w:val="00C11EED"/>
    <w:rsid w:val="00C22FE2"/>
    <w:rsid w:val="00C7055D"/>
    <w:rsid w:val="00CB1441"/>
    <w:rsid w:val="00D509DC"/>
    <w:rsid w:val="00E03653"/>
    <w:rsid w:val="00E16926"/>
    <w:rsid w:val="00E961F6"/>
    <w:rsid w:val="00EB303C"/>
    <w:rsid w:val="00EC1F92"/>
    <w:rsid w:val="00F376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1F69E"/>
  <w15:chartTrackingRefBased/>
  <w15:docId w15:val="{95CB5F48-A284-4F8E-8C68-F544C216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FC4"/>
  </w:style>
  <w:style w:type="paragraph" w:styleId="Heading1">
    <w:name w:val="heading 1"/>
    <w:basedOn w:val="Normal"/>
    <w:next w:val="Normal"/>
    <w:link w:val="Heading1Char"/>
    <w:uiPriority w:val="9"/>
    <w:qFormat/>
    <w:rsid w:val="00215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55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55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55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55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55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5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5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5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5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55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55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55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55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5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554"/>
    <w:rPr>
      <w:rFonts w:eastAsiaTheme="majorEastAsia" w:cstheme="majorBidi"/>
      <w:color w:val="272727" w:themeColor="text1" w:themeTint="D8"/>
    </w:rPr>
  </w:style>
  <w:style w:type="paragraph" w:styleId="Title">
    <w:name w:val="Title"/>
    <w:basedOn w:val="Normal"/>
    <w:next w:val="Normal"/>
    <w:link w:val="TitleChar"/>
    <w:uiPriority w:val="10"/>
    <w:qFormat/>
    <w:rsid w:val="00215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554"/>
    <w:pPr>
      <w:spacing w:before="160"/>
      <w:jc w:val="center"/>
    </w:pPr>
    <w:rPr>
      <w:i/>
      <w:iCs/>
      <w:color w:val="404040" w:themeColor="text1" w:themeTint="BF"/>
    </w:rPr>
  </w:style>
  <w:style w:type="character" w:customStyle="1" w:styleId="QuoteChar">
    <w:name w:val="Quote Char"/>
    <w:basedOn w:val="DefaultParagraphFont"/>
    <w:link w:val="Quote"/>
    <w:uiPriority w:val="29"/>
    <w:rsid w:val="00215554"/>
    <w:rPr>
      <w:i/>
      <w:iCs/>
      <w:color w:val="404040" w:themeColor="text1" w:themeTint="BF"/>
    </w:rPr>
  </w:style>
  <w:style w:type="paragraph" w:styleId="ListParagraph">
    <w:name w:val="List Paragraph"/>
    <w:basedOn w:val="Normal"/>
    <w:uiPriority w:val="34"/>
    <w:qFormat/>
    <w:rsid w:val="00215554"/>
    <w:pPr>
      <w:ind w:left="720"/>
      <w:contextualSpacing/>
    </w:pPr>
  </w:style>
  <w:style w:type="character" w:styleId="IntenseEmphasis">
    <w:name w:val="Intense Emphasis"/>
    <w:basedOn w:val="DefaultParagraphFont"/>
    <w:uiPriority w:val="21"/>
    <w:qFormat/>
    <w:rsid w:val="00215554"/>
    <w:rPr>
      <w:i/>
      <w:iCs/>
      <w:color w:val="2F5496" w:themeColor="accent1" w:themeShade="BF"/>
    </w:rPr>
  </w:style>
  <w:style w:type="paragraph" w:styleId="IntenseQuote">
    <w:name w:val="Intense Quote"/>
    <w:basedOn w:val="Normal"/>
    <w:next w:val="Normal"/>
    <w:link w:val="IntenseQuoteChar"/>
    <w:uiPriority w:val="30"/>
    <w:qFormat/>
    <w:rsid w:val="002155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5554"/>
    <w:rPr>
      <w:i/>
      <w:iCs/>
      <w:color w:val="2F5496" w:themeColor="accent1" w:themeShade="BF"/>
    </w:rPr>
  </w:style>
  <w:style w:type="character" w:styleId="IntenseReference">
    <w:name w:val="Intense Reference"/>
    <w:basedOn w:val="DefaultParagraphFont"/>
    <w:uiPriority w:val="32"/>
    <w:qFormat/>
    <w:rsid w:val="00215554"/>
    <w:rPr>
      <w:b/>
      <w:bCs/>
      <w:smallCaps/>
      <w:color w:val="2F5496" w:themeColor="accent1" w:themeShade="BF"/>
      <w:spacing w:val="5"/>
    </w:rPr>
  </w:style>
  <w:style w:type="paragraph" w:styleId="Header">
    <w:name w:val="header"/>
    <w:basedOn w:val="Normal"/>
    <w:link w:val="HeaderChar"/>
    <w:uiPriority w:val="99"/>
    <w:unhideWhenUsed/>
    <w:rsid w:val="005C0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0FC4"/>
  </w:style>
  <w:style w:type="paragraph" w:styleId="Footer">
    <w:name w:val="footer"/>
    <w:basedOn w:val="Normal"/>
    <w:link w:val="FooterChar"/>
    <w:uiPriority w:val="99"/>
    <w:unhideWhenUsed/>
    <w:rsid w:val="005C0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0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Pages>
  <Words>704</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Stoian</dc:creator>
  <cp:keywords/>
  <dc:description/>
  <cp:lastModifiedBy>Radu Stoian</cp:lastModifiedBy>
  <cp:revision>11</cp:revision>
  <cp:lastPrinted>2026-07-20T10:54:00Z</cp:lastPrinted>
  <dcterms:created xsi:type="dcterms:W3CDTF">2026-07-16T06:54:00Z</dcterms:created>
  <dcterms:modified xsi:type="dcterms:W3CDTF">2026-08-06T08:39:00Z</dcterms:modified>
</cp:coreProperties>
</file>