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9210" w14:textId="77777777" w:rsidR="00314A50" w:rsidRPr="00FB74DF" w:rsidRDefault="00314A50" w:rsidP="00314A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</w:pPr>
      <w:r w:rsidRPr="00FB74DF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>GUVERNUL ROMÂNIEI</w:t>
      </w:r>
    </w:p>
    <w:p w14:paraId="2CBC2F6E" w14:textId="77777777" w:rsidR="00314A50" w:rsidRPr="00FB74DF" w:rsidRDefault="00314A50" w:rsidP="00314A50">
      <w:pPr>
        <w:spacing w:after="200" w:line="276" w:lineRule="auto"/>
        <w:rPr>
          <w:rFonts w:ascii="Calibri" w:eastAsia="Times New Roman" w:hAnsi="Calibri" w:cs="Times New Roman"/>
          <w:kern w:val="0"/>
          <w:lang w:eastAsia="ro-RO"/>
          <w14:ligatures w14:val="none"/>
        </w:rPr>
      </w:pPr>
    </w:p>
    <w:p w14:paraId="4A744A9B" w14:textId="358AB637" w:rsidR="00314A50" w:rsidRPr="00FB74DF" w:rsidRDefault="00314A50" w:rsidP="00314A50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B74DF">
        <w:rPr>
          <w:rFonts w:ascii="Calibri" w:eastAsia="Times New Roman" w:hAnsi="Calibri" w:cs="Times New Roman"/>
          <w:noProof/>
          <w:kern w:val="0"/>
          <w:lang w:eastAsia="ro-RO"/>
          <w14:ligatures w14:val="none"/>
        </w:rPr>
        <w:drawing>
          <wp:inline distT="0" distB="0" distL="0" distR="0" wp14:anchorId="6151B293" wp14:editId="4C7CC93E">
            <wp:extent cx="1231900" cy="977900"/>
            <wp:effectExtent l="0" t="0" r="0" b="0"/>
            <wp:docPr id="1197466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EE643" w14:textId="77777777" w:rsidR="00314A50" w:rsidRPr="00FB74DF" w:rsidRDefault="00314A50" w:rsidP="00314A50">
      <w:pPr>
        <w:keepNext/>
        <w:spacing w:after="120" w:line="240" w:lineRule="auto"/>
        <w:ind w:right="180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</w:pPr>
    </w:p>
    <w:p w14:paraId="55B47CE5" w14:textId="77777777" w:rsidR="00314A50" w:rsidRPr="00FB74DF" w:rsidRDefault="00314A50" w:rsidP="00314A50">
      <w:pPr>
        <w:keepNext/>
        <w:spacing w:after="120" w:line="240" w:lineRule="auto"/>
        <w:ind w:right="180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</w:pPr>
      <w:r w:rsidRPr="00FB74DF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>HOTĂRÂRE</w:t>
      </w:r>
    </w:p>
    <w:p w14:paraId="08282DE5" w14:textId="71FA8B14" w:rsidR="00314A50" w:rsidRPr="008A69CF" w:rsidRDefault="00314A50" w:rsidP="00314A5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bookmarkStart w:id="0" w:name="_Hlk163552434"/>
      <w:r w:rsidRPr="008A69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privind aprobarea ocupării </w:t>
      </w:r>
      <w:r w:rsidRPr="008A69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/>
          <w14:ligatures w14:val="none"/>
        </w:rPr>
        <w:t>temporare a terenului în suprafață de 2,3178 ha din fondul forestier național, de către Societatea Națională de Transport Gaze Naturale „Transgaz” S.A., pentru proiectul de importanță națională în domeniul gazelor naturale „</w:t>
      </w:r>
      <w:bookmarkStart w:id="1" w:name="_Hlk163552919"/>
      <w:bookmarkStart w:id="2" w:name="_Hlk183700210"/>
      <w:r w:rsidRPr="008A69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/>
          <w14:ligatures w14:val="none"/>
        </w:rPr>
        <w:t xml:space="preserve">Conductă de transport gaze naturale </w:t>
      </w:r>
      <w:bookmarkEnd w:id="1"/>
      <w:r w:rsidRPr="008A69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  <w:t>Tetila-Horezu-Râmnicu Vâlcea (inclusiv alimentare cu energie electrică, protecție catodică și fibră optică)"</w:t>
      </w:r>
      <w:bookmarkEnd w:id="2"/>
    </w:p>
    <w:bookmarkEnd w:id="0"/>
    <w:p w14:paraId="08754F5C" w14:textId="77777777" w:rsidR="00314A50" w:rsidRPr="008A69CF" w:rsidRDefault="00314A50" w:rsidP="00314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</w:p>
    <w:p w14:paraId="254A4EC7" w14:textId="3BC57172" w:rsidR="001E3108" w:rsidRPr="008A69CF" w:rsidRDefault="001E3108" w:rsidP="00314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Având în vedere prevederile art. 38 alin.</w:t>
      </w:r>
      <w:r w:rsidR="00004243" w:rsidRPr="008A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r w:rsidRPr="008A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(1) lit. b), alin. (4), (7), (8) și (10), art. 44 alin. (1) lit. c)</w:t>
      </w:r>
      <w:r w:rsidR="008B2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și alin. (4)</w:t>
      </w:r>
      <w:r w:rsidRPr="008A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, art. 46 alin. (1), (5) - (7) și art. 50 din Legea nr. 331/2024 privind Codul silvic, cu modificările și completările ulterioare, precum și ale art. 2 alin. (1) lit. m), art. 3 alin. (1) - (10) și (12) din Legea nr.185/2016 privind unele măsuri necesare pentru implementarea proiectelor de importanță națională în domeniul gazelor naturale,</w:t>
      </w:r>
    </w:p>
    <w:p w14:paraId="049E42E7" w14:textId="77777777" w:rsidR="001E3108" w:rsidRPr="008A69CF" w:rsidRDefault="001E3108" w:rsidP="00314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</w:p>
    <w:p w14:paraId="132E5606" w14:textId="509163F2" w:rsidR="00314A50" w:rsidRPr="008A69CF" w:rsidRDefault="008A69CF" w:rsidP="00314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În </w:t>
      </w:r>
      <w:r w:rsidR="00314A50" w:rsidRPr="008A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temeiul art. 108 din Constituția României, republicată și al art. 3 alin. (11) și art. 18 din Legea nr. 185/2016</w:t>
      </w:r>
      <w:r w:rsidR="00314A50" w:rsidRPr="00501AD3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  <w:r w:rsidR="00314A50" w:rsidRPr="008A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privind unele măsuri necesare pentru implementarea proiectelor de importanță națională în domeniul gazelor naturale,</w:t>
      </w:r>
    </w:p>
    <w:p w14:paraId="73A6D135" w14:textId="77777777" w:rsidR="00314A50" w:rsidRPr="008A69CF" w:rsidRDefault="00314A50" w:rsidP="00314A50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kern w:val="0"/>
          <w:sz w:val="24"/>
          <w:szCs w:val="24"/>
          <w:lang w:eastAsia="ro-RO"/>
          <w14:ligatures w14:val="none"/>
        </w:rPr>
      </w:pPr>
    </w:p>
    <w:p w14:paraId="61B4E4D3" w14:textId="77777777" w:rsidR="00314A50" w:rsidRPr="008A69CF" w:rsidRDefault="00314A50" w:rsidP="00314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/>
          <w14:ligatures w14:val="none"/>
        </w:rPr>
        <w:t>Guvernul României</w:t>
      </w:r>
      <w:r w:rsidRPr="008A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adoptă prezenta hotărâre</w:t>
      </w:r>
    </w:p>
    <w:p w14:paraId="73BB552E" w14:textId="77777777" w:rsidR="00314A50" w:rsidRPr="008A69CF" w:rsidRDefault="00314A50" w:rsidP="00314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</w:p>
    <w:p w14:paraId="74BFC071" w14:textId="1983772B" w:rsidR="00314A50" w:rsidRPr="008A69CF" w:rsidRDefault="00314A50" w:rsidP="008A6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/>
          <w14:ligatures w14:val="none"/>
        </w:rPr>
        <w:t xml:space="preserve">Art. 1. </w:t>
      </w:r>
      <w:r w:rsidRPr="008A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– (1) Se aprobă ocuparea temporară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a terenului forestier în suprafață de 2,3178 ha </w:t>
      </w:r>
      <w:r w:rsidRPr="008A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din fondul forestier național, de către Societatea Națională de Transport Gaze Naturale „Transgaz” S.A.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  <w:r w:rsidRPr="008A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pentru proiectul de importanță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națională în domeniul gazelor naturale „</w:t>
      </w:r>
      <w:r w:rsidR="0036150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Conductă de transport gaze naturale Tetila-Horezu-Râmnicu Vâlcea (inclusiv alimentare cu energie electrică, protecție catodică și fibră optică)".</w:t>
      </w:r>
    </w:p>
    <w:p w14:paraId="03960705" w14:textId="7F806D26" w:rsidR="00361500" w:rsidRPr="008A69CF" w:rsidRDefault="00361500" w:rsidP="004717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(2) Terenul prevăzut la alin. (1) este compus din terenul forestier în suprafață de 0,3316 ha aflat în proprietatea publică a statului și terenul forestier în suprafață de 1,9862 ha aflat în proprietatea privată a unor persoane fizice.</w:t>
      </w:r>
    </w:p>
    <w:p w14:paraId="2D98038A" w14:textId="01D169E4" w:rsidR="00361500" w:rsidRPr="008A69CF" w:rsidRDefault="00361500" w:rsidP="004717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(3) Terenul forestier în suprafață de 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0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,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3316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ha, aflat în proprietatea publică a statului și </w:t>
      </w:r>
      <w:r w:rsidR="005B435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în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administrarea Regiei Naționale a Pădurilor – Romsilva, este localizat astfel: pe raza Ocolului Silvic 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Horezu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din cadrul Direcției Silvice 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Vâlcea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în U.P. I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I Horezu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în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23 B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% = 0</w:t>
      </w:r>
      <w:r w:rsidR="005B435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,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0557 ha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24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B% = 0,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2759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ha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</w:t>
      </w:r>
    </w:p>
    <w:p w14:paraId="3BCC8BDE" w14:textId="52971461" w:rsidR="00361500" w:rsidRPr="008A69CF" w:rsidRDefault="00361500" w:rsidP="0072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(4) Terenul forestier în suprafață de 1,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9862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ha, aflat 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în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proprietate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a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privată a unor persoane fizice, este localizat astfel:</w:t>
      </w:r>
    </w:p>
    <w:p w14:paraId="76B89E6B" w14:textId="6962E078" w:rsidR="00CD2BA2" w:rsidRPr="008A69CF" w:rsidRDefault="00361500" w:rsidP="004717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bookmarkStart w:id="3" w:name="_Hlk183706588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pe raza Ocolului Silvic </w:t>
      </w:r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Băbeni</w:t>
      </w:r>
      <w:r w:rsidR="005E64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-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0,</w:t>
      </w:r>
      <w:r w:rsidR="00CD2BA2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6430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ha, </w:t>
      </w:r>
      <w:bookmarkStart w:id="4" w:name="_Hlk183701569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în U.P. 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V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Otăsău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  <w:bookmarkEnd w:id="4"/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</w:t>
      </w:r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42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= 0,</w:t>
      </w:r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0244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ha, </w:t>
      </w:r>
      <w:proofErr w:type="spellStart"/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</w:t>
      </w:r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75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= 0,</w:t>
      </w:r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0212</w:t>
      </w:r>
      <w:r w:rsidR="001303CD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ha, </w:t>
      </w:r>
      <w:proofErr w:type="spellStart"/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113 = 0,0868 ha, </w:t>
      </w:r>
      <w:proofErr w:type="spellStart"/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120 = 0,2048 ha, în U.P. IV Bistrița, </w:t>
      </w:r>
      <w:proofErr w:type="spellStart"/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111 = 0,1705 ha, în U.P. VI Govora, </w:t>
      </w:r>
      <w:proofErr w:type="spellStart"/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61= 0,1353 ha, </w:t>
      </w:r>
    </w:p>
    <w:p w14:paraId="311E891C" w14:textId="6AFE664F" w:rsidR="00361500" w:rsidRPr="008A69CF" w:rsidRDefault="00CD2BA2" w:rsidP="004717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pe raza Ocolului Silvic Horezu</w:t>
      </w:r>
      <w:r w:rsidR="005E64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-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0,1864 ha, în </w:t>
      </w:r>
      <w:r w:rsidR="0036150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U.P.</w:t>
      </w:r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II Horezu</w:t>
      </w:r>
      <w:r w:rsidR="0036150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235 A = 0,0753 ha, </w:t>
      </w:r>
      <w:proofErr w:type="spellStart"/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="005155C8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 235 B = 0,1111 ha,</w:t>
      </w:r>
    </w:p>
    <w:p w14:paraId="1C2B36D0" w14:textId="3F9F0B45" w:rsidR="00CD2BA2" w:rsidRPr="008A69CF" w:rsidRDefault="00CD2BA2" w:rsidP="004717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pe raza Ocolului Silvic Polovragi</w:t>
      </w:r>
      <w:r w:rsidR="005E64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- </w:t>
      </w:r>
      <w:r w:rsidR="00A05D0F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0,3</w:t>
      </w:r>
      <w:r w:rsidR="000609BE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313</w:t>
      </w:r>
      <w:r w:rsidR="00241295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ha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în U.P. IV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Bengesti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 113 A = 0,25</w:t>
      </w:r>
      <w:r w:rsidR="000609BE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9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9 ha,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 11</w:t>
      </w:r>
      <w:r w:rsidR="000609BE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4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= 0,0714 ha,</w:t>
      </w:r>
    </w:p>
    <w:p w14:paraId="3C27DA0D" w14:textId="7503083F" w:rsidR="00CD2BA2" w:rsidRPr="008A69CF" w:rsidRDefault="00CD2BA2" w:rsidP="008A69CF">
      <w:pPr>
        <w:pStyle w:val="Listparagraf"/>
        <w:numPr>
          <w:ilvl w:val="0"/>
          <w:numId w:val="1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pe raza Ocolului Silvic Novaci </w:t>
      </w:r>
      <w:r w:rsidR="005E64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- </w:t>
      </w:r>
      <w:r w:rsidR="00D3257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0,4615</w:t>
      </w:r>
      <w:r w:rsidR="00241295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ha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în U.P. V Săcelu,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 102 A = 0,</w:t>
      </w:r>
      <w:r w:rsidR="00D3257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2885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ha,</w:t>
      </w:r>
      <w:r w:rsid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 1</w:t>
      </w:r>
      <w:r w:rsidR="00D3257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03 A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= 0,</w:t>
      </w:r>
      <w:r w:rsidR="00D3257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1460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ha,</w:t>
      </w:r>
      <w:r w:rsidR="00D3257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="00D3257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="00D3257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 103 B = 0,0270 ha,</w:t>
      </w:r>
    </w:p>
    <w:p w14:paraId="4E0B2A0C" w14:textId="4C390BAD" w:rsidR="00CD2BA2" w:rsidRPr="008A69CF" w:rsidRDefault="00241295" w:rsidP="004717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pe raza Ocolului Silvic Tg. Jiu </w:t>
      </w:r>
      <w:r w:rsidR="005E64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-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0,3640 ha, în U.P. IV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Curțișora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 127 A = 0,3640 ha</w:t>
      </w:r>
      <w:r w:rsidR="00C557E2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</w:t>
      </w:r>
    </w:p>
    <w:bookmarkEnd w:id="3"/>
    <w:p w14:paraId="26EE3841" w14:textId="1FDC3611" w:rsidR="00361500" w:rsidRPr="008A69CF" w:rsidRDefault="00361500" w:rsidP="0072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lastRenderedPageBreak/>
        <w:t>(5) Ocuparea temporară din fondul forestier național a terenului prevăzut la alin. (1) se face cu defrișarea vegetației forestiere pe suprafața de 2,</w:t>
      </w:r>
      <w:r w:rsidR="00C557E2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3178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ha, conform </w:t>
      </w:r>
      <w:r w:rsidR="00C557E2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Deciziei etapei de încadrare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nr. </w:t>
      </w:r>
      <w:r w:rsidR="00C557E2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13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/1</w:t>
      </w:r>
      <w:r w:rsidR="00C557E2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7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.0</w:t>
      </w:r>
      <w:r w:rsidR="00C557E2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1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.2024 </w:t>
      </w:r>
      <w:bookmarkStart w:id="5" w:name="_Hlk183706913"/>
      <w:r w:rsidR="00B978CC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și Deciziei rectificatoare nr. 04/27.08.2024</w:t>
      </w:r>
      <w:r w:rsidR="00D2278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,</w:t>
      </w:r>
      <w:r w:rsidR="00B978CC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emis</w:t>
      </w:r>
      <w:r w:rsidR="00B978CC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e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de Agenția pentru Protecția Mediului </w:t>
      </w:r>
      <w:r w:rsidR="00C557E2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Gorj</w:t>
      </w:r>
      <w:bookmarkEnd w:id="5"/>
      <w:r w:rsidR="00C557E2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,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după cum urmează: </w:t>
      </w:r>
    </w:p>
    <w:p w14:paraId="45CE80D5" w14:textId="503A4F1A" w:rsidR="00C557E2" w:rsidRPr="008A69CF" w:rsidRDefault="00C557E2" w:rsidP="00471705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pe raza Ocolului Silvic Băbeni </w:t>
      </w:r>
      <w:r w:rsidR="005E64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-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0,6430 ha, în U.P. V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Otăsău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42 = 0,0244 ha,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75 = 0,0212 ha,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113 = 0,0868 ha,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120 = 0,2048 ha, în U.P. IV Bistrița,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111 = 0,1705 ha, în U.P. VI Govora,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61= 0,1353 ha, </w:t>
      </w:r>
    </w:p>
    <w:p w14:paraId="1E315627" w14:textId="682C25FB" w:rsidR="00C557E2" w:rsidRPr="008A69CF" w:rsidRDefault="00C557E2" w:rsidP="00471705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pe raza Ocolului Silvic Horezu </w:t>
      </w:r>
      <w:r w:rsidR="005E64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-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0,1864 ha, în U.P. II Horezu,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235 A = 0,0753 ha,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 235 B = 0,1111 ha,</w:t>
      </w:r>
    </w:p>
    <w:p w14:paraId="65C2E9C9" w14:textId="7BCF88C1" w:rsidR="00C557E2" w:rsidRPr="008A69CF" w:rsidRDefault="00C557E2" w:rsidP="00471705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pe raza Ocolului Silvic Polovragi </w:t>
      </w:r>
      <w:r w:rsidR="005E64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-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0,3313 ha, în U.P. IV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Bengesti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113 A = 0,2599 ha,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 114 = 0,0714 ha,</w:t>
      </w:r>
    </w:p>
    <w:p w14:paraId="018FB923" w14:textId="1902F5B6" w:rsidR="00C557E2" w:rsidRPr="008A69CF" w:rsidRDefault="00C557E2" w:rsidP="008A69CF">
      <w:pPr>
        <w:pStyle w:val="Listparagraf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pe raza Ocolului Silvic Novaci </w:t>
      </w:r>
      <w:r w:rsidR="005E64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-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0,4615 ha, în U.P. V Săcelu,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102 A = 0,2885 ha,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. 103 A = 0,1460 ha, </w:t>
      </w:r>
      <w:proofErr w:type="spellStart"/>
      <w:r w:rsidR="00D3257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="00D3257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 1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03 B</w:t>
      </w:r>
      <w:r w:rsidR="00D3257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= 0,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0270</w:t>
      </w:r>
      <w:r w:rsidR="00D32570"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ha,</w:t>
      </w:r>
    </w:p>
    <w:p w14:paraId="01BE2386" w14:textId="2178028C" w:rsidR="00C557E2" w:rsidRPr="008A69CF" w:rsidRDefault="00C557E2" w:rsidP="00471705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pe raza Ocolului Silvic </w:t>
      </w:r>
      <w:bookmarkStart w:id="6" w:name="_Hlk214973582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T</w:t>
      </w:r>
      <w:r w:rsidR="0050613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ârgu</w:t>
      </w:r>
      <w:bookmarkEnd w:id="6"/>
      <w:r w:rsidR="0050613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Jiu </w:t>
      </w:r>
      <w:r w:rsidR="005E64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- </w:t>
      </w:r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0,3640 ha, în U.P. IV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Curțișora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u.a</w:t>
      </w:r>
      <w:proofErr w:type="spellEnd"/>
      <w:r w:rsidRPr="008A69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o-RO"/>
          <w14:ligatures w14:val="none"/>
        </w:rPr>
        <w:t>. 127 A = 0,3640 ha.</w:t>
      </w:r>
    </w:p>
    <w:p w14:paraId="41520954" w14:textId="77777777" w:rsidR="005445E9" w:rsidRPr="008A69CF" w:rsidRDefault="005445E9" w:rsidP="0072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43B3A0D3" w14:textId="62D8F75B" w:rsidR="005445E9" w:rsidRPr="008A69CF" w:rsidRDefault="005445E9" w:rsidP="008A69C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Art. 2.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– (1) Exploatarea </w:t>
      </w:r>
      <w:r w:rsidR="00A00783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masei lemnoase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de pe terenul prevăzut la art. 1 se face cu respectarea prevederilor art. 101 alin. (1) și (2), art. 102 alin. (1), art. 103 și art. 104 alin. (1) din Legea nr. 331/2024 privind Codul silvic, cu modificările și completările ulterioare, iar </w:t>
      </w:r>
      <w:proofErr w:type="spellStart"/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precomptarea</w:t>
      </w:r>
      <w:proofErr w:type="spellEnd"/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A00783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masei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lemn</w:t>
      </w:r>
      <w:r w:rsidR="00A00783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oase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se face cu respectarea prevederilor art. 25 alin. (1) lit. a) și c) și alin. (2) lit. c), precum și a prevederilor art. 65 alin. (3) lit. b), art. 71 alin. (4) și art. 72 alin. (4) și (8)-(10) din Legea nr. 331/2024, cu modificările și completările ulterioare.</w:t>
      </w:r>
    </w:p>
    <w:p w14:paraId="5D2D9365" w14:textId="32D98010" w:rsidR="005445E9" w:rsidRPr="008A69CF" w:rsidRDefault="005445E9" w:rsidP="008A69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(2) </w:t>
      </w:r>
      <w:r w:rsidR="00A00783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Materialul lemnos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rezultat în urma defrișării vegetației forestiere de pe terenurile prevăzute la art. 1 revine proprietarului, în cazul fondului forestier proprietate privată a persoanelor fizice, respectiv administratorului, în cazul fondului forestier proprietate publică a statului.</w:t>
      </w:r>
    </w:p>
    <w:p w14:paraId="6783E045" w14:textId="011CE5D9" w:rsidR="00D63926" w:rsidRPr="008A69CF" w:rsidRDefault="00D63926" w:rsidP="008A69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(3) Exploatarea masei lemnoase se </w:t>
      </w:r>
      <w:r w:rsidR="00833FB9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efectuează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de către Societatea Națională de Transport Gaze Naturale „Transgaz” S.A., prin operatori economici atestați pentru exploatări forestiere, pentru terenurile aflate în proprietatea privată a persoanelor fizice</w:t>
      </w:r>
      <w:r w:rsidR="00833FB9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și de către ocolul silvic care asigură administrarea pentru terenul aflat în proprietatea publică a statului.</w:t>
      </w:r>
    </w:p>
    <w:p w14:paraId="013CF5D0" w14:textId="03A95295" w:rsidR="003D0E23" w:rsidRPr="008A69CF" w:rsidRDefault="003D0E23" w:rsidP="008A69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(4) Cheltuielile efectuate pentru exploatarea masei lemnoase</w:t>
      </w:r>
      <w:r w:rsidR="000370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, în situația prevăzută la alin.(3),</w:t>
      </w:r>
      <w:r w:rsidR="001B1F9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se suportă de către Societatea Națională de Transport Gaze Naturale „Transgaz” S.A</w:t>
      </w:r>
      <w:r w:rsidR="00841F4E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</w:p>
    <w:p w14:paraId="387C743D" w14:textId="66C3C643" w:rsidR="005445E9" w:rsidRPr="008A69CF" w:rsidRDefault="005445E9" w:rsidP="008A69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(</w:t>
      </w:r>
      <w:r w:rsidR="001B1F9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5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) Pentru terenurile forestiere aflate în proprietatea privată a persoanelor fizice, prevăzute la art. 1 alin. (4), pentru care Societatea Națională de Transport Gaze Naturale „Transgaz” S.A. a emis declarația </w:t>
      </w:r>
      <w:r w:rsidR="00037054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proprie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de asumare a răspunderii, ca urmare a imposibilității obținerii acordului proprietarilor, sumele datorate pentru ocuparea temporară a terenurilor forestiere, inclusiv valoarea </w:t>
      </w:r>
      <w:r w:rsidR="00A00783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masei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lemn</w:t>
      </w:r>
      <w:r w:rsidR="00A00783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oase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valorificat</w:t>
      </w:r>
      <w:r w:rsidR="00A00783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e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, se consemnează cu titlu de indemnizație într-un cont bancar deschis pe numele inițiatorului proiectului și se eliberează ulterior prin dispoziția inițiatorului proiectului, în conformitate cu prevederile art.</w:t>
      </w:r>
      <w:r w:rsidR="005B71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44 alin.(4) din Legea nr. 331/2024, cu modificările și completările ulterioare, precum și ale art. 3 alin. (6) din Legea nr. 185/2016</w:t>
      </w:r>
      <w:r w:rsidR="000370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037054" w:rsidRPr="000370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privind unele măsuri necesare pentru implementarea proiectelor de importanță națională în domeniul gazelor naturale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. </w:t>
      </w:r>
    </w:p>
    <w:p w14:paraId="19842D3E" w14:textId="15EBB865" w:rsidR="005445E9" w:rsidRPr="008A69CF" w:rsidRDefault="005445E9" w:rsidP="008A69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(</w:t>
      </w:r>
      <w:r w:rsidR="001B1F9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6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) Valorificarea</w:t>
      </w:r>
      <w:r w:rsidR="00A00783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masei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lemn</w:t>
      </w:r>
      <w:r w:rsidR="00A00783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oase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de pe terenurile forestiere și eliberarea documentelor de însoțire a </w:t>
      </w:r>
      <w:r w:rsidR="000828F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masei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lemnoase,</w:t>
      </w:r>
      <w:r w:rsidR="000828F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prevăzute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în situația prevăzută la alin. (</w:t>
      </w:r>
      <w:r w:rsidR="001B1F9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5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) se face de către ocoalele silvice care asigură administrarea sau serviciile silvice, după caz, la solicitarea Societății Naționale de Transport Gaze Naturale „Transgaz” S.A. </w:t>
      </w:r>
    </w:p>
    <w:p w14:paraId="7EC85845" w14:textId="7D276137" w:rsidR="005445E9" w:rsidRPr="008A69CF" w:rsidRDefault="005445E9" w:rsidP="008A69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(</w:t>
      </w:r>
      <w:r w:rsidR="001B1F9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7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) Sumele rezultate din valorificarea </w:t>
      </w:r>
      <w:r w:rsidR="002C2AB1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masei lemnoase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, în situația prevăzută la alin.</w:t>
      </w:r>
      <w:r w:rsidR="001B1F9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(</w:t>
      </w:r>
      <w:r w:rsidR="001B1F9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5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), se virează Societății Naționale de Transport Gaze Naturale „Transgaz” S.A. de către ocoalele silvice care asigură administrarea sau serviciile silvice, în termen de 30 de zile de la data încasării.</w:t>
      </w:r>
    </w:p>
    <w:p w14:paraId="0AAE578A" w14:textId="3C6D8EAD" w:rsidR="00361500" w:rsidRPr="008A69CF" w:rsidRDefault="005445E9" w:rsidP="008A69C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(</w:t>
      </w:r>
      <w:r w:rsidR="001B1F9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8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) Cheltuielile </w:t>
      </w:r>
      <w:r w:rsidR="002C4F83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de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valorificare a </w:t>
      </w:r>
      <w:r w:rsidR="002C2AB1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masei lemnoase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, în situația prevăzută la alin.</w:t>
      </w:r>
      <w:r w:rsidR="00083D31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(</w:t>
      </w:r>
      <w:r w:rsidR="00C03B76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6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), se suportă de către Societatea Națională de Transport Gaze Naturale „Transgaz” SA.</w:t>
      </w:r>
    </w:p>
    <w:p w14:paraId="6D96B508" w14:textId="6EBFA9F0" w:rsidR="00361500" w:rsidRPr="008A69CF" w:rsidRDefault="00361500" w:rsidP="00D1418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lastRenderedPageBreak/>
        <w:t>Art. 3.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– Ocuparea temporară a terenului forestier prevăzut la art. 1 se face pe toată durata de execuție și existență în fondul forestier </w:t>
      </w:r>
      <w:r w:rsidR="000370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național </w:t>
      </w:r>
      <w:r w:rsidR="00471705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a conductei aferente proiectului de importanță națională în domeniul gazelor naturale „</w:t>
      </w:r>
      <w:r w:rsidR="00471705" w:rsidRPr="008A69C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Conductă de transport gaze naturale Tetila-Horezu-Râmnicu Vâlcea (inclusiv alimentare cu energie electrică, protecție catodică și fibră optică)", </w:t>
      </w:r>
      <w:r w:rsidR="005445E9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potrivit art. 18 alin. (2) din Legea nr. 185/2016.</w:t>
      </w:r>
    </w:p>
    <w:p w14:paraId="49ABD77C" w14:textId="1971A1EB" w:rsidR="00361500" w:rsidRPr="008A69CF" w:rsidRDefault="00361500" w:rsidP="008A69C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 4.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– (1) Societatea Națională de Transport Gaze Naturale „Transgaz” S</w:t>
      </w:r>
      <w:r w:rsidR="008025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A</w:t>
      </w:r>
      <w:r w:rsidR="008025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a achitat în Fondul de ameliorare a fondului funciar cu destinație silvică, aflat în administrare la Ministerul Mediului, Apelor și Pădurilor, garanția pentru ocuparea temporară a terenului prevăzut la art. 1, în suprafață de </w:t>
      </w:r>
      <w:r w:rsidR="00220F57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2,3178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ha, în cuantum de </w:t>
      </w:r>
      <w:r w:rsidR="00220F57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327</w:t>
      </w:r>
      <w:r w:rsid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="00220F57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406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,</w:t>
      </w:r>
      <w:r w:rsidR="00220F57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17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lei, cu Ordinul de plată nr. </w:t>
      </w:r>
      <w:r w:rsidR="00220F57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8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05 din </w:t>
      </w:r>
      <w:r w:rsidR="00220F57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28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.10.2024.</w:t>
      </w:r>
    </w:p>
    <w:p w14:paraId="60769952" w14:textId="75C1B82F" w:rsidR="00361500" w:rsidRPr="008A69CF" w:rsidRDefault="00361500" w:rsidP="008A69C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(2) Predarea terenurilor forestiere prevăzute la art. 1 alin. (3) de către Ocolul Silvic H</w:t>
      </w:r>
      <w:r w:rsidR="0055632B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orezu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care asigură administrarea se va face numai după achitarea de către Societatea Națională de Transport Gaze Naturale „Transgaz” SA a </w:t>
      </w:r>
      <w:r w:rsidR="00ED7B1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obligațiilor bănești prevăzute la art. 46 alin. (1) lit. e) din Legea nr. 331/2024, cu modificările și completările ulterioare.</w:t>
      </w:r>
    </w:p>
    <w:p w14:paraId="40E4C07F" w14:textId="04AD8625" w:rsidR="00361500" w:rsidRPr="008A69CF" w:rsidRDefault="00361500" w:rsidP="008A69C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(3) Predarea terenurilor forestiere prevăzute la art. 1 alin. (4) de către </w:t>
      </w:r>
      <w:r w:rsidR="0012164C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Ocolul Silvic Băbeni</w:t>
      </w:r>
      <w:r w:rsidR="00ED7B1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, </w:t>
      </w:r>
      <w:r w:rsidR="0012164C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Ocolul Silvic Horezu</w:t>
      </w:r>
      <w:r w:rsidR="00ED7B1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, </w:t>
      </w:r>
      <w:r w:rsidR="0012164C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Ocolul Silvic Polovragi</w:t>
      </w:r>
      <w:r w:rsidR="00ED7B1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, </w:t>
      </w:r>
      <w:r w:rsidR="0012164C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Ocolul Silvic Novaci</w:t>
      </w:r>
      <w:r w:rsidR="00ED7B1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, </w:t>
      </w:r>
      <w:r w:rsidR="0012164C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Ocolul Silvic T</w:t>
      </w:r>
      <w:r w:rsidR="0050613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ârgu</w:t>
      </w:r>
      <w:r w:rsidR="0012164C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Jiu</w:t>
      </w:r>
      <w:r w:rsidR="00ED7B1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,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care asigură administrarea sau serviciile silvice</w:t>
      </w:r>
      <w:r w:rsidR="00ED7B1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, după caz,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se va face numai după achitarea de către Societatea Națională de Transport Gaze Naturale „Transgaz” SA a </w:t>
      </w:r>
      <w:r w:rsidR="00ED7B1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obligațiilor bănești prevăzute la art.</w:t>
      </w:r>
      <w:r w:rsidR="00502928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ED7B10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46 alin. (1) lit. b), c) și e) din Legea nr. 331/2024, cu modificările și completările ulterioare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</w:p>
    <w:p w14:paraId="0B076AFB" w14:textId="3E62ACD2" w:rsidR="005445E9" w:rsidRPr="008A69CF" w:rsidRDefault="00361500" w:rsidP="008A69C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(4) În cazul terenurilor forestiere prevăzute la art.1 alin. (4), pentru care Societatea Națională de Transport Gaze Naturale „Transgaz” SA a emis declarația </w:t>
      </w:r>
      <w:r w:rsidR="00501AD3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proprie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de asumare a răspunderii, ca urmare a imposibilității obținerii acordului proprietarilor, obligațiile </w:t>
      </w:r>
      <w:r w:rsidRPr="00825E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bănești prevăzute la </w:t>
      </w:r>
      <w:r w:rsidR="00037054" w:rsidRPr="00825E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art. 46 alin. (1) lit. b), c) și e) din Legea nr. 331/2024, cu modificările și completările ulterioare</w:t>
      </w:r>
      <w:r w:rsidRPr="00825E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, care trebuie achitate potrivit alin. (3), se consemnează cu titlu de indemnizație într-un cont bancar deschis pe numele inițiatorului proiectului și se eliberează ulterior prin dispoziția inițiatorului proiectului, </w:t>
      </w:r>
      <w:r w:rsidR="00D25A3F" w:rsidRPr="00825E2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în</w:t>
      </w:r>
      <w:r w:rsidR="00D25A3F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conformitate cu prevederile</w:t>
      </w:r>
      <w:r w:rsidR="00D25A3F" w:rsidRPr="008A69CF"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ro-RO"/>
          <w14:ligatures w14:val="none"/>
        </w:rPr>
        <w:t xml:space="preserve"> </w:t>
      </w:r>
      <w:r w:rsidR="00D25A3F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art. 3 alin. (6) din Legea nr. 185/2016.</w:t>
      </w:r>
    </w:p>
    <w:p w14:paraId="45B8CECE" w14:textId="3482340B" w:rsidR="00361500" w:rsidRPr="008A69CF" w:rsidRDefault="005445E9" w:rsidP="008A69CF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(5) Predarea terenurilor prevăzute la art. 1 alin. (3) și (4) de către </w:t>
      </w:r>
      <w:r w:rsidR="00D25A3F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Ocolul Silvic Horezu Ocolul Silvic Băbeni, Ocolul Silvic Polovragi, Ocolul Silvic Novaci și Ocolul Silvic Tg. Jiu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către Societatea Națională de Transport Gaze Naturale „Transgaz” S.A., se face pe bază de procese-verbale de predare-primire, încheiate în termen de maximum 180 de zile de la data intrării în vigoare a prezentei hotărâri, în prezența reprezentantului Gărzii </w:t>
      </w:r>
      <w:r w:rsidR="00501AD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F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orestiere </w:t>
      </w:r>
      <w:r w:rsidR="00506134" w:rsidRPr="0050613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Râmnicu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Vâlcea, potrivit prevederilor art. 46 alin. (6) din Legea nr. 331/2024, cu modificările și completările ulterioar</w:t>
      </w:r>
      <w:r w:rsidR="00D25A3F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e.</w:t>
      </w:r>
    </w:p>
    <w:p w14:paraId="5DE28409" w14:textId="77777777" w:rsidR="00361500" w:rsidRPr="008A69CF" w:rsidRDefault="00361500" w:rsidP="008A69C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 5.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– (1) La dezafectarea obiectivului, Societatea Națională de Transport Gaze Naturale „Transgaz” S.A. are obligația redării terenului prevăzut la art. 1 în circuitul silvic apt de a fi împădurit și fără restricții în ceea ce privește reinstalarea vegetației forestiere.</w:t>
      </w:r>
    </w:p>
    <w:p w14:paraId="55F026E2" w14:textId="77777777" w:rsidR="00361500" w:rsidRPr="008A69CF" w:rsidRDefault="00361500" w:rsidP="00361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(2) Terenul forestier prevăzut la alin. (1) se va reda în circuitul silvic la categoria de folosință „păduri și terenuri destinate împăduririi sau reîmpăduririi”.</w:t>
      </w:r>
    </w:p>
    <w:p w14:paraId="79108F3B" w14:textId="77777777" w:rsidR="00361500" w:rsidRPr="008A69CF" w:rsidRDefault="00361500" w:rsidP="00361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o-RO"/>
          <w14:ligatures w14:val="none"/>
        </w:rPr>
      </w:pPr>
    </w:p>
    <w:p w14:paraId="249AEEB1" w14:textId="0FFFF4B7" w:rsidR="00361500" w:rsidRDefault="00361500" w:rsidP="008A6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 6.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– Ocolul Silvic H</w:t>
      </w:r>
      <w:r w:rsidR="007270EE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orezu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, Ocolul Silvic</w:t>
      </w:r>
      <w:r w:rsidR="007270EE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Băbeni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,</w:t>
      </w:r>
      <w:r w:rsidRPr="00501AD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Ocolul</w:t>
      </w:r>
      <w:r w:rsidR="007270EE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Silvic </w:t>
      </w:r>
      <w:r w:rsidR="007270EE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Polovragi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, Ocolul Silvic </w:t>
      </w:r>
      <w:r w:rsidR="007270EE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Novaci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, </w:t>
      </w:r>
      <w:r w:rsidR="007270EE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Ocolul Silvic Tg. Jiu, 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Societatea Națională de Transport Gaze Naturale „Transgaz” S.A.</w:t>
      </w:r>
      <w:r w:rsidR="007270EE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și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Garda Forestieră</w:t>
      </w:r>
      <w:r w:rsidR="007270EE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R</w:t>
      </w:r>
      <w:r w:rsidR="000370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âmnicu</w:t>
      </w:r>
      <w:r w:rsidR="007270EE"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Vâlcea</w:t>
      </w:r>
      <w:r w:rsidRPr="008A69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răspund de aplicarea prevederilor prezentei hotărâri.</w:t>
      </w:r>
    </w:p>
    <w:p w14:paraId="7E9F1503" w14:textId="77777777" w:rsidR="00506134" w:rsidRPr="008A69CF" w:rsidRDefault="00506134" w:rsidP="008A6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607F1DE7" w14:textId="77777777" w:rsidR="00314A50" w:rsidRPr="008A69CF" w:rsidRDefault="00314A50" w:rsidP="00314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</w:p>
    <w:p w14:paraId="07AB1F1B" w14:textId="77777777" w:rsidR="00314A50" w:rsidRPr="008A69CF" w:rsidRDefault="00314A50" w:rsidP="00314A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/>
          <w14:ligatures w14:val="none"/>
        </w:rPr>
      </w:pPr>
    </w:p>
    <w:p w14:paraId="4AD50FC5" w14:textId="77777777" w:rsidR="00314A50" w:rsidRPr="008A69CF" w:rsidRDefault="00314A50" w:rsidP="00314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/>
          <w14:ligatures w14:val="none"/>
        </w:rPr>
        <w:t>PRIM-MINISTRU</w:t>
      </w:r>
    </w:p>
    <w:p w14:paraId="6ACAE4E9" w14:textId="77777777" w:rsidR="00314A50" w:rsidRPr="008A69CF" w:rsidRDefault="00314A50" w:rsidP="00314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</w:p>
    <w:p w14:paraId="55F2B399" w14:textId="31237D64" w:rsidR="00314A50" w:rsidRPr="008A69CF" w:rsidRDefault="001028C1" w:rsidP="00102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8A69CF">
        <w:rPr>
          <w:rFonts w:ascii="Times New Roman" w:hAnsi="Times New Roman" w:cs="Times New Roman"/>
          <w:b/>
          <w:bCs/>
          <w:sz w:val="24"/>
          <w:szCs w:val="24"/>
        </w:rPr>
        <w:t>ILIE</w:t>
      </w:r>
      <w:r w:rsidR="005534B2" w:rsidRPr="008A69CF">
        <w:rPr>
          <w:rFonts w:ascii="Times New Roman" w:hAnsi="Times New Roman" w:cs="Times New Roman"/>
          <w:b/>
          <w:bCs/>
          <w:sz w:val="24"/>
          <w:szCs w:val="24"/>
        </w:rPr>
        <w:t xml:space="preserve"> - GAVRIL</w:t>
      </w:r>
      <w:r w:rsidRPr="008A69CF">
        <w:rPr>
          <w:rFonts w:ascii="Times New Roman" w:hAnsi="Times New Roman" w:cs="Times New Roman"/>
          <w:b/>
          <w:bCs/>
          <w:sz w:val="24"/>
          <w:szCs w:val="24"/>
        </w:rPr>
        <w:t xml:space="preserve"> BOLOJAN</w:t>
      </w:r>
    </w:p>
    <w:p w14:paraId="5AE0D996" w14:textId="77777777" w:rsidR="00314A50" w:rsidRPr="008A69CF" w:rsidRDefault="00314A50" w:rsidP="00314A50">
      <w:pPr>
        <w:rPr>
          <w:rFonts w:ascii="Times New Roman" w:eastAsia="Calibri" w:hAnsi="Times New Roman" w:cs="Times New Roman"/>
          <w:sz w:val="24"/>
          <w:szCs w:val="24"/>
          <w:lang w:val="pt-BR"/>
          <w14:ligatures w14:val="none"/>
        </w:rPr>
      </w:pPr>
    </w:p>
    <w:p w14:paraId="678954CC" w14:textId="77777777" w:rsidR="0007582F" w:rsidRDefault="0007582F"/>
    <w:sectPr w:rsidR="0007582F" w:rsidSect="00102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991" w:bottom="993" w:left="1440" w:header="4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BCE0" w14:textId="77777777" w:rsidR="006A7D86" w:rsidRDefault="006A7D86" w:rsidP="00B308E3">
      <w:pPr>
        <w:spacing w:after="0" w:line="240" w:lineRule="auto"/>
      </w:pPr>
      <w:r>
        <w:separator/>
      </w:r>
    </w:p>
  </w:endnote>
  <w:endnote w:type="continuationSeparator" w:id="0">
    <w:p w14:paraId="5605F9A5" w14:textId="77777777" w:rsidR="006A7D86" w:rsidRDefault="006A7D86" w:rsidP="00B3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03B3" w14:textId="6626EB04" w:rsidR="00730072" w:rsidRDefault="0000000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B308E3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198DD21B" w14:textId="77777777" w:rsidR="00730072" w:rsidRDefault="00730072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D367" w14:textId="77777777" w:rsidR="00730072" w:rsidRDefault="00730072">
    <w:pPr>
      <w:pStyle w:val="Subsol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3CFB" w14:textId="77777777" w:rsidR="00C86ACD" w:rsidRDefault="00C86AC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B676" w14:textId="77777777" w:rsidR="006A7D86" w:rsidRDefault="006A7D86" w:rsidP="00B308E3">
      <w:pPr>
        <w:spacing w:after="0" w:line="240" w:lineRule="auto"/>
      </w:pPr>
      <w:r>
        <w:separator/>
      </w:r>
    </w:p>
  </w:footnote>
  <w:footnote w:type="continuationSeparator" w:id="0">
    <w:p w14:paraId="17D30ECD" w14:textId="77777777" w:rsidR="006A7D86" w:rsidRDefault="006A7D86" w:rsidP="00B30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1073" w14:textId="1C637C33" w:rsidR="00C86ACD" w:rsidRDefault="00000000">
    <w:pPr>
      <w:pStyle w:val="Antet"/>
    </w:pPr>
    <w:r>
      <w:rPr>
        <w:noProof/>
      </w:rPr>
      <w:pict w14:anchorId="6C01CE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668001" o:spid="_x0000_s1026" type="#_x0000_t136" style="position:absolute;margin-left:0;margin-top:0;width:467.55pt;height:200.3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P R O I E C 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4430" w14:textId="78396397" w:rsidR="00C86ACD" w:rsidRDefault="00000000">
    <w:pPr>
      <w:pStyle w:val="Antet"/>
    </w:pPr>
    <w:r>
      <w:rPr>
        <w:noProof/>
      </w:rPr>
      <w:pict w14:anchorId="6A5274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668002" o:spid="_x0000_s1027" type="#_x0000_t136" style="position:absolute;margin-left:0;margin-top:0;width:467.55pt;height:200.35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P R O I E C T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E5F9" w14:textId="22700068" w:rsidR="00C86ACD" w:rsidRDefault="00000000">
    <w:pPr>
      <w:pStyle w:val="Antet"/>
    </w:pPr>
    <w:r>
      <w:rPr>
        <w:noProof/>
      </w:rPr>
      <w:pict w14:anchorId="766BD8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668000" o:spid="_x0000_s1025" type="#_x0000_t136" style="position:absolute;margin-left:0;margin-top:0;width:467.55pt;height:200.3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P R O I E C 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1952"/>
    <w:multiLevelType w:val="hybridMultilevel"/>
    <w:tmpl w:val="C23E584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44BB8"/>
    <w:multiLevelType w:val="hybridMultilevel"/>
    <w:tmpl w:val="C23E584E"/>
    <w:lvl w:ilvl="0" w:tplc="A0684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1C0419"/>
    <w:multiLevelType w:val="hybridMultilevel"/>
    <w:tmpl w:val="C23E584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9377488">
    <w:abstractNumId w:val="1"/>
  </w:num>
  <w:num w:numId="2" w16cid:durableId="517499549">
    <w:abstractNumId w:val="0"/>
  </w:num>
  <w:num w:numId="3" w16cid:durableId="18204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7B"/>
    <w:rsid w:val="00004243"/>
    <w:rsid w:val="00037054"/>
    <w:rsid w:val="000609BE"/>
    <w:rsid w:val="0007181F"/>
    <w:rsid w:val="0007582F"/>
    <w:rsid w:val="000828F1"/>
    <w:rsid w:val="00083D31"/>
    <w:rsid w:val="000C352E"/>
    <w:rsid w:val="000D378F"/>
    <w:rsid w:val="001028C1"/>
    <w:rsid w:val="0012164C"/>
    <w:rsid w:val="001303CD"/>
    <w:rsid w:val="00136F25"/>
    <w:rsid w:val="00137577"/>
    <w:rsid w:val="001556E1"/>
    <w:rsid w:val="00166D21"/>
    <w:rsid w:val="001B1F90"/>
    <w:rsid w:val="001C091D"/>
    <w:rsid w:val="001E3108"/>
    <w:rsid w:val="00202381"/>
    <w:rsid w:val="00220F57"/>
    <w:rsid w:val="00241295"/>
    <w:rsid w:val="002C2AB1"/>
    <w:rsid w:val="002C2BD9"/>
    <w:rsid w:val="002C4F83"/>
    <w:rsid w:val="00314A50"/>
    <w:rsid w:val="00316913"/>
    <w:rsid w:val="00361500"/>
    <w:rsid w:val="00361608"/>
    <w:rsid w:val="003D0E23"/>
    <w:rsid w:val="00417E9E"/>
    <w:rsid w:val="004231DA"/>
    <w:rsid w:val="004423E8"/>
    <w:rsid w:val="00471705"/>
    <w:rsid w:val="00471E9C"/>
    <w:rsid w:val="00501AD3"/>
    <w:rsid w:val="00502928"/>
    <w:rsid w:val="00506134"/>
    <w:rsid w:val="00514786"/>
    <w:rsid w:val="005155C8"/>
    <w:rsid w:val="005178BE"/>
    <w:rsid w:val="005445E9"/>
    <w:rsid w:val="005534B2"/>
    <w:rsid w:val="0055632B"/>
    <w:rsid w:val="00556588"/>
    <w:rsid w:val="005B4350"/>
    <w:rsid w:val="005B7111"/>
    <w:rsid w:val="005E5A36"/>
    <w:rsid w:val="005E64FE"/>
    <w:rsid w:val="006718D1"/>
    <w:rsid w:val="00671D56"/>
    <w:rsid w:val="006A7D86"/>
    <w:rsid w:val="006F27DB"/>
    <w:rsid w:val="006F569B"/>
    <w:rsid w:val="00700D3C"/>
    <w:rsid w:val="00726C0D"/>
    <w:rsid w:val="007270EE"/>
    <w:rsid w:val="00730072"/>
    <w:rsid w:val="007505FE"/>
    <w:rsid w:val="007B27ED"/>
    <w:rsid w:val="00802535"/>
    <w:rsid w:val="008177F8"/>
    <w:rsid w:val="00825E28"/>
    <w:rsid w:val="00833FB9"/>
    <w:rsid w:val="00841F4E"/>
    <w:rsid w:val="00846E8F"/>
    <w:rsid w:val="0086497B"/>
    <w:rsid w:val="008A69CF"/>
    <w:rsid w:val="008B2905"/>
    <w:rsid w:val="009007DF"/>
    <w:rsid w:val="0095661C"/>
    <w:rsid w:val="00972FB8"/>
    <w:rsid w:val="009B3761"/>
    <w:rsid w:val="009E26B5"/>
    <w:rsid w:val="00A00783"/>
    <w:rsid w:val="00A05D0F"/>
    <w:rsid w:val="00A15BF2"/>
    <w:rsid w:val="00A3611B"/>
    <w:rsid w:val="00A6372D"/>
    <w:rsid w:val="00AE4CCF"/>
    <w:rsid w:val="00AE725C"/>
    <w:rsid w:val="00B17BD0"/>
    <w:rsid w:val="00B308E3"/>
    <w:rsid w:val="00B323FD"/>
    <w:rsid w:val="00B83C3B"/>
    <w:rsid w:val="00B860F2"/>
    <w:rsid w:val="00B978CC"/>
    <w:rsid w:val="00C03B76"/>
    <w:rsid w:val="00C1487F"/>
    <w:rsid w:val="00C469CF"/>
    <w:rsid w:val="00C557E2"/>
    <w:rsid w:val="00C86ACD"/>
    <w:rsid w:val="00CD2BA2"/>
    <w:rsid w:val="00D130D0"/>
    <w:rsid w:val="00D1418A"/>
    <w:rsid w:val="00D22780"/>
    <w:rsid w:val="00D25A3F"/>
    <w:rsid w:val="00D32570"/>
    <w:rsid w:val="00D63926"/>
    <w:rsid w:val="00D76E21"/>
    <w:rsid w:val="00E0680E"/>
    <w:rsid w:val="00E119D8"/>
    <w:rsid w:val="00E32397"/>
    <w:rsid w:val="00ED7B10"/>
    <w:rsid w:val="00EE24A8"/>
    <w:rsid w:val="00FA6D6A"/>
    <w:rsid w:val="00FB74DF"/>
    <w:rsid w:val="00FC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B26B6"/>
  <w15:chartTrackingRefBased/>
  <w15:docId w15:val="{50A0F34F-4FAC-4A72-8117-28678B77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E2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314A5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314A50"/>
    <w:rPr>
      <w:rFonts w:ascii="Calibri" w:eastAsia="Calibri" w:hAnsi="Calibri" w:cs="Times New Roman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314A5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314A50"/>
    <w:rPr>
      <w:rFonts w:ascii="Calibri" w:eastAsia="Calibri" w:hAnsi="Calibri" w:cs="Times New Roman"/>
      <w14:ligatures w14:val="none"/>
    </w:rPr>
  </w:style>
  <w:style w:type="character" w:styleId="Numrdepagin">
    <w:name w:val="page number"/>
    <w:basedOn w:val="Fontdeparagrafimplicit"/>
    <w:rsid w:val="00314A50"/>
  </w:style>
  <w:style w:type="paragraph" w:styleId="Listparagraf">
    <w:name w:val="List Paragraph"/>
    <w:basedOn w:val="Normal"/>
    <w:uiPriority w:val="34"/>
    <w:qFormat/>
    <w:rsid w:val="00CD2BA2"/>
    <w:pPr>
      <w:ind w:left="720"/>
      <w:contextualSpacing/>
    </w:pPr>
  </w:style>
  <w:style w:type="paragraph" w:styleId="Revizuire">
    <w:name w:val="Revision"/>
    <w:hidden/>
    <w:uiPriority w:val="99"/>
    <w:semiHidden/>
    <w:rsid w:val="005E64FE"/>
    <w:pPr>
      <w:spacing w:after="0" w:line="240" w:lineRule="auto"/>
    </w:pPr>
    <w:rPr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5E64F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E64F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E64FE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E64F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E64FE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E629-C954-412E-9229-67708D02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1577</Words>
  <Characters>9152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GeorgeConstantinescu</dc:creator>
  <cp:keywords/>
  <dc:description/>
  <cp:lastModifiedBy>Ciprian Mocan</cp:lastModifiedBy>
  <cp:revision>2</cp:revision>
  <cp:lastPrinted>2025-11-25T12:36:00Z</cp:lastPrinted>
  <dcterms:created xsi:type="dcterms:W3CDTF">2025-11-28T11:41:00Z</dcterms:created>
  <dcterms:modified xsi:type="dcterms:W3CDTF">2025-11-28T11:41:00Z</dcterms:modified>
</cp:coreProperties>
</file>