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3D27" w14:textId="77777777" w:rsidR="00DA7FB4" w:rsidRDefault="00C372DE">
      <w:pPr>
        <w:spacing w:after="0" w:line="240" w:lineRule="auto"/>
        <w:ind w:right="14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NOTĂ DE FUNDAMENTARE</w:t>
      </w:r>
    </w:p>
    <w:p w14:paraId="2CA2EFB0" w14:textId="77777777" w:rsidR="00DA7FB4" w:rsidRDefault="00DA7FB4">
      <w:pPr>
        <w:spacing w:after="0" w:line="240" w:lineRule="auto"/>
        <w:rPr>
          <w:rFonts w:ascii="Times New Roman" w:eastAsia="Times New Roman" w:hAnsi="Times New Roman" w:cs="Times New Roman"/>
          <w:sz w:val="24"/>
          <w:szCs w:val="24"/>
        </w:rPr>
      </w:pPr>
    </w:p>
    <w:tbl>
      <w:tblPr>
        <w:tblStyle w:val="a"/>
        <w:tblW w:w="10096"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
        <w:gridCol w:w="2336"/>
        <w:gridCol w:w="1205"/>
        <w:gridCol w:w="199"/>
        <w:gridCol w:w="1837"/>
        <w:gridCol w:w="816"/>
        <w:gridCol w:w="530"/>
        <w:gridCol w:w="399"/>
        <w:gridCol w:w="421"/>
        <w:gridCol w:w="422"/>
        <w:gridCol w:w="1175"/>
      </w:tblGrid>
      <w:tr w:rsidR="00DA7FB4" w14:paraId="19618A9C" w14:textId="77777777">
        <w:trPr>
          <w:trHeight w:val="508"/>
        </w:trPr>
        <w:tc>
          <w:tcPr>
            <w:tcW w:w="10096" w:type="dxa"/>
            <w:gridSpan w:val="11"/>
            <w:vAlign w:val="center"/>
          </w:tcPr>
          <w:p w14:paraId="01D209B5" w14:textId="77777777" w:rsidR="00DA7FB4" w:rsidRDefault="00C372DE">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Secţiunea</w:t>
            </w:r>
            <w:proofErr w:type="spellEnd"/>
            <w:r>
              <w:rPr>
                <w:rFonts w:ascii="Times New Roman" w:eastAsia="Times New Roman" w:hAnsi="Times New Roman" w:cs="Times New Roman"/>
                <w:b/>
                <w:sz w:val="24"/>
                <w:szCs w:val="24"/>
              </w:rPr>
              <w:t xml:space="preserve"> 1</w:t>
            </w:r>
          </w:p>
          <w:p w14:paraId="71CB2544" w14:textId="77777777" w:rsidR="00DA7FB4" w:rsidRDefault="00C372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Titlul proiectului de act normativ</w:t>
            </w:r>
          </w:p>
        </w:tc>
      </w:tr>
      <w:tr w:rsidR="00DA7FB4" w14:paraId="089D0E8A" w14:textId="77777777">
        <w:trPr>
          <w:trHeight w:val="457"/>
        </w:trPr>
        <w:tc>
          <w:tcPr>
            <w:tcW w:w="10096" w:type="dxa"/>
            <w:gridSpan w:val="11"/>
            <w:vAlign w:val="center"/>
          </w:tcPr>
          <w:p w14:paraId="4E0F3240" w14:textId="77777777" w:rsidR="00DA7FB4" w:rsidRDefault="00DA7FB4">
            <w:pPr>
              <w:spacing w:after="0" w:line="240" w:lineRule="auto"/>
              <w:ind w:right="123"/>
              <w:jc w:val="center"/>
              <w:rPr>
                <w:rFonts w:ascii="Times New Roman" w:eastAsia="Times New Roman" w:hAnsi="Times New Roman" w:cs="Times New Roman"/>
                <w:b/>
                <w:sz w:val="10"/>
                <w:szCs w:val="10"/>
              </w:rPr>
            </w:pPr>
          </w:p>
          <w:p w14:paraId="3807A834" w14:textId="77777777" w:rsidR="00DA7FB4" w:rsidRDefault="00C372DE">
            <w:pPr>
              <w:spacing w:after="0" w:line="240" w:lineRule="auto"/>
              <w:ind w:right="1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HOTĂRÂRE A GUVERNULUI</w:t>
            </w:r>
          </w:p>
          <w:p w14:paraId="18CC9C66" w14:textId="77777777" w:rsidR="00DA7FB4" w:rsidRDefault="00DA7FB4">
            <w:pPr>
              <w:spacing w:after="0" w:line="240" w:lineRule="auto"/>
              <w:ind w:right="123"/>
              <w:jc w:val="center"/>
              <w:rPr>
                <w:rFonts w:ascii="Times New Roman" w:eastAsia="Times New Roman" w:hAnsi="Times New Roman" w:cs="Times New Roman"/>
                <w:b/>
                <w:sz w:val="24"/>
                <w:szCs w:val="24"/>
              </w:rPr>
            </w:pPr>
          </w:p>
          <w:p w14:paraId="7C98AFCC" w14:textId="77777777" w:rsidR="00DA7FB4" w:rsidRDefault="00C372DE">
            <w:pPr>
              <w:spacing w:after="0" w:line="276" w:lineRule="auto"/>
              <w:jc w:val="center"/>
              <w:rPr>
                <w:rFonts w:ascii="Times New Roman" w:eastAsia="Times New Roman" w:hAnsi="Times New Roman" w:cs="Times New Roman"/>
                <w:b/>
                <w:sz w:val="10"/>
                <w:szCs w:val="10"/>
              </w:rPr>
            </w:pPr>
            <w:r>
              <w:rPr>
                <w:rFonts w:ascii="Times New Roman" w:eastAsia="Times New Roman" w:hAnsi="Times New Roman" w:cs="Times New Roman"/>
                <w:b/>
                <w:sz w:val="24"/>
                <w:szCs w:val="24"/>
              </w:rPr>
              <w:t xml:space="preserve">privind declararea de interes public </w:t>
            </w:r>
            <w:proofErr w:type="spellStart"/>
            <w:r>
              <w:rPr>
                <w:rFonts w:ascii="Times New Roman" w:eastAsia="Times New Roman" w:hAnsi="Times New Roman" w:cs="Times New Roman"/>
                <w:b/>
                <w:sz w:val="24"/>
                <w:szCs w:val="24"/>
              </w:rPr>
              <w:t>naţional</w:t>
            </w:r>
            <w:proofErr w:type="spellEnd"/>
            <w:r>
              <w:rPr>
                <w:rFonts w:ascii="Times New Roman" w:eastAsia="Times New Roman" w:hAnsi="Times New Roman" w:cs="Times New Roman"/>
                <w:b/>
                <w:sz w:val="24"/>
                <w:szCs w:val="24"/>
              </w:rPr>
              <w:t xml:space="preserve"> a unor bunuri imobile din patrimoniul Regiei </w:t>
            </w:r>
            <w:proofErr w:type="spellStart"/>
            <w:r>
              <w:rPr>
                <w:rFonts w:ascii="Times New Roman" w:eastAsia="Times New Roman" w:hAnsi="Times New Roman" w:cs="Times New Roman"/>
                <w:b/>
                <w:sz w:val="24"/>
                <w:szCs w:val="24"/>
              </w:rPr>
              <w:t>Naţionale</w:t>
            </w:r>
            <w:proofErr w:type="spellEnd"/>
            <w:r>
              <w:rPr>
                <w:rFonts w:ascii="Times New Roman" w:eastAsia="Times New Roman" w:hAnsi="Times New Roman" w:cs="Times New Roman"/>
                <w:b/>
                <w:sz w:val="24"/>
                <w:szCs w:val="24"/>
              </w:rPr>
              <w:t xml:space="preserve"> a Pădurilor – Romsilva, trecerea acestora cu titlu oneros în domeniul public al statului </w:t>
            </w:r>
            <w:proofErr w:type="spellStart"/>
            <w:r>
              <w:rPr>
                <w:rFonts w:ascii="Times New Roman" w:eastAsia="Times New Roman" w:hAnsi="Times New Roman" w:cs="Times New Roman"/>
                <w:b/>
                <w:sz w:val="24"/>
                <w:szCs w:val="24"/>
              </w:rPr>
              <w:t>şi</w:t>
            </w:r>
            <w:proofErr w:type="spellEnd"/>
            <w:r>
              <w:rPr>
                <w:rFonts w:ascii="Times New Roman" w:eastAsia="Times New Roman" w:hAnsi="Times New Roman" w:cs="Times New Roman"/>
                <w:b/>
                <w:sz w:val="24"/>
                <w:szCs w:val="24"/>
              </w:rPr>
              <w:t xml:space="preserve"> în administrarea Ministerului Educației și Cercetării prin Universitatea de Medicină, Farmacie, Științe și Tehnologie „George Emil Palade” din Târgu Mureș, precum și înscrierea acestora în inventarul centralizat al bunurilor din domeniul public al statului</w:t>
            </w:r>
          </w:p>
        </w:tc>
      </w:tr>
      <w:tr w:rsidR="00DA7FB4" w14:paraId="58EF850A" w14:textId="77777777">
        <w:tc>
          <w:tcPr>
            <w:tcW w:w="10096" w:type="dxa"/>
            <w:gridSpan w:val="11"/>
            <w:vAlign w:val="center"/>
          </w:tcPr>
          <w:p w14:paraId="0C436721" w14:textId="77777777" w:rsidR="00DA7FB4" w:rsidRDefault="00C372DE">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Secţiunea</w:t>
            </w:r>
            <w:proofErr w:type="spellEnd"/>
            <w:r>
              <w:rPr>
                <w:rFonts w:ascii="Times New Roman" w:eastAsia="Times New Roman" w:hAnsi="Times New Roman" w:cs="Times New Roman"/>
                <w:b/>
                <w:sz w:val="24"/>
                <w:szCs w:val="24"/>
              </w:rPr>
              <w:t xml:space="preserve"> a 2-a</w:t>
            </w:r>
          </w:p>
          <w:p w14:paraId="10D809CC" w14:textId="77777777" w:rsidR="00DA7FB4" w:rsidRDefault="00C372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Motivul emiterii actului normativ</w:t>
            </w:r>
          </w:p>
          <w:p w14:paraId="4AFCA269" w14:textId="77777777" w:rsidR="00DA7FB4" w:rsidRDefault="00DA7FB4">
            <w:pPr>
              <w:spacing w:after="0" w:line="240" w:lineRule="auto"/>
              <w:jc w:val="center"/>
              <w:rPr>
                <w:rFonts w:ascii="Times New Roman" w:eastAsia="Times New Roman" w:hAnsi="Times New Roman" w:cs="Times New Roman"/>
                <w:sz w:val="10"/>
                <w:szCs w:val="10"/>
              </w:rPr>
            </w:pPr>
          </w:p>
        </w:tc>
      </w:tr>
      <w:tr w:rsidR="00DA7FB4" w14:paraId="57EBAF3A" w14:textId="77777777">
        <w:trPr>
          <w:trHeight w:val="90"/>
        </w:trPr>
        <w:tc>
          <w:tcPr>
            <w:tcW w:w="756" w:type="dxa"/>
            <w:vAlign w:val="center"/>
          </w:tcPr>
          <w:p w14:paraId="77CFA3E0"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336" w:type="dxa"/>
            <w:vAlign w:val="center"/>
          </w:tcPr>
          <w:p w14:paraId="73CEC102"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Sursa proiectului de act normativ</w:t>
            </w:r>
          </w:p>
        </w:tc>
        <w:tc>
          <w:tcPr>
            <w:tcW w:w="7004" w:type="dxa"/>
            <w:gridSpan w:val="9"/>
            <w:vAlign w:val="center"/>
          </w:tcPr>
          <w:p w14:paraId="5DCF54A6" w14:textId="77777777" w:rsidR="00DA7FB4" w:rsidRDefault="00C372DE">
            <w:pPr>
              <w:tabs>
                <w:tab w:val="left" w:pos="675"/>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prevederile art.3 și 5 din Legea nr.15/1990 privind reorganizarea unităților economice de stat ca regii autonome și societăți comerciale,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cu modificările și completările ulterioare, ale art.3 din Hotărârea Guvernului nr.229/2009 privind reorganizarea Regiei </w:t>
            </w:r>
            <w:proofErr w:type="spellStart"/>
            <w:r>
              <w:rPr>
                <w:rFonts w:ascii="Times New Roman" w:eastAsia="Times New Roman" w:hAnsi="Times New Roman" w:cs="Times New Roman"/>
                <w:sz w:val="24"/>
                <w:szCs w:val="24"/>
              </w:rPr>
              <w:t>Naţionale</w:t>
            </w:r>
            <w:proofErr w:type="spellEnd"/>
            <w:r>
              <w:rPr>
                <w:rFonts w:ascii="Times New Roman" w:eastAsia="Times New Roman" w:hAnsi="Times New Roman" w:cs="Times New Roman"/>
                <w:sz w:val="24"/>
                <w:szCs w:val="24"/>
              </w:rPr>
              <w:t xml:space="preserve"> a Pădurilor - Romsilva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aprobarea regulamentului de organizare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funcţionare</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cu modificările și completările ulterioare,</w:t>
            </w:r>
          </w:p>
          <w:p w14:paraId="75EF45EF"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temeiul art.108 din Constituția României, republicată, ale art.863 </w:t>
            </w:r>
            <w:proofErr w:type="spellStart"/>
            <w:r>
              <w:rPr>
                <w:rFonts w:ascii="Times New Roman" w:eastAsia="Times New Roman" w:hAnsi="Times New Roman" w:cs="Times New Roman"/>
                <w:sz w:val="24"/>
                <w:szCs w:val="24"/>
              </w:rPr>
              <w:t>lit.d</w:t>
            </w:r>
            <w:proofErr w:type="spellEnd"/>
            <w:r>
              <w:rPr>
                <w:rFonts w:ascii="Times New Roman" w:eastAsia="Times New Roman" w:hAnsi="Times New Roman" w:cs="Times New Roman"/>
                <w:sz w:val="24"/>
                <w:szCs w:val="24"/>
              </w:rPr>
              <w:t xml:space="preserve">) și art.867 alin.(1) din Legea nr.287/2009 privind Codul civil, republicată, cu modificările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completările ulterioare, ale art.296 alin.(4) și (5),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ale art.297 alin.(1) </w:t>
            </w:r>
            <w:proofErr w:type="spellStart"/>
            <w:r>
              <w:rPr>
                <w:rFonts w:ascii="Times New Roman" w:eastAsia="Times New Roman" w:hAnsi="Times New Roman" w:cs="Times New Roman"/>
                <w:sz w:val="24"/>
                <w:szCs w:val="24"/>
              </w:rPr>
              <w:t>lit.a</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din </w:t>
            </w:r>
            <w:proofErr w:type="spellStart"/>
            <w:r>
              <w:rPr>
                <w:rFonts w:ascii="Times New Roman" w:eastAsia="Times New Roman" w:hAnsi="Times New Roman" w:cs="Times New Roman"/>
                <w:sz w:val="24"/>
                <w:szCs w:val="24"/>
              </w:rPr>
              <w:t>Ordonanţa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a Guvernului nr.57/2019 privind Codul administrativ, cu modificările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completările ulterioare,</w:t>
            </w:r>
          </w:p>
          <w:p w14:paraId="775AD5A9"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C3ADB3"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Inițiativa Ministerului Mediului, Apelor și Pădurilor și al Ministerului Educației și Cercetării</w:t>
            </w:r>
          </w:p>
        </w:tc>
      </w:tr>
      <w:tr w:rsidR="00DA7FB4" w14:paraId="7C51403A" w14:textId="77777777">
        <w:trPr>
          <w:trHeight w:val="841"/>
        </w:trPr>
        <w:tc>
          <w:tcPr>
            <w:tcW w:w="756" w:type="dxa"/>
            <w:vAlign w:val="center"/>
          </w:tcPr>
          <w:p w14:paraId="07AE2003" w14:textId="77777777" w:rsidR="00DA7FB4" w:rsidRDefault="00C372DE">
            <w:pPr>
              <w:spacing w:after="0" w:line="240" w:lineRule="auto"/>
              <w:jc w:val="righ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2.2.</w:t>
            </w:r>
          </w:p>
        </w:tc>
        <w:tc>
          <w:tcPr>
            <w:tcW w:w="2336" w:type="dxa"/>
            <w:vAlign w:val="center"/>
          </w:tcPr>
          <w:p w14:paraId="3E0EC1B2"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Descrierea </w:t>
            </w:r>
            <w:proofErr w:type="spellStart"/>
            <w:r>
              <w:rPr>
                <w:rFonts w:ascii="Times New Roman" w:eastAsia="Times New Roman" w:hAnsi="Times New Roman" w:cs="Times New Roman"/>
                <w:sz w:val="24"/>
                <w:szCs w:val="24"/>
              </w:rPr>
              <w:t>situaţiei</w:t>
            </w:r>
            <w:proofErr w:type="spellEnd"/>
            <w:r>
              <w:rPr>
                <w:rFonts w:ascii="Times New Roman" w:eastAsia="Times New Roman" w:hAnsi="Times New Roman" w:cs="Times New Roman"/>
                <w:sz w:val="24"/>
                <w:szCs w:val="24"/>
              </w:rPr>
              <w:t xml:space="preserve"> actuale</w:t>
            </w:r>
          </w:p>
        </w:tc>
        <w:tc>
          <w:tcPr>
            <w:tcW w:w="7004" w:type="dxa"/>
            <w:gridSpan w:val="9"/>
          </w:tcPr>
          <w:p w14:paraId="5729A2C1" w14:textId="77777777" w:rsidR="00DA7FB4" w:rsidRDefault="00C372DE">
            <w:pPr>
              <w:spacing w:after="120" w:line="276" w:lineRule="auto"/>
              <w:ind w:right="1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Ministerul Mediului, Apelor și Pădurilor funcționează ca organ de specialitate al administrației publice centrale, cu personalitate juridică, în subordinea Guvernului, care administrează bunurile din domeniul public al statului de natura celor prevăzute la art.136 alin. (3) din </w:t>
            </w:r>
            <w:proofErr w:type="spellStart"/>
            <w:r>
              <w:rPr>
                <w:rFonts w:ascii="Times New Roman" w:eastAsia="Times New Roman" w:hAnsi="Times New Roman" w:cs="Times New Roman"/>
                <w:sz w:val="24"/>
                <w:szCs w:val="24"/>
              </w:rPr>
              <w:t>Constituţia</w:t>
            </w:r>
            <w:proofErr w:type="spellEnd"/>
            <w:r>
              <w:rPr>
                <w:rFonts w:ascii="Times New Roman" w:eastAsia="Times New Roman" w:hAnsi="Times New Roman" w:cs="Times New Roman"/>
                <w:sz w:val="24"/>
                <w:szCs w:val="24"/>
              </w:rPr>
              <w:t xml:space="preserve"> României, republicată, și la art.286 alin.(2) din Ordonanța de urgență a Guvernului nr.57/2019 privind Codul administrativ, cu modificările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completările ulterioare.</w:t>
            </w:r>
          </w:p>
          <w:p w14:paraId="73559ED3" w14:textId="77777777" w:rsidR="00DA7FB4" w:rsidRDefault="00C372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Regia Națională a Pădurilor – Romsilva este o regie autonomă înființată în baza </w:t>
            </w:r>
            <w:r>
              <w:rPr>
                <w:rFonts w:ascii="Times New Roman" w:eastAsia="Times New Roman" w:hAnsi="Times New Roman" w:cs="Times New Roman"/>
                <w:b/>
                <w:sz w:val="24"/>
                <w:szCs w:val="24"/>
              </w:rPr>
              <w:t>Hotărârii Guvernului nr.229/2009</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b/>
                <w:sz w:val="24"/>
                <w:szCs w:val="24"/>
              </w:rPr>
              <w:t xml:space="preserve">privind reorganizarea Regiei </w:t>
            </w:r>
            <w:proofErr w:type="spellStart"/>
            <w:r>
              <w:rPr>
                <w:rFonts w:ascii="Times New Roman" w:eastAsia="Times New Roman" w:hAnsi="Times New Roman" w:cs="Times New Roman"/>
                <w:b/>
                <w:sz w:val="24"/>
                <w:szCs w:val="24"/>
              </w:rPr>
              <w:t>Naţionale</w:t>
            </w:r>
            <w:proofErr w:type="spellEnd"/>
            <w:r>
              <w:rPr>
                <w:rFonts w:ascii="Times New Roman" w:eastAsia="Times New Roman" w:hAnsi="Times New Roman" w:cs="Times New Roman"/>
                <w:b/>
                <w:sz w:val="24"/>
                <w:szCs w:val="24"/>
              </w:rPr>
              <w:t xml:space="preserve"> a Pădurilor - Romsilva </w:t>
            </w:r>
            <w:proofErr w:type="spellStart"/>
            <w:r>
              <w:rPr>
                <w:rFonts w:ascii="Times New Roman" w:eastAsia="Times New Roman" w:hAnsi="Times New Roman" w:cs="Times New Roman"/>
                <w:b/>
                <w:sz w:val="24"/>
                <w:szCs w:val="24"/>
              </w:rPr>
              <w:t>şi</w:t>
            </w:r>
            <w:proofErr w:type="spellEnd"/>
            <w:r>
              <w:rPr>
                <w:rFonts w:ascii="Times New Roman" w:eastAsia="Times New Roman" w:hAnsi="Times New Roman" w:cs="Times New Roman"/>
                <w:b/>
                <w:sz w:val="24"/>
                <w:szCs w:val="24"/>
              </w:rPr>
              <w:t xml:space="preserve"> aprobarea regulamentului de organizare </w:t>
            </w:r>
            <w:proofErr w:type="spellStart"/>
            <w:r>
              <w:rPr>
                <w:rFonts w:ascii="Times New Roman" w:eastAsia="Times New Roman" w:hAnsi="Times New Roman" w:cs="Times New Roman"/>
                <w:b/>
                <w:sz w:val="24"/>
                <w:szCs w:val="24"/>
              </w:rPr>
              <w:t>şi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funcţionare</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cu modificările și completările ulterioare, având ca obiect principal de activitate gestionarea durabilă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unitară a fondului forestier proprietate publică a statului. Printre activitățile principale desfășurate de către Regia Națională a Pădurilor-Romsilva, denumită în continuare Romsilva, se regăsește și aceea de administrare a terenurilor de natura fondului forestier proprietate publică a statului.</w:t>
            </w:r>
          </w:p>
          <w:p w14:paraId="36BB0741" w14:textId="77777777" w:rsidR="00DA7FB4" w:rsidRDefault="00C372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Romsilva este structurat în două categorii de bunuri, fiecare având un regim juridic distinct:  </w:t>
            </w:r>
          </w:p>
          <w:p w14:paraId="4012132B" w14:textId="77777777" w:rsidR="00DA7FB4" w:rsidRDefault="00C372DE">
            <w:pPr>
              <w:numPr>
                <w:ilvl w:val="0"/>
                <w:numId w:val="1"/>
              </w:numPr>
              <w:jc w:val="both"/>
              <w:rPr>
                <w:sz w:val="24"/>
                <w:szCs w:val="24"/>
              </w:rPr>
            </w:pPr>
            <w:r>
              <w:rPr>
                <w:rFonts w:ascii="Times New Roman" w:eastAsia="Times New Roman" w:hAnsi="Times New Roman" w:cs="Times New Roman"/>
                <w:b/>
                <w:sz w:val="24"/>
                <w:szCs w:val="24"/>
              </w:rPr>
              <w:lastRenderedPageBreak/>
              <w:t xml:space="preserve">Bunurile care fac parte din patrimoniul propriu al Romsilva: </w:t>
            </w:r>
            <w:r>
              <w:rPr>
                <w:rFonts w:ascii="Times New Roman" w:eastAsia="Times New Roman" w:hAnsi="Times New Roman" w:cs="Times New Roman"/>
                <w:sz w:val="24"/>
                <w:szCs w:val="24"/>
              </w:rPr>
              <w:t xml:space="preserve">Conform </w:t>
            </w:r>
            <w:r>
              <w:rPr>
                <w:rFonts w:ascii="Times New Roman" w:eastAsia="Times New Roman" w:hAnsi="Times New Roman" w:cs="Times New Roman"/>
                <w:b/>
                <w:sz w:val="24"/>
                <w:szCs w:val="24"/>
              </w:rPr>
              <w:t>art.3</w:t>
            </w:r>
            <w:r>
              <w:rPr>
                <w:rFonts w:ascii="Times New Roman" w:eastAsia="Times New Roman" w:hAnsi="Times New Roman" w:cs="Times New Roman"/>
                <w:sz w:val="24"/>
                <w:szCs w:val="24"/>
              </w:rPr>
              <w:t xml:space="preserve"> din </w:t>
            </w:r>
            <w:r>
              <w:rPr>
                <w:rFonts w:ascii="Times New Roman" w:eastAsia="Times New Roman" w:hAnsi="Times New Roman" w:cs="Times New Roman"/>
                <w:b/>
                <w:sz w:val="24"/>
                <w:szCs w:val="24"/>
              </w:rPr>
              <w:t xml:space="preserve">Hotărârea Guvernului nr.229/2009, </w:t>
            </w:r>
            <w:r>
              <w:rPr>
                <w:rFonts w:ascii="Times New Roman" w:eastAsia="Times New Roman" w:hAnsi="Times New Roman" w:cs="Times New Roman"/>
                <w:sz w:val="24"/>
                <w:szCs w:val="24"/>
              </w:rPr>
              <w:t xml:space="preserve">cu modificările și completările ulterioare, </w:t>
            </w:r>
            <w:r>
              <w:rPr>
                <w:rFonts w:ascii="Times New Roman" w:eastAsia="Times New Roman" w:hAnsi="Times New Roman" w:cs="Times New Roman"/>
                <w:i/>
                <w:sz w:val="24"/>
                <w:szCs w:val="24"/>
              </w:rPr>
              <w:t xml:space="preserve">”patrimoniul propriu al Romsilva (...) fiind constituit prin însumarea patrimoniilor </w:t>
            </w:r>
            <w:proofErr w:type="spellStart"/>
            <w:r>
              <w:rPr>
                <w:rFonts w:ascii="Times New Roman" w:eastAsia="Times New Roman" w:hAnsi="Times New Roman" w:cs="Times New Roman"/>
                <w:i/>
                <w:sz w:val="24"/>
                <w:szCs w:val="24"/>
              </w:rPr>
              <w:t>unităţilor</w:t>
            </w:r>
            <w:proofErr w:type="spellEnd"/>
            <w:r>
              <w:rPr>
                <w:rFonts w:ascii="Times New Roman" w:eastAsia="Times New Roman" w:hAnsi="Times New Roman" w:cs="Times New Roman"/>
                <w:i/>
                <w:sz w:val="24"/>
                <w:szCs w:val="24"/>
              </w:rPr>
              <w:t xml:space="preserve"> din structura sa</w:t>
            </w:r>
            <w:r>
              <w:rPr>
                <w:rFonts w:ascii="Times New Roman" w:eastAsia="Times New Roman" w:hAnsi="Times New Roman" w:cs="Times New Roman"/>
                <w:sz w:val="24"/>
                <w:szCs w:val="24"/>
              </w:rPr>
              <w:t>”. Aceste bunuri aparțin regiei cu titlu de drept real, ceea ce îi conferă posibilitatea de a le înstrăina, concesiona sau închiria, conform prevederilor legale aplicabile.</w:t>
            </w:r>
          </w:p>
          <w:p w14:paraId="10762833" w14:textId="77777777" w:rsidR="00DA7FB4" w:rsidRDefault="00C372DE">
            <w:pPr>
              <w:numPr>
                <w:ilvl w:val="0"/>
                <w:numId w:val="1"/>
              </w:numPr>
              <w:jc w:val="both"/>
            </w:pPr>
            <w:r>
              <w:rPr>
                <w:rFonts w:ascii="Times New Roman" w:eastAsia="Times New Roman" w:hAnsi="Times New Roman" w:cs="Times New Roman"/>
                <w:b/>
                <w:sz w:val="24"/>
                <w:szCs w:val="24"/>
              </w:rPr>
              <w:t xml:space="preserve">Bunurile proprietate publică a statului, aflate în administrarea Romsilva: </w:t>
            </w:r>
            <w:r>
              <w:rPr>
                <w:rFonts w:ascii="Times New Roman" w:eastAsia="Times New Roman" w:hAnsi="Times New Roman" w:cs="Times New Roman"/>
                <w:sz w:val="24"/>
                <w:szCs w:val="24"/>
              </w:rPr>
              <w:t xml:space="preserve">Conform </w:t>
            </w:r>
            <w:r>
              <w:rPr>
                <w:rFonts w:ascii="Times New Roman" w:eastAsia="Times New Roman" w:hAnsi="Times New Roman" w:cs="Times New Roman"/>
                <w:b/>
                <w:sz w:val="24"/>
                <w:szCs w:val="24"/>
              </w:rPr>
              <w:t>art.5 alin.(2)</w:t>
            </w:r>
            <w:r>
              <w:rPr>
                <w:rFonts w:ascii="Times New Roman" w:eastAsia="Times New Roman" w:hAnsi="Times New Roman" w:cs="Times New Roman"/>
                <w:sz w:val="24"/>
                <w:szCs w:val="24"/>
              </w:rPr>
              <w:t xml:space="preserve"> din Regulamentul de organizare și funcționare a Regiei Naționale a Pădurilor - Romsilva, aprobat prin </w:t>
            </w:r>
            <w:r>
              <w:rPr>
                <w:rFonts w:ascii="Times New Roman" w:eastAsia="Times New Roman" w:hAnsi="Times New Roman" w:cs="Times New Roman"/>
                <w:b/>
                <w:sz w:val="24"/>
                <w:szCs w:val="24"/>
              </w:rPr>
              <w:t xml:space="preserve">Hotărârea Guvernului nr.229/2009, </w:t>
            </w:r>
            <w:r>
              <w:rPr>
                <w:rFonts w:ascii="Times New Roman" w:eastAsia="Times New Roman" w:hAnsi="Times New Roman" w:cs="Times New Roman"/>
                <w:sz w:val="24"/>
                <w:szCs w:val="24"/>
              </w:rPr>
              <w:t>cu modificările și completările ulterioare, ”</w:t>
            </w:r>
            <w:r>
              <w:rPr>
                <w:rFonts w:ascii="Times New Roman" w:eastAsia="Times New Roman" w:hAnsi="Times New Roman" w:cs="Times New Roman"/>
                <w:i/>
                <w:sz w:val="24"/>
                <w:szCs w:val="24"/>
              </w:rPr>
              <w:t xml:space="preserve">Bunurile proprietate publică a statului, administrate de Romsilva, se </w:t>
            </w:r>
            <w:proofErr w:type="spellStart"/>
            <w:r>
              <w:rPr>
                <w:rFonts w:ascii="Times New Roman" w:eastAsia="Times New Roman" w:hAnsi="Times New Roman" w:cs="Times New Roman"/>
                <w:i/>
                <w:sz w:val="24"/>
                <w:szCs w:val="24"/>
              </w:rPr>
              <w:t>evidenţiază</w:t>
            </w:r>
            <w:proofErr w:type="spellEnd"/>
            <w:r>
              <w:rPr>
                <w:rFonts w:ascii="Times New Roman" w:eastAsia="Times New Roman" w:hAnsi="Times New Roman" w:cs="Times New Roman"/>
                <w:i/>
                <w:sz w:val="24"/>
                <w:szCs w:val="24"/>
              </w:rPr>
              <w:t xml:space="preserve"> în mod distinct în patrimoniul acesteia </w:t>
            </w:r>
            <w:proofErr w:type="spellStart"/>
            <w:r>
              <w:rPr>
                <w:rFonts w:ascii="Times New Roman" w:eastAsia="Times New Roman" w:hAnsi="Times New Roman" w:cs="Times New Roman"/>
                <w:i/>
                <w:sz w:val="24"/>
                <w:szCs w:val="24"/>
              </w:rPr>
              <w:t>şi</w:t>
            </w:r>
            <w:proofErr w:type="spellEnd"/>
            <w:r>
              <w:rPr>
                <w:rFonts w:ascii="Times New Roman" w:eastAsia="Times New Roman" w:hAnsi="Times New Roman" w:cs="Times New Roman"/>
                <w:i/>
                <w:sz w:val="24"/>
                <w:szCs w:val="24"/>
              </w:rPr>
              <w:t xml:space="preserve"> au regimul prevăzut de lege</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Aceste bunuri sunt inalienabile, fiind doar date în administrare regiei, fără ca aceasta să aibă dreptul de a le înstrăina</w:t>
            </w:r>
            <w:r>
              <w:rPr>
                <w:rFonts w:ascii="Times New Roman" w:eastAsia="Times New Roman" w:hAnsi="Times New Roman" w:cs="Times New Roman"/>
              </w:rPr>
              <w:t>, concesiona sau închiria, întrucât sunt supuse regimului juridic al proprietății publice, care le protejează împotriva tranzacționării conform regulilor economice generale.</w:t>
            </w:r>
          </w:p>
          <w:p w14:paraId="1FF0DC42" w14:textId="77777777" w:rsidR="00DA7FB4" w:rsidRDefault="00C372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Această delimitare clară a patrimoniului Romsilva reflectă atât autonomia regiei asupra bunurilor proprii, cât și responsabilitatea sa de a gestiona, în regim de administrare, bunurile din domeniul public al statului fără posibilitatea de a le transmite în proprietatea altor entități prin înstrăinare acestora.</w:t>
            </w:r>
          </w:p>
          <w:p w14:paraId="763E9E80" w14:textId="77777777" w:rsidR="00DA7FB4" w:rsidRDefault="00C372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Legea nr.15/1990 privind reorganizarea unităților economice de stat ca regii autonome și societăți comerciale, </w:t>
            </w:r>
            <w:r>
              <w:rPr>
                <w:rFonts w:ascii="Times New Roman" w:eastAsia="Times New Roman" w:hAnsi="Times New Roman" w:cs="Times New Roman"/>
                <w:sz w:val="24"/>
                <w:szCs w:val="24"/>
              </w:rPr>
              <w:t>cu modificările și completările ulterioare, precizează la</w:t>
            </w:r>
            <w:r>
              <w:rPr>
                <w:rFonts w:ascii="Times New Roman" w:eastAsia="Times New Roman" w:hAnsi="Times New Roman" w:cs="Times New Roman"/>
                <w:b/>
                <w:sz w:val="24"/>
                <w:szCs w:val="24"/>
              </w:rPr>
              <w:t xml:space="preserve"> art.3:</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Regiile autonome </w:t>
            </w:r>
            <w:proofErr w:type="spellStart"/>
            <w:r>
              <w:rPr>
                <w:rFonts w:ascii="Times New Roman" w:eastAsia="Times New Roman" w:hAnsi="Times New Roman" w:cs="Times New Roman"/>
                <w:i/>
                <w:sz w:val="24"/>
                <w:szCs w:val="24"/>
              </w:rPr>
              <w:t>sînt</w:t>
            </w:r>
            <w:proofErr w:type="spellEnd"/>
            <w:r>
              <w:rPr>
                <w:rFonts w:ascii="Times New Roman" w:eastAsia="Times New Roman" w:hAnsi="Times New Roman" w:cs="Times New Roman"/>
                <w:i/>
                <w:sz w:val="24"/>
                <w:szCs w:val="24"/>
              </w:rPr>
              <w:t xml:space="preserve"> persoane juridice </w:t>
            </w:r>
            <w:proofErr w:type="spellStart"/>
            <w:r>
              <w:rPr>
                <w:rFonts w:ascii="Times New Roman" w:eastAsia="Times New Roman" w:hAnsi="Times New Roman" w:cs="Times New Roman"/>
                <w:i/>
                <w:sz w:val="24"/>
                <w:szCs w:val="24"/>
              </w:rPr>
              <w:t>şi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b/>
                <w:i/>
                <w:sz w:val="24"/>
                <w:szCs w:val="24"/>
              </w:rPr>
              <w:t>funcţionează</w:t>
            </w:r>
            <w:proofErr w:type="spellEnd"/>
            <w:r>
              <w:rPr>
                <w:rFonts w:ascii="Times New Roman" w:eastAsia="Times New Roman" w:hAnsi="Times New Roman" w:cs="Times New Roman"/>
                <w:b/>
                <w:i/>
                <w:sz w:val="24"/>
                <w:szCs w:val="24"/>
              </w:rPr>
              <w:t xml:space="preserve"> pe bază de gestiune economică </w:t>
            </w:r>
            <w:proofErr w:type="spellStart"/>
            <w:r>
              <w:rPr>
                <w:rFonts w:ascii="Times New Roman" w:eastAsia="Times New Roman" w:hAnsi="Times New Roman" w:cs="Times New Roman"/>
                <w:b/>
                <w:i/>
                <w:sz w:val="24"/>
                <w:szCs w:val="24"/>
              </w:rPr>
              <w:t>şi</w:t>
            </w:r>
            <w:proofErr w:type="spellEnd"/>
            <w:r>
              <w:rPr>
                <w:rFonts w:ascii="Times New Roman" w:eastAsia="Times New Roman" w:hAnsi="Times New Roman" w:cs="Times New Roman"/>
                <w:b/>
                <w:i/>
                <w:sz w:val="24"/>
                <w:szCs w:val="24"/>
              </w:rPr>
              <w:t xml:space="preserve"> autonomie financiară</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iar la</w:t>
            </w:r>
            <w:r>
              <w:rPr>
                <w:rFonts w:ascii="Times New Roman" w:eastAsia="Times New Roman" w:hAnsi="Times New Roman" w:cs="Times New Roman"/>
                <w:b/>
                <w:sz w:val="24"/>
                <w:szCs w:val="24"/>
              </w:rPr>
              <w:t xml:space="preserve"> art.5</w:t>
            </w:r>
            <w:r>
              <w:rPr>
                <w:rFonts w:ascii="Times New Roman" w:eastAsia="Times New Roman" w:hAnsi="Times New Roman" w:cs="Times New Roman"/>
                <w:sz w:val="24"/>
                <w:szCs w:val="24"/>
              </w:rPr>
              <w:t xml:space="preserve"> se precizează că: „</w:t>
            </w:r>
            <w:r>
              <w:rPr>
                <w:rFonts w:ascii="Times New Roman" w:eastAsia="Times New Roman" w:hAnsi="Times New Roman" w:cs="Times New Roman"/>
                <w:b/>
                <w:i/>
                <w:sz w:val="24"/>
                <w:szCs w:val="24"/>
              </w:rPr>
              <w:t>Regia autonomă este proprietara bunurilor din patrimoniul său</w:t>
            </w:r>
            <w:r>
              <w:rPr>
                <w:rFonts w:ascii="Times New Roman" w:eastAsia="Times New Roman" w:hAnsi="Times New Roman" w:cs="Times New Roman"/>
                <w:i/>
                <w:sz w:val="24"/>
                <w:szCs w:val="24"/>
              </w:rPr>
              <w:t xml:space="preserve">. În exercitarea dreptului de proprietate, regia autonomă posedă, </w:t>
            </w:r>
            <w:proofErr w:type="spellStart"/>
            <w:r>
              <w:rPr>
                <w:rFonts w:ascii="Times New Roman" w:eastAsia="Times New Roman" w:hAnsi="Times New Roman" w:cs="Times New Roman"/>
                <w:i/>
                <w:sz w:val="24"/>
                <w:szCs w:val="24"/>
              </w:rPr>
              <w:t>foloseşte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şi</w:t>
            </w:r>
            <w:proofErr w:type="spellEnd"/>
            <w:r>
              <w:rPr>
                <w:rFonts w:ascii="Times New Roman" w:eastAsia="Times New Roman" w:hAnsi="Times New Roman" w:cs="Times New Roman"/>
                <w:i/>
                <w:sz w:val="24"/>
                <w:szCs w:val="24"/>
              </w:rPr>
              <w:t xml:space="preserve"> dispune, în mod autonom, de bunurile pe care le are în patrimoniu, sau le culege fructele, după caz, în vederea realizării scopului pentru care a fost constituită</w:t>
            </w:r>
            <w:r>
              <w:rPr>
                <w:rFonts w:ascii="Times New Roman" w:eastAsia="Times New Roman" w:hAnsi="Times New Roman" w:cs="Times New Roman"/>
                <w:sz w:val="24"/>
                <w:szCs w:val="24"/>
              </w:rPr>
              <w:t>.”</w:t>
            </w:r>
          </w:p>
          <w:p w14:paraId="5B537C20" w14:textId="77777777" w:rsidR="00DA7FB4" w:rsidRDefault="00C372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Arătam astfel că </w:t>
            </w:r>
            <w:r>
              <w:rPr>
                <w:rFonts w:ascii="Times New Roman" w:eastAsia="Times New Roman" w:hAnsi="Times New Roman" w:cs="Times New Roman"/>
                <w:b/>
                <w:sz w:val="24"/>
                <w:szCs w:val="24"/>
              </w:rPr>
              <w:t>Romsilva</w:t>
            </w:r>
            <w:r>
              <w:rPr>
                <w:rFonts w:ascii="Times New Roman" w:eastAsia="Times New Roman" w:hAnsi="Times New Roman" w:cs="Times New Roman"/>
                <w:sz w:val="24"/>
                <w:szCs w:val="24"/>
              </w:rPr>
              <w:t xml:space="preserve"> nu administrează patrimoniul său privat în numele statului, ci în nume propriu. Bunurile care fac parte din proprietatea privată a regiei autonome nu sunt bunuri ale statului și, implicit, nu fac parte din domeniul privat al acestuia.</w:t>
            </w:r>
          </w:p>
          <w:p w14:paraId="2CCDB98F" w14:textId="77777777" w:rsidR="00DA7FB4" w:rsidRDefault="00C372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Aceste prevederi subliniază </w:t>
            </w:r>
            <w:r>
              <w:rPr>
                <w:rFonts w:ascii="Times New Roman" w:eastAsia="Times New Roman" w:hAnsi="Times New Roman" w:cs="Times New Roman"/>
                <w:b/>
                <w:sz w:val="24"/>
                <w:szCs w:val="24"/>
              </w:rPr>
              <w:t>autonomia financiară a regiilor autonome</w:t>
            </w:r>
            <w:r>
              <w:rPr>
                <w:rFonts w:ascii="Times New Roman" w:eastAsia="Times New Roman" w:hAnsi="Times New Roman" w:cs="Times New Roman"/>
                <w:sz w:val="24"/>
                <w:szCs w:val="24"/>
              </w:rPr>
              <w:t xml:space="preserve"> și dreptul acestora de a dispune de bunurile din patrimoniul propriu, în conformitate cu obiectul lor de activitate. În consecință, Romsilva are dreptul să încaseze sumele aferente vânzării activelor și să le reinvestească în scopul dezvoltării activităților sale.</w:t>
            </w:r>
          </w:p>
          <w:p w14:paraId="6B5465EF" w14:textId="77777777" w:rsidR="00DA7FB4" w:rsidRDefault="00C372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Astfel, în vederea </w:t>
            </w:r>
            <w:r>
              <w:rPr>
                <w:rFonts w:ascii="Times New Roman" w:eastAsia="Times New Roman" w:hAnsi="Times New Roman" w:cs="Times New Roman"/>
                <w:b/>
                <w:sz w:val="24"/>
                <w:szCs w:val="24"/>
              </w:rPr>
              <w:t>trecerii bunurilor</w:t>
            </w:r>
            <w:r>
              <w:rPr>
                <w:rFonts w:ascii="Times New Roman" w:eastAsia="Times New Roman" w:hAnsi="Times New Roman" w:cs="Times New Roman"/>
                <w:sz w:val="24"/>
                <w:szCs w:val="24"/>
              </w:rPr>
              <w:t xml:space="preserve"> către </w:t>
            </w:r>
            <w:r>
              <w:rPr>
                <w:rFonts w:ascii="Times New Roman" w:eastAsia="Times New Roman" w:hAnsi="Times New Roman" w:cs="Times New Roman"/>
                <w:b/>
                <w:sz w:val="24"/>
                <w:szCs w:val="24"/>
              </w:rPr>
              <w:t>Ministerul Educației și Cercetării</w:t>
            </w:r>
            <w:r>
              <w:rPr>
                <w:rFonts w:ascii="Times New Roman" w:eastAsia="Times New Roman" w:hAnsi="Times New Roman" w:cs="Times New Roman"/>
                <w:sz w:val="24"/>
                <w:szCs w:val="24"/>
              </w:rPr>
              <w:t xml:space="preserve">, prin </w:t>
            </w:r>
            <w:r>
              <w:rPr>
                <w:rFonts w:ascii="Times New Roman" w:eastAsia="Times New Roman" w:hAnsi="Times New Roman" w:cs="Times New Roman"/>
                <w:b/>
                <w:sz w:val="24"/>
                <w:szCs w:val="24"/>
              </w:rPr>
              <w:t>Universitatea de Medicină, Farmacie, Științe și Tehnologie „George Emil Palade” din Târgu Mureș</w:t>
            </w:r>
            <w:r>
              <w:rPr>
                <w:rFonts w:ascii="Times New Roman" w:eastAsia="Times New Roman" w:hAnsi="Times New Roman" w:cs="Times New Roman"/>
                <w:sz w:val="24"/>
                <w:szCs w:val="24"/>
              </w:rPr>
              <w:t xml:space="preserve">, sunt aplicabile prevederile </w:t>
            </w:r>
            <w:r>
              <w:rPr>
                <w:rFonts w:ascii="Times New Roman" w:eastAsia="Times New Roman" w:hAnsi="Times New Roman" w:cs="Times New Roman"/>
                <w:b/>
                <w:sz w:val="24"/>
                <w:szCs w:val="24"/>
              </w:rPr>
              <w:t xml:space="preserve">art.296 alin.(5) din Ordonanța de urgență a Guvernului </w:t>
            </w:r>
            <w:r>
              <w:rPr>
                <w:rFonts w:ascii="Times New Roman" w:eastAsia="Times New Roman" w:hAnsi="Times New Roman" w:cs="Times New Roman"/>
                <w:b/>
                <w:sz w:val="24"/>
                <w:szCs w:val="24"/>
              </w:rPr>
              <w:lastRenderedPageBreak/>
              <w:t>nr.57/2019</w:t>
            </w:r>
            <w:r>
              <w:rPr>
                <w:rFonts w:ascii="Times New Roman" w:eastAsia="Times New Roman" w:hAnsi="Times New Roman" w:cs="Times New Roman"/>
                <w:sz w:val="24"/>
                <w:szCs w:val="24"/>
              </w:rPr>
              <w:t xml:space="preserve">, cu modificările și completările ulterioare: </w:t>
            </w:r>
            <w:r>
              <w:rPr>
                <w:rFonts w:ascii="Times New Roman" w:eastAsia="Times New Roman" w:hAnsi="Times New Roman" w:cs="Times New Roman"/>
                <w:i/>
                <w:sz w:val="24"/>
                <w:szCs w:val="24"/>
              </w:rPr>
              <w:t xml:space="preserve">”Trecerea în domeniul public a unui bun din patrimoniul regiilor autonome se face numai cu acordul consiliului de </w:t>
            </w:r>
            <w:proofErr w:type="spellStart"/>
            <w:r>
              <w:rPr>
                <w:rFonts w:ascii="Times New Roman" w:eastAsia="Times New Roman" w:hAnsi="Times New Roman" w:cs="Times New Roman"/>
                <w:i/>
                <w:sz w:val="24"/>
                <w:szCs w:val="24"/>
              </w:rPr>
              <w:t>administraţie</w:t>
            </w:r>
            <w:proofErr w:type="spellEnd"/>
            <w:r>
              <w:rPr>
                <w:rFonts w:ascii="Times New Roman" w:eastAsia="Times New Roman" w:hAnsi="Times New Roman" w:cs="Times New Roman"/>
                <w:i/>
                <w:sz w:val="24"/>
                <w:szCs w:val="24"/>
              </w:rPr>
              <w:t xml:space="preserve"> al regiei respective </w:t>
            </w:r>
            <w:proofErr w:type="spellStart"/>
            <w:r>
              <w:rPr>
                <w:rFonts w:ascii="Times New Roman" w:eastAsia="Times New Roman" w:hAnsi="Times New Roman" w:cs="Times New Roman"/>
                <w:i/>
                <w:sz w:val="24"/>
                <w:szCs w:val="24"/>
              </w:rPr>
              <w:t>şi</w:t>
            </w:r>
            <w:proofErr w:type="spellEnd"/>
            <w:r>
              <w:rPr>
                <w:rFonts w:ascii="Times New Roman" w:eastAsia="Times New Roman" w:hAnsi="Times New Roman" w:cs="Times New Roman"/>
                <w:i/>
                <w:sz w:val="24"/>
                <w:szCs w:val="24"/>
              </w:rPr>
              <w:t xml:space="preserve"> cu achitarea contravalorii bunului.” </w:t>
            </w:r>
            <w:r>
              <w:rPr>
                <w:rFonts w:ascii="Times New Roman" w:eastAsia="Times New Roman" w:hAnsi="Times New Roman" w:cs="Times New Roman"/>
                <w:sz w:val="24"/>
                <w:szCs w:val="24"/>
              </w:rPr>
              <w:t xml:space="preserve">Această prevedere este aplicabilă bunurilor din patrimoniul propriu al Romsilva, având în vedere că acestea </w:t>
            </w:r>
            <w:r>
              <w:rPr>
                <w:rFonts w:ascii="Times New Roman" w:eastAsia="Times New Roman" w:hAnsi="Times New Roman" w:cs="Times New Roman"/>
                <w:b/>
                <w:sz w:val="24"/>
                <w:szCs w:val="24"/>
              </w:rPr>
              <w:t>nu fac parte din domeniul privat al statului</w:t>
            </w:r>
            <w:r>
              <w:rPr>
                <w:rFonts w:ascii="Times New Roman" w:eastAsia="Times New Roman" w:hAnsi="Times New Roman" w:cs="Times New Roman"/>
                <w:sz w:val="24"/>
                <w:szCs w:val="24"/>
              </w:rPr>
              <w:t xml:space="preserve">, ci din patrimoniul unei regii autonome, căruia i se aplică un </w:t>
            </w:r>
            <w:r>
              <w:rPr>
                <w:rFonts w:ascii="Times New Roman" w:eastAsia="Times New Roman" w:hAnsi="Times New Roman" w:cs="Times New Roman"/>
                <w:b/>
                <w:sz w:val="24"/>
                <w:szCs w:val="24"/>
              </w:rPr>
              <w:t>regim juridic distinct</w:t>
            </w:r>
            <w:r>
              <w:rPr>
                <w:rFonts w:ascii="Times New Roman" w:eastAsia="Times New Roman" w:hAnsi="Times New Roman" w:cs="Times New Roman"/>
                <w:sz w:val="24"/>
                <w:szCs w:val="24"/>
              </w:rPr>
              <w:t>.</w:t>
            </w:r>
          </w:p>
          <w:p w14:paraId="1FD76A80" w14:textId="77777777" w:rsidR="00DA7FB4" w:rsidRDefault="00C372DE">
            <w:pPr>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Prin urmare, </w:t>
            </w:r>
            <w:r>
              <w:rPr>
                <w:rFonts w:ascii="Times New Roman" w:eastAsia="Times New Roman" w:hAnsi="Times New Roman" w:cs="Times New Roman"/>
                <w:b/>
                <w:sz w:val="24"/>
                <w:szCs w:val="24"/>
              </w:rPr>
              <w:t>activele</w:t>
            </w:r>
            <w:r>
              <w:rPr>
                <w:rFonts w:ascii="Times New Roman" w:eastAsia="Times New Roman" w:hAnsi="Times New Roman" w:cs="Times New Roman"/>
                <w:sz w:val="24"/>
                <w:szCs w:val="24"/>
              </w:rPr>
              <w:t xml:space="preserve"> pe care se intenționează a fi trecute în patrimoniul public al statului </w:t>
            </w:r>
            <w:r>
              <w:rPr>
                <w:rFonts w:ascii="Times New Roman" w:eastAsia="Times New Roman" w:hAnsi="Times New Roman" w:cs="Times New Roman"/>
                <w:b/>
                <w:sz w:val="24"/>
                <w:szCs w:val="24"/>
              </w:rPr>
              <w:t>nu pot fi preluate de stat fără plată</w:t>
            </w:r>
            <w:r>
              <w:rPr>
                <w:rFonts w:ascii="Times New Roman" w:eastAsia="Times New Roman" w:hAnsi="Times New Roman" w:cs="Times New Roman"/>
                <w:sz w:val="24"/>
                <w:szCs w:val="24"/>
              </w:rPr>
              <w:t xml:space="preserve">, întrucât acestea sunt bunuri </w:t>
            </w:r>
            <w:r>
              <w:rPr>
                <w:rFonts w:ascii="Times New Roman" w:eastAsia="Times New Roman" w:hAnsi="Times New Roman" w:cs="Times New Roman"/>
                <w:b/>
                <w:sz w:val="24"/>
                <w:szCs w:val="24"/>
              </w:rPr>
              <w:t>proprietate privată a regiei</w:t>
            </w:r>
            <w:r>
              <w:rPr>
                <w:rFonts w:ascii="Times New Roman" w:eastAsia="Times New Roman" w:hAnsi="Times New Roman" w:cs="Times New Roman"/>
                <w:sz w:val="24"/>
                <w:szCs w:val="24"/>
              </w:rPr>
              <w:t xml:space="preserve"> și nu fac parte din </w:t>
            </w:r>
            <w:r>
              <w:rPr>
                <w:rFonts w:ascii="Times New Roman" w:eastAsia="Times New Roman" w:hAnsi="Times New Roman" w:cs="Times New Roman"/>
                <w:b/>
                <w:sz w:val="24"/>
                <w:szCs w:val="24"/>
              </w:rPr>
              <w:t xml:space="preserve">domeniul public al statului, </w:t>
            </w:r>
            <w:r>
              <w:rPr>
                <w:rFonts w:ascii="Times New Roman" w:eastAsia="Times New Roman" w:hAnsi="Times New Roman" w:cs="Times New Roman"/>
                <w:sz w:val="24"/>
                <w:szCs w:val="24"/>
              </w:rPr>
              <w:t>iar prin aplicarea prevederilor</w:t>
            </w:r>
            <w:r>
              <w:rPr>
                <w:rFonts w:ascii="Times New Roman" w:eastAsia="Times New Roman" w:hAnsi="Times New Roman" w:cs="Times New Roman"/>
                <w:b/>
                <w:sz w:val="24"/>
                <w:szCs w:val="24"/>
              </w:rPr>
              <w:t xml:space="preserve"> art. 296 alin.(4) din Ordonanța de urgență a Guvernului nr.57/2019</w:t>
            </w:r>
            <w:r>
              <w:rPr>
                <w:rFonts w:ascii="Times New Roman" w:eastAsia="Times New Roman" w:hAnsi="Times New Roman" w:cs="Times New Roman"/>
                <w:sz w:val="24"/>
                <w:szCs w:val="24"/>
              </w:rPr>
              <w:t>, cu modificările și completările ulterioare, se precizează:</w:t>
            </w:r>
            <w:r>
              <w:rPr>
                <w:rFonts w:ascii="Times New Roman" w:eastAsia="Times New Roman" w:hAnsi="Times New Roman" w:cs="Times New Roman"/>
                <w:i/>
                <w:sz w:val="24"/>
                <w:szCs w:val="24"/>
              </w:rPr>
              <w:t>”(...) Achitarea contravalorii bunului se realizează cel mai târziu la data semnării procesului-verbal de predare-primire.”</w:t>
            </w:r>
          </w:p>
          <w:p w14:paraId="261D80E6" w14:textId="77777777" w:rsidR="00DA7FB4" w:rsidRDefault="00C372DE">
            <w:pPr>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 xml:space="preserve">        Art.297 alin.(1) lit. a) din Ordonanța de urgență a Guvernului nr.57/2019</w:t>
            </w:r>
            <w:r>
              <w:rPr>
                <w:rFonts w:ascii="Times New Roman" w:eastAsia="Times New Roman" w:hAnsi="Times New Roman" w:cs="Times New Roman"/>
                <w:sz w:val="24"/>
                <w:szCs w:val="24"/>
              </w:rPr>
              <w:t>, cu modificările și completările ulterioare prevede: ”</w:t>
            </w:r>
            <w:r>
              <w:rPr>
                <w:rFonts w:ascii="Times New Roman" w:eastAsia="Times New Roman" w:hAnsi="Times New Roman" w:cs="Times New Roman"/>
                <w:b/>
                <w:i/>
                <w:sz w:val="24"/>
                <w:szCs w:val="24"/>
              </w:rPr>
              <w:t>(1)</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Autorităţile</w:t>
            </w:r>
            <w:proofErr w:type="spellEnd"/>
            <w:r>
              <w:rPr>
                <w:rFonts w:ascii="Times New Roman" w:eastAsia="Times New Roman" w:hAnsi="Times New Roman" w:cs="Times New Roman"/>
                <w:i/>
                <w:sz w:val="24"/>
                <w:szCs w:val="24"/>
              </w:rPr>
              <w:t xml:space="preserve"> prevăzute la art. 287 decid, în </w:t>
            </w:r>
            <w:proofErr w:type="spellStart"/>
            <w:r>
              <w:rPr>
                <w:rFonts w:ascii="Times New Roman" w:eastAsia="Times New Roman" w:hAnsi="Times New Roman" w:cs="Times New Roman"/>
                <w:i/>
                <w:sz w:val="24"/>
                <w:szCs w:val="24"/>
              </w:rPr>
              <w:t>condiţiile</w:t>
            </w:r>
            <w:proofErr w:type="spellEnd"/>
            <w:r>
              <w:rPr>
                <w:rFonts w:ascii="Times New Roman" w:eastAsia="Times New Roman" w:hAnsi="Times New Roman" w:cs="Times New Roman"/>
                <w:i/>
                <w:sz w:val="24"/>
                <w:szCs w:val="24"/>
              </w:rPr>
              <w:t xml:space="preserve"> legii, cu privire la </w:t>
            </w:r>
            <w:proofErr w:type="spellStart"/>
            <w:r>
              <w:rPr>
                <w:rFonts w:ascii="Times New Roman" w:eastAsia="Times New Roman" w:hAnsi="Times New Roman" w:cs="Times New Roman"/>
                <w:i/>
                <w:sz w:val="24"/>
                <w:szCs w:val="24"/>
              </w:rPr>
              <w:t>modalităţile</w:t>
            </w:r>
            <w:proofErr w:type="spellEnd"/>
            <w:r>
              <w:rPr>
                <w:rFonts w:ascii="Times New Roman" w:eastAsia="Times New Roman" w:hAnsi="Times New Roman" w:cs="Times New Roman"/>
                <w:i/>
                <w:sz w:val="24"/>
                <w:szCs w:val="24"/>
              </w:rPr>
              <w:t xml:space="preserve"> de exercitare a dreptului de proprietate publică, respectiv:  darea în administrare;”</w:t>
            </w:r>
            <w:r>
              <w:rPr>
                <w:rFonts w:ascii="Times New Roman" w:eastAsia="Times New Roman" w:hAnsi="Times New Roman" w:cs="Times New Roman"/>
                <w:sz w:val="24"/>
                <w:szCs w:val="24"/>
              </w:rPr>
              <w:t xml:space="preserve">. Această reglementare are rolul de a asigura </w:t>
            </w:r>
            <w:r>
              <w:rPr>
                <w:rFonts w:ascii="Times New Roman" w:eastAsia="Times New Roman" w:hAnsi="Times New Roman" w:cs="Times New Roman"/>
                <w:b/>
                <w:sz w:val="24"/>
                <w:szCs w:val="24"/>
              </w:rPr>
              <w:t>transparența și evidența bunurilor mobile și imobile</w:t>
            </w:r>
            <w:r>
              <w:rPr>
                <w:rFonts w:ascii="Times New Roman" w:eastAsia="Times New Roman" w:hAnsi="Times New Roman" w:cs="Times New Roman"/>
                <w:sz w:val="24"/>
                <w:szCs w:val="24"/>
              </w:rPr>
              <w:t xml:space="preserve"> care fac parte din proprietatea publică a statului, acestea fiind înregistrate în </w:t>
            </w:r>
            <w:r>
              <w:rPr>
                <w:rFonts w:ascii="Times New Roman" w:eastAsia="Times New Roman" w:hAnsi="Times New Roman" w:cs="Times New Roman"/>
                <w:b/>
                <w:sz w:val="24"/>
                <w:szCs w:val="24"/>
              </w:rPr>
              <w:t>inventarul centralizat al bunurilor din domeniul public</w:t>
            </w:r>
            <w:r>
              <w:rPr>
                <w:rFonts w:ascii="Times New Roman" w:eastAsia="Times New Roman" w:hAnsi="Times New Roman" w:cs="Times New Roman"/>
                <w:sz w:val="24"/>
                <w:szCs w:val="24"/>
              </w:rPr>
              <w:t xml:space="preserve">. În acest mod, se urmărește </w:t>
            </w:r>
            <w:r>
              <w:rPr>
                <w:rFonts w:ascii="Times New Roman" w:eastAsia="Times New Roman" w:hAnsi="Times New Roman" w:cs="Times New Roman"/>
                <w:b/>
                <w:sz w:val="24"/>
                <w:szCs w:val="24"/>
              </w:rPr>
              <w:t>o administrare mai eficientă a patrimoniului public</w:t>
            </w:r>
            <w:r>
              <w:rPr>
                <w:rFonts w:ascii="Times New Roman" w:eastAsia="Times New Roman" w:hAnsi="Times New Roman" w:cs="Times New Roman"/>
                <w:sz w:val="24"/>
                <w:szCs w:val="24"/>
              </w:rPr>
              <w:t xml:space="preserve">, protejarea drepturilor de proprietate publică și </w:t>
            </w:r>
            <w:r>
              <w:rPr>
                <w:rFonts w:ascii="Times New Roman" w:eastAsia="Times New Roman" w:hAnsi="Times New Roman" w:cs="Times New Roman"/>
                <w:b/>
                <w:sz w:val="24"/>
                <w:szCs w:val="24"/>
              </w:rPr>
              <w:t>respectarea reglementărilor și standardelor internaționale</w:t>
            </w:r>
            <w:r>
              <w:rPr>
                <w:rFonts w:ascii="Times New Roman" w:eastAsia="Times New Roman" w:hAnsi="Times New Roman" w:cs="Times New Roman"/>
                <w:sz w:val="24"/>
                <w:szCs w:val="24"/>
              </w:rPr>
              <w:t xml:space="preserve"> în domeniu.</w:t>
            </w:r>
          </w:p>
          <w:p w14:paraId="54E6CD92" w14:textId="77777777" w:rsidR="00DA7FB4" w:rsidRDefault="00C372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Totodată, </w:t>
            </w:r>
            <w:r>
              <w:rPr>
                <w:rFonts w:ascii="Times New Roman" w:eastAsia="Times New Roman" w:hAnsi="Times New Roman" w:cs="Times New Roman"/>
                <w:b/>
                <w:sz w:val="24"/>
                <w:szCs w:val="24"/>
              </w:rPr>
              <w:t xml:space="preserve">Legea nr.287/2009 privind Codul civil, </w:t>
            </w:r>
            <w:r>
              <w:rPr>
                <w:rFonts w:ascii="Times New Roman" w:eastAsia="Times New Roman" w:hAnsi="Times New Roman" w:cs="Times New Roman"/>
                <w:sz w:val="24"/>
                <w:szCs w:val="24"/>
              </w:rPr>
              <w:t xml:space="preserve">republicată, cu modificările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completările ulterioare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prevede, la </w:t>
            </w:r>
            <w:r>
              <w:rPr>
                <w:rFonts w:ascii="Times New Roman" w:eastAsia="Times New Roman" w:hAnsi="Times New Roman" w:cs="Times New Roman"/>
                <w:b/>
                <w:sz w:val="24"/>
                <w:szCs w:val="24"/>
              </w:rPr>
              <w:t xml:space="preserve">art.863, </w:t>
            </w:r>
            <w:proofErr w:type="spellStart"/>
            <w:r>
              <w:rPr>
                <w:rFonts w:ascii="Times New Roman" w:eastAsia="Times New Roman" w:hAnsi="Times New Roman" w:cs="Times New Roman"/>
                <w:b/>
                <w:sz w:val="24"/>
                <w:szCs w:val="24"/>
              </w:rPr>
              <w:t>lit.d</w:t>
            </w:r>
            <w:proofErr w:type="spellEnd"/>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  Dreptul de proprietate publică se </w:t>
            </w:r>
            <w:proofErr w:type="spellStart"/>
            <w:r>
              <w:rPr>
                <w:rFonts w:ascii="Times New Roman" w:eastAsia="Times New Roman" w:hAnsi="Times New Roman" w:cs="Times New Roman"/>
                <w:i/>
                <w:sz w:val="24"/>
                <w:szCs w:val="24"/>
              </w:rPr>
              <w:t>dobândeşte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b/>
                <w:i/>
                <w:color w:val="808000"/>
                <w:sz w:val="26"/>
                <w:szCs w:val="26"/>
              </w:rPr>
              <w:t xml:space="preserve"> </w:t>
            </w:r>
            <w:r>
              <w:rPr>
                <w:rFonts w:ascii="Times New Roman" w:eastAsia="Times New Roman" w:hAnsi="Times New Roman" w:cs="Times New Roman"/>
                <w:b/>
                <w:i/>
                <w:sz w:val="24"/>
                <w:szCs w:val="24"/>
              </w:rPr>
              <w:t>d)</w:t>
            </w:r>
            <w:r>
              <w:rPr>
                <w:rFonts w:ascii="Times New Roman" w:eastAsia="Times New Roman" w:hAnsi="Times New Roman" w:cs="Times New Roman"/>
                <w:i/>
                <w:sz w:val="24"/>
                <w:szCs w:val="24"/>
              </w:rPr>
              <w:t xml:space="preserve"> prin </w:t>
            </w:r>
            <w:proofErr w:type="spellStart"/>
            <w:r>
              <w:rPr>
                <w:rFonts w:ascii="Times New Roman" w:eastAsia="Times New Roman" w:hAnsi="Times New Roman" w:cs="Times New Roman"/>
                <w:i/>
                <w:sz w:val="24"/>
                <w:szCs w:val="24"/>
              </w:rPr>
              <w:t>convenţie</w:t>
            </w:r>
            <w:proofErr w:type="spellEnd"/>
            <w:r>
              <w:rPr>
                <w:rFonts w:ascii="Times New Roman" w:eastAsia="Times New Roman" w:hAnsi="Times New Roman" w:cs="Times New Roman"/>
                <w:i/>
                <w:sz w:val="24"/>
                <w:szCs w:val="24"/>
              </w:rPr>
              <w:t xml:space="preserve"> cu titlu oneros, dacă bunul, prin natura lui sau prin </w:t>
            </w:r>
            <w:proofErr w:type="spellStart"/>
            <w:r>
              <w:rPr>
                <w:rFonts w:ascii="Times New Roman" w:eastAsia="Times New Roman" w:hAnsi="Times New Roman" w:cs="Times New Roman"/>
                <w:i/>
                <w:sz w:val="24"/>
                <w:szCs w:val="24"/>
              </w:rPr>
              <w:t>voinţa</w:t>
            </w:r>
            <w:proofErr w:type="spellEnd"/>
            <w:r>
              <w:rPr>
                <w:rFonts w:ascii="Times New Roman" w:eastAsia="Times New Roman" w:hAnsi="Times New Roman" w:cs="Times New Roman"/>
                <w:i/>
                <w:sz w:val="24"/>
                <w:szCs w:val="24"/>
              </w:rPr>
              <w:t xml:space="preserve"> dobânditorului, devine de uz ori de interes public;</w:t>
            </w:r>
            <w:r>
              <w:rPr>
                <w:rFonts w:ascii="Times New Roman" w:eastAsia="Times New Roman" w:hAnsi="Times New Roman" w:cs="Times New Roman"/>
                <w:sz w:val="24"/>
                <w:szCs w:val="24"/>
              </w:rPr>
              <w:t xml:space="preserve">”.  . Acest articol subliniază faptul că bunurile pot intra în domeniul public doar printr-un transfer legal și explicit, care implică și o </w:t>
            </w:r>
            <w:r>
              <w:rPr>
                <w:rFonts w:ascii="Times New Roman" w:eastAsia="Times New Roman" w:hAnsi="Times New Roman" w:cs="Times New Roman"/>
                <w:b/>
                <w:sz w:val="24"/>
                <w:szCs w:val="24"/>
              </w:rPr>
              <w:t>compensație financiară</w:t>
            </w:r>
            <w:r>
              <w:rPr>
                <w:rFonts w:ascii="Times New Roman" w:eastAsia="Times New Roman" w:hAnsi="Times New Roman" w:cs="Times New Roman"/>
                <w:sz w:val="24"/>
                <w:szCs w:val="24"/>
              </w:rPr>
              <w:t xml:space="preserve"> în cazul convențiilor cu titlu oneros.</w:t>
            </w:r>
          </w:p>
          <w:p w14:paraId="356947F6" w14:textId="77777777" w:rsidR="00DA7FB4" w:rsidRDefault="00C372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Referitor la </w:t>
            </w:r>
            <w:r>
              <w:rPr>
                <w:rFonts w:ascii="Times New Roman" w:eastAsia="Times New Roman" w:hAnsi="Times New Roman" w:cs="Times New Roman"/>
                <w:b/>
                <w:sz w:val="24"/>
                <w:szCs w:val="24"/>
              </w:rPr>
              <w:t>darea în administrare a bunurilor publice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art. 867 alin.(1)</w:t>
            </w:r>
            <w:r>
              <w:rPr>
                <w:rFonts w:ascii="Times New Roman" w:eastAsia="Times New Roman" w:hAnsi="Times New Roman" w:cs="Times New Roman"/>
                <w:sz w:val="24"/>
                <w:szCs w:val="24"/>
              </w:rPr>
              <w:t xml:space="preserve"> din Codul civil stabilește că </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Dreptul de administrare se constituie prin hotărâre a Guvernului, a consiliului </w:t>
            </w:r>
            <w:proofErr w:type="spellStart"/>
            <w:r>
              <w:rPr>
                <w:rFonts w:ascii="Times New Roman" w:eastAsia="Times New Roman" w:hAnsi="Times New Roman" w:cs="Times New Roman"/>
                <w:i/>
                <w:sz w:val="24"/>
                <w:szCs w:val="24"/>
              </w:rPr>
              <w:t>judeţean</w:t>
            </w:r>
            <w:proofErr w:type="spellEnd"/>
            <w:r>
              <w:rPr>
                <w:rFonts w:ascii="Times New Roman" w:eastAsia="Times New Roman" w:hAnsi="Times New Roman" w:cs="Times New Roman"/>
                <w:i/>
                <w:sz w:val="24"/>
                <w:szCs w:val="24"/>
              </w:rPr>
              <w:t xml:space="preserve"> sau, după caz, a consiliului local.</w:t>
            </w:r>
            <w:r>
              <w:rPr>
                <w:rFonts w:ascii="Times New Roman" w:eastAsia="Times New Roman" w:hAnsi="Times New Roman" w:cs="Times New Roman"/>
                <w:sz w:val="24"/>
                <w:szCs w:val="24"/>
              </w:rPr>
              <w:t>”.</w:t>
            </w:r>
          </w:p>
          <w:p w14:paraId="22FA6DC1" w14:textId="77777777" w:rsidR="00DA7FB4" w:rsidRDefault="00C372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Astfel, prevederile legale menționate stabilesc clar că trecerea bunurilor din patrimoniul unei regii autonome în domeniul public nu poate avea loc automat, ci doar printr-o procedură reglementată și cu achitarea contravalorii bunurilor respective fiind cazul unei treceri cu titlu oneros.</w:t>
            </w:r>
            <w:r>
              <w:rPr>
                <w:rFonts w:ascii="Times New Roman" w:eastAsia="Times New Roman" w:hAnsi="Times New Roman" w:cs="Times New Roman"/>
                <w:b/>
                <w:sz w:val="24"/>
                <w:szCs w:val="24"/>
              </w:rPr>
              <w:t xml:space="preserve"> </w:t>
            </w:r>
          </w:p>
        </w:tc>
      </w:tr>
      <w:tr w:rsidR="00DA7FB4" w14:paraId="4899DD26" w14:textId="77777777">
        <w:trPr>
          <w:trHeight w:val="90"/>
        </w:trPr>
        <w:tc>
          <w:tcPr>
            <w:tcW w:w="756" w:type="dxa"/>
            <w:vAlign w:val="center"/>
          </w:tcPr>
          <w:p w14:paraId="5419FD56"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2336" w:type="dxa"/>
            <w:vAlign w:val="center"/>
          </w:tcPr>
          <w:p w14:paraId="0418A749"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Schimbări preconizate</w:t>
            </w:r>
          </w:p>
        </w:tc>
        <w:tc>
          <w:tcPr>
            <w:tcW w:w="7004" w:type="dxa"/>
            <w:gridSpan w:val="9"/>
            <w:vAlign w:val="center"/>
          </w:tcPr>
          <w:p w14:paraId="40D6433B" w14:textId="77777777" w:rsidR="00DA7FB4" w:rsidRDefault="00C372DE">
            <w:pPr>
              <w:spacing w:after="120" w:line="276" w:lineRule="auto"/>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 xml:space="preserve">          Prin promovarea prezentului proiect de act normativ se are în vedere </w:t>
            </w:r>
            <w:r>
              <w:rPr>
                <w:rFonts w:ascii="Times New Roman" w:eastAsia="Times New Roman" w:hAnsi="Times New Roman" w:cs="Times New Roman"/>
                <w:b/>
                <w:sz w:val="24"/>
                <w:szCs w:val="24"/>
              </w:rPr>
              <w:t xml:space="preserve">declararea de interes public </w:t>
            </w:r>
            <w:proofErr w:type="spellStart"/>
            <w:r>
              <w:rPr>
                <w:rFonts w:ascii="Times New Roman" w:eastAsia="Times New Roman" w:hAnsi="Times New Roman" w:cs="Times New Roman"/>
                <w:b/>
                <w:sz w:val="24"/>
                <w:szCs w:val="24"/>
              </w:rPr>
              <w:t>naţional</w:t>
            </w:r>
            <w:proofErr w:type="spellEnd"/>
            <w:r>
              <w:rPr>
                <w:rFonts w:ascii="Times New Roman" w:eastAsia="Times New Roman" w:hAnsi="Times New Roman" w:cs="Times New Roman"/>
                <w:b/>
                <w:sz w:val="24"/>
                <w:szCs w:val="24"/>
              </w:rPr>
              <w:t xml:space="preserve"> a unor bunuri imobile din patrimoniul Romsilva, </w:t>
            </w:r>
            <w:r>
              <w:rPr>
                <w:rFonts w:ascii="Times New Roman" w:eastAsia="Times New Roman" w:hAnsi="Times New Roman" w:cs="Times New Roman"/>
                <w:sz w:val="24"/>
                <w:szCs w:val="24"/>
              </w:rPr>
              <w:t xml:space="preserve">aflate în evidența subunității sale fără </w:t>
            </w:r>
            <w:r>
              <w:rPr>
                <w:rFonts w:ascii="Times New Roman" w:eastAsia="Times New Roman" w:hAnsi="Times New Roman" w:cs="Times New Roman"/>
                <w:sz w:val="24"/>
                <w:szCs w:val="24"/>
              </w:rPr>
              <w:lastRenderedPageBreak/>
              <w:t xml:space="preserve">personalitate juridică, Direcția Silvică Mureș, </w:t>
            </w:r>
            <w:r>
              <w:rPr>
                <w:rFonts w:ascii="Times New Roman" w:eastAsia="Times New Roman" w:hAnsi="Times New Roman" w:cs="Times New Roman"/>
                <w:b/>
                <w:sz w:val="24"/>
                <w:szCs w:val="24"/>
              </w:rPr>
              <w:t xml:space="preserve">trecerea acestora cu titlu oneros în domeniul public al statului </w:t>
            </w:r>
            <w:proofErr w:type="spellStart"/>
            <w:r>
              <w:rPr>
                <w:rFonts w:ascii="Times New Roman" w:eastAsia="Times New Roman" w:hAnsi="Times New Roman" w:cs="Times New Roman"/>
                <w:b/>
                <w:sz w:val="24"/>
                <w:szCs w:val="24"/>
              </w:rPr>
              <w:t>şi</w:t>
            </w:r>
            <w:proofErr w:type="spellEnd"/>
            <w:r>
              <w:rPr>
                <w:rFonts w:ascii="Times New Roman" w:eastAsia="Times New Roman" w:hAnsi="Times New Roman" w:cs="Times New Roman"/>
                <w:b/>
                <w:sz w:val="24"/>
                <w:szCs w:val="24"/>
              </w:rPr>
              <w:t xml:space="preserve"> în administrarea Ministerului Educației și Cercetării prin Universitatea de Medicină, Farmacie, Științe și Tehnologie „George Emil Palade” din Târgu Mureș, precum </w:t>
            </w:r>
            <w:proofErr w:type="spellStart"/>
            <w:r>
              <w:rPr>
                <w:rFonts w:ascii="Times New Roman" w:eastAsia="Times New Roman" w:hAnsi="Times New Roman" w:cs="Times New Roman"/>
                <w:b/>
                <w:sz w:val="24"/>
                <w:szCs w:val="24"/>
              </w:rPr>
              <w:t>şi</w:t>
            </w:r>
            <w:proofErr w:type="spellEnd"/>
            <w:r>
              <w:rPr>
                <w:rFonts w:ascii="Times New Roman" w:eastAsia="Times New Roman" w:hAnsi="Times New Roman" w:cs="Times New Roman"/>
                <w:b/>
                <w:sz w:val="24"/>
                <w:szCs w:val="24"/>
              </w:rPr>
              <w:t xml:space="preserve"> înscrierea acestora în inventarul centralizat al bunurilor din domeniul public al statului.</w:t>
            </w:r>
          </w:p>
          <w:p w14:paraId="76DE129C" w14:textId="77777777" w:rsidR="00DA7FB4" w:rsidRDefault="00C372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Bunurile imobile ce se regăsesc în </w:t>
            </w:r>
            <w:r>
              <w:rPr>
                <w:rFonts w:ascii="Times New Roman" w:eastAsia="Times New Roman" w:hAnsi="Times New Roman" w:cs="Times New Roman"/>
                <w:b/>
                <w:sz w:val="24"/>
                <w:szCs w:val="24"/>
              </w:rPr>
              <w:t>patrimoniul propriu al Romsilva</w:t>
            </w:r>
            <w:r>
              <w:rPr>
                <w:rFonts w:ascii="Times New Roman" w:eastAsia="Times New Roman" w:hAnsi="Times New Roman" w:cs="Times New Roman"/>
                <w:sz w:val="24"/>
                <w:szCs w:val="24"/>
              </w:rPr>
              <w:t xml:space="preserve">, aflate în evidența </w:t>
            </w:r>
            <w:r>
              <w:rPr>
                <w:rFonts w:ascii="Times New Roman" w:eastAsia="Times New Roman" w:hAnsi="Times New Roman" w:cs="Times New Roman"/>
                <w:b/>
                <w:sz w:val="24"/>
                <w:szCs w:val="24"/>
              </w:rPr>
              <w:t>Direcției Silvice Mureș</w:t>
            </w:r>
            <w:r>
              <w:rPr>
                <w:rFonts w:ascii="Times New Roman" w:eastAsia="Times New Roman" w:hAnsi="Times New Roman" w:cs="Times New Roman"/>
                <w:sz w:val="24"/>
                <w:szCs w:val="24"/>
              </w:rPr>
              <w:t xml:space="preserve">, subunitate fără personalitate juridică, și care fac obiectul prezentului proiect de act normativ, au o </w:t>
            </w:r>
            <w:r>
              <w:rPr>
                <w:rFonts w:ascii="Times New Roman" w:eastAsia="Times New Roman" w:hAnsi="Times New Roman" w:cs="Times New Roman"/>
                <w:b/>
                <w:sz w:val="24"/>
                <w:szCs w:val="24"/>
              </w:rPr>
              <w:t>valoare totală de 1.941.904,56 lei</w:t>
            </w:r>
            <w:r>
              <w:rPr>
                <w:rFonts w:ascii="Times New Roman" w:eastAsia="Times New Roman" w:hAnsi="Times New Roman" w:cs="Times New Roman"/>
                <w:sz w:val="24"/>
                <w:szCs w:val="24"/>
              </w:rPr>
              <w:t>. Acestea sunt compuse din următoarele:</w:t>
            </w:r>
          </w:p>
          <w:p w14:paraId="407CE541" w14:textId="77777777" w:rsidR="00DA7FB4" w:rsidRDefault="00C372DE">
            <w:pPr>
              <w:numPr>
                <w:ilvl w:val="0"/>
                <w:numId w:val="2"/>
              </w:numPr>
              <w:jc w:val="both"/>
            </w:pPr>
            <w:bookmarkStart w:id="2" w:name="_1fob9te" w:colFirst="0" w:colLast="0"/>
            <w:bookmarkEnd w:id="2"/>
            <w:r>
              <w:rPr>
                <w:rFonts w:ascii="Times New Roman" w:eastAsia="Times New Roman" w:hAnsi="Times New Roman" w:cs="Times New Roman"/>
                <w:b/>
                <w:sz w:val="24"/>
                <w:szCs w:val="24"/>
              </w:rPr>
              <w:t>Teren intravilan</w:t>
            </w:r>
            <w:r>
              <w:rPr>
                <w:rFonts w:ascii="Times New Roman" w:eastAsia="Times New Roman" w:hAnsi="Times New Roman" w:cs="Times New Roman"/>
                <w:sz w:val="24"/>
                <w:szCs w:val="24"/>
              </w:rPr>
              <w:t xml:space="preserve">, cu o suprafață de </w:t>
            </w:r>
            <w:r>
              <w:rPr>
                <w:rFonts w:ascii="Times New Roman" w:eastAsia="Times New Roman" w:hAnsi="Times New Roman" w:cs="Times New Roman"/>
                <w:b/>
                <w:sz w:val="24"/>
                <w:szCs w:val="24"/>
              </w:rPr>
              <w:t>0,4000 hectare</w:t>
            </w:r>
            <w:r>
              <w:rPr>
                <w:rFonts w:ascii="Times New Roman" w:eastAsia="Times New Roman" w:hAnsi="Times New Roman" w:cs="Times New Roman"/>
                <w:sz w:val="24"/>
                <w:szCs w:val="24"/>
              </w:rPr>
              <w:t xml:space="preserve">, situat în Târgu Mureș, str. Între Movile nr. 1, identificat în Cartea Funciară nr. 145944 Târgu Mureș, având o </w:t>
            </w:r>
            <w:r>
              <w:rPr>
                <w:rFonts w:ascii="Times New Roman" w:eastAsia="Times New Roman" w:hAnsi="Times New Roman" w:cs="Times New Roman"/>
                <w:b/>
                <w:sz w:val="24"/>
                <w:szCs w:val="24"/>
              </w:rPr>
              <w:t>valoare totală evaluată de 1.929.640,00 lei</w:t>
            </w:r>
            <w:r>
              <w:rPr>
                <w:rFonts w:ascii="Times New Roman" w:eastAsia="Times New Roman" w:hAnsi="Times New Roman" w:cs="Times New Roman"/>
                <w:sz w:val="24"/>
                <w:szCs w:val="24"/>
              </w:rPr>
              <w:t>.</w:t>
            </w:r>
          </w:p>
          <w:p w14:paraId="1273CEC0" w14:textId="77777777" w:rsidR="00DA7FB4" w:rsidRDefault="00C372DE">
            <w:pPr>
              <w:numPr>
                <w:ilvl w:val="0"/>
                <w:numId w:val="2"/>
              </w:numPr>
              <w:jc w:val="both"/>
            </w:pPr>
            <w:r>
              <w:rPr>
                <w:rFonts w:ascii="Times New Roman" w:eastAsia="Times New Roman" w:hAnsi="Times New Roman" w:cs="Times New Roman"/>
                <w:b/>
                <w:sz w:val="24"/>
                <w:szCs w:val="24"/>
              </w:rPr>
              <w:t>O construcție</w:t>
            </w:r>
            <w:r>
              <w:rPr>
                <w:rFonts w:ascii="Times New Roman" w:eastAsia="Times New Roman" w:hAnsi="Times New Roman" w:cs="Times New Roman"/>
                <w:sz w:val="24"/>
                <w:szCs w:val="24"/>
              </w:rPr>
              <w:t xml:space="preserve"> denumită </w:t>
            </w:r>
            <w:r>
              <w:rPr>
                <w:rFonts w:ascii="Times New Roman" w:eastAsia="Times New Roman" w:hAnsi="Times New Roman" w:cs="Times New Roman"/>
                <w:b/>
                <w:sz w:val="24"/>
                <w:szCs w:val="24"/>
              </w:rPr>
              <w:t>SOPRON NURCA 108 LOC NR. 2083</w:t>
            </w:r>
            <w:r>
              <w:rPr>
                <w:rFonts w:ascii="Times New Roman" w:eastAsia="Times New Roman" w:hAnsi="Times New Roman" w:cs="Times New Roman"/>
                <w:sz w:val="24"/>
                <w:szCs w:val="24"/>
              </w:rPr>
              <w:t xml:space="preserve">, având o </w:t>
            </w:r>
            <w:r>
              <w:rPr>
                <w:rFonts w:ascii="Times New Roman" w:eastAsia="Times New Roman" w:hAnsi="Times New Roman" w:cs="Times New Roman"/>
                <w:b/>
                <w:sz w:val="24"/>
                <w:szCs w:val="24"/>
              </w:rPr>
              <w:t>valoare de inventar de 1.975,22 lei</w:t>
            </w:r>
            <w:r>
              <w:rPr>
                <w:rFonts w:ascii="Times New Roman" w:eastAsia="Times New Roman" w:hAnsi="Times New Roman" w:cs="Times New Roman"/>
                <w:sz w:val="24"/>
                <w:szCs w:val="24"/>
              </w:rPr>
              <w:t>, identificată cu numărul cadastral 145944-C1 în Cartea Funciară nr. 145944 Târgu Mureș.</w:t>
            </w:r>
          </w:p>
          <w:p w14:paraId="7FCF50F2" w14:textId="77777777" w:rsidR="00DA7FB4" w:rsidRDefault="00C372DE">
            <w:pPr>
              <w:numPr>
                <w:ilvl w:val="0"/>
                <w:numId w:val="2"/>
              </w:numPr>
              <w:jc w:val="both"/>
            </w:pPr>
            <w:r>
              <w:rPr>
                <w:rFonts w:ascii="Times New Roman" w:eastAsia="Times New Roman" w:hAnsi="Times New Roman" w:cs="Times New Roman"/>
                <w:b/>
                <w:sz w:val="24"/>
                <w:szCs w:val="24"/>
              </w:rPr>
              <w:t>Două construcții</w:t>
            </w:r>
            <w:r>
              <w:rPr>
                <w:rFonts w:ascii="Times New Roman" w:eastAsia="Times New Roman" w:hAnsi="Times New Roman" w:cs="Times New Roman"/>
                <w:sz w:val="24"/>
                <w:szCs w:val="24"/>
              </w:rPr>
              <w:t xml:space="preserve"> denumite </w:t>
            </w:r>
            <w:r>
              <w:rPr>
                <w:rFonts w:ascii="Times New Roman" w:eastAsia="Times New Roman" w:hAnsi="Times New Roman" w:cs="Times New Roman"/>
                <w:b/>
                <w:sz w:val="24"/>
                <w:szCs w:val="24"/>
              </w:rPr>
              <w:t>HALA NURCI 336 LOC</w:t>
            </w:r>
            <w:r>
              <w:rPr>
                <w:rFonts w:ascii="Times New Roman" w:eastAsia="Times New Roman" w:hAnsi="Times New Roman" w:cs="Times New Roman"/>
                <w:sz w:val="24"/>
                <w:szCs w:val="24"/>
              </w:rPr>
              <w:t xml:space="preserve">, fiecare cu o </w:t>
            </w:r>
            <w:r>
              <w:rPr>
                <w:rFonts w:ascii="Times New Roman" w:eastAsia="Times New Roman" w:hAnsi="Times New Roman" w:cs="Times New Roman"/>
                <w:b/>
                <w:sz w:val="24"/>
                <w:szCs w:val="24"/>
              </w:rPr>
              <w:t>valoare de inventar de 2.500,00 lei</w:t>
            </w:r>
            <w:r>
              <w:rPr>
                <w:rFonts w:ascii="Times New Roman" w:eastAsia="Times New Roman" w:hAnsi="Times New Roman" w:cs="Times New Roman"/>
                <w:sz w:val="24"/>
                <w:szCs w:val="24"/>
              </w:rPr>
              <w:t xml:space="preserve">, totalizând </w:t>
            </w:r>
            <w:r>
              <w:rPr>
                <w:rFonts w:ascii="Times New Roman" w:eastAsia="Times New Roman" w:hAnsi="Times New Roman" w:cs="Times New Roman"/>
                <w:b/>
                <w:sz w:val="24"/>
                <w:szCs w:val="24"/>
              </w:rPr>
              <w:t>5.000,00 lei</w:t>
            </w:r>
            <w:r>
              <w:rPr>
                <w:rFonts w:ascii="Times New Roman" w:eastAsia="Times New Roman" w:hAnsi="Times New Roman" w:cs="Times New Roman"/>
                <w:sz w:val="24"/>
                <w:szCs w:val="24"/>
              </w:rPr>
              <w:t>, înregistrate la numerele cadastrale 145944-C2 și 145944-C3, în Cartea Funciară nr. 145944 Târgu Mureș.</w:t>
            </w:r>
          </w:p>
          <w:p w14:paraId="4F6152C4" w14:textId="77777777" w:rsidR="00DA7FB4" w:rsidRDefault="00C372DE">
            <w:pPr>
              <w:numPr>
                <w:ilvl w:val="0"/>
                <w:numId w:val="2"/>
              </w:numPr>
              <w:jc w:val="both"/>
            </w:pPr>
            <w:r>
              <w:rPr>
                <w:rFonts w:ascii="Times New Roman" w:eastAsia="Times New Roman" w:hAnsi="Times New Roman" w:cs="Times New Roman"/>
                <w:b/>
                <w:sz w:val="24"/>
                <w:szCs w:val="24"/>
              </w:rPr>
              <w:t>O construcție</w:t>
            </w:r>
            <w:r>
              <w:rPr>
                <w:rFonts w:ascii="Times New Roman" w:eastAsia="Times New Roman" w:hAnsi="Times New Roman" w:cs="Times New Roman"/>
                <w:sz w:val="24"/>
                <w:szCs w:val="24"/>
              </w:rPr>
              <w:t xml:space="preserve"> denumită </w:t>
            </w:r>
            <w:r>
              <w:rPr>
                <w:rFonts w:ascii="Times New Roman" w:eastAsia="Times New Roman" w:hAnsi="Times New Roman" w:cs="Times New Roman"/>
                <w:b/>
                <w:sz w:val="24"/>
                <w:szCs w:val="24"/>
              </w:rPr>
              <w:t>HALE NURCI 296 LOC</w:t>
            </w:r>
            <w:r>
              <w:rPr>
                <w:rFonts w:ascii="Times New Roman" w:eastAsia="Times New Roman" w:hAnsi="Times New Roman" w:cs="Times New Roman"/>
                <w:sz w:val="24"/>
                <w:szCs w:val="24"/>
              </w:rPr>
              <w:t xml:space="preserve">, cu o </w:t>
            </w:r>
            <w:r>
              <w:rPr>
                <w:rFonts w:ascii="Times New Roman" w:eastAsia="Times New Roman" w:hAnsi="Times New Roman" w:cs="Times New Roman"/>
                <w:b/>
                <w:sz w:val="24"/>
                <w:szCs w:val="24"/>
              </w:rPr>
              <w:t>valoare de inventar de 2.500,00 lei</w:t>
            </w:r>
            <w:r>
              <w:rPr>
                <w:rFonts w:ascii="Times New Roman" w:eastAsia="Times New Roman" w:hAnsi="Times New Roman" w:cs="Times New Roman"/>
                <w:sz w:val="24"/>
                <w:szCs w:val="24"/>
              </w:rPr>
              <w:t>, înregistrată la numărul cadastral 145944-C4 în Cartea Funciară nr. 145944 Târgu Mureș.</w:t>
            </w:r>
          </w:p>
          <w:p w14:paraId="63B116F9" w14:textId="77777777" w:rsidR="00DA7FB4" w:rsidRDefault="00C372DE">
            <w:pPr>
              <w:numPr>
                <w:ilvl w:val="0"/>
                <w:numId w:val="2"/>
              </w:numPr>
              <w:jc w:val="both"/>
            </w:pPr>
            <w:r>
              <w:rPr>
                <w:rFonts w:ascii="Times New Roman" w:eastAsia="Times New Roman" w:hAnsi="Times New Roman" w:cs="Times New Roman"/>
                <w:b/>
                <w:sz w:val="24"/>
                <w:szCs w:val="24"/>
              </w:rPr>
              <w:t>O construcție</w:t>
            </w:r>
            <w:r>
              <w:rPr>
                <w:rFonts w:ascii="Times New Roman" w:eastAsia="Times New Roman" w:hAnsi="Times New Roman" w:cs="Times New Roman"/>
                <w:sz w:val="24"/>
                <w:szCs w:val="24"/>
              </w:rPr>
              <w:t xml:space="preserve"> denumită</w:t>
            </w:r>
            <w:r>
              <w:rPr>
                <w:rFonts w:ascii="Times New Roman" w:eastAsia="Times New Roman" w:hAnsi="Times New Roman" w:cs="Times New Roman"/>
                <w:b/>
                <w:sz w:val="24"/>
                <w:szCs w:val="24"/>
              </w:rPr>
              <w:t xml:space="preserve"> SOPRON NURCA 108 LOC NR. 2084</w:t>
            </w:r>
            <w:r>
              <w:rPr>
                <w:rFonts w:ascii="Times New Roman" w:eastAsia="Times New Roman" w:hAnsi="Times New Roman" w:cs="Times New Roman"/>
                <w:sz w:val="24"/>
                <w:szCs w:val="24"/>
              </w:rPr>
              <w:t xml:space="preserve">, având o </w:t>
            </w:r>
            <w:r>
              <w:rPr>
                <w:rFonts w:ascii="Times New Roman" w:eastAsia="Times New Roman" w:hAnsi="Times New Roman" w:cs="Times New Roman"/>
                <w:b/>
                <w:sz w:val="24"/>
                <w:szCs w:val="24"/>
              </w:rPr>
              <w:t>valoare de inventar de 1.975,22 lei</w:t>
            </w:r>
            <w:r>
              <w:rPr>
                <w:rFonts w:ascii="Times New Roman" w:eastAsia="Times New Roman" w:hAnsi="Times New Roman" w:cs="Times New Roman"/>
                <w:sz w:val="24"/>
                <w:szCs w:val="24"/>
              </w:rPr>
              <w:t>, identificată cu numărul cadastral 145944-C5 în Cartea Funciară nr. 145944 Târgu Mureș.</w:t>
            </w:r>
          </w:p>
          <w:p w14:paraId="1BCB2C45" w14:textId="77777777" w:rsidR="00DA7FB4" w:rsidRDefault="00C372DE">
            <w:pPr>
              <w:numPr>
                <w:ilvl w:val="0"/>
                <w:numId w:val="2"/>
              </w:numPr>
              <w:jc w:val="both"/>
            </w:pPr>
            <w:r>
              <w:rPr>
                <w:rFonts w:ascii="Times New Roman" w:eastAsia="Times New Roman" w:hAnsi="Times New Roman" w:cs="Times New Roman"/>
                <w:b/>
                <w:sz w:val="24"/>
                <w:szCs w:val="24"/>
              </w:rPr>
              <w:t>Un gard împrejmuitor</w:t>
            </w:r>
            <w:r>
              <w:rPr>
                <w:rFonts w:ascii="Times New Roman" w:eastAsia="Times New Roman" w:hAnsi="Times New Roman" w:cs="Times New Roman"/>
                <w:sz w:val="24"/>
                <w:szCs w:val="24"/>
              </w:rPr>
              <w:t xml:space="preserve">, cu o lungime </w:t>
            </w:r>
            <w:r>
              <w:rPr>
                <w:rFonts w:ascii="Times New Roman" w:eastAsia="Times New Roman" w:hAnsi="Times New Roman" w:cs="Times New Roman"/>
                <w:b/>
                <w:sz w:val="24"/>
                <w:szCs w:val="24"/>
              </w:rPr>
              <w:t>de 140,851 metri liniari</w:t>
            </w:r>
            <w:r>
              <w:rPr>
                <w:rFonts w:ascii="Times New Roman" w:eastAsia="Times New Roman" w:hAnsi="Times New Roman" w:cs="Times New Roman"/>
                <w:sz w:val="24"/>
                <w:szCs w:val="24"/>
              </w:rPr>
              <w:t xml:space="preserve">, având o </w:t>
            </w:r>
            <w:r>
              <w:rPr>
                <w:rFonts w:ascii="Times New Roman" w:eastAsia="Times New Roman" w:hAnsi="Times New Roman" w:cs="Times New Roman"/>
                <w:b/>
                <w:sz w:val="24"/>
                <w:szCs w:val="24"/>
              </w:rPr>
              <w:t>valoare de inventar de 814,12 lei</w:t>
            </w:r>
            <w:r>
              <w:rPr>
                <w:rFonts w:ascii="Times New Roman" w:eastAsia="Times New Roman" w:hAnsi="Times New Roman" w:cs="Times New Roman"/>
                <w:sz w:val="24"/>
                <w:szCs w:val="24"/>
              </w:rPr>
              <w:t>. Existența acestui bun este menționată în Cartea Funciară nr. 145944 Târgu Mureș, la secțiunea „Observații”, unde se menționează că imobilul este împrejmuit parțial cu un gard din beton. Precizăm că segmentul de gard împrejmuitor cu o lungime de 140,851 metri liniari și o valoare de inventar de 814,12 lei, amplasat pe suprafața de 0,4000 hectare situată în municipiul Târgu Mureș, str. Între Movile nr. 1, a fost calculat exclusiv pentru această suprafață de teren care face obiectul prezentului proiect de act normativ, în contextul în care gardul face parte dintr-un ansamblu mai amplu cu o lungime totală de 864,800 metri liniari și o valoare totală de inventar de 4.998,54 lei.</w:t>
            </w:r>
          </w:p>
          <w:p w14:paraId="5C6E166D" w14:textId="77777777" w:rsidR="00DA7FB4" w:rsidRDefault="00C372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Datele de identificare complete ale acestor bunuri sunt prevăzute în </w:t>
            </w:r>
            <w:r>
              <w:rPr>
                <w:rFonts w:ascii="Times New Roman" w:eastAsia="Times New Roman" w:hAnsi="Times New Roman" w:cs="Times New Roman"/>
                <w:b/>
                <w:sz w:val="24"/>
                <w:szCs w:val="24"/>
              </w:rPr>
              <w:t>anexa la proiectul de hotărâre a Guvernului</w:t>
            </w:r>
            <w:r>
              <w:rPr>
                <w:rFonts w:ascii="Times New Roman" w:eastAsia="Times New Roman" w:hAnsi="Times New Roman" w:cs="Times New Roman"/>
                <w:sz w:val="24"/>
                <w:szCs w:val="24"/>
              </w:rPr>
              <w:t>.</w:t>
            </w:r>
          </w:p>
          <w:p w14:paraId="065F38C1"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În baza adresei Ministerului Mediului, Apelor și Pădurilor referitoare la solicitările Ministerului Educației și Cercetării/ Universității de Medicină, Farmacie, Științe și Tehnologie „George Emil Palade” din Târgu Mureș, privind analiza și luarea măsurilor necesare pentru trecerea unui bun imobil, aflat în proprietatea Romsilva, constând în teren cu o suprafață de 3,7936 ha, situat în Târgul Mureș, str. Între Movile nr. 1, conform cărții funciare nr. 130751 Târgu Mureș, în domeniul public al statului și administrarea Universității de Medicină, Farmacie, Științe și Tehnologie „George Emil Palade” din Târgul Mureș, a fost inițiată o notă de propuneri către Consiliul de Administrație al Romsilva, prin care s-a solicitat acordul pentru trecerea unor bunuri imobile din patrimoniul Romsilva în domeniul public al statului,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înscrierea lor în inventarul centralizat al bunurilor din domeniul public al statului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darea în administrarea Ministerului Mediului, Apelor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Pădurilor prin Regia </w:t>
            </w:r>
            <w:proofErr w:type="spellStart"/>
            <w:r>
              <w:rPr>
                <w:rFonts w:ascii="Times New Roman" w:eastAsia="Times New Roman" w:hAnsi="Times New Roman" w:cs="Times New Roman"/>
                <w:sz w:val="24"/>
                <w:szCs w:val="24"/>
              </w:rPr>
              <w:t>Naţională</w:t>
            </w:r>
            <w:proofErr w:type="spellEnd"/>
            <w:r>
              <w:rPr>
                <w:rFonts w:ascii="Times New Roman" w:eastAsia="Times New Roman" w:hAnsi="Times New Roman" w:cs="Times New Roman"/>
                <w:sz w:val="24"/>
                <w:szCs w:val="24"/>
              </w:rPr>
              <w:t xml:space="preserve"> a Pădurilor – Romsilva. </w:t>
            </w:r>
          </w:p>
          <w:p w14:paraId="0E10FFD6"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 Ordonanței de urgență a Guvernului nr. 57/2019, cu modificările și completările ulterioare, dobândirea dreptului de proprietate publică asupra bunului imobil aferentă cărții funciare nr. 130751 Târgu Mureș se realizează în temeiul art.296: „</w:t>
            </w:r>
            <w:r>
              <w:rPr>
                <w:rFonts w:ascii="Times New Roman" w:eastAsia="Times New Roman" w:hAnsi="Times New Roman" w:cs="Times New Roman"/>
                <w:i/>
                <w:sz w:val="24"/>
                <w:szCs w:val="24"/>
              </w:rPr>
              <w:t xml:space="preserve">Trecerea unui bun din patrimoniul propriu al Regiei Naționale a Pădurilor în domeniul public al </w:t>
            </w:r>
            <w:proofErr w:type="spellStart"/>
            <w:r>
              <w:rPr>
                <w:rFonts w:ascii="Times New Roman" w:eastAsia="Times New Roman" w:hAnsi="Times New Roman" w:cs="Times New Roman"/>
                <w:i/>
                <w:sz w:val="24"/>
                <w:szCs w:val="24"/>
              </w:rPr>
              <w:t>aceluiaşi</w:t>
            </w:r>
            <w:proofErr w:type="spellEnd"/>
            <w:r>
              <w:rPr>
                <w:rFonts w:ascii="Times New Roman" w:eastAsia="Times New Roman" w:hAnsi="Times New Roman" w:cs="Times New Roman"/>
                <w:i/>
                <w:sz w:val="24"/>
                <w:szCs w:val="24"/>
              </w:rPr>
              <w:t xml:space="preserve"> titular al dreptului de proprietate prin: alin.(5) Trecerea în domeniul public a unui bun din patrimoniul regiilor autonome se face numai cu acordul consiliului de </w:t>
            </w:r>
            <w:proofErr w:type="spellStart"/>
            <w:r>
              <w:rPr>
                <w:rFonts w:ascii="Times New Roman" w:eastAsia="Times New Roman" w:hAnsi="Times New Roman" w:cs="Times New Roman"/>
                <w:i/>
                <w:sz w:val="24"/>
                <w:szCs w:val="24"/>
              </w:rPr>
              <w:t>administraţie</w:t>
            </w:r>
            <w:proofErr w:type="spellEnd"/>
            <w:r>
              <w:rPr>
                <w:rFonts w:ascii="Times New Roman" w:eastAsia="Times New Roman" w:hAnsi="Times New Roman" w:cs="Times New Roman"/>
                <w:i/>
                <w:sz w:val="24"/>
                <w:szCs w:val="24"/>
              </w:rPr>
              <w:t xml:space="preserve"> al regiei respective </w:t>
            </w:r>
            <w:proofErr w:type="spellStart"/>
            <w:r>
              <w:rPr>
                <w:rFonts w:ascii="Times New Roman" w:eastAsia="Times New Roman" w:hAnsi="Times New Roman" w:cs="Times New Roman"/>
                <w:i/>
                <w:sz w:val="24"/>
                <w:szCs w:val="24"/>
              </w:rPr>
              <w:t>şi</w:t>
            </w:r>
            <w:proofErr w:type="spellEnd"/>
            <w:r>
              <w:rPr>
                <w:rFonts w:ascii="Times New Roman" w:eastAsia="Times New Roman" w:hAnsi="Times New Roman" w:cs="Times New Roman"/>
                <w:i/>
                <w:sz w:val="24"/>
                <w:szCs w:val="24"/>
              </w:rPr>
              <w:t xml:space="preserve"> cu achitarea contravalorii bunului.</w:t>
            </w:r>
            <w:r>
              <w:rPr>
                <w:rFonts w:ascii="Times New Roman" w:eastAsia="Times New Roman" w:hAnsi="Times New Roman" w:cs="Times New Roman"/>
                <w:sz w:val="24"/>
                <w:szCs w:val="24"/>
              </w:rPr>
              <w:t>”</w:t>
            </w:r>
          </w:p>
          <w:p w14:paraId="3D335F4D"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Acordul a fost primit prin Hotărârea nr. 12 din 31.07.2024 a Consiliului de Administrație al Regiei Naționale a Pădurilor – Romsilva, cu numărul de ordine 27.</w:t>
            </w:r>
          </w:p>
          <w:p w14:paraId="76DBED67"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 realizat Raportul de evaluare nr</w:t>
            </w:r>
            <w:r>
              <w:rPr>
                <w:rFonts w:ascii="Times New Roman" w:eastAsia="Times New Roman" w:hAnsi="Times New Roman" w:cs="Times New Roman"/>
                <w:noProof/>
                <w:sz w:val="24"/>
                <w:szCs w:val="24"/>
                <w:lang w:val="en-US"/>
              </w:rPr>
              <w:drawing>
                <wp:inline distT="0" distB="0" distL="0" distR="0" wp14:anchorId="5EE74986" wp14:editId="69FC84AD">
                  <wp:extent cx="9097" cy="910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097" cy="9101"/>
                          </a:xfrm>
                          <a:prstGeom prst="rect">
                            <a:avLst/>
                          </a:prstGeom>
                          <a:ln/>
                        </pic:spPr>
                      </pic:pic>
                    </a:graphicData>
                  </a:graphic>
                </wp:inline>
              </w:drawing>
            </w:r>
            <w:r>
              <w:rPr>
                <w:rFonts w:ascii="Times New Roman" w:eastAsia="Times New Roman" w:hAnsi="Times New Roman" w:cs="Times New Roman"/>
                <w:sz w:val="24"/>
                <w:szCs w:val="24"/>
              </w:rPr>
              <w:t>.93/16.09.2024, întocmit de către Actual Consulting SRL.,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privind proprietatea imobiliară: TEREN INTRAVILAN curți construcții, cu </w:t>
            </w:r>
            <w:proofErr w:type="spellStart"/>
            <w:r>
              <w:rPr>
                <w:rFonts w:ascii="Times New Roman" w:eastAsia="Times New Roman" w:hAnsi="Times New Roman" w:cs="Times New Roman"/>
                <w:sz w:val="24"/>
                <w:szCs w:val="24"/>
              </w:rPr>
              <w:t>suprafata</w:t>
            </w:r>
            <w:proofErr w:type="spellEnd"/>
            <w:r>
              <w:rPr>
                <w:rFonts w:ascii="Times New Roman" w:eastAsia="Times New Roman" w:hAnsi="Times New Roman" w:cs="Times New Roman"/>
                <w:sz w:val="24"/>
                <w:szCs w:val="24"/>
              </w:rPr>
              <w:t xml:space="preserve"> de 3,7936 ha, localizat în Târgul Mureș. Conform acestui raport, evaluarea proprietății imobiliare s-a realizat prin abordarea pe baza pieței, iar valoarea de piață a fost stabilită la 18.490.720 lei.</w:t>
            </w:r>
          </w:p>
          <w:p w14:paraId="6E2F7FDA"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Ulterior, prin adresa nr. 7/14610/23.09.2024, înregistrată la Romsilva sub nr. 11435/25.09.2024, și prin adresa de revenire nr. 7/16685/ 22.10.2024, înregistrată la Romsilva sub nr. 12923/22.10.2024, Universitatea de Medicină, Farmacie, Științe și Tehnologie „George Emil Palade” din Târgu Mureș revine la solicitarea inițială din adresa nr. 4250/29.04.2024, specificând că se dorește demararea procedurilor doar pentru o suprafață de 0,4000 ha, parte din terenul de 3,7936 ha înregistrat în Cartea Funciară nr. 130751 Târgu Mureș</w:t>
            </w:r>
            <w:r>
              <w:rPr>
                <w:rFonts w:ascii="Times New Roman" w:eastAsia="Times New Roman" w:hAnsi="Times New Roman" w:cs="Times New Roman"/>
                <w:i/>
                <w:sz w:val="24"/>
                <w:szCs w:val="24"/>
              </w:rPr>
              <w:t>.</w:t>
            </w:r>
          </w:p>
          <w:p w14:paraId="2F48BCB7"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 urma acestei solicitări privind suprafața de 0,4000 ha, Direcția Silvică Mureș a inițiat procedurile necesare pentru dezmembrarea </w:t>
            </w:r>
            <w:r>
              <w:rPr>
                <w:rFonts w:ascii="Times New Roman" w:eastAsia="Times New Roman" w:hAnsi="Times New Roman" w:cs="Times New Roman"/>
                <w:sz w:val="24"/>
                <w:szCs w:val="24"/>
              </w:rPr>
              <w:lastRenderedPageBreak/>
              <w:t>terenului de 0,4000 ha din suprafața totală înscrisă în Cartea Funciară nr. 130751 din județul Mureș, rezultând extrasele din noile cărți funciare în urma dezmembrării, respectiv:</w:t>
            </w:r>
          </w:p>
          <w:p w14:paraId="147C8F53" w14:textId="77777777" w:rsidR="00DA7FB4" w:rsidRDefault="00C372DE">
            <w:pPr>
              <w:numPr>
                <w:ilvl w:val="1"/>
                <w:numId w:val="3"/>
              </w:numPr>
              <w:spacing w:after="120" w:line="276" w:lineRule="auto"/>
              <w:ind w:left="323"/>
              <w:jc w:val="both"/>
              <w:rPr>
                <w:sz w:val="24"/>
                <w:szCs w:val="24"/>
              </w:rPr>
            </w:pPr>
            <w:r>
              <w:rPr>
                <w:rFonts w:ascii="Times New Roman" w:eastAsia="Times New Roman" w:hAnsi="Times New Roman" w:cs="Times New Roman"/>
                <w:sz w:val="24"/>
                <w:szCs w:val="24"/>
              </w:rPr>
              <w:t>încheierea nr. 90043/16.10.2024 a B.C.P.I. Târgu Mureș;</w:t>
            </w:r>
          </w:p>
          <w:p w14:paraId="09932AA3" w14:textId="77777777" w:rsidR="00DA7FB4" w:rsidRDefault="00C372DE">
            <w:pPr>
              <w:numPr>
                <w:ilvl w:val="1"/>
                <w:numId w:val="3"/>
              </w:numPr>
              <w:spacing w:after="120" w:line="276" w:lineRule="auto"/>
              <w:ind w:left="323"/>
              <w:jc w:val="both"/>
              <w:rPr>
                <w:sz w:val="24"/>
                <w:szCs w:val="24"/>
              </w:rPr>
            </w:pPr>
            <w:r>
              <w:rPr>
                <w:rFonts w:ascii="Times New Roman" w:eastAsia="Times New Roman" w:hAnsi="Times New Roman" w:cs="Times New Roman"/>
                <w:sz w:val="24"/>
                <w:szCs w:val="24"/>
              </w:rPr>
              <w:t>Cartea Funciară nr. 145943 Târgu Mureș (cu suprafața de 3,3936 ha);</w:t>
            </w:r>
          </w:p>
          <w:p w14:paraId="6DD76DA1" w14:textId="77777777" w:rsidR="00DA7FB4" w:rsidRDefault="00C372DE">
            <w:pPr>
              <w:numPr>
                <w:ilvl w:val="1"/>
                <w:numId w:val="3"/>
              </w:numPr>
              <w:spacing w:after="120" w:line="276" w:lineRule="auto"/>
              <w:ind w:left="323"/>
              <w:jc w:val="both"/>
              <w:rPr>
                <w:sz w:val="24"/>
                <w:szCs w:val="24"/>
              </w:rPr>
            </w:pPr>
            <w:r>
              <w:rPr>
                <w:rFonts w:ascii="Times New Roman" w:eastAsia="Times New Roman" w:hAnsi="Times New Roman" w:cs="Times New Roman"/>
                <w:sz w:val="24"/>
                <w:szCs w:val="24"/>
              </w:rPr>
              <w:t>Cartea Funciară nr. 145944 Târgu Mureș (cu suprafața de 0,4000 ha).</w:t>
            </w:r>
          </w:p>
          <w:p w14:paraId="7C959F16"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Având în vedere cele prezentate, a fost inițiată o nouă notă de propuneri de revenire la numărul de ordine 27 din Hotărârea nr. 12 din 31.07.2024 a Consiliului de Administrație al Regiei Naționale a Pădurilor – Romsilva, prin care s-a solicitat:</w:t>
            </w:r>
          </w:p>
          <w:p w14:paraId="13051AE3" w14:textId="77777777" w:rsidR="00DA7FB4" w:rsidRDefault="00C372DE">
            <w:pPr>
              <w:numPr>
                <w:ilvl w:val="0"/>
                <w:numId w:val="5"/>
              </w:numPr>
              <w:pBdr>
                <w:top w:val="nil"/>
                <w:left w:val="nil"/>
                <w:bottom w:val="nil"/>
                <w:right w:val="nil"/>
                <w:between w:val="nil"/>
              </w:pBdr>
              <w:spacing w:after="0" w:line="276" w:lineRule="auto"/>
              <w:ind w:left="323"/>
              <w:jc w:val="both"/>
              <w:rPr>
                <w:color w:val="000000"/>
                <w:sz w:val="24"/>
                <w:szCs w:val="24"/>
              </w:rPr>
            </w:pPr>
            <w:r>
              <w:rPr>
                <w:rFonts w:ascii="Times New Roman" w:eastAsia="Times New Roman" w:hAnsi="Times New Roman" w:cs="Times New Roman"/>
                <w:color w:val="000000"/>
                <w:sz w:val="24"/>
                <w:szCs w:val="24"/>
              </w:rPr>
              <w:t xml:space="preserve">Acordul pentru trecerea terenului în suprafață de 0.4000 ha din patrimoniul Romsilva în patrimoniul public al statului cu achitarea contravalorii bunului, la valoarea de 1.929.640 lei, conform noului Raportului de evaluare nr.98/24.10.2024 întocmit de Actual Consulting SRL, precum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înscrierea acestuia în inventarul centralizat al bunurilor din domeniul public al statului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darea în administrarea Ministerului Mediului, Apelor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Pădurilor prin Regia </w:t>
            </w:r>
            <w:proofErr w:type="spellStart"/>
            <w:r>
              <w:rPr>
                <w:rFonts w:ascii="Times New Roman" w:eastAsia="Times New Roman" w:hAnsi="Times New Roman" w:cs="Times New Roman"/>
                <w:color w:val="000000"/>
                <w:sz w:val="24"/>
                <w:szCs w:val="24"/>
              </w:rPr>
              <w:t>Naţională</w:t>
            </w:r>
            <w:proofErr w:type="spellEnd"/>
            <w:r>
              <w:rPr>
                <w:rFonts w:ascii="Times New Roman" w:eastAsia="Times New Roman" w:hAnsi="Times New Roman" w:cs="Times New Roman"/>
                <w:color w:val="000000"/>
                <w:sz w:val="24"/>
                <w:szCs w:val="24"/>
              </w:rPr>
              <w:t xml:space="preserve"> a Pădurilor – Romsilva. Transferul va fi efectuat în conformitate cu art.296 alin.(5) din Ordonanța de urgență a Guvernului nr.57/2019, cu modificările și completările ulterioare.</w:t>
            </w:r>
          </w:p>
          <w:p w14:paraId="45E52EBC" w14:textId="77777777" w:rsidR="00DA7FB4" w:rsidRDefault="00C372DE">
            <w:pPr>
              <w:numPr>
                <w:ilvl w:val="1"/>
                <w:numId w:val="4"/>
              </w:numPr>
              <w:pBdr>
                <w:top w:val="nil"/>
                <w:left w:val="nil"/>
                <w:bottom w:val="nil"/>
                <w:right w:val="nil"/>
                <w:between w:val="nil"/>
              </w:pBdr>
              <w:spacing w:after="120" w:line="276" w:lineRule="auto"/>
              <w:ind w:left="323"/>
              <w:jc w:val="both"/>
              <w:rPr>
                <w:color w:val="000000"/>
                <w:sz w:val="24"/>
                <w:szCs w:val="24"/>
              </w:rPr>
            </w:pPr>
            <w:r>
              <w:rPr>
                <w:rFonts w:ascii="Times New Roman" w:eastAsia="Times New Roman" w:hAnsi="Times New Roman" w:cs="Times New Roman"/>
                <w:color w:val="000000"/>
                <w:sz w:val="24"/>
                <w:szCs w:val="24"/>
              </w:rPr>
              <w:t>Recuperarea integrală a valorilor de inventar, pentru bunurile imobile situate pe terenul de 0,4000 mp, respectiv 12.264,56 lei,  înregistrate în patrimoniul Romsilva prin Direcția Silvică Mureș.</w:t>
            </w:r>
          </w:p>
          <w:p w14:paraId="043ECBF3" w14:textId="77777777" w:rsidR="00DA7FB4" w:rsidRDefault="00C372DE">
            <w:pPr>
              <w:numPr>
                <w:ilvl w:val="1"/>
                <w:numId w:val="4"/>
              </w:numPr>
              <w:spacing w:after="120" w:line="276" w:lineRule="auto"/>
              <w:ind w:left="323"/>
              <w:jc w:val="both"/>
              <w:rPr>
                <w:sz w:val="24"/>
                <w:szCs w:val="24"/>
              </w:rPr>
            </w:pPr>
            <w:r>
              <w:rPr>
                <w:rFonts w:ascii="Times New Roman" w:eastAsia="Times New Roman" w:hAnsi="Times New Roman" w:cs="Times New Roman"/>
                <w:sz w:val="24"/>
                <w:szCs w:val="24"/>
              </w:rPr>
              <w:t>Anularea numărului de ordine 27 din Hotărârea nr. 12 din 31.07.2024 a Consiliului de Administrație al Regiei Naționale a Pădurilor – Romsilva.</w:t>
            </w:r>
          </w:p>
          <w:p w14:paraId="7822E119" w14:textId="77777777" w:rsidR="00DA7FB4" w:rsidRDefault="00C372DE">
            <w:pPr>
              <w:spacing w:after="120" w:line="276" w:lineRule="auto"/>
              <w:jc w:val="both"/>
              <w:rPr>
                <w:rFonts w:ascii="Times New Roman" w:eastAsia="Times New Roman" w:hAnsi="Times New Roman" w:cs="Times New Roman"/>
                <w:sz w:val="24"/>
                <w:szCs w:val="24"/>
              </w:rPr>
            </w:pPr>
            <w:bookmarkStart w:id="3" w:name="_3znysh7" w:colFirst="0" w:colLast="0"/>
            <w:bookmarkEnd w:id="3"/>
            <w:r>
              <w:rPr>
                <w:rFonts w:ascii="Times New Roman" w:eastAsia="Times New Roman" w:hAnsi="Times New Roman" w:cs="Times New Roman"/>
                <w:sz w:val="24"/>
                <w:szCs w:val="24"/>
              </w:rPr>
              <w:t xml:space="preserve">          Acordul a fost primit prin Hotărârea nr. 19 din 14.11.2024 a Consiliului de Administrație al Regiei Naționale a Pădurilor – Romsilva, cu numărul de ordine 40.</w:t>
            </w:r>
          </w:p>
          <w:p w14:paraId="6D226248"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Prin acest proiect de act normativ, se reglementează </w:t>
            </w:r>
            <w:r>
              <w:rPr>
                <w:rFonts w:ascii="Times New Roman" w:eastAsia="Times New Roman" w:hAnsi="Times New Roman" w:cs="Times New Roman"/>
                <w:b/>
                <w:sz w:val="24"/>
                <w:szCs w:val="24"/>
              </w:rPr>
              <w:t>trecerea cu titlu oneros a unor bunuri imobile din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patrimoniul propriu al</w:t>
            </w:r>
            <w:r>
              <w:rPr>
                <w:rFonts w:ascii="Times New Roman" w:eastAsia="Times New Roman" w:hAnsi="Times New Roman" w:cs="Times New Roman"/>
                <w:sz w:val="24"/>
                <w:szCs w:val="24"/>
              </w:rPr>
              <w:t xml:space="preserve"> Romsilva, aflate în evidența subunității sale fără personalitate juridică, Direcția Silvică Mureș, în domeniul public al statului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 administrarea Ministerul Educației și Cercetării prin Universitatea de Medicină, Farmacie, Științe și Tehnologie „George Emil Palade” din Târgu Mureș, conform solicitării Ministerului Educației nr. 2256/29.07.2024. </w:t>
            </w:r>
          </w:p>
          <w:p w14:paraId="5B215B11"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Scopul acestei treceri este construirea și operaționalizarea unui Centru de formare universitară și postuniversitară care să deservească atât Spitalul „George Emil Palade”, cât și întregul centru universitar. Acest proiect de act normativ privind trecerea bunul imobil teren intravilan împreună cu toate construcțiile ce se regăsesc pe acesta, cu o </w:t>
            </w:r>
            <w:r>
              <w:rPr>
                <w:rFonts w:ascii="Times New Roman" w:eastAsia="Times New Roman" w:hAnsi="Times New Roman" w:cs="Times New Roman"/>
                <w:sz w:val="24"/>
                <w:szCs w:val="24"/>
              </w:rPr>
              <w:lastRenderedPageBreak/>
              <w:t>suprafață de 0,4000 hectare, este situat în Târgu Mureș, str. Între Movile nr. 1, conform cărții funciare nr. 145944 Târgu Mureș, este esențial pentru finalizarea și implementarea Hotărârii Guvernului nr. 448/2022</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sz w:val="24"/>
                <w:szCs w:val="24"/>
              </w:rPr>
              <w:t xml:space="preserve">privind </w:t>
            </w:r>
            <w:proofErr w:type="spellStart"/>
            <w:r>
              <w:rPr>
                <w:rFonts w:ascii="Times New Roman" w:eastAsia="Times New Roman" w:hAnsi="Times New Roman" w:cs="Times New Roman"/>
                <w:sz w:val="24"/>
                <w:szCs w:val="24"/>
              </w:rPr>
              <w:t>înfiinţarea</w:t>
            </w:r>
            <w:proofErr w:type="spellEnd"/>
            <w:r>
              <w:rPr>
                <w:rFonts w:ascii="Times New Roman" w:eastAsia="Times New Roman" w:hAnsi="Times New Roman" w:cs="Times New Roman"/>
                <w:sz w:val="24"/>
                <w:szCs w:val="24"/>
              </w:rPr>
              <w:t xml:space="preserve"> Spitalului "George Emil Palade", unitate sanitară cu paturi în subordinea </w:t>
            </w:r>
            <w:proofErr w:type="spellStart"/>
            <w:r>
              <w:rPr>
                <w:rFonts w:ascii="Times New Roman" w:eastAsia="Times New Roman" w:hAnsi="Times New Roman" w:cs="Times New Roman"/>
                <w:sz w:val="24"/>
                <w:szCs w:val="24"/>
              </w:rPr>
              <w:t>Universităţii</w:t>
            </w:r>
            <w:proofErr w:type="spellEnd"/>
            <w:r>
              <w:rPr>
                <w:rFonts w:ascii="Times New Roman" w:eastAsia="Times New Roman" w:hAnsi="Times New Roman" w:cs="Times New Roman"/>
                <w:sz w:val="24"/>
                <w:szCs w:val="24"/>
              </w:rPr>
              <w:t xml:space="preserve"> de Medicină, Farmacie, </w:t>
            </w:r>
            <w:proofErr w:type="spellStart"/>
            <w:r>
              <w:rPr>
                <w:rFonts w:ascii="Times New Roman" w:eastAsia="Times New Roman" w:hAnsi="Times New Roman" w:cs="Times New Roman"/>
                <w:sz w:val="24"/>
                <w:szCs w:val="24"/>
              </w:rPr>
              <w:t>Ştiinţe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Tehnologie "George Emil Palade" din Târgu </w:t>
            </w:r>
            <w:proofErr w:type="spellStart"/>
            <w:r>
              <w:rPr>
                <w:rFonts w:ascii="Times New Roman" w:eastAsia="Times New Roman" w:hAnsi="Times New Roman" w:cs="Times New Roman"/>
                <w:sz w:val="24"/>
                <w:szCs w:val="24"/>
              </w:rPr>
              <w:t>Mureş</w:t>
            </w:r>
            <w:proofErr w:type="spellEnd"/>
            <w:r>
              <w:rPr>
                <w:rFonts w:ascii="Times New Roman" w:eastAsia="Times New Roman" w:hAnsi="Times New Roman" w:cs="Times New Roman"/>
                <w:sz w:val="24"/>
                <w:szCs w:val="24"/>
              </w:rPr>
              <w:t>.</w:t>
            </w:r>
          </w:p>
          <w:p w14:paraId="29AF7F35"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Universitatea de Medicină, Farmacie, Științe și Tehnologie „George Emil Palade” din Târgu Mureș a primit finanțare și pentru proiectul MED-X - Centru de Instruire în vederea dezvoltării competențelor pentru personalul public de sănătate în cadrul PNRR/2023/C12/R3.1 - Reforma managementului serviciilor de sănătate, destinat dezvoltării competențelor personalului din domeniul sănătății, prin construirea unui centru de formare în vecinătatea spitalului. Acest centru de instruire va facilita interconectarea cu spitalul, contribuind la educarea și pregătirea cadrelor medicale la standarde înalte.</w:t>
            </w:r>
          </w:p>
          <w:p w14:paraId="4CAFDA89"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Aceste inițiative de dezvoltare a zonei, considerate proiecte de interes național, inclusiv prin atragerea de fonduri europene, justifică încetarea utilizării sau a interesului public național, conform art.292 alin. (2) din Ordonanța de urgență nr.57/2019, cu modificările și completările ulterioare. Prin urmare, se justifică necesitatea și oportunitatea ca Ministerul Educației și Cercetării prin Universitatea de Medicină, Farmacie, Științe și Tehnologie „George Emil Palade” din Târgu Mureș să preia în administrare imobilul cu o suprafață de 0,4000 hectare și a construcțiilor existente pe acesta, situat în Târgu Mureș, pe strada Între Movile nr. 1, conform cărții funciare nr. 145944 Târgu Mureș, care se află în patrimoniul propriu al Romsilva.</w:t>
            </w:r>
          </w:p>
          <w:p w14:paraId="115FA226"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Predarea și preluarea imobilelor menționat în anexă se va realiza pe baza unui protocol încheiat între părțile implicate, după data achitării contravalorii acestora de către Universitatea de Medicină, Farmacie, Științe și Tehnologie „George Emil Palade” din Târgu Mureș către Romsilva. </w:t>
            </w:r>
          </w:p>
          <w:p w14:paraId="1CDC4042" w14:textId="77777777" w:rsidR="00DA7FB4" w:rsidRDefault="00C372DE">
            <w:pPr>
              <w:spacing w:after="120" w:line="276" w:lineRule="auto"/>
              <w:jc w:val="both"/>
              <w:rPr>
                <w:rFonts w:ascii="Times New Roman" w:eastAsia="Times New Roman" w:hAnsi="Times New Roman" w:cs="Times New Roman"/>
                <w:sz w:val="10"/>
                <w:szCs w:val="10"/>
              </w:rPr>
            </w:pPr>
            <w:r>
              <w:rPr>
                <w:rFonts w:ascii="Times New Roman" w:eastAsia="Times New Roman" w:hAnsi="Times New Roman" w:cs="Times New Roman"/>
                <w:sz w:val="24"/>
                <w:szCs w:val="24"/>
              </w:rPr>
              <w:t xml:space="preserve">          Plata imobilelor prevăzute în anexa la prezentul proiect de act normativ se va asigura din prevederile bugetare pe anul 2025 ale Universității de Medicină, Farmacie, Științe și Tehnologie „George Emil Palade” din Târgu Mureș.</w:t>
            </w:r>
          </w:p>
        </w:tc>
      </w:tr>
      <w:tr w:rsidR="00DA7FB4" w14:paraId="2B573E2F" w14:textId="77777777">
        <w:trPr>
          <w:trHeight w:val="90"/>
        </w:trPr>
        <w:tc>
          <w:tcPr>
            <w:tcW w:w="756" w:type="dxa"/>
            <w:vAlign w:val="center"/>
          </w:tcPr>
          <w:p w14:paraId="51C5C4FC"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2336" w:type="dxa"/>
            <w:vAlign w:val="center"/>
          </w:tcPr>
          <w:p w14:paraId="2B22CAA5" w14:textId="77777777" w:rsidR="00DA7FB4" w:rsidRDefault="00C372DE">
            <w:pPr>
              <w:spacing w:after="0" w:line="240" w:lineRule="auto"/>
              <w:rPr>
                <w:rFonts w:ascii="Times New Roman" w:eastAsia="Times New Roman" w:hAnsi="Times New Roman" w:cs="Times New Roman"/>
                <w:sz w:val="24"/>
                <w:szCs w:val="24"/>
              </w:rPr>
            </w:pPr>
            <w:bookmarkStart w:id="4" w:name="_2et92p0" w:colFirst="0" w:colLast="0"/>
            <w:bookmarkEnd w:id="4"/>
            <w:r>
              <w:rPr>
                <w:rFonts w:ascii="Times New Roman" w:eastAsia="Times New Roman" w:hAnsi="Times New Roman" w:cs="Times New Roman"/>
                <w:sz w:val="24"/>
                <w:szCs w:val="24"/>
              </w:rPr>
              <w:t xml:space="preserve">Alte </w:t>
            </w:r>
            <w:proofErr w:type="spellStart"/>
            <w:r>
              <w:rPr>
                <w:rFonts w:ascii="Times New Roman" w:eastAsia="Times New Roman" w:hAnsi="Times New Roman" w:cs="Times New Roman"/>
                <w:sz w:val="24"/>
                <w:szCs w:val="24"/>
              </w:rPr>
              <w:t>informaţii</w:t>
            </w:r>
            <w:proofErr w:type="spellEnd"/>
          </w:p>
        </w:tc>
        <w:tc>
          <w:tcPr>
            <w:tcW w:w="7004" w:type="dxa"/>
            <w:gridSpan w:val="9"/>
          </w:tcPr>
          <w:p w14:paraId="70C4E046"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Menționăm că bunurilor imobile care fac obiectul prezentului proiect de hotărâre a Guvernului nu sunt grevate de sarcini, nu fac obiectul unor cereri de revendicare / restituire și nu se află pe rolul instanțelor judecătorești.</w:t>
            </w:r>
          </w:p>
          <w:p w14:paraId="4BDCD072" w14:textId="77777777" w:rsidR="00DA7FB4" w:rsidRDefault="00C372DE">
            <w:pPr>
              <w:spacing w:after="120" w:line="276" w:lineRule="auto"/>
              <w:jc w:val="both"/>
              <w:rPr>
                <w:rFonts w:ascii="Times New Roman" w:eastAsia="Times New Roman" w:hAnsi="Times New Roman" w:cs="Times New Roman"/>
                <w:sz w:val="24"/>
                <w:szCs w:val="24"/>
              </w:rPr>
            </w:pPr>
            <w:bookmarkStart w:id="5" w:name="_tyjcwt" w:colFirst="0" w:colLast="0"/>
            <w:bookmarkEnd w:id="5"/>
            <w:r>
              <w:rPr>
                <w:rFonts w:ascii="Times New Roman" w:eastAsia="Times New Roman" w:hAnsi="Times New Roman" w:cs="Times New Roman"/>
                <w:sz w:val="24"/>
                <w:szCs w:val="24"/>
              </w:rPr>
              <w:t xml:space="preserve">          Necesitatea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oportunitatea promovării proiectului de act normativ, realitatea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corectitudinea datelor prezentate </w:t>
            </w:r>
            <w:proofErr w:type="spellStart"/>
            <w:r>
              <w:rPr>
                <w:rFonts w:ascii="Times New Roman" w:eastAsia="Times New Roman" w:hAnsi="Times New Roman" w:cs="Times New Roman"/>
                <w:sz w:val="24"/>
                <w:szCs w:val="24"/>
              </w:rPr>
              <w:t>aparţin</w:t>
            </w:r>
            <w:proofErr w:type="spellEnd"/>
            <w:r>
              <w:rPr>
                <w:rFonts w:ascii="Times New Roman" w:eastAsia="Times New Roman" w:hAnsi="Times New Roman" w:cs="Times New Roman"/>
                <w:sz w:val="24"/>
                <w:szCs w:val="24"/>
              </w:rPr>
              <w:t xml:space="preserve"> Regiei </w:t>
            </w:r>
            <w:proofErr w:type="spellStart"/>
            <w:r>
              <w:rPr>
                <w:rFonts w:ascii="Times New Roman" w:eastAsia="Times New Roman" w:hAnsi="Times New Roman" w:cs="Times New Roman"/>
                <w:sz w:val="24"/>
                <w:szCs w:val="24"/>
              </w:rPr>
              <w:t>Naţionale</w:t>
            </w:r>
            <w:proofErr w:type="spellEnd"/>
            <w:r>
              <w:rPr>
                <w:rFonts w:ascii="Times New Roman" w:eastAsia="Times New Roman" w:hAnsi="Times New Roman" w:cs="Times New Roman"/>
                <w:sz w:val="24"/>
                <w:szCs w:val="24"/>
              </w:rPr>
              <w:t xml:space="preserve"> a Pădurilor - Romsilva care promovează acest proiect prin Ministerul Mediului, Apelor și Pădurilor, în temeiul art.1 </w:t>
            </w:r>
            <w:proofErr w:type="spellStart"/>
            <w:r>
              <w:rPr>
                <w:rFonts w:ascii="Times New Roman" w:eastAsia="Times New Roman" w:hAnsi="Times New Roman" w:cs="Times New Roman"/>
                <w:sz w:val="24"/>
                <w:szCs w:val="24"/>
              </w:rPr>
              <w:t>lit.b</w:t>
            </w:r>
            <w:proofErr w:type="spellEnd"/>
            <w:r>
              <w:rPr>
                <w:rFonts w:ascii="Times New Roman" w:eastAsia="Times New Roman" w:hAnsi="Times New Roman" w:cs="Times New Roman"/>
                <w:sz w:val="24"/>
                <w:szCs w:val="24"/>
              </w:rPr>
              <w:t xml:space="preserve">) din Regulamentul privind procedurile, la nivelul Guvernului, pentru </w:t>
            </w:r>
            <w:r>
              <w:rPr>
                <w:rFonts w:ascii="Times New Roman" w:eastAsia="Times New Roman" w:hAnsi="Times New Roman" w:cs="Times New Roman"/>
                <w:sz w:val="24"/>
                <w:szCs w:val="24"/>
              </w:rPr>
              <w:lastRenderedPageBreak/>
              <w:t xml:space="preserve">elaborarea, avizarea și prezentarea proiectelor de documente de politici publice, a proiectelor de acte normative, precum și a altor documente în vederea adoptării/aprobării, aprobat prin Hotărârea Guvernului nr. 561/2009.      </w:t>
            </w:r>
          </w:p>
          <w:p w14:paraId="7135785B" w14:textId="77777777" w:rsidR="00DA7FB4" w:rsidRDefault="00C372D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asemenea menționăm faptul că situația materială și juridică a bunurilor imobile prevăzute în proiectul de act normativ este valabilă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 prezent.</w:t>
            </w:r>
          </w:p>
        </w:tc>
      </w:tr>
      <w:tr w:rsidR="00DA7FB4" w14:paraId="765D1531" w14:textId="77777777">
        <w:trPr>
          <w:trHeight w:val="90"/>
        </w:trPr>
        <w:tc>
          <w:tcPr>
            <w:tcW w:w="10096" w:type="dxa"/>
            <w:gridSpan w:val="11"/>
            <w:vAlign w:val="center"/>
          </w:tcPr>
          <w:p w14:paraId="4CF9661E" w14:textId="77777777" w:rsidR="00DA7FB4" w:rsidRDefault="00C372DE">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Secţiunea</w:t>
            </w:r>
            <w:proofErr w:type="spellEnd"/>
            <w:r>
              <w:rPr>
                <w:rFonts w:ascii="Times New Roman" w:eastAsia="Times New Roman" w:hAnsi="Times New Roman" w:cs="Times New Roman"/>
                <w:b/>
                <w:sz w:val="24"/>
                <w:szCs w:val="24"/>
              </w:rPr>
              <w:t xml:space="preserve"> a 3-a</w:t>
            </w:r>
          </w:p>
          <w:p w14:paraId="16CF6CF6" w14:textId="77777777" w:rsidR="00DA7FB4" w:rsidRDefault="00C372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Impactul socioeconomic</w:t>
            </w:r>
          </w:p>
          <w:p w14:paraId="2E93C799" w14:textId="77777777" w:rsidR="00DA7FB4" w:rsidRDefault="00DA7FB4">
            <w:pPr>
              <w:spacing w:after="0" w:line="240" w:lineRule="auto"/>
              <w:jc w:val="center"/>
              <w:rPr>
                <w:rFonts w:ascii="Times New Roman" w:eastAsia="Times New Roman" w:hAnsi="Times New Roman" w:cs="Times New Roman"/>
                <w:b/>
                <w:sz w:val="10"/>
                <w:szCs w:val="10"/>
              </w:rPr>
            </w:pPr>
          </w:p>
        </w:tc>
      </w:tr>
      <w:tr w:rsidR="00DA7FB4" w14:paraId="3BC23749" w14:textId="77777777">
        <w:trPr>
          <w:trHeight w:val="55"/>
        </w:trPr>
        <w:tc>
          <w:tcPr>
            <w:tcW w:w="756" w:type="dxa"/>
          </w:tcPr>
          <w:p w14:paraId="6C02E61E"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336" w:type="dxa"/>
          </w:tcPr>
          <w:p w14:paraId="46430DB3"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Descrierea generală a beneficiilor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costurilor estimate ca urmare a intrării în vigoare a actului normativ</w:t>
            </w:r>
          </w:p>
        </w:tc>
        <w:tc>
          <w:tcPr>
            <w:tcW w:w="7004" w:type="dxa"/>
            <w:gridSpan w:val="9"/>
          </w:tcPr>
          <w:p w14:paraId="15716F29"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2A92B3EE" w14:textId="77777777">
        <w:trPr>
          <w:trHeight w:val="55"/>
        </w:trPr>
        <w:tc>
          <w:tcPr>
            <w:tcW w:w="756" w:type="dxa"/>
          </w:tcPr>
          <w:p w14:paraId="24CFB89F"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336" w:type="dxa"/>
          </w:tcPr>
          <w:p w14:paraId="4FEA8214"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Impactul social</w:t>
            </w:r>
          </w:p>
        </w:tc>
        <w:tc>
          <w:tcPr>
            <w:tcW w:w="7004" w:type="dxa"/>
            <w:gridSpan w:val="9"/>
          </w:tcPr>
          <w:p w14:paraId="728D1CB1" w14:textId="77777777" w:rsidR="00DA7FB4" w:rsidRDefault="00C372DE">
            <w:pPr>
              <w:spacing w:after="0" w:line="276" w:lineRule="auto"/>
              <w:ind w:hanging="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Proiectul de act normativ nu se referă la acest subiect.    </w:t>
            </w:r>
          </w:p>
        </w:tc>
      </w:tr>
      <w:tr w:rsidR="00DA7FB4" w14:paraId="15128D82" w14:textId="77777777">
        <w:trPr>
          <w:trHeight w:val="55"/>
        </w:trPr>
        <w:tc>
          <w:tcPr>
            <w:tcW w:w="756" w:type="dxa"/>
          </w:tcPr>
          <w:p w14:paraId="590D6E3A"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336" w:type="dxa"/>
          </w:tcPr>
          <w:p w14:paraId="734A8CD2"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Impactul asupra drepturilor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libertăţilor</w:t>
            </w:r>
            <w:proofErr w:type="spellEnd"/>
            <w:r>
              <w:rPr>
                <w:rFonts w:ascii="Times New Roman" w:eastAsia="Times New Roman" w:hAnsi="Times New Roman" w:cs="Times New Roman"/>
                <w:sz w:val="24"/>
                <w:szCs w:val="24"/>
              </w:rPr>
              <w:t xml:space="preserve"> fundamentale ale omului</w:t>
            </w:r>
          </w:p>
        </w:tc>
        <w:tc>
          <w:tcPr>
            <w:tcW w:w="7004" w:type="dxa"/>
            <w:gridSpan w:val="9"/>
          </w:tcPr>
          <w:p w14:paraId="0E0947C2"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14681EEE" w14:textId="77777777">
        <w:trPr>
          <w:trHeight w:val="55"/>
        </w:trPr>
        <w:tc>
          <w:tcPr>
            <w:tcW w:w="756" w:type="dxa"/>
          </w:tcPr>
          <w:p w14:paraId="03CB7844"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336" w:type="dxa"/>
          </w:tcPr>
          <w:p w14:paraId="2FD1797C"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Impactul macroeconomic</w:t>
            </w:r>
          </w:p>
        </w:tc>
        <w:tc>
          <w:tcPr>
            <w:tcW w:w="7004" w:type="dxa"/>
            <w:gridSpan w:val="9"/>
          </w:tcPr>
          <w:p w14:paraId="122E470B"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041116BB" w14:textId="77777777">
        <w:trPr>
          <w:trHeight w:val="52"/>
        </w:trPr>
        <w:tc>
          <w:tcPr>
            <w:tcW w:w="756" w:type="dxa"/>
          </w:tcPr>
          <w:p w14:paraId="79775132"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3.4.1.</w:t>
            </w:r>
          </w:p>
        </w:tc>
        <w:tc>
          <w:tcPr>
            <w:tcW w:w="2336" w:type="dxa"/>
          </w:tcPr>
          <w:p w14:paraId="7172E8F7"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Impactul asupra economiei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asupra principalilor indicatori macroeconomici</w:t>
            </w:r>
          </w:p>
        </w:tc>
        <w:tc>
          <w:tcPr>
            <w:tcW w:w="7004" w:type="dxa"/>
            <w:gridSpan w:val="9"/>
          </w:tcPr>
          <w:p w14:paraId="60604B08" w14:textId="77777777" w:rsidR="00DA7FB4" w:rsidRDefault="00DA7FB4">
            <w:pPr>
              <w:spacing w:after="0" w:line="240" w:lineRule="auto"/>
              <w:jc w:val="both"/>
              <w:rPr>
                <w:rFonts w:ascii="Times New Roman" w:eastAsia="Times New Roman" w:hAnsi="Times New Roman" w:cs="Times New Roman"/>
                <w:sz w:val="24"/>
                <w:szCs w:val="24"/>
              </w:rPr>
            </w:pPr>
          </w:p>
          <w:p w14:paraId="692B631F" w14:textId="77777777" w:rsidR="00DA7FB4" w:rsidRDefault="00DA7FB4">
            <w:pPr>
              <w:spacing w:after="0" w:line="240" w:lineRule="auto"/>
              <w:jc w:val="both"/>
              <w:rPr>
                <w:rFonts w:ascii="Times New Roman" w:eastAsia="Times New Roman" w:hAnsi="Times New Roman" w:cs="Times New Roman"/>
                <w:sz w:val="24"/>
                <w:szCs w:val="24"/>
              </w:rPr>
            </w:pPr>
          </w:p>
          <w:p w14:paraId="408687B6"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2E1DCE17" w14:textId="77777777">
        <w:trPr>
          <w:trHeight w:val="52"/>
        </w:trPr>
        <w:tc>
          <w:tcPr>
            <w:tcW w:w="756" w:type="dxa"/>
          </w:tcPr>
          <w:p w14:paraId="1EA1AD99"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p>
        </w:tc>
        <w:tc>
          <w:tcPr>
            <w:tcW w:w="2336" w:type="dxa"/>
          </w:tcPr>
          <w:p w14:paraId="3B8D79C2"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Impactul asupra mediului </w:t>
            </w:r>
            <w:proofErr w:type="spellStart"/>
            <w:r>
              <w:rPr>
                <w:rFonts w:ascii="Times New Roman" w:eastAsia="Times New Roman" w:hAnsi="Times New Roman" w:cs="Times New Roman"/>
                <w:sz w:val="24"/>
                <w:szCs w:val="24"/>
              </w:rPr>
              <w:t>concurenţial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domeniul ajutoarelor de stat</w:t>
            </w:r>
          </w:p>
        </w:tc>
        <w:tc>
          <w:tcPr>
            <w:tcW w:w="7004" w:type="dxa"/>
            <w:gridSpan w:val="9"/>
          </w:tcPr>
          <w:p w14:paraId="3D84E3A4"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61482317" w14:textId="77777777">
        <w:trPr>
          <w:trHeight w:val="52"/>
        </w:trPr>
        <w:tc>
          <w:tcPr>
            <w:tcW w:w="756" w:type="dxa"/>
          </w:tcPr>
          <w:p w14:paraId="48781515"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336" w:type="dxa"/>
          </w:tcPr>
          <w:p w14:paraId="41CDA078"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Impactul asupra mediului de afaceri</w:t>
            </w:r>
          </w:p>
        </w:tc>
        <w:tc>
          <w:tcPr>
            <w:tcW w:w="7004" w:type="dxa"/>
            <w:gridSpan w:val="9"/>
          </w:tcPr>
          <w:p w14:paraId="0891ED45"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29A133F7" w14:textId="77777777">
        <w:trPr>
          <w:trHeight w:val="52"/>
        </w:trPr>
        <w:tc>
          <w:tcPr>
            <w:tcW w:w="756" w:type="dxa"/>
          </w:tcPr>
          <w:p w14:paraId="27771DF2"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336" w:type="dxa"/>
          </w:tcPr>
          <w:p w14:paraId="1FC498AB"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Impactul asupra mediului înconjurător</w:t>
            </w:r>
          </w:p>
        </w:tc>
        <w:tc>
          <w:tcPr>
            <w:tcW w:w="7004" w:type="dxa"/>
            <w:gridSpan w:val="9"/>
          </w:tcPr>
          <w:p w14:paraId="5421A419" w14:textId="77777777" w:rsidR="00DA7FB4" w:rsidRDefault="00DA7FB4">
            <w:pPr>
              <w:spacing w:after="0" w:line="240" w:lineRule="auto"/>
              <w:jc w:val="both"/>
              <w:rPr>
                <w:rFonts w:ascii="Times New Roman" w:eastAsia="Times New Roman" w:hAnsi="Times New Roman" w:cs="Times New Roman"/>
                <w:sz w:val="24"/>
                <w:szCs w:val="24"/>
              </w:rPr>
            </w:pPr>
          </w:p>
        </w:tc>
      </w:tr>
      <w:tr w:rsidR="00DA7FB4" w14:paraId="188C040F" w14:textId="77777777">
        <w:trPr>
          <w:trHeight w:val="52"/>
        </w:trPr>
        <w:tc>
          <w:tcPr>
            <w:tcW w:w="756" w:type="dxa"/>
          </w:tcPr>
          <w:p w14:paraId="28535F40"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336" w:type="dxa"/>
          </w:tcPr>
          <w:p w14:paraId="2179EFE5"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Evaluarea costurilor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beneficiilor din perspectiva inovării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digitalizării</w:t>
            </w:r>
          </w:p>
        </w:tc>
        <w:tc>
          <w:tcPr>
            <w:tcW w:w="7004" w:type="dxa"/>
            <w:gridSpan w:val="9"/>
          </w:tcPr>
          <w:p w14:paraId="5DF4EF45"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3E7785D8" w14:textId="77777777">
        <w:trPr>
          <w:trHeight w:val="52"/>
        </w:trPr>
        <w:tc>
          <w:tcPr>
            <w:tcW w:w="756" w:type="dxa"/>
          </w:tcPr>
          <w:p w14:paraId="4E846CB2"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336" w:type="dxa"/>
          </w:tcPr>
          <w:p w14:paraId="494AB9D0"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Evaluarea </w:t>
            </w:r>
            <w:proofErr w:type="spellStart"/>
            <w:r>
              <w:rPr>
                <w:rFonts w:ascii="Times New Roman" w:eastAsia="Times New Roman" w:hAnsi="Times New Roman" w:cs="Times New Roman"/>
                <w:sz w:val="24"/>
                <w:szCs w:val="24"/>
              </w:rPr>
              <w:t>osturilor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beneficiilor din perspectiva dezvoltării durabile</w:t>
            </w:r>
          </w:p>
        </w:tc>
        <w:tc>
          <w:tcPr>
            <w:tcW w:w="7004" w:type="dxa"/>
            <w:gridSpan w:val="9"/>
          </w:tcPr>
          <w:p w14:paraId="52C72F89" w14:textId="77777777" w:rsidR="00DA7FB4" w:rsidRDefault="00C372D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Proiectul de act normativ nu se referă la acest subiect.</w:t>
            </w:r>
          </w:p>
        </w:tc>
      </w:tr>
      <w:tr w:rsidR="00DA7FB4" w14:paraId="25C6C4EE" w14:textId="77777777">
        <w:trPr>
          <w:trHeight w:val="52"/>
        </w:trPr>
        <w:tc>
          <w:tcPr>
            <w:tcW w:w="756" w:type="dxa"/>
          </w:tcPr>
          <w:p w14:paraId="0A56789A"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336" w:type="dxa"/>
          </w:tcPr>
          <w:p w14:paraId="325D6A36"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 </w:t>
            </w:r>
            <w:proofErr w:type="spellStart"/>
            <w:r>
              <w:rPr>
                <w:rFonts w:ascii="Times New Roman" w:eastAsia="Times New Roman" w:hAnsi="Times New Roman" w:cs="Times New Roman"/>
                <w:sz w:val="24"/>
                <w:szCs w:val="24"/>
              </w:rPr>
              <w:t>informaţii</w:t>
            </w:r>
            <w:proofErr w:type="spellEnd"/>
          </w:p>
        </w:tc>
        <w:tc>
          <w:tcPr>
            <w:tcW w:w="7004" w:type="dxa"/>
            <w:gridSpan w:val="9"/>
          </w:tcPr>
          <w:p w14:paraId="44C07149" w14:textId="77777777" w:rsidR="00DA7FB4" w:rsidRDefault="00C372D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Nu au fost identificate</w:t>
            </w:r>
          </w:p>
        </w:tc>
      </w:tr>
      <w:tr w:rsidR="00DA7FB4" w14:paraId="53413009" w14:textId="77777777">
        <w:trPr>
          <w:trHeight w:val="52"/>
        </w:trPr>
        <w:tc>
          <w:tcPr>
            <w:tcW w:w="10096" w:type="dxa"/>
            <w:gridSpan w:val="11"/>
          </w:tcPr>
          <w:p w14:paraId="557D95E8" w14:textId="77777777" w:rsidR="00DA7FB4" w:rsidRDefault="00C372DE">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Secţiunea</w:t>
            </w:r>
            <w:proofErr w:type="spellEnd"/>
            <w:r>
              <w:rPr>
                <w:rFonts w:ascii="Times New Roman" w:eastAsia="Times New Roman" w:hAnsi="Times New Roman" w:cs="Times New Roman"/>
                <w:b/>
                <w:sz w:val="24"/>
                <w:szCs w:val="24"/>
              </w:rPr>
              <w:t xml:space="preserve"> a 4-a</w:t>
            </w:r>
          </w:p>
          <w:p w14:paraId="4DECCF01" w14:textId="77777777" w:rsidR="00DA7FB4" w:rsidRDefault="00C372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Impactul financiar asupra bugetului general consolidat atât pe termen scurt, pentru anul curent, cât </w:t>
            </w:r>
            <w:proofErr w:type="spellStart"/>
            <w:r>
              <w:rPr>
                <w:rFonts w:ascii="Times New Roman" w:eastAsia="Times New Roman" w:hAnsi="Times New Roman" w:cs="Times New Roman"/>
                <w:b/>
                <w:sz w:val="24"/>
                <w:szCs w:val="24"/>
              </w:rPr>
              <w:t>şi</w:t>
            </w:r>
            <w:proofErr w:type="spellEnd"/>
            <w:r>
              <w:rPr>
                <w:rFonts w:ascii="Times New Roman" w:eastAsia="Times New Roman" w:hAnsi="Times New Roman" w:cs="Times New Roman"/>
                <w:b/>
                <w:sz w:val="24"/>
                <w:szCs w:val="24"/>
              </w:rPr>
              <w:t xml:space="preserve"> pe termen lung (pe 5 ani), inclusiv </w:t>
            </w:r>
            <w:proofErr w:type="spellStart"/>
            <w:r>
              <w:rPr>
                <w:rFonts w:ascii="Times New Roman" w:eastAsia="Times New Roman" w:hAnsi="Times New Roman" w:cs="Times New Roman"/>
                <w:b/>
                <w:sz w:val="24"/>
                <w:szCs w:val="24"/>
              </w:rPr>
              <w:t>informaţii</w:t>
            </w:r>
            <w:proofErr w:type="spellEnd"/>
            <w:r>
              <w:rPr>
                <w:rFonts w:ascii="Times New Roman" w:eastAsia="Times New Roman" w:hAnsi="Times New Roman" w:cs="Times New Roman"/>
                <w:b/>
                <w:sz w:val="24"/>
                <w:szCs w:val="24"/>
              </w:rPr>
              <w:t xml:space="preserve"> cu privire la cheltuieli </w:t>
            </w:r>
            <w:proofErr w:type="spellStart"/>
            <w:r>
              <w:rPr>
                <w:rFonts w:ascii="Times New Roman" w:eastAsia="Times New Roman" w:hAnsi="Times New Roman" w:cs="Times New Roman"/>
                <w:b/>
                <w:sz w:val="24"/>
                <w:szCs w:val="24"/>
              </w:rPr>
              <w:t>şi</w:t>
            </w:r>
            <w:proofErr w:type="spellEnd"/>
            <w:r>
              <w:rPr>
                <w:rFonts w:ascii="Times New Roman" w:eastAsia="Times New Roman" w:hAnsi="Times New Roman" w:cs="Times New Roman"/>
                <w:b/>
                <w:sz w:val="24"/>
                <w:szCs w:val="24"/>
              </w:rPr>
              <w:t xml:space="preserve"> venituri</w:t>
            </w:r>
          </w:p>
          <w:p w14:paraId="10CE3E85" w14:textId="77777777" w:rsidR="00DA7FB4" w:rsidRDefault="00DA7FB4">
            <w:pPr>
              <w:spacing w:after="0" w:line="240" w:lineRule="auto"/>
              <w:jc w:val="center"/>
              <w:rPr>
                <w:rFonts w:ascii="Times New Roman" w:eastAsia="Times New Roman" w:hAnsi="Times New Roman" w:cs="Times New Roman"/>
                <w:b/>
                <w:sz w:val="10"/>
                <w:szCs w:val="10"/>
              </w:rPr>
            </w:pPr>
          </w:p>
        </w:tc>
      </w:tr>
      <w:tr w:rsidR="00DA7FB4" w14:paraId="58142A3B" w14:textId="77777777">
        <w:trPr>
          <w:trHeight w:val="52"/>
        </w:trPr>
        <w:tc>
          <w:tcPr>
            <w:tcW w:w="10096" w:type="dxa"/>
            <w:gridSpan w:val="11"/>
          </w:tcPr>
          <w:p w14:paraId="06DC9A32"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 mii lei (RON) – </w:t>
            </w:r>
          </w:p>
        </w:tc>
      </w:tr>
      <w:tr w:rsidR="00DA7FB4" w14:paraId="2618B0BA" w14:textId="77777777">
        <w:trPr>
          <w:trHeight w:val="45"/>
        </w:trPr>
        <w:tc>
          <w:tcPr>
            <w:tcW w:w="6333" w:type="dxa"/>
            <w:gridSpan w:val="5"/>
            <w:vAlign w:val="center"/>
          </w:tcPr>
          <w:p w14:paraId="18A510DF" w14:textId="77777777" w:rsidR="00DA7FB4" w:rsidRDefault="00C372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Indicatori</w:t>
            </w:r>
          </w:p>
        </w:tc>
        <w:tc>
          <w:tcPr>
            <w:tcW w:w="816" w:type="dxa"/>
            <w:vAlign w:val="center"/>
          </w:tcPr>
          <w:p w14:paraId="0F850305" w14:textId="77777777" w:rsidR="00DA7FB4" w:rsidRDefault="00C372DE">
            <w:pPr>
              <w:tabs>
                <w:tab w:val="left" w:pos="7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Anul</w:t>
            </w:r>
          </w:p>
          <w:p w14:paraId="7CD19FA5" w14:textId="77777777" w:rsidR="00DA7FB4" w:rsidRDefault="00C372DE">
            <w:pPr>
              <w:tabs>
                <w:tab w:val="left" w:pos="7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curent</w:t>
            </w:r>
          </w:p>
        </w:tc>
        <w:tc>
          <w:tcPr>
            <w:tcW w:w="1772" w:type="dxa"/>
            <w:gridSpan w:val="4"/>
            <w:vAlign w:val="center"/>
          </w:tcPr>
          <w:p w14:paraId="10E66C10" w14:textId="77777777" w:rsidR="00DA7FB4" w:rsidRDefault="00C372DE">
            <w:pPr>
              <w:tabs>
                <w:tab w:val="left" w:pos="720"/>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Urmatorii</w:t>
            </w:r>
            <w:proofErr w:type="spellEnd"/>
            <w:r>
              <w:rPr>
                <w:rFonts w:ascii="Times New Roman" w:eastAsia="Times New Roman" w:hAnsi="Times New Roman" w:cs="Times New Roman"/>
                <w:sz w:val="24"/>
                <w:szCs w:val="24"/>
              </w:rPr>
              <w:t xml:space="preserve"> patru ani</w:t>
            </w:r>
          </w:p>
        </w:tc>
        <w:tc>
          <w:tcPr>
            <w:tcW w:w="1175" w:type="dxa"/>
            <w:vAlign w:val="center"/>
          </w:tcPr>
          <w:p w14:paraId="72CC63AC" w14:textId="77777777" w:rsidR="00DA7FB4" w:rsidRDefault="00C372DE">
            <w:pPr>
              <w:tabs>
                <w:tab w:val="left" w:pos="7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Media pe cinci ani</w:t>
            </w:r>
          </w:p>
        </w:tc>
      </w:tr>
      <w:tr w:rsidR="00DA7FB4" w14:paraId="2BCF764E" w14:textId="77777777">
        <w:trPr>
          <w:trHeight w:val="45"/>
        </w:trPr>
        <w:tc>
          <w:tcPr>
            <w:tcW w:w="6333" w:type="dxa"/>
            <w:gridSpan w:val="5"/>
            <w:vAlign w:val="center"/>
          </w:tcPr>
          <w:p w14:paraId="1C409123" w14:textId="77777777" w:rsidR="00DA7FB4" w:rsidRDefault="00C372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vAlign w:val="center"/>
          </w:tcPr>
          <w:p w14:paraId="740C9CB7" w14:textId="77777777" w:rsidR="00DA7FB4" w:rsidRDefault="00C372DE">
            <w:pPr>
              <w:tabs>
                <w:tab w:val="left" w:pos="7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0" w:type="dxa"/>
            <w:vAlign w:val="center"/>
          </w:tcPr>
          <w:p w14:paraId="22E510BE" w14:textId="77777777" w:rsidR="00DA7FB4" w:rsidRDefault="00C372DE">
            <w:pPr>
              <w:tabs>
                <w:tab w:val="left" w:pos="7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9" w:type="dxa"/>
            <w:vAlign w:val="center"/>
          </w:tcPr>
          <w:p w14:paraId="48C01108" w14:textId="77777777" w:rsidR="00DA7FB4" w:rsidRDefault="00C372DE">
            <w:pPr>
              <w:tabs>
                <w:tab w:val="left" w:pos="7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1" w:type="dxa"/>
            <w:vAlign w:val="center"/>
          </w:tcPr>
          <w:p w14:paraId="0B5A28BD" w14:textId="77777777" w:rsidR="00DA7FB4" w:rsidRDefault="00C372DE">
            <w:pPr>
              <w:tabs>
                <w:tab w:val="left" w:pos="7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2" w:type="dxa"/>
            <w:vAlign w:val="center"/>
          </w:tcPr>
          <w:p w14:paraId="1CD9A36B" w14:textId="77777777" w:rsidR="00DA7FB4" w:rsidRDefault="00C372DE">
            <w:pPr>
              <w:tabs>
                <w:tab w:val="left" w:pos="7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75" w:type="dxa"/>
            <w:vAlign w:val="center"/>
          </w:tcPr>
          <w:p w14:paraId="645F01A8" w14:textId="77777777" w:rsidR="00DA7FB4" w:rsidRDefault="00C372DE">
            <w:pPr>
              <w:tabs>
                <w:tab w:val="left" w:pos="7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DA7FB4" w14:paraId="1A888DF0" w14:textId="77777777">
        <w:trPr>
          <w:trHeight w:val="45"/>
        </w:trPr>
        <w:tc>
          <w:tcPr>
            <w:tcW w:w="6333" w:type="dxa"/>
            <w:gridSpan w:val="5"/>
            <w:vAlign w:val="center"/>
          </w:tcPr>
          <w:p w14:paraId="50FA53DE"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Modificări ale veniturilor bugetare, plus/minus, din care:</w:t>
            </w:r>
          </w:p>
        </w:tc>
        <w:tc>
          <w:tcPr>
            <w:tcW w:w="816" w:type="dxa"/>
            <w:vAlign w:val="center"/>
          </w:tcPr>
          <w:p w14:paraId="2E705B11"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276278D7"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07C28588"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4C897970"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51049F05"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39555AC8"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1413FEB4" w14:textId="77777777">
        <w:trPr>
          <w:trHeight w:val="45"/>
        </w:trPr>
        <w:tc>
          <w:tcPr>
            <w:tcW w:w="6333" w:type="dxa"/>
            <w:gridSpan w:val="5"/>
            <w:vAlign w:val="center"/>
          </w:tcPr>
          <w:p w14:paraId="03B9FD84"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buget de stat, din acesta:</w:t>
            </w:r>
          </w:p>
          <w:p w14:paraId="113F75D1"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impozit pe profit</w:t>
            </w:r>
          </w:p>
          <w:p w14:paraId="4A9783A1"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impozit pe venit</w:t>
            </w:r>
          </w:p>
        </w:tc>
        <w:tc>
          <w:tcPr>
            <w:tcW w:w="816" w:type="dxa"/>
            <w:vAlign w:val="center"/>
          </w:tcPr>
          <w:p w14:paraId="31A193E0"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1EB2D0CB"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4D00BC1C"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303D5923"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3C915AD3"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2F561297"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05246990" w14:textId="77777777">
        <w:trPr>
          <w:trHeight w:val="45"/>
        </w:trPr>
        <w:tc>
          <w:tcPr>
            <w:tcW w:w="6333" w:type="dxa"/>
            <w:gridSpan w:val="5"/>
            <w:vAlign w:val="center"/>
          </w:tcPr>
          <w:p w14:paraId="5E1EFCAE"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bugete locale</w:t>
            </w:r>
          </w:p>
          <w:p w14:paraId="65D08F60"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impozit pe profit</w:t>
            </w:r>
          </w:p>
        </w:tc>
        <w:tc>
          <w:tcPr>
            <w:tcW w:w="816" w:type="dxa"/>
            <w:vAlign w:val="center"/>
          </w:tcPr>
          <w:p w14:paraId="0D1952DC"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1F8C7480"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6A5E1D47"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37961146"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1321742A"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0572188C"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1FC4B51D" w14:textId="77777777">
        <w:trPr>
          <w:trHeight w:val="45"/>
        </w:trPr>
        <w:tc>
          <w:tcPr>
            <w:tcW w:w="6333" w:type="dxa"/>
            <w:gridSpan w:val="5"/>
            <w:vAlign w:val="center"/>
          </w:tcPr>
          <w:p w14:paraId="60F25D5A"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bugetul asigurărilor sociale de stat:</w:t>
            </w:r>
          </w:p>
          <w:p w14:paraId="4CF42DB2"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contribuţii</w:t>
            </w:r>
            <w:proofErr w:type="spellEnd"/>
            <w:r>
              <w:rPr>
                <w:rFonts w:ascii="Times New Roman" w:eastAsia="Times New Roman" w:hAnsi="Times New Roman" w:cs="Times New Roman"/>
                <w:sz w:val="24"/>
                <w:szCs w:val="24"/>
              </w:rPr>
              <w:t xml:space="preserve"> de asigurări</w:t>
            </w:r>
          </w:p>
        </w:tc>
        <w:tc>
          <w:tcPr>
            <w:tcW w:w="816" w:type="dxa"/>
            <w:vAlign w:val="center"/>
          </w:tcPr>
          <w:p w14:paraId="4E89E400"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1AFCA1C7"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68D71799"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1EB12D4A"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0E232828"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75C849D0"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01B23DC1" w14:textId="77777777">
        <w:trPr>
          <w:trHeight w:val="45"/>
        </w:trPr>
        <w:tc>
          <w:tcPr>
            <w:tcW w:w="6333" w:type="dxa"/>
            <w:gridSpan w:val="5"/>
            <w:vAlign w:val="center"/>
          </w:tcPr>
          <w:p w14:paraId="5864D973"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alte tipuri de venituri</w:t>
            </w:r>
          </w:p>
          <w:p w14:paraId="2FF6E84B"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va menționa natura acestora)</w:t>
            </w:r>
          </w:p>
        </w:tc>
        <w:tc>
          <w:tcPr>
            <w:tcW w:w="816" w:type="dxa"/>
            <w:vAlign w:val="center"/>
          </w:tcPr>
          <w:p w14:paraId="2E3A6515"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11449652"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0F478A67"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46955740"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6A41172D"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5E230CE3"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4AC4DD76" w14:textId="77777777">
        <w:trPr>
          <w:trHeight w:val="45"/>
        </w:trPr>
        <w:tc>
          <w:tcPr>
            <w:tcW w:w="6333" w:type="dxa"/>
            <w:gridSpan w:val="5"/>
            <w:vAlign w:val="center"/>
          </w:tcPr>
          <w:p w14:paraId="2DF7CE0F"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Modificări ale cheltuielilor bugetare, plus/minus, din care:</w:t>
            </w:r>
          </w:p>
        </w:tc>
        <w:tc>
          <w:tcPr>
            <w:tcW w:w="816" w:type="dxa"/>
            <w:vAlign w:val="center"/>
          </w:tcPr>
          <w:p w14:paraId="16A8F117"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6A35CF74"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2D6475A6"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02023959"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2A5ECF38"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1240608E"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164C2199" w14:textId="77777777">
        <w:trPr>
          <w:trHeight w:val="45"/>
        </w:trPr>
        <w:tc>
          <w:tcPr>
            <w:tcW w:w="6333" w:type="dxa"/>
            <w:gridSpan w:val="5"/>
            <w:vAlign w:val="center"/>
          </w:tcPr>
          <w:p w14:paraId="7D70C258"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buget de stat, din acesta:</w:t>
            </w:r>
          </w:p>
          <w:p w14:paraId="69DC98EF"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cheltuieli de personal</w:t>
            </w:r>
          </w:p>
          <w:p w14:paraId="4EE4097A"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bunuri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servicii</w:t>
            </w:r>
          </w:p>
        </w:tc>
        <w:tc>
          <w:tcPr>
            <w:tcW w:w="816" w:type="dxa"/>
            <w:vAlign w:val="center"/>
          </w:tcPr>
          <w:p w14:paraId="1D4C6271"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166949B7"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603DC1F4"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3C468AA1"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794105EC"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4E8D1ADB"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5E3D993F" w14:textId="77777777">
        <w:trPr>
          <w:trHeight w:val="45"/>
        </w:trPr>
        <w:tc>
          <w:tcPr>
            <w:tcW w:w="6333" w:type="dxa"/>
            <w:gridSpan w:val="5"/>
            <w:vAlign w:val="center"/>
          </w:tcPr>
          <w:p w14:paraId="01B19C7D"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bugete locale:</w:t>
            </w:r>
          </w:p>
          <w:p w14:paraId="15CD19D7"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cheltuieli de personal</w:t>
            </w:r>
          </w:p>
          <w:p w14:paraId="786509F2"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bunuri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servicii</w:t>
            </w:r>
          </w:p>
        </w:tc>
        <w:tc>
          <w:tcPr>
            <w:tcW w:w="816" w:type="dxa"/>
            <w:vAlign w:val="center"/>
          </w:tcPr>
          <w:p w14:paraId="573B8CA3"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228F2FA5"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6A238C07"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70BFE67F"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0CFA7CF1"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0097E51F"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5DF12CB1" w14:textId="77777777">
        <w:trPr>
          <w:trHeight w:val="45"/>
        </w:trPr>
        <w:tc>
          <w:tcPr>
            <w:tcW w:w="6333" w:type="dxa"/>
            <w:gridSpan w:val="5"/>
            <w:vAlign w:val="center"/>
          </w:tcPr>
          <w:p w14:paraId="7C2CEE8F"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bugetul asigurărilor sociale de stat:</w:t>
            </w:r>
          </w:p>
          <w:p w14:paraId="62C8E619"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cheltuieli de personal</w:t>
            </w:r>
          </w:p>
          <w:p w14:paraId="50303A8D"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bunuri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servicii</w:t>
            </w:r>
          </w:p>
        </w:tc>
        <w:tc>
          <w:tcPr>
            <w:tcW w:w="816" w:type="dxa"/>
            <w:vAlign w:val="center"/>
          </w:tcPr>
          <w:p w14:paraId="65431B85"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5A83B786"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0A247357"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3369740C"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6F95C6F9"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5FFF3DC2"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559A098E" w14:textId="77777777">
        <w:trPr>
          <w:trHeight w:val="45"/>
        </w:trPr>
        <w:tc>
          <w:tcPr>
            <w:tcW w:w="6333" w:type="dxa"/>
            <w:gridSpan w:val="5"/>
            <w:vAlign w:val="center"/>
          </w:tcPr>
          <w:p w14:paraId="084C6DC0"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alte tipuri de cheltuieli</w:t>
            </w:r>
          </w:p>
          <w:p w14:paraId="771B245B"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va menționa natura acestora)</w:t>
            </w:r>
          </w:p>
        </w:tc>
        <w:tc>
          <w:tcPr>
            <w:tcW w:w="816" w:type="dxa"/>
            <w:vAlign w:val="center"/>
          </w:tcPr>
          <w:p w14:paraId="674EAD71"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5060C7F4"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2BE3B7CE"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5A0F1D58"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10E5AC10"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5606954A"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73A729E1" w14:textId="77777777">
        <w:trPr>
          <w:trHeight w:val="45"/>
        </w:trPr>
        <w:tc>
          <w:tcPr>
            <w:tcW w:w="6333" w:type="dxa"/>
            <w:gridSpan w:val="5"/>
            <w:vAlign w:val="center"/>
          </w:tcPr>
          <w:p w14:paraId="116D65FB"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Impact financiar, plus/minus, din care:</w:t>
            </w:r>
          </w:p>
        </w:tc>
        <w:tc>
          <w:tcPr>
            <w:tcW w:w="816" w:type="dxa"/>
            <w:vAlign w:val="center"/>
          </w:tcPr>
          <w:p w14:paraId="2CEDF60C"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4004F61D"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19628284"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7335BC78"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6F8C4279"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72DF17F6"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021D47DC" w14:textId="77777777">
        <w:trPr>
          <w:trHeight w:val="45"/>
        </w:trPr>
        <w:tc>
          <w:tcPr>
            <w:tcW w:w="6333" w:type="dxa"/>
            <w:gridSpan w:val="5"/>
            <w:vAlign w:val="center"/>
          </w:tcPr>
          <w:p w14:paraId="6EFEA422"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buget de stat</w:t>
            </w:r>
          </w:p>
        </w:tc>
        <w:tc>
          <w:tcPr>
            <w:tcW w:w="816" w:type="dxa"/>
            <w:vAlign w:val="center"/>
          </w:tcPr>
          <w:p w14:paraId="39EB8EE2"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1CD5488C"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3D4CF189"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4BDAE3F8"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27687AB6"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6E3854E2"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7D40FED6" w14:textId="77777777">
        <w:trPr>
          <w:trHeight w:val="45"/>
        </w:trPr>
        <w:tc>
          <w:tcPr>
            <w:tcW w:w="6333" w:type="dxa"/>
            <w:gridSpan w:val="5"/>
            <w:vAlign w:val="center"/>
          </w:tcPr>
          <w:p w14:paraId="385A69CF"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bugete locale</w:t>
            </w:r>
          </w:p>
        </w:tc>
        <w:tc>
          <w:tcPr>
            <w:tcW w:w="816" w:type="dxa"/>
            <w:vAlign w:val="center"/>
          </w:tcPr>
          <w:p w14:paraId="7F9A0E74"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54296A55"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53E111D3"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7C75A869"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48CABF67"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251DA49E"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49FDDFAE" w14:textId="77777777">
        <w:trPr>
          <w:trHeight w:val="45"/>
        </w:trPr>
        <w:tc>
          <w:tcPr>
            <w:tcW w:w="6333" w:type="dxa"/>
            <w:gridSpan w:val="5"/>
            <w:vAlign w:val="center"/>
          </w:tcPr>
          <w:p w14:paraId="417D55D9"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Propuneri pentru acoperirea </w:t>
            </w:r>
            <w:proofErr w:type="spellStart"/>
            <w:r>
              <w:rPr>
                <w:rFonts w:ascii="Times New Roman" w:eastAsia="Times New Roman" w:hAnsi="Times New Roman" w:cs="Times New Roman"/>
                <w:sz w:val="24"/>
                <w:szCs w:val="24"/>
              </w:rPr>
              <w:t>creşterii</w:t>
            </w:r>
            <w:proofErr w:type="spellEnd"/>
            <w:r>
              <w:rPr>
                <w:rFonts w:ascii="Times New Roman" w:eastAsia="Times New Roman" w:hAnsi="Times New Roman" w:cs="Times New Roman"/>
                <w:sz w:val="24"/>
                <w:szCs w:val="24"/>
              </w:rPr>
              <w:t xml:space="preserve"> cheltuielilor bugetare</w:t>
            </w:r>
          </w:p>
        </w:tc>
        <w:tc>
          <w:tcPr>
            <w:tcW w:w="816" w:type="dxa"/>
            <w:vAlign w:val="center"/>
          </w:tcPr>
          <w:p w14:paraId="00533449"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13098ED1"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70B8A78A"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77004981"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6110CD53"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5CA1E5E8"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6865903D" w14:textId="77777777">
        <w:trPr>
          <w:trHeight w:val="45"/>
        </w:trPr>
        <w:tc>
          <w:tcPr>
            <w:tcW w:w="6333" w:type="dxa"/>
            <w:gridSpan w:val="5"/>
            <w:vAlign w:val="center"/>
          </w:tcPr>
          <w:p w14:paraId="2B7AED5B"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Propuneri pentru a compensa reducerea veniturilor bugetare</w:t>
            </w:r>
          </w:p>
        </w:tc>
        <w:tc>
          <w:tcPr>
            <w:tcW w:w="816" w:type="dxa"/>
            <w:vAlign w:val="center"/>
          </w:tcPr>
          <w:p w14:paraId="25F0790D"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1560BC05"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3B19CC8E"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67C93B06"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2DEA5469"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11B503F5"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6360E7F4" w14:textId="77777777">
        <w:trPr>
          <w:trHeight w:val="45"/>
        </w:trPr>
        <w:tc>
          <w:tcPr>
            <w:tcW w:w="6333" w:type="dxa"/>
            <w:gridSpan w:val="5"/>
            <w:vAlign w:val="center"/>
          </w:tcPr>
          <w:p w14:paraId="1B5B63E1"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Calcule detaliate privind fundamentarea modificărilor veniturilor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/sau cheltuielilor bugetare</w:t>
            </w:r>
          </w:p>
        </w:tc>
        <w:tc>
          <w:tcPr>
            <w:tcW w:w="816" w:type="dxa"/>
            <w:vAlign w:val="center"/>
          </w:tcPr>
          <w:p w14:paraId="1C1381E9"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336B92F3"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40F13CCF"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01B6A473"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56CF7BAF"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70C8D359"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6223F6BB" w14:textId="77777777">
        <w:trPr>
          <w:trHeight w:val="45"/>
        </w:trPr>
        <w:tc>
          <w:tcPr>
            <w:tcW w:w="6333" w:type="dxa"/>
            <w:gridSpan w:val="5"/>
            <w:vAlign w:val="center"/>
          </w:tcPr>
          <w:p w14:paraId="17AF67C4"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 Prezentarea, în cazul proiectelor de acte normative a căror adoptare atrage majorarea cheltuielilor bugetare, a următoarelor documente:</w:t>
            </w:r>
          </w:p>
        </w:tc>
        <w:tc>
          <w:tcPr>
            <w:tcW w:w="816" w:type="dxa"/>
            <w:vAlign w:val="center"/>
          </w:tcPr>
          <w:p w14:paraId="3F2C81CD"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297C66C6"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247F707B"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480ADB27"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6386310C"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2E1476F2"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32FBA644" w14:textId="77777777">
        <w:trPr>
          <w:trHeight w:val="45"/>
        </w:trPr>
        <w:tc>
          <w:tcPr>
            <w:tcW w:w="6333" w:type="dxa"/>
            <w:gridSpan w:val="5"/>
            <w:vAlign w:val="center"/>
          </w:tcPr>
          <w:p w14:paraId="18BD5574"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fişa</w:t>
            </w:r>
            <w:proofErr w:type="spellEnd"/>
            <w:r>
              <w:rPr>
                <w:rFonts w:ascii="Times New Roman" w:eastAsia="Times New Roman" w:hAnsi="Times New Roman" w:cs="Times New Roman"/>
                <w:sz w:val="24"/>
                <w:szCs w:val="24"/>
              </w:rPr>
              <w:t xml:space="preserve"> financiară prevăzută la art. 15 din Legea nr. 500/2002 privind </w:t>
            </w:r>
            <w:proofErr w:type="spellStart"/>
            <w:r>
              <w:rPr>
                <w:rFonts w:ascii="Times New Roman" w:eastAsia="Times New Roman" w:hAnsi="Times New Roman" w:cs="Times New Roman"/>
                <w:sz w:val="24"/>
                <w:szCs w:val="24"/>
              </w:rPr>
              <w:t>finanţele</w:t>
            </w:r>
            <w:proofErr w:type="spellEnd"/>
            <w:r>
              <w:rPr>
                <w:rFonts w:ascii="Times New Roman" w:eastAsia="Times New Roman" w:hAnsi="Times New Roman" w:cs="Times New Roman"/>
                <w:sz w:val="24"/>
                <w:szCs w:val="24"/>
              </w:rPr>
              <w:t xml:space="preserve"> publice, cu modificările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completările ulterioare, </w:t>
            </w:r>
            <w:proofErr w:type="spellStart"/>
            <w:r>
              <w:rPr>
                <w:rFonts w:ascii="Times New Roman" w:eastAsia="Times New Roman" w:hAnsi="Times New Roman" w:cs="Times New Roman"/>
                <w:sz w:val="24"/>
                <w:szCs w:val="24"/>
              </w:rPr>
              <w:t>însoţită</w:t>
            </w:r>
            <w:proofErr w:type="spellEnd"/>
            <w:r>
              <w:rPr>
                <w:rFonts w:ascii="Times New Roman" w:eastAsia="Times New Roman" w:hAnsi="Times New Roman" w:cs="Times New Roman"/>
                <w:sz w:val="24"/>
                <w:szCs w:val="24"/>
              </w:rPr>
              <w:t xml:space="preserve"> de ipotezele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metodologia de calcul utilizate;</w:t>
            </w:r>
          </w:p>
          <w:p w14:paraId="3283FDBC"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spellStart"/>
            <w:r>
              <w:rPr>
                <w:rFonts w:ascii="Times New Roman" w:eastAsia="Times New Roman" w:hAnsi="Times New Roman" w:cs="Times New Roman"/>
                <w:sz w:val="24"/>
                <w:szCs w:val="24"/>
              </w:rPr>
              <w:t>declaraţie</w:t>
            </w:r>
            <w:proofErr w:type="spellEnd"/>
            <w:r>
              <w:rPr>
                <w:rFonts w:ascii="Times New Roman" w:eastAsia="Times New Roman" w:hAnsi="Times New Roman" w:cs="Times New Roman"/>
                <w:sz w:val="24"/>
                <w:szCs w:val="24"/>
              </w:rPr>
              <w:t xml:space="preserve"> conform căreia majorarea de cheltuială respectivă este compatibilă cu obiectivele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priorităţile</w:t>
            </w:r>
            <w:proofErr w:type="spellEnd"/>
            <w:r>
              <w:rPr>
                <w:rFonts w:ascii="Times New Roman" w:eastAsia="Times New Roman" w:hAnsi="Times New Roman" w:cs="Times New Roman"/>
                <w:sz w:val="24"/>
                <w:szCs w:val="24"/>
              </w:rPr>
              <w:t xml:space="preserve"> strategice specificate în strategia fiscal-bugetară, cu legea bugetară anuală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cu plafoanele de cheltuieli prezentate în strategia fiscal-bugetară.</w:t>
            </w:r>
          </w:p>
        </w:tc>
        <w:tc>
          <w:tcPr>
            <w:tcW w:w="816" w:type="dxa"/>
            <w:vAlign w:val="center"/>
          </w:tcPr>
          <w:p w14:paraId="0CA9F0CA"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530" w:type="dxa"/>
            <w:vAlign w:val="center"/>
          </w:tcPr>
          <w:p w14:paraId="6E87208A"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399" w:type="dxa"/>
            <w:vAlign w:val="center"/>
          </w:tcPr>
          <w:p w14:paraId="50F83FF3"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1" w:type="dxa"/>
            <w:vAlign w:val="center"/>
          </w:tcPr>
          <w:p w14:paraId="5EBA23D1"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422" w:type="dxa"/>
            <w:vAlign w:val="center"/>
          </w:tcPr>
          <w:p w14:paraId="25FD0143"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c>
          <w:tcPr>
            <w:tcW w:w="1175" w:type="dxa"/>
            <w:vAlign w:val="center"/>
          </w:tcPr>
          <w:p w14:paraId="7626363D" w14:textId="77777777" w:rsidR="00DA7FB4" w:rsidRDefault="00DA7FB4">
            <w:pPr>
              <w:tabs>
                <w:tab w:val="left" w:pos="720"/>
              </w:tabs>
              <w:spacing w:after="0" w:line="240" w:lineRule="auto"/>
              <w:jc w:val="center"/>
              <w:rPr>
                <w:rFonts w:ascii="Times New Roman" w:eastAsia="Times New Roman" w:hAnsi="Times New Roman" w:cs="Times New Roman"/>
                <w:sz w:val="24"/>
                <w:szCs w:val="24"/>
              </w:rPr>
            </w:pPr>
          </w:p>
        </w:tc>
      </w:tr>
      <w:tr w:rsidR="00DA7FB4" w14:paraId="079BABFF" w14:textId="77777777">
        <w:trPr>
          <w:trHeight w:val="45"/>
        </w:trPr>
        <w:tc>
          <w:tcPr>
            <w:tcW w:w="6333" w:type="dxa"/>
            <w:gridSpan w:val="5"/>
            <w:vAlign w:val="center"/>
          </w:tcPr>
          <w:p w14:paraId="7B264BF3"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 Alte informații</w:t>
            </w:r>
          </w:p>
        </w:tc>
        <w:tc>
          <w:tcPr>
            <w:tcW w:w="3763" w:type="dxa"/>
            <w:gridSpan w:val="6"/>
            <w:vAlign w:val="center"/>
          </w:tcPr>
          <w:p w14:paraId="073CB3E6" w14:textId="77777777" w:rsidR="00DA7FB4" w:rsidRDefault="00C372DE">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Predarea și preluarea imobilelor menționat în anexă se va realiza pe baza unui protocol încheiat între părțile implicate, după data achitării contravalorii acestora de către Universitatea de Medicină, Farmacie, Științe și Tehnologie </w:t>
            </w:r>
            <w:r>
              <w:rPr>
                <w:rFonts w:ascii="Times New Roman" w:eastAsia="Times New Roman" w:hAnsi="Times New Roman" w:cs="Times New Roman"/>
                <w:sz w:val="24"/>
                <w:szCs w:val="24"/>
              </w:rPr>
              <w:lastRenderedPageBreak/>
              <w:t xml:space="preserve">„George Emil Palade” din Târgu Mureș către Romsilva. </w:t>
            </w:r>
          </w:p>
          <w:p w14:paraId="3ECE3388" w14:textId="6ABF8DD6" w:rsidR="00394E12" w:rsidRDefault="00C372DE">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Plata imobilelor prevăzute în anexa la prezentul proiect de act normativ se va asigura din prevederile bugetare pe anul 2025 ale Universității de Medicină, Farmacie, Științe și Tehnologie „George Emil Palade” din Târgu Mureș</w:t>
            </w:r>
            <w:r w:rsidR="00394E12">
              <w:rPr>
                <w:rFonts w:ascii="Times New Roman" w:eastAsia="Times New Roman" w:hAnsi="Times New Roman" w:cs="Times New Roman"/>
                <w:sz w:val="24"/>
                <w:szCs w:val="24"/>
              </w:rPr>
              <w:t>, din</w:t>
            </w:r>
            <w:r w:rsidR="00394E12" w:rsidRPr="00394E12">
              <w:rPr>
                <w:rFonts w:ascii="Times New Roman" w:eastAsia="Times New Roman" w:hAnsi="Times New Roman" w:cs="Times New Roman"/>
                <w:sz w:val="24"/>
                <w:szCs w:val="24"/>
              </w:rPr>
              <w:t xml:space="preserve"> bugetul Ministerului Educației și Cercetării prin Universitatea de Medicină, Farmacie, Științe și Tehnologie „George Emil Palade” din Târgu Mureș , capitolul 80.01 "</w:t>
            </w:r>
            <w:proofErr w:type="spellStart"/>
            <w:r w:rsidR="00394E12" w:rsidRPr="00394E12">
              <w:rPr>
                <w:rFonts w:ascii="Times New Roman" w:eastAsia="Times New Roman" w:hAnsi="Times New Roman" w:cs="Times New Roman"/>
                <w:sz w:val="24"/>
                <w:szCs w:val="24"/>
              </w:rPr>
              <w:t>Acţiuni</w:t>
            </w:r>
            <w:proofErr w:type="spellEnd"/>
            <w:r w:rsidR="00394E12" w:rsidRPr="00394E12">
              <w:rPr>
                <w:rFonts w:ascii="Times New Roman" w:eastAsia="Times New Roman" w:hAnsi="Times New Roman" w:cs="Times New Roman"/>
                <w:sz w:val="24"/>
                <w:szCs w:val="24"/>
              </w:rPr>
              <w:t xml:space="preserve"> generale economice, comerciale </w:t>
            </w:r>
            <w:proofErr w:type="spellStart"/>
            <w:r w:rsidR="00394E12" w:rsidRPr="00394E12">
              <w:rPr>
                <w:rFonts w:ascii="Times New Roman" w:eastAsia="Times New Roman" w:hAnsi="Times New Roman" w:cs="Times New Roman"/>
                <w:sz w:val="24"/>
                <w:szCs w:val="24"/>
              </w:rPr>
              <w:t>şi</w:t>
            </w:r>
            <w:proofErr w:type="spellEnd"/>
            <w:r w:rsidR="00394E12" w:rsidRPr="00394E12">
              <w:rPr>
                <w:rFonts w:ascii="Times New Roman" w:eastAsia="Times New Roman" w:hAnsi="Times New Roman" w:cs="Times New Roman"/>
                <w:sz w:val="24"/>
                <w:szCs w:val="24"/>
              </w:rPr>
              <w:t xml:space="preserve"> de muncă", titlul 71 "Active nefinanciare", articolul 71.01 "Active fixe", alineatul 71.01.01 "</w:t>
            </w:r>
            <w:proofErr w:type="spellStart"/>
            <w:r w:rsidR="00394E12" w:rsidRPr="00394E12">
              <w:rPr>
                <w:rFonts w:ascii="Times New Roman" w:eastAsia="Times New Roman" w:hAnsi="Times New Roman" w:cs="Times New Roman"/>
                <w:sz w:val="24"/>
                <w:szCs w:val="24"/>
              </w:rPr>
              <w:t>Construcţii</w:t>
            </w:r>
            <w:proofErr w:type="spellEnd"/>
            <w:r w:rsidR="00394E12" w:rsidRPr="00394E12">
              <w:rPr>
                <w:rFonts w:ascii="Times New Roman" w:eastAsia="Times New Roman" w:hAnsi="Times New Roman" w:cs="Times New Roman"/>
                <w:sz w:val="24"/>
                <w:szCs w:val="24"/>
              </w:rPr>
              <w:t xml:space="preserve">", Sursa de </w:t>
            </w:r>
            <w:proofErr w:type="spellStart"/>
            <w:r w:rsidR="00394E12" w:rsidRPr="00394E12">
              <w:rPr>
                <w:rFonts w:ascii="Times New Roman" w:eastAsia="Times New Roman" w:hAnsi="Times New Roman" w:cs="Times New Roman"/>
                <w:sz w:val="24"/>
                <w:szCs w:val="24"/>
              </w:rPr>
              <w:t>finațare</w:t>
            </w:r>
            <w:proofErr w:type="spellEnd"/>
            <w:r w:rsidR="00394E12" w:rsidRPr="00394E12">
              <w:rPr>
                <w:rFonts w:ascii="Times New Roman" w:eastAsia="Times New Roman" w:hAnsi="Times New Roman" w:cs="Times New Roman"/>
                <w:sz w:val="24"/>
                <w:szCs w:val="24"/>
              </w:rPr>
              <w:t>: F-Venituri proprii</w:t>
            </w:r>
          </w:p>
        </w:tc>
      </w:tr>
      <w:tr w:rsidR="00DA7FB4" w14:paraId="665D329B" w14:textId="77777777">
        <w:trPr>
          <w:trHeight w:val="45"/>
        </w:trPr>
        <w:tc>
          <w:tcPr>
            <w:tcW w:w="10096" w:type="dxa"/>
            <w:gridSpan w:val="11"/>
          </w:tcPr>
          <w:p w14:paraId="7A2202F7" w14:textId="77777777" w:rsidR="00DA7FB4" w:rsidRDefault="00C372DE">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Secţiunea</w:t>
            </w:r>
            <w:proofErr w:type="spellEnd"/>
            <w:r>
              <w:rPr>
                <w:rFonts w:ascii="Times New Roman" w:eastAsia="Times New Roman" w:hAnsi="Times New Roman" w:cs="Times New Roman"/>
                <w:b/>
                <w:sz w:val="24"/>
                <w:szCs w:val="24"/>
              </w:rPr>
              <w:t xml:space="preserve"> a 5-a</w:t>
            </w:r>
          </w:p>
          <w:p w14:paraId="05D8B9D1" w14:textId="77777777" w:rsidR="00DA7FB4" w:rsidRDefault="00C372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Efectele proiectului de act normativ asupra </w:t>
            </w:r>
            <w:proofErr w:type="spellStart"/>
            <w:r>
              <w:rPr>
                <w:rFonts w:ascii="Times New Roman" w:eastAsia="Times New Roman" w:hAnsi="Times New Roman" w:cs="Times New Roman"/>
                <w:b/>
                <w:sz w:val="24"/>
                <w:szCs w:val="24"/>
              </w:rPr>
              <w:t>legislaţiei</w:t>
            </w:r>
            <w:proofErr w:type="spellEnd"/>
            <w:r>
              <w:rPr>
                <w:rFonts w:ascii="Times New Roman" w:eastAsia="Times New Roman" w:hAnsi="Times New Roman" w:cs="Times New Roman"/>
                <w:b/>
                <w:sz w:val="24"/>
                <w:szCs w:val="24"/>
              </w:rPr>
              <w:t xml:space="preserve"> în vigoare</w:t>
            </w:r>
            <w:r>
              <w:rPr>
                <w:rFonts w:ascii="Times New Roman" w:eastAsia="Times New Roman" w:hAnsi="Times New Roman" w:cs="Times New Roman"/>
                <w:sz w:val="24"/>
                <w:szCs w:val="24"/>
              </w:rPr>
              <w:t xml:space="preserve">   </w:t>
            </w:r>
          </w:p>
        </w:tc>
      </w:tr>
      <w:tr w:rsidR="00DA7FB4" w14:paraId="2BF8EF6A" w14:textId="77777777">
        <w:trPr>
          <w:trHeight w:val="45"/>
        </w:trPr>
        <w:tc>
          <w:tcPr>
            <w:tcW w:w="756" w:type="dxa"/>
          </w:tcPr>
          <w:p w14:paraId="206B608B"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3740" w:type="dxa"/>
            <w:gridSpan w:val="3"/>
          </w:tcPr>
          <w:p w14:paraId="52636E1D"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Măsuri normative necesare pentru aplicarea prevederilor proiectului de act normativ</w:t>
            </w:r>
          </w:p>
        </w:tc>
        <w:tc>
          <w:tcPr>
            <w:tcW w:w="5600" w:type="dxa"/>
            <w:gridSpan w:val="7"/>
          </w:tcPr>
          <w:p w14:paraId="4B844286"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 adoptarea prezentului proiect de act normativ se modifică anexa nr. 8 la Hotărârea Guvernului nr. 1705/2006 pentru aprobarea inventarului centralizat al bunurilor din domeniul public al statului, publicată în Monitorul Oficial  al României.</w:t>
            </w:r>
          </w:p>
        </w:tc>
      </w:tr>
      <w:tr w:rsidR="00DA7FB4" w14:paraId="59050C3A" w14:textId="77777777">
        <w:trPr>
          <w:trHeight w:val="45"/>
        </w:trPr>
        <w:tc>
          <w:tcPr>
            <w:tcW w:w="756" w:type="dxa"/>
          </w:tcPr>
          <w:p w14:paraId="08057C18"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740" w:type="dxa"/>
            <w:gridSpan w:val="3"/>
          </w:tcPr>
          <w:p w14:paraId="55765C3D"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Impactul asupra </w:t>
            </w:r>
            <w:proofErr w:type="spellStart"/>
            <w:r>
              <w:rPr>
                <w:rFonts w:ascii="Times New Roman" w:eastAsia="Times New Roman" w:hAnsi="Times New Roman" w:cs="Times New Roman"/>
                <w:sz w:val="24"/>
                <w:szCs w:val="24"/>
              </w:rPr>
              <w:t>legislaţiei</w:t>
            </w:r>
            <w:proofErr w:type="spellEnd"/>
            <w:r>
              <w:rPr>
                <w:rFonts w:ascii="Times New Roman" w:eastAsia="Times New Roman" w:hAnsi="Times New Roman" w:cs="Times New Roman"/>
                <w:sz w:val="24"/>
                <w:szCs w:val="24"/>
              </w:rPr>
              <w:t xml:space="preserve"> în domeniul </w:t>
            </w:r>
            <w:proofErr w:type="spellStart"/>
            <w:r>
              <w:rPr>
                <w:rFonts w:ascii="Times New Roman" w:eastAsia="Times New Roman" w:hAnsi="Times New Roman" w:cs="Times New Roman"/>
                <w:sz w:val="24"/>
                <w:szCs w:val="24"/>
              </w:rPr>
              <w:t>achiziţiilor</w:t>
            </w:r>
            <w:proofErr w:type="spellEnd"/>
            <w:r>
              <w:rPr>
                <w:rFonts w:ascii="Times New Roman" w:eastAsia="Times New Roman" w:hAnsi="Times New Roman" w:cs="Times New Roman"/>
                <w:sz w:val="24"/>
                <w:szCs w:val="24"/>
              </w:rPr>
              <w:t xml:space="preserve"> publice</w:t>
            </w:r>
          </w:p>
        </w:tc>
        <w:tc>
          <w:tcPr>
            <w:tcW w:w="5600" w:type="dxa"/>
            <w:gridSpan w:val="7"/>
          </w:tcPr>
          <w:p w14:paraId="38BD80DA"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522B515B" w14:textId="77777777">
        <w:trPr>
          <w:trHeight w:val="45"/>
        </w:trPr>
        <w:tc>
          <w:tcPr>
            <w:tcW w:w="756" w:type="dxa"/>
          </w:tcPr>
          <w:p w14:paraId="31B2EF87"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3740" w:type="dxa"/>
            <w:gridSpan w:val="3"/>
          </w:tcPr>
          <w:p w14:paraId="389BDB72"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Conformitatea proiectului de act normativ cu </w:t>
            </w:r>
            <w:proofErr w:type="spellStart"/>
            <w:r>
              <w:rPr>
                <w:rFonts w:ascii="Times New Roman" w:eastAsia="Times New Roman" w:hAnsi="Times New Roman" w:cs="Times New Roman"/>
                <w:sz w:val="24"/>
                <w:szCs w:val="24"/>
              </w:rPr>
              <w:t>legislaţia</w:t>
            </w:r>
            <w:proofErr w:type="spellEnd"/>
            <w:r>
              <w:rPr>
                <w:rFonts w:ascii="Times New Roman" w:eastAsia="Times New Roman" w:hAnsi="Times New Roman" w:cs="Times New Roman"/>
                <w:sz w:val="24"/>
                <w:szCs w:val="24"/>
              </w:rPr>
              <w:t xml:space="preserve"> UE (în cazul proiectelor ce transpun sau asigură aplicarea unor prevederi de drept UE).</w:t>
            </w:r>
          </w:p>
        </w:tc>
        <w:tc>
          <w:tcPr>
            <w:tcW w:w="5600" w:type="dxa"/>
            <w:gridSpan w:val="7"/>
          </w:tcPr>
          <w:p w14:paraId="4E3E703E" w14:textId="77777777" w:rsidR="00DA7FB4" w:rsidRDefault="00DA7FB4">
            <w:pPr>
              <w:spacing w:after="0" w:line="240" w:lineRule="auto"/>
              <w:jc w:val="both"/>
              <w:rPr>
                <w:rFonts w:ascii="Times New Roman" w:eastAsia="Times New Roman" w:hAnsi="Times New Roman" w:cs="Times New Roman"/>
                <w:sz w:val="24"/>
                <w:szCs w:val="24"/>
              </w:rPr>
            </w:pPr>
          </w:p>
          <w:p w14:paraId="4C64CD78" w14:textId="77777777" w:rsidR="00DA7FB4" w:rsidRDefault="00C372D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Proiectul de act normativ nu se  referă  la acest subiect.</w:t>
            </w:r>
          </w:p>
        </w:tc>
      </w:tr>
      <w:tr w:rsidR="00DA7FB4" w14:paraId="4313471E" w14:textId="77777777">
        <w:trPr>
          <w:trHeight w:val="45"/>
        </w:trPr>
        <w:tc>
          <w:tcPr>
            <w:tcW w:w="756" w:type="dxa"/>
          </w:tcPr>
          <w:p w14:paraId="62DCE4F3"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5.3.1.</w:t>
            </w:r>
          </w:p>
        </w:tc>
        <w:tc>
          <w:tcPr>
            <w:tcW w:w="3740" w:type="dxa"/>
            <w:gridSpan w:val="3"/>
          </w:tcPr>
          <w:p w14:paraId="4F4836C3"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Măsuri normative necesare transpunerii directivelor UE</w:t>
            </w:r>
          </w:p>
        </w:tc>
        <w:tc>
          <w:tcPr>
            <w:tcW w:w="5600" w:type="dxa"/>
            <w:gridSpan w:val="7"/>
          </w:tcPr>
          <w:p w14:paraId="2069B3AE"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p w14:paraId="121ECFB6" w14:textId="77777777" w:rsidR="00DA7FB4" w:rsidRDefault="00DA7FB4">
            <w:pPr>
              <w:spacing w:after="0" w:line="240" w:lineRule="auto"/>
              <w:jc w:val="both"/>
              <w:rPr>
                <w:rFonts w:ascii="Times New Roman" w:eastAsia="Times New Roman" w:hAnsi="Times New Roman" w:cs="Times New Roman"/>
                <w:b/>
                <w:sz w:val="24"/>
                <w:szCs w:val="24"/>
              </w:rPr>
            </w:pPr>
          </w:p>
        </w:tc>
      </w:tr>
      <w:tr w:rsidR="00DA7FB4" w14:paraId="6356AF6A" w14:textId="77777777">
        <w:trPr>
          <w:trHeight w:val="45"/>
        </w:trPr>
        <w:tc>
          <w:tcPr>
            <w:tcW w:w="756" w:type="dxa"/>
          </w:tcPr>
          <w:p w14:paraId="559C271C"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p>
        </w:tc>
        <w:tc>
          <w:tcPr>
            <w:tcW w:w="3740" w:type="dxa"/>
            <w:gridSpan w:val="3"/>
          </w:tcPr>
          <w:p w14:paraId="62953583"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Măsuri normative necesare aplicării actelor legislative ale UE</w:t>
            </w:r>
          </w:p>
        </w:tc>
        <w:tc>
          <w:tcPr>
            <w:tcW w:w="5600" w:type="dxa"/>
            <w:gridSpan w:val="7"/>
          </w:tcPr>
          <w:p w14:paraId="1132C25A" w14:textId="77777777" w:rsidR="00DA7FB4" w:rsidRDefault="00C372D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Proiectul de act normativ nu se referă la acest subiect.</w:t>
            </w:r>
          </w:p>
        </w:tc>
      </w:tr>
      <w:tr w:rsidR="00DA7FB4" w14:paraId="6407D473" w14:textId="77777777">
        <w:trPr>
          <w:trHeight w:val="45"/>
        </w:trPr>
        <w:tc>
          <w:tcPr>
            <w:tcW w:w="756" w:type="dxa"/>
          </w:tcPr>
          <w:p w14:paraId="0F94629B"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740" w:type="dxa"/>
            <w:gridSpan w:val="3"/>
          </w:tcPr>
          <w:p w14:paraId="4A9799C4"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Hotărâri ale </w:t>
            </w:r>
            <w:proofErr w:type="spellStart"/>
            <w:r>
              <w:rPr>
                <w:rFonts w:ascii="Times New Roman" w:eastAsia="Times New Roman" w:hAnsi="Times New Roman" w:cs="Times New Roman"/>
                <w:sz w:val="24"/>
                <w:szCs w:val="24"/>
              </w:rPr>
              <w:t>Curţii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Justiţie</w:t>
            </w:r>
            <w:proofErr w:type="spellEnd"/>
            <w:r>
              <w:rPr>
                <w:rFonts w:ascii="Times New Roman" w:eastAsia="Times New Roman" w:hAnsi="Times New Roman" w:cs="Times New Roman"/>
                <w:sz w:val="24"/>
                <w:szCs w:val="24"/>
              </w:rPr>
              <w:t xml:space="preserve"> a Uniunii Europene </w:t>
            </w:r>
          </w:p>
        </w:tc>
        <w:tc>
          <w:tcPr>
            <w:tcW w:w="5600" w:type="dxa"/>
            <w:gridSpan w:val="7"/>
          </w:tcPr>
          <w:p w14:paraId="34F2DCA7" w14:textId="77777777" w:rsidR="00DA7FB4" w:rsidRDefault="00C372D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Proiectul de act normativ nu se referă la acest subiect.</w:t>
            </w:r>
          </w:p>
        </w:tc>
      </w:tr>
      <w:tr w:rsidR="00DA7FB4" w14:paraId="2DD3BFF2" w14:textId="77777777">
        <w:trPr>
          <w:trHeight w:val="252"/>
        </w:trPr>
        <w:tc>
          <w:tcPr>
            <w:tcW w:w="756" w:type="dxa"/>
          </w:tcPr>
          <w:p w14:paraId="1B6E1B31"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740" w:type="dxa"/>
            <w:gridSpan w:val="3"/>
          </w:tcPr>
          <w:p w14:paraId="6A15F15A"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 acte normative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/sau documente </w:t>
            </w:r>
            <w:proofErr w:type="spellStart"/>
            <w:r>
              <w:rPr>
                <w:rFonts w:ascii="Times New Roman" w:eastAsia="Times New Roman" w:hAnsi="Times New Roman" w:cs="Times New Roman"/>
                <w:sz w:val="24"/>
                <w:szCs w:val="24"/>
              </w:rPr>
              <w:t>internaţionale</w:t>
            </w:r>
            <w:proofErr w:type="spellEnd"/>
            <w:r>
              <w:rPr>
                <w:rFonts w:ascii="Times New Roman" w:eastAsia="Times New Roman" w:hAnsi="Times New Roman" w:cs="Times New Roman"/>
                <w:sz w:val="24"/>
                <w:szCs w:val="24"/>
              </w:rPr>
              <w:t xml:space="preserve"> din care decurg angajamente asumate </w:t>
            </w:r>
          </w:p>
        </w:tc>
        <w:tc>
          <w:tcPr>
            <w:tcW w:w="5600" w:type="dxa"/>
            <w:gridSpan w:val="7"/>
          </w:tcPr>
          <w:p w14:paraId="66D8FFA1" w14:textId="77777777" w:rsidR="00DA7FB4" w:rsidRDefault="00C372D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Proiectul de act normativ nu se referă la acest subiect.</w:t>
            </w:r>
          </w:p>
        </w:tc>
      </w:tr>
      <w:tr w:rsidR="00DA7FB4" w14:paraId="592938C0" w14:textId="77777777">
        <w:trPr>
          <w:trHeight w:val="252"/>
        </w:trPr>
        <w:tc>
          <w:tcPr>
            <w:tcW w:w="756" w:type="dxa"/>
          </w:tcPr>
          <w:p w14:paraId="2F777571"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3740" w:type="dxa"/>
            <w:gridSpan w:val="3"/>
          </w:tcPr>
          <w:p w14:paraId="14E13151"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 </w:t>
            </w:r>
            <w:proofErr w:type="spellStart"/>
            <w:r>
              <w:rPr>
                <w:rFonts w:ascii="Times New Roman" w:eastAsia="Times New Roman" w:hAnsi="Times New Roman" w:cs="Times New Roman"/>
                <w:sz w:val="24"/>
                <w:szCs w:val="24"/>
              </w:rPr>
              <w:t>informaţii</w:t>
            </w:r>
            <w:proofErr w:type="spellEnd"/>
          </w:p>
        </w:tc>
        <w:tc>
          <w:tcPr>
            <w:tcW w:w="5600" w:type="dxa"/>
            <w:gridSpan w:val="7"/>
          </w:tcPr>
          <w:p w14:paraId="1E2DABEC" w14:textId="77777777" w:rsidR="00DA7FB4" w:rsidRDefault="00C372D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Nu au fost identificate.</w:t>
            </w:r>
          </w:p>
        </w:tc>
      </w:tr>
      <w:tr w:rsidR="00DA7FB4" w14:paraId="22BA4CDA" w14:textId="77777777">
        <w:trPr>
          <w:trHeight w:val="45"/>
        </w:trPr>
        <w:tc>
          <w:tcPr>
            <w:tcW w:w="10096" w:type="dxa"/>
            <w:gridSpan w:val="11"/>
            <w:vAlign w:val="center"/>
          </w:tcPr>
          <w:p w14:paraId="1D730A8C" w14:textId="77777777" w:rsidR="00DA7FB4" w:rsidRDefault="00C372DE">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Secţiunea</w:t>
            </w:r>
            <w:proofErr w:type="spellEnd"/>
            <w:r>
              <w:rPr>
                <w:rFonts w:ascii="Times New Roman" w:eastAsia="Times New Roman" w:hAnsi="Times New Roman" w:cs="Times New Roman"/>
                <w:b/>
                <w:sz w:val="24"/>
                <w:szCs w:val="24"/>
              </w:rPr>
              <w:t xml:space="preserve"> a 6-a</w:t>
            </w:r>
          </w:p>
          <w:p w14:paraId="61686CCE" w14:textId="77777777" w:rsidR="00DA7FB4" w:rsidRDefault="00C372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Consultările efectuate în vederea elaborării proiectului de act normativ </w:t>
            </w:r>
          </w:p>
          <w:p w14:paraId="7E2313C4" w14:textId="77777777" w:rsidR="00DA7FB4" w:rsidRDefault="00DA7FB4">
            <w:pPr>
              <w:spacing w:after="0" w:line="240" w:lineRule="auto"/>
              <w:jc w:val="center"/>
              <w:rPr>
                <w:rFonts w:ascii="Times New Roman" w:eastAsia="Times New Roman" w:hAnsi="Times New Roman" w:cs="Times New Roman"/>
                <w:b/>
                <w:sz w:val="10"/>
                <w:szCs w:val="10"/>
              </w:rPr>
            </w:pPr>
          </w:p>
        </w:tc>
      </w:tr>
      <w:tr w:rsidR="00DA7FB4" w14:paraId="6B104B8A" w14:textId="77777777">
        <w:trPr>
          <w:trHeight w:val="55"/>
        </w:trPr>
        <w:tc>
          <w:tcPr>
            <w:tcW w:w="756" w:type="dxa"/>
          </w:tcPr>
          <w:p w14:paraId="60230A68"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5577" w:type="dxa"/>
            <w:gridSpan w:val="4"/>
          </w:tcPr>
          <w:p w14:paraId="3B530F00" w14:textId="77777777" w:rsidR="00DA7FB4" w:rsidRDefault="00C372D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Informaţii</w:t>
            </w:r>
            <w:proofErr w:type="spellEnd"/>
            <w:r>
              <w:rPr>
                <w:rFonts w:ascii="Times New Roman" w:eastAsia="Times New Roman" w:hAnsi="Times New Roman" w:cs="Times New Roman"/>
                <w:sz w:val="24"/>
                <w:szCs w:val="24"/>
              </w:rPr>
              <w:t xml:space="preserve"> privind neaplicarea procedurii de participare la elaborarea actelor normative</w:t>
            </w:r>
          </w:p>
        </w:tc>
        <w:tc>
          <w:tcPr>
            <w:tcW w:w="3763" w:type="dxa"/>
            <w:gridSpan w:val="6"/>
          </w:tcPr>
          <w:p w14:paraId="7C7336F5"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71E7959B" w14:textId="77777777">
        <w:trPr>
          <w:trHeight w:val="52"/>
        </w:trPr>
        <w:tc>
          <w:tcPr>
            <w:tcW w:w="756" w:type="dxa"/>
          </w:tcPr>
          <w:p w14:paraId="6B2ED4C2"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5577" w:type="dxa"/>
            <w:gridSpan w:val="4"/>
          </w:tcPr>
          <w:p w14:paraId="7EA4F868" w14:textId="77777777" w:rsidR="00DA7FB4" w:rsidRDefault="00C372D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Informaţii</w:t>
            </w:r>
            <w:proofErr w:type="spellEnd"/>
            <w:r>
              <w:rPr>
                <w:rFonts w:ascii="Times New Roman" w:eastAsia="Times New Roman" w:hAnsi="Times New Roman" w:cs="Times New Roman"/>
                <w:sz w:val="24"/>
                <w:szCs w:val="24"/>
              </w:rPr>
              <w:t xml:space="preserve"> privind procesul de consultare cu </w:t>
            </w:r>
            <w:proofErr w:type="spellStart"/>
            <w:r>
              <w:rPr>
                <w:rFonts w:ascii="Times New Roman" w:eastAsia="Times New Roman" w:hAnsi="Times New Roman" w:cs="Times New Roman"/>
                <w:sz w:val="24"/>
                <w:szCs w:val="24"/>
              </w:rPr>
              <w:t>organizaţii</w:t>
            </w:r>
            <w:proofErr w:type="spellEnd"/>
            <w:r>
              <w:rPr>
                <w:rFonts w:ascii="Times New Roman" w:eastAsia="Times New Roman" w:hAnsi="Times New Roman" w:cs="Times New Roman"/>
                <w:sz w:val="24"/>
                <w:szCs w:val="24"/>
              </w:rPr>
              <w:t xml:space="preserve"> neguvernamentale, institute de cercetare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alte organisme implicate</w:t>
            </w:r>
          </w:p>
        </w:tc>
        <w:tc>
          <w:tcPr>
            <w:tcW w:w="3763" w:type="dxa"/>
            <w:gridSpan w:val="6"/>
          </w:tcPr>
          <w:p w14:paraId="19DA9735"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0B9A4EE6" w14:textId="77777777">
        <w:trPr>
          <w:trHeight w:val="52"/>
        </w:trPr>
        <w:tc>
          <w:tcPr>
            <w:tcW w:w="756" w:type="dxa"/>
          </w:tcPr>
          <w:p w14:paraId="5C6354D7"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5577" w:type="dxa"/>
            <w:gridSpan w:val="4"/>
          </w:tcPr>
          <w:p w14:paraId="69BAADEB" w14:textId="77777777" w:rsidR="00DA7FB4" w:rsidRDefault="00C372D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Informaţii</w:t>
            </w:r>
            <w:proofErr w:type="spellEnd"/>
            <w:r>
              <w:rPr>
                <w:rFonts w:ascii="Times New Roman" w:eastAsia="Times New Roman" w:hAnsi="Times New Roman" w:cs="Times New Roman"/>
                <w:sz w:val="24"/>
                <w:szCs w:val="24"/>
              </w:rPr>
              <w:t xml:space="preserve"> despre consultările organizate cu </w:t>
            </w:r>
            <w:proofErr w:type="spellStart"/>
            <w:r>
              <w:rPr>
                <w:rFonts w:ascii="Times New Roman" w:eastAsia="Times New Roman" w:hAnsi="Times New Roman" w:cs="Times New Roman"/>
                <w:sz w:val="24"/>
                <w:szCs w:val="24"/>
              </w:rPr>
              <w:t>autorităţile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administraţiei</w:t>
            </w:r>
            <w:proofErr w:type="spellEnd"/>
            <w:r>
              <w:rPr>
                <w:rFonts w:ascii="Times New Roman" w:eastAsia="Times New Roman" w:hAnsi="Times New Roman" w:cs="Times New Roman"/>
                <w:sz w:val="24"/>
                <w:szCs w:val="24"/>
              </w:rPr>
              <w:t xml:space="preserve"> publice locale</w:t>
            </w:r>
          </w:p>
        </w:tc>
        <w:tc>
          <w:tcPr>
            <w:tcW w:w="3763" w:type="dxa"/>
            <w:gridSpan w:val="6"/>
          </w:tcPr>
          <w:p w14:paraId="39AF0D34"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318A7E4E" w14:textId="77777777">
        <w:trPr>
          <w:trHeight w:val="52"/>
        </w:trPr>
        <w:tc>
          <w:tcPr>
            <w:tcW w:w="756" w:type="dxa"/>
          </w:tcPr>
          <w:p w14:paraId="39D17A36"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w:t>
            </w:r>
          </w:p>
        </w:tc>
        <w:tc>
          <w:tcPr>
            <w:tcW w:w="5577" w:type="dxa"/>
            <w:gridSpan w:val="4"/>
          </w:tcPr>
          <w:p w14:paraId="344A4D59" w14:textId="77777777" w:rsidR="00DA7FB4" w:rsidRDefault="00C372D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Informaţii</w:t>
            </w:r>
            <w:proofErr w:type="spellEnd"/>
            <w:r>
              <w:rPr>
                <w:rFonts w:ascii="Times New Roman" w:eastAsia="Times New Roman" w:hAnsi="Times New Roman" w:cs="Times New Roman"/>
                <w:sz w:val="24"/>
                <w:szCs w:val="24"/>
              </w:rPr>
              <w:t xml:space="preserve"> privind puncte de vedere/opinii emise de organisme consultative constituite prin acte normative</w:t>
            </w:r>
          </w:p>
        </w:tc>
        <w:tc>
          <w:tcPr>
            <w:tcW w:w="3763" w:type="dxa"/>
            <w:gridSpan w:val="6"/>
          </w:tcPr>
          <w:p w14:paraId="2186201B"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5499E024" w14:textId="77777777">
        <w:trPr>
          <w:trHeight w:val="52"/>
        </w:trPr>
        <w:tc>
          <w:tcPr>
            <w:tcW w:w="756" w:type="dxa"/>
          </w:tcPr>
          <w:p w14:paraId="291C4FA7"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5577" w:type="dxa"/>
            <w:gridSpan w:val="4"/>
          </w:tcPr>
          <w:p w14:paraId="3E2880ED" w14:textId="77777777" w:rsidR="00DA7FB4" w:rsidRDefault="00C372D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Informaţii</w:t>
            </w:r>
            <w:proofErr w:type="spellEnd"/>
            <w:r>
              <w:rPr>
                <w:rFonts w:ascii="Times New Roman" w:eastAsia="Times New Roman" w:hAnsi="Times New Roman" w:cs="Times New Roman"/>
                <w:sz w:val="24"/>
                <w:szCs w:val="24"/>
              </w:rPr>
              <w:t xml:space="preserve"> privind avizarea de către:                           </w:t>
            </w:r>
          </w:p>
          <w:p w14:paraId="32E6D3F9"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Consiliul Legislativ </w:t>
            </w:r>
          </w:p>
          <w:p w14:paraId="5C5EC30F"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Consiliul Suprem de Apărare a </w:t>
            </w:r>
            <w:proofErr w:type="spellStart"/>
            <w:r>
              <w:rPr>
                <w:rFonts w:ascii="Times New Roman" w:eastAsia="Times New Roman" w:hAnsi="Times New Roman" w:cs="Times New Roman"/>
                <w:sz w:val="24"/>
                <w:szCs w:val="24"/>
              </w:rPr>
              <w:t>Ţării</w:t>
            </w:r>
            <w:proofErr w:type="spellEnd"/>
            <w:r>
              <w:rPr>
                <w:rFonts w:ascii="Times New Roman" w:eastAsia="Times New Roman" w:hAnsi="Times New Roman" w:cs="Times New Roman"/>
                <w:sz w:val="24"/>
                <w:szCs w:val="24"/>
              </w:rPr>
              <w:t xml:space="preserve">                         </w:t>
            </w:r>
          </w:p>
          <w:p w14:paraId="3A6DFADB"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Consiliul Economic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Social </w:t>
            </w:r>
          </w:p>
          <w:p w14:paraId="283D6652"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Consiliul </w:t>
            </w:r>
            <w:proofErr w:type="spellStart"/>
            <w:r>
              <w:rPr>
                <w:rFonts w:ascii="Times New Roman" w:eastAsia="Times New Roman" w:hAnsi="Times New Roman" w:cs="Times New Roman"/>
                <w:sz w:val="24"/>
                <w:szCs w:val="24"/>
              </w:rPr>
              <w:t>Concurenţei</w:t>
            </w:r>
            <w:proofErr w:type="spellEnd"/>
            <w:r>
              <w:rPr>
                <w:rFonts w:ascii="Times New Roman" w:eastAsia="Times New Roman" w:hAnsi="Times New Roman" w:cs="Times New Roman"/>
                <w:sz w:val="24"/>
                <w:szCs w:val="24"/>
              </w:rPr>
              <w:t xml:space="preserve">    </w:t>
            </w:r>
          </w:p>
          <w:p w14:paraId="568B2B8F"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Curtea de Conturi             </w:t>
            </w:r>
          </w:p>
        </w:tc>
        <w:tc>
          <w:tcPr>
            <w:tcW w:w="3763" w:type="dxa"/>
            <w:gridSpan w:val="6"/>
          </w:tcPr>
          <w:p w14:paraId="3412E9A3"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tc>
      </w:tr>
      <w:tr w:rsidR="00DA7FB4" w14:paraId="5AD1E475" w14:textId="77777777">
        <w:trPr>
          <w:trHeight w:val="52"/>
        </w:trPr>
        <w:tc>
          <w:tcPr>
            <w:tcW w:w="756" w:type="dxa"/>
          </w:tcPr>
          <w:p w14:paraId="2E389B52"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5577" w:type="dxa"/>
            <w:gridSpan w:val="4"/>
          </w:tcPr>
          <w:p w14:paraId="4CAB7540"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 </w:t>
            </w:r>
            <w:proofErr w:type="spellStart"/>
            <w:r>
              <w:rPr>
                <w:rFonts w:ascii="Times New Roman" w:eastAsia="Times New Roman" w:hAnsi="Times New Roman" w:cs="Times New Roman"/>
                <w:sz w:val="24"/>
                <w:szCs w:val="24"/>
              </w:rPr>
              <w:t>informaţii</w:t>
            </w:r>
            <w:proofErr w:type="spellEnd"/>
            <w:r>
              <w:rPr>
                <w:rFonts w:ascii="Times New Roman" w:eastAsia="Times New Roman" w:hAnsi="Times New Roman" w:cs="Times New Roman"/>
                <w:sz w:val="24"/>
                <w:szCs w:val="24"/>
              </w:rPr>
              <w:t xml:space="preserve">                  </w:t>
            </w:r>
          </w:p>
        </w:tc>
        <w:tc>
          <w:tcPr>
            <w:tcW w:w="3763" w:type="dxa"/>
            <w:gridSpan w:val="6"/>
          </w:tcPr>
          <w:p w14:paraId="68BDF7A2"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 au fost identificate.</w:t>
            </w:r>
          </w:p>
        </w:tc>
      </w:tr>
      <w:tr w:rsidR="00DA7FB4" w14:paraId="6904E7EB" w14:textId="77777777">
        <w:trPr>
          <w:trHeight w:val="992"/>
        </w:trPr>
        <w:tc>
          <w:tcPr>
            <w:tcW w:w="10096" w:type="dxa"/>
            <w:gridSpan w:val="11"/>
            <w:vAlign w:val="center"/>
          </w:tcPr>
          <w:p w14:paraId="413637D7" w14:textId="77777777" w:rsidR="00DA7FB4" w:rsidRDefault="00C372DE">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Secţiunea</w:t>
            </w:r>
            <w:proofErr w:type="spellEnd"/>
            <w:r>
              <w:rPr>
                <w:rFonts w:ascii="Times New Roman" w:eastAsia="Times New Roman" w:hAnsi="Times New Roman" w:cs="Times New Roman"/>
                <w:b/>
                <w:sz w:val="24"/>
                <w:szCs w:val="24"/>
              </w:rPr>
              <w:t xml:space="preserve"> a 7-a</w:t>
            </w:r>
          </w:p>
          <w:p w14:paraId="58091D0E" w14:textId="77777777" w:rsidR="00DA7FB4" w:rsidRDefault="00C372DE">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Activităţi</w:t>
            </w:r>
            <w:proofErr w:type="spellEnd"/>
            <w:r>
              <w:rPr>
                <w:rFonts w:ascii="Times New Roman" w:eastAsia="Times New Roman" w:hAnsi="Times New Roman" w:cs="Times New Roman"/>
                <w:b/>
                <w:sz w:val="24"/>
                <w:szCs w:val="24"/>
              </w:rPr>
              <w:t xml:space="preserve"> de informare publică privind elaborarea </w:t>
            </w:r>
            <w:proofErr w:type="spellStart"/>
            <w:r>
              <w:rPr>
                <w:rFonts w:ascii="Times New Roman" w:eastAsia="Times New Roman" w:hAnsi="Times New Roman" w:cs="Times New Roman"/>
                <w:b/>
                <w:sz w:val="24"/>
                <w:szCs w:val="24"/>
              </w:rPr>
              <w:t>şi</w:t>
            </w:r>
            <w:proofErr w:type="spellEnd"/>
            <w:r>
              <w:rPr>
                <w:rFonts w:ascii="Times New Roman" w:eastAsia="Times New Roman" w:hAnsi="Times New Roman" w:cs="Times New Roman"/>
                <w:b/>
                <w:sz w:val="24"/>
                <w:szCs w:val="24"/>
              </w:rPr>
              <w:t xml:space="preserve"> implementarea</w:t>
            </w:r>
          </w:p>
          <w:p w14:paraId="70AC75C7" w14:textId="77777777" w:rsidR="00DA7FB4" w:rsidRDefault="00C372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proiectului de act normativ</w:t>
            </w:r>
          </w:p>
          <w:p w14:paraId="232F4F60" w14:textId="77777777" w:rsidR="00DA7FB4" w:rsidRDefault="00DA7FB4">
            <w:pPr>
              <w:spacing w:after="0" w:line="240" w:lineRule="auto"/>
              <w:jc w:val="center"/>
              <w:rPr>
                <w:rFonts w:ascii="Times New Roman" w:eastAsia="Times New Roman" w:hAnsi="Times New Roman" w:cs="Times New Roman"/>
                <w:sz w:val="10"/>
                <w:szCs w:val="10"/>
              </w:rPr>
            </w:pPr>
          </w:p>
        </w:tc>
      </w:tr>
      <w:tr w:rsidR="00DA7FB4" w14:paraId="22DA0599" w14:textId="77777777">
        <w:trPr>
          <w:trHeight w:val="105"/>
        </w:trPr>
        <w:tc>
          <w:tcPr>
            <w:tcW w:w="756" w:type="dxa"/>
            <w:vAlign w:val="center"/>
          </w:tcPr>
          <w:p w14:paraId="7C421E99"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3541" w:type="dxa"/>
            <w:gridSpan w:val="2"/>
          </w:tcPr>
          <w:p w14:paraId="0F9CD9EF"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Informarea </w:t>
            </w:r>
            <w:proofErr w:type="spellStart"/>
            <w:r>
              <w:rPr>
                <w:rFonts w:ascii="Times New Roman" w:eastAsia="Times New Roman" w:hAnsi="Times New Roman" w:cs="Times New Roman"/>
                <w:sz w:val="24"/>
                <w:szCs w:val="24"/>
              </w:rPr>
              <w:t>societăţii</w:t>
            </w:r>
            <w:proofErr w:type="spellEnd"/>
            <w:r>
              <w:rPr>
                <w:rFonts w:ascii="Times New Roman" w:eastAsia="Times New Roman" w:hAnsi="Times New Roman" w:cs="Times New Roman"/>
                <w:sz w:val="24"/>
                <w:szCs w:val="24"/>
              </w:rPr>
              <w:t xml:space="preserve"> civile cu privire la elaborarea proiectului de act normativ</w:t>
            </w:r>
          </w:p>
        </w:tc>
        <w:tc>
          <w:tcPr>
            <w:tcW w:w="5799" w:type="dxa"/>
            <w:gridSpan w:val="8"/>
          </w:tcPr>
          <w:p w14:paraId="0F614D2A"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Prezentul proiect de act normativ a fost supus procedurii prevăzute de Legea nr. 52/2003 privind </w:t>
            </w:r>
            <w:proofErr w:type="spellStart"/>
            <w:r>
              <w:rPr>
                <w:rFonts w:ascii="Times New Roman" w:eastAsia="Times New Roman" w:hAnsi="Times New Roman" w:cs="Times New Roman"/>
                <w:sz w:val="24"/>
                <w:szCs w:val="24"/>
              </w:rPr>
              <w:t>transparenţa</w:t>
            </w:r>
            <w:proofErr w:type="spellEnd"/>
            <w:r>
              <w:rPr>
                <w:rFonts w:ascii="Times New Roman" w:eastAsia="Times New Roman" w:hAnsi="Times New Roman" w:cs="Times New Roman"/>
                <w:sz w:val="24"/>
                <w:szCs w:val="24"/>
              </w:rPr>
              <w:t xml:space="preserve"> decizională în </w:t>
            </w:r>
            <w:proofErr w:type="spellStart"/>
            <w:r>
              <w:rPr>
                <w:rFonts w:ascii="Times New Roman" w:eastAsia="Times New Roman" w:hAnsi="Times New Roman" w:cs="Times New Roman"/>
                <w:sz w:val="24"/>
                <w:szCs w:val="24"/>
              </w:rPr>
              <w:t>administraţia</w:t>
            </w:r>
            <w:proofErr w:type="spellEnd"/>
            <w:r>
              <w:rPr>
                <w:rFonts w:ascii="Times New Roman" w:eastAsia="Times New Roman" w:hAnsi="Times New Roman" w:cs="Times New Roman"/>
                <w:sz w:val="24"/>
                <w:szCs w:val="24"/>
              </w:rPr>
              <w:t xml:space="preserve"> publică, republicată, cu modificările ulterioare.</w:t>
            </w:r>
          </w:p>
        </w:tc>
      </w:tr>
      <w:tr w:rsidR="00DA7FB4" w14:paraId="230FD62E" w14:textId="77777777">
        <w:trPr>
          <w:trHeight w:val="105"/>
        </w:trPr>
        <w:tc>
          <w:tcPr>
            <w:tcW w:w="756" w:type="dxa"/>
            <w:vAlign w:val="center"/>
          </w:tcPr>
          <w:p w14:paraId="2115810C"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3541" w:type="dxa"/>
            <w:gridSpan w:val="2"/>
          </w:tcPr>
          <w:p w14:paraId="51046141"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Informarea </w:t>
            </w:r>
            <w:proofErr w:type="spellStart"/>
            <w:r>
              <w:rPr>
                <w:rFonts w:ascii="Times New Roman" w:eastAsia="Times New Roman" w:hAnsi="Times New Roman" w:cs="Times New Roman"/>
                <w:sz w:val="24"/>
                <w:szCs w:val="24"/>
              </w:rPr>
              <w:t>societăţii</w:t>
            </w:r>
            <w:proofErr w:type="spellEnd"/>
            <w:r>
              <w:rPr>
                <w:rFonts w:ascii="Times New Roman" w:eastAsia="Times New Roman" w:hAnsi="Times New Roman" w:cs="Times New Roman"/>
                <w:sz w:val="24"/>
                <w:szCs w:val="24"/>
              </w:rPr>
              <w:t xml:space="preserve"> civile cu privire la eventualul impact asupra mediului în urma implementării proiectului de act normativ,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efectele asupra </w:t>
            </w:r>
            <w:proofErr w:type="spellStart"/>
            <w:r>
              <w:rPr>
                <w:rFonts w:ascii="Times New Roman" w:eastAsia="Times New Roman" w:hAnsi="Times New Roman" w:cs="Times New Roman"/>
                <w:sz w:val="24"/>
                <w:szCs w:val="24"/>
              </w:rPr>
              <w:t>sănătăţii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securităţii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cetăţenilor</w:t>
            </w:r>
            <w:proofErr w:type="spellEnd"/>
            <w:r>
              <w:rPr>
                <w:rFonts w:ascii="Times New Roman" w:eastAsia="Times New Roman" w:hAnsi="Times New Roman" w:cs="Times New Roman"/>
                <w:sz w:val="24"/>
                <w:szCs w:val="24"/>
              </w:rPr>
              <w:t xml:space="preserve"> sau </w:t>
            </w:r>
            <w:proofErr w:type="spellStart"/>
            <w:r>
              <w:rPr>
                <w:rFonts w:ascii="Times New Roman" w:eastAsia="Times New Roman" w:hAnsi="Times New Roman" w:cs="Times New Roman"/>
                <w:sz w:val="24"/>
                <w:szCs w:val="24"/>
              </w:rPr>
              <w:t>diversităţii</w:t>
            </w:r>
            <w:proofErr w:type="spellEnd"/>
            <w:r>
              <w:rPr>
                <w:rFonts w:ascii="Times New Roman" w:eastAsia="Times New Roman" w:hAnsi="Times New Roman" w:cs="Times New Roman"/>
                <w:sz w:val="24"/>
                <w:szCs w:val="24"/>
              </w:rPr>
              <w:t xml:space="preserve"> biologice</w:t>
            </w:r>
          </w:p>
        </w:tc>
        <w:tc>
          <w:tcPr>
            <w:tcW w:w="5799" w:type="dxa"/>
            <w:gridSpan w:val="8"/>
          </w:tcPr>
          <w:p w14:paraId="3013E7C9" w14:textId="77777777" w:rsidR="00DA7FB4" w:rsidRDefault="00DA7FB4">
            <w:pPr>
              <w:spacing w:after="0" w:line="240" w:lineRule="auto"/>
              <w:jc w:val="both"/>
              <w:rPr>
                <w:rFonts w:ascii="Times New Roman" w:eastAsia="Times New Roman" w:hAnsi="Times New Roman" w:cs="Times New Roman"/>
                <w:sz w:val="24"/>
                <w:szCs w:val="24"/>
              </w:rPr>
            </w:pPr>
          </w:p>
          <w:p w14:paraId="06AFD673"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p w14:paraId="22C2B7BF" w14:textId="77777777" w:rsidR="00DA7FB4" w:rsidRDefault="00DA7FB4">
            <w:pPr>
              <w:spacing w:after="0" w:line="240" w:lineRule="auto"/>
              <w:jc w:val="both"/>
              <w:rPr>
                <w:rFonts w:ascii="Times New Roman" w:eastAsia="Times New Roman" w:hAnsi="Times New Roman" w:cs="Times New Roman"/>
                <w:sz w:val="24"/>
                <w:szCs w:val="24"/>
              </w:rPr>
            </w:pPr>
          </w:p>
        </w:tc>
      </w:tr>
      <w:tr w:rsidR="00DA7FB4" w14:paraId="5DECAD15" w14:textId="77777777">
        <w:trPr>
          <w:trHeight w:val="663"/>
        </w:trPr>
        <w:tc>
          <w:tcPr>
            <w:tcW w:w="10096" w:type="dxa"/>
            <w:gridSpan w:val="11"/>
            <w:vAlign w:val="center"/>
          </w:tcPr>
          <w:p w14:paraId="31987A9A" w14:textId="77777777" w:rsidR="00DA7FB4" w:rsidRDefault="00C372DE">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Secţiunea</w:t>
            </w:r>
            <w:proofErr w:type="spellEnd"/>
            <w:r>
              <w:rPr>
                <w:rFonts w:ascii="Times New Roman" w:eastAsia="Times New Roman" w:hAnsi="Times New Roman" w:cs="Times New Roman"/>
                <w:b/>
                <w:sz w:val="24"/>
                <w:szCs w:val="24"/>
              </w:rPr>
              <w:t xml:space="preserve"> a 8-a</w:t>
            </w:r>
          </w:p>
          <w:p w14:paraId="41A44242" w14:textId="77777777" w:rsidR="00DA7FB4" w:rsidRDefault="00C372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Măsuri de implementarea, monitorizarea și evaluarea proiectului de act normativ </w:t>
            </w:r>
          </w:p>
          <w:p w14:paraId="558EAF6C" w14:textId="77777777" w:rsidR="00DA7FB4" w:rsidRDefault="00DA7FB4">
            <w:pPr>
              <w:spacing w:after="0" w:line="240" w:lineRule="auto"/>
              <w:jc w:val="center"/>
              <w:rPr>
                <w:rFonts w:ascii="Times New Roman" w:eastAsia="Times New Roman" w:hAnsi="Times New Roman" w:cs="Times New Roman"/>
                <w:sz w:val="10"/>
                <w:szCs w:val="10"/>
              </w:rPr>
            </w:pPr>
          </w:p>
        </w:tc>
      </w:tr>
      <w:tr w:rsidR="00DA7FB4" w14:paraId="7408D8E7" w14:textId="77777777">
        <w:trPr>
          <w:trHeight w:val="158"/>
        </w:trPr>
        <w:tc>
          <w:tcPr>
            <w:tcW w:w="756" w:type="dxa"/>
            <w:vAlign w:val="center"/>
          </w:tcPr>
          <w:p w14:paraId="5BB8D937"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3541" w:type="dxa"/>
            <w:gridSpan w:val="2"/>
          </w:tcPr>
          <w:p w14:paraId="5D7203F9"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Măsuri de punere în aplicare a proiectului de act normativ </w:t>
            </w:r>
          </w:p>
          <w:p w14:paraId="7A0F3DFF" w14:textId="77777777" w:rsidR="00DA7FB4" w:rsidRDefault="00DA7FB4">
            <w:pPr>
              <w:spacing w:after="0" w:line="240" w:lineRule="auto"/>
              <w:rPr>
                <w:rFonts w:ascii="Times New Roman" w:eastAsia="Times New Roman" w:hAnsi="Times New Roman" w:cs="Times New Roman"/>
                <w:sz w:val="24"/>
                <w:szCs w:val="24"/>
              </w:rPr>
            </w:pPr>
          </w:p>
        </w:tc>
        <w:tc>
          <w:tcPr>
            <w:tcW w:w="5799" w:type="dxa"/>
            <w:gridSpan w:val="8"/>
          </w:tcPr>
          <w:p w14:paraId="35CA57F9" w14:textId="77777777" w:rsidR="00DA7FB4" w:rsidRDefault="00C37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de act normativ nu se  referă la acest subiect.</w:t>
            </w:r>
          </w:p>
          <w:p w14:paraId="2E9DBA82" w14:textId="77777777" w:rsidR="00DA7FB4" w:rsidRDefault="00DA7FB4">
            <w:pPr>
              <w:spacing w:after="0" w:line="240" w:lineRule="auto"/>
              <w:jc w:val="both"/>
              <w:rPr>
                <w:rFonts w:ascii="Times New Roman" w:eastAsia="Times New Roman" w:hAnsi="Times New Roman" w:cs="Times New Roman"/>
                <w:sz w:val="24"/>
                <w:szCs w:val="24"/>
              </w:rPr>
            </w:pPr>
          </w:p>
        </w:tc>
      </w:tr>
      <w:tr w:rsidR="00DA7FB4" w14:paraId="7CB833B9" w14:textId="77777777">
        <w:trPr>
          <w:trHeight w:val="157"/>
        </w:trPr>
        <w:tc>
          <w:tcPr>
            <w:tcW w:w="756" w:type="dxa"/>
            <w:vAlign w:val="center"/>
          </w:tcPr>
          <w:p w14:paraId="1276014B" w14:textId="77777777" w:rsidR="00DA7FB4" w:rsidRDefault="00C372D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3541" w:type="dxa"/>
            <w:gridSpan w:val="2"/>
          </w:tcPr>
          <w:p w14:paraId="541C58F6"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 </w:t>
            </w:r>
            <w:proofErr w:type="spellStart"/>
            <w:r>
              <w:rPr>
                <w:rFonts w:ascii="Times New Roman" w:eastAsia="Times New Roman" w:hAnsi="Times New Roman" w:cs="Times New Roman"/>
                <w:sz w:val="24"/>
                <w:szCs w:val="24"/>
              </w:rPr>
              <w:t>informaţii</w:t>
            </w:r>
            <w:proofErr w:type="spellEnd"/>
            <w:r>
              <w:rPr>
                <w:rFonts w:ascii="Times New Roman" w:eastAsia="Times New Roman" w:hAnsi="Times New Roman" w:cs="Times New Roman"/>
                <w:sz w:val="24"/>
                <w:szCs w:val="24"/>
              </w:rPr>
              <w:t xml:space="preserve">    </w:t>
            </w:r>
          </w:p>
        </w:tc>
        <w:tc>
          <w:tcPr>
            <w:tcW w:w="5799" w:type="dxa"/>
            <w:gridSpan w:val="8"/>
          </w:tcPr>
          <w:p w14:paraId="5E8DB07A" w14:textId="77777777" w:rsidR="00DA7FB4" w:rsidRDefault="00C37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 au fost identificate.</w:t>
            </w:r>
          </w:p>
        </w:tc>
      </w:tr>
    </w:tbl>
    <w:p w14:paraId="41A546A1" w14:textId="77777777" w:rsidR="00DA7FB4" w:rsidRDefault="00DA7FB4">
      <w:pPr>
        <w:pBdr>
          <w:top w:val="nil"/>
          <w:left w:val="nil"/>
          <w:bottom w:val="nil"/>
          <w:right w:val="nil"/>
          <w:between w:val="nil"/>
        </w:pBdr>
        <w:spacing w:after="0" w:line="288" w:lineRule="auto"/>
        <w:jc w:val="both"/>
        <w:rPr>
          <w:rFonts w:ascii="Times New Roman" w:eastAsia="Times New Roman" w:hAnsi="Times New Roman" w:cs="Times New Roman"/>
          <w:color w:val="000000"/>
          <w:sz w:val="24"/>
          <w:szCs w:val="24"/>
        </w:rPr>
      </w:pPr>
    </w:p>
    <w:p w14:paraId="7C93633B" w14:textId="77777777" w:rsidR="00DA7FB4" w:rsidRDefault="00DA7FB4">
      <w:pPr>
        <w:pBdr>
          <w:top w:val="nil"/>
          <w:left w:val="nil"/>
          <w:bottom w:val="nil"/>
          <w:right w:val="nil"/>
          <w:between w:val="nil"/>
        </w:pBdr>
        <w:spacing w:after="0" w:line="288" w:lineRule="auto"/>
        <w:jc w:val="both"/>
        <w:rPr>
          <w:rFonts w:ascii="Times New Roman" w:eastAsia="Times New Roman" w:hAnsi="Times New Roman" w:cs="Times New Roman"/>
          <w:color w:val="000000"/>
          <w:sz w:val="24"/>
          <w:szCs w:val="24"/>
        </w:rPr>
      </w:pPr>
    </w:p>
    <w:p w14:paraId="3D52B8FB" w14:textId="77777777" w:rsidR="00DA7FB4" w:rsidRDefault="00DA7FB4">
      <w:pPr>
        <w:pBdr>
          <w:top w:val="nil"/>
          <w:left w:val="nil"/>
          <w:bottom w:val="nil"/>
          <w:right w:val="nil"/>
          <w:between w:val="nil"/>
        </w:pBdr>
        <w:spacing w:after="0" w:line="288" w:lineRule="auto"/>
        <w:jc w:val="both"/>
        <w:rPr>
          <w:rFonts w:ascii="Times New Roman" w:eastAsia="Times New Roman" w:hAnsi="Times New Roman" w:cs="Times New Roman"/>
          <w:color w:val="000000"/>
          <w:sz w:val="24"/>
          <w:szCs w:val="24"/>
        </w:rPr>
      </w:pPr>
    </w:p>
    <w:p w14:paraId="298F5A6A" w14:textId="77777777" w:rsidR="00DA7FB4" w:rsidRDefault="00C372DE">
      <w:pPr>
        <w:rPr>
          <w:rFonts w:ascii="Times New Roman" w:eastAsia="Times New Roman" w:hAnsi="Times New Roman" w:cs="Times New Roman"/>
          <w:sz w:val="24"/>
          <w:szCs w:val="24"/>
        </w:rPr>
      </w:pPr>
      <w:r>
        <w:br w:type="page"/>
      </w:r>
    </w:p>
    <w:p w14:paraId="7B8C5731" w14:textId="77777777" w:rsidR="00DA7FB4" w:rsidRDefault="00DA7FB4">
      <w:pPr>
        <w:pBdr>
          <w:top w:val="nil"/>
          <w:left w:val="nil"/>
          <w:bottom w:val="nil"/>
          <w:right w:val="nil"/>
          <w:between w:val="nil"/>
        </w:pBdr>
        <w:spacing w:after="0" w:line="288" w:lineRule="auto"/>
        <w:jc w:val="both"/>
        <w:rPr>
          <w:rFonts w:ascii="Times New Roman" w:eastAsia="Times New Roman" w:hAnsi="Times New Roman" w:cs="Times New Roman"/>
          <w:color w:val="000000"/>
          <w:sz w:val="24"/>
          <w:szCs w:val="24"/>
        </w:rPr>
      </w:pPr>
    </w:p>
    <w:p w14:paraId="51F9E5F7" w14:textId="77777777" w:rsidR="00DA7FB4" w:rsidRDefault="00C372DE">
      <w:pPr>
        <w:pBdr>
          <w:top w:val="nil"/>
          <w:left w:val="nil"/>
          <w:bottom w:val="nil"/>
          <w:right w:val="nil"/>
          <w:between w:val="nil"/>
        </w:pBdr>
        <w:spacing w:before="280" w:after="280" w:line="288"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Pentru considerentele de mai sus, am elaborat proiectul de </w:t>
      </w:r>
      <w:r>
        <w:rPr>
          <w:rFonts w:ascii="Times New Roman" w:eastAsia="Times New Roman" w:hAnsi="Times New Roman" w:cs="Times New Roman"/>
          <w:b/>
          <w:color w:val="000000"/>
          <w:sz w:val="24"/>
          <w:szCs w:val="24"/>
        </w:rPr>
        <w:t xml:space="preserve">Hotărâre a Guvernului privind declararea de interes public </w:t>
      </w:r>
      <w:proofErr w:type="spellStart"/>
      <w:r>
        <w:rPr>
          <w:rFonts w:ascii="Times New Roman" w:eastAsia="Times New Roman" w:hAnsi="Times New Roman" w:cs="Times New Roman"/>
          <w:b/>
          <w:color w:val="000000"/>
          <w:sz w:val="24"/>
          <w:szCs w:val="24"/>
        </w:rPr>
        <w:t>naţional</w:t>
      </w:r>
      <w:proofErr w:type="spellEnd"/>
      <w:r>
        <w:rPr>
          <w:rFonts w:ascii="Times New Roman" w:eastAsia="Times New Roman" w:hAnsi="Times New Roman" w:cs="Times New Roman"/>
          <w:b/>
          <w:color w:val="000000"/>
          <w:sz w:val="24"/>
          <w:szCs w:val="24"/>
        </w:rPr>
        <w:t xml:space="preserve"> a unor bunuri imobile din patrimoniul Regiei </w:t>
      </w:r>
      <w:proofErr w:type="spellStart"/>
      <w:r>
        <w:rPr>
          <w:rFonts w:ascii="Times New Roman" w:eastAsia="Times New Roman" w:hAnsi="Times New Roman" w:cs="Times New Roman"/>
          <w:b/>
          <w:color w:val="000000"/>
          <w:sz w:val="24"/>
          <w:szCs w:val="24"/>
        </w:rPr>
        <w:t>Naţionale</w:t>
      </w:r>
      <w:proofErr w:type="spellEnd"/>
      <w:r>
        <w:rPr>
          <w:rFonts w:ascii="Times New Roman" w:eastAsia="Times New Roman" w:hAnsi="Times New Roman" w:cs="Times New Roman"/>
          <w:b/>
          <w:color w:val="000000"/>
          <w:sz w:val="24"/>
          <w:szCs w:val="24"/>
        </w:rPr>
        <w:t xml:space="preserve"> a Pădurilor – Romsilva, trecerea acestora cu titlu oneros în domeniul public al statului </w:t>
      </w:r>
      <w:proofErr w:type="spellStart"/>
      <w:r>
        <w:rPr>
          <w:rFonts w:ascii="Times New Roman" w:eastAsia="Times New Roman" w:hAnsi="Times New Roman" w:cs="Times New Roman"/>
          <w:b/>
          <w:color w:val="000000"/>
          <w:sz w:val="24"/>
          <w:szCs w:val="24"/>
        </w:rPr>
        <w:t>şi</w:t>
      </w:r>
      <w:proofErr w:type="spellEnd"/>
      <w:r>
        <w:rPr>
          <w:rFonts w:ascii="Times New Roman" w:eastAsia="Times New Roman" w:hAnsi="Times New Roman" w:cs="Times New Roman"/>
          <w:b/>
          <w:color w:val="000000"/>
          <w:sz w:val="24"/>
          <w:szCs w:val="24"/>
        </w:rPr>
        <w:t xml:space="preserve"> în administrarea Ministerului Educației și Cercetării prin Universitatea de Medicină, Farmacie, Științe și Tehnologie „George Emil Palade” din Târgu Mureș, precum </w:t>
      </w:r>
      <w:proofErr w:type="spellStart"/>
      <w:r>
        <w:rPr>
          <w:rFonts w:ascii="Times New Roman" w:eastAsia="Times New Roman" w:hAnsi="Times New Roman" w:cs="Times New Roman"/>
          <w:b/>
          <w:color w:val="000000"/>
          <w:sz w:val="24"/>
          <w:szCs w:val="24"/>
        </w:rPr>
        <w:t>şi</w:t>
      </w:r>
      <w:proofErr w:type="spellEnd"/>
      <w:r>
        <w:rPr>
          <w:rFonts w:ascii="Times New Roman" w:eastAsia="Times New Roman" w:hAnsi="Times New Roman" w:cs="Times New Roman"/>
          <w:b/>
          <w:color w:val="000000"/>
          <w:sz w:val="24"/>
          <w:szCs w:val="24"/>
        </w:rPr>
        <w:t xml:space="preserve"> înscrierea acestora în inventarul centralizat al bunurilor din domeniul public al statului,</w:t>
      </w:r>
      <w:r>
        <w:rPr>
          <w:rFonts w:ascii="Times New Roman" w:eastAsia="Times New Roman" w:hAnsi="Times New Roman" w:cs="Times New Roman"/>
          <w:color w:val="000000"/>
          <w:sz w:val="24"/>
          <w:szCs w:val="24"/>
        </w:rPr>
        <w:t xml:space="preserve"> care în forma prezentată a fost avizat de către ministerele interesate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pe care îl supunem spre adoptare.</w:t>
      </w:r>
    </w:p>
    <w:p w14:paraId="7AF8159C" w14:textId="77777777" w:rsidR="00DA7FB4" w:rsidRDefault="00DA7FB4">
      <w:pPr>
        <w:spacing w:after="0" w:line="288" w:lineRule="auto"/>
        <w:jc w:val="center"/>
        <w:rPr>
          <w:rFonts w:ascii="Times New Roman" w:eastAsia="Times New Roman" w:hAnsi="Times New Roman" w:cs="Times New Roman"/>
          <w:b/>
          <w:sz w:val="24"/>
          <w:szCs w:val="24"/>
        </w:rPr>
      </w:pPr>
    </w:p>
    <w:tbl>
      <w:tblPr>
        <w:tblStyle w:val="a0"/>
        <w:tblW w:w="9517" w:type="dxa"/>
        <w:tblBorders>
          <w:top w:val="nil"/>
          <w:left w:val="nil"/>
          <w:bottom w:val="nil"/>
          <w:right w:val="nil"/>
          <w:insideH w:val="nil"/>
          <w:insideV w:val="nil"/>
        </w:tblBorders>
        <w:tblLayout w:type="fixed"/>
        <w:tblLook w:val="0400" w:firstRow="0" w:lastRow="0" w:firstColumn="0" w:lastColumn="0" w:noHBand="0" w:noVBand="1"/>
      </w:tblPr>
      <w:tblGrid>
        <w:gridCol w:w="4758"/>
        <w:gridCol w:w="4759"/>
      </w:tblGrid>
      <w:tr w:rsidR="00DA7FB4" w14:paraId="0D040695" w14:textId="77777777">
        <w:tc>
          <w:tcPr>
            <w:tcW w:w="4758" w:type="dxa"/>
          </w:tcPr>
          <w:p w14:paraId="1A61FC8F" w14:textId="77777777" w:rsidR="00DA7FB4" w:rsidRDefault="00C372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MINISTRUL MEDIULUI, APELOR ȘI PĂDURILOR</w:t>
            </w:r>
          </w:p>
          <w:p w14:paraId="3C22A93B" w14:textId="77777777" w:rsidR="00DA7FB4" w:rsidRDefault="00DA7FB4">
            <w:pPr>
              <w:jc w:val="center"/>
              <w:rPr>
                <w:rFonts w:ascii="Times New Roman" w:eastAsia="Times New Roman" w:hAnsi="Times New Roman" w:cs="Times New Roman"/>
                <w:sz w:val="24"/>
                <w:szCs w:val="24"/>
              </w:rPr>
            </w:pPr>
          </w:p>
        </w:tc>
        <w:tc>
          <w:tcPr>
            <w:tcW w:w="4759" w:type="dxa"/>
          </w:tcPr>
          <w:p w14:paraId="18C30784" w14:textId="77777777" w:rsidR="00DA7FB4" w:rsidRDefault="00C372D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MINISTRUL EDUCAȚIEI ȘI CERCETĂRII</w:t>
            </w:r>
          </w:p>
        </w:tc>
      </w:tr>
      <w:tr w:rsidR="00DA7FB4" w14:paraId="41385F1D" w14:textId="77777777">
        <w:tc>
          <w:tcPr>
            <w:tcW w:w="4758" w:type="dxa"/>
          </w:tcPr>
          <w:p w14:paraId="6E7D3B5F" w14:textId="77777777" w:rsidR="00DA7FB4" w:rsidRDefault="00C372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MIRCEA FECHET</w:t>
            </w:r>
          </w:p>
          <w:p w14:paraId="555BA305" w14:textId="77777777" w:rsidR="00DA7FB4" w:rsidRDefault="00DA7FB4">
            <w:pPr>
              <w:jc w:val="center"/>
              <w:rPr>
                <w:rFonts w:ascii="Times New Roman" w:eastAsia="Times New Roman" w:hAnsi="Times New Roman" w:cs="Times New Roman"/>
                <w:sz w:val="24"/>
                <w:szCs w:val="24"/>
              </w:rPr>
            </w:pPr>
          </w:p>
        </w:tc>
        <w:tc>
          <w:tcPr>
            <w:tcW w:w="4759" w:type="dxa"/>
          </w:tcPr>
          <w:p w14:paraId="3789EC3B" w14:textId="77777777" w:rsidR="00DA7FB4" w:rsidRDefault="00C372D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DANIEL – OVIDIU DAVID</w:t>
            </w:r>
          </w:p>
        </w:tc>
      </w:tr>
    </w:tbl>
    <w:p w14:paraId="2AA5A08C" w14:textId="77777777" w:rsidR="00DA7FB4" w:rsidRDefault="00DA7FB4">
      <w:pPr>
        <w:spacing w:after="0" w:line="240" w:lineRule="auto"/>
        <w:jc w:val="center"/>
        <w:rPr>
          <w:rFonts w:ascii="Times New Roman" w:eastAsia="Times New Roman" w:hAnsi="Times New Roman" w:cs="Times New Roman"/>
          <w:sz w:val="24"/>
          <w:szCs w:val="24"/>
        </w:rPr>
      </w:pPr>
    </w:p>
    <w:p w14:paraId="2F0CD980" w14:textId="77777777" w:rsidR="00DA7FB4" w:rsidRDefault="00DA7FB4">
      <w:pPr>
        <w:spacing w:after="0" w:line="240" w:lineRule="auto"/>
        <w:jc w:val="center"/>
        <w:rPr>
          <w:rFonts w:ascii="Times New Roman" w:eastAsia="Times New Roman" w:hAnsi="Times New Roman" w:cs="Times New Roman"/>
          <w:b/>
          <w:sz w:val="24"/>
          <w:szCs w:val="24"/>
        </w:rPr>
      </w:pPr>
    </w:p>
    <w:p w14:paraId="1B00D7A6" w14:textId="77777777" w:rsidR="00DA7FB4" w:rsidRDefault="00DA7FB4">
      <w:pPr>
        <w:spacing w:after="0" w:line="240" w:lineRule="auto"/>
        <w:jc w:val="center"/>
        <w:rPr>
          <w:rFonts w:ascii="Times New Roman" w:eastAsia="Times New Roman" w:hAnsi="Times New Roman" w:cs="Times New Roman"/>
          <w:b/>
          <w:sz w:val="24"/>
          <w:szCs w:val="24"/>
        </w:rPr>
      </w:pPr>
    </w:p>
    <w:p w14:paraId="0A5DAE1C" w14:textId="77777777" w:rsidR="00DA7FB4" w:rsidRDefault="00DA7FB4">
      <w:pPr>
        <w:spacing w:after="0" w:line="240" w:lineRule="auto"/>
        <w:jc w:val="center"/>
        <w:rPr>
          <w:rFonts w:ascii="Times New Roman" w:eastAsia="Times New Roman" w:hAnsi="Times New Roman" w:cs="Times New Roman"/>
          <w:b/>
          <w:sz w:val="24"/>
          <w:szCs w:val="24"/>
        </w:rPr>
      </w:pPr>
    </w:p>
    <w:p w14:paraId="46ED217E" w14:textId="77777777" w:rsidR="00DA7FB4" w:rsidRDefault="00DA7FB4">
      <w:pPr>
        <w:spacing w:after="0" w:line="240" w:lineRule="auto"/>
        <w:jc w:val="center"/>
        <w:rPr>
          <w:rFonts w:ascii="Times New Roman" w:eastAsia="Times New Roman" w:hAnsi="Times New Roman" w:cs="Times New Roman"/>
          <w:b/>
          <w:sz w:val="24"/>
          <w:szCs w:val="24"/>
        </w:rPr>
      </w:pPr>
    </w:p>
    <w:p w14:paraId="122AB6E4" w14:textId="77777777" w:rsidR="00DA7FB4" w:rsidRDefault="00DA7FB4">
      <w:pPr>
        <w:spacing w:after="0" w:line="240" w:lineRule="auto"/>
        <w:jc w:val="center"/>
        <w:rPr>
          <w:rFonts w:ascii="Times New Roman" w:eastAsia="Times New Roman" w:hAnsi="Times New Roman" w:cs="Times New Roman"/>
          <w:b/>
          <w:sz w:val="24"/>
          <w:szCs w:val="24"/>
        </w:rPr>
      </w:pPr>
    </w:p>
    <w:p w14:paraId="0BB713AF" w14:textId="77777777" w:rsidR="00DA7FB4" w:rsidRDefault="00C372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AVIZĂM</w:t>
      </w:r>
      <w:r>
        <w:rPr>
          <w:rFonts w:ascii="Times New Roman" w:eastAsia="Times New Roman" w:hAnsi="Times New Roman" w:cs="Times New Roman"/>
          <w:b/>
          <w:sz w:val="24"/>
          <w:szCs w:val="24"/>
        </w:rPr>
        <w:t>:</w:t>
      </w:r>
    </w:p>
    <w:p w14:paraId="097AE5A9" w14:textId="77777777" w:rsidR="00DA7FB4" w:rsidRDefault="00DA7FB4">
      <w:pPr>
        <w:spacing w:after="0" w:line="240" w:lineRule="auto"/>
        <w:jc w:val="center"/>
        <w:rPr>
          <w:rFonts w:ascii="Times New Roman" w:eastAsia="Times New Roman" w:hAnsi="Times New Roman" w:cs="Times New Roman"/>
          <w:b/>
          <w:sz w:val="24"/>
          <w:szCs w:val="24"/>
        </w:rPr>
      </w:pPr>
    </w:p>
    <w:p w14:paraId="4AC94A01" w14:textId="77777777" w:rsidR="00DA7FB4" w:rsidRDefault="00DA7FB4">
      <w:pPr>
        <w:spacing w:after="0" w:line="240" w:lineRule="auto"/>
        <w:jc w:val="center"/>
        <w:rPr>
          <w:rFonts w:ascii="Times New Roman" w:eastAsia="Times New Roman" w:hAnsi="Times New Roman" w:cs="Times New Roman"/>
          <w:b/>
          <w:sz w:val="24"/>
          <w:szCs w:val="24"/>
        </w:rPr>
      </w:pPr>
    </w:p>
    <w:p w14:paraId="2728D863" w14:textId="77777777" w:rsidR="00DA7FB4" w:rsidRDefault="00C372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VICEPRIM-MINISTRU,</w:t>
      </w:r>
    </w:p>
    <w:p w14:paraId="65022781" w14:textId="77777777" w:rsidR="00DA7FB4" w:rsidRDefault="00C372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MARIAN NEACȘU</w:t>
      </w:r>
    </w:p>
    <w:p w14:paraId="1EB25C07" w14:textId="77777777" w:rsidR="00DA7FB4" w:rsidRDefault="00DA7FB4">
      <w:pPr>
        <w:spacing w:after="0" w:line="240" w:lineRule="auto"/>
        <w:jc w:val="center"/>
        <w:rPr>
          <w:rFonts w:ascii="Times New Roman" w:eastAsia="Times New Roman" w:hAnsi="Times New Roman" w:cs="Times New Roman"/>
          <w:b/>
          <w:sz w:val="24"/>
          <w:szCs w:val="24"/>
        </w:rPr>
      </w:pPr>
    </w:p>
    <w:p w14:paraId="3B813C0E" w14:textId="77777777" w:rsidR="00DA7FB4" w:rsidRDefault="00DA7FB4">
      <w:pPr>
        <w:spacing w:after="0" w:line="240" w:lineRule="auto"/>
        <w:jc w:val="center"/>
        <w:rPr>
          <w:rFonts w:ascii="Times New Roman" w:eastAsia="Times New Roman" w:hAnsi="Times New Roman" w:cs="Times New Roman"/>
          <w:b/>
          <w:sz w:val="24"/>
          <w:szCs w:val="24"/>
        </w:rPr>
      </w:pPr>
    </w:p>
    <w:p w14:paraId="67E9B1CF" w14:textId="77777777" w:rsidR="00DA7FB4" w:rsidRDefault="00DA7FB4">
      <w:pPr>
        <w:spacing w:after="0" w:line="240" w:lineRule="auto"/>
        <w:jc w:val="center"/>
        <w:rPr>
          <w:rFonts w:ascii="Times New Roman" w:eastAsia="Times New Roman" w:hAnsi="Times New Roman" w:cs="Times New Roman"/>
          <w:b/>
          <w:sz w:val="24"/>
          <w:szCs w:val="24"/>
        </w:rPr>
      </w:pPr>
    </w:p>
    <w:p w14:paraId="0B575268" w14:textId="77777777" w:rsidR="00DA7FB4" w:rsidRDefault="00DA7FB4">
      <w:pPr>
        <w:spacing w:after="0" w:line="240" w:lineRule="auto"/>
        <w:jc w:val="center"/>
        <w:rPr>
          <w:rFonts w:ascii="Times New Roman" w:eastAsia="Times New Roman" w:hAnsi="Times New Roman" w:cs="Times New Roman"/>
          <w:b/>
          <w:sz w:val="24"/>
          <w:szCs w:val="24"/>
        </w:rPr>
      </w:pPr>
    </w:p>
    <w:tbl>
      <w:tblPr>
        <w:tblStyle w:val="a1"/>
        <w:tblW w:w="9517" w:type="dxa"/>
        <w:tblBorders>
          <w:top w:val="nil"/>
          <w:left w:val="nil"/>
          <w:bottom w:val="nil"/>
          <w:right w:val="nil"/>
          <w:insideH w:val="nil"/>
          <w:insideV w:val="nil"/>
        </w:tblBorders>
        <w:tblLayout w:type="fixed"/>
        <w:tblLook w:val="0400" w:firstRow="0" w:lastRow="0" w:firstColumn="0" w:lastColumn="0" w:noHBand="0" w:noVBand="1"/>
      </w:tblPr>
      <w:tblGrid>
        <w:gridCol w:w="9517"/>
      </w:tblGrid>
      <w:tr w:rsidR="00DA7FB4" w14:paraId="6D07B8DA" w14:textId="77777777">
        <w:tc>
          <w:tcPr>
            <w:tcW w:w="9517" w:type="dxa"/>
          </w:tcPr>
          <w:p w14:paraId="30010B17" w14:textId="77777777" w:rsidR="00DA7FB4" w:rsidRDefault="00DA7FB4">
            <w:pPr>
              <w:spacing w:line="300" w:lineRule="auto"/>
              <w:jc w:val="center"/>
              <w:rPr>
                <w:rFonts w:ascii="Times New Roman" w:eastAsia="Times New Roman" w:hAnsi="Times New Roman" w:cs="Times New Roman"/>
                <w:b/>
                <w:sz w:val="24"/>
                <w:szCs w:val="24"/>
              </w:rPr>
            </w:pPr>
          </w:p>
          <w:p w14:paraId="33134ABF" w14:textId="77777777" w:rsidR="00DA7FB4" w:rsidRDefault="00C372DE">
            <w:pPr>
              <w:spacing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VICEPRIM-MINISTRU,</w:t>
            </w:r>
          </w:p>
          <w:p w14:paraId="06274F9E" w14:textId="77777777" w:rsidR="00DA7FB4" w:rsidRDefault="00C372DE">
            <w:pPr>
              <w:spacing w:line="3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MINISTRUL FINANȚELOR</w:t>
            </w:r>
          </w:p>
          <w:p w14:paraId="2D2605CA" w14:textId="77777777" w:rsidR="00DA7FB4" w:rsidRDefault="00DA7FB4">
            <w:pPr>
              <w:spacing w:line="300" w:lineRule="auto"/>
              <w:jc w:val="center"/>
              <w:rPr>
                <w:rFonts w:ascii="Times New Roman" w:eastAsia="Times New Roman" w:hAnsi="Times New Roman" w:cs="Times New Roman"/>
                <w:b/>
                <w:sz w:val="24"/>
                <w:szCs w:val="24"/>
              </w:rPr>
            </w:pPr>
          </w:p>
          <w:p w14:paraId="26B8E25D" w14:textId="77777777" w:rsidR="00DA7FB4" w:rsidRDefault="00C372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TÁNCZOS BARNA</w:t>
            </w:r>
          </w:p>
          <w:p w14:paraId="1DD0C44E" w14:textId="77777777" w:rsidR="00DA7FB4" w:rsidRDefault="00DA7FB4">
            <w:pPr>
              <w:jc w:val="center"/>
              <w:rPr>
                <w:rFonts w:ascii="Times New Roman" w:eastAsia="Times New Roman" w:hAnsi="Times New Roman" w:cs="Times New Roman"/>
                <w:b/>
                <w:sz w:val="24"/>
                <w:szCs w:val="24"/>
              </w:rPr>
            </w:pPr>
          </w:p>
        </w:tc>
      </w:tr>
    </w:tbl>
    <w:p w14:paraId="5C4B7F33" w14:textId="77777777" w:rsidR="00DA7FB4" w:rsidRDefault="00DA7FB4">
      <w:pPr>
        <w:spacing w:after="0" w:line="240" w:lineRule="auto"/>
        <w:jc w:val="center"/>
        <w:rPr>
          <w:rFonts w:ascii="Times New Roman" w:eastAsia="Times New Roman" w:hAnsi="Times New Roman" w:cs="Times New Roman"/>
          <w:b/>
          <w:sz w:val="24"/>
          <w:szCs w:val="24"/>
        </w:rPr>
      </w:pPr>
    </w:p>
    <w:p w14:paraId="575BB90B" w14:textId="77777777" w:rsidR="00DA7FB4" w:rsidRDefault="00DA7FB4">
      <w:pPr>
        <w:spacing w:after="0" w:line="240" w:lineRule="auto"/>
        <w:jc w:val="center"/>
        <w:rPr>
          <w:rFonts w:ascii="Times New Roman" w:eastAsia="Times New Roman" w:hAnsi="Times New Roman" w:cs="Times New Roman"/>
          <w:b/>
          <w:sz w:val="24"/>
          <w:szCs w:val="24"/>
        </w:rPr>
      </w:pPr>
    </w:p>
    <w:p w14:paraId="74D6BBF3" w14:textId="77777777" w:rsidR="00DA7FB4" w:rsidRDefault="00DA7FB4">
      <w:pPr>
        <w:spacing w:after="0" w:line="240" w:lineRule="auto"/>
        <w:jc w:val="center"/>
        <w:rPr>
          <w:rFonts w:ascii="Times New Roman" w:eastAsia="Times New Roman" w:hAnsi="Times New Roman" w:cs="Times New Roman"/>
          <w:b/>
          <w:sz w:val="24"/>
          <w:szCs w:val="24"/>
        </w:rPr>
      </w:pPr>
    </w:p>
    <w:p w14:paraId="6CF55B20" w14:textId="77777777" w:rsidR="00DA7FB4" w:rsidRDefault="00DA7FB4">
      <w:pPr>
        <w:spacing w:after="0" w:line="240" w:lineRule="auto"/>
        <w:jc w:val="center"/>
        <w:rPr>
          <w:rFonts w:ascii="Times New Roman" w:eastAsia="Times New Roman" w:hAnsi="Times New Roman" w:cs="Times New Roman"/>
          <w:b/>
          <w:sz w:val="24"/>
          <w:szCs w:val="24"/>
        </w:rPr>
      </w:pPr>
    </w:p>
    <w:p w14:paraId="1BB5D296" w14:textId="77777777" w:rsidR="00DA7FB4" w:rsidRDefault="00DA7FB4">
      <w:pPr>
        <w:spacing w:after="0" w:line="240" w:lineRule="auto"/>
        <w:jc w:val="center"/>
        <w:rPr>
          <w:rFonts w:ascii="Times New Roman" w:eastAsia="Times New Roman" w:hAnsi="Times New Roman" w:cs="Times New Roman"/>
          <w:b/>
          <w:sz w:val="24"/>
          <w:szCs w:val="24"/>
        </w:rPr>
      </w:pPr>
    </w:p>
    <w:p w14:paraId="295C96FD" w14:textId="77777777" w:rsidR="00DA7FB4" w:rsidRDefault="00DA7FB4">
      <w:pPr>
        <w:spacing w:after="0" w:line="240" w:lineRule="auto"/>
        <w:jc w:val="center"/>
        <w:rPr>
          <w:rFonts w:ascii="Times New Roman" w:eastAsia="Times New Roman" w:hAnsi="Times New Roman" w:cs="Times New Roman"/>
          <w:b/>
          <w:sz w:val="24"/>
          <w:szCs w:val="24"/>
        </w:rPr>
      </w:pPr>
    </w:p>
    <w:p w14:paraId="60194139" w14:textId="77777777" w:rsidR="00DA7FB4" w:rsidRDefault="00C372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MINISTRUL JUSTIŢIEI</w:t>
      </w:r>
    </w:p>
    <w:p w14:paraId="43E81554" w14:textId="77777777" w:rsidR="00DA7FB4" w:rsidRDefault="00DA7FB4">
      <w:pPr>
        <w:spacing w:after="0" w:line="240" w:lineRule="auto"/>
        <w:jc w:val="center"/>
        <w:rPr>
          <w:rFonts w:ascii="Times New Roman" w:eastAsia="Times New Roman" w:hAnsi="Times New Roman" w:cs="Times New Roman"/>
          <w:b/>
          <w:sz w:val="24"/>
          <w:szCs w:val="24"/>
        </w:rPr>
      </w:pPr>
    </w:p>
    <w:p w14:paraId="39870764" w14:textId="77777777" w:rsidR="00DA7FB4" w:rsidRDefault="00C372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RADU MARINESCU</w:t>
      </w:r>
    </w:p>
    <w:p w14:paraId="0C3352EF" w14:textId="77777777" w:rsidR="00DA7FB4" w:rsidRDefault="00DA7FB4">
      <w:pPr>
        <w:spacing w:after="0" w:line="240" w:lineRule="auto"/>
        <w:jc w:val="center"/>
        <w:rPr>
          <w:rFonts w:ascii="Times New Roman" w:eastAsia="Times New Roman" w:hAnsi="Times New Roman" w:cs="Times New Roman"/>
          <w:b/>
          <w:sz w:val="24"/>
          <w:szCs w:val="24"/>
        </w:rPr>
      </w:pPr>
    </w:p>
    <w:p w14:paraId="280158DE" w14:textId="77777777" w:rsidR="00DA7FB4" w:rsidRDefault="00DA7FB4">
      <w:pPr>
        <w:spacing w:after="0" w:line="240" w:lineRule="auto"/>
        <w:jc w:val="center"/>
        <w:rPr>
          <w:rFonts w:ascii="Times New Roman" w:eastAsia="Times New Roman" w:hAnsi="Times New Roman" w:cs="Times New Roman"/>
          <w:b/>
          <w:sz w:val="24"/>
          <w:szCs w:val="24"/>
        </w:rPr>
      </w:pPr>
    </w:p>
    <w:p w14:paraId="56BAFF69" w14:textId="77777777" w:rsidR="00DA7FB4" w:rsidRDefault="00DA7FB4">
      <w:pPr>
        <w:spacing w:after="0" w:line="240" w:lineRule="auto"/>
        <w:jc w:val="center"/>
        <w:rPr>
          <w:rFonts w:ascii="Times New Roman" w:eastAsia="Times New Roman" w:hAnsi="Times New Roman" w:cs="Times New Roman"/>
          <w:b/>
          <w:sz w:val="24"/>
          <w:szCs w:val="24"/>
        </w:rPr>
      </w:pPr>
    </w:p>
    <w:p w14:paraId="5EE532EA" w14:textId="77777777" w:rsidR="00DA7FB4" w:rsidRDefault="00DA7FB4">
      <w:pPr>
        <w:spacing w:after="0" w:line="240" w:lineRule="auto"/>
        <w:jc w:val="center"/>
        <w:rPr>
          <w:rFonts w:ascii="Times New Roman" w:eastAsia="Times New Roman" w:hAnsi="Times New Roman" w:cs="Times New Roman"/>
          <w:b/>
          <w:sz w:val="24"/>
          <w:szCs w:val="24"/>
        </w:rPr>
      </w:pPr>
    </w:p>
    <w:p w14:paraId="19DF17B2" w14:textId="77777777" w:rsidR="00DA7FB4" w:rsidRDefault="00DA7FB4">
      <w:pPr>
        <w:spacing w:after="0" w:line="240" w:lineRule="auto"/>
        <w:jc w:val="center"/>
        <w:rPr>
          <w:rFonts w:ascii="Times New Roman" w:eastAsia="Times New Roman" w:hAnsi="Times New Roman" w:cs="Times New Roman"/>
          <w:b/>
          <w:sz w:val="24"/>
          <w:szCs w:val="24"/>
        </w:rPr>
      </w:pPr>
    </w:p>
    <w:p w14:paraId="55A61101" w14:textId="77777777" w:rsidR="00DA7FB4" w:rsidRDefault="00DA7FB4" w:rsidP="00F54F79">
      <w:pPr>
        <w:spacing w:line="276" w:lineRule="auto"/>
        <w:rPr>
          <w:rFonts w:ascii="Times New Roman" w:eastAsia="Times New Roman" w:hAnsi="Times New Roman" w:cs="Times New Roman"/>
        </w:rPr>
      </w:pPr>
    </w:p>
    <w:sectPr w:rsidR="00DA7FB4">
      <w:headerReference w:type="even" r:id="rId9"/>
      <w:headerReference w:type="default" r:id="rId10"/>
      <w:footerReference w:type="even" r:id="rId11"/>
      <w:footerReference w:type="default" r:id="rId12"/>
      <w:headerReference w:type="first" r:id="rId13"/>
      <w:footerReference w:type="first" r:id="rId14"/>
      <w:pgSz w:w="11906" w:h="16838"/>
      <w:pgMar w:top="630" w:right="849" w:bottom="360" w:left="1530" w:header="424" w:footer="5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5050" w14:textId="77777777" w:rsidR="00BF073F" w:rsidRDefault="00BF073F">
      <w:pPr>
        <w:spacing w:after="0" w:line="240" w:lineRule="auto"/>
      </w:pPr>
      <w:r>
        <w:separator/>
      </w:r>
    </w:p>
  </w:endnote>
  <w:endnote w:type="continuationSeparator" w:id="0">
    <w:p w14:paraId="15BB878D" w14:textId="77777777" w:rsidR="00BF073F" w:rsidRDefault="00BF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lay">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C843" w14:textId="77777777" w:rsidR="00DA7FB4" w:rsidRDefault="00DA7FB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82DD" w14:textId="77777777" w:rsidR="00DA7FB4" w:rsidRDefault="00DA7FB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80D9" w14:textId="77777777" w:rsidR="00DA7FB4" w:rsidRDefault="00DA7FB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2169" w14:textId="77777777" w:rsidR="00BF073F" w:rsidRDefault="00BF073F">
      <w:pPr>
        <w:spacing w:after="0" w:line="240" w:lineRule="auto"/>
      </w:pPr>
      <w:r>
        <w:separator/>
      </w:r>
    </w:p>
  </w:footnote>
  <w:footnote w:type="continuationSeparator" w:id="0">
    <w:p w14:paraId="11298E8E" w14:textId="77777777" w:rsidR="00BF073F" w:rsidRDefault="00BF0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C0F7" w14:textId="5FC16F30" w:rsidR="00DA7FB4" w:rsidRDefault="00000000">
    <w:pPr>
      <w:pBdr>
        <w:top w:val="nil"/>
        <w:left w:val="nil"/>
        <w:bottom w:val="nil"/>
        <w:right w:val="nil"/>
        <w:between w:val="nil"/>
      </w:pBdr>
      <w:tabs>
        <w:tab w:val="center" w:pos="4513"/>
        <w:tab w:val="right" w:pos="9026"/>
      </w:tabs>
      <w:spacing w:after="0" w:line="240" w:lineRule="auto"/>
      <w:rPr>
        <w:color w:val="000000"/>
      </w:rPr>
    </w:pPr>
    <w:r>
      <w:rPr>
        <w:noProof/>
      </w:rPr>
      <w:pict w14:anchorId="370BE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6501" o:spid="_x0000_s1026" type="#_x0000_t136" style="position:absolute;margin-left:0;margin-top:0;width:470.1pt;height:201.4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C372DE">
      <w:rPr>
        <w:noProof/>
        <w:color w:val="000000"/>
        <w:lang w:val="en-US"/>
      </w:rPr>
      <mc:AlternateContent>
        <mc:Choice Requires="wps">
          <w:drawing>
            <wp:anchor distT="0" distB="0" distL="0" distR="0" simplePos="0" relativeHeight="251656192" behindDoc="1" locked="0" layoutInCell="1" hidden="0" allowOverlap="1" wp14:anchorId="5793218D" wp14:editId="427AFAAF">
              <wp:simplePos x="0" y="0"/>
              <wp:positionH relativeFrom="margin">
                <wp:align>center</wp:align>
              </wp:positionH>
              <wp:positionV relativeFrom="margin">
                <wp:align>center</wp:align>
              </wp:positionV>
              <wp:extent cx="5951855" cy="2550795"/>
              <wp:effectExtent l="0" t="1533525" r="0" b="11353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51855" cy="2550795"/>
                      </a:xfrm>
                      <a:prstGeom prst="rect">
                        <a:avLst/>
                      </a:prstGeom>
                    </wps:spPr>
                    <wps:txbx>
                      <w:txbxContent>
                        <w:p w14:paraId="5CFF8B03" w14:textId="77777777" w:rsidR="00A34D72" w:rsidRDefault="00C372DE" w:rsidP="00FE2B1B">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PROIECT</w:t>
                          </w:r>
                        </w:p>
                      </w:txbxContent>
                    </wps:txbx>
                    <wps:bodyPr wrap="square" numCol="1" fromWordArt="1">
                      <a:prstTxWarp prst="textPlain">
                        <a:avLst>
                          <a:gd name="adj" fmla="val 50000"/>
                        </a:avLst>
                      </a:prstTxWarp>
                      <a:spAutoFit/>
                    </wps:bodyPr>
                  </wps:wsp>
                </a:graphicData>
              </a:graphic>
            </wp:anchor>
          </w:drawing>
        </mc:Choice>
        <mc:Fallback>
          <w:pict>
            <v:shapetype w14:anchorId="5793218D" id="_x0000_t202" coordsize="21600,21600" o:spt="202" path="m,l,21600r21600,l21600,xe">
              <v:stroke joinstyle="miter"/>
              <v:path gradientshapeok="t" o:connecttype="rect"/>
            </v:shapetype>
            <v:shape id="Text Box 1" o:spid="_x0000_s1026" type="#_x0000_t202" style="position:absolute;margin-left:0;margin-top:0;width:468.65pt;height:200.85pt;rotation:-45;z-index:-251660288;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" filled="f" stroked="f">
              <o:lock v:ext="edit" shapetype="t"/>
              <v:textbox style="mso-fit-shape-to-text:t">
                <w:txbxContent>
                  <w:p w14:paraId="5CFF8B03" w14:textId="77777777" w:rsidR="00A34D72" w:rsidRDefault="00C372DE" w:rsidP="00FE2B1B">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PROIECT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4BCF" w14:textId="3E4396BB" w:rsidR="00DA7FB4" w:rsidRDefault="00000000">
    <w:pPr>
      <w:pBdr>
        <w:top w:val="nil"/>
        <w:left w:val="nil"/>
        <w:bottom w:val="nil"/>
        <w:right w:val="nil"/>
        <w:between w:val="nil"/>
      </w:pBdr>
      <w:tabs>
        <w:tab w:val="center" w:pos="4513"/>
        <w:tab w:val="right" w:pos="9026"/>
      </w:tabs>
      <w:spacing w:after="0" w:line="240" w:lineRule="auto"/>
      <w:rPr>
        <w:color w:val="000000"/>
      </w:rPr>
    </w:pPr>
    <w:r>
      <w:rPr>
        <w:noProof/>
      </w:rPr>
      <w:pict w14:anchorId="33AAE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6502" o:spid="_x0000_s1027" type="#_x0000_t136" style="position:absolute;margin-left:0;margin-top:0;width:470.1pt;height:201.4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4092" w14:textId="79811E17" w:rsidR="00DA7FB4" w:rsidRDefault="00000000">
    <w:pPr>
      <w:pBdr>
        <w:top w:val="nil"/>
        <w:left w:val="nil"/>
        <w:bottom w:val="nil"/>
        <w:right w:val="nil"/>
        <w:between w:val="nil"/>
      </w:pBdr>
      <w:tabs>
        <w:tab w:val="center" w:pos="4513"/>
        <w:tab w:val="right" w:pos="9026"/>
      </w:tabs>
      <w:spacing w:after="0" w:line="240" w:lineRule="auto"/>
      <w:rPr>
        <w:color w:val="000000"/>
      </w:rPr>
    </w:pPr>
    <w:r>
      <w:rPr>
        <w:noProof/>
      </w:rPr>
      <w:pict w14:anchorId="01281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6500" o:spid="_x0000_s1025" type="#_x0000_t136" style="position:absolute;margin-left:0;margin-top:0;width:470.1pt;height:201.4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B6217"/>
    <w:multiLevelType w:val="multilevel"/>
    <w:tmpl w:val="8EDCEEF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3AD528B"/>
    <w:multiLevelType w:val="multilevel"/>
    <w:tmpl w:val="EFAAE5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2F10571"/>
    <w:multiLevelType w:val="multilevel"/>
    <w:tmpl w:val="E4CCEBCA"/>
    <w:lvl w:ilvl="0">
      <w:start w:val="1"/>
      <w:numFmt w:val="bullet"/>
      <w:lvlText w:val="o"/>
      <w:lvlJc w:val="left"/>
      <w:pPr>
        <w:ind w:left="1320" w:hanging="360"/>
      </w:pPr>
      <w:rPr>
        <w:rFonts w:ascii="Courier New" w:eastAsia="Courier New" w:hAnsi="Courier New" w:cs="Courier New"/>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3" w15:restartNumberingAfterBreak="0">
    <w:nsid w:val="5DDF6C67"/>
    <w:multiLevelType w:val="multilevel"/>
    <w:tmpl w:val="E17C0F2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EA2B61"/>
    <w:multiLevelType w:val="multilevel"/>
    <w:tmpl w:val="E946D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447847448">
    <w:abstractNumId w:val="0"/>
  </w:num>
  <w:num w:numId="2" w16cid:durableId="1866282621">
    <w:abstractNumId w:val="1"/>
  </w:num>
  <w:num w:numId="3" w16cid:durableId="1981379005">
    <w:abstractNumId w:val="4"/>
  </w:num>
  <w:num w:numId="4" w16cid:durableId="1952472807">
    <w:abstractNumId w:val="3"/>
  </w:num>
  <w:num w:numId="5" w16cid:durableId="1880360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FB4"/>
    <w:rsid w:val="00096AAB"/>
    <w:rsid w:val="00147228"/>
    <w:rsid w:val="002403B3"/>
    <w:rsid w:val="00244BD0"/>
    <w:rsid w:val="00394E12"/>
    <w:rsid w:val="004142EA"/>
    <w:rsid w:val="0063240F"/>
    <w:rsid w:val="00876F18"/>
    <w:rsid w:val="009F0A95"/>
    <w:rsid w:val="00A34D72"/>
    <w:rsid w:val="00A6037F"/>
    <w:rsid w:val="00BF073F"/>
    <w:rsid w:val="00C372DE"/>
    <w:rsid w:val="00CC3A2D"/>
    <w:rsid w:val="00DA7FB4"/>
    <w:rsid w:val="00F54F79"/>
    <w:rsid w:val="00F64C6D"/>
    <w:rsid w:val="00F64E57"/>
    <w:rsid w:val="00FC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C4948"/>
  <w15:docId w15:val="{ECECD225-7655-4E00-9DCF-A4682D47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ptos" w:eastAsia="Aptos" w:hAnsi="Aptos" w:cs="Aptos"/>
      <w:i/>
      <w:color w:val="0F4761"/>
    </w:rPr>
  </w:style>
  <w:style w:type="paragraph" w:styleId="Heading5">
    <w:name w:val="heading 5"/>
    <w:basedOn w:val="Normal"/>
    <w:next w:val="Normal"/>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uiPriority w:val="9"/>
    <w:semiHidden/>
    <w:unhideWhenUsed/>
    <w:qFormat/>
    <w:pPr>
      <w:keepNext/>
      <w:keepLines/>
      <w:spacing w:before="40" w:after="0"/>
      <w:outlineLvl w:val="5"/>
    </w:pPr>
    <w:rPr>
      <w:rFonts w:ascii="Aptos" w:eastAsia="Aptos" w:hAnsi="Aptos" w:cs="Aptos"/>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rFonts w:ascii="Aptos" w:eastAsia="Aptos" w:hAnsi="Aptos" w:cs="Aptos"/>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A31C1-DC34-4A6C-8B50-9EEF4A41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4227</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kinga vochin</cp:lastModifiedBy>
  <cp:revision>4</cp:revision>
  <cp:lastPrinted>2025-05-15T10:47:00Z</cp:lastPrinted>
  <dcterms:created xsi:type="dcterms:W3CDTF">2025-05-15T10:41:00Z</dcterms:created>
  <dcterms:modified xsi:type="dcterms:W3CDTF">2025-06-13T09:15:00Z</dcterms:modified>
</cp:coreProperties>
</file>