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3B5E" w14:textId="66666EAA" w:rsidR="00E318A6" w:rsidRDefault="00E318A6" w:rsidP="00637D25">
      <w:pPr>
        <w:spacing w:after="0" w:line="240" w:lineRule="auto"/>
        <w:ind w:right="141"/>
        <w:jc w:val="center"/>
        <w:rPr>
          <w:rFonts w:ascii="Times New Roman" w:hAnsi="Times New Roman"/>
          <w:b/>
          <w:noProof/>
          <w:color w:val="000000"/>
          <w:sz w:val="24"/>
          <w:szCs w:val="24"/>
          <w:lang w:val="ro-RO"/>
        </w:rPr>
      </w:pPr>
      <w:r w:rsidRPr="00441CC1">
        <w:rPr>
          <w:rFonts w:ascii="Times New Roman" w:hAnsi="Times New Roman"/>
          <w:b/>
          <w:noProof/>
          <w:color w:val="000000"/>
          <w:sz w:val="24"/>
          <w:szCs w:val="24"/>
          <w:lang w:val="ro-RO"/>
        </w:rPr>
        <w:t>NOTĂ DE FUNDAMENTARE</w:t>
      </w:r>
    </w:p>
    <w:p w14:paraId="627C7F0D" w14:textId="77777777" w:rsidR="00C10529" w:rsidRPr="00441CC1" w:rsidRDefault="00C10529" w:rsidP="00637D25">
      <w:pPr>
        <w:spacing w:after="0" w:line="240" w:lineRule="auto"/>
        <w:ind w:right="141"/>
        <w:jc w:val="center"/>
        <w:rPr>
          <w:rFonts w:ascii="Times New Roman" w:hAnsi="Times New Roman"/>
          <w:b/>
          <w:noProof/>
          <w:color w:val="000000"/>
          <w:sz w:val="24"/>
          <w:szCs w:val="24"/>
          <w:lang w:val="ro-RO"/>
        </w:rPr>
      </w:pPr>
    </w:p>
    <w:p w14:paraId="3EB746DC" w14:textId="77777777" w:rsidR="00E318A6" w:rsidRPr="008467E3" w:rsidRDefault="00E318A6" w:rsidP="00801EDF">
      <w:pPr>
        <w:spacing w:after="0" w:line="240" w:lineRule="auto"/>
        <w:jc w:val="both"/>
        <w:rPr>
          <w:rFonts w:ascii="Times New Roman" w:hAnsi="Times New Roman"/>
          <w:noProof/>
          <w:color w:val="000000"/>
          <w:sz w:val="8"/>
          <w:szCs w:val="8"/>
          <w:lang w:val="ro-RO"/>
        </w:rPr>
      </w:pPr>
    </w:p>
    <w:tbl>
      <w:tblPr>
        <w:tblW w:w="105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573"/>
        <w:gridCol w:w="1405"/>
        <w:gridCol w:w="90"/>
        <w:gridCol w:w="141"/>
        <w:gridCol w:w="1667"/>
        <w:gridCol w:w="478"/>
        <w:gridCol w:w="479"/>
        <w:gridCol w:w="479"/>
        <w:gridCol w:w="479"/>
        <w:gridCol w:w="1982"/>
      </w:tblGrid>
      <w:tr w:rsidR="00E318A6" w:rsidRPr="005B70DF" w14:paraId="5336895A" w14:textId="77777777" w:rsidTr="008267A7">
        <w:trPr>
          <w:trHeight w:val="528"/>
        </w:trPr>
        <w:tc>
          <w:tcPr>
            <w:tcW w:w="10530" w:type="dxa"/>
            <w:gridSpan w:val="11"/>
            <w:vAlign w:val="center"/>
          </w:tcPr>
          <w:p w14:paraId="03851923" w14:textId="77777777" w:rsidR="0028094D" w:rsidRDefault="0028094D" w:rsidP="00637D25">
            <w:pPr>
              <w:autoSpaceDE w:val="0"/>
              <w:autoSpaceDN w:val="0"/>
              <w:adjustRightInd w:val="0"/>
              <w:spacing w:after="0" w:line="240" w:lineRule="auto"/>
              <w:jc w:val="center"/>
              <w:rPr>
                <w:rFonts w:ascii="Times New Roman" w:hAnsi="Times New Roman"/>
                <w:b/>
                <w:noProof/>
                <w:color w:val="000000"/>
                <w:sz w:val="24"/>
                <w:szCs w:val="24"/>
                <w:lang w:val="ro-RO"/>
              </w:rPr>
            </w:pPr>
          </w:p>
          <w:p w14:paraId="1020B9BA" w14:textId="7F41346C" w:rsidR="00E318A6" w:rsidRPr="00441CC1" w:rsidRDefault="00E318A6" w:rsidP="00637D25">
            <w:pPr>
              <w:autoSpaceDE w:val="0"/>
              <w:autoSpaceDN w:val="0"/>
              <w:adjustRightInd w:val="0"/>
              <w:spacing w:after="0" w:line="240" w:lineRule="auto"/>
              <w:jc w:val="center"/>
              <w:rPr>
                <w:rFonts w:ascii="Times New Roman" w:hAnsi="Times New Roman"/>
                <w:b/>
                <w:noProof/>
                <w:color w:val="000000"/>
                <w:sz w:val="24"/>
                <w:szCs w:val="24"/>
                <w:lang w:val="ro-RO"/>
              </w:rPr>
            </w:pPr>
            <w:r w:rsidRPr="00441CC1">
              <w:rPr>
                <w:rFonts w:ascii="Times New Roman" w:hAnsi="Times New Roman"/>
                <w:b/>
                <w:noProof/>
                <w:color w:val="000000"/>
                <w:sz w:val="24"/>
                <w:szCs w:val="24"/>
                <w:lang w:val="ro-RO"/>
              </w:rPr>
              <w:t>Secţiunea 1</w:t>
            </w:r>
          </w:p>
          <w:p w14:paraId="6DCB6FA8" w14:textId="77777777" w:rsidR="00E318A6" w:rsidRDefault="00E318A6" w:rsidP="00C06944">
            <w:pPr>
              <w:autoSpaceDE w:val="0"/>
              <w:autoSpaceDN w:val="0"/>
              <w:adjustRightInd w:val="0"/>
              <w:spacing w:after="0" w:line="240" w:lineRule="auto"/>
              <w:jc w:val="center"/>
              <w:rPr>
                <w:rFonts w:ascii="Times New Roman" w:hAnsi="Times New Roman"/>
                <w:b/>
                <w:noProof/>
                <w:color w:val="000000"/>
                <w:sz w:val="24"/>
                <w:szCs w:val="24"/>
                <w:lang w:val="ro-RO"/>
              </w:rPr>
            </w:pPr>
            <w:r w:rsidRPr="00441CC1">
              <w:rPr>
                <w:rFonts w:ascii="Times New Roman" w:hAnsi="Times New Roman"/>
                <w:b/>
                <w:noProof/>
                <w:color w:val="000000"/>
                <w:sz w:val="24"/>
                <w:szCs w:val="24"/>
                <w:lang w:val="ro-RO"/>
              </w:rPr>
              <w:t xml:space="preserve">Titlul </w:t>
            </w:r>
            <w:r w:rsidR="004249E1" w:rsidRPr="00441CC1">
              <w:rPr>
                <w:rFonts w:ascii="Times New Roman" w:hAnsi="Times New Roman"/>
                <w:b/>
                <w:noProof/>
                <w:color w:val="000000"/>
                <w:sz w:val="24"/>
                <w:szCs w:val="24"/>
                <w:lang w:val="ro-RO"/>
              </w:rPr>
              <w:t>proiectului de</w:t>
            </w:r>
            <w:r w:rsidRPr="00441CC1">
              <w:rPr>
                <w:rFonts w:ascii="Times New Roman" w:hAnsi="Times New Roman"/>
                <w:b/>
                <w:noProof/>
                <w:color w:val="000000"/>
                <w:sz w:val="24"/>
                <w:szCs w:val="24"/>
                <w:lang w:val="ro-RO"/>
              </w:rPr>
              <w:t xml:space="preserve"> act normativ</w:t>
            </w:r>
          </w:p>
          <w:p w14:paraId="5B11C16E" w14:textId="39768321" w:rsidR="0028094D" w:rsidRPr="00441CC1" w:rsidRDefault="0028094D" w:rsidP="00C06944">
            <w:pPr>
              <w:autoSpaceDE w:val="0"/>
              <w:autoSpaceDN w:val="0"/>
              <w:adjustRightInd w:val="0"/>
              <w:spacing w:after="0" w:line="240" w:lineRule="auto"/>
              <w:jc w:val="center"/>
              <w:rPr>
                <w:rFonts w:ascii="Times New Roman" w:hAnsi="Times New Roman"/>
                <w:b/>
                <w:bCs/>
                <w:sz w:val="24"/>
                <w:szCs w:val="24"/>
                <w:lang w:val="ro-RO"/>
              </w:rPr>
            </w:pPr>
          </w:p>
        </w:tc>
      </w:tr>
      <w:tr w:rsidR="00E318A6" w:rsidRPr="005B70DF" w14:paraId="3B3B7CDF" w14:textId="77777777" w:rsidTr="008267A7">
        <w:trPr>
          <w:trHeight w:val="1644"/>
        </w:trPr>
        <w:tc>
          <w:tcPr>
            <w:tcW w:w="10530" w:type="dxa"/>
            <w:gridSpan w:val="11"/>
            <w:vAlign w:val="center"/>
          </w:tcPr>
          <w:p w14:paraId="10CF838C" w14:textId="77777777" w:rsidR="009A60AD" w:rsidRDefault="009A60AD" w:rsidP="009A152E">
            <w:pPr>
              <w:spacing w:after="0" w:line="240" w:lineRule="auto"/>
              <w:contextualSpacing/>
              <w:jc w:val="center"/>
              <w:rPr>
                <w:rFonts w:ascii="Times New Roman" w:hAnsi="Times New Roman"/>
                <w:b/>
                <w:bCs/>
                <w:noProof/>
                <w:color w:val="000000"/>
                <w:sz w:val="24"/>
                <w:szCs w:val="24"/>
                <w:lang w:val="ro-RO"/>
              </w:rPr>
            </w:pPr>
          </w:p>
          <w:p w14:paraId="1C89467E" w14:textId="77777777" w:rsidR="009A60AD" w:rsidRPr="009A60AD" w:rsidRDefault="009A60AD" w:rsidP="009A60AD">
            <w:pPr>
              <w:spacing w:after="0" w:line="240" w:lineRule="auto"/>
              <w:jc w:val="center"/>
              <w:rPr>
                <w:rFonts w:ascii="Times New Roman" w:hAnsi="Times New Roman"/>
                <w:b/>
                <w:sz w:val="24"/>
                <w:szCs w:val="24"/>
                <w:lang w:val="ro-RO" w:bidi="en-US"/>
              </w:rPr>
            </w:pPr>
            <w:r w:rsidRPr="009A60AD">
              <w:rPr>
                <w:rFonts w:ascii="Times New Roman" w:hAnsi="Times New Roman"/>
                <w:b/>
                <w:sz w:val="24"/>
                <w:szCs w:val="24"/>
                <w:lang w:val="ro-RO" w:bidi="en-US"/>
              </w:rPr>
              <w:t>HOTĂRÂRE</w:t>
            </w:r>
          </w:p>
          <w:p w14:paraId="03F6578C" w14:textId="61042C03" w:rsidR="009A60AD" w:rsidRDefault="009A60AD" w:rsidP="009A60AD">
            <w:pPr>
              <w:spacing w:after="0" w:line="240" w:lineRule="auto"/>
              <w:contextualSpacing/>
              <w:jc w:val="center"/>
              <w:rPr>
                <w:rFonts w:ascii="Times New Roman" w:hAnsi="Times New Roman"/>
                <w:b/>
                <w:bCs/>
                <w:noProof/>
                <w:color w:val="000000"/>
                <w:sz w:val="24"/>
                <w:szCs w:val="24"/>
                <w:lang w:val="ro-RO"/>
              </w:rPr>
            </w:pPr>
            <w:r w:rsidRPr="009A60AD">
              <w:rPr>
                <w:rFonts w:ascii="Times New Roman" w:hAnsi="Times New Roman"/>
                <w:b/>
                <w:bCs/>
                <w:sz w:val="24"/>
                <w:szCs w:val="24"/>
                <w:lang w:val="ro-RO" w:bidi="en-US"/>
              </w:rPr>
              <w:t>pentru aprobarea Protocolului Sesiunii a XXX</w:t>
            </w:r>
            <w:r w:rsidR="00CB6AE6">
              <w:rPr>
                <w:rFonts w:ascii="Times New Roman" w:hAnsi="Times New Roman"/>
                <w:b/>
                <w:bCs/>
                <w:sz w:val="24"/>
                <w:szCs w:val="24"/>
                <w:lang w:val="ro-RO" w:bidi="en-US"/>
              </w:rPr>
              <w:t>V</w:t>
            </w:r>
            <w:r w:rsidR="00F86848">
              <w:rPr>
                <w:rFonts w:ascii="Times New Roman" w:hAnsi="Times New Roman"/>
                <w:b/>
                <w:bCs/>
                <w:sz w:val="24"/>
                <w:szCs w:val="24"/>
                <w:lang w:val="ro-RO" w:bidi="en-US"/>
              </w:rPr>
              <w:t>I</w:t>
            </w:r>
            <w:r w:rsidRPr="009A60AD">
              <w:rPr>
                <w:rFonts w:ascii="Times New Roman" w:hAnsi="Times New Roman"/>
                <w:b/>
                <w:bCs/>
                <w:sz w:val="24"/>
                <w:szCs w:val="24"/>
                <w:lang w:val="ro-RO" w:bidi="en-US"/>
              </w:rPr>
              <w:t>-a a Comisiei hidrotehnice româno-ungare, semnat la</w:t>
            </w:r>
            <w:r w:rsidR="00F86848">
              <w:rPr>
                <w:rFonts w:ascii="Times New Roman" w:hAnsi="Times New Roman"/>
                <w:b/>
                <w:bCs/>
                <w:sz w:val="24"/>
                <w:szCs w:val="24"/>
                <w:lang w:val="ro-RO" w:bidi="en-US"/>
              </w:rPr>
              <w:t xml:space="preserve"> </w:t>
            </w:r>
            <w:r w:rsidR="00F86848">
              <w:rPr>
                <w:rFonts w:ascii="Times New Roman" w:eastAsia="MS Mincho" w:hAnsi="Times New Roman"/>
                <w:b/>
                <w:sz w:val="24"/>
                <w:szCs w:val="24"/>
                <w:lang w:val="pt-PT"/>
              </w:rPr>
              <w:t>Băile 1 Mai</w:t>
            </w:r>
            <w:r w:rsidRPr="009A60AD">
              <w:rPr>
                <w:rFonts w:ascii="Times New Roman" w:hAnsi="Times New Roman"/>
                <w:b/>
                <w:bCs/>
                <w:sz w:val="24"/>
                <w:szCs w:val="24"/>
                <w:lang w:val="ro-RO" w:bidi="en-US"/>
              </w:rPr>
              <w:t xml:space="preserve">,  la </w:t>
            </w:r>
            <w:r w:rsidR="003F7962">
              <w:rPr>
                <w:rFonts w:ascii="Times New Roman" w:hAnsi="Times New Roman"/>
                <w:b/>
                <w:bCs/>
                <w:sz w:val="24"/>
                <w:szCs w:val="24"/>
                <w:lang w:val="ro-RO" w:bidi="en-US"/>
              </w:rPr>
              <w:t xml:space="preserve">9 </w:t>
            </w:r>
            <w:r w:rsidR="00CB6AE6">
              <w:rPr>
                <w:rFonts w:ascii="Times New Roman" w:hAnsi="Times New Roman"/>
                <w:b/>
                <w:bCs/>
                <w:sz w:val="24"/>
                <w:szCs w:val="24"/>
                <w:lang w:val="ro-RO" w:bidi="en-US"/>
              </w:rPr>
              <w:t>ma</w:t>
            </w:r>
            <w:r w:rsidR="00362876">
              <w:rPr>
                <w:rFonts w:ascii="Times New Roman" w:hAnsi="Times New Roman"/>
                <w:b/>
                <w:bCs/>
                <w:sz w:val="24"/>
                <w:szCs w:val="24"/>
                <w:lang w:val="ro-RO" w:bidi="en-US"/>
              </w:rPr>
              <w:t>i</w:t>
            </w:r>
            <w:r w:rsidRPr="009A60AD">
              <w:rPr>
                <w:rFonts w:ascii="Times New Roman" w:hAnsi="Times New Roman"/>
                <w:b/>
                <w:bCs/>
                <w:sz w:val="24"/>
                <w:szCs w:val="24"/>
                <w:lang w:val="ro-RO" w:bidi="en-US"/>
              </w:rPr>
              <w:t xml:space="preserve"> </w:t>
            </w:r>
            <w:r w:rsidR="003F7962" w:rsidRPr="009A60AD">
              <w:rPr>
                <w:rFonts w:ascii="Times New Roman" w:hAnsi="Times New Roman"/>
                <w:b/>
                <w:bCs/>
                <w:sz w:val="24"/>
                <w:szCs w:val="24"/>
                <w:lang w:val="ro-RO" w:bidi="en-US"/>
              </w:rPr>
              <w:t>202</w:t>
            </w:r>
            <w:r w:rsidR="003F7962">
              <w:rPr>
                <w:rFonts w:ascii="Times New Roman" w:hAnsi="Times New Roman"/>
                <w:b/>
                <w:bCs/>
                <w:sz w:val="24"/>
                <w:szCs w:val="24"/>
                <w:lang w:val="ro-RO" w:bidi="en-US"/>
              </w:rPr>
              <w:t>5</w:t>
            </w:r>
            <w:r w:rsidRPr="009A60AD">
              <w:rPr>
                <w:rFonts w:ascii="Times New Roman" w:hAnsi="Times New Roman"/>
                <w:b/>
                <w:bCs/>
                <w:sz w:val="24"/>
                <w:szCs w:val="24"/>
                <w:lang w:val="ro-RO" w:bidi="en-US"/>
              </w:rPr>
              <w:t>, pentru aplicarea Acordului dintre Guvernul României și Guvernul Republicii Ungare privind colaborarea pentru protecția și utilizarea durabilă a apelor de frontieră, semnat la Budapesta la 15 septembrie 2003</w:t>
            </w:r>
          </w:p>
          <w:p w14:paraId="1B9EEECA" w14:textId="70FC2ADE" w:rsidR="009A60AD" w:rsidRPr="00441CC1" w:rsidRDefault="009A60AD" w:rsidP="009A152E">
            <w:pPr>
              <w:spacing w:after="0" w:line="240" w:lineRule="auto"/>
              <w:contextualSpacing/>
              <w:jc w:val="center"/>
              <w:rPr>
                <w:rFonts w:ascii="Times New Roman" w:hAnsi="Times New Roman"/>
                <w:b/>
                <w:noProof/>
                <w:color w:val="000000"/>
                <w:sz w:val="24"/>
                <w:szCs w:val="24"/>
                <w:lang w:val="ro-RO"/>
              </w:rPr>
            </w:pPr>
          </w:p>
        </w:tc>
      </w:tr>
      <w:tr w:rsidR="00E318A6" w:rsidRPr="005B70DF" w14:paraId="7106062E" w14:textId="77777777" w:rsidTr="008267A7">
        <w:trPr>
          <w:trHeight w:val="609"/>
        </w:trPr>
        <w:tc>
          <w:tcPr>
            <w:tcW w:w="10530" w:type="dxa"/>
            <w:gridSpan w:val="11"/>
            <w:vAlign w:val="center"/>
          </w:tcPr>
          <w:p w14:paraId="1A32DC01" w14:textId="77777777" w:rsidR="0028094D" w:rsidRDefault="0028094D" w:rsidP="00637D25">
            <w:pPr>
              <w:spacing w:after="0" w:line="240" w:lineRule="auto"/>
              <w:contextualSpacing/>
              <w:jc w:val="center"/>
              <w:rPr>
                <w:rFonts w:ascii="Times New Roman" w:eastAsia="Times New Roman" w:hAnsi="Times New Roman"/>
                <w:b/>
                <w:noProof/>
                <w:color w:val="000000"/>
                <w:sz w:val="24"/>
                <w:szCs w:val="24"/>
                <w:lang w:val="ro-RO"/>
              </w:rPr>
            </w:pPr>
          </w:p>
          <w:p w14:paraId="47EA5D29" w14:textId="28C49FCA" w:rsidR="00E318A6" w:rsidRPr="00441CC1" w:rsidRDefault="00E318A6" w:rsidP="00637D25">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2-a</w:t>
            </w:r>
          </w:p>
          <w:p w14:paraId="474AF320" w14:textId="77777777" w:rsidR="00E318A6" w:rsidRDefault="00E318A6"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Motivul emiterii actului normativ</w:t>
            </w:r>
          </w:p>
          <w:p w14:paraId="2671A650" w14:textId="03CBB8A0" w:rsidR="0028094D" w:rsidRPr="00441CC1" w:rsidRDefault="0028094D" w:rsidP="00C06944">
            <w:pPr>
              <w:spacing w:after="0" w:line="240" w:lineRule="auto"/>
              <w:contextualSpacing/>
              <w:jc w:val="center"/>
              <w:rPr>
                <w:rFonts w:ascii="Times New Roman" w:eastAsia="Times New Roman" w:hAnsi="Times New Roman"/>
                <w:noProof/>
                <w:color w:val="000000"/>
                <w:sz w:val="24"/>
                <w:szCs w:val="24"/>
                <w:highlight w:val="yellow"/>
                <w:lang w:val="ro-RO"/>
              </w:rPr>
            </w:pPr>
          </w:p>
        </w:tc>
      </w:tr>
      <w:tr w:rsidR="00E318A6" w:rsidRPr="005B70DF" w14:paraId="79F872FF" w14:textId="77777777" w:rsidTr="008267A7">
        <w:trPr>
          <w:trHeight w:val="90"/>
        </w:trPr>
        <w:tc>
          <w:tcPr>
            <w:tcW w:w="757" w:type="dxa"/>
            <w:vAlign w:val="center"/>
          </w:tcPr>
          <w:p w14:paraId="0F27F89E" w14:textId="77777777" w:rsidR="00E318A6" w:rsidRPr="00441CC1" w:rsidRDefault="00755B49" w:rsidP="00801EDF">
            <w:pPr>
              <w:spacing w:after="0" w:line="240" w:lineRule="auto"/>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2.</w:t>
            </w:r>
            <w:r w:rsidR="00E318A6" w:rsidRPr="00441CC1">
              <w:rPr>
                <w:rFonts w:ascii="Times New Roman" w:hAnsi="Times New Roman"/>
                <w:noProof/>
                <w:color w:val="000000"/>
                <w:sz w:val="24"/>
                <w:szCs w:val="24"/>
                <w:lang w:val="ro-RO"/>
              </w:rPr>
              <w:t>1.</w:t>
            </w:r>
          </w:p>
        </w:tc>
        <w:tc>
          <w:tcPr>
            <w:tcW w:w="2573" w:type="dxa"/>
            <w:vAlign w:val="center"/>
          </w:tcPr>
          <w:p w14:paraId="0B797A14" w14:textId="77777777" w:rsidR="00E318A6" w:rsidRPr="00441CC1" w:rsidRDefault="00755B49" w:rsidP="00326268">
            <w:pPr>
              <w:spacing w:after="0" w:line="240" w:lineRule="auto"/>
              <w:contextualSpacing/>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Sursa proiectului de act normativ</w:t>
            </w:r>
          </w:p>
        </w:tc>
        <w:tc>
          <w:tcPr>
            <w:tcW w:w="7200" w:type="dxa"/>
            <w:gridSpan w:val="9"/>
            <w:vAlign w:val="center"/>
          </w:tcPr>
          <w:p w14:paraId="2F5E1E70" w14:textId="4958072C" w:rsidR="009A60AD" w:rsidRPr="00135578" w:rsidRDefault="008B23C4" w:rsidP="00C06944">
            <w:pPr>
              <w:autoSpaceDE w:val="0"/>
              <w:autoSpaceDN w:val="0"/>
              <w:adjustRightInd w:val="0"/>
              <w:spacing w:after="0" w:line="240" w:lineRule="auto"/>
              <w:jc w:val="both"/>
              <w:rPr>
                <w:rFonts w:ascii="Times New Roman" w:hAnsi="Times New Roman"/>
                <w:sz w:val="24"/>
                <w:szCs w:val="24"/>
                <w:lang w:val="ro-RO"/>
              </w:rPr>
            </w:pPr>
            <w:r w:rsidRPr="009A60AD">
              <w:rPr>
                <w:rFonts w:ascii="Times New Roman" w:hAnsi="Times New Roman"/>
                <w:sz w:val="24"/>
                <w:szCs w:val="24"/>
                <w:lang w:val="ro-RO"/>
              </w:rPr>
              <w:t>Prevederile</w:t>
            </w:r>
            <w:r w:rsidR="00DE0EF8" w:rsidRPr="009A60AD">
              <w:rPr>
                <w:rFonts w:ascii="Times New Roman" w:hAnsi="Times New Roman"/>
                <w:sz w:val="24"/>
                <w:szCs w:val="24"/>
                <w:lang w:val="ro-RO"/>
              </w:rPr>
              <w:t xml:space="preserve"> </w:t>
            </w:r>
            <w:r w:rsidR="009A60AD" w:rsidRPr="009A60AD">
              <w:rPr>
                <w:rFonts w:ascii="Times New Roman" w:hAnsi="Times New Roman"/>
                <w:sz w:val="24"/>
                <w:szCs w:val="24"/>
                <w:lang w:val="ro-RO"/>
              </w:rPr>
              <w:t>art. 10 pct. 5 din Acordul dintre Guvernul României şi Guvernul Republicii Ungare privind colaborarea pentru protecţia şi utilizarea durabilă a apelor de frontieră, semnat la Budapesta la 15 septembrie 2003, aprobat prin Hotărârea Guvernului nr.</w:t>
            </w:r>
            <w:r w:rsidR="00B361F2">
              <w:rPr>
                <w:rFonts w:ascii="Times New Roman" w:hAnsi="Times New Roman"/>
                <w:sz w:val="24"/>
                <w:szCs w:val="24"/>
                <w:lang w:val="ro-RO"/>
              </w:rPr>
              <w:t xml:space="preserve"> </w:t>
            </w:r>
            <w:r w:rsidR="009A60AD" w:rsidRPr="009A60AD">
              <w:rPr>
                <w:rFonts w:ascii="Times New Roman" w:hAnsi="Times New Roman"/>
                <w:sz w:val="24"/>
                <w:szCs w:val="24"/>
                <w:lang w:val="ro-RO"/>
              </w:rPr>
              <w:t>577/2004.</w:t>
            </w:r>
          </w:p>
          <w:p w14:paraId="4E4CF8FA" w14:textId="49A6F52B" w:rsidR="00B361F2" w:rsidRPr="00E91305" w:rsidRDefault="00B361F2" w:rsidP="00C06944">
            <w:pPr>
              <w:autoSpaceDE w:val="0"/>
              <w:autoSpaceDN w:val="0"/>
              <w:adjustRightInd w:val="0"/>
              <w:spacing w:after="0" w:line="240" w:lineRule="auto"/>
              <w:jc w:val="both"/>
              <w:rPr>
                <w:rFonts w:ascii="Times New Roman" w:hAnsi="Times New Roman"/>
                <w:bCs/>
                <w:noProof/>
                <w:color w:val="000000" w:themeColor="text1"/>
                <w:sz w:val="24"/>
                <w:szCs w:val="24"/>
                <w:lang w:val="ro-RO"/>
              </w:rPr>
            </w:pPr>
            <w:r>
              <w:rPr>
                <w:rFonts w:ascii="Times New Roman" w:hAnsi="Times New Roman"/>
                <w:bCs/>
                <w:noProof/>
                <w:color w:val="000000" w:themeColor="text1"/>
                <w:sz w:val="24"/>
                <w:szCs w:val="24"/>
                <w:lang w:val="ro-RO"/>
              </w:rPr>
              <w:t>Inițiativa Ministerului Mediului, Apelor și Pădurilor</w:t>
            </w:r>
          </w:p>
        </w:tc>
      </w:tr>
      <w:tr w:rsidR="00DE0EF8" w:rsidRPr="005B70DF" w14:paraId="43E49E00" w14:textId="77777777" w:rsidTr="008267A7">
        <w:trPr>
          <w:trHeight w:val="90"/>
        </w:trPr>
        <w:tc>
          <w:tcPr>
            <w:tcW w:w="757" w:type="dxa"/>
            <w:vAlign w:val="center"/>
          </w:tcPr>
          <w:p w14:paraId="4B609B38" w14:textId="77777777" w:rsidR="00DE0EF8" w:rsidRPr="00441CC1" w:rsidRDefault="00DE0EF8" w:rsidP="00801EDF">
            <w:pPr>
              <w:spacing w:after="0" w:line="240" w:lineRule="auto"/>
              <w:jc w:val="both"/>
              <w:rPr>
                <w:rFonts w:ascii="Times New Roman" w:hAnsi="Times New Roman"/>
                <w:noProof/>
                <w:color w:val="000000"/>
                <w:sz w:val="24"/>
                <w:szCs w:val="24"/>
                <w:vertAlign w:val="superscript"/>
                <w:lang w:val="ro-RO"/>
              </w:rPr>
            </w:pPr>
            <w:r w:rsidRPr="00441CC1">
              <w:rPr>
                <w:rFonts w:ascii="Times New Roman" w:hAnsi="Times New Roman"/>
                <w:noProof/>
                <w:color w:val="000000"/>
                <w:sz w:val="24"/>
                <w:szCs w:val="24"/>
                <w:lang w:val="ro-RO"/>
              </w:rPr>
              <w:t>2.2.</w:t>
            </w:r>
          </w:p>
        </w:tc>
        <w:tc>
          <w:tcPr>
            <w:tcW w:w="2573" w:type="dxa"/>
            <w:vAlign w:val="center"/>
          </w:tcPr>
          <w:p w14:paraId="542F937A" w14:textId="77777777" w:rsidR="00DE0EF8" w:rsidRPr="00441CC1" w:rsidRDefault="00DE0EF8" w:rsidP="00326268">
            <w:pPr>
              <w:spacing w:after="0" w:line="240" w:lineRule="auto"/>
              <w:rPr>
                <w:rFonts w:ascii="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Descrierea situaţiei actuale</w:t>
            </w:r>
          </w:p>
        </w:tc>
        <w:tc>
          <w:tcPr>
            <w:tcW w:w="7200" w:type="dxa"/>
            <w:gridSpan w:val="9"/>
          </w:tcPr>
          <w:p w14:paraId="13F03FB3" w14:textId="67B45BD5" w:rsidR="009A60AD" w:rsidRDefault="009A60AD" w:rsidP="00135578">
            <w:pPr>
              <w:pStyle w:val="BodyText"/>
              <w:rPr>
                <w:rFonts w:ascii="Times New Roman" w:hAnsi="Times New Roman"/>
                <w:szCs w:val="24"/>
                <w:lang w:bidi="en-US"/>
              </w:rPr>
            </w:pPr>
            <w:r w:rsidRPr="009A60AD">
              <w:rPr>
                <w:rFonts w:ascii="Times New Roman" w:hAnsi="Times New Roman"/>
                <w:szCs w:val="24"/>
                <w:lang w:bidi="en-US"/>
              </w:rPr>
              <w:t>Colaborarea în domeniul gospodăririi apelor cu Ungaria se desfășoară în baza Acordului dintre Guvernul României și Guvernul Republicii Ungare privind colaborarea pentru protecția și utilizarea durabilă a apelor de frontieră, semnat la Budapesta, la 15 septembrie 2003 și aprobat prin Hotărârea Guvernului  nr. 577/2004.</w:t>
            </w:r>
          </w:p>
          <w:p w14:paraId="63740944" w14:textId="77777777" w:rsidR="00135578" w:rsidRDefault="00135578" w:rsidP="00135578">
            <w:pPr>
              <w:spacing w:after="120" w:line="240" w:lineRule="auto"/>
              <w:jc w:val="both"/>
              <w:rPr>
                <w:rFonts w:ascii="Times New Roman" w:hAnsi="Times New Roman"/>
                <w:color w:val="000000"/>
                <w:sz w:val="16"/>
                <w:szCs w:val="16"/>
                <w:lang w:val="ro-RO" w:bidi="en-US"/>
              </w:rPr>
            </w:pPr>
          </w:p>
          <w:p w14:paraId="406CF4F0" w14:textId="00840302" w:rsidR="00135578" w:rsidRDefault="009A60AD" w:rsidP="00135578">
            <w:pPr>
              <w:spacing w:after="120" w:line="240" w:lineRule="auto"/>
              <w:jc w:val="both"/>
              <w:rPr>
                <w:rFonts w:ascii="Times New Roman" w:hAnsi="Times New Roman"/>
                <w:color w:val="000000"/>
                <w:sz w:val="24"/>
                <w:szCs w:val="24"/>
                <w:lang w:val="ro-RO" w:bidi="en-US"/>
              </w:rPr>
            </w:pPr>
            <w:r w:rsidRPr="009A60AD">
              <w:rPr>
                <w:rFonts w:ascii="Times New Roman" w:hAnsi="Times New Roman"/>
                <w:color w:val="000000"/>
                <w:sz w:val="24"/>
                <w:szCs w:val="24"/>
                <w:lang w:val="ro-RO" w:bidi="en-US"/>
              </w:rPr>
              <w:t xml:space="preserve">Având în vedere poziția de stat amonte a României în raport de cursurile de apă transfrontieră, colaborarea cu Ungaria este deosebit de importantă privind managementul coordonat al resurselor de apă în zona frontierei. Acordul asigură baza legală pentru abordarea problemelor de gospodărire calitativă și cantitativă a cursurilor de apă transfrontieră, schimbul de date hidrologice, coordonarea unor acțiuni pentru protecția și utilizarea durabilă a apelor de frontieră.  </w:t>
            </w:r>
          </w:p>
          <w:p w14:paraId="60D72541" w14:textId="2161CFC8" w:rsidR="009A60AD" w:rsidRPr="00135578" w:rsidRDefault="009A60AD" w:rsidP="00135578">
            <w:pPr>
              <w:spacing w:after="120" w:line="240" w:lineRule="auto"/>
              <w:jc w:val="both"/>
              <w:rPr>
                <w:rFonts w:ascii="Times New Roman" w:hAnsi="Times New Roman"/>
                <w:color w:val="000000"/>
                <w:sz w:val="24"/>
                <w:szCs w:val="24"/>
                <w:lang w:val="ro-RO" w:bidi="en-US"/>
              </w:rPr>
            </w:pPr>
            <w:r w:rsidRPr="009A60AD">
              <w:rPr>
                <w:rFonts w:ascii="Times New Roman" w:hAnsi="Times New Roman"/>
                <w:sz w:val="24"/>
                <w:szCs w:val="24"/>
                <w:lang w:val="ro-RO" w:bidi="en-US"/>
              </w:rPr>
              <w:t xml:space="preserve">În conformitate cu  prevederile art. 10 pct. 7 </w:t>
            </w:r>
            <w:r w:rsidR="00B361F2">
              <w:rPr>
                <w:rFonts w:ascii="Times New Roman" w:hAnsi="Times New Roman"/>
                <w:sz w:val="24"/>
                <w:szCs w:val="24"/>
                <w:lang w:val="ro-RO" w:bidi="en-US"/>
              </w:rPr>
              <w:t xml:space="preserve">din </w:t>
            </w:r>
            <w:r w:rsidRPr="009A60AD">
              <w:rPr>
                <w:rFonts w:ascii="Times New Roman" w:hAnsi="Times New Roman"/>
                <w:sz w:val="24"/>
                <w:szCs w:val="24"/>
                <w:lang w:val="ro-RO" w:bidi="en-US"/>
              </w:rPr>
              <w:t>Acordul aprobat prin Hotărârea Guvernului nr. 577/2004, în fiecare an, Comisia hidrotehnică româno-ungară realizează examinarea activităților privind aplicarea prevederilor Acordului.</w:t>
            </w:r>
          </w:p>
          <w:p w14:paraId="38BD0FCC" w14:textId="240C7BCD" w:rsidR="009A60AD" w:rsidRPr="009A60AD" w:rsidRDefault="009A60AD" w:rsidP="00135578">
            <w:pPr>
              <w:spacing w:after="120" w:line="240" w:lineRule="auto"/>
              <w:jc w:val="both"/>
              <w:rPr>
                <w:rFonts w:ascii="Times New Roman" w:hAnsi="Times New Roman"/>
                <w:sz w:val="24"/>
                <w:szCs w:val="24"/>
                <w:lang w:val="ro-RO" w:bidi="en-US"/>
              </w:rPr>
            </w:pPr>
            <w:r w:rsidRPr="009A60AD">
              <w:rPr>
                <w:rFonts w:ascii="Times New Roman" w:hAnsi="Times New Roman"/>
                <w:sz w:val="24"/>
                <w:szCs w:val="24"/>
                <w:lang w:val="ro-RO" w:bidi="en-US"/>
              </w:rPr>
              <w:t>În acest an, Sesiunea a XXX</w:t>
            </w:r>
            <w:r w:rsidR="00362876">
              <w:rPr>
                <w:rFonts w:ascii="Times New Roman" w:hAnsi="Times New Roman"/>
                <w:sz w:val="24"/>
                <w:szCs w:val="24"/>
                <w:lang w:val="ro-RO" w:bidi="en-US"/>
              </w:rPr>
              <w:t>V</w:t>
            </w:r>
            <w:r w:rsidR="00F86848">
              <w:rPr>
                <w:rFonts w:ascii="Times New Roman" w:hAnsi="Times New Roman"/>
                <w:sz w:val="24"/>
                <w:szCs w:val="24"/>
                <w:lang w:val="ro-RO" w:bidi="en-US"/>
              </w:rPr>
              <w:t>I</w:t>
            </w:r>
            <w:r w:rsidRPr="009A60AD">
              <w:rPr>
                <w:rFonts w:ascii="Times New Roman" w:hAnsi="Times New Roman"/>
                <w:sz w:val="24"/>
                <w:szCs w:val="24"/>
                <w:lang w:val="ro-RO" w:bidi="en-US"/>
              </w:rPr>
              <w:t>-a a Comisiei hidrotehnice româno-ungare pentru aplicarea Acordului dintre Guvernul României și Guvernul Republicii Ungare privind colaborarea pentru protecția și utilizarea durabilă a apelor de frontieră, s-a desfășurat la</w:t>
            </w:r>
            <w:r w:rsidRPr="009A60AD">
              <w:rPr>
                <w:rFonts w:ascii="Times New Roman" w:hAnsi="Times New Roman"/>
                <w:b/>
                <w:bCs/>
                <w:sz w:val="24"/>
                <w:szCs w:val="24"/>
                <w:lang w:val="ro-RO" w:bidi="en-US"/>
              </w:rPr>
              <w:t xml:space="preserve"> </w:t>
            </w:r>
            <w:r w:rsidR="00F86848">
              <w:rPr>
                <w:rFonts w:ascii="Times New Roman" w:eastAsia="MS Mincho" w:hAnsi="Times New Roman"/>
                <w:bCs/>
                <w:sz w:val="24"/>
                <w:szCs w:val="24"/>
                <w:lang w:val="pt-PT"/>
              </w:rPr>
              <w:t>Băile 1 Mai</w:t>
            </w:r>
            <w:r w:rsidRPr="00362876">
              <w:rPr>
                <w:rFonts w:ascii="Times New Roman" w:hAnsi="Times New Roman"/>
                <w:bCs/>
                <w:sz w:val="24"/>
                <w:szCs w:val="24"/>
                <w:lang w:val="ro-RO" w:bidi="en-US"/>
              </w:rPr>
              <w:t>,</w:t>
            </w:r>
            <w:r w:rsidRPr="009A60AD">
              <w:rPr>
                <w:rFonts w:ascii="Times New Roman" w:hAnsi="Times New Roman"/>
                <w:sz w:val="24"/>
                <w:szCs w:val="24"/>
                <w:lang w:val="ro-RO" w:bidi="en-US"/>
              </w:rPr>
              <w:t xml:space="preserve"> în perioada </w:t>
            </w:r>
            <w:r w:rsidR="00F86848">
              <w:rPr>
                <w:rFonts w:ascii="Times New Roman" w:hAnsi="Times New Roman"/>
                <w:sz w:val="24"/>
                <w:szCs w:val="24"/>
                <w:lang w:val="ro-RO" w:bidi="en-US"/>
              </w:rPr>
              <w:t>7</w:t>
            </w:r>
            <w:r w:rsidRPr="009A60AD">
              <w:rPr>
                <w:rFonts w:ascii="Times New Roman" w:hAnsi="Times New Roman"/>
                <w:sz w:val="24"/>
                <w:szCs w:val="24"/>
                <w:lang w:val="ro-RO" w:bidi="en-US"/>
              </w:rPr>
              <w:t xml:space="preserve"> – </w:t>
            </w:r>
            <w:r w:rsidR="00F86848">
              <w:rPr>
                <w:rFonts w:ascii="Times New Roman" w:hAnsi="Times New Roman"/>
                <w:sz w:val="24"/>
                <w:szCs w:val="24"/>
                <w:lang w:val="ro-RO" w:bidi="en-US"/>
              </w:rPr>
              <w:t>9</w:t>
            </w:r>
            <w:r w:rsidRPr="009A60AD">
              <w:rPr>
                <w:rFonts w:ascii="Times New Roman" w:hAnsi="Times New Roman"/>
                <w:sz w:val="24"/>
                <w:szCs w:val="24"/>
                <w:lang w:val="ro-RO" w:bidi="en-US"/>
              </w:rPr>
              <w:t xml:space="preserve"> </w:t>
            </w:r>
            <w:r w:rsidR="00CB6AE6">
              <w:rPr>
                <w:rFonts w:ascii="Times New Roman" w:hAnsi="Times New Roman"/>
                <w:sz w:val="24"/>
                <w:szCs w:val="24"/>
                <w:lang w:val="ro-RO" w:bidi="en-US"/>
              </w:rPr>
              <w:t>ma</w:t>
            </w:r>
            <w:r w:rsidR="00362876">
              <w:rPr>
                <w:rFonts w:ascii="Times New Roman" w:hAnsi="Times New Roman"/>
                <w:sz w:val="24"/>
                <w:szCs w:val="24"/>
                <w:lang w:val="ro-RO" w:bidi="en-US"/>
              </w:rPr>
              <w:t xml:space="preserve">i </w:t>
            </w:r>
            <w:r w:rsidR="00CB6AE6">
              <w:rPr>
                <w:rFonts w:ascii="Times New Roman" w:hAnsi="Times New Roman"/>
                <w:sz w:val="24"/>
                <w:szCs w:val="24"/>
                <w:lang w:val="ro-RO" w:bidi="en-US"/>
              </w:rPr>
              <w:t>202</w:t>
            </w:r>
            <w:r w:rsidR="00F86848">
              <w:rPr>
                <w:rFonts w:ascii="Times New Roman" w:hAnsi="Times New Roman"/>
                <w:sz w:val="24"/>
                <w:szCs w:val="24"/>
                <w:lang w:val="ro-RO" w:bidi="en-US"/>
              </w:rPr>
              <w:t>5</w:t>
            </w:r>
            <w:r w:rsidRPr="009A60AD">
              <w:rPr>
                <w:rFonts w:ascii="Times New Roman" w:hAnsi="Times New Roman"/>
                <w:sz w:val="24"/>
                <w:szCs w:val="24"/>
                <w:lang w:val="ro-RO" w:bidi="en-US"/>
              </w:rPr>
              <w:t xml:space="preserve">. </w:t>
            </w:r>
          </w:p>
          <w:p w14:paraId="4813E624" w14:textId="091E7D39" w:rsidR="009A60AD" w:rsidRPr="009A60AD" w:rsidRDefault="009A60AD" w:rsidP="00135578">
            <w:pPr>
              <w:spacing w:after="120" w:line="240" w:lineRule="auto"/>
              <w:jc w:val="both"/>
              <w:rPr>
                <w:rFonts w:ascii="Times New Roman" w:eastAsia="Times New Roman" w:hAnsi="Times New Roman"/>
                <w:sz w:val="24"/>
                <w:szCs w:val="24"/>
                <w:lang w:val="ro-RO" w:bidi="en-US"/>
              </w:rPr>
            </w:pPr>
            <w:r w:rsidRPr="009A60AD">
              <w:rPr>
                <w:rFonts w:ascii="Times New Roman" w:eastAsia="Times New Roman" w:hAnsi="Times New Roman"/>
                <w:sz w:val="24"/>
                <w:szCs w:val="24"/>
                <w:lang w:val="ro-RO" w:bidi="en-US"/>
              </w:rPr>
              <w:t>Pe ordinea de zi a Sesiunii au fost incluse probleme privind colaborarea celor două Părți în domeniul gospodăririi apelor, rezultate din aplicarea prevederilor</w:t>
            </w:r>
            <w:r w:rsidR="00B361F2">
              <w:rPr>
                <w:rFonts w:ascii="Times New Roman" w:eastAsia="Times New Roman" w:hAnsi="Times New Roman"/>
                <w:sz w:val="24"/>
                <w:szCs w:val="24"/>
                <w:lang w:val="ro-RO" w:bidi="en-US"/>
              </w:rPr>
              <w:t xml:space="preserve"> </w:t>
            </w:r>
            <w:r w:rsidRPr="009A60AD">
              <w:rPr>
                <w:rFonts w:ascii="Times New Roman" w:eastAsia="Times New Roman" w:hAnsi="Times New Roman"/>
                <w:sz w:val="24"/>
                <w:szCs w:val="24"/>
                <w:lang w:val="ro-RO" w:bidi="en-US"/>
              </w:rPr>
              <w:t xml:space="preserve">Acordului </w:t>
            </w:r>
            <w:r w:rsidR="00B361F2">
              <w:rPr>
                <w:rFonts w:ascii="Times New Roman" w:eastAsia="Times New Roman" w:hAnsi="Times New Roman"/>
                <w:sz w:val="24"/>
                <w:szCs w:val="24"/>
                <w:lang w:val="ro-RO" w:bidi="en-US"/>
              </w:rPr>
              <w:t>di</w:t>
            </w:r>
            <w:r w:rsidRPr="009A60AD">
              <w:rPr>
                <w:rFonts w:ascii="Times New Roman" w:eastAsia="Times New Roman" w:hAnsi="Times New Roman"/>
                <w:sz w:val="24"/>
                <w:szCs w:val="24"/>
                <w:lang w:val="ro-RO" w:bidi="en-US"/>
              </w:rPr>
              <w:t>ntre Guvernul României și Guvernul Republicii Ungare privind colaborarea pentru protecția și utilizarea durabilă a apelor de frontieră, semnat la Budapesta</w:t>
            </w:r>
            <w:r w:rsidR="00B361F2">
              <w:rPr>
                <w:rFonts w:ascii="Times New Roman" w:eastAsia="Times New Roman" w:hAnsi="Times New Roman"/>
                <w:sz w:val="24"/>
                <w:szCs w:val="24"/>
                <w:lang w:val="ro-RO" w:bidi="en-US"/>
              </w:rPr>
              <w:t>,</w:t>
            </w:r>
            <w:r w:rsidRPr="009A60AD">
              <w:rPr>
                <w:rFonts w:ascii="Times New Roman" w:eastAsia="Times New Roman" w:hAnsi="Times New Roman"/>
                <w:sz w:val="24"/>
                <w:szCs w:val="24"/>
                <w:lang w:val="ro-RO" w:bidi="en-US"/>
              </w:rPr>
              <w:t xml:space="preserve"> la 15 septembrie 2003, aprobat prin Hotărârea Guvernului nr. 577/2004. </w:t>
            </w:r>
          </w:p>
          <w:p w14:paraId="2E0D00CE" w14:textId="05D2FC5E" w:rsidR="00DE0EF8" w:rsidRPr="00AD3977" w:rsidRDefault="009A60AD" w:rsidP="00135578">
            <w:pPr>
              <w:spacing w:before="120" w:after="80" w:line="240" w:lineRule="auto"/>
              <w:jc w:val="both"/>
              <w:rPr>
                <w:rFonts w:ascii="Times New Roman" w:hAnsi="Times New Roman"/>
                <w:sz w:val="24"/>
                <w:szCs w:val="24"/>
                <w:lang w:val="ro-RO"/>
              </w:rPr>
            </w:pPr>
            <w:r w:rsidRPr="009A60AD">
              <w:rPr>
                <w:rFonts w:ascii="Times New Roman" w:hAnsi="Times New Roman"/>
                <w:sz w:val="24"/>
                <w:szCs w:val="24"/>
                <w:lang w:val="ro-RO" w:bidi="en-US"/>
              </w:rPr>
              <w:lastRenderedPageBreak/>
              <w:t>Conform art.10 pct.5 din Acordul dintre Guvernul României și Guvernul Republicii Ungare privind colaborarea pentru protecția și utilizarea durabilă a apelor de frontieră, aprobat prin Hotărârea Guvernului nr.</w:t>
            </w:r>
            <w:r w:rsidR="00B361F2">
              <w:rPr>
                <w:rFonts w:ascii="Times New Roman" w:hAnsi="Times New Roman"/>
                <w:sz w:val="24"/>
                <w:szCs w:val="24"/>
                <w:lang w:val="ro-RO" w:bidi="en-US"/>
              </w:rPr>
              <w:t xml:space="preserve"> </w:t>
            </w:r>
            <w:r w:rsidRPr="009A60AD">
              <w:rPr>
                <w:rFonts w:ascii="Times New Roman" w:hAnsi="Times New Roman"/>
                <w:sz w:val="24"/>
                <w:szCs w:val="24"/>
                <w:lang w:val="ro-RO" w:bidi="en-US"/>
              </w:rPr>
              <w:t>577/2004, hotărârile luate în cadrul Comisiei se consemnează în Protocolul Sesiunii și intră în vigoare după aprobarea lor de către cele două părți contractante.</w:t>
            </w:r>
          </w:p>
        </w:tc>
      </w:tr>
      <w:tr w:rsidR="0080216D" w:rsidRPr="005B70DF" w14:paraId="00B8D7EA" w14:textId="77777777" w:rsidTr="008267A7">
        <w:trPr>
          <w:trHeight w:val="90"/>
        </w:trPr>
        <w:tc>
          <w:tcPr>
            <w:tcW w:w="757" w:type="dxa"/>
            <w:vAlign w:val="center"/>
          </w:tcPr>
          <w:p w14:paraId="348E448F" w14:textId="77777777" w:rsidR="0080216D" w:rsidRPr="00441CC1" w:rsidRDefault="0080216D" w:rsidP="00801EDF">
            <w:pPr>
              <w:spacing w:after="0" w:line="240" w:lineRule="auto"/>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lastRenderedPageBreak/>
              <w:t>2.3.</w:t>
            </w:r>
          </w:p>
        </w:tc>
        <w:tc>
          <w:tcPr>
            <w:tcW w:w="2573" w:type="dxa"/>
            <w:vAlign w:val="center"/>
          </w:tcPr>
          <w:p w14:paraId="50E904A1" w14:textId="77777777" w:rsidR="0080216D" w:rsidRPr="00441CC1" w:rsidRDefault="0080216D" w:rsidP="00C672C6">
            <w:pPr>
              <w:spacing w:after="0" w:line="240" w:lineRule="auto"/>
              <w:jc w:val="both"/>
              <w:rPr>
                <w:rFonts w:ascii="Times New Roman" w:hAnsi="Times New Roman"/>
                <w:noProof/>
                <w:color w:val="000000"/>
                <w:sz w:val="24"/>
                <w:szCs w:val="24"/>
                <w:lang w:val="ro-RO"/>
              </w:rPr>
            </w:pPr>
            <w:r w:rsidRPr="00441CC1">
              <w:rPr>
                <w:rFonts w:ascii="Times New Roman" w:hAnsi="Times New Roman"/>
                <w:iCs/>
                <w:noProof/>
                <w:color w:val="000000"/>
                <w:sz w:val="24"/>
                <w:szCs w:val="24"/>
                <w:lang w:val="ro-RO"/>
              </w:rPr>
              <w:t>Schimbări</w:t>
            </w:r>
            <w:r w:rsidRPr="00441CC1">
              <w:rPr>
                <w:rFonts w:ascii="Times New Roman" w:eastAsia="Times New Roman" w:hAnsi="Times New Roman"/>
                <w:noProof/>
                <w:color w:val="000000"/>
                <w:sz w:val="24"/>
                <w:szCs w:val="24"/>
                <w:lang w:val="ro-RO"/>
              </w:rPr>
              <w:t xml:space="preserve"> preconizate</w:t>
            </w:r>
          </w:p>
        </w:tc>
        <w:tc>
          <w:tcPr>
            <w:tcW w:w="7200" w:type="dxa"/>
            <w:gridSpan w:val="9"/>
          </w:tcPr>
          <w:p w14:paraId="31F3DE35" w14:textId="380F8FF2" w:rsidR="009A60AD" w:rsidRPr="009A60AD" w:rsidRDefault="009A60AD" w:rsidP="00135578">
            <w:pPr>
              <w:spacing w:after="120" w:line="240" w:lineRule="auto"/>
              <w:jc w:val="both"/>
              <w:rPr>
                <w:rFonts w:ascii="Times New Roman" w:hAnsi="Times New Roman"/>
                <w:color w:val="000000" w:themeColor="text1"/>
                <w:sz w:val="24"/>
                <w:szCs w:val="24"/>
                <w:lang w:val="ro-RO" w:bidi="en-US"/>
              </w:rPr>
            </w:pPr>
            <w:r w:rsidRPr="00363352">
              <w:rPr>
                <w:rFonts w:ascii="Times New Roman" w:hAnsi="Times New Roman"/>
                <w:color w:val="000000" w:themeColor="text1"/>
                <w:sz w:val="24"/>
                <w:szCs w:val="24"/>
                <w:lang w:val="pt-PT" w:bidi="en-US"/>
              </w:rPr>
              <w:t>Pe ordinea de zi a acestei întâlniri au fost incluse problemele privind colaborarea celor două Părţi în domeniul gospodăririi apelor, iar în cadrul întâlnirii s-a analizat modul de realizare a sarcinilor stabilite de Comisie la Sesiunea a XXX</w:t>
            </w:r>
            <w:r w:rsidR="00362876" w:rsidRPr="00363352">
              <w:rPr>
                <w:rFonts w:ascii="Times New Roman" w:hAnsi="Times New Roman"/>
                <w:color w:val="000000" w:themeColor="text1"/>
                <w:sz w:val="24"/>
                <w:szCs w:val="24"/>
                <w:lang w:val="pt-PT" w:bidi="en-US"/>
              </w:rPr>
              <w:t>V</w:t>
            </w:r>
            <w:r w:rsidRPr="00363352">
              <w:rPr>
                <w:rFonts w:ascii="Times New Roman" w:hAnsi="Times New Roman"/>
                <w:color w:val="000000" w:themeColor="text1"/>
                <w:sz w:val="24"/>
                <w:szCs w:val="24"/>
                <w:lang w:val="pt-PT" w:bidi="en-US"/>
              </w:rPr>
              <w:t>-a, modul de îndeplinire a obligaţiilor care rezultă din Regulamentele de aplicare a prevederilor Acordului, precum şi activităţile desfă</w:t>
            </w:r>
            <w:r w:rsidR="00CB6AE6" w:rsidRPr="00363352">
              <w:rPr>
                <w:rFonts w:ascii="Times New Roman" w:hAnsi="Times New Roman"/>
                <w:color w:val="000000" w:themeColor="text1"/>
                <w:sz w:val="24"/>
                <w:szCs w:val="24"/>
                <w:lang w:val="pt-PT" w:bidi="en-US"/>
              </w:rPr>
              <w:t>şurate până la Sesiunea a XXX</w:t>
            </w:r>
            <w:r w:rsidR="00362876" w:rsidRPr="00363352">
              <w:rPr>
                <w:rFonts w:ascii="Times New Roman" w:hAnsi="Times New Roman"/>
                <w:color w:val="000000" w:themeColor="text1"/>
                <w:sz w:val="24"/>
                <w:szCs w:val="24"/>
                <w:lang w:val="pt-PT" w:bidi="en-US"/>
              </w:rPr>
              <w:t>V</w:t>
            </w:r>
            <w:r w:rsidR="00F86848">
              <w:rPr>
                <w:rFonts w:ascii="Times New Roman" w:hAnsi="Times New Roman"/>
                <w:color w:val="000000" w:themeColor="text1"/>
                <w:sz w:val="24"/>
                <w:szCs w:val="24"/>
                <w:lang w:val="pt-PT" w:bidi="en-US"/>
              </w:rPr>
              <w:t>I</w:t>
            </w:r>
            <w:r w:rsidRPr="00363352">
              <w:rPr>
                <w:rFonts w:ascii="Times New Roman" w:hAnsi="Times New Roman"/>
                <w:color w:val="000000" w:themeColor="text1"/>
                <w:sz w:val="24"/>
                <w:szCs w:val="24"/>
                <w:lang w:val="pt-PT" w:bidi="en-US"/>
              </w:rPr>
              <w:t xml:space="preserve">-a a Comisiei, în domeniile: apărarea împotriva inundaţiilor, urmărirea calităţii apelor de frontieră pe bază de analize sistematice, efectuate separat şi în comun, </w:t>
            </w:r>
            <w:r w:rsidRPr="009A60AD">
              <w:rPr>
                <w:rFonts w:ascii="Times New Roman" w:hAnsi="Times New Roman"/>
                <w:color w:val="000000" w:themeColor="text1"/>
                <w:sz w:val="24"/>
                <w:szCs w:val="24"/>
                <w:lang w:val="it-IT" w:bidi="en-US"/>
              </w:rPr>
              <w:t xml:space="preserve">schimbul de informaţii meteorologice, hidrologice şi avertizări cu privire la fenomenele periculoase şi poluări accidentale şi </w:t>
            </w:r>
            <w:r w:rsidRPr="009A60AD">
              <w:rPr>
                <w:rFonts w:ascii="Times New Roman" w:hAnsi="Times New Roman"/>
                <w:color w:val="000000" w:themeColor="text1"/>
                <w:sz w:val="24"/>
                <w:szCs w:val="24"/>
                <w:lang w:val="pt-BR" w:bidi="en-US"/>
              </w:rPr>
              <w:t>urmărirea funcţionalităţii lucrărilor hidrotehnice.</w:t>
            </w:r>
          </w:p>
          <w:p w14:paraId="73A06B06" w14:textId="77777777" w:rsidR="009A60AD" w:rsidRPr="009A60AD" w:rsidRDefault="009A60AD" w:rsidP="00135578">
            <w:pPr>
              <w:spacing w:after="120" w:line="240" w:lineRule="auto"/>
              <w:jc w:val="both"/>
              <w:rPr>
                <w:rFonts w:ascii="Times New Roman" w:hAnsi="Times New Roman"/>
                <w:color w:val="000000" w:themeColor="text1"/>
                <w:sz w:val="24"/>
                <w:szCs w:val="24"/>
                <w:lang w:val="ro-RO" w:bidi="en-US"/>
              </w:rPr>
            </w:pPr>
            <w:r w:rsidRPr="009A60AD">
              <w:rPr>
                <w:rFonts w:ascii="Times New Roman" w:hAnsi="Times New Roman"/>
                <w:color w:val="000000" w:themeColor="text1"/>
                <w:sz w:val="24"/>
                <w:szCs w:val="24"/>
                <w:lang w:val="ro-RO" w:bidi="en-US"/>
              </w:rPr>
              <w:t>Hotărârile adoptate prin consens, în baza discuțiilor purtate în conformitate cu ordinea de zi a întâlnirii, se referă, în principal, la:</w:t>
            </w:r>
          </w:p>
          <w:p w14:paraId="61448C46" w14:textId="7C12DB52" w:rsid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eastAsia="Times New Roman" w:hAnsi="Times New Roman"/>
                <w:color w:val="000000"/>
                <w:sz w:val="24"/>
                <w:szCs w:val="24"/>
                <w:lang w:val="pt-PT" w:eastAsia="hu-HU"/>
              </w:rPr>
              <w:t>aprobarea modificării conținutului anexelor nr. 4a, 4b, 5a, 5b, 6a, 6b, 7a, 7b și 7c  ale „Regulamentului privind transmiterea reciprocă a datelor şi informațiilor meteorologice şi hidrologice între România şi Ungaria”;</w:t>
            </w:r>
          </w:p>
          <w:p w14:paraId="1DC63166" w14:textId="77777777" w:rsid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eastAsia="Times New Roman" w:hAnsi="Times New Roman"/>
                <w:color w:val="000000"/>
                <w:sz w:val="24"/>
                <w:szCs w:val="24"/>
                <w:lang w:val="pt-PT" w:eastAsia="hu-HU"/>
              </w:rPr>
              <w:t>aprobarea modificării conținutului anexlor 3, 5.1 și 5.2 ale „Regulamentului pentru urmărirea calității apelor pe râurile care formează sau traversează frontiera româno-ungară”;</w:t>
            </w:r>
          </w:p>
          <w:p w14:paraId="5761D2F8" w14:textId="5F67D87B" w:rsid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Pr>
                <w:rFonts w:ascii="Times New Roman" w:eastAsia="Times New Roman" w:hAnsi="Times New Roman"/>
                <w:color w:val="000000"/>
                <w:sz w:val="24"/>
                <w:szCs w:val="24"/>
                <w:lang w:val="pt-PT" w:eastAsia="hu-HU"/>
              </w:rPr>
              <w:t>aprobarea</w:t>
            </w:r>
            <w:r w:rsidRPr="00F86848">
              <w:rPr>
                <w:rFonts w:ascii="Times New Roman" w:eastAsia="Times New Roman" w:hAnsi="Times New Roman"/>
                <w:color w:val="000000"/>
                <w:sz w:val="24"/>
                <w:szCs w:val="24"/>
                <w:lang w:val="pt-PT" w:eastAsia="hu-HU"/>
              </w:rPr>
              <w:t xml:space="preserve"> conținutului anexelor nr. 4 și 5b, în format digital, ale „Regulamentului de apărare împotriva inundațiilor produse de ape interne”, urmând ca intrarea in vigoare acestuia să se realizeze după finalizarea tuturor anexelor de la Regulament;</w:t>
            </w:r>
          </w:p>
          <w:p w14:paraId="5EE767C8" w14:textId="77777777" w:rsidR="00F86848" w:rsidRP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eastAsia="Times New Roman" w:hAnsi="Times New Roman"/>
                <w:bCs/>
                <w:iCs/>
                <w:color w:val="000000"/>
                <w:sz w:val="24"/>
                <w:szCs w:val="24"/>
                <w:lang w:val="pt-PT" w:eastAsia="x-none"/>
              </w:rPr>
              <w:t>continuarea activității de evaluare a calității apelor de frontieră pe baza rezultatelor analizelor fizico-chimice și biologice, din anul 2024, în conformitate cu prevederile „Regulamentului pentru urmărirea calității apelor, pe râurile care formează sau traversează frontiera româno-ungară”;</w:t>
            </w:r>
          </w:p>
          <w:p w14:paraId="1C8A5B1E" w14:textId="77777777" w:rsidR="00F86848" w:rsidRP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hAnsi="Times New Roman"/>
                <w:bCs/>
                <w:iCs/>
                <w:color w:val="000000"/>
                <w:sz w:val="24"/>
                <w:szCs w:val="24"/>
                <w:lang w:val="pt-PT" w:bidi="en-US"/>
              </w:rPr>
              <w:t>continuarea măsurătorilor comune de debit pe apele de frontieră în vederea îmbunătățirii managementului cantitativ al apelor;</w:t>
            </w:r>
          </w:p>
          <w:p w14:paraId="0B2FE4CF" w14:textId="2F26A4E1" w:rsidR="00F86848" w:rsidRP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hAnsi="Times New Roman"/>
                <w:bCs/>
                <w:iCs/>
                <w:color w:val="000000"/>
                <w:sz w:val="24"/>
                <w:szCs w:val="24"/>
                <w:lang w:val="pt-PT" w:bidi="en-US"/>
              </w:rPr>
              <w:t xml:space="preserve"> continuarea activității de informare reciprocă, între Părți, cu privire la </w:t>
            </w:r>
            <w:r w:rsidRPr="00F86848">
              <w:rPr>
                <w:rFonts w:ascii="Times New Roman" w:hAnsi="Times New Roman"/>
                <w:color w:val="000000"/>
                <w:sz w:val="24"/>
                <w:szCs w:val="24"/>
                <w:lang w:val="pt-PT" w:bidi="en-US"/>
              </w:rPr>
              <w:t xml:space="preserve"> corpurile de apă de suprafață de frontieră și corpurile de apă subterană transfrontaliere din Planul de Management Integrat al b.h. Tisa, privind stadiul realizării prevederilor Directivei Cadru Apă (2000/60/EC) și cu privire la stadiul implementării Directivei 2007/60/CE a Parlamentului European și a Consiliului din 23 octombrie 2007 privind evaluarea și gestionarea riscurilor de inundații;</w:t>
            </w:r>
          </w:p>
          <w:p w14:paraId="47698F5F" w14:textId="23D3CA31" w:rsidR="00F86848" w:rsidRP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hAnsi="Times New Roman"/>
                <w:color w:val="000000"/>
                <w:sz w:val="24"/>
                <w:szCs w:val="24"/>
                <w:lang w:val="pt-PT" w:bidi="en-US"/>
              </w:rPr>
              <w:t>continuarea activității de elaborare a anexelor „Regulamentului de apărare împotriva inundațiilor produse de cursuri de apă” și ale „Regulamentului de apărare împotriva inundațiilor produse de ape interne”;</w:t>
            </w:r>
          </w:p>
          <w:p w14:paraId="2C899DC5" w14:textId="01E23B47" w:rsidR="00F86848" w:rsidRPr="00F86848" w:rsidRDefault="00F86848" w:rsidP="00F86848">
            <w:pPr>
              <w:pStyle w:val="ListParagraph"/>
              <w:numPr>
                <w:ilvl w:val="1"/>
                <w:numId w:val="37"/>
              </w:numPr>
              <w:spacing w:after="0" w:line="240" w:lineRule="auto"/>
              <w:ind w:left="567" w:hanging="426"/>
              <w:jc w:val="both"/>
              <w:rPr>
                <w:rFonts w:ascii="Times New Roman" w:eastAsia="Times New Roman" w:hAnsi="Times New Roman"/>
                <w:color w:val="000000"/>
                <w:sz w:val="24"/>
                <w:szCs w:val="24"/>
                <w:lang w:val="pt-PT" w:eastAsia="hu-HU"/>
              </w:rPr>
            </w:pPr>
            <w:r w:rsidRPr="00F86848">
              <w:rPr>
                <w:rFonts w:ascii="Times New Roman" w:hAnsi="Times New Roman"/>
                <w:bCs/>
                <w:iCs/>
                <w:color w:val="000000"/>
                <w:sz w:val="24"/>
                <w:szCs w:val="24"/>
                <w:lang w:val="pt-PT" w:bidi="en-US"/>
              </w:rPr>
              <w:t>sprijinirea și în viitor realizarea proiectelor comune şi urmărirea proiectelor în derulare care se realizează în domeniul de aplicare al Acordului</w:t>
            </w:r>
            <w:r w:rsidRPr="00F86848">
              <w:rPr>
                <w:rFonts w:ascii="Times New Roman" w:eastAsia="Times New Roman" w:hAnsi="Times New Roman"/>
                <w:snapToGrid w:val="0"/>
                <w:color w:val="000000"/>
                <w:sz w:val="24"/>
                <w:szCs w:val="24"/>
                <w:lang w:val="pt-PT"/>
              </w:rPr>
              <w:t>;</w:t>
            </w:r>
          </w:p>
          <w:p w14:paraId="5B5B05CB" w14:textId="77777777" w:rsidR="00F86848" w:rsidRPr="00F86848" w:rsidRDefault="00F86848" w:rsidP="00F86848">
            <w:pPr>
              <w:pStyle w:val="ListParagraph"/>
              <w:spacing w:after="0" w:line="240" w:lineRule="auto"/>
              <w:ind w:left="567"/>
              <w:jc w:val="both"/>
              <w:rPr>
                <w:rFonts w:ascii="Times New Roman" w:eastAsia="Times New Roman" w:hAnsi="Times New Roman"/>
                <w:color w:val="000000"/>
                <w:sz w:val="24"/>
                <w:szCs w:val="24"/>
                <w:lang w:val="pt-PT" w:eastAsia="hu-HU"/>
              </w:rPr>
            </w:pPr>
          </w:p>
          <w:p w14:paraId="1E53BF73" w14:textId="4637E0C3" w:rsidR="00F86848" w:rsidRPr="00F86848" w:rsidRDefault="009A60AD" w:rsidP="00F86848">
            <w:pPr>
              <w:spacing w:after="200" w:line="276" w:lineRule="auto"/>
              <w:jc w:val="both"/>
              <w:rPr>
                <w:rFonts w:ascii="Times New Roman" w:hAnsi="Times New Roman"/>
                <w:bCs/>
                <w:iCs/>
                <w:noProof/>
                <w:color w:val="000000"/>
                <w:sz w:val="24"/>
                <w:szCs w:val="24"/>
                <w:lang w:val="pt-PT" w:bidi="en-US"/>
              </w:rPr>
            </w:pPr>
            <w:r w:rsidRPr="00F86848">
              <w:rPr>
                <w:rFonts w:ascii="Times New Roman" w:hAnsi="Times New Roman"/>
                <w:bCs/>
                <w:iCs/>
                <w:noProof/>
                <w:color w:val="000000"/>
                <w:sz w:val="24"/>
                <w:szCs w:val="24"/>
                <w:lang w:val="pt-PT" w:bidi="en-US"/>
              </w:rPr>
              <w:lastRenderedPageBreak/>
              <w:t xml:space="preserve">La </w:t>
            </w:r>
            <w:r w:rsidR="00D06ABC" w:rsidRPr="00F86848">
              <w:rPr>
                <w:rFonts w:ascii="Times New Roman" w:hAnsi="Times New Roman"/>
                <w:bCs/>
                <w:iCs/>
                <w:noProof/>
                <w:color w:val="000000"/>
                <w:sz w:val="24"/>
                <w:szCs w:val="24"/>
                <w:lang w:val="pt-PT" w:bidi="en-US"/>
              </w:rPr>
              <w:t>punctul</w:t>
            </w:r>
            <w:r w:rsidRPr="00F86848">
              <w:rPr>
                <w:rFonts w:ascii="Times New Roman" w:hAnsi="Times New Roman"/>
                <w:bCs/>
                <w:iCs/>
                <w:noProof/>
                <w:color w:val="000000"/>
                <w:sz w:val="24"/>
                <w:szCs w:val="24"/>
                <w:lang w:val="pt-PT" w:bidi="en-US"/>
              </w:rPr>
              <w:t xml:space="preserve"> Diverse</w:t>
            </w:r>
            <w:bookmarkStart w:id="0" w:name="_Hlk81932917"/>
            <w:r w:rsidRPr="00F86848">
              <w:rPr>
                <w:rFonts w:ascii="Times New Roman" w:hAnsi="Times New Roman"/>
                <w:bCs/>
                <w:iCs/>
                <w:noProof/>
                <w:color w:val="000000"/>
                <w:sz w:val="24"/>
                <w:szCs w:val="24"/>
                <w:lang w:val="pt-PT" w:bidi="en-US"/>
              </w:rPr>
              <w:t xml:space="preserve">, </w:t>
            </w:r>
            <w:bookmarkEnd w:id="0"/>
            <w:r w:rsidR="00F86848" w:rsidRPr="00F86848">
              <w:rPr>
                <w:rFonts w:ascii="Times New Roman" w:hAnsi="Times New Roman"/>
                <w:bCs/>
                <w:iCs/>
                <w:noProof/>
                <w:color w:val="000000"/>
                <w:sz w:val="24"/>
                <w:szCs w:val="24"/>
                <w:lang w:val="pt-PT" w:bidi="en-US"/>
              </w:rPr>
              <w:t>Partea română a prezentat Părții ungare o informare  care vizează stadiul realizării secțiunilor de intervenție la plutitori, precum și demersurile legislative întreprinse la nivel național. De asemenea, Partea română a solicitat informații cu privire la proiectul „Extinderea proiectului de exploatare a gazelor de şist prin fracturare hidraulică în judeţul Békés, Ungaria”.</w:t>
            </w:r>
          </w:p>
          <w:p w14:paraId="5D23078A" w14:textId="4DFA25DF" w:rsidR="00C10529" w:rsidRPr="00363352" w:rsidRDefault="009A60AD" w:rsidP="00135578">
            <w:pPr>
              <w:spacing w:after="0" w:line="240" w:lineRule="auto"/>
              <w:jc w:val="both"/>
              <w:rPr>
                <w:rFonts w:ascii="Times New Roman" w:eastAsia="Times New Roman" w:hAnsi="Times New Roman"/>
                <w:color w:val="000000" w:themeColor="text1"/>
                <w:sz w:val="24"/>
                <w:szCs w:val="24"/>
                <w:lang w:val="pt-PT" w:bidi="en-US"/>
              </w:rPr>
            </w:pPr>
            <w:r w:rsidRPr="009A60AD">
              <w:rPr>
                <w:rFonts w:ascii="Times New Roman" w:hAnsi="Times New Roman"/>
                <w:color w:val="000000" w:themeColor="text1"/>
                <w:sz w:val="24"/>
                <w:szCs w:val="24"/>
                <w:lang w:val="ro-RO" w:bidi="en-US"/>
              </w:rPr>
              <w:t>Hotărârile adoptate în cadrul Sesiunii a XXX</w:t>
            </w:r>
            <w:r w:rsidR="00DD2004">
              <w:rPr>
                <w:rFonts w:ascii="Times New Roman" w:hAnsi="Times New Roman"/>
                <w:color w:val="000000" w:themeColor="text1"/>
                <w:sz w:val="24"/>
                <w:szCs w:val="24"/>
                <w:lang w:val="ro-RO" w:bidi="en-US"/>
              </w:rPr>
              <w:t>V</w:t>
            </w:r>
            <w:r w:rsidR="00F86848">
              <w:rPr>
                <w:rFonts w:ascii="Times New Roman" w:hAnsi="Times New Roman"/>
                <w:color w:val="000000" w:themeColor="text1"/>
                <w:sz w:val="24"/>
                <w:szCs w:val="24"/>
                <w:lang w:val="ro-RO" w:bidi="en-US"/>
              </w:rPr>
              <w:t>I</w:t>
            </w:r>
            <w:r w:rsidRPr="009A60AD">
              <w:rPr>
                <w:rFonts w:ascii="Times New Roman" w:hAnsi="Times New Roman"/>
                <w:color w:val="000000" w:themeColor="text1"/>
                <w:sz w:val="24"/>
                <w:szCs w:val="24"/>
                <w:lang w:val="ro-RO" w:bidi="en-US"/>
              </w:rPr>
              <w:t>-a vor contribui la protejarea calității apelor de frontieră, la sporirea măsurilor de protecție contra inundațiilor, la managementul durabil al apelor de frontieră, în beneficiul mediului înconjurător, comunităților locale și cetățenilor ambelor țări</w:t>
            </w:r>
            <w:r w:rsidR="00362876">
              <w:rPr>
                <w:rFonts w:ascii="Times New Roman" w:hAnsi="Times New Roman"/>
                <w:color w:val="000000" w:themeColor="text1"/>
                <w:sz w:val="24"/>
                <w:szCs w:val="24"/>
                <w:lang w:val="ro-RO" w:bidi="en-US"/>
              </w:rPr>
              <w:t>.</w:t>
            </w:r>
          </w:p>
          <w:p w14:paraId="3341DC9A" w14:textId="3BDD51F9" w:rsidR="00C67E6E" w:rsidRPr="00135578" w:rsidRDefault="009A60AD" w:rsidP="00135578">
            <w:pPr>
              <w:spacing w:after="0" w:line="240" w:lineRule="auto"/>
              <w:jc w:val="both"/>
              <w:rPr>
                <w:rFonts w:ascii="Times New Roman" w:hAnsi="Times New Roman"/>
                <w:color w:val="000000" w:themeColor="text1"/>
                <w:sz w:val="24"/>
                <w:szCs w:val="24"/>
                <w:lang w:val="ro-RO" w:bidi="en-US"/>
              </w:rPr>
            </w:pPr>
            <w:r w:rsidRPr="00C10529">
              <w:rPr>
                <w:rFonts w:ascii="Times New Roman" w:hAnsi="Times New Roman"/>
                <w:color w:val="000000" w:themeColor="text1"/>
                <w:sz w:val="24"/>
                <w:szCs w:val="24"/>
                <w:lang w:val="ro-RO" w:bidi="en-US"/>
              </w:rPr>
              <w:t>Împuterniciți</w:t>
            </w:r>
            <w:r w:rsidR="007144B9">
              <w:rPr>
                <w:rFonts w:ascii="Times New Roman" w:hAnsi="Times New Roman"/>
                <w:color w:val="000000" w:themeColor="text1"/>
                <w:sz w:val="24"/>
                <w:szCs w:val="24"/>
                <w:lang w:val="ro-RO" w:bidi="en-US"/>
              </w:rPr>
              <w:t>i</w:t>
            </w:r>
            <w:r w:rsidRPr="00C10529">
              <w:rPr>
                <w:rFonts w:ascii="Times New Roman" w:hAnsi="Times New Roman"/>
                <w:color w:val="000000" w:themeColor="text1"/>
                <w:sz w:val="24"/>
                <w:szCs w:val="24"/>
                <w:lang w:val="ro-RO" w:bidi="en-US"/>
              </w:rPr>
              <w:t xml:space="preserve"> Guvernel</w:t>
            </w:r>
            <w:r w:rsidR="00CB6AE6">
              <w:rPr>
                <w:rFonts w:ascii="Times New Roman" w:hAnsi="Times New Roman"/>
                <w:color w:val="000000" w:themeColor="text1"/>
                <w:sz w:val="24"/>
                <w:szCs w:val="24"/>
                <w:lang w:val="ro-RO" w:bidi="en-US"/>
              </w:rPr>
              <w:t>or au hotărât ca cea de a XXX</w:t>
            </w:r>
            <w:r w:rsidR="00C10529" w:rsidRPr="00C10529">
              <w:rPr>
                <w:rFonts w:ascii="Times New Roman" w:hAnsi="Times New Roman"/>
                <w:color w:val="000000" w:themeColor="text1"/>
                <w:sz w:val="24"/>
                <w:szCs w:val="24"/>
                <w:lang w:val="ro-RO" w:bidi="en-US"/>
              </w:rPr>
              <w:t>V</w:t>
            </w:r>
            <w:r w:rsidR="00362876">
              <w:rPr>
                <w:rFonts w:ascii="Times New Roman" w:hAnsi="Times New Roman"/>
                <w:color w:val="000000" w:themeColor="text1"/>
                <w:sz w:val="24"/>
                <w:szCs w:val="24"/>
                <w:lang w:val="ro-RO" w:bidi="en-US"/>
              </w:rPr>
              <w:t>I</w:t>
            </w:r>
            <w:r w:rsidR="00F86848">
              <w:rPr>
                <w:rFonts w:ascii="Times New Roman" w:hAnsi="Times New Roman"/>
                <w:color w:val="000000" w:themeColor="text1"/>
                <w:sz w:val="24"/>
                <w:szCs w:val="24"/>
                <w:lang w:val="ro-RO" w:bidi="en-US"/>
              </w:rPr>
              <w:t>I</w:t>
            </w:r>
            <w:r w:rsidRPr="00C10529">
              <w:rPr>
                <w:rFonts w:ascii="Times New Roman" w:hAnsi="Times New Roman"/>
                <w:color w:val="000000" w:themeColor="text1"/>
                <w:sz w:val="24"/>
                <w:szCs w:val="24"/>
                <w:lang w:val="ro-RO" w:bidi="en-US"/>
              </w:rPr>
              <w:t>-a Sesiune</w:t>
            </w:r>
            <w:r w:rsidR="00CB6AE6">
              <w:rPr>
                <w:rFonts w:ascii="Times New Roman" w:hAnsi="Times New Roman"/>
                <w:color w:val="000000" w:themeColor="text1"/>
                <w:sz w:val="24"/>
                <w:szCs w:val="24"/>
                <w:lang w:val="ro-RO" w:bidi="en-US"/>
              </w:rPr>
              <w:t xml:space="preserve"> (ordinară) aferentă anului 202</w:t>
            </w:r>
            <w:r w:rsidR="00F86848">
              <w:rPr>
                <w:rFonts w:ascii="Times New Roman" w:hAnsi="Times New Roman"/>
                <w:color w:val="000000" w:themeColor="text1"/>
                <w:sz w:val="24"/>
                <w:szCs w:val="24"/>
                <w:lang w:val="ro-RO" w:bidi="en-US"/>
              </w:rPr>
              <w:t>5</w:t>
            </w:r>
            <w:r w:rsidRPr="00C10529">
              <w:rPr>
                <w:rFonts w:ascii="Times New Roman" w:hAnsi="Times New Roman"/>
                <w:color w:val="000000" w:themeColor="text1"/>
                <w:sz w:val="24"/>
                <w:szCs w:val="24"/>
                <w:lang w:val="ro-RO" w:bidi="en-US"/>
              </w:rPr>
              <w:t xml:space="preserve">, să aibă </w:t>
            </w:r>
            <w:r w:rsidR="007144B9">
              <w:rPr>
                <w:rFonts w:ascii="Times New Roman" w:hAnsi="Times New Roman"/>
                <w:color w:val="000000" w:themeColor="text1"/>
                <w:sz w:val="24"/>
                <w:szCs w:val="24"/>
                <w:lang w:val="ro-RO" w:bidi="en-US"/>
              </w:rPr>
              <w:t xml:space="preserve">loc </w:t>
            </w:r>
            <w:r w:rsidRPr="00C10529">
              <w:rPr>
                <w:rFonts w:ascii="Times New Roman" w:hAnsi="Times New Roman"/>
                <w:color w:val="000000" w:themeColor="text1"/>
                <w:sz w:val="24"/>
                <w:szCs w:val="24"/>
                <w:lang w:val="ro-RO" w:bidi="en-US"/>
              </w:rPr>
              <w:t>pe teritoriul</w:t>
            </w:r>
            <w:r w:rsidR="00362876">
              <w:rPr>
                <w:rFonts w:ascii="Times New Roman" w:hAnsi="Times New Roman"/>
                <w:color w:val="000000" w:themeColor="text1"/>
                <w:sz w:val="24"/>
                <w:szCs w:val="24"/>
                <w:lang w:val="ro-RO" w:bidi="en-US"/>
              </w:rPr>
              <w:t xml:space="preserve"> </w:t>
            </w:r>
            <w:r w:rsidR="00F86848">
              <w:rPr>
                <w:rFonts w:ascii="Times New Roman" w:hAnsi="Times New Roman"/>
                <w:color w:val="000000" w:themeColor="text1"/>
                <w:sz w:val="24"/>
                <w:szCs w:val="24"/>
                <w:lang w:val="ro-RO" w:bidi="en-US"/>
              </w:rPr>
              <w:t>Ungariei</w:t>
            </w:r>
            <w:r w:rsidR="00CB6AE6">
              <w:rPr>
                <w:rFonts w:ascii="Times New Roman" w:hAnsi="Times New Roman"/>
                <w:color w:val="000000" w:themeColor="text1"/>
                <w:sz w:val="24"/>
                <w:szCs w:val="24"/>
                <w:lang w:val="ro-RO" w:bidi="en-US"/>
              </w:rPr>
              <w:t xml:space="preserve"> în semestrul I al anului 202</w:t>
            </w:r>
            <w:r w:rsidR="00F86848">
              <w:rPr>
                <w:rFonts w:ascii="Times New Roman" w:hAnsi="Times New Roman"/>
                <w:color w:val="000000" w:themeColor="text1"/>
                <w:sz w:val="24"/>
                <w:szCs w:val="24"/>
                <w:lang w:val="ro-RO" w:bidi="en-US"/>
              </w:rPr>
              <w:t>6</w:t>
            </w:r>
            <w:r w:rsidR="00C10529" w:rsidRPr="00C10529">
              <w:rPr>
                <w:rFonts w:ascii="Times New Roman" w:hAnsi="Times New Roman"/>
                <w:color w:val="000000" w:themeColor="text1"/>
                <w:sz w:val="24"/>
                <w:szCs w:val="24"/>
                <w:lang w:val="ro-RO" w:bidi="en-US"/>
              </w:rPr>
              <w:t>.</w:t>
            </w:r>
          </w:p>
        </w:tc>
      </w:tr>
      <w:tr w:rsidR="00440046" w:rsidRPr="00B32EF1" w14:paraId="6880BEC8" w14:textId="77777777" w:rsidTr="008267A7">
        <w:trPr>
          <w:trHeight w:val="90"/>
        </w:trPr>
        <w:tc>
          <w:tcPr>
            <w:tcW w:w="757" w:type="dxa"/>
            <w:vAlign w:val="center"/>
          </w:tcPr>
          <w:p w14:paraId="4E3FE8ED" w14:textId="22EC6DA8" w:rsidR="00440046" w:rsidRPr="00441CC1" w:rsidRDefault="00440046" w:rsidP="00440046">
            <w:pPr>
              <w:spacing w:after="0" w:line="240" w:lineRule="auto"/>
              <w:jc w:val="both"/>
              <w:rPr>
                <w:rFonts w:ascii="Times New Roman" w:hAnsi="Times New Roman"/>
                <w:bCs/>
                <w:noProof/>
                <w:color w:val="000000"/>
                <w:sz w:val="24"/>
                <w:szCs w:val="24"/>
                <w:lang w:val="ro-RO"/>
              </w:rPr>
            </w:pPr>
            <w:r w:rsidRPr="00441CC1">
              <w:rPr>
                <w:rFonts w:ascii="Times New Roman" w:hAnsi="Times New Roman"/>
                <w:bCs/>
                <w:noProof/>
                <w:color w:val="000000"/>
                <w:sz w:val="24"/>
                <w:szCs w:val="24"/>
                <w:lang w:val="ro-RO"/>
              </w:rPr>
              <w:lastRenderedPageBreak/>
              <w:t>2.4.</w:t>
            </w:r>
          </w:p>
        </w:tc>
        <w:tc>
          <w:tcPr>
            <w:tcW w:w="2573" w:type="dxa"/>
            <w:vAlign w:val="center"/>
          </w:tcPr>
          <w:p w14:paraId="04D7996E" w14:textId="77777777" w:rsidR="00440046" w:rsidRPr="00441CC1" w:rsidRDefault="00440046" w:rsidP="00440046">
            <w:pPr>
              <w:spacing w:after="0" w:line="240" w:lineRule="auto"/>
              <w:jc w:val="both"/>
              <w:rPr>
                <w:rFonts w:ascii="Times New Roman" w:hAnsi="Times New Roman"/>
                <w:bCs/>
                <w:noProof/>
                <w:color w:val="000000"/>
                <w:sz w:val="24"/>
                <w:szCs w:val="24"/>
                <w:lang w:val="ro-RO"/>
              </w:rPr>
            </w:pPr>
            <w:r w:rsidRPr="00441CC1">
              <w:rPr>
                <w:rFonts w:ascii="Times New Roman" w:eastAsia="Times New Roman" w:hAnsi="Times New Roman"/>
                <w:bCs/>
                <w:noProof/>
                <w:color w:val="000000"/>
                <w:sz w:val="24"/>
                <w:szCs w:val="24"/>
                <w:lang w:val="ro-RO"/>
              </w:rPr>
              <w:t>Alte informaţii</w:t>
            </w:r>
          </w:p>
        </w:tc>
        <w:tc>
          <w:tcPr>
            <w:tcW w:w="7200" w:type="dxa"/>
            <w:gridSpan w:val="9"/>
          </w:tcPr>
          <w:p w14:paraId="5E25BAEB" w14:textId="395DBE84" w:rsidR="00440046" w:rsidRPr="00B32EF1" w:rsidRDefault="00DC0014" w:rsidP="00440046">
            <w:pPr>
              <w:tabs>
                <w:tab w:val="left" w:pos="994"/>
              </w:tabs>
              <w:spacing w:after="0" w:line="240" w:lineRule="auto"/>
              <w:jc w:val="both"/>
              <w:rPr>
                <w:rFonts w:ascii="Times New Roman" w:eastAsia="Times New Roman" w:hAnsi="Times New Roman"/>
                <w:color w:val="0070C0"/>
                <w:sz w:val="24"/>
                <w:szCs w:val="24"/>
                <w:lang w:val="ro-RO" w:eastAsia="ro-RO"/>
              </w:rPr>
            </w:pPr>
            <w:r w:rsidRPr="00DC0014">
              <w:rPr>
                <w:rFonts w:ascii="Times New Roman" w:eastAsia="Times New Roman" w:hAnsi="Times New Roman"/>
                <w:noProof/>
                <w:color w:val="000000"/>
                <w:sz w:val="24"/>
                <w:szCs w:val="24"/>
                <w:lang w:val="ro-RO"/>
              </w:rPr>
              <w:t>Nu au fost identificate.</w:t>
            </w:r>
          </w:p>
        </w:tc>
      </w:tr>
      <w:tr w:rsidR="00440046" w:rsidRPr="00980841" w14:paraId="4C02E391" w14:textId="77777777" w:rsidTr="008267A7">
        <w:trPr>
          <w:trHeight w:val="528"/>
        </w:trPr>
        <w:tc>
          <w:tcPr>
            <w:tcW w:w="10530" w:type="dxa"/>
            <w:gridSpan w:val="11"/>
            <w:vAlign w:val="center"/>
          </w:tcPr>
          <w:p w14:paraId="233B9A74" w14:textId="77777777" w:rsidR="0028094D" w:rsidRDefault="0028094D" w:rsidP="00440046">
            <w:pPr>
              <w:spacing w:after="0" w:line="240" w:lineRule="auto"/>
              <w:contextualSpacing/>
              <w:jc w:val="center"/>
              <w:rPr>
                <w:rFonts w:ascii="Times New Roman" w:eastAsia="Times New Roman" w:hAnsi="Times New Roman"/>
                <w:b/>
                <w:noProof/>
                <w:color w:val="000000"/>
                <w:sz w:val="24"/>
                <w:szCs w:val="24"/>
                <w:lang w:val="ro-RO"/>
              </w:rPr>
            </w:pPr>
          </w:p>
          <w:p w14:paraId="33D5C80A" w14:textId="3104E114" w:rsidR="00440046" w:rsidRPr="00441CC1" w:rsidRDefault="00440046" w:rsidP="00440046">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3-a</w:t>
            </w:r>
          </w:p>
          <w:p w14:paraId="0AF21C94" w14:textId="77777777" w:rsidR="00440046" w:rsidRDefault="00440046"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Impactul socioeconomic</w:t>
            </w:r>
          </w:p>
          <w:p w14:paraId="4BF9DF93" w14:textId="1B39645B" w:rsidR="0028094D" w:rsidRPr="00441CC1" w:rsidRDefault="0028094D" w:rsidP="00C06944">
            <w:pPr>
              <w:spacing w:after="0" w:line="240" w:lineRule="auto"/>
              <w:contextualSpacing/>
              <w:jc w:val="center"/>
              <w:rPr>
                <w:rFonts w:ascii="Times New Roman" w:eastAsia="Times New Roman" w:hAnsi="Times New Roman"/>
                <w:b/>
                <w:noProof/>
                <w:color w:val="000000"/>
                <w:sz w:val="24"/>
                <w:szCs w:val="24"/>
                <w:lang w:val="ro-RO"/>
              </w:rPr>
            </w:pPr>
          </w:p>
        </w:tc>
      </w:tr>
      <w:tr w:rsidR="00440046" w:rsidRPr="005B70DF" w14:paraId="139E04FF" w14:textId="77777777" w:rsidTr="008267A7">
        <w:trPr>
          <w:trHeight w:val="55"/>
        </w:trPr>
        <w:tc>
          <w:tcPr>
            <w:tcW w:w="757" w:type="dxa"/>
          </w:tcPr>
          <w:p w14:paraId="25E1115C"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3.1.</w:t>
            </w:r>
          </w:p>
        </w:tc>
        <w:tc>
          <w:tcPr>
            <w:tcW w:w="2573" w:type="dxa"/>
          </w:tcPr>
          <w:p w14:paraId="4663CE8A"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Descrierea generală a beneficiilor şi costurilor estimate ca urmare a intrării în vigoare a actului normativ</w:t>
            </w:r>
          </w:p>
        </w:tc>
        <w:tc>
          <w:tcPr>
            <w:tcW w:w="7200" w:type="dxa"/>
            <w:gridSpan w:val="9"/>
          </w:tcPr>
          <w:p w14:paraId="7DF74EFC" w14:textId="066E52BF" w:rsidR="00440046" w:rsidRPr="00500028" w:rsidRDefault="00500028" w:rsidP="00440046">
            <w:pPr>
              <w:spacing w:after="0" w:line="240" w:lineRule="auto"/>
              <w:jc w:val="both"/>
              <w:rPr>
                <w:rFonts w:ascii="Times New Roman" w:hAnsi="Times New Roman"/>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40046" w:rsidRPr="005B70DF" w14:paraId="33532BA5" w14:textId="77777777" w:rsidTr="008267A7">
        <w:trPr>
          <w:trHeight w:val="55"/>
        </w:trPr>
        <w:tc>
          <w:tcPr>
            <w:tcW w:w="757" w:type="dxa"/>
          </w:tcPr>
          <w:p w14:paraId="30327065"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3.2.</w:t>
            </w:r>
          </w:p>
        </w:tc>
        <w:tc>
          <w:tcPr>
            <w:tcW w:w="2573" w:type="dxa"/>
          </w:tcPr>
          <w:p w14:paraId="1A0EB0A7"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social</w:t>
            </w:r>
          </w:p>
        </w:tc>
        <w:tc>
          <w:tcPr>
            <w:tcW w:w="7200" w:type="dxa"/>
            <w:gridSpan w:val="9"/>
          </w:tcPr>
          <w:p w14:paraId="409BC7F7" w14:textId="6CA29B0B" w:rsidR="00440046" w:rsidRPr="00500028" w:rsidRDefault="00500028" w:rsidP="00440046">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40046" w:rsidRPr="005B70DF" w14:paraId="178DAA06" w14:textId="77777777" w:rsidTr="008267A7">
        <w:trPr>
          <w:trHeight w:val="55"/>
        </w:trPr>
        <w:tc>
          <w:tcPr>
            <w:tcW w:w="757" w:type="dxa"/>
          </w:tcPr>
          <w:p w14:paraId="18BE1569"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3.3.</w:t>
            </w:r>
          </w:p>
        </w:tc>
        <w:tc>
          <w:tcPr>
            <w:tcW w:w="2573" w:type="dxa"/>
          </w:tcPr>
          <w:p w14:paraId="4F482706"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drepturilor şi libertăţilor fundamentale ale omului</w:t>
            </w:r>
          </w:p>
        </w:tc>
        <w:tc>
          <w:tcPr>
            <w:tcW w:w="7200" w:type="dxa"/>
            <w:gridSpan w:val="9"/>
          </w:tcPr>
          <w:p w14:paraId="1E0DEEC4" w14:textId="3B3F6C9E" w:rsidR="00FA263D" w:rsidRPr="00500028" w:rsidRDefault="00500028" w:rsidP="00FA263D">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40046" w:rsidRPr="005B70DF" w14:paraId="0F3545F5" w14:textId="77777777" w:rsidTr="008267A7">
        <w:trPr>
          <w:trHeight w:val="55"/>
        </w:trPr>
        <w:tc>
          <w:tcPr>
            <w:tcW w:w="757" w:type="dxa"/>
          </w:tcPr>
          <w:p w14:paraId="30C07356"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3.4.</w:t>
            </w:r>
          </w:p>
        </w:tc>
        <w:tc>
          <w:tcPr>
            <w:tcW w:w="2573" w:type="dxa"/>
          </w:tcPr>
          <w:p w14:paraId="621564D6"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macroeconomic</w:t>
            </w:r>
          </w:p>
        </w:tc>
        <w:tc>
          <w:tcPr>
            <w:tcW w:w="7200" w:type="dxa"/>
            <w:gridSpan w:val="9"/>
          </w:tcPr>
          <w:p w14:paraId="69CA413A" w14:textId="71B6A036" w:rsidR="00440046" w:rsidRPr="00500028" w:rsidRDefault="00500028" w:rsidP="007144B9">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 xml:space="preserve">Proiectul de act normativ nu </w:t>
            </w:r>
            <w:r w:rsidR="007144B9" w:rsidRPr="007144B9">
              <w:rPr>
                <w:rFonts w:ascii="Times New Roman" w:hAnsi="Times New Roman"/>
                <w:color w:val="000000" w:themeColor="text1"/>
                <w:sz w:val="24"/>
                <w:szCs w:val="24"/>
                <w:lang w:val="ro-RO"/>
              </w:rPr>
              <w:t>se referă la acest subiect.</w:t>
            </w:r>
          </w:p>
        </w:tc>
      </w:tr>
      <w:tr w:rsidR="00432FB2" w:rsidRPr="005B70DF" w14:paraId="0BFF3BF1" w14:textId="77777777" w:rsidTr="008267A7">
        <w:trPr>
          <w:trHeight w:val="52"/>
        </w:trPr>
        <w:tc>
          <w:tcPr>
            <w:tcW w:w="757" w:type="dxa"/>
          </w:tcPr>
          <w:p w14:paraId="09C99376"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3.4.1.</w:t>
            </w:r>
          </w:p>
        </w:tc>
        <w:tc>
          <w:tcPr>
            <w:tcW w:w="2573" w:type="dxa"/>
          </w:tcPr>
          <w:p w14:paraId="152AC5F9" w14:textId="77777777" w:rsidR="00432FB2" w:rsidRPr="00441CC1" w:rsidRDefault="00432FB2"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economiei şi asupra principalilor indicatori macroeconomici</w:t>
            </w:r>
          </w:p>
        </w:tc>
        <w:tc>
          <w:tcPr>
            <w:tcW w:w="7200" w:type="dxa"/>
            <w:gridSpan w:val="9"/>
          </w:tcPr>
          <w:p w14:paraId="2C6DD132" w14:textId="01486DD7" w:rsidR="00432FB2" w:rsidRPr="00500028" w:rsidRDefault="00500028" w:rsidP="00432FB2">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FF2BE9" w:rsidRPr="005B70DF" w14:paraId="37193FDE" w14:textId="77777777" w:rsidTr="008267A7">
        <w:trPr>
          <w:trHeight w:val="52"/>
        </w:trPr>
        <w:tc>
          <w:tcPr>
            <w:tcW w:w="757" w:type="dxa"/>
          </w:tcPr>
          <w:p w14:paraId="59AB38AF" w14:textId="77777777" w:rsidR="00FF2BE9" w:rsidRPr="00441CC1" w:rsidRDefault="00FF2BE9" w:rsidP="00FF2BE9">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3.4.2.</w:t>
            </w:r>
          </w:p>
        </w:tc>
        <w:tc>
          <w:tcPr>
            <w:tcW w:w="2573" w:type="dxa"/>
          </w:tcPr>
          <w:p w14:paraId="18AA6AE4" w14:textId="77777777" w:rsidR="00FF2BE9" w:rsidRPr="00441CC1" w:rsidRDefault="00FF2BE9"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mediului concurenţial şi domeniul ajutoarelor de stat</w:t>
            </w:r>
          </w:p>
        </w:tc>
        <w:tc>
          <w:tcPr>
            <w:tcW w:w="7200" w:type="dxa"/>
            <w:gridSpan w:val="9"/>
          </w:tcPr>
          <w:p w14:paraId="5CD37415" w14:textId="0173957D" w:rsidR="00FF2BE9" w:rsidRPr="00500028" w:rsidRDefault="00FF2BE9" w:rsidP="00FF2BE9">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32FB2" w:rsidRPr="005B70DF" w14:paraId="743E6483" w14:textId="77777777" w:rsidTr="008267A7">
        <w:trPr>
          <w:trHeight w:val="52"/>
        </w:trPr>
        <w:tc>
          <w:tcPr>
            <w:tcW w:w="757" w:type="dxa"/>
          </w:tcPr>
          <w:p w14:paraId="5EB3F340"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3.5.</w:t>
            </w:r>
          </w:p>
        </w:tc>
        <w:tc>
          <w:tcPr>
            <w:tcW w:w="2573" w:type="dxa"/>
          </w:tcPr>
          <w:p w14:paraId="3887C2A8"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mediului de afaceri</w:t>
            </w:r>
          </w:p>
        </w:tc>
        <w:tc>
          <w:tcPr>
            <w:tcW w:w="7200" w:type="dxa"/>
            <w:gridSpan w:val="9"/>
          </w:tcPr>
          <w:p w14:paraId="4B4369CB"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5B70DF" w14:paraId="274DF22A" w14:textId="77777777" w:rsidTr="008267A7">
        <w:trPr>
          <w:trHeight w:val="52"/>
        </w:trPr>
        <w:tc>
          <w:tcPr>
            <w:tcW w:w="757" w:type="dxa"/>
          </w:tcPr>
          <w:p w14:paraId="18A2F8A4"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hAnsi="Times New Roman"/>
                <w:noProof/>
                <w:sz w:val="24"/>
                <w:szCs w:val="24"/>
                <w:lang w:val="ro-RO"/>
              </w:rPr>
              <w:t>3.6.</w:t>
            </w:r>
          </w:p>
        </w:tc>
        <w:tc>
          <w:tcPr>
            <w:tcW w:w="2573" w:type="dxa"/>
          </w:tcPr>
          <w:p w14:paraId="3F297994"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mediului înconjurător</w:t>
            </w:r>
          </w:p>
        </w:tc>
        <w:tc>
          <w:tcPr>
            <w:tcW w:w="7200" w:type="dxa"/>
            <w:gridSpan w:val="9"/>
          </w:tcPr>
          <w:p w14:paraId="3529FFFA" w14:textId="03CF343D" w:rsidR="00432FB2" w:rsidRPr="001466DD" w:rsidRDefault="00500028" w:rsidP="00326268">
            <w:pPr>
              <w:spacing w:after="0" w:line="240" w:lineRule="auto"/>
              <w:jc w:val="both"/>
              <w:rPr>
                <w:rFonts w:ascii="Times New Roman" w:hAnsi="Times New Roman"/>
                <w:noProof/>
                <w:color w:val="000000" w:themeColor="text1"/>
                <w:sz w:val="24"/>
                <w:szCs w:val="24"/>
                <w:lang w:val="ro-RO"/>
              </w:rPr>
            </w:pPr>
            <w:r w:rsidRPr="001466DD">
              <w:rPr>
                <w:rFonts w:ascii="Times New Roman" w:hAnsi="Times New Roman"/>
                <w:color w:val="000000" w:themeColor="text1"/>
                <w:sz w:val="24"/>
                <w:szCs w:val="24"/>
                <w:lang w:val="ro-RO"/>
              </w:rPr>
              <w:t xml:space="preserve">Proiectul de act normativ aprobă măsuri pentru îmbunătățirea managementului </w:t>
            </w:r>
            <w:r w:rsidR="009F1EC6">
              <w:rPr>
                <w:rFonts w:ascii="Times New Roman" w:hAnsi="Times New Roman"/>
                <w:color w:val="000000" w:themeColor="text1"/>
                <w:sz w:val="24"/>
                <w:szCs w:val="24"/>
                <w:lang w:val="ro-RO"/>
              </w:rPr>
              <w:t xml:space="preserve">durabil al </w:t>
            </w:r>
            <w:r w:rsidRPr="001466DD">
              <w:rPr>
                <w:rFonts w:ascii="Times New Roman" w:hAnsi="Times New Roman"/>
                <w:color w:val="000000" w:themeColor="text1"/>
                <w:sz w:val="24"/>
                <w:szCs w:val="24"/>
                <w:lang w:val="ro-RO"/>
              </w:rPr>
              <w:t>resurselor de apă în bazine hidrografice transfrontieră, asigurând totodată și protecția mediului prin utilizarea durabilă a resurselor de apă.</w:t>
            </w:r>
          </w:p>
        </w:tc>
      </w:tr>
      <w:tr w:rsidR="00432FB2" w:rsidRPr="005B70DF" w14:paraId="3113472A" w14:textId="77777777" w:rsidTr="008267A7">
        <w:trPr>
          <w:trHeight w:val="52"/>
        </w:trPr>
        <w:tc>
          <w:tcPr>
            <w:tcW w:w="757" w:type="dxa"/>
          </w:tcPr>
          <w:p w14:paraId="744FEEA6"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3.7.</w:t>
            </w:r>
          </w:p>
        </w:tc>
        <w:tc>
          <w:tcPr>
            <w:tcW w:w="2573" w:type="dxa"/>
          </w:tcPr>
          <w:p w14:paraId="39835BC1"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Evaluarea costurilor şi beneficiilor din perspectiva inovării şi digitalizării</w:t>
            </w:r>
          </w:p>
        </w:tc>
        <w:tc>
          <w:tcPr>
            <w:tcW w:w="7200" w:type="dxa"/>
            <w:gridSpan w:val="9"/>
          </w:tcPr>
          <w:p w14:paraId="5808EB90" w14:textId="77777777" w:rsidR="00432FB2" w:rsidRDefault="00432FB2" w:rsidP="00432FB2">
            <w:pPr>
              <w:spacing w:after="0" w:line="240" w:lineRule="auto"/>
              <w:jc w:val="both"/>
              <w:rPr>
                <w:rFonts w:ascii="Times New Roman" w:hAnsi="Times New Roman"/>
                <w:sz w:val="24"/>
                <w:szCs w:val="24"/>
                <w:lang w:val="ro-RO"/>
              </w:rPr>
            </w:pPr>
            <w:r w:rsidRPr="00441CC1">
              <w:rPr>
                <w:rFonts w:ascii="Times New Roman" w:hAnsi="Times New Roman"/>
                <w:sz w:val="24"/>
                <w:szCs w:val="24"/>
                <w:lang w:val="ro-RO"/>
              </w:rPr>
              <w:t>Proiectul de act normativ nu se referă la acest subiect.</w:t>
            </w:r>
          </w:p>
          <w:p w14:paraId="7F63C1EB" w14:textId="1BEC6C71" w:rsidR="009F1EC6" w:rsidRPr="00441CC1" w:rsidRDefault="009F1EC6" w:rsidP="00432FB2">
            <w:pPr>
              <w:spacing w:after="0" w:line="240" w:lineRule="auto"/>
              <w:jc w:val="both"/>
              <w:rPr>
                <w:rFonts w:ascii="Times New Roman" w:hAnsi="Times New Roman"/>
                <w:noProof/>
                <w:sz w:val="24"/>
                <w:szCs w:val="24"/>
                <w:lang w:val="ro-RO"/>
              </w:rPr>
            </w:pPr>
          </w:p>
        </w:tc>
      </w:tr>
      <w:tr w:rsidR="00432FB2" w:rsidRPr="005B70DF" w14:paraId="798CE8A8" w14:textId="77777777" w:rsidTr="008267A7">
        <w:trPr>
          <w:trHeight w:val="52"/>
        </w:trPr>
        <w:tc>
          <w:tcPr>
            <w:tcW w:w="757" w:type="dxa"/>
          </w:tcPr>
          <w:p w14:paraId="4B9DD439"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3.8.</w:t>
            </w:r>
          </w:p>
        </w:tc>
        <w:tc>
          <w:tcPr>
            <w:tcW w:w="2573" w:type="dxa"/>
          </w:tcPr>
          <w:p w14:paraId="00E370DE"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Evaluarea costurilor şi beneficiilor din perspectiva dezvoltării durabile</w:t>
            </w:r>
          </w:p>
        </w:tc>
        <w:tc>
          <w:tcPr>
            <w:tcW w:w="7200" w:type="dxa"/>
            <w:gridSpan w:val="9"/>
          </w:tcPr>
          <w:p w14:paraId="306DA62D" w14:textId="77777777" w:rsidR="00432FB2" w:rsidRPr="00441CC1" w:rsidRDefault="00432FB2" w:rsidP="00432FB2">
            <w:pPr>
              <w:spacing w:after="0" w:line="240" w:lineRule="auto"/>
              <w:contextualSpacing/>
              <w:jc w:val="both"/>
              <w:rPr>
                <w:rFonts w:ascii="Times New Roman" w:eastAsia="Times New Roman" w:hAnsi="Times New Roman"/>
                <w:b/>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441CC1" w14:paraId="25610506" w14:textId="77777777" w:rsidTr="008267A7">
        <w:trPr>
          <w:trHeight w:val="52"/>
        </w:trPr>
        <w:tc>
          <w:tcPr>
            <w:tcW w:w="757" w:type="dxa"/>
          </w:tcPr>
          <w:p w14:paraId="2DC67858"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lastRenderedPageBreak/>
              <w:t>3.9.</w:t>
            </w:r>
          </w:p>
        </w:tc>
        <w:tc>
          <w:tcPr>
            <w:tcW w:w="2573" w:type="dxa"/>
          </w:tcPr>
          <w:p w14:paraId="32039B37"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Alte informaţii</w:t>
            </w:r>
          </w:p>
        </w:tc>
        <w:tc>
          <w:tcPr>
            <w:tcW w:w="7200" w:type="dxa"/>
            <w:gridSpan w:val="9"/>
          </w:tcPr>
          <w:p w14:paraId="4F665F40" w14:textId="1B2CC442" w:rsidR="00432FB2" w:rsidRPr="00441CC1" w:rsidRDefault="00DC0014" w:rsidP="00432FB2">
            <w:pPr>
              <w:spacing w:after="0" w:line="240" w:lineRule="auto"/>
              <w:contextualSpacing/>
              <w:jc w:val="both"/>
              <w:rPr>
                <w:rFonts w:ascii="Times New Roman" w:eastAsia="Times New Roman" w:hAnsi="Times New Roman"/>
                <w:b/>
                <w:noProof/>
                <w:color w:val="000000"/>
                <w:sz w:val="24"/>
                <w:szCs w:val="24"/>
                <w:lang w:val="ro-RO"/>
              </w:rPr>
            </w:pPr>
            <w:r w:rsidRPr="00DC0014">
              <w:rPr>
                <w:rFonts w:ascii="Times New Roman" w:eastAsia="Times New Roman" w:hAnsi="Times New Roman"/>
                <w:noProof/>
                <w:color w:val="000000"/>
                <w:sz w:val="24"/>
                <w:szCs w:val="24"/>
                <w:lang w:val="ro-RO"/>
              </w:rPr>
              <w:t>Nu au fost identificate.</w:t>
            </w:r>
          </w:p>
        </w:tc>
      </w:tr>
      <w:tr w:rsidR="00432FB2" w:rsidRPr="005B70DF" w14:paraId="5447E33A" w14:textId="77777777" w:rsidTr="008267A7">
        <w:trPr>
          <w:trHeight w:val="861"/>
        </w:trPr>
        <w:tc>
          <w:tcPr>
            <w:tcW w:w="10530" w:type="dxa"/>
            <w:gridSpan w:val="11"/>
          </w:tcPr>
          <w:p w14:paraId="34C621D6" w14:textId="77777777" w:rsidR="0028094D" w:rsidRDefault="0028094D" w:rsidP="00432FB2">
            <w:pPr>
              <w:spacing w:after="0" w:line="240" w:lineRule="auto"/>
              <w:contextualSpacing/>
              <w:jc w:val="center"/>
              <w:rPr>
                <w:rFonts w:ascii="Times New Roman" w:eastAsia="Times New Roman" w:hAnsi="Times New Roman"/>
                <w:b/>
                <w:noProof/>
                <w:color w:val="000000"/>
                <w:sz w:val="24"/>
                <w:szCs w:val="24"/>
                <w:lang w:val="ro-RO"/>
              </w:rPr>
            </w:pPr>
          </w:p>
          <w:p w14:paraId="2D7BA939" w14:textId="4ABFA26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4-a</w:t>
            </w:r>
          </w:p>
          <w:p w14:paraId="174FFFAE" w14:textId="77777777" w:rsidR="00432FB2"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Impactul financiar asupra bugetului general consolidat atât pe termen scurt, pentru anul curent, cât şi pe termen lung (pe 5 ani), inclusiv informaţii cu privire la cheltuieli şi venituri</w:t>
            </w:r>
          </w:p>
          <w:p w14:paraId="370EF7DE" w14:textId="7CD53AB0" w:rsidR="0028094D" w:rsidRPr="00441CC1" w:rsidRDefault="0028094D" w:rsidP="00C06944">
            <w:pPr>
              <w:spacing w:after="0" w:line="240" w:lineRule="auto"/>
              <w:contextualSpacing/>
              <w:jc w:val="center"/>
              <w:rPr>
                <w:rFonts w:ascii="Times New Roman" w:eastAsia="Times New Roman" w:hAnsi="Times New Roman"/>
                <w:b/>
                <w:noProof/>
                <w:color w:val="000000"/>
                <w:sz w:val="24"/>
                <w:szCs w:val="24"/>
                <w:lang w:val="ro-RO"/>
              </w:rPr>
            </w:pPr>
          </w:p>
        </w:tc>
      </w:tr>
      <w:tr w:rsidR="00432FB2" w:rsidRPr="00441CC1" w14:paraId="42D45ECE" w14:textId="77777777" w:rsidTr="008267A7">
        <w:trPr>
          <w:trHeight w:val="52"/>
        </w:trPr>
        <w:tc>
          <w:tcPr>
            <w:tcW w:w="10530" w:type="dxa"/>
            <w:gridSpan w:val="11"/>
          </w:tcPr>
          <w:p w14:paraId="64E51145"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 în mii lei (RON) – </w:t>
            </w:r>
          </w:p>
        </w:tc>
      </w:tr>
      <w:tr w:rsidR="00432FB2" w:rsidRPr="00441CC1" w14:paraId="2D6095A1" w14:textId="77777777" w:rsidTr="008267A7">
        <w:trPr>
          <w:trHeight w:val="45"/>
        </w:trPr>
        <w:tc>
          <w:tcPr>
            <w:tcW w:w="4735" w:type="dxa"/>
            <w:gridSpan w:val="3"/>
            <w:vAlign w:val="center"/>
          </w:tcPr>
          <w:p w14:paraId="6845DD66"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Indicatori</w:t>
            </w:r>
          </w:p>
        </w:tc>
        <w:tc>
          <w:tcPr>
            <w:tcW w:w="1898" w:type="dxa"/>
            <w:gridSpan w:val="3"/>
            <w:vAlign w:val="center"/>
          </w:tcPr>
          <w:p w14:paraId="5B4B86B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Anul</w:t>
            </w:r>
          </w:p>
          <w:p w14:paraId="7B7C139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curent</w:t>
            </w:r>
          </w:p>
        </w:tc>
        <w:tc>
          <w:tcPr>
            <w:tcW w:w="1915" w:type="dxa"/>
            <w:gridSpan w:val="4"/>
            <w:vAlign w:val="center"/>
          </w:tcPr>
          <w:p w14:paraId="62076988" w14:textId="04BB62C3"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Urm</w:t>
            </w:r>
            <w:r w:rsidR="001466DD">
              <w:rPr>
                <w:rFonts w:ascii="Times New Roman" w:eastAsia="Times New Roman" w:hAnsi="Times New Roman"/>
                <w:noProof/>
                <w:color w:val="000000"/>
                <w:sz w:val="24"/>
                <w:szCs w:val="24"/>
                <w:lang w:val="ro-RO"/>
              </w:rPr>
              <w:t>ă</w:t>
            </w:r>
            <w:r w:rsidRPr="00441CC1">
              <w:rPr>
                <w:rFonts w:ascii="Times New Roman" w:eastAsia="Times New Roman" w:hAnsi="Times New Roman"/>
                <w:noProof/>
                <w:color w:val="000000"/>
                <w:sz w:val="24"/>
                <w:szCs w:val="24"/>
                <w:lang w:val="ro-RO"/>
              </w:rPr>
              <w:t>torii patru ani</w:t>
            </w:r>
          </w:p>
        </w:tc>
        <w:tc>
          <w:tcPr>
            <w:tcW w:w="1982" w:type="dxa"/>
            <w:vAlign w:val="center"/>
          </w:tcPr>
          <w:p w14:paraId="516867B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Media pe cinci ani</w:t>
            </w:r>
          </w:p>
        </w:tc>
      </w:tr>
      <w:tr w:rsidR="00432FB2" w:rsidRPr="00441CC1" w14:paraId="420B9AFB" w14:textId="77777777" w:rsidTr="008267A7">
        <w:trPr>
          <w:trHeight w:val="45"/>
        </w:trPr>
        <w:tc>
          <w:tcPr>
            <w:tcW w:w="4735" w:type="dxa"/>
            <w:gridSpan w:val="3"/>
            <w:vAlign w:val="center"/>
          </w:tcPr>
          <w:p w14:paraId="6D58FE67" w14:textId="77777777" w:rsidR="00432FB2" w:rsidRPr="00441CC1" w:rsidRDefault="00432FB2" w:rsidP="001466DD">
            <w:pPr>
              <w:spacing w:after="0" w:line="240" w:lineRule="auto"/>
              <w:contextualSpacing/>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1</w:t>
            </w:r>
          </w:p>
        </w:tc>
        <w:tc>
          <w:tcPr>
            <w:tcW w:w="1898" w:type="dxa"/>
            <w:gridSpan w:val="3"/>
            <w:vAlign w:val="center"/>
          </w:tcPr>
          <w:p w14:paraId="0A24A91C"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2</w:t>
            </w:r>
          </w:p>
        </w:tc>
        <w:tc>
          <w:tcPr>
            <w:tcW w:w="478" w:type="dxa"/>
            <w:vAlign w:val="center"/>
          </w:tcPr>
          <w:p w14:paraId="3B785C08"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w:t>
            </w:r>
          </w:p>
        </w:tc>
        <w:tc>
          <w:tcPr>
            <w:tcW w:w="479" w:type="dxa"/>
            <w:vAlign w:val="center"/>
          </w:tcPr>
          <w:p w14:paraId="136F75FA"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w:t>
            </w:r>
          </w:p>
        </w:tc>
        <w:tc>
          <w:tcPr>
            <w:tcW w:w="479" w:type="dxa"/>
            <w:vAlign w:val="center"/>
          </w:tcPr>
          <w:p w14:paraId="360DADD8"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w:t>
            </w:r>
          </w:p>
        </w:tc>
        <w:tc>
          <w:tcPr>
            <w:tcW w:w="479" w:type="dxa"/>
            <w:vAlign w:val="center"/>
          </w:tcPr>
          <w:p w14:paraId="45D30FE2"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w:t>
            </w:r>
          </w:p>
        </w:tc>
        <w:tc>
          <w:tcPr>
            <w:tcW w:w="1982" w:type="dxa"/>
            <w:vAlign w:val="center"/>
          </w:tcPr>
          <w:p w14:paraId="4D1537D4"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7</w:t>
            </w:r>
          </w:p>
        </w:tc>
      </w:tr>
      <w:tr w:rsidR="00432FB2" w:rsidRPr="00441CC1" w14:paraId="375A2645" w14:textId="77777777" w:rsidTr="008267A7">
        <w:trPr>
          <w:trHeight w:val="45"/>
        </w:trPr>
        <w:tc>
          <w:tcPr>
            <w:tcW w:w="4735" w:type="dxa"/>
            <w:gridSpan w:val="3"/>
            <w:vAlign w:val="center"/>
          </w:tcPr>
          <w:p w14:paraId="5245564A"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4.1. Modificări ale veniturilor bugetare, plus/minus, din care:</w:t>
            </w:r>
          </w:p>
        </w:tc>
        <w:tc>
          <w:tcPr>
            <w:tcW w:w="1898" w:type="dxa"/>
            <w:gridSpan w:val="3"/>
            <w:vAlign w:val="center"/>
          </w:tcPr>
          <w:p w14:paraId="490C3D2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59407E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B00A60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2EE247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4FB00B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C56572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B32EF1" w14:paraId="328C503E" w14:textId="77777777" w:rsidTr="008267A7">
        <w:trPr>
          <w:trHeight w:val="45"/>
        </w:trPr>
        <w:tc>
          <w:tcPr>
            <w:tcW w:w="4735" w:type="dxa"/>
            <w:gridSpan w:val="3"/>
            <w:vAlign w:val="center"/>
          </w:tcPr>
          <w:p w14:paraId="187AFA43"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buget de stat, din acesta:</w:t>
            </w:r>
          </w:p>
          <w:p w14:paraId="40DFA3F9"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impozit pe profit</w:t>
            </w:r>
          </w:p>
          <w:p w14:paraId="5EA253CF"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impozit pe venit</w:t>
            </w:r>
          </w:p>
        </w:tc>
        <w:tc>
          <w:tcPr>
            <w:tcW w:w="1898" w:type="dxa"/>
            <w:gridSpan w:val="3"/>
            <w:vAlign w:val="center"/>
          </w:tcPr>
          <w:p w14:paraId="1476099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0F59993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B581D9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E73E35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EE4CD4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6AA40CC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B32EF1" w14:paraId="51DA734D" w14:textId="77777777" w:rsidTr="008267A7">
        <w:trPr>
          <w:trHeight w:val="45"/>
        </w:trPr>
        <w:tc>
          <w:tcPr>
            <w:tcW w:w="4735" w:type="dxa"/>
            <w:gridSpan w:val="3"/>
            <w:vAlign w:val="center"/>
          </w:tcPr>
          <w:p w14:paraId="4BEF3BB4"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bugete locale</w:t>
            </w:r>
          </w:p>
          <w:p w14:paraId="33D258C9"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impozit pe profit</w:t>
            </w:r>
          </w:p>
        </w:tc>
        <w:tc>
          <w:tcPr>
            <w:tcW w:w="1898" w:type="dxa"/>
            <w:gridSpan w:val="3"/>
            <w:vAlign w:val="center"/>
          </w:tcPr>
          <w:p w14:paraId="27A4DC2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A9F9D4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861EBC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F9F580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F00245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237EC86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7F508A1F" w14:textId="77777777" w:rsidTr="008267A7">
        <w:trPr>
          <w:trHeight w:val="45"/>
        </w:trPr>
        <w:tc>
          <w:tcPr>
            <w:tcW w:w="4735" w:type="dxa"/>
            <w:gridSpan w:val="3"/>
            <w:vAlign w:val="center"/>
          </w:tcPr>
          <w:p w14:paraId="44863C0C"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c) bugetul asigurărilor sociale de stat:</w:t>
            </w:r>
          </w:p>
          <w:p w14:paraId="6CBA617D"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contribuţii de asigurări</w:t>
            </w:r>
          </w:p>
        </w:tc>
        <w:tc>
          <w:tcPr>
            <w:tcW w:w="1898" w:type="dxa"/>
            <w:gridSpan w:val="3"/>
            <w:vAlign w:val="center"/>
          </w:tcPr>
          <w:p w14:paraId="453ADD0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E3EA05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39B514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888DE1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5BCEA0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6B6AE7E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10EE8A9A" w14:textId="77777777" w:rsidTr="008267A7">
        <w:trPr>
          <w:trHeight w:val="45"/>
        </w:trPr>
        <w:tc>
          <w:tcPr>
            <w:tcW w:w="4735" w:type="dxa"/>
            <w:gridSpan w:val="3"/>
            <w:vAlign w:val="center"/>
          </w:tcPr>
          <w:p w14:paraId="4FCFC06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 alte tipuri de venituri</w:t>
            </w:r>
          </w:p>
          <w:p w14:paraId="7015BE22"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(se va menționa natura acestora)</w:t>
            </w:r>
          </w:p>
        </w:tc>
        <w:tc>
          <w:tcPr>
            <w:tcW w:w="1898" w:type="dxa"/>
            <w:gridSpan w:val="3"/>
            <w:vAlign w:val="center"/>
          </w:tcPr>
          <w:p w14:paraId="0D2C027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6C670FC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8D4435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229487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4CEA6F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6E9585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74C6D14D" w14:textId="77777777" w:rsidTr="008267A7">
        <w:trPr>
          <w:trHeight w:val="45"/>
        </w:trPr>
        <w:tc>
          <w:tcPr>
            <w:tcW w:w="4735" w:type="dxa"/>
            <w:gridSpan w:val="3"/>
            <w:vAlign w:val="center"/>
          </w:tcPr>
          <w:p w14:paraId="2A47E1A1"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4.2. Modificări ale cheltuielilor bugetare, plus/minus, din care:</w:t>
            </w:r>
          </w:p>
        </w:tc>
        <w:tc>
          <w:tcPr>
            <w:tcW w:w="1898" w:type="dxa"/>
            <w:gridSpan w:val="3"/>
            <w:vAlign w:val="center"/>
          </w:tcPr>
          <w:p w14:paraId="22A7B35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16988A0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4F4959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61CD57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B372FC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0F31639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77B88152" w14:textId="77777777" w:rsidTr="008267A7">
        <w:trPr>
          <w:trHeight w:val="45"/>
        </w:trPr>
        <w:tc>
          <w:tcPr>
            <w:tcW w:w="4735" w:type="dxa"/>
            <w:gridSpan w:val="3"/>
            <w:vAlign w:val="center"/>
          </w:tcPr>
          <w:p w14:paraId="0A586652"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buget de stat, din acesta:</w:t>
            </w:r>
          </w:p>
          <w:p w14:paraId="7C5A0844"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cheltuieli de personal</w:t>
            </w:r>
          </w:p>
          <w:p w14:paraId="24FC068D"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bunuri şi servicii</w:t>
            </w:r>
          </w:p>
        </w:tc>
        <w:tc>
          <w:tcPr>
            <w:tcW w:w="1898" w:type="dxa"/>
            <w:gridSpan w:val="3"/>
            <w:vAlign w:val="center"/>
          </w:tcPr>
          <w:p w14:paraId="73940DC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11E1CB9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E4B0A6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FDA3ED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2A9DE3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9BF374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3F121841" w14:textId="77777777" w:rsidTr="008267A7">
        <w:trPr>
          <w:trHeight w:val="45"/>
        </w:trPr>
        <w:tc>
          <w:tcPr>
            <w:tcW w:w="4735" w:type="dxa"/>
            <w:gridSpan w:val="3"/>
            <w:vAlign w:val="center"/>
          </w:tcPr>
          <w:p w14:paraId="7C462185"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bugete locale:</w:t>
            </w:r>
          </w:p>
          <w:p w14:paraId="2980D98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cheltuieli de personal</w:t>
            </w:r>
          </w:p>
          <w:p w14:paraId="4F263E1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bunuri şi servicii</w:t>
            </w:r>
          </w:p>
        </w:tc>
        <w:tc>
          <w:tcPr>
            <w:tcW w:w="1898" w:type="dxa"/>
            <w:gridSpan w:val="3"/>
            <w:vAlign w:val="center"/>
          </w:tcPr>
          <w:p w14:paraId="0929436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0F0BF66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8F980E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6D3C8F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5D1361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6142D1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397E85CB" w14:textId="77777777" w:rsidTr="008267A7">
        <w:trPr>
          <w:trHeight w:val="45"/>
        </w:trPr>
        <w:tc>
          <w:tcPr>
            <w:tcW w:w="4735" w:type="dxa"/>
            <w:gridSpan w:val="3"/>
            <w:vAlign w:val="center"/>
          </w:tcPr>
          <w:p w14:paraId="34395419"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c) bugetul asigurărilor sociale de stat:</w:t>
            </w:r>
          </w:p>
          <w:p w14:paraId="165C1EC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cheltuieli de personal</w:t>
            </w:r>
          </w:p>
          <w:p w14:paraId="6716382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bunuri şi servicii</w:t>
            </w:r>
          </w:p>
        </w:tc>
        <w:tc>
          <w:tcPr>
            <w:tcW w:w="1898" w:type="dxa"/>
            <w:gridSpan w:val="3"/>
            <w:vAlign w:val="center"/>
          </w:tcPr>
          <w:p w14:paraId="5A75D57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58A014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A5FE79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C44942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DF45F2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2F343D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569EA5BE" w14:textId="77777777" w:rsidTr="008267A7">
        <w:trPr>
          <w:trHeight w:val="45"/>
        </w:trPr>
        <w:tc>
          <w:tcPr>
            <w:tcW w:w="4735" w:type="dxa"/>
            <w:gridSpan w:val="3"/>
            <w:vAlign w:val="center"/>
          </w:tcPr>
          <w:p w14:paraId="45DF8BC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 alte tipuri de cheltuieli</w:t>
            </w:r>
          </w:p>
          <w:p w14:paraId="2C02DCC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(se va menționa natura acestora)</w:t>
            </w:r>
          </w:p>
        </w:tc>
        <w:tc>
          <w:tcPr>
            <w:tcW w:w="1898" w:type="dxa"/>
            <w:gridSpan w:val="3"/>
            <w:vAlign w:val="center"/>
          </w:tcPr>
          <w:p w14:paraId="04DCF66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2BE53F5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BB740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65EE35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14486A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2CEE8CD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216F4770" w14:textId="77777777" w:rsidTr="008267A7">
        <w:trPr>
          <w:trHeight w:val="45"/>
        </w:trPr>
        <w:tc>
          <w:tcPr>
            <w:tcW w:w="4735" w:type="dxa"/>
            <w:gridSpan w:val="3"/>
            <w:vAlign w:val="center"/>
          </w:tcPr>
          <w:p w14:paraId="1F49515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4.3. Impact financiar, plus/minus, din care:</w:t>
            </w:r>
          </w:p>
        </w:tc>
        <w:tc>
          <w:tcPr>
            <w:tcW w:w="1898" w:type="dxa"/>
            <w:gridSpan w:val="3"/>
            <w:vAlign w:val="center"/>
          </w:tcPr>
          <w:p w14:paraId="5AC2AFA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9DA72B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C6F9B6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0AA0F8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7231FC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298654C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26884ED3" w14:textId="77777777" w:rsidTr="008267A7">
        <w:trPr>
          <w:trHeight w:val="45"/>
        </w:trPr>
        <w:tc>
          <w:tcPr>
            <w:tcW w:w="4735" w:type="dxa"/>
            <w:gridSpan w:val="3"/>
            <w:vAlign w:val="center"/>
          </w:tcPr>
          <w:p w14:paraId="451451CE"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buget de stat</w:t>
            </w:r>
          </w:p>
        </w:tc>
        <w:tc>
          <w:tcPr>
            <w:tcW w:w="1898" w:type="dxa"/>
            <w:gridSpan w:val="3"/>
            <w:vAlign w:val="center"/>
          </w:tcPr>
          <w:p w14:paraId="3793159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20AF2B5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B1DEC3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5FBC46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6A9CBA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AF7912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4DD52422" w14:textId="77777777" w:rsidTr="008267A7">
        <w:trPr>
          <w:trHeight w:val="45"/>
        </w:trPr>
        <w:tc>
          <w:tcPr>
            <w:tcW w:w="4735" w:type="dxa"/>
            <w:gridSpan w:val="3"/>
            <w:vAlign w:val="center"/>
          </w:tcPr>
          <w:p w14:paraId="5644BD55"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bugete locale</w:t>
            </w:r>
          </w:p>
        </w:tc>
        <w:tc>
          <w:tcPr>
            <w:tcW w:w="1898" w:type="dxa"/>
            <w:gridSpan w:val="3"/>
            <w:vAlign w:val="center"/>
          </w:tcPr>
          <w:p w14:paraId="2620471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3F52FAD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D6DF5A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E74EE1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6DDCE3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63D6EE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50C0DDDE" w14:textId="77777777" w:rsidTr="008267A7">
        <w:trPr>
          <w:trHeight w:val="45"/>
        </w:trPr>
        <w:tc>
          <w:tcPr>
            <w:tcW w:w="4735" w:type="dxa"/>
            <w:gridSpan w:val="3"/>
            <w:vAlign w:val="center"/>
          </w:tcPr>
          <w:p w14:paraId="04D80260"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4.4. Propuneri pentru acoperirea creşterii cheltuielilor bugetare</w:t>
            </w:r>
          </w:p>
        </w:tc>
        <w:tc>
          <w:tcPr>
            <w:tcW w:w="1898" w:type="dxa"/>
            <w:gridSpan w:val="3"/>
            <w:vAlign w:val="center"/>
          </w:tcPr>
          <w:p w14:paraId="6DDFBE1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3B8B7DE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16AA85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3C9EBA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612C1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6EE48B4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0AC62EE0" w14:textId="77777777" w:rsidTr="008267A7">
        <w:trPr>
          <w:trHeight w:val="45"/>
        </w:trPr>
        <w:tc>
          <w:tcPr>
            <w:tcW w:w="4735" w:type="dxa"/>
            <w:gridSpan w:val="3"/>
            <w:vAlign w:val="center"/>
          </w:tcPr>
          <w:p w14:paraId="120C5FD9"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4.5. Propuneri pentru a compensa reducerea veniturilor bugetare</w:t>
            </w:r>
          </w:p>
        </w:tc>
        <w:tc>
          <w:tcPr>
            <w:tcW w:w="1898" w:type="dxa"/>
            <w:gridSpan w:val="3"/>
            <w:vAlign w:val="center"/>
          </w:tcPr>
          <w:p w14:paraId="7FC5C54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612DE62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8E3F46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C2526F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855512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5C1773E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6B36B991" w14:textId="77777777" w:rsidTr="008267A7">
        <w:trPr>
          <w:trHeight w:val="45"/>
        </w:trPr>
        <w:tc>
          <w:tcPr>
            <w:tcW w:w="4735" w:type="dxa"/>
            <w:gridSpan w:val="3"/>
            <w:vAlign w:val="center"/>
          </w:tcPr>
          <w:p w14:paraId="70010590"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4.6. Calcule detaliate privind fundamentarea modificărilor veniturilor şi/sau cheltuielilor bugetare</w:t>
            </w:r>
          </w:p>
        </w:tc>
        <w:tc>
          <w:tcPr>
            <w:tcW w:w="1898" w:type="dxa"/>
            <w:gridSpan w:val="3"/>
            <w:vAlign w:val="center"/>
          </w:tcPr>
          <w:p w14:paraId="723F5C5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03C79A7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B7E1EC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070683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035A628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D83253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7AB2FB91" w14:textId="77777777" w:rsidTr="008267A7">
        <w:trPr>
          <w:trHeight w:val="45"/>
        </w:trPr>
        <w:tc>
          <w:tcPr>
            <w:tcW w:w="4735" w:type="dxa"/>
            <w:gridSpan w:val="3"/>
            <w:vAlign w:val="center"/>
          </w:tcPr>
          <w:p w14:paraId="2D79D7AD"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4.7. Prezentarea, în cazul proiectelor de acte normative a căror adoptare atrage majorarea cheltuielilor bugetare, a următoarelor documente:</w:t>
            </w:r>
          </w:p>
        </w:tc>
        <w:tc>
          <w:tcPr>
            <w:tcW w:w="1898" w:type="dxa"/>
            <w:gridSpan w:val="3"/>
            <w:vAlign w:val="center"/>
          </w:tcPr>
          <w:p w14:paraId="3653E62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4BB266D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620818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814F03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64FD98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5058D36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5B70DF" w14:paraId="04C8BE06" w14:textId="77777777" w:rsidTr="008267A7">
        <w:trPr>
          <w:trHeight w:val="45"/>
        </w:trPr>
        <w:tc>
          <w:tcPr>
            <w:tcW w:w="4735" w:type="dxa"/>
            <w:gridSpan w:val="3"/>
            <w:vAlign w:val="center"/>
          </w:tcPr>
          <w:p w14:paraId="3F69F21F"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fişa financiară prevăzută la art. 15 din Legea nr. 500/2002 privind finanţele publice, cu modificările şi completările ulterioare, însoţită de ipotezele şi metodologia de calcul utilizate;</w:t>
            </w:r>
          </w:p>
          <w:p w14:paraId="5E7A6042"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lastRenderedPageBreak/>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98" w:type="dxa"/>
            <w:gridSpan w:val="3"/>
            <w:vAlign w:val="center"/>
          </w:tcPr>
          <w:p w14:paraId="17CBAB6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B7A753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3EEA12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AA4D8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46D42D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4EAAAD5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3F7962" w:rsidRPr="00441CC1" w14:paraId="208A51E0" w14:textId="77777777" w:rsidTr="00576484">
        <w:trPr>
          <w:trHeight w:val="45"/>
        </w:trPr>
        <w:tc>
          <w:tcPr>
            <w:tcW w:w="4735" w:type="dxa"/>
            <w:gridSpan w:val="3"/>
            <w:vAlign w:val="center"/>
          </w:tcPr>
          <w:p w14:paraId="242E905F" w14:textId="77777777" w:rsidR="003F7962" w:rsidRPr="00441CC1" w:rsidRDefault="003F796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4.8. Alte informații</w:t>
            </w:r>
          </w:p>
        </w:tc>
        <w:tc>
          <w:tcPr>
            <w:tcW w:w="5795" w:type="dxa"/>
            <w:gridSpan w:val="8"/>
            <w:vAlign w:val="center"/>
          </w:tcPr>
          <w:p w14:paraId="53D80024" w14:textId="61AB3C72" w:rsidR="003F7962" w:rsidRPr="00441CC1" w:rsidRDefault="003F796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DC0014">
              <w:rPr>
                <w:rFonts w:ascii="Times New Roman" w:eastAsia="Times New Roman" w:hAnsi="Times New Roman"/>
                <w:noProof/>
                <w:color w:val="000000"/>
                <w:sz w:val="24"/>
                <w:szCs w:val="24"/>
                <w:lang w:val="ro-RO"/>
              </w:rPr>
              <w:t>Nu au fost identificate.</w:t>
            </w:r>
          </w:p>
        </w:tc>
      </w:tr>
      <w:tr w:rsidR="00432FB2" w:rsidRPr="005B70DF" w14:paraId="5BE69B8B" w14:textId="77777777" w:rsidTr="008267A7">
        <w:trPr>
          <w:trHeight w:val="618"/>
        </w:trPr>
        <w:tc>
          <w:tcPr>
            <w:tcW w:w="10530" w:type="dxa"/>
            <w:gridSpan w:val="11"/>
          </w:tcPr>
          <w:p w14:paraId="4AB99085" w14:textId="77777777" w:rsidR="0028094D" w:rsidRDefault="0028094D" w:rsidP="00432FB2">
            <w:pPr>
              <w:spacing w:after="0" w:line="240" w:lineRule="auto"/>
              <w:contextualSpacing/>
              <w:jc w:val="center"/>
              <w:rPr>
                <w:rFonts w:ascii="Times New Roman" w:eastAsia="Times New Roman" w:hAnsi="Times New Roman"/>
                <w:b/>
                <w:noProof/>
                <w:color w:val="000000"/>
                <w:sz w:val="24"/>
                <w:szCs w:val="24"/>
                <w:lang w:val="ro-RO"/>
              </w:rPr>
            </w:pPr>
          </w:p>
          <w:p w14:paraId="76BF18B8" w14:textId="086FF93F"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5-a</w:t>
            </w:r>
          </w:p>
          <w:p w14:paraId="71C832F0" w14:textId="77777777" w:rsidR="00432FB2" w:rsidRDefault="00432FB2" w:rsidP="00C06944">
            <w:pPr>
              <w:spacing w:after="0" w:line="240" w:lineRule="auto"/>
              <w:contextualSpacing/>
              <w:jc w:val="center"/>
              <w:rPr>
                <w:rFonts w:ascii="Times New Roman" w:eastAsia="Times New Roman" w:hAnsi="Times New Roman"/>
                <w:b/>
                <w:iCs/>
                <w:noProof/>
                <w:color w:val="000000"/>
                <w:sz w:val="24"/>
                <w:szCs w:val="24"/>
                <w:lang w:val="ro-RO"/>
              </w:rPr>
            </w:pPr>
            <w:r w:rsidRPr="00441CC1">
              <w:rPr>
                <w:rFonts w:ascii="Times New Roman" w:eastAsia="Times New Roman" w:hAnsi="Times New Roman"/>
                <w:b/>
                <w:iCs/>
                <w:noProof/>
                <w:color w:val="000000"/>
                <w:sz w:val="24"/>
                <w:szCs w:val="24"/>
                <w:lang w:val="ro-RO"/>
              </w:rPr>
              <w:t>Efectele proiectului de act normativ asupra legislaţiei în vigoare</w:t>
            </w:r>
          </w:p>
          <w:p w14:paraId="385CD1BA" w14:textId="6D875BAF" w:rsidR="0028094D" w:rsidRPr="00441CC1" w:rsidRDefault="0028094D" w:rsidP="00C06944">
            <w:pPr>
              <w:spacing w:after="0" w:line="240" w:lineRule="auto"/>
              <w:contextualSpacing/>
              <w:jc w:val="center"/>
              <w:rPr>
                <w:rFonts w:ascii="Times New Roman" w:eastAsia="Times New Roman" w:hAnsi="Times New Roman"/>
                <w:iCs/>
                <w:noProof/>
                <w:color w:val="000000"/>
                <w:sz w:val="24"/>
                <w:szCs w:val="24"/>
                <w:lang w:val="ro-RO"/>
              </w:rPr>
            </w:pPr>
          </w:p>
        </w:tc>
      </w:tr>
      <w:tr w:rsidR="00432FB2" w:rsidRPr="005B70DF" w14:paraId="0D1C6CEB" w14:textId="77777777" w:rsidTr="008267A7">
        <w:trPr>
          <w:trHeight w:val="45"/>
        </w:trPr>
        <w:tc>
          <w:tcPr>
            <w:tcW w:w="757" w:type="dxa"/>
          </w:tcPr>
          <w:p w14:paraId="38EA0E92"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5.1.</w:t>
            </w:r>
          </w:p>
        </w:tc>
        <w:tc>
          <w:tcPr>
            <w:tcW w:w="3978" w:type="dxa"/>
            <w:gridSpan w:val="2"/>
          </w:tcPr>
          <w:p w14:paraId="063DC02C"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
                <w:iCs/>
                <w:noProof/>
                <w:color w:val="000000"/>
                <w:sz w:val="24"/>
                <w:szCs w:val="24"/>
                <w:lang w:val="ro-RO"/>
              </w:rPr>
            </w:pPr>
            <w:r w:rsidRPr="00441CC1">
              <w:rPr>
                <w:rFonts w:ascii="Times New Roman" w:eastAsia="Times New Roman" w:hAnsi="Times New Roman"/>
                <w:iCs/>
                <w:noProof/>
                <w:color w:val="000000"/>
                <w:sz w:val="24"/>
                <w:szCs w:val="24"/>
                <w:lang w:val="ro-RO"/>
              </w:rPr>
              <w:t>Măsuri normative necesare pentru aplicarea prevederilor proiectului de act normativ</w:t>
            </w:r>
          </w:p>
        </w:tc>
        <w:tc>
          <w:tcPr>
            <w:tcW w:w="5795" w:type="dxa"/>
            <w:gridSpan w:val="8"/>
          </w:tcPr>
          <w:p w14:paraId="0A021641" w14:textId="77777777" w:rsidR="00432FB2" w:rsidRPr="00441CC1" w:rsidRDefault="00432FB2" w:rsidP="00432FB2">
            <w:pPr>
              <w:spacing w:after="0" w:line="240" w:lineRule="auto"/>
              <w:jc w:val="both"/>
              <w:rPr>
                <w:rFonts w:ascii="Times New Roman" w:hAnsi="Times New Roman"/>
                <w:noProof/>
                <w:sz w:val="24"/>
                <w:szCs w:val="24"/>
                <w:lang w:val="ro-RO"/>
              </w:rPr>
            </w:pPr>
            <w:r w:rsidRPr="00441CC1">
              <w:rPr>
                <w:rFonts w:ascii="Times New Roman" w:hAnsi="Times New Roman"/>
                <w:sz w:val="24"/>
                <w:szCs w:val="24"/>
                <w:lang w:val="ro-RO"/>
              </w:rPr>
              <w:t>Proiectul de act normativ nu se referă la acest subiect.</w:t>
            </w:r>
          </w:p>
        </w:tc>
      </w:tr>
      <w:tr w:rsidR="00432FB2" w:rsidRPr="005B70DF" w14:paraId="0752FCE3" w14:textId="77777777" w:rsidTr="008267A7">
        <w:trPr>
          <w:trHeight w:val="45"/>
        </w:trPr>
        <w:tc>
          <w:tcPr>
            <w:tcW w:w="757" w:type="dxa"/>
          </w:tcPr>
          <w:p w14:paraId="168B3AC8"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5.2.</w:t>
            </w:r>
          </w:p>
        </w:tc>
        <w:tc>
          <w:tcPr>
            <w:tcW w:w="3978" w:type="dxa"/>
            <w:gridSpan w:val="2"/>
          </w:tcPr>
          <w:p w14:paraId="765AC21A"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Impactul asupra legislaţiei în domeniul achiziţiilor publice</w:t>
            </w:r>
          </w:p>
        </w:tc>
        <w:tc>
          <w:tcPr>
            <w:tcW w:w="5795" w:type="dxa"/>
            <w:gridSpan w:val="8"/>
          </w:tcPr>
          <w:p w14:paraId="12D5492C"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1B64DBDA"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p>
        </w:tc>
      </w:tr>
      <w:tr w:rsidR="00432FB2" w:rsidRPr="005B70DF" w14:paraId="65B35419" w14:textId="77777777" w:rsidTr="008267A7">
        <w:trPr>
          <w:trHeight w:val="45"/>
        </w:trPr>
        <w:tc>
          <w:tcPr>
            <w:tcW w:w="757" w:type="dxa"/>
          </w:tcPr>
          <w:p w14:paraId="15BC36E8"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5.3.</w:t>
            </w:r>
          </w:p>
        </w:tc>
        <w:tc>
          <w:tcPr>
            <w:tcW w:w="3978" w:type="dxa"/>
            <w:gridSpan w:val="2"/>
          </w:tcPr>
          <w:p w14:paraId="70931CB9"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Conformitatea proiectului de act normativ cu legislaţia UE (în cazul proiectelor ce transpun sau asigură aplicarea unor prevederi de drept UE).</w:t>
            </w:r>
          </w:p>
        </w:tc>
        <w:tc>
          <w:tcPr>
            <w:tcW w:w="5795" w:type="dxa"/>
            <w:gridSpan w:val="8"/>
          </w:tcPr>
          <w:p w14:paraId="56C1D91F" w14:textId="77777777"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5B70DF" w14:paraId="79CFE926" w14:textId="77777777" w:rsidTr="008267A7">
        <w:trPr>
          <w:trHeight w:val="45"/>
        </w:trPr>
        <w:tc>
          <w:tcPr>
            <w:tcW w:w="757" w:type="dxa"/>
          </w:tcPr>
          <w:p w14:paraId="2BAE3B1E" w14:textId="77777777" w:rsidR="00432FB2" w:rsidRPr="00441CC1" w:rsidRDefault="00432FB2" w:rsidP="008467E3">
            <w:pPr>
              <w:spacing w:after="0" w:line="240" w:lineRule="auto"/>
              <w:ind w:right="-73"/>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5.3.1.</w:t>
            </w:r>
          </w:p>
        </w:tc>
        <w:tc>
          <w:tcPr>
            <w:tcW w:w="3978" w:type="dxa"/>
            <w:gridSpan w:val="2"/>
          </w:tcPr>
          <w:p w14:paraId="561EC749"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Măsuri normative necesare transpunerii directivelor UE</w:t>
            </w:r>
          </w:p>
        </w:tc>
        <w:tc>
          <w:tcPr>
            <w:tcW w:w="5795" w:type="dxa"/>
            <w:gridSpan w:val="8"/>
          </w:tcPr>
          <w:p w14:paraId="75D0301B"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4ED26DEC" w14:textId="77777777"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p>
        </w:tc>
      </w:tr>
      <w:tr w:rsidR="00432FB2" w:rsidRPr="005B70DF" w14:paraId="2E698086" w14:textId="77777777" w:rsidTr="008267A7">
        <w:trPr>
          <w:trHeight w:val="45"/>
        </w:trPr>
        <w:tc>
          <w:tcPr>
            <w:tcW w:w="757" w:type="dxa"/>
          </w:tcPr>
          <w:p w14:paraId="38303EA8" w14:textId="77777777" w:rsidR="00432FB2" w:rsidRPr="00441CC1" w:rsidRDefault="00432FB2" w:rsidP="008467E3">
            <w:pPr>
              <w:spacing w:after="0" w:line="240" w:lineRule="auto"/>
              <w:ind w:right="-73"/>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5.3.2.</w:t>
            </w:r>
          </w:p>
        </w:tc>
        <w:tc>
          <w:tcPr>
            <w:tcW w:w="3978" w:type="dxa"/>
            <w:gridSpan w:val="2"/>
          </w:tcPr>
          <w:p w14:paraId="2DE08395"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Măsuri normative necesare aplicării actelor legislative ale UE</w:t>
            </w:r>
          </w:p>
        </w:tc>
        <w:tc>
          <w:tcPr>
            <w:tcW w:w="5795" w:type="dxa"/>
            <w:gridSpan w:val="8"/>
          </w:tcPr>
          <w:p w14:paraId="683793E4" w14:textId="77777777" w:rsidR="003F7962" w:rsidRPr="00441CC1" w:rsidRDefault="003F7962" w:rsidP="003F796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1924A8B9" w14:textId="27961826"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p>
        </w:tc>
      </w:tr>
      <w:tr w:rsidR="00432FB2" w:rsidRPr="005B70DF" w14:paraId="33BCCA3C" w14:textId="77777777" w:rsidTr="008267A7">
        <w:trPr>
          <w:trHeight w:val="45"/>
        </w:trPr>
        <w:tc>
          <w:tcPr>
            <w:tcW w:w="757" w:type="dxa"/>
          </w:tcPr>
          <w:p w14:paraId="20745AD1"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5.4.</w:t>
            </w:r>
          </w:p>
        </w:tc>
        <w:tc>
          <w:tcPr>
            <w:tcW w:w="3978" w:type="dxa"/>
            <w:gridSpan w:val="2"/>
          </w:tcPr>
          <w:p w14:paraId="2ACCB801"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Hotărâri ale Curţii de Justiţie a Uniunii Europene </w:t>
            </w:r>
          </w:p>
        </w:tc>
        <w:tc>
          <w:tcPr>
            <w:tcW w:w="5795" w:type="dxa"/>
            <w:gridSpan w:val="8"/>
          </w:tcPr>
          <w:p w14:paraId="0ABBBB0F"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5F03E6DE" w14:textId="77777777"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p>
        </w:tc>
      </w:tr>
      <w:tr w:rsidR="00432FB2" w:rsidRPr="005B70DF" w14:paraId="145728FC" w14:textId="77777777" w:rsidTr="008267A7">
        <w:trPr>
          <w:trHeight w:val="252"/>
        </w:trPr>
        <w:tc>
          <w:tcPr>
            <w:tcW w:w="757" w:type="dxa"/>
          </w:tcPr>
          <w:p w14:paraId="6CA735BD"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5.5.</w:t>
            </w:r>
          </w:p>
        </w:tc>
        <w:tc>
          <w:tcPr>
            <w:tcW w:w="3978" w:type="dxa"/>
            <w:gridSpan w:val="2"/>
          </w:tcPr>
          <w:p w14:paraId="65C57A9C"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Alte acte normative şi/sau documente internaţionale din care decurg angajamente asumate </w:t>
            </w:r>
          </w:p>
        </w:tc>
        <w:tc>
          <w:tcPr>
            <w:tcW w:w="5795" w:type="dxa"/>
            <w:gridSpan w:val="8"/>
          </w:tcPr>
          <w:p w14:paraId="63FDA2B0" w14:textId="77777777" w:rsidR="00432FB2" w:rsidRPr="00441CC1" w:rsidRDefault="00432FB2" w:rsidP="00432FB2">
            <w:pPr>
              <w:spacing w:after="0" w:line="240" w:lineRule="auto"/>
              <w:contextualSpacing/>
              <w:jc w:val="both"/>
              <w:rPr>
                <w:rFonts w:ascii="Times New Roman" w:eastAsia="Times New Roman" w:hAnsi="Times New Roman"/>
                <w:b/>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441CC1" w14:paraId="1C8E9A97" w14:textId="77777777" w:rsidTr="008267A7">
        <w:trPr>
          <w:trHeight w:val="252"/>
        </w:trPr>
        <w:tc>
          <w:tcPr>
            <w:tcW w:w="757" w:type="dxa"/>
          </w:tcPr>
          <w:p w14:paraId="6ECC065D"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5.6.</w:t>
            </w:r>
          </w:p>
        </w:tc>
        <w:tc>
          <w:tcPr>
            <w:tcW w:w="3978" w:type="dxa"/>
            <w:gridSpan w:val="2"/>
          </w:tcPr>
          <w:p w14:paraId="241D0E2E" w14:textId="77777777" w:rsidR="00432FB2" w:rsidRPr="00DC0014"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DC0014">
              <w:rPr>
                <w:rFonts w:ascii="Times New Roman" w:eastAsia="Times New Roman" w:hAnsi="Times New Roman"/>
                <w:iCs/>
                <w:noProof/>
                <w:color w:val="000000"/>
                <w:sz w:val="24"/>
                <w:szCs w:val="24"/>
                <w:lang w:val="ro-RO"/>
              </w:rPr>
              <w:t>Alte informaţii</w:t>
            </w:r>
          </w:p>
        </w:tc>
        <w:tc>
          <w:tcPr>
            <w:tcW w:w="5795" w:type="dxa"/>
            <w:gridSpan w:val="8"/>
          </w:tcPr>
          <w:p w14:paraId="09B5BFE0" w14:textId="05E88418" w:rsidR="00432FB2" w:rsidRPr="00DC0014" w:rsidRDefault="00DC0014" w:rsidP="00432FB2">
            <w:pPr>
              <w:spacing w:after="0" w:line="240" w:lineRule="auto"/>
              <w:contextualSpacing/>
              <w:jc w:val="both"/>
              <w:rPr>
                <w:rFonts w:ascii="Times New Roman" w:eastAsia="Times New Roman" w:hAnsi="Times New Roman"/>
                <w:noProof/>
                <w:color w:val="000000"/>
                <w:sz w:val="24"/>
                <w:szCs w:val="24"/>
                <w:lang w:val="ro-RO"/>
              </w:rPr>
            </w:pPr>
            <w:r w:rsidRPr="00DC0014">
              <w:rPr>
                <w:rFonts w:ascii="Times New Roman" w:eastAsia="Times New Roman" w:hAnsi="Times New Roman"/>
                <w:noProof/>
                <w:color w:val="000000"/>
                <w:sz w:val="24"/>
                <w:szCs w:val="24"/>
                <w:lang w:val="ro-RO"/>
              </w:rPr>
              <w:t>Nu au fost identificate.</w:t>
            </w:r>
          </w:p>
        </w:tc>
      </w:tr>
      <w:tr w:rsidR="00432FB2" w:rsidRPr="005B70DF" w14:paraId="72292F62" w14:textId="77777777" w:rsidTr="008267A7">
        <w:trPr>
          <w:trHeight w:val="654"/>
        </w:trPr>
        <w:tc>
          <w:tcPr>
            <w:tcW w:w="10530" w:type="dxa"/>
            <w:gridSpan w:val="11"/>
            <w:vAlign w:val="center"/>
          </w:tcPr>
          <w:p w14:paraId="652B2F85" w14:textId="77777777" w:rsidR="0028094D" w:rsidRDefault="0028094D" w:rsidP="00500028">
            <w:pPr>
              <w:spacing w:after="0" w:line="240" w:lineRule="auto"/>
              <w:contextualSpacing/>
              <w:jc w:val="center"/>
              <w:rPr>
                <w:rFonts w:ascii="Times New Roman" w:eastAsia="Times New Roman" w:hAnsi="Times New Roman"/>
                <w:b/>
                <w:noProof/>
                <w:color w:val="000000"/>
                <w:sz w:val="24"/>
                <w:szCs w:val="24"/>
                <w:lang w:val="ro-RO"/>
              </w:rPr>
            </w:pPr>
          </w:p>
          <w:p w14:paraId="52B91264" w14:textId="50AF03A2" w:rsidR="00432FB2" w:rsidRPr="00441CC1" w:rsidRDefault="00432FB2" w:rsidP="00500028">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6-a</w:t>
            </w:r>
          </w:p>
          <w:p w14:paraId="551EF338" w14:textId="77777777" w:rsidR="00432FB2"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Consultările efectuate în vederea elaborării proiectului de act normativ</w:t>
            </w:r>
          </w:p>
          <w:p w14:paraId="195F255D" w14:textId="521E3FEE" w:rsidR="0028094D" w:rsidRPr="00441CC1" w:rsidRDefault="0028094D" w:rsidP="00C06944">
            <w:pPr>
              <w:spacing w:after="0" w:line="240" w:lineRule="auto"/>
              <w:contextualSpacing/>
              <w:jc w:val="center"/>
              <w:rPr>
                <w:rFonts w:ascii="Times New Roman" w:eastAsia="Times New Roman" w:hAnsi="Times New Roman"/>
                <w:b/>
                <w:noProof/>
                <w:color w:val="000000"/>
                <w:sz w:val="24"/>
                <w:szCs w:val="24"/>
                <w:lang w:val="ro-RO"/>
              </w:rPr>
            </w:pPr>
          </w:p>
        </w:tc>
      </w:tr>
      <w:tr w:rsidR="00432FB2" w:rsidRPr="005B70DF" w14:paraId="28732AB4" w14:textId="77777777" w:rsidTr="008267A7">
        <w:trPr>
          <w:trHeight w:val="55"/>
        </w:trPr>
        <w:tc>
          <w:tcPr>
            <w:tcW w:w="757" w:type="dxa"/>
          </w:tcPr>
          <w:p w14:paraId="310BB132"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6.1.</w:t>
            </w:r>
          </w:p>
        </w:tc>
        <w:tc>
          <w:tcPr>
            <w:tcW w:w="4068" w:type="dxa"/>
            <w:gridSpan w:val="3"/>
          </w:tcPr>
          <w:p w14:paraId="2899A8E7"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privind neaplicarea procedurii de participare la elaborarea actelor normative</w:t>
            </w:r>
          </w:p>
        </w:tc>
        <w:tc>
          <w:tcPr>
            <w:tcW w:w="5705" w:type="dxa"/>
            <w:gridSpan w:val="7"/>
          </w:tcPr>
          <w:p w14:paraId="29F16250"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2C5559FA" w14:textId="77777777" w:rsidR="00432FB2" w:rsidRPr="00441CC1" w:rsidRDefault="00432FB2" w:rsidP="00432FB2">
            <w:pPr>
              <w:spacing w:after="0" w:line="240" w:lineRule="auto"/>
              <w:jc w:val="both"/>
              <w:rPr>
                <w:rFonts w:ascii="Times New Roman" w:hAnsi="Times New Roman"/>
                <w:noProof/>
                <w:color w:val="000000"/>
                <w:sz w:val="24"/>
                <w:szCs w:val="24"/>
                <w:highlight w:val="yellow"/>
                <w:lang w:val="ro-RO"/>
              </w:rPr>
            </w:pPr>
          </w:p>
          <w:p w14:paraId="61698729"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highlight w:val="yellow"/>
                <w:lang w:val="ro-RO"/>
              </w:rPr>
            </w:pPr>
          </w:p>
        </w:tc>
      </w:tr>
      <w:tr w:rsidR="00432FB2" w:rsidRPr="005B70DF" w14:paraId="014E0B12" w14:textId="77777777" w:rsidTr="008267A7">
        <w:trPr>
          <w:trHeight w:val="52"/>
        </w:trPr>
        <w:tc>
          <w:tcPr>
            <w:tcW w:w="757" w:type="dxa"/>
          </w:tcPr>
          <w:p w14:paraId="653A0A10"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6.2.</w:t>
            </w:r>
          </w:p>
        </w:tc>
        <w:tc>
          <w:tcPr>
            <w:tcW w:w="4068" w:type="dxa"/>
            <w:gridSpan w:val="3"/>
          </w:tcPr>
          <w:p w14:paraId="7EA0FD5F"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privind procesul de consultare cu organizaţii neguvernamentale, institute de cercetare şi alte organisme implicate</w:t>
            </w:r>
          </w:p>
        </w:tc>
        <w:tc>
          <w:tcPr>
            <w:tcW w:w="5705" w:type="dxa"/>
            <w:gridSpan w:val="7"/>
          </w:tcPr>
          <w:p w14:paraId="148D06E4" w14:textId="73639B1C" w:rsidR="00432FB2" w:rsidRPr="000E254A" w:rsidRDefault="00500028" w:rsidP="00432FB2">
            <w:pPr>
              <w:spacing w:after="0" w:line="240" w:lineRule="auto"/>
              <w:jc w:val="both"/>
              <w:rPr>
                <w:rFonts w:ascii="Times New Roman" w:eastAsia="Times New Roman" w:hAnsi="Times New Roman"/>
                <w:noProof/>
                <w:color w:val="000000" w:themeColor="text1"/>
                <w:sz w:val="24"/>
                <w:szCs w:val="24"/>
                <w:lang w:val="ro-RO"/>
              </w:rPr>
            </w:pPr>
            <w:r w:rsidRPr="000E254A">
              <w:rPr>
                <w:rFonts w:ascii="Times New Roman" w:hAnsi="Times New Roman"/>
                <w:noProof/>
                <w:color w:val="000000" w:themeColor="text1"/>
                <w:sz w:val="24"/>
                <w:szCs w:val="24"/>
                <w:lang w:val="ro-RO"/>
              </w:rPr>
              <w:t>Proiectul de act normativ nu se referă la acest subiect.</w:t>
            </w:r>
          </w:p>
        </w:tc>
      </w:tr>
      <w:tr w:rsidR="00432FB2" w:rsidRPr="005B70DF" w14:paraId="2D1B16F0" w14:textId="77777777" w:rsidTr="008267A7">
        <w:trPr>
          <w:trHeight w:val="52"/>
        </w:trPr>
        <w:tc>
          <w:tcPr>
            <w:tcW w:w="757" w:type="dxa"/>
          </w:tcPr>
          <w:p w14:paraId="2A0B7025"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6.3.</w:t>
            </w:r>
          </w:p>
        </w:tc>
        <w:tc>
          <w:tcPr>
            <w:tcW w:w="4068" w:type="dxa"/>
            <w:gridSpan w:val="3"/>
          </w:tcPr>
          <w:p w14:paraId="13D9F8ED"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despre consultările organizate cu autorităţile administraţiei publice locale</w:t>
            </w:r>
          </w:p>
        </w:tc>
        <w:tc>
          <w:tcPr>
            <w:tcW w:w="5705" w:type="dxa"/>
            <w:gridSpan w:val="7"/>
          </w:tcPr>
          <w:p w14:paraId="2C2F4948" w14:textId="0F280C06" w:rsidR="00432FB2" w:rsidRPr="000E254A" w:rsidRDefault="007144B9" w:rsidP="00432FB2">
            <w:pPr>
              <w:spacing w:after="0" w:line="240" w:lineRule="auto"/>
              <w:jc w:val="both"/>
              <w:rPr>
                <w:rFonts w:ascii="Times New Roman" w:eastAsia="Times New Roman" w:hAnsi="Times New Roman"/>
                <w:color w:val="000000" w:themeColor="text1"/>
                <w:sz w:val="24"/>
                <w:szCs w:val="24"/>
                <w:lang w:val="ro-RO"/>
              </w:rPr>
            </w:pPr>
            <w:r w:rsidRPr="007144B9">
              <w:rPr>
                <w:rFonts w:ascii="Times New Roman" w:hAnsi="Times New Roman"/>
                <w:color w:val="000000" w:themeColor="text1"/>
                <w:sz w:val="24"/>
                <w:szCs w:val="24"/>
                <w:lang w:val="ro-RO"/>
              </w:rPr>
              <w:t>Proiectul de act normativ nu se referă la acest subiect.</w:t>
            </w:r>
          </w:p>
        </w:tc>
      </w:tr>
      <w:tr w:rsidR="00432FB2" w:rsidRPr="005B70DF" w14:paraId="052C505C" w14:textId="77777777" w:rsidTr="008267A7">
        <w:trPr>
          <w:trHeight w:val="52"/>
        </w:trPr>
        <w:tc>
          <w:tcPr>
            <w:tcW w:w="757" w:type="dxa"/>
          </w:tcPr>
          <w:p w14:paraId="034BCF7B"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6.4.</w:t>
            </w:r>
          </w:p>
        </w:tc>
        <w:tc>
          <w:tcPr>
            <w:tcW w:w="4068" w:type="dxa"/>
            <w:gridSpan w:val="3"/>
          </w:tcPr>
          <w:p w14:paraId="0E635071" w14:textId="77777777" w:rsidR="00432FB2" w:rsidRPr="00441CC1" w:rsidRDefault="00432FB2" w:rsidP="00326268">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privind puncte de vedere/opinii emise de organisme consultative constituite prin acte normative</w:t>
            </w:r>
          </w:p>
        </w:tc>
        <w:tc>
          <w:tcPr>
            <w:tcW w:w="5705" w:type="dxa"/>
            <w:gridSpan w:val="7"/>
          </w:tcPr>
          <w:p w14:paraId="1311BFB8" w14:textId="77777777" w:rsidR="00432FB2" w:rsidRPr="000E254A" w:rsidRDefault="00432FB2" w:rsidP="00432FB2">
            <w:pPr>
              <w:spacing w:after="0" w:line="240" w:lineRule="auto"/>
              <w:jc w:val="both"/>
              <w:rPr>
                <w:rFonts w:ascii="Times New Roman" w:hAnsi="Times New Roman"/>
                <w:noProof/>
                <w:color w:val="000000" w:themeColor="text1"/>
                <w:sz w:val="24"/>
                <w:szCs w:val="24"/>
                <w:lang w:val="ro-RO"/>
              </w:rPr>
            </w:pPr>
            <w:r w:rsidRPr="000E254A">
              <w:rPr>
                <w:rFonts w:ascii="Times New Roman" w:hAnsi="Times New Roman"/>
                <w:color w:val="000000" w:themeColor="text1"/>
                <w:sz w:val="24"/>
                <w:szCs w:val="24"/>
                <w:lang w:val="ro-RO"/>
              </w:rPr>
              <w:t>Proiectul de act normativ nu se referă la acest subiect.</w:t>
            </w:r>
          </w:p>
          <w:p w14:paraId="2AF4B6F5" w14:textId="77777777" w:rsidR="00432FB2" w:rsidRPr="000E254A" w:rsidRDefault="00432FB2" w:rsidP="00432FB2">
            <w:pPr>
              <w:autoSpaceDE w:val="0"/>
              <w:autoSpaceDN w:val="0"/>
              <w:adjustRightInd w:val="0"/>
              <w:spacing w:after="0" w:line="240" w:lineRule="auto"/>
              <w:jc w:val="both"/>
              <w:rPr>
                <w:rFonts w:ascii="Times New Roman" w:eastAsia="Times New Roman" w:hAnsi="Times New Roman"/>
                <w:noProof/>
                <w:color w:val="000000" w:themeColor="text1"/>
                <w:sz w:val="24"/>
                <w:szCs w:val="24"/>
                <w:lang w:val="ro-RO"/>
              </w:rPr>
            </w:pPr>
          </w:p>
          <w:p w14:paraId="091BA8ED" w14:textId="77777777" w:rsidR="00432FB2" w:rsidRPr="000E254A" w:rsidRDefault="00432FB2" w:rsidP="00432FB2">
            <w:pPr>
              <w:spacing w:after="0" w:line="240" w:lineRule="auto"/>
              <w:jc w:val="both"/>
              <w:rPr>
                <w:rFonts w:ascii="Times New Roman" w:eastAsia="Times New Roman" w:hAnsi="Times New Roman"/>
                <w:noProof/>
                <w:color w:val="000000" w:themeColor="text1"/>
                <w:sz w:val="24"/>
                <w:szCs w:val="24"/>
                <w:lang w:val="ro-RO"/>
              </w:rPr>
            </w:pPr>
          </w:p>
        </w:tc>
      </w:tr>
      <w:tr w:rsidR="00432FB2" w:rsidRPr="005B70DF" w14:paraId="60A4CF01" w14:textId="77777777" w:rsidTr="008267A7">
        <w:trPr>
          <w:trHeight w:val="52"/>
        </w:trPr>
        <w:tc>
          <w:tcPr>
            <w:tcW w:w="757" w:type="dxa"/>
          </w:tcPr>
          <w:p w14:paraId="10139F1C"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6.5.</w:t>
            </w:r>
          </w:p>
        </w:tc>
        <w:tc>
          <w:tcPr>
            <w:tcW w:w="4068" w:type="dxa"/>
            <w:gridSpan w:val="3"/>
          </w:tcPr>
          <w:p w14:paraId="5BCBA5CD"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Informaţii privind avizarea de către:                           </w:t>
            </w:r>
          </w:p>
          <w:p w14:paraId="2EA47EE4"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a) Consiliul Legislativ </w:t>
            </w:r>
          </w:p>
          <w:p w14:paraId="77A4CD5D"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b) Consiliul Suprem de Apărare a Ţării                         </w:t>
            </w:r>
          </w:p>
          <w:p w14:paraId="08674F24"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c) Consiliul Economic şi Social </w:t>
            </w:r>
          </w:p>
          <w:p w14:paraId="7E53D059"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d) Consiliul Concurenţei    </w:t>
            </w:r>
          </w:p>
          <w:p w14:paraId="706CCFFA"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lastRenderedPageBreak/>
              <w:t xml:space="preserve">e) Curtea de Conturi             </w:t>
            </w:r>
          </w:p>
        </w:tc>
        <w:tc>
          <w:tcPr>
            <w:tcW w:w="5705" w:type="dxa"/>
            <w:gridSpan w:val="7"/>
          </w:tcPr>
          <w:p w14:paraId="1973AE85"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p>
          <w:p w14:paraId="05FAF22C"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p>
          <w:p w14:paraId="515F73C6" w14:textId="061F95A2" w:rsidR="00432FB2" w:rsidRPr="00441CC1" w:rsidRDefault="000E254A" w:rsidP="00432FB2">
            <w:pPr>
              <w:spacing w:after="0" w:line="240" w:lineRule="auto"/>
              <w:jc w:val="both"/>
              <w:rPr>
                <w:rFonts w:ascii="Times New Roman" w:hAnsi="Times New Roman"/>
                <w:noProof/>
                <w:color w:val="000000"/>
                <w:sz w:val="24"/>
                <w:szCs w:val="24"/>
                <w:lang w:val="ro-RO"/>
              </w:rPr>
            </w:pPr>
            <w:r w:rsidRPr="000E254A">
              <w:rPr>
                <w:rFonts w:ascii="Times New Roman" w:hAnsi="Times New Roman"/>
                <w:bCs/>
                <w:sz w:val="24"/>
                <w:szCs w:val="24"/>
                <w:lang w:val="ro-RO"/>
              </w:rPr>
              <w:t>Proiectul de act normativ urmează a fi avizat de Consiliul Legislativ.</w:t>
            </w:r>
          </w:p>
          <w:p w14:paraId="55E951F0"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p w14:paraId="72F94A50"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tc>
      </w:tr>
      <w:tr w:rsidR="00432FB2" w:rsidRPr="00441CC1" w14:paraId="2F85028C" w14:textId="77777777" w:rsidTr="008267A7">
        <w:trPr>
          <w:trHeight w:val="52"/>
        </w:trPr>
        <w:tc>
          <w:tcPr>
            <w:tcW w:w="757" w:type="dxa"/>
          </w:tcPr>
          <w:p w14:paraId="2DA64197"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lastRenderedPageBreak/>
              <w:t>6.6.</w:t>
            </w:r>
          </w:p>
        </w:tc>
        <w:tc>
          <w:tcPr>
            <w:tcW w:w="4068" w:type="dxa"/>
            <w:gridSpan w:val="3"/>
          </w:tcPr>
          <w:p w14:paraId="5E2F0ABB"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Alte informaţii                  </w:t>
            </w:r>
          </w:p>
        </w:tc>
        <w:tc>
          <w:tcPr>
            <w:tcW w:w="5705" w:type="dxa"/>
            <w:gridSpan w:val="7"/>
          </w:tcPr>
          <w:p w14:paraId="4DBB8FB5" w14:textId="26238956" w:rsidR="00432FB2" w:rsidRPr="00441CC1" w:rsidRDefault="003F7962" w:rsidP="00432FB2">
            <w:pPr>
              <w:spacing w:after="0" w:line="240" w:lineRule="auto"/>
              <w:jc w:val="both"/>
              <w:rPr>
                <w:rFonts w:ascii="Times New Roman" w:eastAsia="Times New Roman" w:hAnsi="Times New Roman"/>
                <w:noProof/>
                <w:color w:val="000000"/>
                <w:sz w:val="24"/>
                <w:szCs w:val="24"/>
                <w:lang w:val="ro-RO"/>
              </w:rPr>
            </w:pPr>
            <w:r w:rsidRPr="00DC0014">
              <w:rPr>
                <w:rFonts w:ascii="Times New Roman" w:eastAsia="Times New Roman" w:hAnsi="Times New Roman"/>
                <w:noProof/>
                <w:color w:val="000000"/>
                <w:sz w:val="24"/>
                <w:szCs w:val="24"/>
                <w:lang w:val="ro-RO"/>
              </w:rPr>
              <w:t>Nu au fost identificate.</w:t>
            </w:r>
          </w:p>
        </w:tc>
      </w:tr>
      <w:tr w:rsidR="00432FB2" w:rsidRPr="00441CC1" w14:paraId="2807FA3D" w14:textId="77777777" w:rsidTr="008267A7">
        <w:trPr>
          <w:trHeight w:val="888"/>
        </w:trPr>
        <w:tc>
          <w:tcPr>
            <w:tcW w:w="10530" w:type="dxa"/>
            <w:gridSpan w:val="11"/>
            <w:vAlign w:val="center"/>
          </w:tcPr>
          <w:p w14:paraId="0E2F0209" w14:textId="77777777" w:rsidR="0028094D" w:rsidRDefault="0028094D" w:rsidP="00432FB2">
            <w:pPr>
              <w:spacing w:after="0" w:line="240" w:lineRule="auto"/>
              <w:contextualSpacing/>
              <w:jc w:val="center"/>
              <w:rPr>
                <w:rFonts w:ascii="Times New Roman" w:eastAsia="Times New Roman" w:hAnsi="Times New Roman"/>
                <w:b/>
                <w:noProof/>
                <w:color w:val="000000"/>
                <w:sz w:val="24"/>
                <w:szCs w:val="24"/>
                <w:lang w:val="ro-RO"/>
              </w:rPr>
            </w:pPr>
          </w:p>
          <w:p w14:paraId="7BDDBA2E" w14:textId="10EA78F5"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7-a</w:t>
            </w:r>
          </w:p>
          <w:p w14:paraId="043C65FC" w14:textId="7777777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Activităţi de informare publică privind elaborarea şi implementarea</w:t>
            </w:r>
          </w:p>
          <w:p w14:paraId="27A2383A" w14:textId="77777777" w:rsidR="00432FB2"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proiectului de act normativ</w:t>
            </w:r>
          </w:p>
          <w:p w14:paraId="3D88112F" w14:textId="16764413" w:rsidR="0028094D" w:rsidRPr="00C06944" w:rsidRDefault="0028094D" w:rsidP="00C06944">
            <w:pPr>
              <w:spacing w:after="0" w:line="240" w:lineRule="auto"/>
              <w:contextualSpacing/>
              <w:jc w:val="center"/>
              <w:rPr>
                <w:rFonts w:ascii="Times New Roman" w:eastAsia="Times New Roman" w:hAnsi="Times New Roman"/>
                <w:b/>
                <w:noProof/>
                <w:color w:val="000000"/>
                <w:sz w:val="24"/>
                <w:szCs w:val="24"/>
                <w:lang w:val="ro-RO"/>
              </w:rPr>
            </w:pPr>
          </w:p>
        </w:tc>
      </w:tr>
      <w:tr w:rsidR="00432FB2" w:rsidRPr="005B70DF" w14:paraId="01D63C23" w14:textId="77777777" w:rsidTr="008267A7">
        <w:trPr>
          <w:trHeight w:val="105"/>
        </w:trPr>
        <w:tc>
          <w:tcPr>
            <w:tcW w:w="757" w:type="dxa"/>
            <w:vAlign w:val="center"/>
          </w:tcPr>
          <w:p w14:paraId="5517B88C"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7.1.</w:t>
            </w:r>
          </w:p>
        </w:tc>
        <w:tc>
          <w:tcPr>
            <w:tcW w:w="4209" w:type="dxa"/>
            <w:gridSpan w:val="4"/>
            <w:vAlign w:val="center"/>
          </w:tcPr>
          <w:p w14:paraId="0A0FAA28" w14:textId="77777777" w:rsidR="00432FB2" w:rsidRPr="00441CC1" w:rsidRDefault="00432FB2" w:rsidP="00432FB2">
            <w:pPr>
              <w:spacing w:after="0" w:line="240" w:lineRule="auto"/>
              <w:contextualSpacing/>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noProof/>
                <w:color w:val="000000"/>
                <w:sz w:val="24"/>
                <w:szCs w:val="24"/>
                <w:lang w:val="ro-RO"/>
              </w:rPr>
              <w:t>Informarea societăţii civile cu privire la elaborarea proiectului de act normativ</w:t>
            </w:r>
          </w:p>
        </w:tc>
        <w:tc>
          <w:tcPr>
            <w:tcW w:w="5564" w:type="dxa"/>
            <w:gridSpan w:val="6"/>
          </w:tcPr>
          <w:p w14:paraId="15FF6519" w14:textId="0E61F489" w:rsidR="00432FB2" w:rsidRPr="00441CC1" w:rsidRDefault="00432FB2" w:rsidP="007144B9">
            <w:pPr>
              <w:autoSpaceDE w:val="0"/>
              <w:autoSpaceDN w:val="0"/>
              <w:adjustRightInd w:val="0"/>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 xml:space="preserve">În elaborarea proiectului de act normativ a fost îndeplinită procedura stabilită prin Legea nr. 52/2003 privind </w:t>
            </w:r>
            <w:r w:rsidR="007144B9" w:rsidRPr="00441CC1">
              <w:rPr>
                <w:rFonts w:ascii="Times New Roman" w:hAnsi="Times New Roman"/>
                <w:sz w:val="24"/>
                <w:szCs w:val="24"/>
                <w:lang w:val="ro-RO"/>
              </w:rPr>
              <w:t>transparenț</w:t>
            </w:r>
            <w:r w:rsidR="007144B9">
              <w:rPr>
                <w:rFonts w:ascii="Times New Roman" w:hAnsi="Times New Roman"/>
                <w:sz w:val="24"/>
                <w:szCs w:val="24"/>
                <w:lang w:val="ro-RO"/>
              </w:rPr>
              <w:t>a</w:t>
            </w:r>
            <w:r w:rsidR="007144B9" w:rsidRPr="00441CC1">
              <w:rPr>
                <w:rFonts w:ascii="Times New Roman" w:hAnsi="Times New Roman"/>
                <w:sz w:val="24"/>
                <w:szCs w:val="24"/>
                <w:lang w:val="ro-RO"/>
              </w:rPr>
              <w:t xml:space="preserve"> </w:t>
            </w:r>
            <w:r w:rsidRPr="00441CC1">
              <w:rPr>
                <w:rFonts w:ascii="Times New Roman" w:hAnsi="Times New Roman"/>
                <w:sz w:val="24"/>
                <w:szCs w:val="24"/>
                <w:lang w:val="ro-RO"/>
              </w:rPr>
              <w:t>decizională în administrația publică,</w:t>
            </w:r>
            <w:r w:rsidR="007144B9">
              <w:rPr>
                <w:rFonts w:ascii="Times New Roman" w:hAnsi="Times New Roman"/>
                <w:sz w:val="24"/>
                <w:szCs w:val="24"/>
                <w:lang w:val="ro-RO"/>
              </w:rPr>
              <w:t xml:space="preserve"> republicată,</w:t>
            </w:r>
            <w:r w:rsidRPr="00441CC1">
              <w:rPr>
                <w:rFonts w:ascii="Times New Roman" w:hAnsi="Times New Roman"/>
                <w:sz w:val="24"/>
                <w:szCs w:val="24"/>
                <w:lang w:val="ro-RO"/>
              </w:rPr>
              <w:t xml:space="preserve"> cu modificările ulterioare</w:t>
            </w:r>
            <w:r w:rsidR="000E254A">
              <w:rPr>
                <w:rFonts w:ascii="Times New Roman" w:hAnsi="Times New Roman"/>
                <w:sz w:val="24"/>
                <w:szCs w:val="24"/>
                <w:lang w:val="ro-RO"/>
              </w:rPr>
              <w:t>.</w:t>
            </w:r>
          </w:p>
        </w:tc>
      </w:tr>
      <w:tr w:rsidR="00432FB2" w:rsidRPr="005B70DF" w14:paraId="594C7C29" w14:textId="77777777" w:rsidTr="008267A7">
        <w:trPr>
          <w:trHeight w:val="105"/>
        </w:trPr>
        <w:tc>
          <w:tcPr>
            <w:tcW w:w="757" w:type="dxa"/>
            <w:vAlign w:val="center"/>
          </w:tcPr>
          <w:p w14:paraId="12CDCC35"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7.2.</w:t>
            </w:r>
          </w:p>
        </w:tc>
        <w:tc>
          <w:tcPr>
            <w:tcW w:w="4209" w:type="dxa"/>
            <w:gridSpan w:val="4"/>
          </w:tcPr>
          <w:p w14:paraId="7C1FB74A" w14:textId="77777777" w:rsidR="00432FB2" w:rsidRPr="00441CC1" w:rsidRDefault="00432FB2" w:rsidP="008467E3">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564" w:type="dxa"/>
            <w:gridSpan w:val="6"/>
          </w:tcPr>
          <w:p w14:paraId="67C77EE7"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p w14:paraId="6B5C48D8"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4E637A02"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tc>
      </w:tr>
      <w:tr w:rsidR="00432FB2" w:rsidRPr="005B70DF" w14:paraId="086C9AC1" w14:textId="77777777" w:rsidTr="008267A7">
        <w:trPr>
          <w:trHeight w:val="105"/>
        </w:trPr>
        <w:tc>
          <w:tcPr>
            <w:tcW w:w="10530" w:type="dxa"/>
            <w:gridSpan w:val="11"/>
            <w:vAlign w:val="center"/>
          </w:tcPr>
          <w:p w14:paraId="57367BAB" w14:textId="77777777" w:rsidR="0028094D" w:rsidRDefault="0028094D" w:rsidP="00432FB2">
            <w:pPr>
              <w:spacing w:after="0" w:line="240" w:lineRule="auto"/>
              <w:contextualSpacing/>
              <w:jc w:val="center"/>
              <w:rPr>
                <w:rFonts w:ascii="Times New Roman" w:eastAsia="Times New Roman" w:hAnsi="Times New Roman"/>
                <w:b/>
                <w:noProof/>
                <w:color w:val="000000"/>
                <w:sz w:val="24"/>
                <w:szCs w:val="24"/>
                <w:lang w:val="ro-RO"/>
              </w:rPr>
            </w:pPr>
          </w:p>
          <w:p w14:paraId="5E451E79" w14:textId="36723A61"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8-a</w:t>
            </w:r>
          </w:p>
          <w:p w14:paraId="483BEB98" w14:textId="77777777" w:rsidR="00432FB2"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Măsuri de implementare</w:t>
            </w:r>
          </w:p>
          <w:p w14:paraId="7D0D75C9" w14:textId="4C570473" w:rsidR="0028094D" w:rsidRPr="00C06944" w:rsidRDefault="0028094D" w:rsidP="00C06944">
            <w:pPr>
              <w:spacing w:after="0" w:line="240" w:lineRule="auto"/>
              <w:contextualSpacing/>
              <w:jc w:val="center"/>
              <w:rPr>
                <w:rFonts w:ascii="Times New Roman" w:eastAsia="Times New Roman" w:hAnsi="Times New Roman"/>
                <w:b/>
                <w:noProof/>
                <w:color w:val="000000"/>
                <w:sz w:val="24"/>
                <w:szCs w:val="24"/>
                <w:lang w:val="ro-RO"/>
              </w:rPr>
            </w:pPr>
          </w:p>
        </w:tc>
      </w:tr>
      <w:tr w:rsidR="000E254A" w:rsidRPr="005B70DF" w14:paraId="53D542B3" w14:textId="77777777" w:rsidTr="008267A7">
        <w:trPr>
          <w:trHeight w:val="158"/>
        </w:trPr>
        <w:tc>
          <w:tcPr>
            <w:tcW w:w="757" w:type="dxa"/>
            <w:vAlign w:val="center"/>
          </w:tcPr>
          <w:p w14:paraId="4979A5F8" w14:textId="77777777" w:rsidR="000E254A" w:rsidRPr="00441CC1" w:rsidRDefault="000E254A" w:rsidP="000E254A">
            <w:pPr>
              <w:spacing w:after="0" w:line="240" w:lineRule="auto"/>
              <w:contextualSpacing/>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8.1.</w:t>
            </w:r>
          </w:p>
        </w:tc>
        <w:tc>
          <w:tcPr>
            <w:tcW w:w="4209" w:type="dxa"/>
            <w:gridSpan w:val="4"/>
          </w:tcPr>
          <w:p w14:paraId="5AE0FC59" w14:textId="77777777" w:rsidR="000E254A" w:rsidRPr="00441CC1" w:rsidRDefault="000E254A" w:rsidP="000E254A">
            <w:pPr>
              <w:spacing w:after="0" w:line="240" w:lineRule="auto"/>
              <w:contextualSpacing/>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noProof/>
                <w:color w:val="000000"/>
                <w:sz w:val="24"/>
                <w:szCs w:val="24"/>
                <w:lang w:val="ro-RO"/>
              </w:rPr>
              <w:t xml:space="preserve">Măsuri de punere în aplicare a proiectului de act normativ </w:t>
            </w:r>
          </w:p>
        </w:tc>
        <w:tc>
          <w:tcPr>
            <w:tcW w:w="5564" w:type="dxa"/>
            <w:gridSpan w:val="6"/>
          </w:tcPr>
          <w:p w14:paraId="043DD9B2" w14:textId="2291EC28" w:rsidR="000E254A" w:rsidRPr="00441CC1" w:rsidRDefault="000E254A" w:rsidP="001466DD">
            <w:pPr>
              <w:pStyle w:val="BodyText"/>
              <w:rPr>
                <w:rFonts w:ascii="Times New Roman" w:hAnsi="Times New Roman"/>
                <w:iCs/>
                <w:szCs w:val="24"/>
              </w:rPr>
            </w:pPr>
            <w:r w:rsidRPr="00B100AF">
              <w:rPr>
                <w:rFonts w:ascii="Times New Roman" w:hAnsi="Times New Roman"/>
                <w:color w:val="auto"/>
                <w:szCs w:val="24"/>
              </w:rPr>
              <w:t>Proiectul de act normativ nu se referă la acest subiect.</w:t>
            </w:r>
          </w:p>
        </w:tc>
      </w:tr>
      <w:tr w:rsidR="000E254A" w:rsidRPr="00441CC1" w14:paraId="1FFE72E1" w14:textId="77777777" w:rsidTr="008267A7">
        <w:trPr>
          <w:trHeight w:val="157"/>
        </w:trPr>
        <w:tc>
          <w:tcPr>
            <w:tcW w:w="757" w:type="dxa"/>
            <w:vAlign w:val="center"/>
          </w:tcPr>
          <w:p w14:paraId="376CC058" w14:textId="77777777" w:rsidR="000E254A" w:rsidRPr="00441CC1" w:rsidRDefault="000E254A" w:rsidP="000E254A">
            <w:pPr>
              <w:spacing w:after="0" w:line="240" w:lineRule="auto"/>
              <w:contextualSpacing/>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8.2.</w:t>
            </w:r>
          </w:p>
        </w:tc>
        <w:tc>
          <w:tcPr>
            <w:tcW w:w="4209" w:type="dxa"/>
            <w:gridSpan w:val="4"/>
          </w:tcPr>
          <w:p w14:paraId="621BB859" w14:textId="77777777" w:rsidR="000E254A" w:rsidRPr="00441CC1" w:rsidRDefault="000E254A" w:rsidP="000E254A">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Alte informaţii    </w:t>
            </w:r>
          </w:p>
        </w:tc>
        <w:tc>
          <w:tcPr>
            <w:tcW w:w="5564" w:type="dxa"/>
            <w:gridSpan w:val="6"/>
          </w:tcPr>
          <w:p w14:paraId="5C7C1A01" w14:textId="0EDB88E3" w:rsidR="000E254A" w:rsidRPr="00441CC1" w:rsidRDefault="000E254A" w:rsidP="000E254A">
            <w:pPr>
              <w:spacing w:after="0" w:line="240" w:lineRule="auto"/>
              <w:jc w:val="both"/>
              <w:rPr>
                <w:rFonts w:ascii="Times New Roman" w:eastAsia="Times New Roman" w:hAnsi="Times New Roman"/>
                <w:noProof/>
                <w:color w:val="000000"/>
                <w:sz w:val="24"/>
                <w:szCs w:val="24"/>
                <w:lang w:val="ro-RO"/>
              </w:rPr>
            </w:pPr>
            <w:r w:rsidRPr="00B100AF">
              <w:rPr>
                <w:rFonts w:ascii="Times New Roman" w:hAnsi="Times New Roman"/>
                <w:sz w:val="24"/>
                <w:szCs w:val="24"/>
                <w:lang w:val="ro-RO"/>
              </w:rPr>
              <w:t>Nu au fost identificate</w:t>
            </w:r>
            <w:r>
              <w:rPr>
                <w:rFonts w:ascii="Times New Roman" w:hAnsi="Times New Roman"/>
                <w:sz w:val="24"/>
                <w:szCs w:val="24"/>
                <w:lang w:val="ro-RO"/>
              </w:rPr>
              <w:t>.</w:t>
            </w:r>
          </w:p>
        </w:tc>
      </w:tr>
    </w:tbl>
    <w:p w14:paraId="2443CF4B" w14:textId="77777777" w:rsidR="00EF5C67" w:rsidRPr="00441CC1" w:rsidRDefault="00EF5C67" w:rsidP="00C672C6">
      <w:pPr>
        <w:spacing w:after="0" w:line="240" w:lineRule="auto"/>
        <w:jc w:val="both"/>
        <w:rPr>
          <w:rFonts w:ascii="Times New Roman" w:hAnsi="Times New Roman"/>
          <w:noProof/>
          <w:color w:val="000000"/>
          <w:sz w:val="24"/>
          <w:szCs w:val="24"/>
          <w:lang w:val="ro-RO"/>
        </w:rPr>
      </w:pPr>
    </w:p>
    <w:p w14:paraId="5CFD8BCB" w14:textId="5974E960" w:rsidR="0028094D" w:rsidRDefault="0028094D">
      <w:pPr>
        <w:spacing w:after="0" w:line="240" w:lineRule="auto"/>
        <w:rPr>
          <w:rFonts w:ascii="Times New Roman" w:hAnsi="Times New Roman"/>
          <w:noProof/>
          <w:color w:val="000000"/>
          <w:sz w:val="24"/>
          <w:szCs w:val="24"/>
          <w:lang w:val="ro-RO"/>
        </w:rPr>
      </w:pPr>
      <w:r>
        <w:rPr>
          <w:rFonts w:ascii="Times New Roman" w:hAnsi="Times New Roman"/>
          <w:noProof/>
          <w:color w:val="000000"/>
          <w:sz w:val="24"/>
          <w:szCs w:val="24"/>
          <w:lang w:val="ro-RO"/>
        </w:rPr>
        <w:br w:type="page"/>
      </w:r>
    </w:p>
    <w:p w14:paraId="7529DD11" w14:textId="77777777" w:rsidR="001466DD" w:rsidRDefault="001466DD" w:rsidP="00C672C6">
      <w:pPr>
        <w:spacing w:after="0" w:line="240" w:lineRule="auto"/>
        <w:jc w:val="both"/>
        <w:rPr>
          <w:rFonts w:ascii="Times New Roman" w:hAnsi="Times New Roman"/>
          <w:noProof/>
          <w:color w:val="000000"/>
          <w:sz w:val="24"/>
          <w:szCs w:val="24"/>
          <w:lang w:val="ro-RO"/>
        </w:rPr>
      </w:pPr>
    </w:p>
    <w:p w14:paraId="23E50F9A" w14:textId="77777777" w:rsidR="00C10529" w:rsidRPr="00441CC1" w:rsidRDefault="00C10529" w:rsidP="00C672C6">
      <w:pPr>
        <w:spacing w:after="0" w:line="240" w:lineRule="auto"/>
        <w:jc w:val="both"/>
        <w:rPr>
          <w:rFonts w:ascii="Times New Roman" w:hAnsi="Times New Roman"/>
          <w:noProof/>
          <w:color w:val="000000"/>
          <w:sz w:val="24"/>
          <w:szCs w:val="24"/>
          <w:lang w:val="ro-RO"/>
        </w:rPr>
      </w:pPr>
    </w:p>
    <w:p w14:paraId="6DE8E897" w14:textId="68DE8CFB" w:rsidR="00C672C6" w:rsidRPr="009A60AD" w:rsidRDefault="00C672C6" w:rsidP="009A60AD">
      <w:pPr>
        <w:spacing w:after="0" w:line="240" w:lineRule="auto"/>
        <w:contextualSpacing/>
        <w:jc w:val="both"/>
        <w:rPr>
          <w:rFonts w:ascii="Times New Roman" w:hAnsi="Times New Roman"/>
          <w:b/>
          <w:bCs/>
          <w:noProof/>
          <w:color w:val="000000"/>
          <w:sz w:val="24"/>
          <w:szCs w:val="24"/>
          <w:lang w:val="ro-RO"/>
        </w:rPr>
      </w:pPr>
      <w:r w:rsidRPr="00441CC1">
        <w:rPr>
          <w:rFonts w:ascii="Times New Roman" w:hAnsi="Times New Roman"/>
          <w:sz w:val="24"/>
          <w:szCs w:val="24"/>
          <w:lang w:val="ro-RO"/>
        </w:rPr>
        <w:t xml:space="preserve">Pentru considerentele de mai sus, </w:t>
      </w:r>
      <w:r w:rsidR="009F1EC6">
        <w:rPr>
          <w:rFonts w:ascii="Times New Roman" w:hAnsi="Times New Roman"/>
          <w:sz w:val="24"/>
          <w:szCs w:val="24"/>
          <w:lang w:val="ro-RO"/>
        </w:rPr>
        <w:t xml:space="preserve">s-a </w:t>
      </w:r>
      <w:r w:rsidRPr="00441CC1">
        <w:rPr>
          <w:rFonts w:ascii="Times New Roman" w:hAnsi="Times New Roman"/>
          <w:bCs/>
          <w:sz w:val="24"/>
          <w:szCs w:val="24"/>
          <w:lang w:val="ro-RO"/>
        </w:rPr>
        <w:t xml:space="preserve">elaborat prezentul proiect de </w:t>
      </w:r>
      <w:r w:rsidRPr="00441CC1">
        <w:rPr>
          <w:rFonts w:ascii="Times New Roman" w:hAnsi="Times New Roman"/>
          <w:b/>
          <w:sz w:val="24"/>
          <w:szCs w:val="24"/>
          <w:lang w:val="ro-RO"/>
        </w:rPr>
        <w:t xml:space="preserve">Hotărâre a Guvernului </w:t>
      </w:r>
      <w:r w:rsidR="000E254A" w:rsidRPr="000E254A">
        <w:rPr>
          <w:rFonts w:ascii="Times New Roman" w:hAnsi="Times New Roman"/>
          <w:b/>
          <w:sz w:val="24"/>
          <w:szCs w:val="24"/>
          <w:lang w:val="ro-RO"/>
        </w:rPr>
        <w:t xml:space="preserve">pentru </w:t>
      </w:r>
      <w:r w:rsidR="009A60AD" w:rsidRPr="009A60AD">
        <w:rPr>
          <w:rFonts w:ascii="Times New Roman" w:hAnsi="Times New Roman"/>
          <w:b/>
          <w:bCs/>
          <w:sz w:val="24"/>
          <w:szCs w:val="24"/>
          <w:lang w:val="ro-RO" w:bidi="en-US"/>
        </w:rPr>
        <w:t>aprobarea Protocolului Sesiunii a XXX</w:t>
      </w:r>
      <w:r w:rsidR="00CB6AE6">
        <w:rPr>
          <w:rFonts w:ascii="Times New Roman" w:hAnsi="Times New Roman"/>
          <w:b/>
          <w:bCs/>
          <w:sz w:val="24"/>
          <w:szCs w:val="24"/>
          <w:lang w:val="ro-RO" w:bidi="en-US"/>
        </w:rPr>
        <w:t>V</w:t>
      </w:r>
      <w:r w:rsidR="00F86848">
        <w:rPr>
          <w:rFonts w:ascii="Times New Roman" w:hAnsi="Times New Roman"/>
          <w:b/>
          <w:bCs/>
          <w:sz w:val="24"/>
          <w:szCs w:val="24"/>
          <w:lang w:val="ro-RO" w:bidi="en-US"/>
        </w:rPr>
        <w:t>I</w:t>
      </w:r>
      <w:r w:rsidR="009A60AD" w:rsidRPr="009A60AD">
        <w:rPr>
          <w:rFonts w:ascii="Times New Roman" w:hAnsi="Times New Roman"/>
          <w:b/>
          <w:bCs/>
          <w:sz w:val="24"/>
          <w:szCs w:val="24"/>
          <w:lang w:val="ro-RO" w:bidi="en-US"/>
        </w:rPr>
        <w:t xml:space="preserve">-a a Comisiei hidrotehnice româno-ungare, semnat la </w:t>
      </w:r>
      <w:r w:rsidR="00F86848">
        <w:rPr>
          <w:rFonts w:ascii="Times New Roman" w:eastAsia="MS Mincho" w:hAnsi="Times New Roman"/>
          <w:b/>
          <w:sz w:val="24"/>
          <w:szCs w:val="24"/>
          <w:lang w:val="ro-RO"/>
        </w:rPr>
        <w:t>Băile 1 Mai</w:t>
      </w:r>
      <w:r w:rsidR="00135578">
        <w:rPr>
          <w:rFonts w:ascii="Times New Roman" w:hAnsi="Times New Roman"/>
          <w:b/>
          <w:bCs/>
          <w:sz w:val="24"/>
          <w:szCs w:val="24"/>
          <w:lang w:val="ro-RO" w:bidi="en-US"/>
        </w:rPr>
        <w:t xml:space="preserve">, </w:t>
      </w:r>
      <w:r w:rsidR="009A60AD" w:rsidRPr="009A60AD">
        <w:rPr>
          <w:rFonts w:ascii="Times New Roman" w:hAnsi="Times New Roman"/>
          <w:b/>
          <w:bCs/>
          <w:sz w:val="24"/>
          <w:szCs w:val="24"/>
          <w:lang w:val="ro-RO" w:bidi="en-US"/>
        </w:rPr>
        <w:t xml:space="preserve">la </w:t>
      </w:r>
      <w:r w:rsidR="00F86848">
        <w:rPr>
          <w:rFonts w:ascii="Times New Roman" w:hAnsi="Times New Roman"/>
          <w:b/>
          <w:bCs/>
          <w:sz w:val="24"/>
          <w:szCs w:val="24"/>
          <w:lang w:val="ro-RO" w:bidi="en-US"/>
        </w:rPr>
        <w:t>9</w:t>
      </w:r>
      <w:r w:rsidR="009A60AD">
        <w:rPr>
          <w:rFonts w:ascii="Times New Roman" w:hAnsi="Times New Roman"/>
          <w:b/>
          <w:bCs/>
          <w:sz w:val="24"/>
          <w:szCs w:val="24"/>
          <w:lang w:val="ro-RO" w:bidi="en-US"/>
        </w:rPr>
        <w:t xml:space="preserve"> </w:t>
      </w:r>
      <w:r w:rsidR="00CB6AE6">
        <w:rPr>
          <w:rFonts w:ascii="Times New Roman" w:hAnsi="Times New Roman"/>
          <w:b/>
          <w:bCs/>
          <w:sz w:val="24"/>
          <w:szCs w:val="24"/>
          <w:lang w:val="ro-RO" w:bidi="en-US"/>
        </w:rPr>
        <w:t>ma</w:t>
      </w:r>
      <w:r w:rsidR="00135578">
        <w:rPr>
          <w:rFonts w:ascii="Times New Roman" w:hAnsi="Times New Roman"/>
          <w:b/>
          <w:bCs/>
          <w:sz w:val="24"/>
          <w:szCs w:val="24"/>
          <w:lang w:val="ro-RO" w:bidi="en-US"/>
        </w:rPr>
        <w:t>i</w:t>
      </w:r>
      <w:r w:rsidR="009A60AD" w:rsidRPr="009A60AD">
        <w:rPr>
          <w:rFonts w:ascii="Times New Roman" w:hAnsi="Times New Roman"/>
          <w:b/>
          <w:bCs/>
          <w:sz w:val="24"/>
          <w:szCs w:val="24"/>
          <w:lang w:val="ro-RO" w:bidi="en-US"/>
        </w:rPr>
        <w:t xml:space="preserve"> 202</w:t>
      </w:r>
      <w:r w:rsidR="00F86848">
        <w:rPr>
          <w:rFonts w:ascii="Times New Roman" w:hAnsi="Times New Roman"/>
          <w:b/>
          <w:bCs/>
          <w:sz w:val="24"/>
          <w:szCs w:val="24"/>
          <w:lang w:val="ro-RO" w:bidi="en-US"/>
        </w:rPr>
        <w:t>5</w:t>
      </w:r>
      <w:r w:rsidR="009A60AD" w:rsidRPr="009A60AD">
        <w:rPr>
          <w:rFonts w:ascii="Times New Roman" w:hAnsi="Times New Roman"/>
          <w:b/>
          <w:bCs/>
          <w:sz w:val="24"/>
          <w:szCs w:val="24"/>
          <w:lang w:val="ro-RO" w:bidi="en-US"/>
        </w:rPr>
        <w:t>, pentru aplicarea Acordului dintre Guvernul României și Guvernul Republicii Ungare privind colaborarea pentru protecția și utilizarea durabilă a apelor de frontieră, semnat la Budapesta la 15 septembrie 2003</w:t>
      </w:r>
      <w:r w:rsidR="009A60AD">
        <w:rPr>
          <w:rFonts w:ascii="Times New Roman" w:hAnsi="Times New Roman"/>
          <w:b/>
          <w:bCs/>
          <w:noProof/>
          <w:color w:val="000000"/>
          <w:sz w:val="24"/>
          <w:szCs w:val="24"/>
          <w:lang w:val="ro-RO"/>
        </w:rPr>
        <w:t xml:space="preserve"> </w:t>
      </w:r>
      <w:r w:rsidRPr="00441CC1">
        <w:rPr>
          <w:rFonts w:ascii="Times New Roman" w:hAnsi="Times New Roman"/>
          <w:sz w:val="24"/>
          <w:szCs w:val="24"/>
          <w:lang w:val="ro-RO"/>
        </w:rPr>
        <w:t xml:space="preserve">care, în forma prezentată, a fost avizat de ministerele interesate </w:t>
      </w:r>
      <w:r w:rsidR="001466DD" w:rsidRPr="00441CC1">
        <w:rPr>
          <w:rFonts w:ascii="Times New Roman" w:hAnsi="Times New Roman"/>
          <w:sz w:val="24"/>
          <w:szCs w:val="24"/>
          <w:lang w:val="ro-RO"/>
        </w:rPr>
        <w:t>și</w:t>
      </w:r>
      <w:r w:rsidRPr="00441CC1">
        <w:rPr>
          <w:rFonts w:ascii="Times New Roman" w:hAnsi="Times New Roman"/>
          <w:sz w:val="24"/>
          <w:szCs w:val="24"/>
          <w:lang w:val="ro-RO"/>
        </w:rPr>
        <w:t xml:space="preserve"> de către Consiliul Legislativ </w:t>
      </w:r>
      <w:r w:rsidR="00326268" w:rsidRPr="00441CC1">
        <w:rPr>
          <w:rFonts w:ascii="Times New Roman" w:hAnsi="Times New Roman"/>
          <w:sz w:val="24"/>
          <w:szCs w:val="24"/>
          <w:lang w:val="ro-RO"/>
        </w:rPr>
        <w:t>și</w:t>
      </w:r>
      <w:r w:rsidRPr="00441CC1">
        <w:rPr>
          <w:rFonts w:ascii="Times New Roman" w:hAnsi="Times New Roman"/>
          <w:sz w:val="24"/>
          <w:szCs w:val="24"/>
          <w:lang w:val="ro-RO"/>
        </w:rPr>
        <w:t xml:space="preserve"> pe care îl supunem spre adoptare.</w:t>
      </w:r>
    </w:p>
    <w:p w14:paraId="1B2FC937" w14:textId="77777777" w:rsidR="006663D8" w:rsidRPr="00441CC1" w:rsidRDefault="006663D8" w:rsidP="00C672C6">
      <w:pPr>
        <w:spacing w:after="0" w:line="240" w:lineRule="auto"/>
        <w:jc w:val="both"/>
        <w:rPr>
          <w:rFonts w:ascii="Times New Roman" w:hAnsi="Times New Roman"/>
          <w:noProof/>
          <w:color w:val="000000"/>
          <w:sz w:val="24"/>
          <w:szCs w:val="24"/>
          <w:lang w:val="ro-RO"/>
        </w:rPr>
      </w:pPr>
    </w:p>
    <w:p w14:paraId="13470D3D" w14:textId="77777777" w:rsidR="006663D8" w:rsidRDefault="006663D8" w:rsidP="00C672C6">
      <w:pPr>
        <w:spacing w:after="0" w:line="240" w:lineRule="auto"/>
        <w:jc w:val="both"/>
        <w:rPr>
          <w:rFonts w:ascii="Times New Roman" w:hAnsi="Times New Roman"/>
          <w:noProof/>
          <w:color w:val="000000"/>
          <w:sz w:val="24"/>
          <w:szCs w:val="24"/>
          <w:lang w:val="ro-RO"/>
        </w:rPr>
      </w:pPr>
    </w:p>
    <w:p w14:paraId="4A151F0B" w14:textId="77777777" w:rsidR="00135578" w:rsidRPr="00441CC1" w:rsidRDefault="00135578" w:rsidP="00C672C6">
      <w:pPr>
        <w:spacing w:after="0" w:line="240" w:lineRule="auto"/>
        <w:jc w:val="both"/>
        <w:rPr>
          <w:rFonts w:ascii="Times New Roman" w:hAnsi="Times New Roman"/>
          <w:noProof/>
          <w:color w:val="000000"/>
          <w:sz w:val="24"/>
          <w:szCs w:val="24"/>
          <w:lang w:val="ro-RO"/>
        </w:rPr>
      </w:pPr>
    </w:p>
    <w:p w14:paraId="0E6993E1" w14:textId="77777777" w:rsidR="001466DD" w:rsidRPr="00980841" w:rsidRDefault="001466DD" w:rsidP="001466DD">
      <w:pPr>
        <w:jc w:val="center"/>
        <w:rPr>
          <w:rFonts w:ascii="Times New Roman" w:hAnsi="Times New Roman"/>
          <w:b/>
          <w:sz w:val="24"/>
          <w:szCs w:val="24"/>
          <w:lang w:val="ro-RO"/>
        </w:rPr>
      </w:pPr>
      <w:r w:rsidRPr="00980841">
        <w:rPr>
          <w:rFonts w:ascii="Times New Roman" w:hAnsi="Times New Roman"/>
          <w:b/>
          <w:sz w:val="24"/>
          <w:szCs w:val="24"/>
          <w:lang w:val="ro-RO"/>
        </w:rPr>
        <w:t>MINISTRUL MEDIULUI, APELOR ŞI PĂDURILOR</w:t>
      </w:r>
    </w:p>
    <w:p w14:paraId="035AD79D" w14:textId="77777777" w:rsidR="001466DD" w:rsidRPr="00980841" w:rsidRDefault="001466DD" w:rsidP="001466DD">
      <w:pPr>
        <w:jc w:val="center"/>
        <w:rPr>
          <w:rFonts w:ascii="Times New Roman" w:hAnsi="Times New Roman"/>
          <w:b/>
          <w:sz w:val="24"/>
          <w:szCs w:val="24"/>
          <w:lang w:val="ro-RO"/>
        </w:rPr>
      </w:pPr>
    </w:p>
    <w:p w14:paraId="4F0E5057" w14:textId="2398750D" w:rsidR="001466DD" w:rsidRPr="00980841" w:rsidRDefault="00980841" w:rsidP="001466DD">
      <w:pPr>
        <w:spacing w:after="0" w:line="240" w:lineRule="auto"/>
        <w:jc w:val="center"/>
        <w:rPr>
          <w:rFonts w:ascii="Times New Roman" w:hAnsi="Times New Roman"/>
          <w:b/>
          <w:sz w:val="24"/>
          <w:szCs w:val="24"/>
          <w:lang w:val="ro-RO"/>
        </w:rPr>
      </w:pPr>
      <w:r w:rsidRPr="00980841">
        <w:rPr>
          <w:rFonts w:ascii="Times New Roman" w:hAnsi="Times New Roman"/>
          <w:b/>
          <w:sz w:val="24"/>
          <w:szCs w:val="24"/>
          <w:lang w:val="ro-RO"/>
        </w:rPr>
        <w:t>Diana-Anda BUZOIANU</w:t>
      </w:r>
    </w:p>
    <w:p w14:paraId="732CFD2F" w14:textId="77777777" w:rsidR="001466DD" w:rsidRPr="00AA3ADE" w:rsidRDefault="001466DD" w:rsidP="001466DD">
      <w:pPr>
        <w:spacing w:after="0" w:line="240" w:lineRule="auto"/>
        <w:jc w:val="both"/>
        <w:rPr>
          <w:rFonts w:ascii="Times New Roman" w:hAnsi="Times New Roman"/>
          <w:b/>
          <w:sz w:val="24"/>
          <w:szCs w:val="24"/>
          <w:highlight w:val="yellow"/>
          <w:lang w:val="ro-RO"/>
        </w:rPr>
      </w:pPr>
    </w:p>
    <w:p w14:paraId="1FF9DD47" w14:textId="77777777" w:rsidR="001466DD" w:rsidRPr="00AA3ADE" w:rsidRDefault="001466DD" w:rsidP="001466DD">
      <w:pPr>
        <w:spacing w:after="0" w:line="240" w:lineRule="auto"/>
        <w:jc w:val="both"/>
        <w:rPr>
          <w:rFonts w:ascii="Times New Roman" w:hAnsi="Times New Roman"/>
          <w:b/>
          <w:sz w:val="24"/>
          <w:szCs w:val="24"/>
          <w:highlight w:val="yellow"/>
          <w:lang w:val="ro-RO"/>
        </w:rPr>
      </w:pPr>
    </w:p>
    <w:p w14:paraId="43C70275" w14:textId="77777777" w:rsidR="001466DD" w:rsidRPr="00980841" w:rsidRDefault="001466DD" w:rsidP="00135578">
      <w:pPr>
        <w:rPr>
          <w:rFonts w:ascii="Times New Roman" w:hAnsi="Times New Roman"/>
          <w:b/>
          <w:bCs/>
          <w:sz w:val="24"/>
          <w:szCs w:val="24"/>
          <w:lang w:val="ro-RO"/>
        </w:rPr>
      </w:pPr>
    </w:p>
    <w:p w14:paraId="44B623C3" w14:textId="77777777" w:rsidR="001466DD" w:rsidRPr="00980841" w:rsidRDefault="001466DD" w:rsidP="001466DD">
      <w:pPr>
        <w:jc w:val="center"/>
        <w:rPr>
          <w:rFonts w:ascii="Times New Roman" w:hAnsi="Times New Roman"/>
          <w:b/>
          <w:bCs/>
          <w:sz w:val="24"/>
          <w:szCs w:val="24"/>
          <w:lang w:val="ro-RO"/>
        </w:rPr>
      </w:pPr>
      <w:r w:rsidRPr="00980841">
        <w:rPr>
          <w:rFonts w:ascii="Times New Roman" w:hAnsi="Times New Roman"/>
          <w:b/>
          <w:bCs/>
          <w:sz w:val="24"/>
          <w:szCs w:val="24"/>
          <w:lang w:val="ro-RO"/>
        </w:rPr>
        <w:t>AVIZĂM:</w:t>
      </w:r>
    </w:p>
    <w:p w14:paraId="1A86C0D7" w14:textId="4ED097B3" w:rsidR="001466DD" w:rsidRPr="00C57CB8" w:rsidRDefault="003F7962" w:rsidP="001466DD">
      <w:pPr>
        <w:jc w:val="center"/>
        <w:rPr>
          <w:rFonts w:ascii="Times New Roman" w:hAnsi="Times New Roman"/>
          <w:b/>
          <w:bCs/>
          <w:sz w:val="24"/>
          <w:szCs w:val="24"/>
          <w:lang w:val="ro-RO"/>
        </w:rPr>
      </w:pPr>
      <w:r w:rsidRPr="00C57CB8">
        <w:rPr>
          <w:rFonts w:ascii="Times New Roman" w:hAnsi="Times New Roman"/>
          <w:b/>
          <w:bCs/>
          <w:sz w:val="24"/>
          <w:szCs w:val="24"/>
          <w:lang w:val="ro-RO"/>
        </w:rPr>
        <w:t>VICEPRIM-MINISTRU, MINISTRUL APĂRĂRII NAȚIONALE</w:t>
      </w:r>
    </w:p>
    <w:p w14:paraId="059C2413" w14:textId="781946FA" w:rsidR="001466DD" w:rsidRPr="00AA3ADE" w:rsidRDefault="003F7962" w:rsidP="001466DD">
      <w:pPr>
        <w:jc w:val="center"/>
        <w:rPr>
          <w:rFonts w:ascii="Times New Roman" w:hAnsi="Times New Roman"/>
          <w:b/>
          <w:bCs/>
          <w:sz w:val="24"/>
          <w:szCs w:val="24"/>
          <w:highlight w:val="yellow"/>
          <w:lang w:val="ro-RO"/>
        </w:rPr>
      </w:pPr>
      <w:r w:rsidRPr="00C57CB8">
        <w:rPr>
          <w:rFonts w:ascii="Times New Roman" w:hAnsi="Times New Roman"/>
          <w:b/>
          <w:bCs/>
          <w:sz w:val="24"/>
          <w:szCs w:val="24"/>
          <w:lang w:val="ro-RO"/>
        </w:rPr>
        <w:t>Liviu-Ionuț MOȘTEANU</w:t>
      </w:r>
    </w:p>
    <w:p w14:paraId="7AAF8802" w14:textId="77777777" w:rsidR="001466DD" w:rsidRDefault="001466DD" w:rsidP="001466DD">
      <w:pPr>
        <w:jc w:val="center"/>
        <w:rPr>
          <w:rFonts w:ascii="Times New Roman" w:hAnsi="Times New Roman"/>
          <w:b/>
          <w:bCs/>
          <w:sz w:val="24"/>
          <w:szCs w:val="24"/>
          <w:lang w:val="ro-RO"/>
        </w:rPr>
      </w:pPr>
    </w:p>
    <w:p w14:paraId="4A698C35" w14:textId="77777777" w:rsidR="0028094D" w:rsidRDefault="0028094D" w:rsidP="001466DD">
      <w:pPr>
        <w:jc w:val="center"/>
        <w:rPr>
          <w:rFonts w:ascii="Times New Roman" w:hAnsi="Times New Roman"/>
          <w:b/>
          <w:bCs/>
          <w:sz w:val="24"/>
          <w:szCs w:val="24"/>
          <w:lang w:val="ro-RO"/>
        </w:rPr>
      </w:pPr>
    </w:p>
    <w:p w14:paraId="56C48678" w14:textId="77777777" w:rsidR="0028094D" w:rsidRPr="00980841" w:rsidRDefault="0028094D" w:rsidP="001466DD">
      <w:pPr>
        <w:jc w:val="center"/>
        <w:rPr>
          <w:rFonts w:ascii="Times New Roman" w:hAnsi="Times New Roman"/>
          <w:b/>
          <w:bCs/>
          <w:sz w:val="24"/>
          <w:szCs w:val="24"/>
          <w:lang w:val="ro-RO"/>
        </w:rPr>
      </w:pPr>
    </w:p>
    <w:p w14:paraId="002B933B" w14:textId="7836AF42" w:rsidR="00135578" w:rsidRPr="00980841" w:rsidRDefault="00135578" w:rsidP="00135578">
      <w:pPr>
        <w:spacing w:after="120" w:line="240" w:lineRule="auto"/>
        <w:rPr>
          <w:rFonts w:ascii="Times New Roman" w:hAnsi="Times New Roman"/>
          <w:b/>
          <w:color w:val="000000"/>
          <w:sz w:val="24"/>
          <w:szCs w:val="24"/>
          <w:lang w:val="ro-RO" w:bidi="en-US"/>
        </w:rPr>
      </w:pPr>
      <w:r w:rsidRPr="00980841">
        <w:rPr>
          <w:rFonts w:ascii="Times New Roman" w:hAnsi="Times New Roman"/>
          <w:b/>
          <w:color w:val="000000"/>
          <w:sz w:val="24"/>
          <w:szCs w:val="24"/>
          <w:lang w:val="ro-RO" w:bidi="en-US"/>
        </w:rPr>
        <w:t xml:space="preserve">     </w:t>
      </w:r>
      <w:r w:rsidR="001466DD" w:rsidRPr="00980841">
        <w:rPr>
          <w:rFonts w:ascii="Times New Roman" w:hAnsi="Times New Roman"/>
          <w:b/>
          <w:color w:val="000000"/>
          <w:sz w:val="24"/>
          <w:szCs w:val="24"/>
          <w:lang w:val="ro-RO" w:bidi="en-US"/>
        </w:rPr>
        <w:t>MINISTRUL AFACERILOR EXTERNE</w:t>
      </w:r>
      <w:r w:rsidRPr="00980841">
        <w:rPr>
          <w:rFonts w:ascii="Times New Roman" w:hAnsi="Times New Roman"/>
          <w:b/>
          <w:color w:val="000000"/>
          <w:sz w:val="24"/>
          <w:szCs w:val="24"/>
          <w:lang w:val="ro-RO" w:bidi="en-US"/>
        </w:rPr>
        <w:t xml:space="preserve">                         MINISTRUL JUSTIȚIEI</w:t>
      </w:r>
    </w:p>
    <w:p w14:paraId="3B01B5C1" w14:textId="22BBDCDB" w:rsidR="001466DD" w:rsidRPr="00980841" w:rsidRDefault="001466DD" w:rsidP="00135578">
      <w:pPr>
        <w:spacing w:after="120" w:line="240" w:lineRule="auto"/>
        <w:rPr>
          <w:rFonts w:ascii="Times New Roman" w:hAnsi="Times New Roman"/>
          <w:b/>
          <w:color w:val="000000"/>
          <w:sz w:val="24"/>
          <w:szCs w:val="24"/>
          <w:lang w:val="ro-RO" w:bidi="en-US"/>
        </w:rPr>
      </w:pPr>
    </w:p>
    <w:p w14:paraId="574D67F6" w14:textId="4B1B2551" w:rsidR="00135578" w:rsidRPr="00135578" w:rsidRDefault="00980841" w:rsidP="00135578">
      <w:pPr>
        <w:ind w:firstLine="720"/>
        <w:rPr>
          <w:rFonts w:ascii="Times New Roman" w:hAnsi="Times New Roman"/>
          <w:b/>
          <w:bCs/>
          <w:sz w:val="24"/>
          <w:szCs w:val="24"/>
          <w:lang w:val="ro-RO"/>
        </w:rPr>
      </w:pPr>
      <w:r>
        <w:rPr>
          <w:rFonts w:ascii="Times New Roman" w:hAnsi="Times New Roman"/>
          <w:b/>
          <w:bCs/>
          <w:color w:val="000000"/>
          <w:sz w:val="24"/>
          <w:szCs w:val="24"/>
          <w:shd w:val="clear" w:color="auto" w:fill="FFFFFF"/>
          <w:lang w:val="pt-PT"/>
        </w:rPr>
        <w:t xml:space="preserve">         </w:t>
      </w:r>
      <w:r w:rsidRPr="00980841">
        <w:rPr>
          <w:rFonts w:ascii="Times New Roman" w:hAnsi="Times New Roman"/>
          <w:b/>
          <w:bCs/>
          <w:color w:val="000000"/>
          <w:sz w:val="24"/>
          <w:szCs w:val="24"/>
          <w:shd w:val="clear" w:color="auto" w:fill="FFFFFF"/>
          <w:lang w:val="pt-PT"/>
        </w:rPr>
        <w:t>Oana-Silvia ȚOIU</w:t>
      </w:r>
      <w:r w:rsidR="00135578" w:rsidRPr="00980841">
        <w:rPr>
          <w:rFonts w:ascii="Times New Roman" w:hAnsi="Times New Roman"/>
          <w:b/>
          <w:bCs/>
          <w:color w:val="000000"/>
          <w:sz w:val="24"/>
          <w:szCs w:val="24"/>
          <w:shd w:val="clear" w:color="auto" w:fill="FFFFFF"/>
          <w:lang w:val="pt-PT"/>
        </w:rPr>
        <w:t xml:space="preserve"> </w:t>
      </w:r>
      <w:r w:rsidR="00135578" w:rsidRPr="00980841">
        <w:rPr>
          <w:rFonts w:ascii="Times New Roman" w:hAnsi="Times New Roman"/>
          <w:b/>
          <w:bCs/>
          <w:color w:val="000000"/>
          <w:sz w:val="24"/>
          <w:szCs w:val="24"/>
          <w:shd w:val="clear" w:color="auto" w:fill="FFFFFF"/>
          <w:lang w:val="pt-PT"/>
        </w:rPr>
        <w:tab/>
      </w:r>
      <w:r w:rsidR="00135578" w:rsidRPr="00980841">
        <w:rPr>
          <w:rFonts w:ascii="Times New Roman" w:hAnsi="Times New Roman"/>
          <w:b/>
          <w:bCs/>
          <w:color w:val="000000"/>
          <w:sz w:val="24"/>
          <w:szCs w:val="24"/>
          <w:shd w:val="clear" w:color="auto" w:fill="FFFFFF"/>
          <w:lang w:val="pt-PT"/>
        </w:rPr>
        <w:tab/>
      </w:r>
      <w:r w:rsidR="00135578" w:rsidRPr="00980841">
        <w:rPr>
          <w:rFonts w:ascii="Times New Roman" w:hAnsi="Times New Roman"/>
          <w:b/>
          <w:bCs/>
          <w:color w:val="000000"/>
          <w:sz w:val="24"/>
          <w:szCs w:val="24"/>
          <w:shd w:val="clear" w:color="auto" w:fill="FFFFFF"/>
          <w:lang w:val="pt-PT"/>
        </w:rPr>
        <w:tab/>
        <w:t xml:space="preserve">    </w:t>
      </w:r>
      <w:r>
        <w:rPr>
          <w:rFonts w:ascii="Times New Roman" w:hAnsi="Times New Roman"/>
          <w:b/>
          <w:bCs/>
          <w:color w:val="000000"/>
          <w:sz w:val="24"/>
          <w:szCs w:val="24"/>
          <w:shd w:val="clear" w:color="auto" w:fill="FFFFFF"/>
          <w:lang w:val="pt-PT"/>
        </w:rPr>
        <w:t xml:space="preserve">                  </w:t>
      </w:r>
      <w:r w:rsidR="00135578" w:rsidRPr="00980841">
        <w:rPr>
          <w:rFonts w:ascii="Times New Roman" w:hAnsi="Times New Roman"/>
          <w:b/>
          <w:bCs/>
          <w:color w:val="000000"/>
          <w:sz w:val="24"/>
          <w:szCs w:val="24"/>
          <w:shd w:val="clear" w:color="auto" w:fill="FFFFFF"/>
          <w:lang w:val="pt-PT"/>
        </w:rPr>
        <w:t xml:space="preserve"> </w:t>
      </w:r>
      <w:r>
        <w:rPr>
          <w:rFonts w:ascii="Times New Roman" w:hAnsi="Times New Roman"/>
          <w:b/>
          <w:bCs/>
          <w:color w:val="000000"/>
          <w:sz w:val="24"/>
          <w:szCs w:val="24"/>
          <w:shd w:val="clear" w:color="auto" w:fill="FFFFFF"/>
          <w:lang w:val="pt-PT"/>
        </w:rPr>
        <w:t>Radu MARINESCU</w:t>
      </w:r>
    </w:p>
    <w:p w14:paraId="4D5D9E47" w14:textId="4F9A1E4F" w:rsidR="001466DD" w:rsidRPr="00135578" w:rsidRDefault="001466DD" w:rsidP="00135578">
      <w:pPr>
        <w:spacing w:after="0" w:line="240" w:lineRule="auto"/>
        <w:rPr>
          <w:rFonts w:ascii="Times New Roman" w:hAnsi="Times New Roman"/>
          <w:b/>
          <w:color w:val="000000"/>
          <w:sz w:val="24"/>
          <w:szCs w:val="24"/>
          <w:lang w:val="ro-RO" w:bidi="en-US"/>
        </w:rPr>
      </w:pPr>
    </w:p>
    <w:p w14:paraId="1B8DFA43" w14:textId="77777777" w:rsidR="001466DD" w:rsidRDefault="001466DD" w:rsidP="001466DD">
      <w:pPr>
        <w:spacing w:after="0" w:line="240" w:lineRule="auto"/>
        <w:jc w:val="center"/>
        <w:rPr>
          <w:rFonts w:ascii="Times New Roman" w:hAnsi="Times New Roman"/>
          <w:b/>
          <w:color w:val="000000"/>
          <w:sz w:val="24"/>
          <w:szCs w:val="24"/>
          <w:lang w:val="ro-RO" w:bidi="en-US"/>
        </w:rPr>
      </w:pPr>
    </w:p>
    <w:p w14:paraId="30C6A878" w14:textId="77777777" w:rsidR="001466DD" w:rsidRPr="008613CF" w:rsidRDefault="001466DD" w:rsidP="001466DD">
      <w:pPr>
        <w:spacing w:after="0" w:line="240" w:lineRule="auto"/>
        <w:jc w:val="center"/>
        <w:rPr>
          <w:rFonts w:ascii="Times New Roman" w:hAnsi="Times New Roman"/>
          <w:b/>
          <w:color w:val="000000"/>
          <w:sz w:val="24"/>
          <w:szCs w:val="24"/>
          <w:lang w:val="ro-RO" w:bidi="en-US"/>
        </w:rPr>
      </w:pPr>
    </w:p>
    <w:p w14:paraId="5039CC0C" w14:textId="77777777" w:rsidR="001466DD" w:rsidRPr="008613CF" w:rsidRDefault="001466DD" w:rsidP="001466DD">
      <w:pPr>
        <w:spacing w:after="0" w:line="240" w:lineRule="auto"/>
        <w:jc w:val="center"/>
        <w:rPr>
          <w:rFonts w:ascii="Times New Roman" w:hAnsi="Times New Roman"/>
          <w:b/>
          <w:color w:val="000000"/>
          <w:sz w:val="24"/>
          <w:szCs w:val="24"/>
          <w:lang w:val="ro-RO" w:bidi="en-US"/>
        </w:rPr>
      </w:pPr>
    </w:p>
    <w:p w14:paraId="1C323E5D" w14:textId="77777777" w:rsidR="00C672C6" w:rsidRDefault="00C672C6" w:rsidP="00C672C6">
      <w:pPr>
        <w:rPr>
          <w:rFonts w:ascii="Times New Roman" w:hAnsi="Times New Roman"/>
          <w:b/>
          <w:sz w:val="24"/>
          <w:szCs w:val="24"/>
          <w:lang w:val="ro-RO"/>
        </w:rPr>
      </w:pPr>
    </w:p>
    <w:p w14:paraId="207FA012" w14:textId="77777777" w:rsidR="00AB5662" w:rsidRDefault="00AB5662" w:rsidP="00C672C6">
      <w:pPr>
        <w:rPr>
          <w:rFonts w:ascii="Times New Roman" w:hAnsi="Times New Roman"/>
          <w:b/>
          <w:sz w:val="24"/>
          <w:szCs w:val="24"/>
          <w:lang w:val="ro-RO"/>
        </w:rPr>
      </w:pPr>
    </w:p>
    <w:p w14:paraId="592BF5F2" w14:textId="77777777" w:rsidR="00AB5662" w:rsidRDefault="00AB5662" w:rsidP="00C672C6">
      <w:pPr>
        <w:rPr>
          <w:rFonts w:ascii="Times New Roman" w:hAnsi="Times New Roman"/>
          <w:b/>
          <w:sz w:val="24"/>
          <w:szCs w:val="24"/>
          <w:lang w:val="ro-RO"/>
        </w:rPr>
      </w:pPr>
    </w:p>
    <w:p w14:paraId="3083D5ED" w14:textId="04839596" w:rsidR="00135578" w:rsidRPr="005B70DF" w:rsidRDefault="00135578" w:rsidP="005B70DF">
      <w:pPr>
        <w:spacing w:after="0" w:line="240" w:lineRule="auto"/>
        <w:rPr>
          <w:rFonts w:ascii="Times New Roman" w:hAnsi="Times New Roman"/>
          <w:b/>
          <w:sz w:val="24"/>
          <w:szCs w:val="24"/>
          <w:lang w:val="ro-RO"/>
        </w:rPr>
      </w:pPr>
    </w:p>
    <w:sectPr w:rsidR="00135578" w:rsidRPr="005B70DF" w:rsidSect="008467E3">
      <w:headerReference w:type="even" r:id="rId8"/>
      <w:headerReference w:type="default" r:id="rId9"/>
      <w:footerReference w:type="even" r:id="rId10"/>
      <w:footerReference w:type="default" r:id="rId11"/>
      <w:headerReference w:type="first" r:id="rId12"/>
      <w:footerReference w:type="first" r:id="rId13"/>
      <w:pgSz w:w="11906" w:h="16838"/>
      <w:pgMar w:top="992" w:right="566" w:bottom="630" w:left="12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A6AB" w14:textId="77777777" w:rsidR="001C35CF" w:rsidRDefault="001C35CF" w:rsidP="008608BE">
      <w:pPr>
        <w:spacing w:after="0" w:line="240" w:lineRule="auto"/>
      </w:pPr>
      <w:r>
        <w:separator/>
      </w:r>
    </w:p>
  </w:endnote>
  <w:endnote w:type="continuationSeparator" w:id="0">
    <w:p w14:paraId="4C5CD389" w14:textId="77777777" w:rsidR="001C35CF" w:rsidRDefault="001C35CF"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810B" w14:textId="77777777" w:rsidR="00326268" w:rsidRDefault="0032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8FAB" w14:textId="77777777" w:rsidR="00326268" w:rsidRDefault="00326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9B74" w14:textId="77777777" w:rsidR="00326268" w:rsidRDefault="0032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F81C" w14:textId="77777777" w:rsidR="001C35CF" w:rsidRDefault="001C35CF" w:rsidP="008608BE">
      <w:pPr>
        <w:spacing w:after="0" w:line="240" w:lineRule="auto"/>
      </w:pPr>
      <w:r>
        <w:separator/>
      </w:r>
    </w:p>
  </w:footnote>
  <w:footnote w:type="continuationSeparator" w:id="0">
    <w:p w14:paraId="475997EE" w14:textId="77777777" w:rsidR="001C35CF" w:rsidRDefault="001C35CF"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05B5" w14:textId="0FF626BE" w:rsidR="00773EDA" w:rsidRDefault="00000000">
    <w:pPr>
      <w:pStyle w:val="Header"/>
    </w:pPr>
    <w:r>
      <w:rPr>
        <w:noProof/>
      </w:rPr>
      <w:pict w14:anchorId="06268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08297" o:spid="_x0000_s1026" type="#_x0000_t136" style="position:absolute;margin-left:0;margin-top:0;width:473.75pt;height:236.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80C6" w14:textId="298343DE" w:rsidR="00773EDA" w:rsidRDefault="00000000">
    <w:pPr>
      <w:pStyle w:val="Header"/>
    </w:pPr>
    <w:r>
      <w:rPr>
        <w:noProof/>
      </w:rPr>
      <w:pict w14:anchorId="1307B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08298" o:spid="_x0000_s1027" type="#_x0000_t136" style="position:absolute;margin-left:0;margin-top:0;width:473.75pt;height:236.8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3592" w14:textId="0A5ADAC9" w:rsidR="00773EDA" w:rsidRDefault="00000000">
    <w:pPr>
      <w:pStyle w:val="Header"/>
    </w:pPr>
    <w:r>
      <w:rPr>
        <w:noProof/>
      </w:rPr>
      <w:pict w14:anchorId="6F7C3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08296" o:spid="_x0000_s1025" type="#_x0000_t136" style="position:absolute;margin-left:0;margin-top:0;width:473.75pt;height:236.8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C76"/>
    <w:multiLevelType w:val="hybridMultilevel"/>
    <w:tmpl w:val="F1F6F60E"/>
    <w:lvl w:ilvl="0" w:tplc="2564DD6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A5E"/>
    <w:multiLevelType w:val="hybridMultilevel"/>
    <w:tmpl w:val="BEE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2EBD"/>
    <w:multiLevelType w:val="hybridMultilevel"/>
    <w:tmpl w:val="7DC8F8DA"/>
    <w:lvl w:ilvl="0" w:tplc="2E5CC46C">
      <w:start w:val="1"/>
      <w:numFmt w:val="lowerLetter"/>
      <w:pStyle w:val="ListBullet"/>
      <w:lvlText w:val="%1)"/>
      <w:lvlJc w:val="left"/>
      <w:pPr>
        <w:ind w:left="720" w:hanging="360"/>
      </w:pPr>
      <w:rPr>
        <w:rFonts w:ascii="Times New Roman" w:eastAsia="Times New Roman" w:hAnsi="Times New Roman" w:cs="Times New Roman"/>
        <w:color w:val="auto"/>
      </w:rPr>
    </w:lvl>
    <w:lvl w:ilvl="1" w:tplc="4F0CD34E">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23374"/>
    <w:multiLevelType w:val="hybridMultilevel"/>
    <w:tmpl w:val="FA7AC59A"/>
    <w:lvl w:ilvl="0" w:tplc="54D02F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A6921"/>
    <w:multiLevelType w:val="hybridMultilevel"/>
    <w:tmpl w:val="7E3C2950"/>
    <w:lvl w:ilvl="0" w:tplc="DE9C89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B75A3"/>
    <w:multiLevelType w:val="hybridMultilevel"/>
    <w:tmpl w:val="21D676F6"/>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2"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D74FFC"/>
    <w:multiLevelType w:val="hybridMultilevel"/>
    <w:tmpl w:val="487E594C"/>
    <w:lvl w:ilvl="0" w:tplc="20C4632E">
      <w:start w:val="1"/>
      <w:numFmt w:val="lowerLetter"/>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7F3B82"/>
    <w:multiLevelType w:val="hybridMultilevel"/>
    <w:tmpl w:val="47E48A9E"/>
    <w:lvl w:ilvl="0" w:tplc="FF1A46EE">
      <w:numFmt w:val="bullet"/>
      <w:lvlText w:val="-"/>
      <w:lvlJc w:val="left"/>
      <w:pPr>
        <w:ind w:left="739" w:hanging="360"/>
      </w:pPr>
      <w:rPr>
        <w:rFonts w:ascii="Calibri" w:eastAsiaTheme="minorEastAsia" w:hAnsi="Calibri" w:cstheme="minorBidi" w:hint="default"/>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16"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9"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2"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3"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4"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5"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41CB3"/>
    <w:multiLevelType w:val="multilevel"/>
    <w:tmpl w:val="787CBB98"/>
    <w:lvl w:ilvl="0">
      <w:numFmt w:val="bullet"/>
      <w:lvlText w:val="-"/>
      <w:lvlJc w:val="left"/>
      <w:pPr>
        <w:ind w:left="720" w:hanging="360"/>
      </w:pPr>
      <w:rPr>
        <w:rFonts w:ascii="Trebuchet MS" w:eastAsia="Times New Roman"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6E5E5EE4"/>
    <w:multiLevelType w:val="hybridMultilevel"/>
    <w:tmpl w:val="E374951C"/>
    <w:lvl w:ilvl="0" w:tplc="B8E26E90">
      <w:start w:val="1"/>
      <w:numFmt w:val="bullet"/>
      <w:lvlText w:val=""/>
      <w:lvlJc w:val="left"/>
      <w:pPr>
        <w:tabs>
          <w:tab w:val="num" w:pos="360"/>
        </w:tabs>
        <w:ind w:left="360" w:hanging="360"/>
      </w:pPr>
      <w:rPr>
        <w:rFonts w:ascii="Symbol" w:hAnsi="Symbol" w:hint="default"/>
        <w:color w:val="auto"/>
      </w:rPr>
    </w:lvl>
    <w:lvl w:ilvl="1" w:tplc="5BFE86A4">
      <w:numFmt w:val="bullet"/>
      <w:lvlText w:val="-"/>
      <w:lvlJc w:val="left"/>
      <w:pPr>
        <w:tabs>
          <w:tab w:val="num" w:pos="785"/>
        </w:tabs>
        <w:ind w:left="785" w:hanging="360"/>
      </w:pPr>
      <w:rPr>
        <w:rFonts w:ascii="Times New Roman" w:eastAsia="Times New Roman" w:hAnsi="Times New Roman" w:cs="Times New Roman" w:hint="default"/>
        <w:color w:val="auto"/>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113E36"/>
    <w:multiLevelType w:val="hybridMultilevel"/>
    <w:tmpl w:val="B49A19E0"/>
    <w:lvl w:ilvl="0" w:tplc="FF1A46EE">
      <w:numFmt w:val="bullet"/>
      <w:lvlText w:val="-"/>
      <w:lvlJc w:val="left"/>
      <w:pPr>
        <w:ind w:left="720" w:hanging="360"/>
      </w:pPr>
      <w:rPr>
        <w:rFonts w:ascii="Calibri" w:eastAsiaTheme="minorEastAsia"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2092892329">
    <w:abstractNumId w:val="19"/>
  </w:num>
  <w:num w:numId="2" w16cid:durableId="810513086">
    <w:abstractNumId w:val="22"/>
  </w:num>
  <w:num w:numId="3" w16cid:durableId="172109563">
    <w:abstractNumId w:val="26"/>
  </w:num>
  <w:num w:numId="4" w16cid:durableId="476922632">
    <w:abstractNumId w:val="31"/>
  </w:num>
  <w:num w:numId="5" w16cid:durableId="403454883">
    <w:abstractNumId w:val="27"/>
  </w:num>
  <w:num w:numId="6" w16cid:durableId="141194582">
    <w:abstractNumId w:val="23"/>
  </w:num>
  <w:num w:numId="7" w16cid:durableId="191304696">
    <w:abstractNumId w:val="29"/>
  </w:num>
  <w:num w:numId="8" w16cid:durableId="1673296282">
    <w:abstractNumId w:val="17"/>
  </w:num>
  <w:num w:numId="9" w16cid:durableId="562758704">
    <w:abstractNumId w:val="34"/>
  </w:num>
  <w:num w:numId="10" w16cid:durableId="356781615">
    <w:abstractNumId w:val="9"/>
  </w:num>
  <w:num w:numId="11" w16cid:durableId="1254780351">
    <w:abstractNumId w:val="13"/>
  </w:num>
  <w:num w:numId="12" w16cid:durableId="101848833">
    <w:abstractNumId w:val="20"/>
  </w:num>
  <w:num w:numId="13" w16cid:durableId="1324548484">
    <w:abstractNumId w:val="4"/>
  </w:num>
  <w:num w:numId="14" w16cid:durableId="2093117633">
    <w:abstractNumId w:val="37"/>
  </w:num>
  <w:num w:numId="15" w16cid:durableId="1058167618">
    <w:abstractNumId w:val="24"/>
  </w:num>
  <w:num w:numId="16" w16cid:durableId="1146168115">
    <w:abstractNumId w:val="18"/>
  </w:num>
  <w:num w:numId="17" w16cid:durableId="1107845313">
    <w:abstractNumId w:val="35"/>
  </w:num>
  <w:num w:numId="18" w16cid:durableId="264702476">
    <w:abstractNumId w:val="5"/>
  </w:num>
  <w:num w:numId="19" w16cid:durableId="536937450">
    <w:abstractNumId w:val="16"/>
  </w:num>
  <w:num w:numId="20" w16cid:durableId="303896722">
    <w:abstractNumId w:val="21"/>
  </w:num>
  <w:num w:numId="21" w16cid:durableId="1758866138">
    <w:abstractNumId w:val="33"/>
  </w:num>
  <w:num w:numId="22" w16cid:durableId="2144928115">
    <w:abstractNumId w:val="2"/>
  </w:num>
  <w:num w:numId="23" w16cid:durableId="447043954">
    <w:abstractNumId w:val="25"/>
  </w:num>
  <w:num w:numId="24" w16cid:durableId="1731148110">
    <w:abstractNumId w:val="28"/>
  </w:num>
  <w:num w:numId="25" w16cid:durableId="215315231">
    <w:abstractNumId w:val="8"/>
  </w:num>
  <w:num w:numId="26" w16cid:durableId="885457796">
    <w:abstractNumId w:val="12"/>
  </w:num>
  <w:num w:numId="27" w16cid:durableId="450629556">
    <w:abstractNumId w:val="38"/>
  </w:num>
  <w:num w:numId="28" w16cid:durableId="762609007">
    <w:abstractNumId w:val="6"/>
  </w:num>
  <w:num w:numId="29" w16cid:durableId="487135322">
    <w:abstractNumId w:val="0"/>
  </w:num>
  <w:num w:numId="30" w16cid:durableId="1448547339">
    <w:abstractNumId w:val="30"/>
  </w:num>
  <w:num w:numId="31" w16cid:durableId="1115176521">
    <w:abstractNumId w:val="7"/>
  </w:num>
  <w:num w:numId="32" w16cid:durableId="391345799">
    <w:abstractNumId w:val="36"/>
  </w:num>
  <w:num w:numId="33" w16cid:durableId="1150057591">
    <w:abstractNumId w:val="15"/>
  </w:num>
  <w:num w:numId="34" w16cid:durableId="677973713">
    <w:abstractNumId w:val="14"/>
  </w:num>
  <w:num w:numId="35" w16cid:durableId="567225158">
    <w:abstractNumId w:val="10"/>
  </w:num>
  <w:num w:numId="36" w16cid:durableId="950167171">
    <w:abstractNumId w:val="11"/>
  </w:num>
  <w:num w:numId="37" w16cid:durableId="2036999228">
    <w:abstractNumId w:val="3"/>
  </w:num>
  <w:num w:numId="38" w16cid:durableId="1635452676">
    <w:abstractNumId w:val="32"/>
    <w:lvlOverride w:ilvl="0"/>
    <w:lvlOverride w:ilvl="1">
      <w:startOverride w:val="1"/>
    </w:lvlOverride>
    <w:lvlOverride w:ilvl="2"/>
    <w:lvlOverride w:ilvl="3"/>
    <w:lvlOverride w:ilvl="4"/>
    <w:lvlOverride w:ilvl="5"/>
    <w:lvlOverride w:ilvl="6"/>
    <w:lvlOverride w:ilvl="7"/>
    <w:lvlOverride w:ilvl="8"/>
  </w:num>
  <w:num w:numId="39" w16cid:durableId="101535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5076"/>
    <w:rsid w:val="00026B6C"/>
    <w:rsid w:val="0003309D"/>
    <w:rsid w:val="0003489E"/>
    <w:rsid w:val="00037FA4"/>
    <w:rsid w:val="00040D3A"/>
    <w:rsid w:val="00043C3A"/>
    <w:rsid w:val="000711BF"/>
    <w:rsid w:val="00080DB1"/>
    <w:rsid w:val="00091801"/>
    <w:rsid w:val="000A0AEE"/>
    <w:rsid w:val="000A7C19"/>
    <w:rsid w:val="000B188D"/>
    <w:rsid w:val="000C3800"/>
    <w:rsid w:val="000C48EB"/>
    <w:rsid w:val="000D4620"/>
    <w:rsid w:val="000E254A"/>
    <w:rsid w:val="000F135D"/>
    <w:rsid w:val="001015F4"/>
    <w:rsid w:val="00102E70"/>
    <w:rsid w:val="00121F11"/>
    <w:rsid w:val="0013058C"/>
    <w:rsid w:val="00135578"/>
    <w:rsid w:val="00136A26"/>
    <w:rsid w:val="0014356E"/>
    <w:rsid w:val="00145BD5"/>
    <w:rsid w:val="001466DD"/>
    <w:rsid w:val="001532EB"/>
    <w:rsid w:val="00172C8C"/>
    <w:rsid w:val="00173D2D"/>
    <w:rsid w:val="00175C94"/>
    <w:rsid w:val="001B1395"/>
    <w:rsid w:val="001C02F2"/>
    <w:rsid w:val="001C2B44"/>
    <w:rsid w:val="001C35CF"/>
    <w:rsid w:val="001C5C91"/>
    <w:rsid w:val="001E4A50"/>
    <w:rsid w:val="001F4CC8"/>
    <w:rsid w:val="00200C84"/>
    <w:rsid w:val="00235589"/>
    <w:rsid w:val="00235E65"/>
    <w:rsid w:val="00267CEE"/>
    <w:rsid w:val="0028094D"/>
    <w:rsid w:val="002D3962"/>
    <w:rsid w:val="002E1FFC"/>
    <w:rsid w:val="002E5D14"/>
    <w:rsid w:val="002E7DAF"/>
    <w:rsid w:val="00321F29"/>
    <w:rsid w:val="003248B3"/>
    <w:rsid w:val="00326268"/>
    <w:rsid w:val="0035725F"/>
    <w:rsid w:val="00362876"/>
    <w:rsid w:val="00363352"/>
    <w:rsid w:val="00366894"/>
    <w:rsid w:val="00384F4B"/>
    <w:rsid w:val="00397BD4"/>
    <w:rsid w:val="003A1AC2"/>
    <w:rsid w:val="003B31B5"/>
    <w:rsid w:val="003B7233"/>
    <w:rsid w:val="003E5ABD"/>
    <w:rsid w:val="003F1069"/>
    <w:rsid w:val="003F7962"/>
    <w:rsid w:val="004249E1"/>
    <w:rsid w:val="00432FB2"/>
    <w:rsid w:val="00440046"/>
    <w:rsid w:val="00441CC1"/>
    <w:rsid w:val="00460A8E"/>
    <w:rsid w:val="00460C05"/>
    <w:rsid w:val="00470BC1"/>
    <w:rsid w:val="004918AE"/>
    <w:rsid w:val="004A30E7"/>
    <w:rsid w:val="004A4656"/>
    <w:rsid w:val="004B3CE4"/>
    <w:rsid w:val="004B586A"/>
    <w:rsid w:val="004C2572"/>
    <w:rsid w:val="004C6DAB"/>
    <w:rsid w:val="004D2D6C"/>
    <w:rsid w:val="004D2ED5"/>
    <w:rsid w:val="004F1964"/>
    <w:rsid w:val="004F61DF"/>
    <w:rsid w:val="00500028"/>
    <w:rsid w:val="00520573"/>
    <w:rsid w:val="00527730"/>
    <w:rsid w:val="00537764"/>
    <w:rsid w:val="00537835"/>
    <w:rsid w:val="00552782"/>
    <w:rsid w:val="005638C8"/>
    <w:rsid w:val="00563EE9"/>
    <w:rsid w:val="005A73E2"/>
    <w:rsid w:val="005B429C"/>
    <w:rsid w:val="005B4405"/>
    <w:rsid w:val="005B70DF"/>
    <w:rsid w:val="005C09F8"/>
    <w:rsid w:val="005C0FF5"/>
    <w:rsid w:val="005C46A6"/>
    <w:rsid w:val="005F0693"/>
    <w:rsid w:val="00606DDC"/>
    <w:rsid w:val="00607A8F"/>
    <w:rsid w:val="00614508"/>
    <w:rsid w:val="00637D25"/>
    <w:rsid w:val="0064732E"/>
    <w:rsid w:val="00652CFB"/>
    <w:rsid w:val="00660507"/>
    <w:rsid w:val="006663D8"/>
    <w:rsid w:val="00666F8A"/>
    <w:rsid w:val="006743D6"/>
    <w:rsid w:val="006B36BE"/>
    <w:rsid w:val="006B527E"/>
    <w:rsid w:val="006B5BF0"/>
    <w:rsid w:val="006F4E09"/>
    <w:rsid w:val="007144B9"/>
    <w:rsid w:val="00716A4A"/>
    <w:rsid w:val="00727B65"/>
    <w:rsid w:val="0073442A"/>
    <w:rsid w:val="00755B49"/>
    <w:rsid w:val="0077381D"/>
    <w:rsid w:val="00773EDA"/>
    <w:rsid w:val="0078461E"/>
    <w:rsid w:val="007C1AA9"/>
    <w:rsid w:val="007D131A"/>
    <w:rsid w:val="007D5338"/>
    <w:rsid w:val="007D6BA8"/>
    <w:rsid w:val="007E4DF2"/>
    <w:rsid w:val="007F1320"/>
    <w:rsid w:val="00801BFB"/>
    <w:rsid w:val="00801EDF"/>
    <w:rsid w:val="0080216D"/>
    <w:rsid w:val="00823114"/>
    <w:rsid w:val="008267A7"/>
    <w:rsid w:val="0082708A"/>
    <w:rsid w:val="00831BCD"/>
    <w:rsid w:val="00842817"/>
    <w:rsid w:val="008467E3"/>
    <w:rsid w:val="008558FC"/>
    <w:rsid w:val="008608BE"/>
    <w:rsid w:val="00894EB6"/>
    <w:rsid w:val="008A3397"/>
    <w:rsid w:val="008B23C4"/>
    <w:rsid w:val="008B4A3A"/>
    <w:rsid w:val="008B5F1F"/>
    <w:rsid w:val="008C292A"/>
    <w:rsid w:val="008C4919"/>
    <w:rsid w:val="008D003A"/>
    <w:rsid w:val="008D665B"/>
    <w:rsid w:val="008F1517"/>
    <w:rsid w:val="00917076"/>
    <w:rsid w:val="00922777"/>
    <w:rsid w:val="009229F8"/>
    <w:rsid w:val="00924C4F"/>
    <w:rsid w:val="00965062"/>
    <w:rsid w:val="00980841"/>
    <w:rsid w:val="009A152E"/>
    <w:rsid w:val="009A60AD"/>
    <w:rsid w:val="009B4008"/>
    <w:rsid w:val="009C0DA0"/>
    <w:rsid w:val="009C390F"/>
    <w:rsid w:val="009C65EA"/>
    <w:rsid w:val="009C6D31"/>
    <w:rsid w:val="009D24AF"/>
    <w:rsid w:val="009D2D84"/>
    <w:rsid w:val="009E5CE5"/>
    <w:rsid w:val="009F1EC6"/>
    <w:rsid w:val="009F218B"/>
    <w:rsid w:val="009F5E1E"/>
    <w:rsid w:val="009F6685"/>
    <w:rsid w:val="00A27C28"/>
    <w:rsid w:val="00A359A7"/>
    <w:rsid w:val="00A4313C"/>
    <w:rsid w:val="00A50455"/>
    <w:rsid w:val="00A52AE6"/>
    <w:rsid w:val="00A72DF7"/>
    <w:rsid w:val="00A8312B"/>
    <w:rsid w:val="00AA2528"/>
    <w:rsid w:val="00AA3ADE"/>
    <w:rsid w:val="00AA5B8F"/>
    <w:rsid w:val="00AB5662"/>
    <w:rsid w:val="00AD1B45"/>
    <w:rsid w:val="00AD3977"/>
    <w:rsid w:val="00B00AA4"/>
    <w:rsid w:val="00B02D7D"/>
    <w:rsid w:val="00B06665"/>
    <w:rsid w:val="00B17EF4"/>
    <w:rsid w:val="00B259EC"/>
    <w:rsid w:val="00B27966"/>
    <w:rsid w:val="00B324DA"/>
    <w:rsid w:val="00B32EF1"/>
    <w:rsid w:val="00B361F2"/>
    <w:rsid w:val="00B36FBE"/>
    <w:rsid w:val="00B443A5"/>
    <w:rsid w:val="00B679F0"/>
    <w:rsid w:val="00B72ADF"/>
    <w:rsid w:val="00B73E26"/>
    <w:rsid w:val="00B74ED1"/>
    <w:rsid w:val="00B86FE6"/>
    <w:rsid w:val="00BB143F"/>
    <w:rsid w:val="00BB37E0"/>
    <w:rsid w:val="00BB577E"/>
    <w:rsid w:val="00BD13A6"/>
    <w:rsid w:val="00BD1C79"/>
    <w:rsid w:val="00BD45EC"/>
    <w:rsid w:val="00BD6282"/>
    <w:rsid w:val="00BE458B"/>
    <w:rsid w:val="00C06944"/>
    <w:rsid w:val="00C10529"/>
    <w:rsid w:val="00C33DB0"/>
    <w:rsid w:val="00C5468E"/>
    <w:rsid w:val="00C57CB8"/>
    <w:rsid w:val="00C672C6"/>
    <w:rsid w:val="00C67E6E"/>
    <w:rsid w:val="00C73E08"/>
    <w:rsid w:val="00C75A41"/>
    <w:rsid w:val="00C761F5"/>
    <w:rsid w:val="00C84487"/>
    <w:rsid w:val="00C87478"/>
    <w:rsid w:val="00C90C41"/>
    <w:rsid w:val="00CB6AE6"/>
    <w:rsid w:val="00CC77DC"/>
    <w:rsid w:val="00CE154A"/>
    <w:rsid w:val="00D06ABC"/>
    <w:rsid w:val="00D32468"/>
    <w:rsid w:val="00D3503A"/>
    <w:rsid w:val="00D36A1E"/>
    <w:rsid w:val="00D40630"/>
    <w:rsid w:val="00D564DA"/>
    <w:rsid w:val="00D70493"/>
    <w:rsid w:val="00D863F1"/>
    <w:rsid w:val="00D94A2C"/>
    <w:rsid w:val="00D961CC"/>
    <w:rsid w:val="00DA33B1"/>
    <w:rsid w:val="00DB33F5"/>
    <w:rsid w:val="00DC0014"/>
    <w:rsid w:val="00DD1889"/>
    <w:rsid w:val="00DD2004"/>
    <w:rsid w:val="00DE0EF8"/>
    <w:rsid w:val="00DE1DF9"/>
    <w:rsid w:val="00DF3D17"/>
    <w:rsid w:val="00E01616"/>
    <w:rsid w:val="00E0584F"/>
    <w:rsid w:val="00E15204"/>
    <w:rsid w:val="00E17EBE"/>
    <w:rsid w:val="00E318A6"/>
    <w:rsid w:val="00E34011"/>
    <w:rsid w:val="00E350CC"/>
    <w:rsid w:val="00E43088"/>
    <w:rsid w:val="00E44626"/>
    <w:rsid w:val="00E47540"/>
    <w:rsid w:val="00E67A64"/>
    <w:rsid w:val="00E8575B"/>
    <w:rsid w:val="00E8759F"/>
    <w:rsid w:val="00E91305"/>
    <w:rsid w:val="00EB3269"/>
    <w:rsid w:val="00EB3777"/>
    <w:rsid w:val="00EB3BE0"/>
    <w:rsid w:val="00EB7FAC"/>
    <w:rsid w:val="00EC28E3"/>
    <w:rsid w:val="00EF5C67"/>
    <w:rsid w:val="00F01806"/>
    <w:rsid w:val="00F1046D"/>
    <w:rsid w:val="00F22A4A"/>
    <w:rsid w:val="00F269A2"/>
    <w:rsid w:val="00F443DA"/>
    <w:rsid w:val="00F66A76"/>
    <w:rsid w:val="00F8386D"/>
    <w:rsid w:val="00F86848"/>
    <w:rsid w:val="00F93EF5"/>
    <w:rsid w:val="00F95403"/>
    <w:rsid w:val="00FA0B57"/>
    <w:rsid w:val="00FA263D"/>
    <w:rsid w:val="00FA509F"/>
    <w:rsid w:val="00FB445F"/>
    <w:rsid w:val="00FB7211"/>
    <w:rsid w:val="00FD49CF"/>
    <w:rsid w:val="00FD6413"/>
    <w:rsid w:val="00FE7B91"/>
    <w:rsid w:val="00FF2B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7F818"/>
  <w15:chartTrackingRefBased/>
  <w15:docId w15:val="{258DE275-E761-4D12-ACAF-808650EF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eastAsia="en-US"/>
    </w:rPr>
  </w:style>
  <w:style w:type="paragraph" w:styleId="ListParagraph">
    <w:name w:val="List Paragraph"/>
    <w:aliases w:val="Heading 2_sj,Numbered Para 1,Dot pt,List Paragraph Char Char Char,Indicator Text,Bullet Points,MAIN CONTENT,List Paragraph12,F5 List Paragraph,LIST OF TABLES.,Table/Figure Heading,Listeafsnit,body 2,Forth level"/>
    <w:basedOn w:val="Normal"/>
    <w:link w:val="ListParagraphChar"/>
    <w:uiPriority w:val="34"/>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sion">
    <w:name w:val="Revision"/>
    <w:hidden/>
    <w:uiPriority w:val="99"/>
    <w:semiHidden/>
    <w:rsid w:val="00DE0EF8"/>
    <w:rPr>
      <w:sz w:val="22"/>
      <w:szCs w:val="22"/>
      <w:lang w:val="en-GB" w:eastAsia="en-US"/>
    </w:rPr>
  </w:style>
  <w:style w:type="character" w:customStyle="1" w:styleId="ListParagraphChar">
    <w:name w:val="List Paragraph Char"/>
    <w:aliases w:val="Heading 2_sj Char,Numbered Para 1 Char,Dot pt Char,List Paragraph Char Char Char Char,Indicator Text Char,Bullet Points Char,MAIN CONTENT Char,List Paragraph12 Char,F5 List Paragraph Char,LIST OF TABLES. Char,Listeafsnit Char"/>
    <w:link w:val="ListParagraph"/>
    <w:uiPriority w:val="34"/>
    <w:qFormat/>
    <w:locked/>
    <w:rsid w:val="00DE0EF8"/>
    <w:rPr>
      <w:noProof/>
      <w:sz w:val="22"/>
      <w:szCs w:val="22"/>
      <w:lang w:val="ro-RO" w:eastAsia="en-US"/>
    </w:rPr>
  </w:style>
  <w:style w:type="paragraph" w:styleId="ListBullet">
    <w:name w:val="List Bullet"/>
    <w:basedOn w:val="Normal"/>
    <w:autoRedefine/>
    <w:rsid w:val="00362876"/>
    <w:pPr>
      <w:numPr>
        <w:numId w:val="37"/>
      </w:numPr>
      <w:tabs>
        <w:tab w:val="left" w:pos="709"/>
      </w:tabs>
      <w:spacing w:before="120" w:after="120" w:line="240" w:lineRule="auto"/>
      <w:jc w:val="both"/>
    </w:pPr>
    <w:rPr>
      <w:rFonts w:ascii="Times New Roman" w:eastAsia="Times New Roman" w:hAnsi="Times New Roman"/>
      <w:snapToGrid w:val="0"/>
      <w:color w:val="000000" w:themeColor="text1"/>
      <w:sz w:val="24"/>
      <w:szCs w:val="24"/>
      <w:lang w:val="hu-HU" w:eastAsia="hu-H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291596891">
      <w:bodyDiv w:val="1"/>
      <w:marLeft w:val="0"/>
      <w:marRight w:val="0"/>
      <w:marTop w:val="0"/>
      <w:marBottom w:val="0"/>
      <w:divBdr>
        <w:top w:val="none" w:sz="0" w:space="0" w:color="auto"/>
        <w:left w:val="none" w:sz="0" w:space="0" w:color="auto"/>
        <w:bottom w:val="none" w:sz="0" w:space="0" w:color="auto"/>
        <w:right w:val="none" w:sz="0" w:space="0" w:color="auto"/>
      </w:divBdr>
    </w:div>
    <w:div w:id="1199703590">
      <w:bodyDiv w:val="1"/>
      <w:marLeft w:val="0"/>
      <w:marRight w:val="0"/>
      <w:marTop w:val="0"/>
      <w:marBottom w:val="0"/>
      <w:divBdr>
        <w:top w:val="none" w:sz="0" w:space="0" w:color="auto"/>
        <w:left w:val="none" w:sz="0" w:space="0" w:color="auto"/>
        <w:bottom w:val="none" w:sz="0" w:space="0" w:color="auto"/>
        <w:right w:val="none" w:sz="0" w:space="0" w:color="auto"/>
      </w:divBdr>
    </w:div>
    <w:div w:id="1492720733">
      <w:bodyDiv w:val="1"/>
      <w:marLeft w:val="0"/>
      <w:marRight w:val="0"/>
      <w:marTop w:val="0"/>
      <w:marBottom w:val="0"/>
      <w:divBdr>
        <w:top w:val="none" w:sz="0" w:space="0" w:color="auto"/>
        <w:left w:val="none" w:sz="0" w:space="0" w:color="auto"/>
        <w:bottom w:val="none" w:sz="0" w:space="0" w:color="auto"/>
        <w:right w:val="none" w:sz="0" w:space="0" w:color="auto"/>
      </w:divBdr>
      <w:divsChild>
        <w:div w:id="1490949616">
          <w:marLeft w:val="0"/>
          <w:marRight w:val="0"/>
          <w:marTop w:val="0"/>
          <w:marBottom w:val="45"/>
          <w:divBdr>
            <w:top w:val="none" w:sz="0" w:space="0" w:color="auto"/>
            <w:left w:val="none" w:sz="0" w:space="0" w:color="auto"/>
            <w:bottom w:val="none" w:sz="0" w:space="0" w:color="auto"/>
            <w:right w:val="none" w:sz="0" w:space="0" w:color="auto"/>
          </w:divBdr>
        </w:div>
        <w:div w:id="445201845">
          <w:marLeft w:val="0"/>
          <w:marRight w:val="0"/>
          <w:marTop w:val="0"/>
          <w:marBottom w:val="0"/>
          <w:divBdr>
            <w:top w:val="none" w:sz="0" w:space="0" w:color="auto"/>
            <w:left w:val="none" w:sz="0" w:space="0" w:color="auto"/>
            <w:bottom w:val="none" w:sz="0" w:space="0" w:color="auto"/>
            <w:right w:val="none" w:sz="0" w:space="0" w:color="auto"/>
          </w:divBdr>
        </w:div>
      </w:divsChild>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709836523">
      <w:bodyDiv w:val="1"/>
      <w:marLeft w:val="0"/>
      <w:marRight w:val="0"/>
      <w:marTop w:val="0"/>
      <w:marBottom w:val="0"/>
      <w:divBdr>
        <w:top w:val="none" w:sz="0" w:space="0" w:color="auto"/>
        <w:left w:val="none" w:sz="0" w:space="0" w:color="auto"/>
        <w:bottom w:val="none" w:sz="0" w:space="0" w:color="auto"/>
        <w:right w:val="none" w:sz="0" w:space="0" w:color="auto"/>
      </w:divBdr>
    </w:div>
    <w:div w:id="1717046957">
      <w:bodyDiv w:val="1"/>
      <w:marLeft w:val="0"/>
      <w:marRight w:val="0"/>
      <w:marTop w:val="0"/>
      <w:marBottom w:val="0"/>
      <w:divBdr>
        <w:top w:val="none" w:sz="0" w:space="0" w:color="auto"/>
        <w:left w:val="none" w:sz="0" w:space="0" w:color="auto"/>
        <w:bottom w:val="none" w:sz="0" w:space="0" w:color="auto"/>
        <w:right w:val="none" w:sz="0" w:space="0" w:color="auto"/>
      </w:divBdr>
    </w:div>
    <w:div w:id="1857305609">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5C4F-A7A7-4A31-8E9E-827F6748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2133</Words>
  <Characters>12162</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Anna Roman</cp:lastModifiedBy>
  <cp:revision>23</cp:revision>
  <cp:lastPrinted>2025-07-07T12:27:00Z</cp:lastPrinted>
  <dcterms:created xsi:type="dcterms:W3CDTF">2023-04-11T09:43:00Z</dcterms:created>
  <dcterms:modified xsi:type="dcterms:W3CDTF">2025-07-21T05:50:00Z</dcterms:modified>
</cp:coreProperties>
</file>