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F73" w:rsidRPr="0055023B" w:rsidRDefault="00B14F73" w:rsidP="0055023B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B14F7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Anex</w:t>
      </w:r>
      <w:r w:rsidRPr="0052005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ă</w:t>
      </w:r>
    </w:p>
    <w:p w:rsidR="00853473" w:rsidRPr="0055023B" w:rsidRDefault="00B14F73" w:rsidP="0055023B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5502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 </w:t>
      </w:r>
      <w:r w:rsidR="00853473" w:rsidRPr="005502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Hotărâre</w:t>
      </w:r>
      <w:r w:rsidRPr="005502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 Guvernului ..............................</w:t>
      </w:r>
    </w:p>
    <w:p w:rsidR="00853473" w:rsidRPr="0055023B" w:rsidRDefault="00853473" w:rsidP="0055023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04B34" w:rsidRPr="0055023B" w:rsidRDefault="00B14F73" w:rsidP="0055023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F7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Metodologi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 </w:t>
      </w:r>
      <w:r w:rsidRPr="00B14F7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de aplicare şi modul de utilizare al resurselor rezultate din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</w:t>
      </w:r>
      <w:r w:rsidRPr="00B14F7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ctivitate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 </w:t>
      </w:r>
      <w:r w:rsidRPr="005C09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finanțat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ă </w:t>
      </w:r>
      <w:r w:rsidRPr="005C09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integral din venituri </w:t>
      </w:r>
      <w:r w:rsidR="00F11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proprii, </w:t>
      </w:r>
      <w:r w:rsidR="00B04B34"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înființa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tă </w:t>
      </w:r>
      <w:r w:rsidR="00B04B34"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 lângă Agenția Națională pentru Mediu și Arii Protejate </w:t>
      </w:r>
    </w:p>
    <w:p w:rsidR="00B04B34" w:rsidRPr="0055023B" w:rsidRDefault="00B04B34" w:rsidP="005502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BE2" w:rsidRDefault="005B0EA8" w:rsidP="004B594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</w:pPr>
      <w:r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</w:t>
      </w:r>
      <w:r w:rsidR="00B14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F5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4F73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Metodologia de aplicare şi modul de utilizare al resurselor rezultate din activitatea finanțată integral din venituri propri</w:t>
      </w:r>
      <w:r w:rsidR="00F51D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14F73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înființată pe lângă Agenția Națională pentru Mediu și Arii Protejate</w:t>
      </w:r>
      <w:r w:rsidR="00B14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denumită în continuare, </w:t>
      </w:r>
      <w:r w:rsidR="00B14F73" w:rsidRPr="0055023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Metodologie</w:t>
      </w:r>
      <w:r w:rsidR="00B14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36617" w:rsidRPr="005502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stabilește</w:t>
      </w:r>
      <w:r w:rsidR="00615E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</w:t>
      </w:r>
      <w:r w:rsidR="00853473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modul de aplicare și de utilizare a resurselor financiare</w:t>
      </w:r>
      <w:r w:rsidR="004B594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</w:t>
      </w:r>
      <w:r w:rsidR="004B594A" w:rsidRPr="004B594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o-RO"/>
        </w:rPr>
        <w:t>necesare bunei administrări a ariilor naturale protejate</w:t>
      </w:r>
      <w:r w:rsidR="009F5B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, </w:t>
      </w:r>
      <w:r w:rsidR="00853473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din domeniul de competență al Agenției Naționale pentru Mediu și Arii Protejate și a</w:t>
      </w:r>
      <w:r w:rsidR="00011F4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l</w:t>
      </w:r>
      <w:r w:rsidR="00853473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administratorilor ariilor naturale protejate</w:t>
      </w:r>
      <w:r w:rsidR="000D70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,</w:t>
      </w:r>
      <w:r w:rsidR="00853473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prin structuri de administrare special constituite</w:t>
      </w:r>
      <w:r w:rsidR="009F5B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.</w:t>
      </w:r>
    </w:p>
    <w:p w:rsidR="00B04B34" w:rsidRPr="0055023B" w:rsidRDefault="00B04B34" w:rsidP="0055023B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FC1589" w:rsidRPr="0055023B" w:rsidRDefault="005B0EA8" w:rsidP="0055023B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5A164D"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647624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Categoriile de s</w:t>
      </w:r>
      <w:r w:rsidR="00B36617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ervicii</w:t>
      </w:r>
      <w:r w:rsidR="00FC15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sau </w:t>
      </w:r>
      <w:r w:rsidR="0035045A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5A164D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urse de venituri proprii</w:t>
      </w:r>
      <w:r w:rsidR="004756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236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sunt</w:t>
      </w:r>
      <w:r w:rsidR="0035045A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următoarele:</w:t>
      </w:r>
    </w:p>
    <w:p w:rsidR="00FC1589" w:rsidRPr="0055023B" w:rsidRDefault="00FC1589" w:rsidP="0055023B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a</w:t>
      </w:r>
      <w:r w:rsidR="00B36617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naliza și verificarea documentației în cadrul procedurii de evaluare a impactului asupra mediului pentru anumite proiecte publice și private sau revizuirea/actualizarea acordului de mediu;</w:t>
      </w:r>
    </w:p>
    <w:p w:rsidR="00B36617" w:rsidRPr="0055023B" w:rsidRDefault="00FC1589" w:rsidP="0055023B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944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36617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naliza și verificarea documentației în cadrul procedurii de emitere a autorizației de mediu/autorizației integrate de mediu;</w:t>
      </w:r>
    </w:p>
    <w:p w:rsidR="00B36617" w:rsidRPr="0055023B" w:rsidRDefault="00FC1589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p</w:t>
      </w:r>
      <w:r w:rsidR="0035045A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arcurgerea procedurii de emitere a avizului de mediu pentru planuri /programe;</w:t>
      </w:r>
    </w:p>
    <w:p w:rsidR="00FC1589" w:rsidRPr="0055023B" w:rsidRDefault="00FC1589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 a</w:t>
      </w:r>
      <w:r w:rsidR="0035045A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naliza documentațiilor care privesc activitățile de recoltare/capturare și /sau achiziționare și/sau comercializare a unor plante și animale din flora și fauna sălbatică în stare vie, proaspătă sau semiprelucrată, a unor flori de mina, fosile de plante și fosile de animale vertebrate și nevertebrate;</w:t>
      </w:r>
    </w:p>
    <w:p w:rsidR="00387177" w:rsidRPr="0055023B" w:rsidRDefault="00FC1589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 f</w:t>
      </w:r>
      <w:r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otografiere</w:t>
      </w:r>
      <w:r w:rsidR="0035045A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/filmare flor</w:t>
      </w:r>
      <w:r w:rsidR="00387177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35045A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, faun</w:t>
      </w:r>
      <w:r w:rsidR="00387177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35045A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, habitate natural</w:t>
      </w:r>
      <w:r w:rsidR="0038717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5045A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peisaje în scop comercial </w:t>
      </w:r>
      <w:r w:rsidR="00B04B34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și acces în interiorul habitatelor natural</w:t>
      </w:r>
      <w:r w:rsidR="0038717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04B34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7177" w:rsidRDefault="00387177" w:rsidP="00387177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1179" w:rsidRPr="0055023B" w:rsidRDefault="005B0EA8" w:rsidP="0055023B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5A164D"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1B3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55023B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041179" w:rsidRPr="0055023B">
        <w:rPr>
          <w:rFonts w:ascii="Times New Roman" w:hAnsi="Times New Roman" w:cs="Times New Roman"/>
          <w:sz w:val="24"/>
          <w:szCs w:val="24"/>
          <w:lang w:val="ro-RO"/>
        </w:rPr>
        <w:t>Sumele provenite din tarifele încasate conform art. 30 alin. (3) din Ordonanța de urgență a Guvernului nr. 57/2007 privind regimul ariilor naturale protejate, conservarea habitatelor naturale, a florei și faunei sălbatice, aprobată cu modificări și completări prin Legea nr. 49/2011, cu modificările și completările ulterioare, sunt gestionate prin bugetul de venituri și cheltuieli aferente activități</w:t>
      </w:r>
      <w:r w:rsidR="001B3A3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41179" w:rsidRPr="0055023B">
        <w:rPr>
          <w:rFonts w:ascii="Times New Roman" w:hAnsi="Times New Roman" w:cs="Times New Roman"/>
          <w:sz w:val="24"/>
          <w:szCs w:val="24"/>
          <w:lang w:val="ro-RO"/>
        </w:rPr>
        <w:t xml:space="preserve"> finanțate integral din venituri proprii</w:t>
      </w:r>
      <w:r w:rsidR="001B3A3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21977" w:rsidRPr="0055023B" w:rsidRDefault="005B0EA8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502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lastRenderedPageBreak/>
        <w:t>(2)</w:t>
      </w: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A34286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Sumele prevăzute </w:t>
      </w:r>
      <w:r w:rsidR="00A34286" w:rsidRPr="00550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la </w:t>
      </w:r>
      <w:hyperlink r:id="rId8" w:history="1">
        <w:r w:rsidR="00A34286" w:rsidRPr="0055023B">
          <w:rPr>
            <w:rFonts w:ascii="Times New Roman" w:eastAsia="Times New Roman" w:hAnsi="Times New Roman" w:cs="Times New Roman"/>
            <w:sz w:val="24"/>
            <w:szCs w:val="24"/>
            <w:lang w:val="ro-RO" w:eastAsia="ro-RO"/>
          </w:rPr>
          <w:t>alin. (</w:t>
        </w:r>
        <w:r w:rsidR="00DA7557" w:rsidRPr="0055023B">
          <w:rPr>
            <w:rFonts w:ascii="Times New Roman" w:eastAsia="Times New Roman" w:hAnsi="Times New Roman" w:cs="Times New Roman"/>
            <w:sz w:val="24"/>
            <w:szCs w:val="24"/>
            <w:lang w:val="ro-RO" w:eastAsia="ro-RO"/>
          </w:rPr>
          <w:t>1</w:t>
        </w:r>
        <w:r w:rsidR="00A34286" w:rsidRPr="0055023B">
          <w:rPr>
            <w:rFonts w:ascii="Times New Roman" w:eastAsia="Times New Roman" w:hAnsi="Times New Roman" w:cs="Times New Roman"/>
            <w:sz w:val="24"/>
            <w:szCs w:val="24"/>
            <w:lang w:val="ro-RO" w:eastAsia="ro-RO"/>
          </w:rPr>
          <w:t>)</w:t>
        </w:r>
      </w:hyperlink>
      <w:r w:rsidR="00A34286" w:rsidRPr="00550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 </w:t>
      </w:r>
      <w:r w:rsidR="00A34286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fac venit la bugetul Agenţiei Naţionale pentru Mediu şi Arii Protejate, pentru realizarea obiectivelor de conservare şi funcţionare</w:t>
      </w:r>
      <w:r w:rsidR="00944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A34286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 Agenţiei Naţionale pentru Mediu şi Arii Protejate. </w:t>
      </w:r>
    </w:p>
    <w:p w:rsidR="005B0EA8" w:rsidRPr="0055023B" w:rsidRDefault="005B0EA8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502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(3)</w:t>
      </w: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Bunurile și serviciile achiziționate prin implementarea activității prevăzută la alin. (1), vor fi alocate sau utilizate numai în scopul</w:t>
      </w:r>
      <w:r w:rsidR="00742442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prevăzut</w:t>
      </w: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la alin. (2).</w:t>
      </w:r>
    </w:p>
    <w:p w:rsidR="000178C5" w:rsidRPr="0055023B" w:rsidRDefault="000178C5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(4) Repartizarea sumelor se va face pe timpul anului bugetar în limita maximă a veniturilor încasate</w:t>
      </w:r>
      <w:r w:rsidR="00785E09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cu aprobarea președintelui </w:t>
      </w:r>
      <w:r w:rsidR="00DA7557" w:rsidRPr="00DA7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Agenţiei Naţionale pentru Mediu şi Arii Protejate</w:t>
      </w:r>
      <w:r w:rsidR="00785E09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 pe baza propunerilor structurilor de specialitate în domeniul în care se solicită cheltuiala</w:t>
      </w: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:rsidR="00E448C6" w:rsidRPr="0055023B" w:rsidRDefault="00E448C6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502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(5)</w:t>
      </w: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Tipurile de cheltuieli permise pentru realizarea obiectivelor de conservare şi funcţionare a Agenţiei Naţionale pentru Mediu şi Arii Protejate</w:t>
      </w:r>
      <w:r w:rsidR="00DA7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sunt:</w:t>
      </w:r>
    </w:p>
    <w:p w:rsidR="001645E0" w:rsidRPr="0055023B" w:rsidRDefault="00794E54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i) c</w:t>
      </w:r>
      <w:r w:rsidR="001645E0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heltuieli necesare implementării planurilor de management;</w:t>
      </w:r>
    </w:p>
    <w:p w:rsidR="001645E0" w:rsidRPr="0055023B" w:rsidRDefault="00794E54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ii) c</w:t>
      </w:r>
      <w:r w:rsidR="001645E0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heltuieli pentru realizarea obiectivelor de conservare;</w:t>
      </w:r>
      <w:r w:rsidR="00E448C6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</w:p>
    <w:p w:rsidR="001645E0" w:rsidRPr="0055023B" w:rsidRDefault="00794E54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iii) c</w:t>
      </w:r>
      <w:r w:rsidR="00785E09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heltuieli necesare pentru funcționarea </w:t>
      </w:r>
      <w:r w:rsidR="00203D38" w:rsidRPr="0020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Agenției Naționale pentru Mediu și Arii Protejate</w:t>
      </w:r>
      <w:r w:rsidR="00203D38" w:rsidRPr="00203D38" w:rsidDel="0020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: f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urnituri de birou;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m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ateriale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pentru curățenie;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î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ncălzit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, iluminat și forță motrică;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a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pă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, canal, salubritate;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c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arburanți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și lubrifianți;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p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iese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de schimb;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p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oștă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, telecomunicații, radio , internet, TV;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m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ateriale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și prestări servicii cu caracter funcțional;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a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lte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bunuri și servicii pen</w:t>
      </w:r>
      <w:r w:rsidR="00785E09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tru întreținere și funcționare;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r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eparații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curente;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b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unuri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de natura obiectelor de inventar;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c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ărți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,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publicații și materiale documentare;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c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onsultanță </w:t>
      </w:r>
      <w:r w:rsidR="001645E0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și expertiză;</w:t>
      </w:r>
      <w:r w:rsidR="00785E09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p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regătire </w:t>
      </w:r>
      <w:r w:rsidR="00785E09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profesională;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 p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rotecția </w:t>
      </w:r>
      <w:r w:rsidR="00785E09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muncii;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r</w:t>
      </w:r>
      <w:r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 xml:space="preserve">eclamă </w:t>
      </w:r>
      <w:r w:rsidR="00785E09" w:rsidRPr="005502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 w:eastAsia="ro-RO"/>
        </w:rPr>
        <w:t>și publicitate.</w:t>
      </w:r>
    </w:p>
    <w:p w:rsidR="00785E09" w:rsidRPr="0055023B" w:rsidRDefault="00785E09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502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(6)</w:t>
      </w: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Din </w:t>
      </w:r>
      <w:r w:rsidR="00DA7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sumele</w:t>
      </w:r>
      <w:r w:rsidR="00DA7557"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550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încasate conform prezentei metodologii nu sunt permise cheltuieli salariale.</w:t>
      </w:r>
    </w:p>
    <w:p w:rsidR="001645E0" w:rsidRPr="0055023B" w:rsidRDefault="001645E0" w:rsidP="005502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7C5FD5" w:rsidRPr="0055023B" w:rsidRDefault="005B0EA8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5A164D"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5A164D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Principii</w:t>
      </w:r>
      <w:r w:rsidR="00DA75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</w:t>
      </w:r>
      <w:r w:rsidR="005A164D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utilizare</w:t>
      </w:r>
      <w:r w:rsidR="00B36617" w:rsidRPr="00550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veniturilor încasate</w:t>
      </w:r>
      <w:r w:rsidR="00DA75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sunt următoarele: </w:t>
      </w:r>
    </w:p>
    <w:p w:rsidR="005B0EA8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c</w:t>
      </w:r>
      <w:r w:rsidR="005B0EA8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heltuielile trebuie să fie justificate de scopul încasării veniturilor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2121A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 s</w:t>
      </w:r>
      <w:r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 </w:t>
      </w:r>
      <w:r w:rsidR="005B0EA8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permise doar cheltuieli direct legate de activitatea specifică</w:t>
      </w:r>
      <w:r w:rsidR="00A7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203D38" w:rsidRPr="00203D38">
        <w:rPr>
          <w:rFonts w:ascii="Times New Roman" w:hAnsi="Times New Roman" w:cs="Times New Roman"/>
          <w:color w:val="000000" w:themeColor="text1"/>
          <w:sz w:val="24"/>
          <w:szCs w:val="24"/>
        </w:rPr>
        <w:t>Agenției Naționale pentru Mediu și Arii Protejate</w:t>
      </w:r>
      <w:r w:rsidR="00203D3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78C5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c</w:t>
      </w:r>
      <w:r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heltuielile </w:t>
      </w:r>
      <w:r w:rsidR="000178C5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fie necesare pentru realizarea activităților planificate de </w:t>
      </w:r>
      <w:r w:rsidR="00203D38" w:rsidRPr="00203D3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Agenți</w:t>
      </w:r>
      <w:r w:rsidR="00203D3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</w:t>
      </w:r>
      <w:r w:rsidR="00203D38" w:rsidRPr="00203D3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Național</w:t>
      </w:r>
      <w:r w:rsidR="00203D3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ă</w:t>
      </w:r>
      <w:r w:rsidR="00203D38" w:rsidRPr="00203D3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pentru Mediu și Arii Protejate</w:t>
      </w:r>
      <w:r w:rsidR="00203D3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;</w:t>
      </w:r>
    </w:p>
    <w:p w:rsidR="000178C5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 c</w:t>
      </w:r>
      <w:r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heltuielile </w:t>
      </w:r>
      <w:r w:rsidR="000178C5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fie înregistrate în contabilitate, să fie dovedite prin documente originale emise în conformitate cu prevederile legislației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în vigoare</w:t>
      </w:r>
      <w:r w:rsidR="000178C5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, astfel încât să fie identificabile și verificabile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85E09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 c</w:t>
      </w:r>
      <w:r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heltuielile </w:t>
      </w:r>
      <w:r w:rsidR="00785E09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respecte prevederile legislației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în vigoare</w:t>
      </w:r>
      <w:r w:rsidR="00785E09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85E09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nclusiv în ceea ce privește regimul achizițiilor publice.</w:t>
      </w:r>
    </w:p>
    <w:p w:rsidR="000178C5" w:rsidRPr="0055023B" w:rsidRDefault="000178C5" w:rsidP="0055023B">
      <w:pPr>
        <w:pStyle w:val="ListBullet"/>
        <w:numPr>
          <w:ilvl w:val="0"/>
          <w:numId w:val="0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:rsidR="00DA7557" w:rsidRPr="0055023B" w:rsidRDefault="00853473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Art.</w:t>
      </w:r>
      <w:r w:rsidR="005A164D" w:rsidRPr="00550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5B0EA8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În scopul asigurării controlului și transparenței</w:t>
      </w:r>
      <w:r w:rsidR="00DA7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EA8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încasării și utilizării veniturilor obținute</w:t>
      </w:r>
      <w:r w:rsidR="00DA7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realizează următoarele activități:</w:t>
      </w:r>
    </w:p>
    <w:p w:rsidR="005B0EA8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s</w:t>
      </w:r>
      <w:r w:rsidR="005A164D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e întocmesc rapoarte de execuție trimestriale și anuale</w:t>
      </w:r>
      <w:r w:rsidR="00B04B34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către direcția de specialitate/</w:t>
      </w:r>
      <w:r w:rsidR="00A7682C" w:rsidRP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Agenți</w:t>
      </w:r>
      <w:r w:rsid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</w:t>
      </w:r>
      <w:r w:rsidR="00A7682C" w:rsidRP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Național</w:t>
      </w:r>
      <w:r w:rsid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ă</w:t>
      </w:r>
      <w:r w:rsidR="00A7682C" w:rsidRP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pentru Mediu și Arii Protejate</w:t>
      </w:r>
      <w:r w:rsid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;</w:t>
      </w:r>
    </w:p>
    <w:p w:rsidR="00853473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5B0EA8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A164D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e publică veniturile și cheltuielile se</w:t>
      </w:r>
      <w:r w:rsidR="00853473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mestrial pe site-ul </w:t>
      </w:r>
      <w:r w:rsidR="00A7682C" w:rsidRP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Agenției Naționale pentru Mediu și Arii Protejate</w:t>
      </w:r>
      <w:r w:rsidR="00A7682C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;</w:t>
      </w:r>
    </w:p>
    <w:p w:rsidR="00853473" w:rsidRPr="0055023B" w:rsidRDefault="00DA7557" w:rsidP="0055023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î</w:t>
      </w:r>
      <w:r w:rsidR="00853473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termen de 30 de zile de 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data intrării în vigoare a prezentei</w:t>
      </w:r>
      <w:r w:rsidR="00853473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853473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otărâri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682C" w:rsidRPr="00A7682C">
        <w:rPr>
          <w:rFonts w:ascii="Times New Roman" w:hAnsi="Times New Roman" w:cs="Times New Roman"/>
          <w:color w:val="000000" w:themeColor="text1"/>
          <w:sz w:val="24"/>
          <w:szCs w:val="24"/>
        </w:rPr>
        <w:t>Agenți</w:t>
      </w:r>
      <w:r w:rsidR="00A7682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7682C" w:rsidRPr="00A7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Național</w:t>
      </w:r>
      <w:r w:rsidR="00A7682C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A7682C" w:rsidRPr="00A7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Mediu și Arii Protejate</w:t>
      </w:r>
      <w:r w:rsidR="00853473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>, prin structura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473" w:rsidRPr="00550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specialitate, are obligația întocmirii Procedurii de sistem privind încasarea și utilizarea veniturilor proprii din activități finanțate integral din venituri proprii, conform prevederilor </w:t>
      </w:r>
      <w:r w:rsidR="00853473" w:rsidRPr="0055023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Ordonanța Guvernului nr. 119/1999 privind controlul intern managerial şi controlul financiar preventiv, republicată, cu modificările și completările ulterioare.</w:t>
      </w:r>
    </w:p>
    <w:p w:rsidR="005A164D" w:rsidRPr="0055023B" w:rsidRDefault="005A164D" w:rsidP="0055023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A164D" w:rsidRPr="0055023B" w:rsidSect="005B0E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61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D10" w:rsidRDefault="00EC5D10" w:rsidP="00424756">
      <w:pPr>
        <w:spacing w:after="0" w:line="240" w:lineRule="auto"/>
      </w:pPr>
      <w:r>
        <w:separator/>
      </w:r>
    </w:p>
  </w:endnote>
  <w:endnote w:type="continuationSeparator" w:id="0">
    <w:p w:rsidR="00EC5D10" w:rsidRDefault="00EC5D10" w:rsidP="0042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56" w:rsidRDefault="00424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56" w:rsidRDefault="00424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56" w:rsidRDefault="00424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D10" w:rsidRDefault="00EC5D10" w:rsidP="00424756">
      <w:pPr>
        <w:spacing w:after="0" w:line="240" w:lineRule="auto"/>
      </w:pPr>
      <w:r>
        <w:separator/>
      </w:r>
    </w:p>
  </w:footnote>
  <w:footnote w:type="continuationSeparator" w:id="0">
    <w:p w:rsidR="00EC5D10" w:rsidRDefault="00EC5D10" w:rsidP="0042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5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630594" o:spid="_x0000_s1028" type="#_x0000_t136" style="position:absolute;margin-left:0;margin-top:0;width:538.65pt;height:15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5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630595" o:spid="_x0000_s1029" type="#_x0000_t136" style="position:absolute;margin-left:0;margin-top:0;width:538.65pt;height:15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75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630593" o:spid="_x0000_s1027" type="#_x0000_t136" style="position:absolute;margin-left:0;margin-top:0;width:538.65pt;height:15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A2D85"/>
    <w:multiLevelType w:val="hybridMultilevel"/>
    <w:tmpl w:val="8A9CF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70217"/>
    <w:multiLevelType w:val="hybridMultilevel"/>
    <w:tmpl w:val="A1C220A2"/>
    <w:lvl w:ilvl="0" w:tplc="E66A156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1FE5AF3"/>
    <w:multiLevelType w:val="hybridMultilevel"/>
    <w:tmpl w:val="5D54F4E4"/>
    <w:lvl w:ilvl="0" w:tplc="F81C014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4685">
    <w:abstractNumId w:val="8"/>
  </w:num>
  <w:num w:numId="2" w16cid:durableId="1802532302">
    <w:abstractNumId w:val="6"/>
  </w:num>
  <w:num w:numId="3" w16cid:durableId="1709723145">
    <w:abstractNumId w:val="5"/>
  </w:num>
  <w:num w:numId="4" w16cid:durableId="1269967634">
    <w:abstractNumId w:val="4"/>
  </w:num>
  <w:num w:numId="5" w16cid:durableId="821388444">
    <w:abstractNumId w:val="7"/>
  </w:num>
  <w:num w:numId="6" w16cid:durableId="1890988850">
    <w:abstractNumId w:val="3"/>
  </w:num>
  <w:num w:numId="7" w16cid:durableId="820846826">
    <w:abstractNumId w:val="2"/>
  </w:num>
  <w:num w:numId="8" w16cid:durableId="401148808">
    <w:abstractNumId w:val="1"/>
  </w:num>
  <w:num w:numId="9" w16cid:durableId="739208403">
    <w:abstractNumId w:val="0"/>
  </w:num>
  <w:num w:numId="10" w16cid:durableId="47802824">
    <w:abstractNumId w:val="9"/>
  </w:num>
  <w:num w:numId="11" w16cid:durableId="696660771">
    <w:abstractNumId w:val="10"/>
  </w:num>
  <w:num w:numId="12" w16cid:durableId="956640918">
    <w:abstractNumId w:val="11"/>
  </w:num>
  <w:num w:numId="13" w16cid:durableId="669798859">
    <w:abstractNumId w:val="8"/>
  </w:num>
  <w:num w:numId="14" w16cid:durableId="6291900">
    <w:abstractNumId w:val="8"/>
  </w:num>
  <w:num w:numId="15" w16cid:durableId="1103303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F43"/>
    <w:rsid w:val="000178C5"/>
    <w:rsid w:val="0002662E"/>
    <w:rsid w:val="00034616"/>
    <w:rsid w:val="00041179"/>
    <w:rsid w:val="00053242"/>
    <w:rsid w:val="0006063C"/>
    <w:rsid w:val="000631B7"/>
    <w:rsid w:val="000C0D39"/>
    <w:rsid w:val="000D70B4"/>
    <w:rsid w:val="0015074B"/>
    <w:rsid w:val="001645E0"/>
    <w:rsid w:val="00165004"/>
    <w:rsid w:val="00186855"/>
    <w:rsid w:val="001B3A3E"/>
    <w:rsid w:val="001F45B5"/>
    <w:rsid w:val="00203D38"/>
    <w:rsid w:val="00224AA5"/>
    <w:rsid w:val="00225B65"/>
    <w:rsid w:val="0024012E"/>
    <w:rsid w:val="002632E9"/>
    <w:rsid w:val="002810E9"/>
    <w:rsid w:val="0029639D"/>
    <w:rsid w:val="002B55E0"/>
    <w:rsid w:val="00326F90"/>
    <w:rsid w:val="0035045A"/>
    <w:rsid w:val="00352116"/>
    <w:rsid w:val="00360B21"/>
    <w:rsid w:val="00387177"/>
    <w:rsid w:val="003D67DB"/>
    <w:rsid w:val="00424756"/>
    <w:rsid w:val="00424A7F"/>
    <w:rsid w:val="00475683"/>
    <w:rsid w:val="004912C2"/>
    <w:rsid w:val="004A5B7A"/>
    <w:rsid w:val="004B594A"/>
    <w:rsid w:val="00517FF7"/>
    <w:rsid w:val="0055023B"/>
    <w:rsid w:val="005A164D"/>
    <w:rsid w:val="005B0EA8"/>
    <w:rsid w:val="00615E52"/>
    <w:rsid w:val="006414CF"/>
    <w:rsid w:val="00647624"/>
    <w:rsid w:val="00742442"/>
    <w:rsid w:val="00785E09"/>
    <w:rsid w:val="00794E54"/>
    <w:rsid w:val="007A6FB4"/>
    <w:rsid w:val="007C5FD5"/>
    <w:rsid w:val="00815847"/>
    <w:rsid w:val="00840904"/>
    <w:rsid w:val="00853473"/>
    <w:rsid w:val="00882A45"/>
    <w:rsid w:val="008A089B"/>
    <w:rsid w:val="0092488D"/>
    <w:rsid w:val="009448DF"/>
    <w:rsid w:val="00950635"/>
    <w:rsid w:val="009F5BE2"/>
    <w:rsid w:val="00A2031A"/>
    <w:rsid w:val="00A34286"/>
    <w:rsid w:val="00A5758E"/>
    <w:rsid w:val="00A7682C"/>
    <w:rsid w:val="00A97A61"/>
    <w:rsid w:val="00AA1D8D"/>
    <w:rsid w:val="00B04B34"/>
    <w:rsid w:val="00B14F73"/>
    <w:rsid w:val="00B2121A"/>
    <w:rsid w:val="00B21977"/>
    <w:rsid w:val="00B36617"/>
    <w:rsid w:val="00B4726C"/>
    <w:rsid w:val="00B47730"/>
    <w:rsid w:val="00BF63DF"/>
    <w:rsid w:val="00C63F96"/>
    <w:rsid w:val="00CB0664"/>
    <w:rsid w:val="00DA7557"/>
    <w:rsid w:val="00DA7B8E"/>
    <w:rsid w:val="00E23698"/>
    <w:rsid w:val="00E36E40"/>
    <w:rsid w:val="00E448C6"/>
    <w:rsid w:val="00E4610B"/>
    <w:rsid w:val="00EB7D2B"/>
    <w:rsid w:val="00EC5D10"/>
    <w:rsid w:val="00EF1B1A"/>
    <w:rsid w:val="00F114D7"/>
    <w:rsid w:val="00F25150"/>
    <w:rsid w:val="00F51D03"/>
    <w:rsid w:val="00F871B4"/>
    <w:rsid w:val="00FC15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FBDA97E5-3149-4ECB-8AFC-67449B41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Bullet,Citation List,Header bold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Header bold Char"/>
    <w:link w:val="ListParagraph"/>
    <w:uiPriority w:val="34"/>
    <w:qFormat/>
    <w:locked/>
    <w:rsid w:val="005B0EA8"/>
  </w:style>
  <w:style w:type="character" w:styleId="CommentReference">
    <w:name w:val="annotation reference"/>
    <w:basedOn w:val="DefaultParagraphFont"/>
    <w:uiPriority w:val="99"/>
    <w:semiHidden/>
    <w:unhideWhenUsed/>
    <w:rsid w:val="00240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4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08841%2030317598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9159A-BF9D-4AA4-B6A3-9BCE870C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Ramona Danulet</cp:lastModifiedBy>
  <cp:revision>69</cp:revision>
  <cp:lastPrinted>2025-05-19T11:37:00Z</cp:lastPrinted>
  <dcterms:created xsi:type="dcterms:W3CDTF">2025-05-15T08:50:00Z</dcterms:created>
  <dcterms:modified xsi:type="dcterms:W3CDTF">2025-05-27T09:49:00Z</dcterms:modified>
  <cp:category/>
</cp:coreProperties>
</file>