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5A5AF" w14:textId="77777777" w:rsidR="00CB3EF7" w:rsidRDefault="00CB3EF7" w:rsidP="009C1545">
      <w:pPr>
        <w:spacing w:after="0" w:line="240" w:lineRule="auto"/>
        <w:jc w:val="both"/>
        <w:rPr>
          <w:rFonts w:ascii="Calibri" w:eastAsia="Times New Roman" w:hAnsi="Calibri" w:cs="Calibri"/>
          <w:b/>
          <w:bCs/>
          <w:kern w:val="0"/>
          <w:lang w:val="ro-RO"/>
          <w14:ligatures w14:val="none"/>
        </w:rPr>
      </w:pPr>
      <w:r w:rsidRPr="00CB3EF7">
        <w:rPr>
          <w:rFonts w:ascii="Calibri" w:eastAsia="Times New Roman" w:hAnsi="Calibri" w:cs="Calibri"/>
          <w:b/>
          <w:bCs/>
          <w:kern w:val="0"/>
          <w:lang w:val="ro-RO"/>
          <w14:ligatures w14:val="none"/>
        </w:rPr>
        <w:t>INFORMARE privind aplicarea Regulamentului (UE) 2023/1542 privind bateriile și deșeurile de baterii și regimul tranzitoriu aplicabil organizațiilor care implementează răspunderea extinsă a producătorilor (OTR)</w:t>
      </w:r>
    </w:p>
    <w:p w14:paraId="1DFA8EEF" w14:textId="77777777" w:rsidR="009C1545" w:rsidRPr="00CB3EF7" w:rsidRDefault="009C1545" w:rsidP="009C1545">
      <w:pPr>
        <w:spacing w:after="0" w:line="240" w:lineRule="auto"/>
        <w:jc w:val="both"/>
        <w:rPr>
          <w:rFonts w:ascii="Calibri" w:eastAsia="Times New Roman" w:hAnsi="Calibri" w:cs="Calibri"/>
          <w:kern w:val="0"/>
          <w:lang w:val="ro-RO"/>
          <w14:ligatures w14:val="none"/>
        </w:rPr>
      </w:pPr>
    </w:p>
    <w:p w14:paraId="1DB1E6AB" w14:textId="6CCC00BD" w:rsidR="00CB3EF7" w:rsidRDefault="00CB3EF7" w:rsidP="009C1545">
      <w:pPr>
        <w:spacing w:after="0" w:line="240" w:lineRule="auto"/>
        <w:jc w:val="both"/>
        <w:rPr>
          <w:rFonts w:ascii="Calibri" w:eastAsia="Times New Roman" w:hAnsi="Calibri" w:cs="Calibri"/>
          <w:kern w:val="0"/>
          <w:lang w:val="ro-RO"/>
          <w14:ligatures w14:val="none"/>
        </w:rPr>
      </w:pPr>
      <w:r w:rsidRPr="00CB3EF7">
        <w:rPr>
          <w:rFonts w:ascii="Calibri" w:eastAsia="Times New Roman" w:hAnsi="Calibri" w:cs="Calibri"/>
          <w:kern w:val="0"/>
          <w:lang w:val="ro-RO"/>
          <w14:ligatures w14:val="none"/>
        </w:rPr>
        <w:t xml:space="preserve">În contextul aplicării </w:t>
      </w:r>
      <w:r w:rsidRPr="00CB3EF7">
        <w:rPr>
          <w:rFonts w:ascii="Calibri" w:eastAsia="Times New Roman" w:hAnsi="Calibri" w:cs="Calibri"/>
          <w:b/>
          <w:bCs/>
          <w:kern w:val="0"/>
          <w:lang w:val="ro-RO"/>
          <w14:ligatures w14:val="none"/>
        </w:rPr>
        <w:t>Regulamentului (UE) 2023/1542</w:t>
      </w:r>
      <w:r w:rsidR="003E6C43">
        <w:rPr>
          <w:rStyle w:val="FootnoteReference"/>
          <w:rFonts w:ascii="Calibri" w:eastAsia="Times New Roman" w:hAnsi="Calibri" w:cs="Calibri"/>
          <w:b/>
          <w:bCs/>
          <w:kern w:val="0"/>
          <w:lang w:val="ro-RO"/>
          <w14:ligatures w14:val="none"/>
        </w:rPr>
        <w:footnoteReference w:id="1"/>
      </w:r>
      <w:r w:rsidRPr="00CB3EF7">
        <w:rPr>
          <w:rFonts w:ascii="Calibri" w:eastAsia="Times New Roman" w:hAnsi="Calibri" w:cs="Calibri"/>
          <w:kern w:val="0"/>
          <w:lang w:val="ro-RO"/>
          <w14:ligatures w14:val="none"/>
        </w:rPr>
        <w:t xml:space="preserve"> al Parlamentului European și al Consiliului privind bateriile și deșeurile de baterii, se aduc la cunoștință următoarele clarificări:</w:t>
      </w:r>
    </w:p>
    <w:p w14:paraId="29D3A020" w14:textId="77777777" w:rsidR="009C1545" w:rsidRPr="00CB3EF7" w:rsidRDefault="009C1545" w:rsidP="009C1545">
      <w:pPr>
        <w:spacing w:after="0" w:line="240" w:lineRule="auto"/>
        <w:jc w:val="both"/>
        <w:rPr>
          <w:rFonts w:ascii="Calibri" w:eastAsia="Times New Roman" w:hAnsi="Calibri" w:cs="Calibri"/>
          <w:kern w:val="0"/>
          <w:lang w:val="ro-RO"/>
          <w14:ligatures w14:val="none"/>
        </w:rPr>
      </w:pPr>
    </w:p>
    <w:p w14:paraId="4CEAFB86" w14:textId="77777777" w:rsidR="00CB3EF7" w:rsidRDefault="00CB3EF7" w:rsidP="009C1545">
      <w:pPr>
        <w:numPr>
          <w:ilvl w:val="0"/>
          <w:numId w:val="1"/>
        </w:numPr>
        <w:spacing w:after="0" w:line="240" w:lineRule="auto"/>
        <w:jc w:val="both"/>
        <w:rPr>
          <w:rFonts w:ascii="Calibri" w:eastAsia="Times New Roman" w:hAnsi="Calibri" w:cs="Calibri"/>
          <w:kern w:val="0"/>
          <w:lang w:val="ro-RO"/>
          <w14:ligatures w14:val="none"/>
        </w:rPr>
      </w:pPr>
      <w:r w:rsidRPr="00CB3EF7">
        <w:rPr>
          <w:rFonts w:ascii="Calibri" w:eastAsia="Times New Roman" w:hAnsi="Calibri" w:cs="Calibri"/>
          <w:b/>
          <w:bCs/>
          <w:kern w:val="0"/>
          <w:lang w:val="ro-RO"/>
          <w14:ligatures w14:val="none"/>
        </w:rPr>
        <w:t>Abrogarea Directivei 2006/66/CE și aplicarea directă a Regulamentului (UE) 2023/1542</w:t>
      </w:r>
      <w:r w:rsidRPr="00CB3EF7">
        <w:rPr>
          <w:rFonts w:ascii="Calibri" w:eastAsia="Times New Roman" w:hAnsi="Calibri" w:cs="Calibri"/>
          <w:kern w:val="0"/>
          <w:lang w:val="ro-RO"/>
          <w14:ligatures w14:val="none"/>
        </w:rPr>
        <w:br/>
        <w:t xml:space="preserve">Conform dispozițiilor finale ale Regulamentului (UE) 2023/1542, </w:t>
      </w:r>
      <w:r w:rsidRPr="00CB3EF7">
        <w:rPr>
          <w:rFonts w:ascii="Calibri" w:eastAsia="Times New Roman" w:hAnsi="Calibri" w:cs="Calibri"/>
          <w:b/>
          <w:bCs/>
          <w:kern w:val="0"/>
          <w:lang w:val="ro-RO"/>
          <w14:ligatures w14:val="none"/>
        </w:rPr>
        <w:t>Directiva 2006/66/CE este abrogată începând cu data de 18 august 2025</w:t>
      </w:r>
      <w:r w:rsidRPr="00CB3EF7">
        <w:rPr>
          <w:rFonts w:ascii="Calibri" w:eastAsia="Times New Roman" w:hAnsi="Calibri" w:cs="Calibri"/>
          <w:kern w:val="0"/>
          <w:lang w:val="ro-RO"/>
          <w14:ligatures w14:val="none"/>
        </w:rPr>
        <w:t xml:space="preserve">, iar </w:t>
      </w:r>
      <w:r w:rsidRPr="00CB3EF7">
        <w:rPr>
          <w:rFonts w:ascii="Calibri" w:eastAsia="Times New Roman" w:hAnsi="Calibri" w:cs="Calibri"/>
          <w:b/>
          <w:bCs/>
          <w:kern w:val="0"/>
          <w:lang w:val="ro-RO"/>
          <w14:ligatures w14:val="none"/>
        </w:rPr>
        <w:t>Regulamentul se aplică de la 18 februarie 2024</w:t>
      </w:r>
      <w:r w:rsidRPr="00CB3EF7">
        <w:rPr>
          <w:rFonts w:ascii="Calibri" w:eastAsia="Times New Roman" w:hAnsi="Calibri" w:cs="Calibri"/>
          <w:kern w:val="0"/>
          <w:lang w:val="ro-RO"/>
          <w14:ligatures w14:val="none"/>
        </w:rPr>
        <w:t xml:space="preserve">. De asemenea, </w:t>
      </w:r>
      <w:r w:rsidRPr="00CB3EF7">
        <w:rPr>
          <w:rFonts w:ascii="Calibri" w:eastAsia="Times New Roman" w:hAnsi="Calibri" w:cs="Calibri"/>
          <w:b/>
          <w:bCs/>
          <w:kern w:val="0"/>
          <w:lang w:val="ro-RO"/>
          <w14:ligatures w14:val="none"/>
        </w:rPr>
        <w:t>trimiterile la directiva abrogată se interpretează ca trimiteri la Regulamentul (UE) 2023/1542</w:t>
      </w:r>
      <w:r w:rsidRPr="00CB3EF7">
        <w:rPr>
          <w:rFonts w:ascii="Calibri" w:eastAsia="Times New Roman" w:hAnsi="Calibri" w:cs="Calibri"/>
          <w:kern w:val="0"/>
          <w:lang w:val="ro-RO"/>
          <w14:ligatures w14:val="none"/>
        </w:rPr>
        <w:t xml:space="preserve">, acesta fiind obligatoriu în toate elementele sale și aplicându-se direct în toate statele membre. </w:t>
      </w:r>
    </w:p>
    <w:p w14:paraId="4D7647B2" w14:textId="77777777" w:rsidR="009C1545" w:rsidRPr="00CB3EF7" w:rsidRDefault="009C1545" w:rsidP="009C1545">
      <w:pPr>
        <w:spacing w:after="0" w:line="240" w:lineRule="auto"/>
        <w:ind w:left="720"/>
        <w:jc w:val="both"/>
        <w:rPr>
          <w:rFonts w:ascii="Calibri" w:eastAsia="Times New Roman" w:hAnsi="Calibri" w:cs="Calibri"/>
          <w:kern w:val="0"/>
          <w:lang w:val="ro-RO"/>
          <w14:ligatures w14:val="none"/>
        </w:rPr>
      </w:pPr>
    </w:p>
    <w:p w14:paraId="6DC00F81" w14:textId="0A27A1FC" w:rsidR="00CB3EF7" w:rsidRDefault="00CB3EF7" w:rsidP="009C1545">
      <w:pPr>
        <w:numPr>
          <w:ilvl w:val="0"/>
          <w:numId w:val="1"/>
        </w:numPr>
        <w:spacing w:after="0" w:line="240" w:lineRule="auto"/>
        <w:jc w:val="both"/>
        <w:rPr>
          <w:rFonts w:ascii="Calibri" w:eastAsia="Times New Roman" w:hAnsi="Calibri" w:cs="Calibri"/>
          <w:kern w:val="0"/>
          <w:lang w:val="ro-RO"/>
          <w14:ligatures w14:val="none"/>
        </w:rPr>
      </w:pPr>
      <w:r w:rsidRPr="00CB3EF7">
        <w:rPr>
          <w:rFonts w:ascii="Calibri" w:eastAsia="Times New Roman" w:hAnsi="Calibri" w:cs="Calibri"/>
          <w:b/>
          <w:bCs/>
          <w:kern w:val="0"/>
          <w:lang w:val="ro-RO"/>
          <w14:ligatures w14:val="none"/>
        </w:rPr>
        <w:t>Actualizarea/armonizarea cadrului național de aplicare</w:t>
      </w:r>
      <w:r w:rsidRPr="00CB3EF7">
        <w:rPr>
          <w:rFonts w:ascii="Calibri" w:eastAsia="Times New Roman" w:hAnsi="Calibri" w:cs="Calibri"/>
          <w:kern w:val="0"/>
          <w:lang w:val="ro-RO"/>
          <w14:ligatures w14:val="none"/>
        </w:rPr>
        <w:br/>
        <w:t xml:space="preserve">În vederea stabilirii cadrului instituțional și a măsurilor necesare pentru aplicarea Regulamentului (UE) 2023/1542, </w:t>
      </w:r>
      <w:r w:rsidRPr="00CB3EF7">
        <w:rPr>
          <w:rFonts w:ascii="Calibri" w:eastAsia="Times New Roman" w:hAnsi="Calibri" w:cs="Calibri"/>
          <w:b/>
          <w:bCs/>
          <w:kern w:val="0"/>
          <w:lang w:val="ro-RO"/>
          <w14:ligatures w14:val="none"/>
        </w:rPr>
        <w:t>Proiectul de Hotărâre a Guvernului privind stabilirea cadrului instituțional și a măsurilor pentru aplicarea Regulamentului (UE) 2023/1542</w:t>
      </w:r>
      <w:r w:rsidRPr="00CB3EF7">
        <w:rPr>
          <w:rFonts w:ascii="Calibri" w:eastAsia="Times New Roman" w:hAnsi="Calibri" w:cs="Calibri"/>
          <w:kern w:val="0"/>
          <w:lang w:val="ro-RO"/>
          <w14:ligatures w14:val="none"/>
        </w:rPr>
        <w:t xml:space="preserve"> a fost </w:t>
      </w:r>
      <w:r w:rsidRPr="00CB3EF7">
        <w:rPr>
          <w:rFonts w:ascii="Calibri" w:eastAsia="Times New Roman" w:hAnsi="Calibri" w:cs="Calibri"/>
          <w:b/>
          <w:bCs/>
          <w:kern w:val="0"/>
          <w:lang w:val="ro-RO"/>
          <w14:ligatures w14:val="none"/>
        </w:rPr>
        <w:t>publicat în transparență decizională pe site-ul M</w:t>
      </w:r>
      <w:r w:rsidR="00E3110C" w:rsidRPr="00E3110C">
        <w:rPr>
          <w:rFonts w:ascii="Calibri" w:eastAsia="Times New Roman" w:hAnsi="Calibri" w:cs="Calibri"/>
          <w:b/>
          <w:bCs/>
          <w:kern w:val="0"/>
          <w:lang w:val="ro-RO"/>
          <w14:ligatures w14:val="none"/>
        </w:rPr>
        <w:t xml:space="preserve">inisterului </w:t>
      </w:r>
      <w:r w:rsidRPr="00CB3EF7">
        <w:rPr>
          <w:rFonts w:ascii="Calibri" w:eastAsia="Times New Roman" w:hAnsi="Calibri" w:cs="Calibri"/>
          <w:b/>
          <w:bCs/>
          <w:kern w:val="0"/>
          <w:lang w:val="ro-RO"/>
          <w14:ligatures w14:val="none"/>
        </w:rPr>
        <w:t>E</w:t>
      </w:r>
      <w:r w:rsidR="00E3110C" w:rsidRPr="00E3110C">
        <w:rPr>
          <w:rFonts w:ascii="Calibri" w:eastAsia="Times New Roman" w:hAnsi="Calibri" w:cs="Calibri"/>
          <w:b/>
          <w:bCs/>
          <w:kern w:val="0"/>
          <w:lang w:val="ro-RO"/>
          <w14:ligatures w14:val="none"/>
        </w:rPr>
        <w:t xml:space="preserve">conomiei, </w:t>
      </w:r>
      <w:r w:rsidR="00E3110C" w:rsidRPr="00CB3EF7">
        <w:rPr>
          <w:rFonts w:ascii="Calibri" w:eastAsia="Times New Roman" w:hAnsi="Calibri" w:cs="Calibri"/>
          <w:b/>
          <w:bCs/>
          <w:kern w:val="0"/>
          <w:lang w:val="ro-RO"/>
          <w14:ligatures w14:val="none"/>
        </w:rPr>
        <w:t>D</w:t>
      </w:r>
      <w:r w:rsidR="00E3110C" w:rsidRPr="00E3110C">
        <w:rPr>
          <w:rFonts w:ascii="Calibri" w:eastAsia="Times New Roman" w:hAnsi="Calibri" w:cs="Calibri"/>
          <w:b/>
          <w:bCs/>
          <w:kern w:val="0"/>
          <w:lang w:val="ro-RO"/>
          <w14:ligatures w14:val="none"/>
        </w:rPr>
        <w:t xml:space="preserve">igitalizării, </w:t>
      </w:r>
      <w:r w:rsidRPr="00CB3EF7">
        <w:rPr>
          <w:rFonts w:ascii="Calibri" w:eastAsia="Times New Roman" w:hAnsi="Calibri" w:cs="Calibri"/>
          <w:b/>
          <w:bCs/>
          <w:kern w:val="0"/>
          <w:lang w:val="ro-RO"/>
          <w14:ligatures w14:val="none"/>
        </w:rPr>
        <w:t>A</w:t>
      </w:r>
      <w:r w:rsidR="00E3110C" w:rsidRPr="00E3110C">
        <w:rPr>
          <w:rFonts w:ascii="Calibri" w:eastAsia="Times New Roman" w:hAnsi="Calibri" w:cs="Calibri"/>
          <w:b/>
          <w:bCs/>
          <w:kern w:val="0"/>
          <w:lang w:val="ro-RO"/>
          <w14:ligatures w14:val="none"/>
        </w:rPr>
        <w:t xml:space="preserve">ntreprenoriatului si </w:t>
      </w:r>
      <w:r w:rsidRPr="00CB3EF7">
        <w:rPr>
          <w:rFonts w:ascii="Calibri" w:eastAsia="Times New Roman" w:hAnsi="Calibri" w:cs="Calibri"/>
          <w:b/>
          <w:bCs/>
          <w:kern w:val="0"/>
          <w:lang w:val="ro-RO"/>
          <w14:ligatures w14:val="none"/>
        </w:rPr>
        <w:t>T</w:t>
      </w:r>
      <w:r w:rsidR="00E3110C" w:rsidRPr="00E3110C">
        <w:rPr>
          <w:rFonts w:ascii="Calibri" w:eastAsia="Times New Roman" w:hAnsi="Calibri" w:cs="Calibri"/>
          <w:b/>
          <w:bCs/>
          <w:kern w:val="0"/>
          <w:lang w:val="ro-RO"/>
          <w14:ligatures w14:val="none"/>
        </w:rPr>
        <w:t>urismului</w:t>
      </w:r>
      <w:r w:rsidRPr="00CB3EF7">
        <w:rPr>
          <w:rFonts w:ascii="Calibri" w:eastAsia="Times New Roman" w:hAnsi="Calibri" w:cs="Calibri"/>
          <w:b/>
          <w:bCs/>
          <w:kern w:val="0"/>
          <w:lang w:val="ro-RO"/>
          <w14:ligatures w14:val="none"/>
        </w:rPr>
        <w:t xml:space="preserve"> în data de 18.12.2025</w:t>
      </w:r>
      <w:r w:rsidRPr="00CB3EF7">
        <w:rPr>
          <w:rFonts w:ascii="Calibri" w:eastAsia="Times New Roman" w:hAnsi="Calibri" w:cs="Calibri"/>
          <w:kern w:val="0"/>
          <w:lang w:val="ro-RO"/>
          <w14:ligatures w14:val="none"/>
        </w:rPr>
        <w:t>.</w:t>
      </w:r>
      <w:r w:rsidR="003E6C43">
        <w:rPr>
          <w:rStyle w:val="FootnoteReference"/>
          <w:rFonts w:ascii="Calibri" w:eastAsia="Times New Roman" w:hAnsi="Calibri" w:cs="Calibri"/>
          <w:kern w:val="0"/>
          <w:lang w:val="ro-RO"/>
          <w14:ligatures w14:val="none"/>
        </w:rPr>
        <w:footnoteReference w:id="2"/>
      </w:r>
      <w:r w:rsidRPr="00CB3EF7">
        <w:rPr>
          <w:rFonts w:ascii="Calibri" w:eastAsia="Times New Roman" w:hAnsi="Calibri" w:cs="Calibri"/>
          <w:kern w:val="0"/>
          <w:lang w:val="ro-RO"/>
          <w14:ligatures w14:val="none"/>
        </w:rPr>
        <w:t xml:space="preserve"> </w:t>
      </w:r>
    </w:p>
    <w:p w14:paraId="7C1FC12B" w14:textId="77777777" w:rsidR="00CB3EF7" w:rsidRPr="00CB3EF7" w:rsidRDefault="00CB3EF7" w:rsidP="009C1545">
      <w:pPr>
        <w:spacing w:after="0" w:line="240" w:lineRule="auto"/>
        <w:ind w:left="720"/>
        <w:jc w:val="both"/>
        <w:rPr>
          <w:rFonts w:ascii="Calibri" w:eastAsia="Times New Roman" w:hAnsi="Calibri" w:cs="Calibri"/>
          <w:kern w:val="0"/>
          <w:lang w:val="ro-RO"/>
          <w14:ligatures w14:val="none"/>
        </w:rPr>
      </w:pPr>
      <w:r w:rsidRPr="00CB3EF7">
        <w:rPr>
          <w:rFonts w:ascii="Calibri" w:eastAsia="Times New Roman" w:hAnsi="Calibri" w:cs="Calibri"/>
          <w:kern w:val="0"/>
          <w:lang w:val="ro-RO"/>
          <w14:ligatures w14:val="none"/>
        </w:rPr>
        <w:t>Proiectul include dispoziții tranzitorii relevante, între care:</w:t>
      </w:r>
    </w:p>
    <w:p w14:paraId="694291D1" w14:textId="77777777" w:rsidR="00CB3EF7" w:rsidRPr="00CB3EF7" w:rsidRDefault="00CB3EF7" w:rsidP="009C1545">
      <w:pPr>
        <w:numPr>
          <w:ilvl w:val="1"/>
          <w:numId w:val="1"/>
        </w:numPr>
        <w:spacing w:after="0" w:line="240" w:lineRule="auto"/>
        <w:jc w:val="both"/>
        <w:rPr>
          <w:rFonts w:ascii="Calibri" w:eastAsia="Times New Roman" w:hAnsi="Calibri" w:cs="Calibri"/>
          <w:kern w:val="0"/>
          <w:lang w:val="ro-RO"/>
          <w14:ligatures w14:val="none"/>
        </w:rPr>
      </w:pPr>
      <w:r w:rsidRPr="00CB3EF7">
        <w:rPr>
          <w:rFonts w:ascii="Calibri" w:eastAsia="Times New Roman" w:hAnsi="Calibri" w:cs="Calibri"/>
          <w:b/>
          <w:bCs/>
          <w:kern w:val="0"/>
          <w:lang w:val="ro-RO"/>
          <w14:ligatures w14:val="none"/>
        </w:rPr>
        <w:t>abrogarea Hotărârii Guvernului nr. 1.132/2008</w:t>
      </w:r>
      <w:r w:rsidRPr="00CB3EF7">
        <w:rPr>
          <w:rFonts w:ascii="Calibri" w:eastAsia="Times New Roman" w:hAnsi="Calibri" w:cs="Calibri"/>
          <w:kern w:val="0"/>
          <w:lang w:val="ro-RO"/>
          <w14:ligatures w14:val="none"/>
        </w:rPr>
        <w:t xml:space="preserve"> la data intrării în vigoare a viitoarei hotărâri, cu anumite excepții/termene tranzitorii expres prevăzute;</w:t>
      </w:r>
    </w:p>
    <w:p w14:paraId="39E1013A" w14:textId="77777777" w:rsidR="00CB3EF7" w:rsidRPr="00CB3EF7" w:rsidRDefault="00CB3EF7" w:rsidP="009C1545">
      <w:pPr>
        <w:numPr>
          <w:ilvl w:val="1"/>
          <w:numId w:val="1"/>
        </w:numPr>
        <w:spacing w:after="0" w:line="240" w:lineRule="auto"/>
        <w:jc w:val="both"/>
        <w:rPr>
          <w:rFonts w:ascii="Calibri" w:eastAsia="Times New Roman" w:hAnsi="Calibri" w:cs="Calibri"/>
          <w:kern w:val="0"/>
          <w:lang w:val="ro-RO"/>
          <w14:ligatures w14:val="none"/>
        </w:rPr>
      </w:pPr>
      <w:r w:rsidRPr="00CB3EF7">
        <w:rPr>
          <w:rFonts w:ascii="Calibri" w:eastAsia="Times New Roman" w:hAnsi="Calibri" w:cs="Calibri"/>
          <w:kern w:val="0"/>
          <w:lang w:val="ro-RO"/>
          <w14:ligatures w14:val="none"/>
        </w:rPr>
        <w:t xml:space="preserve">prevederea potrivit căreia </w:t>
      </w:r>
      <w:r w:rsidRPr="00CB3EF7">
        <w:rPr>
          <w:rFonts w:ascii="Calibri" w:eastAsia="Times New Roman" w:hAnsi="Calibri" w:cs="Calibri"/>
          <w:b/>
          <w:bCs/>
          <w:kern w:val="0"/>
          <w:lang w:val="ro-RO"/>
          <w14:ligatures w14:val="none"/>
        </w:rPr>
        <w:t>orice trimitere la HG nr. 1.132/2008 se consideră a fi făcută la Regulamentul (UE) 2023/1542</w:t>
      </w:r>
      <w:r w:rsidRPr="00CB3EF7">
        <w:rPr>
          <w:rFonts w:ascii="Calibri" w:eastAsia="Times New Roman" w:hAnsi="Calibri" w:cs="Calibri"/>
          <w:kern w:val="0"/>
          <w:lang w:val="ro-RO"/>
          <w14:ligatures w14:val="none"/>
        </w:rPr>
        <w:t xml:space="preserve"> și, după caz, la viitoarea hotărâre;</w:t>
      </w:r>
    </w:p>
    <w:p w14:paraId="07F8E30B" w14:textId="77777777" w:rsidR="00CB3EF7" w:rsidRPr="00CB3EF7" w:rsidRDefault="00CB3EF7" w:rsidP="009C1545">
      <w:pPr>
        <w:numPr>
          <w:ilvl w:val="1"/>
          <w:numId w:val="1"/>
        </w:numPr>
        <w:spacing w:after="0" w:line="240" w:lineRule="auto"/>
        <w:jc w:val="both"/>
        <w:rPr>
          <w:rFonts w:ascii="Calibri" w:eastAsia="Times New Roman" w:hAnsi="Calibri" w:cs="Calibri"/>
          <w:kern w:val="0"/>
          <w:lang w:val="ro-RO"/>
          <w14:ligatures w14:val="none"/>
        </w:rPr>
      </w:pPr>
      <w:r w:rsidRPr="00CB3EF7">
        <w:rPr>
          <w:rFonts w:ascii="Calibri" w:eastAsia="Times New Roman" w:hAnsi="Calibri" w:cs="Calibri"/>
          <w:kern w:val="0"/>
          <w:lang w:val="ro-RO"/>
          <w14:ligatures w14:val="none"/>
        </w:rPr>
        <w:t xml:space="preserve">stabilirea faptului că </w:t>
      </w:r>
      <w:r w:rsidRPr="00CB3EF7">
        <w:rPr>
          <w:rFonts w:ascii="Calibri" w:eastAsia="Times New Roman" w:hAnsi="Calibri" w:cs="Calibri"/>
          <w:b/>
          <w:bCs/>
          <w:kern w:val="0"/>
          <w:lang w:val="ro-RO"/>
          <w14:ligatures w14:val="none"/>
        </w:rPr>
        <w:t>procedura de autorizare și supraveghere</w:t>
      </w:r>
      <w:r w:rsidRPr="00CB3EF7">
        <w:rPr>
          <w:rFonts w:ascii="Calibri" w:eastAsia="Times New Roman" w:hAnsi="Calibri" w:cs="Calibri"/>
          <w:kern w:val="0"/>
          <w:lang w:val="ro-RO"/>
          <w14:ligatures w14:val="none"/>
        </w:rPr>
        <w:t xml:space="preserve"> a îndeplinirii obligațiilor de răspundere extinsă a producătorului (în mod colectiv/individual/și/sau prin reprezentanți autorizați) </w:t>
      </w:r>
      <w:r w:rsidRPr="00CB3EF7">
        <w:rPr>
          <w:rFonts w:ascii="Calibri" w:eastAsia="Times New Roman" w:hAnsi="Calibri" w:cs="Calibri"/>
          <w:b/>
          <w:bCs/>
          <w:kern w:val="0"/>
          <w:lang w:val="ro-RO"/>
          <w14:ligatures w14:val="none"/>
        </w:rPr>
        <w:t>se aprobă prin ordin</w:t>
      </w:r>
      <w:r w:rsidRPr="00CB3EF7">
        <w:rPr>
          <w:rFonts w:ascii="Calibri" w:eastAsia="Times New Roman" w:hAnsi="Calibri" w:cs="Calibri"/>
          <w:kern w:val="0"/>
          <w:lang w:val="ro-RO"/>
          <w14:ligatures w14:val="none"/>
        </w:rPr>
        <w:t xml:space="preserve"> al conducătorului autorității publice centrale pentru protecția mediului, într-un termen determinat;</w:t>
      </w:r>
    </w:p>
    <w:p w14:paraId="722ACFB8" w14:textId="77777777" w:rsidR="00E101D0" w:rsidRDefault="00CB3EF7" w:rsidP="009C1545">
      <w:pPr>
        <w:numPr>
          <w:ilvl w:val="1"/>
          <w:numId w:val="1"/>
        </w:numPr>
        <w:spacing w:after="0" w:line="240" w:lineRule="auto"/>
        <w:jc w:val="both"/>
        <w:rPr>
          <w:rFonts w:ascii="Calibri" w:eastAsia="Times New Roman" w:hAnsi="Calibri" w:cs="Calibri"/>
          <w:kern w:val="0"/>
          <w:lang w:val="ro-RO"/>
          <w14:ligatures w14:val="none"/>
        </w:rPr>
      </w:pPr>
      <w:r w:rsidRPr="00CB3EF7">
        <w:rPr>
          <w:rFonts w:ascii="Calibri" w:eastAsia="Times New Roman" w:hAnsi="Calibri" w:cs="Calibri"/>
          <w:kern w:val="0"/>
          <w:lang w:val="ro-RO"/>
          <w14:ligatures w14:val="none"/>
        </w:rPr>
        <w:t xml:space="preserve">menținerea </w:t>
      </w:r>
      <w:r w:rsidRPr="00CB3EF7">
        <w:rPr>
          <w:rFonts w:ascii="Calibri" w:eastAsia="Times New Roman" w:hAnsi="Calibri" w:cs="Calibri"/>
          <w:b/>
          <w:bCs/>
          <w:kern w:val="0"/>
          <w:lang w:val="ro-RO"/>
          <w14:ligatures w14:val="none"/>
        </w:rPr>
        <w:t>continuității activității</w:t>
      </w:r>
      <w:r w:rsidRPr="00CB3EF7">
        <w:rPr>
          <w:rFonts w:ascii="Calibri" w:eastAsia="Times New Roman" w:hAnsi="Calibri" w:cs="Calibri"/>
          <w:kern w:val="0"/>
          <w:lang w:val="ro-RO"/>
          <w14:ligatures w14:val="none"/>
        </w:rPr>
        <w:t xml:space="preserve"> în perioada tranzitorie, în condițiile proiectului. </w:t>
      </w:r>
    </w:p>
    <w:p w14:paraId="7360B6C4" w14:textId="77777777" w:rsidR="009C1545" w:rsidRPr="00E101D0" w:rsidRDefault="009C1545" w:rsidP="009C1545">
      <w:pPr>
        <w:spacing w:after="0" w:line="240" w:lineRule="auto"/>
        <w:ind w:left="1440"/>
        <w:jc w:val="both"/>
        <w:rPr>
          <w:rFonts w:ascii="Calibri" w:eastAsia="Times New Roman" w:hAnsi="Calibri" w:cs="Calibri"/>
          <w:kern w:val="0"/>
          <w:lang w:val="ro-RO"/>
          <w14:ligatures w14:val="none"/>
        </w:rPr>
      </w:pPr>
    </w:p>
    <w:p w14:paraId="6F6FC4EB" w14:textId="77777777" w:rsidR="00DF71DB" w:rsidRDefault="00DF71DB" w:rsidP="009C1545">
      <w:pPr>
        <w:numPr>
          <w:ilvl w:val="0"/>
          <w:numId w:val="1"/>
        </w:numPr>
        <w:spacing w:after="0" w:line="240" w:lineRule="auto"/>
        <w:jc w:val="both"/>
        <w:rPr>
          <w:rFonts w:ascii="Calibri" w:eastAsia="Times New Roman" w:hAnsi="Calibri" w:cs="Calibri"/>
          <w:kern w:val="0"/>
          <w:lang w:val="ro-RO"/>
          <w14:ligatures w14:val="none"/>
        </w:rPr>
      </w:pPr>
      <w:r w:rsidRPr="00CB3EF7">
        <w:rPr>
          <w:rFonts w:ascii="Calibri" w:eastAsia="Times New Roman" w:hAnsi="Calibri" w:cs="Calibri"/>
          <w:b/>
          <w:bCs/>
          <w:kern w:val="0"/>
          <w:lang w:val="ro-RO"/>
          <w14:ligatures w14:val="none"/>
        </w:rPr>
        <w:t>Noul ordin privind procedura de autorizare/reautorizare – aplicare unitară</w:t>
      </w:r>
      <w:r w:rsidRPr="00CB3EF7">
        <w:rPr>
          <w:rFonts w:ascii="Calibri" w:eastAsia="Times New Roman" w:hAnsi="Calibri" w:cs="Calibri"/>
          <w:kern w:val="0"/>
          <w:lang w:val="ro-RO"/>
          <w14:ligatures w14:val="none"/>
        </w:rPr>
        <w:br/>
        <w:t xml:space="preserve">În vederea corelării procedurilor cu noul cadru legislativ, </w:t>
      </w:r>
      <w:r w:rsidRPr="00CB3EF7">
        <w:rPr>
          <w:rFonts w:ascii="Calibri" w:eastAsia="Times New Roman" w:hAnsi="Calibri" w:cs="Calibri"/>
          <w:b/>
          <w:bCs/>
          <w:kern w:val="0"/>
          <w:lang w:val="ro-RO"/>
          <w14:ligatures w14:val="none"/>
        </w:rPr>
        <w:t>procedura de autorizare și supraveghere</w:t>
      </w:r>
      <w:r w:rsidRPr="00CB3EF7">
        <w:rPr>
          <w:rFonts w:ascii="Calibri" w:eastAsia="Times New Roman" w:hAnsi="Calibri" w:cs="Calibri"/>
          <w:kern w:val="0"/>
          <w:lang w:val="ro-RO"/>
          <w14:ligatures w14:val="none"/>
        </w:rPr>
        <w:t xml:space="preserve"> urmează a fi aprobată prin </w:t>
      </w:r>
      <w:r w:rsidRPr="00CB3EF7">
        <w:rPr>
          <w:rFonts w:ascii="Calibri" w:eastAsia="Times New Roman" w:hAnsi="Calibri" w:cs="Calibri"/>
          <w:b/>
          <w:bCs/>
          <w:kern w:val="0"/>
          <w:lang w:val="ro-RO"/>
          <w14:ligatures w14:val="none"/>
        </w:rPr>
        <w:t>ordin</w:t>
      </w:r>
      <w:r w:rsidRPr="00CB3EF7">
        <w:rPr>
          <w:rFonts w:ascii="Calibri" w:eastAsia="Times New Roman" w:hAnsi="Calibri" w:cs="Calibri"/>
          <w:kern w:val="0"/>
          <w:lang w:val="ro-RO"/>
          <w14:ligatures w14:val="none"/>
        </w:rPr>
        <w:t xml:space="preserve"> al conducătorului autorității publice centrale pentru protecția mediului, în condițiile și termenele prevăzute în proiectul de hotărâre, iar </w:t>
      </w:r>
      <w:r w:rsidRPr="00CB3EF7">
        <w:rPr>
          <w:rFonts w:ascii="Calibri" w:eastAsia="Times New Roman" w:hAnsi="Calibri" w:cs="Calibri"/>
          <w:b/>
          <w:bCs/>
          <w:kern w:val="0"/>
          <w:lang w:val="ro-RO"/>
          <w14:ligatures w14:val="none"/>
        </w:rPr>
        <w:t>această procedură se va aplica în mod unitar, fără excepție, tuturor OTR-urilor</w:t>
      </w:r>
      <w:r w:rsidRPr="00CB3EF7">
        <w:rPr>
          <w:rFonts w:ascii="Calibri" w:eastAsia="Times New Roman" w:hAnsi="Calibri" w:cs="Calibri"/>
          <w:kern w:val="0"/>
          <w:lang w:val="ro-RO"/>
          <w14:ligatures w14:val="none"/>
        </w:rPr>
        <w:t xml:space="preserve">. </w:t>
      </w:r>
    </w:p>
    <w:p w14:paraId="2DE26DF9" w14:textId="60E50478" w:rsidR="00E101D0" w:rsidRDefault="00E101D0" w:rsidP="009C1545">
      <w:pPr>
        <w:pStyle w:val="ListParagraph"/>
        <w:spacing w:after="0" w:line="240" w:lineRule="auto"/>
        <w:jc w:val="both"/>
        <w:rPr>
          <w:rFonts w:ascii="Calibri" w:eastAsia="Times New Roman" w:hAnsi="Calibri" w:cs="Calibri"/>
          <w:kern w:val="0"/>
          <w:lang w:val="ro-RO"/>
          <w14:ligatures w14:val="none"/>
        </w:rPr>
      </w:pPr>
      <w:r w:rsidRPr="00E101D0">
        <w:rPr>
          <w:rFonts w:ascii="Calibri" w:eastAsia="Times New Roman" w:hAnsi="Calibri" w:cs="Calibri"/>
          <w:kern w:val="0"/>
          <w:lang w:val="ro-RO"/>
          <w14:ligatures w14:val="none"/>
        </w:rPr>
        <w:lastRenderedPageBreak/>
        <w:t>Documentaţiile depuse în temeiul în temeiul art. 7^1 din Hotărârea Guvernului nr. 1.132/2008  pentru obţinerea licenţelor de operare/aprobării planului de operare pentru producătorii care îşi îndeplinesc în mod individual obligaţiile privind gestionarea deşeurilor de baterii şi acumulatori, se refac de către solicitanţi, în termen de 90 de zile de la data intrării în vigoare a ordinului prevăzut la alin. (1)</w:t>
      </w:r>
      <w:r w:rsidR="003E6C43">
        <w:rPr>
          <w:rFonts w:ascii="Calibri" w:eastAsia="Times New Roman" w:hAnsi="Calibri" w:cs="Calibri"/>
          <w:kern w:val="0"/>
          <w:lang w:val="ro-RO"/>
          <w14:ligatures w14:val="none"/>
        </w:rPr>
        <w:t xml:space="preserve"> din proiectul de HG afisat</w:t>
      </w:r>
    </w:p>
    <w:p w14:paraId="7E912E79" w14:textId="77777777" w:rsidR="009C1545" w:rsidRPr="00E101D0" w:rsidRDefault="009C1545" w:rsidP="009C1545">
      <w:pPr>
        <w:pStyle w:val="ListParagraph"/>
        <w:spacing w:after="0" w:line="240" w:lineRule="auto"/>
        <w:jc w:val="both"/>
        <w:rPr>
          <w:rFonts w:ascii="Calibri" w:eastAsia="Times New Roman" w:hAnsi="Calibri" w:cs="Calibri"/>
          <w:kern w:val="0"/>
          <w:lang w:val="ro-RO"/>
          <w14:ligatures w14:val="none"/>
        </w:rPr>
      </w:pPr>
    </w:p>
    <w:p w14:paraId="7083A6A9" w14:textId="77777777" w:rsidR="00DF71DB" w:rsidRPr="00C4710B" w:rsidRDefault="00CB3EF7" w:rsidP="009C1545">
      <w:pPr>
        <w:numPr>
          <w:ilvl w:val="0"/>
          <w:numId w:val="1"/>
        </w:numPr>
        <w:spacing w:after="0" w:line="240" w:lineRule="auto"/>
        <w:jc w:val="both"/>
        <w:rPr>
          <w:rFonts w:ascii="Calibri" w:eastAsia="Times New Roman" w:hAnsi="Calibri" w:cs="Calibri"/>
          <w:kern w:val="0"/>
          <w:lang w:val="ro-RO"/>
          <w14:ligatures w14:val="none"/>
        </w:rPr>
      </w:pPr>
      <w:r w:rsidRPr="00CB3EF7">
        <w:rPr>
          <w:rFonts w:ascii="Calibri" w:eastAsia="Times New Roman" w:hAnsi="Calibri" w:cs="Calibri"/>
          <w:b/>
          <w:bCs/>
          <w:kern w:val="0"/>
          <w:lang w:val="ro-RO"/>
          <w14:ligatures w14:val="none"/>
        </w:rPr>
        <w:t>Regimul tranzitoriu pentru OTR-uri – continuitatea activității până la finalizarea reautorizării</w:t>
      </w:r>
    </w:p>
    <w:p w14:paraId="059D9DDB" w14:textId="4CE94922" w:rsidR="00C4710B" w:rsidRPr="00C4710B" w:rsidRDefault="00C4710B" w:rsidP="009C1545">
      <w:pPr>
        <w:spacing w:after="0" w:line="240" w:lineRule="auto"/>
        <w:ind w:left="720"/>
        <w:jc w:val="both"/>
        <w:rPr>
          <w:rFonts w:ascii="Calibri" w:eastAsia="Times New Roman" w:hAnsi="Calibri" w:cs="Calibri"/>
          <w:kern w:val="0"/>
          <w:lang w:val="ro-RO"/>
          <w14:ligatures w14:val="none"/>
        </w:rPr>
      </w:pPr>
      <w:r w:rsidRPr="00C4710B">
        <w:rPr>
          <w:rFonts w:ascii="Calibri" w:eastAsia="Times New Roman" w:hAnsi="Calibri" w:cs="Calibri"/>
          <w:kern w:val="0"/>
          <w:lang w:val="ro-RO"/>
          <w14:ligatures w14:val="none"/>
        </w:rPr>
        <w:t>La data intrării în vigoare a hotărâri</w:t>
      </w:r>
      <w:r w:rsidR="003E6C43">
        <w:rPr>
          <w:rFonts w:ascii="Calibri" w:eastAsia="Times New Roman" w:hAnsi="Calibri" w:cs="Calibri"/>
          <w:kern w:val="0"/>
          <w:lang w:val="ro-RO"/>
          <w14:ligatures w14:val="none"/>
        </w:rPr>
        <w:t>i mentionate anterior</w:t>
      </w:r>
      <w:r w:rsidRPr="00C4710B">
        <w:rPr>
          <w:rFonts w:ascii="Calibri" w:eastAsia="Times New Roman" w:hAnsi="Calibri" w:cs="Calibri"/>
          <w:kern w:val="0"/>
          <w:lang w:val="ro-RO"/>
          <w14:ligatures w14:val="none"/>
        </w:rPr>
        <w:t xml:space="preserve"> se abrogă Hotărârea Guvernului nr. 1132/ 2008 privind regimul bateriilor şi acumulatorilor şi al deşeurilor de baterii şi acumulatori, publicată în Monitorul Oficial al României, Partea I, nr. 667 din 25 septembrie 2008, cu modificările și completările ulterioare, cu excepția art. 8</w:t>
      </w:r>
      <w:r w:rsidR="00A1563D">
        <w:rPr>
          <w:rFonts w:ascii="Calibri" w:eastAsia="Times New Roman" w:hAnsi="Calibri" w:cs="Calibri"/>
          <w:kern w:val="0"/>
          <w:vertAlign w:val="superscript"/>
          <w:lang w:val="ro-RO"/>
          <w14:ligatures w14:val="none"/>
        </w:rPr>
        <w:t>3</w:t>
      </w:r>
      <w:r w:rsidRPr="00C4710B">
        <w:rPr>
          <w:rFonts w:ascii="Calibri" w:eastAsia="Times New Roman" w:hAnsi="Calibri" w:cs="Calibri"/>
          <w:kern w:val="0"/>
          <w:lang w:val="ro-RO"/>
          <w14:ligatures w14:val="none"/>
        </w:rPr>
        <w:t xml:space="preserve"> care se aplică până  la data de 18 februarie 2027, art. 15</w:t>
      </w:r>
      <w:r w:rsidR="00A1563D">
        <w:rPr>
          <w:rFonts w:ascii="Calibri" w:eastAsia="Times New Roman" w:hAnsi="Calibri" w:cs="Calibri"/>
          <w:kern w:val="0"/>
          <w:vertAlign w:val="superscript"/>
          <w:lang w:val="ro-RO"/>
          <w14:ligatures w14:val="none"/>
        </w:rPr>
        <w:t>4</w:t>
      </w:r>
      <w:r w:rsidRPr="00C4710B">
        <w:rPr>
          <w:rFonts w:ascii="Calibri" w:eastAsia="Times New Roman" w:hAnsi="Calibri" w:cs="Calibri"/>
          <w:kern w:val="0"/>
          <w:lang w:val="ro-RO"/>
          <w14:ligatures w14:val="none"/>
        </w:rPr>
        <w:t xml:space="preserve"> care se aplică până la data de 18 august 2026,  și a art. 7 (6) care se aplică până la data de 30 iunie 2027.</w:t>
      </w:r>
    </w:p>
    <w:p w14:paraId="0ABD82CC" w14:textId="003C4645" w:rsidR="00C4710B" w:rsidRDefault="00C4710B" w:rsidP="009C1545">
      <w:pPr>
        <w:spacing w:after="0" w:line="240" w:lineRule="auto"/>
        <w:ind w:left="720"/>
        <w:jc w:val="both"/>
        <w:rPr>
          <w:rFonts w:ascii="Calibri" w:eastAsia="Times New Roman" w:hAnsi="Calibri" w:cs="Calibri"/>
          <w:kern w:val="0"/>
          <w:lang w:val="ro-RO"/>
          <w14:ligatures w14:val="none"/>
        </w:rPr>
      </w:pPr>
      <w:r w:rsidRPr="00C4710B">
        <w:rPr>
          <w:rFonts w:ascii="Calibri" w:eastAsia="Times New Roman" w:hAnsi="Calibri" w:cs="Calibri"/>
          <w:kern w:val="0"/>
          <w:lang w:val="ro-RO"/>
          <w14:ligatures w14:val="none"/>
        </w:rPr>
        <w:t>Documentele emise în temeiul art. 7</w:t>
      </w:r>
      <w:r w:rsidR="00E101D0">
        <w:rPr>
          <w:rFonts w:ascii="Calibri" w:eastAsia="Times New Roman" w:hAnsi="Calibri" w:cs="Calibri"/>
          <w:kern w:val="0"/>
          <w:lang w:val="ro-RO"/>
          <w14:ligatures w14:val="none"/>
        </w:rPr>
        <w:t>^</w:t>
      </w:r>
      <w:r w:rsidRPr="00C4710B">
        <w:rPr>
          <w:rFonts w:ascii="Calibri" w:eastAsia="Times New Roman" w:hAnsi="Calibri" w:cs="Calibri"/>
          <w:kern w:val="0"/>
          <w:lang w:val="ro-RO"/>
          <w14:ligatures w14:val="none"/>
        </w:rPr>
        <w:t>1 din Hotărârea Guvernului nr. 1.132/2008 privind regimul bateriilor şi acumulatorilor şi al deşeurilor de baterii şi acumulatori, cu modificările şi completările ulterioare, rămân valabile 6 luni de la data adoptării</w:t>
      </w:r>
      <w:r w:rsidR="00E101D0">
        <w:rPr>
          <w:rFonts w:ascii="Calibri" w:eastAsia="Times New Roman" w:hAnsi="Calibri" w:cs="Calibri"/>
          <w:kern w:val="0"/>
          <w:lang w:val="ro-RO"/>
          <w14:ligatures w14:val="none"/>
        </w:rPr>
        <w:t xml:space="preserve"> noului</w:t>
      </w:r>
      <w:r w:rsidRPr="00C4710B">
        <w:rPr>
          <w:rFonts w:ascii="Calibri" w:eastAsia="Times New Roman" w:hAnsi="Calibri" w:cs="Calibri"/>
          <w:kern w:val="0"/>
          <w:lang w:val="ro-RO"/>
          <w14:ligatures w14:val="none"/>
        </w:rPr>
        <w:t xml:space="preserve"> ordin</w:t>
      </w:r>
      <w:r w:rsidR="00E101D0">
        <w:rPr>
          <w:rFonts w:ascii="Calibri" w:eastAsia="Times New Roman" w:hAnsi="Calibri" w:cs="Calibri"/>
          <w:kern w:val="0"/>
          <w:lang w:val="ro-RO"/>
          <w14:ligatures w14:val="none"/>
        </w:rPr>
        <w:t xml:space="preserve"> care aprobă procedura de autorizare</w:t>
      </w:r>
      <w:r w:rsidRPr="00C4710B">
        <w:rPr>
          <w:rFonts w:ascii="Calibri" w:eastAsia="Times New Roman" w:hAnsi="Calibri" w:cs="Calibri"/>
          <w:kern w:val="0"/>
          <w:lang w:val="ro-RO"/>
          <w14:ligatures w14:val="none"/>
        </w:rPr>
        <w:t>.</w:t>
      </w:r>
    </w:p>
    <w:p w14:paraId="7738D96E" w14:textId="77777777" w:rsidR="009C1545" w:rsidRPr="00C4710B" w:rsidRDefault="009C1545" w:rsidP="009C1545">
      <w:pPr>
        <w:spacing w:after="0" w:line="240" w:lineRule="auto"/>
        <w:ind w:left="720"/>
        <w:jc w:val="both"/>
        <w:rPr>
          <w:rFonts w:ascii="Calibri" w:eastAsia="Times New Roman" w:hAnsi="Calibri" w:cs="Calibri"/>
          <w:kern w:val="0"/>
          <w:lang w:val="ro-RO"/>
          <w14:ligatures w14:val="none"/>
        </w:rPr>
      </w:pPr>
    </w:p>
    <w:p w14:paraId="3EFAAB57" w14:textId="77777777" w:rsidR="00CB3EF7" w:rsidRDefault="00CB3EF7" w:rsidP="009C1545">
      <w:pPr>
        <w:numPr>
          <w:ilvl w:val="0"/>
          <w:numId w:val="1"/>
        </w:numPr>
        <w:spacing w:after="0" w:line="240" w:lineRule="auto"/>
        <w:jc w:val="both"/>
        <w:rPr>
          <w:rFonts w:ascii="Calibri" w:eastAsia="Times New Roman" w:hAnsi="Calibri" w:cs="Calibri"/>
          <w:kern w:val="0"/>
          <w:lang w:val="ro-RO"/>
          <w14:ligatures w14:val="none"/>
        </w:rPr>
      </w:pPr>
      <w:r w:rsidRPr="00DF71DB">
        <w:rPr>
          <w:rFonts w:ascii="Calibri" w:eastAsia="Times New Roman" w:hAnsi="Calibri" w:cs="Calibri"/>
          <w:kern w:val="0"/>
          <w:lang w:val="ro-RO"/>
          <w14:ligatures w14:val="none"/>
        </w:rPr>
        <w:t xml:space="preserve">Totodată, în aplicarea principiului continuității și a dispozițiilor tranzitorii, </w:t>
      </w:r>
      <w:r w:rsidRPr="00DF71DB">
        <w:rPr>
          <w:rFonts w:ascii="Calibri" w:eastAsia="Times New Roman" w:hAnsi="Calibri" w:cs="Calibri"/>
          <w:b/>
          <w:bCs/>
          <w:kern w:val="0"/>
          <w:lang w:val="ro-RO"/>
          <w14:ligatures w14:val="none"/>
        </w:rPr>
        <w:t>OTR-urile a căror licență a expirat și care au depus documentația de reautorizare în termenul legal</w:t>
      </w:r>
      <w:r w:rsidRPr="00DF71DB">
        <w:rPr>
          <w:rFonts w:ascii="Calibri" w:eastAsia="Times New Roman" w:hAnsi="Calibri" w:cs="Calibri"/>
          <w:kern w:val="0"/>
          <w:lang w:val="ro-RO"/>
          <w14:ligatures w14:val="none"/>
        </w:rPr>
        <w:t xml:space="preserve"> </w:t>
      </w:r>
      <w:r w:rsidRPr="00DF71DB">
        <w:rPr>
          <w:rFonts w:ascii="Calibri" w:eastAsia="Times New Roman" w:hAnsi="Calibri" w:cs="Calibri"/>
          <w:b/>
          <w:bCs/>
          <w:kern w:val="0"/>
          <w:lang w:val="ro-RO"/>
          <w14:ligatures w14:val="none"/>
        </w:rPr>
        <w:t>își pot continua activitatea până la finalizarea procedurii de reautorizare</w:t>
      </w:r>
      <w:r w:rsidRPr="00DF71DB">
        <w:rPr>
          <w:rFonts w:ascii="Calibri" w:eastAsia="Times New Roman" w:hAnsi="Calibri" w:cs="Calibri"/>
          <w:kern w:val="0"/>
          <w:lang w:val="ro-RO"/>
          <w14:ligatures w14:val="none"/>
        </w:rPr>
        <w:t xml:space="preserve">, cu respectarea cadrului legal aplicabil în materia răspunderii extinse a producătorilor, inclusiv a prevederilor incidente din legislația națională și a dispozițiilor direct aplicabile ale Regulamentului (UE) 2023/1542. </w:t>
      </w:r>
    </w:p>
    <w:p w14:paraId="318C0B5D" w14:textId="77777777" w:rsidR="00CB3EF7" w:rsidRDefault="00CB3EF7" w:rsidP="009C1545">
      <w:pPr>
        <w:spacing w:after="0" w:line="240" w:lineRule="auto"/>
        <w:ind w:left="720"/>
        <w:jc w:val="both"/>
        <w:rPr>
          <w:rFonts w:ascii="Calibri" w:eastAsia="Times New Roman" w:hAnsi="Calibri" w:cs="Calibri"/>
          <w:kern w:val="0"/>
          <w:lang w:val="ro-RO"/>
          <w14:ligatures w14:val="none"/>
        </w:rPr>
      </w:pPr>
      <w:r w:rsidRPr="00CB3EF7">
        <w:rPr>
          <w:rFonts w:ascii="Calibri" w:eastAsia="Times New Roman" w:hAnsi="Calibri" w:cs="Calibri"/>
          <w:kern w:val="0"/>
          <w:lang w:val="ro-RO"/>
          <w14:ligatures w14:val="none"/>
        </w:rPr>
        <w:t xml:space="preserve">În același sens, proiectul de hotărâre prevede expres că </w:t>
      </w:r>
      <w:r w:rsidRPr="00CB3EF7">
        <w:rPr>
          <w:rFonts w:ascii="Calibri" w:eastAsia="Times New Roman" w:hAnsi="Calibri" w:cs="Calibri"/>
          <w:b/>
          <w:bCs/>
          <w:kern w:val="0"/>
          <w:lang w:val="ro-RO"/>
          <w14:ligatures w14:val="none"/>
        </w:rPr>
        <w:t>în perioada tranzitorie, organizațiile colective își pot continua activitatea, cu respectarea dispozițiilor direct aplicabile ale Regulamentului (UE) 2023/1542</w:t>
      </w:r>
      <w:r w:rsidRPr="00CB3EF7">
        <w:rPr>
          <w:rFonts w:ascii="Calibri" w:eastAsia="Times New Roman" w:hAnsi="Calibri" w:cs="Calibri"/>
          <w:kern w:val="0"/>
          <w:lang w:val="ro-RO"/>
          <w14:ligatures w14:val="none"/>
        </w:rPr>
        <w:t xml:space="preserve">. </w:t>
      </w:r>
    </w:p>
    <w:p w14:paraId="087109C9" w14:textId="77777777" w:rsidR="009C1545" w:rsidRPr="00CB3EF7" w:rsidRDefault="009C1545" w:rsidP="009C1545">
      <w:pPr>
        <w:spacing w:after="0" w:line="240" w:lineRule="auto"/>
        <w:ind w:left="720"/>
        <w:jc w:val="both"/>
        <w:rPr>
          <w:rFonts w:ascii="Calibri" w:eastAsia="Times New Roman" w:hAnsi="Calibri" w:cs="Calibri"/>
          <w:kern w:val="0"/>
          <w:lang w:val="ro-RO"/>
          <w14:ligatures w14:val="none"/>
        </w:rPr>
      </w:pPr>
    </w:p>
    <w:p w14:paraId="649CB1B2" w14:textId="77777777" w:rsidR="00CB3EF7" w:rsidRDefault="00CB3EF7" w:rsidP="009C1545">
      <w:pPr>
        <w:spacing w:after="0" w:line="240" w:lineRule="auto"/>
        <w:jc w:val="both"/>
        <w:rPr>
          <w:rFonts w:ascii="Calibri" w:eastAsia="Times New Roman" w:hAnsi="Calibri" w:cs="Calibri"/>
          <w:kern w:val="0"/>
          <w:lang w:val="ro-RO"/>
          <w14:ligatures w14:val="none"/>
        </w:rPr>
      </w:pPr>
      <w:r w:rsidRPr="00CB3EF7">
        <w:rPr>
          <w:rFonts w:ascii="Calibri" w:eastAsia="Times New Roman" w:hAnsi="Calibri" w:cs="Calibri"/>
          <w:b/>
          <w:bCs/>
          <w:kern w:val="0"/>
          <w:lang w:val="ro-RO"/>
          <w14:ligatures w14:val="none"/>
        </w:rPr>
        <w:t>Notă:</w:t>
      </w:r>
      <w:r w:rsidRPr="00CB3EF7">
        <w:rPr>
          <w:rFonts w:ascii="Calibri" w:eastAsia="Times New Roman" w:hAnsi="Calibri" w:cs="Calibri"/>
          <w:kern w:val="0"/>
          <w:lang w:val="ro-RO"/>
          <w14:ligatures w14:val="none"/>
        </w:rPr>
        <w:t xml:space="preserve"> Prezenta informare are caracter general/informativ și nu constituie act administrativ individual; procedurile de evaluare și reautorizare se desfășoară de autoritățile/structurile competente, potrivit atribuțiilor legale.</w:t>
      </w:r>
    </w:p>
    <w:p w14:paraId="0196D063" w14:textId="55A1BF83" w:rsidR="00A1563D" w:rsidRPr="00CB3EF7" w:rsidRDefault="00A1563D" w:rsidP="009C1545">
      <w:pPr>
        <w:spacing w:after="0" w:line="240" w:lineRule="auto"/>
        <w:jc w:val="both"/>
        <w:rPr>
          <w:rFonts w:ascii="Calibri" w:eastAsia="Times New Roman" w:hAnsi="Calibri" w:cs="Calibri"/>
          <w:kern w:val="0"/>
          <w:lang w:val="ro-RO"/>
          <w14:ligatures w14:val="none"/>
        </w:rPr>
      </w:pPr>
      <w:r>
        <w:rPr>
          <w:rFonts w:ascii="Calibri" w:eastAsia="Times New Roman" w:hAnsi="Calibri" w:cs="Calibri"/>
          <w:noProof/>
          <w:kern w:val="0"/>
          <w:lang w:val="ro-RO"/>
        </w:rPr>
        <mc:AlternateContent>
          <mc:Choice Requires="wps">
            <w:drawing>
              <wp:anchor distT="0" distB="0" distL="114300" distR="114300" simplePos="0" relativeHeight="251659264" behindDoc="0" locked="0" layoutInCell="1" allowOverlap="1" wp14:anchorId="393CDA89" wp14:editId="1B4A05C8">
                <wp:simplePos x="0" y="0"/>
                <wp:positionH relativeFrom="column">
                  <wp:posOffset>-31750</wp:posOffset>
                </wp:positionH>
                <wp:positionV relativeFrom="paragraph">
                  <wp:posOffset>250190</wp:posOffset>
                </wp:positionV>
                <wp:extent cx="2011680" cy="0"/>
                <wp:effectExtent l="0" t="0" r="0" b="0"/>
                <wp:wrapNone/>
                <wp:docPr id="2125713771" name="Straight Connector 1"/>
                <wp:cNvGraphicFramePr/>
                <a:graphic xmlns:a="http://schemas.openxmlformats.org/drawingml/2006/main">
                  <a:graphicData uri="http://schemas.microsoft.com/office/word/2010/wordprocessingShape">
                    <wps:wsp>
                      <wps:cNvCnPr/>
                      <wps:spPr>
                        <a:xfrm flipV="1">
                          <a:off x="0" y="0"/>
                          <a:ext cx="201168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961597"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9.7pt" to="155.9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" strokecolor="black [3200]" strokeweight=".25pt">
                <v:stroke joinstyle="miter"/>
              </v:line>
            </w:pict>
          </mc:Fallback>
        </mc:AlternateContent>
      </w:r>
    </w:p>
    <w:p w14:paraId="6A59DB5E" w14:textId="02C1304F" w:rsidR="00CD28D1" w:rsidRDefault="00A1563D" w:rsidP="009C1545">
      <w:pPr>
        <w:spacing w:after="0" w:line="240" w:lineRule="auto"/>
        <w:jc w:val="both"/>
        <w:rPr>
          <w:sz w:val="18"/>
          <w:szCs w:val="18"/>
          <w:lang w:val="ro-RO"/>
        </w:rPr>
      </w:pPr>
      <w:bookmarkStart w:id="0" w:name="_Hlk217391800"/>
      <w:r>
        <w:rPr>
          <w:vertAlign w:val="superscript"/>
          <w:lang w:val="ro-RO"/>
        </w:rPr>
        <w:t>3</w:t>
      </w:r>
      <w:r w:rsidRPr="00A1563D">
        <w:rPr>
          <w:sz w:val="18"/>
          <w:szCs w:val="18"/>
          <w:lang w:val="ro-RO"/>
        </w:rPr>
        <w:t>(8) Producătorii de baterii şi acumulatori sunt obligaţi să informeze Agenţia Naţională pentru Protecţia Mediului cu privire la modalitatea de îndeplinire a obligaţiilor prevăzute la alin. (7), până la data de 28 februarie a fiecărui an.</w:t>
      </w:r>
      <w:bookmarkEnd w:id="0"/>
    </w:p>
    <w:p w14:paraId="6EBF16C7" w14:textId="4DE110CA" w:rsidR="0095314D" w:rsidRDefault="0095314D" w:rsidP="009C1545">
      <w:pPr>
        <w:spacing w:after="0" w:line="240" w:lineRule="auto"/>
        <w:jc w:val="both"/>
        <w:rPr>
          <w:sz w:val="18"/>
          <w:szCs w:val="18"/>
          <w:lang w:val="ro-RO"/>
        </w:rPr>
      </w:pPr>
      <w:r>
        <w:rPr>
          <w:sz w:val="18"/>
          <w:szCs w:val="18"/>
          <w:vertAlign w:val="superscript"/>
          <w:lang w:val="ro-RO"/>
        </w:rPr>
        <w:t>4</w:t>
      </w:r>
      <w:r w:rsidRPr="0095314D">
        <w:rPr>
          <w:sz w:val="18"/>
          <w:szCs w:val="18"/>
          <w:lang w:val="ro-RO"/>
        </w:rPr>
        <w:t>(15) Deşeurile de baterii şi acumulatori auto şi industriali care prezintă deteriorări ale carcaselor sau pierderi de electrolit trebuie să fie colectate separat de cele care nu prezintă deteriorări sau pierderi de electrolit, în containere speciale, pentru a fi predate operatorilor economici care desfăşoară, pe bază de contract, o activitate de tratare şi/sau reciclare..</w:t>
      </w:r>
      <w:r>
        <w:rPr>
          <w:sz w:val="18"/>
          <w:szCs w:val="18"/>
          <w:lang w:val="ro-RO"/>
        </w:rPr>
        <w:t xml:space="preserve"> </w:t>
      </w:r>
    </w:p>
    <w:p w14:paraId="24AEC305" w14:textId="023CBA2E" w:rsidR="0095314D" w:rsidRPr="009C1545" w:rsidRDefault="0095314D" w:rsidP="009C1545">
      <w:pPr>
        <w:spacing w:after="0" w:line="240" w:lineRule="auto"/>
        <w:jc w:val="both"/>
        <w:rPr>
          <w:sz w:val="18"/>
          <w:szCs w:val="18"/>
          <w:lang w:val="ro-RO"/>
        </w:rPr>
      </w:pPr>
      <w:r>
        <w:rPr>
          <w:sz w:val="18"/>
          <w:szCs w:val="18"/>
          <w:vertAlign w:val="superscript"/>
          <w:lang w:val="ro-RO"/>
        </w:rPr>
        <w:t>5</w:t>
      </w:r>
      <w:r>
        <w:rPr>
          <w:sz w:val="18"/>
          <w:szCs w:val="18"/>
          <w:lang w:val="ro-RO"/>
        </w:rPr>
        <w:t>Art.7</w:t>
      </w:r>
      <w:r w:rsidRPr="0095314D">
        <w:rPr>
          <w:sz w:val="18"/>
          <w:szCs w:val="18"/>
          <w:lang w:val="ro-RO"/>
        </w:rPr>
        <w:t>(6) Fără a aduce atingere Regulamentului (CE) nr. 2.150/2002 al Parlamentului European şi al Consiliului referitor la statisticile privind deşeurile, Agenţia Naţională pentru Protecţia Mediului transmite Comisiei Europene, pe cale electronică, rapoarte, în termen de 18 luni de la sfârşitul anului de raportare pentru care sunt colectate datele. Rapoartele indică modul în care au fost obţinute datele necesare pentru a calcula ratele de colectare.</w:t>
      </w:r>
    </w:p>
    <w:sectPr w:rsidR="0095314D" w:rsidRPr="009C15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A3E16" w14:textId="77777777" w:rsidR="004D3842" w:rsidRDefault="004D3842" w:rsidP="003E6C43">
      <w:pPr>
        <w:spacing w:after="0" w:line="240" w:lineRule="auto"/>
      </w:pPr>
      <w:r>
        <w:separator/>
      </w:r>
    </w:p>
  </w:endnote>
  <w:endnote w:type="continuationSeparator" w:id="0">
    <w:p w14:paraId="5310BAB7" w14:textId="77777777" w:rsidR="004D3842" w:rsidRDefault="004D3842" w:rsidP="003E6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519B6" w14:textId="77777777" w:rsidR="004D3842" w:rsidRDefault="004D3842" w:rsidP="003E6C43">
      <w:pPr>
        <w:spacing w:after="0" w:line="240" w:lineRule="auto"/>
      </w:pPr>
      <w:r>
        <w:separator/>
      </w:r>
    </w:p>
  </w:footnote>
  <w:footnote w:type="continuationSeparator" w:id="0">
    <w:p w14:paraId="4CC8B307" w14:textId="77777777" w:rsidR="004D3842" w:rsidRDefault="004D3842" w:rsidP="003E6C43">
      <w:pPr>
        <w:spacing w:after="0" w:line="240" w:lineRule="auto"/>
      </w:pPr>
      <w:r>
        <w:continuationSeparator/>
      </w:r>
    </w:p>
  </w:footnote>
  <w:footnote w:id="1">
    <w:p w14:paraId="69453E68" w14:textId="514E5B7F" w:rsidR="003E6C43" w:rsidRDefault="003E6C43">
      <w:pPr>
        <w:pStyle w:val="FootnoteText"/>
      </w:pPr>
      <w:r>
        <w:rPr>
          <w:rStyle w:val="FootnoteReference"/>
        </w:rPr>
        <w:footnoteRef/>
      </w:r>
      <w:r>
        <w:t xml:space="preserve"> </w:t>
      </w:r>
      <w:r w:rsidRPr="003E6C43">
        <w:t>https://eur-lex.europa.eu/legal-content/RO/ALL/?uri=CELEX:32023R1542</w:t>
      </w:r>
    </w:p>
  </w:footnote>
  <w:footnote w:id="2">
    <w:p w14:paraId="2D7DFF0A" w14:textId="75885610" w:rsidR="003E6C43" w:rsidRDefault="003E6C43">
      <w:pPr>
        <w:pStyle w:val="FootnoteText"/>
      </w:pPr>
      <w:r>
        <w:rPr>
          <w:rStyle w:val="FootnoteReference"/>
        </w:rPr>
        <w:footnoteRef/>
      </w:r>
      <w:r>
        <w:t xml:space="preserve"> </w:t>
      </w:r>
      <w:r w:rsidRPr="003E6C43">
        <w:t>https://economie.gov.ro/proiect-de-hotarare-a-guvernului-privind-stabilirea-cadrului-institutional-si-a-masurilor-pentru-aplicarea-regulamentului-ue-2023-1542-al-parlamentului-european-si-al-consiliului-privind-bateriile/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30358"/>
    <w:multiLevelType w:val="multilevel"/>
    <w:tmpl w:val="EE5CC1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0707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EF7"/>
    <w:rsid w:val="00233FC5"/>
    <w:rsid w:val="003362AA"/>
    <w:rsid w:val="003E6C43"/>
    <w:rsid w:val="004D3842"/>
    <w:rsid w:val="004E7E6E"/>
    <w:rsid w:val="00543C68"/>
    <w:rsid w:val="00694760"/>
    <w:rsid w:val="007B0ED0"/>
    <w:rsid w:val="00931C09"/>
    <w:rsid w:val="0095314D"/>
    <w:rsid w:val="009C1545"/>
    <w:rsid w:val="00A1563D"/>
    <w:rsid w:val="00A46682"/>
    <w:rsid w:val="00AF490D"/>
    <w:rsid w:val="00C4710B"/>
    <w:rsid w:val="00C70158"/>
    <w:rsid w:val="00CB3EF7"/>
    <w:rsid w:val="00CD28D1"/>
    <w:rsid w:val="00CE6B4B"/>
    <w:rsid w:val="00DF000B"/>
    <w:rsid w:val="00DF71DB"/>
    <w:rsid w:val="00E101D0"/>
    <w:rsid w:val="00E3110C"/>
    <w:rsid w:val="00E57C5E"/>
    <w:rsid w:val="00EB1394"/>
    <w:rsid w:val="00FF21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055FF"/>
  <w15:chartTrackingRefBased/>
  <w15:docId w15:val="{3E22B671-A7FD-46CD-B3FA-F6D7152E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3E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3E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3E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3E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3E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3E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E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E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E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E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3E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3E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3E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3E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3E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E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E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EF7"/>
    <w:rPr>
      <w:rFonts w:eastAsiaTheme="majorEastAsia" w:cstheme="majorBidi"/>
      <w:color w:val="272727" w:themeColor="text1" w:themeTint="D8"/>
    </w:rPr>
  </w:style>
  <w:style w:type="paragraph" w:styleId="Title">
    <w:name w:val="Title"/>
    <w:basedOn w:val="Normal"/>
    <w:next w:val="Normal"/>
    <w:link w:val="TitleChar"/>
    <w:uiPriority w:val="10"/>
    <w:qFormat/>
    <w:rsid w:val="00CB3E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E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E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E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EF7"/>
    <w:pPr>
      <w:spacing w:before="160"/>
      <w:jc w:val="center"/>
    </w:pPr>
    <w:rPr>
      <w:i/>
      <w:iCs/>
      <w:color w:val="404040" w:themeColor="text1" w:themeTint="BF"/>
    </w:rPr>
  </w:style>
  <w:style w:type="character" w:customStyle="1" w:styleId="QuoteChar">
    <w:name w:val="Quote Char"/>
    <w:basedOn w:val="DefaultParagraphFont"/>
    <w:link w:val="Quote"/>
    <w:uiPriority w:val="29"/>
    <w:rsid w:val="00CB3EF7"/>
    <w:rPr>
      <w:i/>
      <w:iCs/>
      <w:color w:val="404040" w:themeColor="text1" w:themeTint="BF"/>
    </w:rPr>
  </w:style>
  <w:style w:type="paragraph" w:styleId="ListParagraph">
    <w:name w:val="List Paragraph"/>
    <w:basedOn w:val="Normal"/>
    <w:uiPriority w:val="34"/>
    <w:qFormat/>
    <w:rsid w:val="00CB3EF7"/>
    <w:pPr>
      <w:ind w:left="720"/>
      <w:contextualSpacing/>
    </w:pPr>
  </w:style>
  <w:style w:type="character" w:styleId="IntenseEmphasis">
    <w:name w:val="Intense Emphasis"/>
    <w:basedOn w:val="DefaultParagraphFont"/>
    <w:uiPriority w:val="21"/>
    <w:qFormat/>
    <w:rsid w:val="00CB3EF7"/>
    <w:rPr>
      <w:i/>
      <w:iCs/>
      <w:color w:val="0F4761" w:themeColor="accent1" w:themeShade="BF"/>
    </w:rPr>
  </w:style>
  <w:style w:type="paragraph" w:styleId="IntenseQuote">
    <w:name w:val="Intense Quote"/>
    <w:basedOn w:val="Normal"/>
    <w:next w:val="Normal"/>
    <w:link w:val="IntenseQuoteChar"/>
    <w:uiPriority w:val="30"/>
    <w:qFormat/>
    <w:rsid w:val="00CB3E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3EF7"/>
    <w:rPr>
      <w:i/>
      <w:iCs/>
      <w:color w:val="0F4761" w:themeColor="accent1" w:themeShade="BF"/>
    </w:rPr>
  </w:style>
  <w:style w:type="character" w:styleId="IntenseReference">
    <w:name w:val="Intense Reference"/>
    <w:basedOn w:val="DefaultParagraphFont"/>
    <w:uiPriority w:val="32"/>
    <w:qFormat/>
    <w:rsid w:val="00CB3EF7"/>
    <w:rPr>
      <w:b/>
      <w:bCs/>
      <w:smallCaps/>
      <w:color w:val="0F4761" w:themeColor="accent1" w:themeShade="BF"/>
      <w:spacing w:val="5"/>
    </w:rPr>
  </w:style>
  <w:style w:type="paragraph" w:styleId="BalloonText">
    <w:name w:val="Balloon Text"/>
    <w:basedOn w:val="Normal"/>
    <w:link w:val="BalloonTextChar"/>
    <w:uiPriority w:val="99"/>
    <w:semiHidden/>
    <w:unhideWhenUsed/>
    <w:rsid w:val="00E101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1D0"/>
    <w:rPr>
      <w:rFonts w:ascii="Segoe UI" w:hAnsi="Segoe UI" w:cs="Segoe UI"/>
      <w:sz w:val="18"/>
      <w:szCs w:val="18"/>
    </w:rPr>
  </w:style>
  <w:style w:type="paragraph" w:styleId="Revision">
    <w:name w:val="Revision"/>
    <w:hidden/>
    <w:uiPriority w:val="99"/>
    <w:semiHidden/>
    <w:rsid w:val="00EB1394"/>
    <w:pPr>
      <w:spacing w:after="0" w:line="240" w:lineRule="auto"/>
    </w:pPr>
  </w:style>
  <w:style w:type="paragraph" w:styleId="FootnoteText">
    <w:name w:val="footnote text"/>
    <w:basedOn w:val="Normal"/>
    <w:link w:val="FootnoteTextChar"/>
    <w:uiPriority w:val="99"/>
    <w:semiHidden/>
    <w:unhideWhenUsed/>
    <w:rsid w:val="003E6C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6C43"/>
    <w:rPr>
      <w:sz w:val="20"/>
      <w:szCs w:val="20"/>
    </w:rPr>
  </w:style>
  <w:style w:type="character" w:styleId="FootnoteReference">
    <w:name w:val="footnote reference"/>
    <w:basedOn w:val="DefaultParagraphFont"/>
    <w:uiPriority w:val="99"/>
    <w:semiHidden/>
    <w:unhideWhenUsed/>
    <w:rsid w:val="003E6C43"/>
    <w:rPr>
      <w:vertAlign w:val="superscript"/>
    </w:rPr>
  </w:style>
  <w:style w:type="paragraph" w:styleId="Header">
    <w:name w:val="header"/>
    <w:basedOn w:val="Normal"/>
    <w:link w:val="HeaderChar"/>
    <w:uiPriority w:val="99"/>
    <w:unhideWhenUsed/>
    <w:rsid w:val="00A156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63D"/>
  </w:style>
  <w:style w:type="paragraph" w:styleId="Footer">
    <w:name w:val="footer"/>
    <w:basedOn w:val="Normal"/>
    <w:link w:val="FooterChar"/>
    <w:uiPriority w:val="99"/>
    <w:unhideWhenUsed/>
    <w:rsid w:val="00A156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20BEA-5223-4BAB-BED2-AA44CD13E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Gaspar</dc:creator>
  <cp:keywords/>
  <dc:description/>
  <cp:lastModifiedBy>Cecilia Martin</cp:lastModifiedBy>
  <cp:revision>2</cp:revision>
  <cp:lastPrinted>2025-12-23T07:39:00Z</cp:lastPrinted>
  <dcterms:created xsi:type="dcterms:W3CDTF">2025-12-23T12:44:00Z</dcterms:created>
  <dcterms:modified xsi:type="dcterms:W3CDTF">2025-12-23T12:44:00Z</dcterms:modified>
</cp:coreProperties>
</file>