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B0A3A" w14:textId="77777777" w:rsidR="00F722A4" w:rsidRPr="005160F2" w:rsidRDefault="00F722A4" w:rsidP="001215BB">
      <w:pPr>
        <w:spacing w:before="100" w:beforeAutospacing="1" w:after="100" w:afterAutospacing="1" w:line="360" w:lineRule="auto"/>
        <w:jc w:val="center"/>
        <w:rPr>
          <w:rFonts w:ascii="Trebuchet MS" w:hAnsi="Trebuchet MS" w:cs="Times New Roman"/>
          <w:b/>
          <w:bCs/>
          <w:color w:val="000000"/>
          <w:sz w:val="22"/>
          <w:szCs w:val="22"/>
        </w:rPr>
      </w:pPr>
      <w:r w:rsidRPr="005160F2">
        <w:rPr>
          <w:rFonts w:ascii="Trebuchet MS" w:hAnsi="Trebuchet MS" w:cs="Times New Roman"/>
          <w:b/>
          <w:bCs/>
          <w:color w:val="000000"/>
          <w:sz w:val="22"/>
          <w:szCs w:val="22"/>
        </w:rPr>
        <w:t>GUVERNUL ROMÂNIEI</w:t>
      </w:r>
    </w:p>
    <w:p w14:paraId="3D14F31B" w14:textId="0ED6C0B8" w:rsidR="00F722A4" w:rsidRPr="005160F2" w:rsidRDefault="00D26E9C" w:rsidP="001215BB">
      <w:pPr>
        <w:spacing w:before="100" w:beforeAutospacing="1" w:after="100" w:afterAutospacing="1" w:line="360" w:lineRule="auto"/>
        <w:jc w:val="center"/>
        <w:rPr>
          <w:rFonts w:ascii="Trebuchet MS" w:hAnsi="Trebuchet MS" w:cs="Times New Roman"/>
          <w:b/>
          <w:bCs/>
          <w:color w:val="000000"/>
          <w:sz w:val="22"/>
          <w:szCs w:val="22"/>
        </w:rPr>
      </w:pPr>
      <w:r w:rsidRPr="005160F2">
        <w:rPr>
          <w:rFonts w:ascii="Trebuchet MS" w:hAnsi="Trebuchet MS" w:cs="Times New Roman"/>
          <w:b/>
          <w:bCs/>
          <w:noProof/>
          <w:color w:val="000000"/>
          <w:sz w:val="22"/>
          <w:szCs w:val="22"/>
        </w:rPr>
        <w:drawing>
          <wp:inline distT="0" distB="0" distL="0" distR="0" wp14:anchorId="091BA62A" wp14:editId="7D32543E">
            <wp:extent cx="694690" cy="981710"/>
            <wp:effectExtent l="0" t="0" r="0" b="8890"/>
            <wp:docPr id="1328245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DD536" w14:textId="6B76463C" w:rsidR="00541A8C" w:rsidRPr="005160F2" w:rsidRDefault="008B5C60" w:rsidP="001215BB">
      <w:pPr>
        <w:spacing w:before="100" w:beforeAutospacing="1" w:after="100" w:afterAutospacing="1" w:line="360" w:lineRule="auto"/>
        <w:jc w:val="center"/>
        <w:rPr>
          <w:rFonts w:ascii="Trebuchet MS" w:hAnsi="Trebuchet MS" w:cs="Times New Roman"/>
          <w:b/>
          <w:bCs/>
          <w:color w:val="000000"/>
          <w:sz w:val="22"/>
          <w:szCs w:val="22"/>
        </w:rPr>
      </w:pPr>
      <w:r w:rsidRPr="005160F2">
        <w:rPr>
          <w:rFonts w:ascii="Trebuchet MS" w:hAnsi="Trebuchet MS" w:cs="Times New Roman"/>
          <w:b/>
          <w:bCs/>
          <w:color w:val="000000"/>
          <w:sz w:val="22"/>
          <w:szCs w:val="22"/>
        </w:rPr>
        <w:t>ORDONANȚĂ DE URGENȚĂ</w:t>
      </w:r>
    </w:p>
    <w:p w14:paraId="23D936E3" w14:textId="6A38F554" w:rsidR="00541A8C" w:rsidRPr="005160F2" w:rsidRDefault="00E44077" w:rsidP="001215BB">
      <w:pPr>
        <w:spacing w:before="100" w:beforeAutospacing="1" w:after="100" w:afterAutospacing="1" w:line="360" w:lineRule="auto"/>
        <w:jc w:val="center"/>
        <w:rPr>
          <w:rFonts w:ascii="Trebuchet MS" w:hAnsi="Trebuchet MS" w:cs="Times New Roman"/>
          <w:b/>
          <w:bCs/>
          <w:color w:val="000000"/>
          <w:sz w:val="22"/>
          <w:szCs w:val="22"/>
        </w:rPr>
      </w:pPr>
      <w:r w:rsidRPr="005160F2">
        <w:rPr>
          <w:rFonts w:ascii="Trebuchet MS" w:hAnsi="Trebuchet MS" w:cs="Times New Roman"/>
          <w:b/>
          <w:bCs/>
          <w:color w:val="000000"/>
          <w:sz w:val="22"/>
          <w:szCs w:val="22"/>
        </w:rPr>
        <w:t>pentru completarea Ordonanței de urgență a Guvernului nr.</w:t>
      </w:r>
      <w:r w:rsidR="001509E3" w:rsidRPr="007A3798">
        <w:rPr>
          <w:rFonts w:ascii="Trebuchet MS" w:hAnsi="Trebuchet MS" w:cs="Times New Roman"/>
          <w:b/>
          <w:bCs/>
          <w:color w:val="000000"/>
          <w:sz w:val="22"/>
          <w:szCs w:val="22"/>
        </w:rPr>
        <w:t xml:space="preserve"> </w:t>
      </w:r>
      <w:r w:rsidRPr="005160F2">
        <w:rPr>
          <w:rFonts w:ascii="Trebuchet MS" w:hAnsi="Trebuchet MS" w:cs="Times New Roman"/>
          <w:b/>
          <w:bCs/>
          <w:color w:val="000000"/>
          <w:sz w:val="22"/>
          <w:szCs w:val="22"/>
        </w:rPr>
        <w:t>196/2005 privind Fondul pentru mediu</w:t>
      </w:r>
    </w:p>
    <w:p w14:paraId="3765B405" w14:textId="470845AF" w:rsidR="00E44077" w:rsidRPr="005160F2" w:rsidRDefault="00E44077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hAnsi="Trebuchet MS" w:cs="Times New Roman"/>
          <w:color w:val="000000"/>
          <w:sz w:val="22"/>
          <w:szCs w:val="22"/>
        </w:rPr>
      </w:pPr>
      <w:r w:rsidRPr="005160F2">
        <w:rPr>
          <w:rFonts w:ascii="Trebuchet MS" w:hAnsi="Trebuchet MS" w:cs="Times New Roman"/>
          <w:color w:val="000000"/>
          <w:sz w:val="22"/>
          <w:szCs w:val="22"/>
        </w:rPr>
        <w:t>Având în vedere necesitatea instituirii, în favoarea Administrației Fondului pentru Mediu, a cadrului legal de gestionare și implementare a proiectelor aferente lucrărilor de închidere şi ecologizare a depozitelor de deşeuri, care sunt finanțate din bugetul de stat, din fonduri europene structurale şi de investiţii sau alte fonduri externe, în contextul Hotărârii Curții de Justiție a Uniunii Europene, denumită în continuare</w:t>
      </w:r>
      <w:r w:rsidR="001B1B94" w:rsidRPr="005160F2">
        <w:rPr>
          <w:rFonts w:ascii="Trebuchet MS" w:hAnsi="Trebuchet MS" w:cs="Times New Roman"/>
          <w:color w:val="000000"/>
          <w:sz w:val="22"/>
          <w:szCs w:val="22"/>
        </w:rPr>
        <w:t>,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 CJUE, în cauza C-109/22, Comisia  împotriva României, pentru neexecutarea</w:t>
      </w:r>
      <w:r w:rsidR="00DE6E75" w:rsidRPr="005160F2">
        <w:rPr>
          <w:rFonts w:ascii="Trebuchet MS" w:hAnsi="Trebuchet MS" w:cs="Times New Roman"/>
          <w:color w:val="000000"/>
          <w:sz w:val="22"/>
          <w:szCs w:val="22"/>
        </w:rPr>
        <w:t xml:space="preserve"> 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Hotărârii CJUE în cauza C-301/17 referitoare la neîndeplinirea, de către </w:t>
      </w:r>
      <w:r w:rsidR="001B1B94" w:rsidRPr="005160F2">
        <w:rPr>
          <w:rFonts w:ascii="Trebuchet MS" w:hAnsi="Trebuchet MS" w:cs="Times New Roman"/>
          <w:color w:val="000000"/>
          <w:sz w:val="22"/>
          <w:szCs w:val="22"/>
        </w:rPr>
        <w:t>România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, a obligațiilor prevăzute </w:t>
      </w:r>
      <w:r w:rsidR="001B1B94" w:rsidRPr="005160F2">
        <w:rPr>
          <w:rFonts w:ascii="Trebuchet MS" w:hAnsi="Trebuchet MS" w:cs="Times New Roman"/>
          <w:color w:val="000000"/>
          <w:sz w:val="22"/>
          <w:szCs w:val="22"/>
        </w:rPr>
        <w:t xml:space="preserve">la 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>art. 14 lit. (b) coroborat cu art. 13 din Directiva 1999/31/CE privind depozitele de deșeuri,</w:t>
      </w:r>
    </w:p>
    <w:p w14:paraId="2471FC06" w14:textId="68A24380" w:rsidR="008E2C63" w:rsidRPr="005160F2" w:rsidRDefault="002A1608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hAnsi="Trebuchet MS" w:cs="Times New Roman"/>
          <w:color w:val="000000"/>
          <w:sz w:val="22"/>
          <w:szCs w:val="22"/>
        </w:rPr>
      </w:pPr>
      <w:r w:rsidRPr="005160F2">
        <w:rPr>
          <w:rFonts w:ascii="Trebuchet MS" w:hAnsi="Trebuchet MS" w:cs="Times New Roman"/>
          <w:color w:val="000000"/>
          <w:sz w:val="22"/>
          <w:szCs w:val="22"/>
        </w:rPr>
        <w:t>Î</w:t>
      </w:r>
      <w:r w:rsidR="008E2C63" w:rsidRPr="005160F2">
        <w:rPr>
          <w:rFonts w:ascii="Trebuchet MS" w:hAnsi="Trebuchet MS" w:cs="Times New Roman"/>
          <w:color w:val="000000"/>
          <w:sz w:val="22"/>
          <w:szCs w:val="22"/>
        </w:rPr>
        <w:t xml:space="preserve">n </w:t>
      </w:r>
      <w:r w:rsidR="00DE6E75" w:rsidRPr="005160F2">
        <w:rPr>
          <w:rFonts w:ascii="Trebuchet MS" w:hAnsi="Trebuchet MS" w:cs="Times New Roman"/>
          <w:color w:val="000000"/>
          <w:sz w:val="22"/>
          <w:szCs w:val="22"/>
        </w:rPr>
        <w:t xml:space="preserve">baza </w:t>
      </w:r>
      <w:r w:rsidR="008E2C63" w:rsidRPr="005160F2">
        <w:rPr>
          <w:rFonts w:ascii="Trebuchet MS" w:hAnsi="Trebuchet MS" w:cs="Times New Roman"/>
          <w:color w:val="000000"/>
          <w:sz w:val="22"/>
          <w:szCs w:val="22"/>
        </w:rPr>
        <w:t>Hotărârii CJUE pentru depozitele rămase neconforme</w:t>
      </w:r>
      <w:r w:rsidR="00DE6E75" w:rsidRPr="005160F2">
        <w:rPr>
          <w:rFonts w:ascii="Trebuchet MS" w:hAnsi="Trebuchet MS" w:cs="Times New Roman"/>
          <w:color w:val="000000"/>
          <w:sz w:val="22"/>
          <w:szCs w:val="22"/>
        </w:rPr>
        <w:t>, respectiv</w:t>
      </w:r>
      <w:r w:rsidR="001B1B94" w:rsidRPr="005160F2">
        <w:rPr>
          <w:rFonts w:ascii="Trebuchet MS" w:hAnsi="Trebuchet MS" w:cs="Times New Roman"/>
          <w:color w:val="000000"/>
          <w:sz w:val="22"/>
          <w:szCs w:val="22"/>
        </w:rPr>
        <w:t>,</w:t>
      </w:r>
      <w:r w:rsidR="00DE6E75" w:rsidRPr="005160F2">
        <w:rPr>
          <w:rFonts w:ascii="Trebuchet MS" w:hAnsi="Trebuchet MS" w:cs="Times New Roman"/>
          <w:color w:val="000000"/>
          <w:sz w:val="22"/>
          <w:szCs w:val="22"/>
        </w:rPr>
        <w:t xml:space="preserve"> </w:t>
      </w:r>
      <w:r w:rsidR="008E2C63" w:rsidRPr="005160F2">
        <w:rPr>
          <w:rFonts w:ascii="Trebuchet MS" w:hAnsi="Trebuchet MS" w:cs="Times New Roman"/>
          <w:color w:val="000000"/>
          <w:sz w:val="22"/>
          <w:szCs w:val="22"/>
        </w:rPr>
        <w:t xml:space="preserve">neînchise, </w:t>
      </w:r>
      <w:r w:rsidR="001B1B94" w:rsidRPr="005160F2">
        <w:rPr>
          <w:rFonts w:ascii="Trebuchet MS" w:hAnsi="Trebuchet MS" w:cs="Times New Roman"/>
          <w:color w:val="000000"/>
          <w:sz w:val="22"/>
          <w:szCs w:val="22"/>
        </w:rPr>
        <w:t xml:space="preserve">prin care </w:t>
      </w:r>
      <w:r w:rsidR="008E2C63" w:rsidRPr="005160F2">
        <w:rPr>
          <w:rFonts w:ascii="Trebuchet MS" w:hAnsi="Trebuchet MS" w:cs="Times New Roman"/>
          <w:color w:val="000000"/>
          <w:sz w:val="22"/>
          <w:szCs w:val="22"/>
        </w:rPr>
        <w:t>România a fost condamnată la „plata unei sume forfetare de 1,5 milioane de euro și a unei penalități cu titlu cominatoriu de 600 de euro pe depozit de deșeuri și pe zi de întârziere”,</w:t>
      </w:r>
      <w:r w:rsidR="001B1B94" w:rsidRPr="005160F2">
        <w:rPr>
          <w:rFonts w:ascii="Trebuchet MS" w:hAnsi="Trebuchet MS" w:cs="Times New Roman"/>
          <w:color w:val="000000"/>
          <w:sz w:val="22"/>
          <w:szCs w:val="22"/>
        </w:rPr>
        <w:t xml:space="preserve"> </w:t>
      </w:r>
      <w:r w:rsidR="008E2C63" w:rsidRPr="005160F2">
        <w:rPr>
          <w:rFonts w:ascii="Trebuchet MS" w:hAnsi="Trebuchet MS" w:cs="Times New Roman"/>
          <w:color w:val="000000"/>
          <w:sz w:val="22"/>
          <w:szCs w:val="22"/>
        </w:rPr>
        <w:t xml:space="preserve">plata penalităților cominatorii </w:t>
      </w:r>
      <w:r w:rsidR="001B1B94" w:rsidRPr="005160F2">
        <w:rPr>
          <w:rFonts w:ascii="Trebuchet MS" w:hAnsi="Trebuchet MS" w:cs="Times New Roman"/>
          <w:color w:val="000000"/>
          <w:sz w:val="22"/>
          <w:szCs w:val="22"/>
        </w:rPr>
        <w:t xml:space="preserve">curgând </w:t>
      </w:r>
      <w:r w:rsidR="008E2C63" w:rsidRPr="005160F2">
        <w:rPr>
          <w:rFonts w:ascii="Trebuchet MS" w:hAnsi="Trebuchet MS" w:cs="Times New Roman"/>
          <w:color w:val="000000"/>
          <w:sz w:val="22"/>
          <w:szCs w:val="22"/>
        </w:rPr>
        <w:t>de la data pronunțării hotărârii în cauza C-109/22 până la conformarea totală, respectiv</w:t>
      </w:r>
      <w:r w:rsidR="001B1B94" w:rsidRPr="005160F2">
        <w:rPr>
          <w:rFonts w:ascii="Trebuchet MS" w:hAnsi="Trebuchet MS" w:cs="Times New Roman"/>
          <w:color w:val="000000"/>
          <w:sz w:val="22"/>
          <w:szCs w:val="22"/>
        </w:rPr>
        <w:t>,</w:t>
      </w:r>
      <w:r w:rsidR="008E2C63" w:rsidRPr="005160F2">
        <w:rPr>
          <w:rFonts w:ascii="Trebuchet MS" w:hAnsi="Trebuchet MS" w:cs="Times New Roman"/>
          <w:color w:val="000000"/>
          <w:sz w:val="22"/>
          <w:szCs w:val="22"/>
        </w:rPr>
        <w:t xml:space="preserve"> Comisia transmi</w:t>
      </w:r>
      <w:r w:rsidR="001B1B94" w:rsidRPr="005160F2">
        <w:rPr>
          <w:rFonts w:ascii="Trebuchet MS" w:hAnsi="Trebuchet MS" w:cs="Times New Roman"/>
          <w:color w:val="000000"/>
          <w:sz w:val="22"/>
          <w:szCs w:val="22"/>
        </w:rPr>
        <w:t>țând</w:t>
      </w:r>
      <w:r w:rsidR="008E2C63" w:rsidRPr="005160F2">
        <w:rPr>
          <w:rFonts w:ascii="Trebuchet MS" w:hAnsi="Trebuchet MS" w:cs="Times New Roman"/>
          <w:color w:val="000000"/>
          <w:sz w:val="22"/>
          <w:szCs w:val="22"/>
        </w:rPr>
        <w:t xml:space="preserve"> la sfârșitul fiecărei perioade de șase luni, calculate de la </w:t>
      </w:r>
      <w:r w:rsidR="00447516" w:rsidRPr="005160F2">
        <w:rPr>
          <w:rFonts w:ascii="Trebuchet MS" w:hAnsi="Trebuchet MS" w:cs="Times New Roman"/>
          <w:color w:val="000000"/>
          <w:sz w:val="22"/>
          <w:szCs w:val="22"/>
        </w:rPr>
        <w:t xml:space="preserve">data de </w:t>
      </w:r>
      <w:r w:rsidR="008E2C63" w:rsidRPr="005160F2">
        <w:rPr>
          <w:rFonts w:ascii="Trebuchet MS" w:hAnsi="Trebuchet MS" w:cs="Times New Roman"/>
          <w:color w:val="000000"/>
          <w:sz w:val="22"/>
          <w:szCs w:val="22"/>
        </w:rPr>
        <w:t>15.12.2023, o nouă solicitare de plată a penalităților pe zile de întârziere stabilite de CJUE în aceeași hotărâre</w:t>
      </w:r>
      <w:r w:rsidR="001B1B94" w:rsidRPr="005160F2">
        <w:rPr>
          <w:rFonts w:ascii="Trebuchet MS" w:hAnsi="Trebuchet MS" w:cs="Times New Roman"/>
          <w:color w:val="000000"/>
          <w:sz w:val="22"/>
          <w:szCs w:val="22"/>
        </w:rPr>
        <w:t>,</w:t>
      </w:r>
    </w:p>
    <w:p w14:paraId="04C27ED4" w14:textId="4BF43456" w:rsidR="00FB0F49" w:rsidRPr="005160F2" w:rsidRDefault="00E44077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hAnsi="Trebuchet MS" w:cs="Times New Roman"/>
          <w:color w:val="000000"/>
          <w:sz w:val="22"/>
          <w:szCs w:val="22"/>
        </w:rPr>
      </w:pPr>
      <w:r w:rsidRPr="005160F2">
        <w:rPr>
          <w:rFonts w:ascii="Trebuchet MS" w:hAnsi="Trebuchet MS" w:cs="Times New Roman"/>
          <w:color w:val="000000"/>
          <w:sz w:val="22"/>
          <w:szCs w:val="22"/>
        </w:rPr>
        <w:t>Ținând cont de urgența necesității de închidere și ecologizare a depozitelor de deșeuri, în contextul penalităților pe zile de întârziere stabilite de Curtea de Justiție a Uniunii Europene, al căror cuantum este determinat inclusiv pe baza numărului efectiv de zile aferente neîndeplinirii obligațiilor de executare a hotărârii CJUE C-301/17,</w:t>
      </w:r>
    </w:p>
    <w:p w14:paraId="0DE3A3D6" w14:textId="340480D5" w:rsidR="00D63C5F" w:rsidRPr="005160F2" w:rsidRDefault="00E44077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hAnsi="Trebuchet MS" w:cs="Times New Roman"/>
          <w:color w:val="000000"/>
          <w:sz w:val="22"/>
          <w:szCs w:val="22"/>
        </w:rPr>
      </w:pP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Având în vedere prevederile Legii nr. 255/2010 privind exproprierea pentru cauză de utilitate publică, necesară realizării unor obiective de interes naţional, judeţean şi local, cu 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lastRenderedPageBreak/>
        <w:t xml:space="preserve">modificările și completările ulterioare, prin care sunt declarate de utilitate publică inclusiv lucrările de închidere și ecologizare a depozitelor de deșeuri, efectuate de stat prin autoritățile publice centrale, ca urmare a stabilirii în sarcina acestuia de măsuri, în baza unor hotărâri ale Curții de Justiție a Uniunii Europene, iar expropriatorul pentru lucrările de închidere și ecologizare a depozitelor de deșeuri este Ministerul Mediului, Apelor și Pădurilor, prin Administrația Fondului pentru Mediu, precum și situația unor depozite de deșeuri neconforme care nu pot face obiectul exproprierii, dar </w:t>
      </w:r>
      <w:r w:rsidR="004E0EA1" w:rsidRPr="005160F2">
        <w:rPr>
          <w:rFonts w:ascii="Trebuchet MS" w:hAnsi="Trebuchet MS" w:cs="Times New Roman"/>
          <w:color w:val="000000"/>
          <w:sz w:val="22"/>
          <w:szCs w:val="22"/>
        </w:rPr>
        <w:t xml:space="preserve">care 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sunt cuprinse în cauza C-109/22 și necesită lucrări de închidere și ecologizare, </w:t>
      </w:r>
    </w:p>
    <w:p w14:paraId="3695E0DA" w14:textId="0DB061C6" w:rsidR="00FF4C8F" w:rsidRPr="005160F2" w:rsidRDefault="002A4800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hAnsi="Trebuchet MS"/>
          <w:sz w:val="22"/>
          <w:szCs w:val="22"/>
        </w:rPr>
      </w:pP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Luând în considerare prevederile </w:t>
      </w:r>
      <w:bookmarkStart w:id="0" w:name="_Hlk193387488"/>
      <w:r w:rsidRPr="005160F2">
        <w:rPr>
          <w:rFonts w:ascii="Trebuchet MS" w:hAnsi="Trebuchet MS" w:cs="Times New Roman"/>
          <w:color w:val="000000"/>
          <w:sz w:val="22"/>
          <w:szCs w:val="22"/>
        </w:rPr>
        <w:t>Ordonan</w:t>
      </w:r>
      <w:r w:rsidR="0014775B" w:rsidRPr="005160F2">
        <w:rPr>
          <w:rFonts w:ascii="Trebuchet MS" w:hAnsi="Trebuchet MS" w:cs="Times New Roman"/>
          <w:color w:val="000000"/>
          <w:sz w:val="22"/>
          <w:szCs w:val="22"/>
        </w:rPr>
        <w:t>ț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>ei Guvernului nr.</w:t>
      </w:r>
      <w:r w:rsidR="004E0EA1" w:rsidRPr="005160F2">
        <w:rPr>
          <w:rFonts w:ascii="Trebuchet MS" w:hAnsi="Trebuchet MS" w:cs="Times New Roman"/>
          <w:color w:val="000000"/>
          <w:sz w:val="22"/>
          <w:szCs w:val="22"/>
        </w:rPr>
        <w:t xml:space="preserve"> 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>2/2021 privind depozitarea de</w:t>
      </w:r>
      <w:r w:rsidR="0014775B" w:rsidRPr="005160F2">
        <w:rPr>
          <w:rFonts w:ascii="Trebuchet MS" w:hAnsi="Trebuchet MS" w:cs="Times New Roman"/>
          <w:color w:val="000000"/>
          <w:sz w:val="22"/>
          <w:szCs w:val="22"/>
        </w:rPr>
        <w:t>ș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>eurilor</w:t>
      </w:r>
      <w:r w:rsidR="00447516" w:rsidRPr="005160F2">
        <w:rPr>
          <w:rFonts w:ascii="Trebuchet MS" w:hAnsi="Trebuchet MS" w:cs="Times New Roman"/>
          <w:color w:val="000000"/>
          <w:sz w:val="22"/>
          <w:szCs w:val="22"/>
        </w:rPr>
        <w:t xml:space="preserve">, cu </w:t>
      </w:r>
      <w:r w:rsidR="004E0EA1" w:rsidRPr="005160F2">
        <w:rPr>
          <w:rFonts w:ascii="Trebuchet MS" w:hAnsi="Trebuchet MS" w:cs="Times New Roman"/>
          <w:color w:val="000000"/>
          <w:sz w:val="22"/>
          <w:szCs w:val="22"/>
        </w:rPr>
        <w:t xml:space="preserve">modificările și completările </w:t>
      </w:r>
      <w:r w:rsidR="00447516" w:rsidRPr="005160F2">
        <w:rPr>
          <w:rFonts w:ascii="Trebuchet MS" w:hAnsi="Trebuchet MS" w:cs="Times New Roman"/>
          <w:color w:val="000000"/>
          <w:sz w:val="22"/>
          <w:szCs w:val="22"/>
        </w:rPr>
        <w:t>ulterioare</w:t>
      </w:r>
      <w:bookmarkEnd w:id="0"/>
      <w:r w:rsidR="00000DD6" w:rsidRPr="005160F2">
        <w:rPr>
          <w:rFonts w:ascii="Trebuchet MS" w:hAnsi="Trebuchet MS" w:cs="Times New Roman"/>
          <w:color w:val="000000"/>
          <w:sz w:val="22"/>
          <w:szCs w:val="22"/>
        </w:rPr>
        <w:t>, referitoare</w:t>
      </w:r>
      <w:r w:rsidRPr="005160F2">
        <w:rPr>
          <w:rFonts w:ascii="Trebuchet MS" w:hAnsi="Trebuchet MS"/>
          <w:sz w:val="22"/>
          <w:szCs w:val="22"/>
        </w:rPr>
        <w:t xml:space="preserve"> la faptul </w:t>
      </w:r>
      <w:r w:rsidR="004E0EA1" w:rsidRPr="005160F2">
        <w:rPr>
          <w:rFonts w:ascii="Trebuchet MS" w:hAnsi="Trebuchet MS"/>
          <w:sz w:val="22"/>
          <w:szCs w:val="22"/>
        </w:rPr>
        <w:t xml:space="preserve">că </w:t>
      </w:r>
      <w:r w:rsidR="00000DD6" w:rsidRPr="005160F2">
        <w:rPr>
          <w:rFonts w:ascii="Trebuchet MS" w:hAnsi="Trebuchet MS"/>
          <w:sz w:val="22"/>
          <w:szCs w:val="22"/>
        </w:rPr>
        <w:t>operatorii depozitelor prevăzute în anexa nr. 5</w:t>
      </w:r>
      <w:r w:rsidR="004E0EA1" w:rsidRPr="005160F2">
        <w:rPr>
          <w:rFonts w:ascii="Trebuchet MS" w:hAnsi="Trebuchet MS"/>
          <w:sz w:val="22"/>
          <w:szCs w:val="22"/>
        </w:rPr>
        <w:t xml:space="preserve"> </w:t>
      </w:r>
      <w:r w:rsidR="00000DD6" w:rsidRPr="005160F2">
        <w:rPr>
          <w:rFonts w:ascii="Trebuchet MS" w:hAnsi="Trebuchet MS"/>
          <w:sz w:val="22"/>
          <w:szCs w:val="22"/>
        </w:rPr>
        <w:t>-</w:t>
      </w:r>
      <w:r w:rsidR="004E0EA1" w:rsidRPr="005160F2">
        <w:rPr>
          <w:rFonts w:ascii="Trebuchet MS" w:hAnsi="Trebuchet MS"/>
          <w:sz w:val="22"/>
          <w:szCs w:val="22"/>
        </w:rPr>
        <w:t xml:space="preserve"> </w:t>
      </w:r>
      <w:r w:rsidR="00000DD6" w:rsidRPr="005160F2">
        <w:rPr>
          <w:rFonts w:ascii="Trebuchet MS" w:hAnsi="Trebuchet MS"/>
          <w:sz w:val="22"/>
          <w:szCs w:val="22"/>
        </w:rPr>
        <w:t xml:space="preserve">Depozite neconforme de </w:t>
      </w:r>
      <w:r w:rsidR="004E0EA1" w:rsidRPr="005160F2">
        <w:rPr>
          <w:rFonts w:ascii="Trebuchet MS" w:hAnsi="Trebuchet MS"/>
          <w:sz w:val="22"/>
          <w:szCs w:val="22"/>
        </w:rPr>
        <w:t xml:space="preserve">deșeuri </w:t>
      </w:r>
      <w:r w:rsidR="00000DD6" w:rsidRPr="005160F2">
        <w:rPr>
          <w:rFonts w:ascii="Trebuchet MS" w:hAnsi="Trebuchet MS"/>
          <w:sz w:val="22"/>
          <w:szCs w:val="22"/>
        </w:rPr>
        <w:t xml:space="preserve">care trebuie </w:t>
      </w:r>
      <w:r w:rsidR="004E0EA1" w:rsidRPr="005160F2">
        <w:rPr>
          <w:rFonts w:ascii="Trebuchet MS" w:hAnsi="Trebuchet MS"/>
          <w:sz w:val="22"/>
          <w:szCs w:val="22"/>
        </w:rPr>
        <w:t>î</w:t>
      </w:r>
      <w:r w:rsidR="00000DD6" w:rsidRPr="005160F2">
        <w:rPr>
          <w:rFonts w:ascii="Trebuchet MS" w:hAnsi="Trebuchet MS"/>
          <w:sz w:val="22"/>
          <w:szCs w:val="22"/>
        </w:rPr>
        <w:t xml:space="preserve">nchise, </w:t>
      </w:r>
      <w:r w:rsidR="00FF4C8F" w:rsidRPr="005160F2">
        <w:rPr>
          <w:rFonts w:ascii="Trebuchet MS" w:hAnsi="Trebuchet MS"/>
          <w:sz w:val="22"/>
          <w:szCs w:val="22"/>
        </w:rPr>
        <w:t xml:space="preserve">au obligaţia să le închidă, </w:t>
      </w:r>
      <w:r w:rsidR="00000DD6" w:rsidRPr="005160F2">
        <w:rPr>
          <w:rFonts w:ascii="Trebuchet MS" w:hAnsi="Trebuchet MS"/>
          <w:sz w:val="22"/>
          <w:szCs w:val="22"/>
        </w:rPr>
        <w:t>ca urmare a Hotărârii Curţii de Justiţie a Uniunii Europene din 18 octombrie 2018</w:t>
      </w:r>
      <w:r w:rsidR="000F71C1" w:rsidRPr="005160F2">
        <w:rPr>
          <w:rFonts w:ascii="Trebuchet MS" w:hAnsi="Trebuchet MS"/>
          <w:sz w:val="22"/>
          <w:szCs w:val="22"/>
        </w:rPr>
        <w:t xml:space="preserve">, în </w:t>
      </w:r>
      <w:r w:rsidR="00000DD6" w:rsidRPr="005160F2">
        <w:rPr>
          <w:rFonts w:ascii="Trebuchet MS" w:hAnsi="Trebuchet MS"/>
          <w:sz w:val="22"/>
          <w:szCs w:val="22"/>
        </w:rPr>
        <w:t>Cauza-301/17 Comisia Europeană/România sau a altor proceduri declanşate de Comisia Europeană împotriva României</w:t>
      </w:r>
      <w:r w:rsidR="00D1107B" w:rsidRPr="005160F2">
        <w:rPr>
          <w:rFonts w:ascii="Trebuchet MS" w:hAnsi="Trebuchet MS"/>
          <w:sz w:val="22"/>
          <w:szCs w:val="22"/>
        </w:rPr>
        <w:t>,</w:t>
      </w:r>
    </w:p>
    <w:p w14:paraId="5FB3A352" w14:textId="0CAA49F0" w:rsidR="002A4800" w:rsidRPr="005160F2" w:rsidRDefault="000F71C1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hAnsi="Trebuchet MS"/>
          <w:sz w:val="22"/>
          <w:szCs w:val="22"/>
        </w:rPr>
      </w:pPr>
      <w:r w:rsidRPr="005160F2">
        <w:rPr>
          <w:rFonts w:ascii="Trebuchet MS" w:hAnsi="Trebuchet MS"/>
          <w:sz w:val="22"/>
          <w:szCs w:val="22"/>
        </w:rPr>
        <w:t>În baza faptului</w:t>
      </w:r>
      <w:r w:rsidR="00D1107B" w:rsidRPr="005160F2">
        <w:rPr>
          <w:rFonts w:ascii="Trebuchet MS" w:hAnsi="Trebuchet MS"/>
          <w:sz w:val="22"/>
          <w:szCs w:val="22"/>
        </w:rPr>
        <w:t xml:space="preserve"> c</w:t>
      </w:r>
      <w:r w:rsidR="00AE3EDE" w:rsidRPr="005160F2">
        <w:rPr>
          <w:rFonts w:ascii="Trebuchet MS" w:hAnsi="Trebuchet MS"/>
          <w:sz w:val="22"/>
          <w:szCs w:val="22"/>
        </w:rPr>
        <w:t>ă</w:t>
      </w:r>
      <w:r w:rsidR="00D1107B" w:rsidRPr="005160F2">
        <w:rPr>
          <w:rFonts w:ascii="Trebuchet MS" w:hAnsi="Trebuchet MS"/>
          <w:sz w:val="22"/>
          <w:szCs w:val="22"/>
        </w:rPr>
        <w:t xml:space="preserve"> </w:t>
      </w:r>
      <w:r w:rsidR="002A4800" w:rsidRPr="005160F2">
        <w:rPr>
          <w:rFonts w:ascii="Trebuchet MS" w:hAnsi="Trebuchet MS"/>
          <w:sz w:val="22"/>
          <w:szCs w:val="22"/>
        </w:rPr>
        <w:t>a</w:t>
      </w:r>
      <w:r w:rsidR="002A4800" w:rsidRPr="005160F2">
        <w:rPr>
          <w:rFonts w:ascii="Trebuchet MS" w:hAnsi="Trebuchet MS" w:cs="Times New Roman"/>
          <w:color w:val="000000"/>
          <w:sz w:val="22"/>
          <w:szCs w:val="22"/>
        </w:rPr>
        <w:t xml:space="preserve">utorităţile administraţiei publice locale trebuie să </w:t>
      </w:r>
      <w:r w:rsidR="0014775B" w:rsidRPr="005160F2">
        <w:rPr>
          <w:rFonts w:ascii="Trebuchet MS" w:hAnsi="Trebuchet MS" w:cs="Times New Roman"/>
          <w:color w:val="000000"/>
          <w:sz w:val="22"/>
          <w:szCs w:val="22"/>
        </w:rPr>
        <w:t>aib</w:t>
      </w:r>
      <w:r w:rsidR="00AE3EDE" w:rsidRPr="005160F2">
        <w:rPr>
          <w:rFonts w:ascii="Trebuchet MS" w:hAnsi="Trebuchet MS" w:cs="Times New Roman"/>
          <w:color w:val="000000"/>
          <w:sz w:val="22"/>
          <w:szCs w:val="22"/>
        </w:rPr>
        <w:t>ă</w:t>
      </w:r>
      <w:r w:rsidR="0014775B" w:rsidRPr="005160F2">
        <w:rPr>
          <w:rFonts w:ascii="Trebuchet MS" w:hAnsi="Trebuchet MS" w:cs="Times New Roman"/>
          <w:color w:val="000000"/>
          <w:sz w:val="22"/>
          <w:szCs w:val="22"/>
        </w:rPr>
        <w:t xml:space="preserve"> </w:t>
      </w:r>
      <w:r w:rsidR="00AE3EDE" w:rsidRPr="005160F2">
        <w:rPr>
          <w:rFonts w:ascii="Trebuchet MS" w:hAnsi="Trebuchet MS" w:cs="Times New Roman"/>
          <w:color w:val="000000"/>
          <w:sz w:val="22"/>
          <w:szCs w:val="22"/>
        </w:rPr>
        <w:t>î</w:t>
      </w:r>
      <w:r w:rsidR="0014775B" w:rsidRPr="005160F2">
        <w:rPr>
          <w:rFonts w:ascii="Trebuchet MS" w:hAnsi="Trebuchet MS" w:cs="Times New Roman"/>
          <w:color w:val="000000"/>
          <w:sz w:val="22"/>
          <w:szCs w:val="22"/>
        </w:rPr>
        <w:t>n vedere</w:t>
      </w:r>
      <w:r w:rsidR="002A4800" w:rsidRPr="005160F2">
        <w:rPr>
          <w:rFonts w:ascii="Trebuchet MS" w:hAnsi="Trebuchet MS" w:cs="Times New Roman"/>
          <w:color w:val="000000"/>
          <w:sz w:val="22"/>
          <w:szCs w:val="22"/>
        </w:rPr>
        <w:t xml:space="preserve"> prevederile Planului naţional de gestionare a deşeurilor, aprobat prin Hotărârea Guvernului nr. 942/2017, planuril</w:t>
      </w:r>
      <w:r w:rsidR="0014775B" w:rsidRPr="005160F2">
        <w:rPr>
          <w:rFonts w:ascii="Trebuchet MS" w:hAnsi="Trebuchet MS" w:cs="Times New Roman"/>
          <w:color w:val="000000"/>
          <w:sz w:val="22"/>
          <w:szCs w:val="22"/>
        </w:rPr>
        <w:t>or</w:t>
      </w:r>
      <w:r w:rsidR="002A4800" w:rsidRPr="005160F2">
        <w:rPr>
          <w:rFonts w:ascii="Trebuchet MS" w:hAnsi="Trebuchet MS" w:cs="Times New Roman"/>
          <w:color w:val="000000"/>
          <w:sz w:val="22"/>
          <w:szCs w:val="22"/>
        </w:rPr>
        <w:t xml:space="preserve"> judeţene de gestionare a deşeurilor, p</w:t>
      </w:r>
      <w:r w:rsidR="00000DD6" w:rsidRPr="005160F2">
        <w:rPr>
          <w:rFonts w:ascii="Trebuchet MS" w:hAnsi="Trebuchet MS" w:cs="Times New Roman"/>
          <w:color w:val="000000"/>
          <w:sz w:val="22"/>
          <w:szCs w:val="22"/>
        </w:rPr>
        <w:t xml:space="preserve">recum </w:t>
      </w:r>
      <w:r w:rsidR="00AE3EDE" w:rsidRPr="005160F2">
        <w:rPr>
          <w:rFonts w:ascii="Trebuchet MS" w:hAnsi="Trebuchet MS" w:cs="Times New Roman"/>
          <w:color w:val="000000"/>
          <w:sz w:val="22"/>
          <w:szCs w:val="22"/>
        </w:rPr>
        <w:t>ș</w:t>
      </w:r>
      <w:r w:rsidR="00000DD6" w:rsidRPr="005160F2">
        <w:rPr>
          <w:rFonts w:ascii="Trebuchet MS" w:hAnsi="Trebuchet MS" w:cs="Times New Roman"/>
          <w:color w:val="000000"/>
          <w:sz w:val="22"/>
          <w:szCs w:val="22"/>
        </w:rPr>
        <w:t>i faptul c</w:t>
      </w:r>
      <w:r w:rsidR="00AE3EDE" w:rsidRPr="005160F2">
        <w:rPr>
          <w:rFonts w:ascii="Trebuchet MS" w:hAnsi="Trebuchet MS" w:cs="Times New Roman"/>
          <w:color w:val="000000"/>
          <w:sz w:val="22"/>
          <w:szCs w:val="22"/>
        </w:rPr>
        <w:t>ă</w:t>
      </w:r>
      <w:r w:rsidR="00000DD6" w:rsidRPr="005160F2">
        <w:rPr>
          <w:rFonts w:ascii="Trebuchet MS" w:hAnsi="Trebuchet MS" w:cs="Times New Roman"/>
          <w:color w:val="000000"/>
          <w:sz w:val="22"/>
          <w:szCs w:val="22"/>
        </w:rPr>
        <w:t xml:space="preserve"> acestea trebuie s</w:t>
      </w:r>
      <w:r w:rsidR="00AE3EDE" w:rsidRPr="005160F2">
        <w:rPr>
          <w:rFonts w:ascii="Trebuchet MS" w:hAnsi="Trebuchet MS" w:cs="Times New Roman"/>
          <w:color w:val="000000"/>
          <w:sz w:val="22"/>
          <w:szCs w:val="22"/>
        </w:rPr>
        <w:t>ă</w:t>
      </w:r>
      <w:r w:rsidR="00000DD6" w:rsidRPr="005160F2">
        <w:rPr>
          <w:rFonts w:ascii="Trebuchet MS" w:hAnsi="Trebuchet MS" w:cs="Times New Roman"/>
          <w:color w:val="000000"/>
          <w:sz w:val="22"/>
          <w:szCs w:val="22"/>
        </w:rPr>
        <w:t xml:space="preserve"> ia m</w:t>
      </w:r>
      <w:r w:rsidR="00AE3EDE" w:rsidRPr="005160F2">
        <w:rPr>
          <w:rFonts w:ascii="Trebuchet MS" w:hAnsi="Trebuchet MS" w:cs="Times New Roman"/>
          <w:color w:val="000000"/>
          <w:sz w:val="22"/>
          <w:szCs w:val="22"/>
        </w:rPr>
        <w:t>ă</w:t>
      </w:r>
      <w:r w:rsidR="00000DD6" w:rsidRPr="005160F2">
        <w:rPr>
          <w:rFonts w:ascii="Trebuchet MS" w:hAnsi="Trebuchet MS" w:cs="Times New Roman"/>
          <w:color w:val="000000"/>
          <w:sz w:val="22"/>
          <w:szCs w:val="22"/>
        </w:rPr>
        <w:t>suri pentru asigurarea costuril</w:t>
      </w:r>
      <w:r w:rsidR="00D1107B" w:rsidRPr="005160F2">
        <w:rPr>
          <w:rFonts w:ascii="Trebuchet MS" w:hAnsi="Trebuchet MS" w:cs="Times New Roman"/>
          <w:color w:val="000000"/>
          <w:sz w:val="22"/>
          <w:szCs w:val="22"/>
        </w:rPr>
        <w:t>or</w:t>
      </w:r>
      <w:r w:rsidR="00000DD6" w:rsidRPr="005160F2">
        <w:rPr>
          <w:rFonts w:ascii="Trebuchet MS" w:hAnsi="Trebuchet MS" w:cs="Times New Roman"/>
          <w:color w:val="000000"/>
          <w:sz w:val="22"/>
          <w:szCs w:val="22"/>
        </w:rPr>
        <w:t xml:space="preserve"> prevăzute pentru construirea şi exploatarea unui depozit de deşeuri municipale, costuril</w:t>
      </w:r>
      <w:r w:rsidR="0014775B" w:rsidRPr="005160F2">
        <w:rPr>
          <w:rFonts w:ascii="Trebuchet MS" w:hAnsi="Trebuchet MS" w:cs="Times New Roman"/>
          <w:color w:val="000000"/>
          <w:sz w:val="22"/>
          <w:szCs w:val="22"/>
        </w:rPr>
        <w:t>or</w:t>
      </w:r>
      <w:r w:rsidR="00000DD6" w:rsidRPr="005160F2">
        <w:rPr>
          <w:rFonts w:ascii="Trebuchet MS" w:hAnsi="Trebuchet MS" w:cs="Times New Roman"/>
          <w:color w:val="000000"/>
          <w:sz w:val="22"/>
          <w:szCs w:val="22"/>
        </w:rPr>
        <w:t xml:space="preserve"> estimate pentru închiderea şi monitorizarea 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postînchidere </w:t>
      </w:r>
      <w:r w:rsidR="00000DD6" w:rsidRPr="005160F2">
        <w:rPr>
          <w:rFonts w:ascii="Trebuchet MS" w:hAnsi="Trebuchet MS" w:cs="Times New Roman"/>
          <w:color w:val="000000"/>
          <w:sz w:val="22"/>
          <w:szCs w:val="22"/>
        </w:rPr>
        <w:t>a depozitului, respectiv costurile pentru fondul de închidere, precum şi garanţia financiară de mediu</w:t>
      </w:r>
      <w:r w:rsidR="00D1107B" w:rsidRPr="005160F2">
        <w:rPr>
          <w:rFonts w:ascii="Trebuchet MS" w:hAnsi="Trebuchet MS" w:cs="Times New Roman"/>
          <w:color w:val="000000"/>
          <w:sz w:val="22"/>
          <w:szCs w:val="22"/>
        </w:rPr>
        <w:t>,</w:t>
      </w:r>
    </w:p>
    <w:p w14:paraId="2D7AD4DF" w14:textId="0F00AAB4" w:rsidR="007C5431" w:rsidRPr="005160F2" w:rsidRDefault="007C5431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Tinând cont de valoarea 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lucrărilor </w:t>
      </w:r>
      <w:r w:rsidR="00D1107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de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="00D1107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nchidere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D1107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 ecologizare a depozitelor neconforme 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prev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zute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 anexa 5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la 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tabelul 5.2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- Depozite neconforme</w:t>
      </w:r>
      <w:r w:rsidR="00D1107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clasa „b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” </w:t>
      </w:r>
      <w:r w:rsidR="00D1107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din zona urbană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din</w:t>
      </w:r>
      <w:r w:rsidR="007D2437" w:rsidRPr="001215BB">
        <w:rPr>
          <w:rFonts w:ascii="Trebuchet MS" w:hAnsi="Trebuchet MS"/>
          <w:sz w:val="22"/>
          <w:szCs w:val="22"/>
        </w:rPr>
        <w:t xml:space="preserve"> 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Ordonanța 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Guvernului nr.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2/2021</w:t>
      </w:r>
      <w:bookmarkStart w:id="1" w:name="_Hlk193788710"/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cu modific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rile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 complet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7D243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rile ulterioare</w:t>
      </w:r>
      <w:bookmarkEnd w:id="1"/>
      <w:r w:rsidR="00A9677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, 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precum și </w:t>
      </w:r>
      <w:r w:rsidR="00A9677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de faptul că beneficiarii acestora sunt </w:t>
      </w:r>
      <w:bookmarkStart w:id="2" w:name="_Hlk189562358"/>
      <w:r w:rsidR="00A9677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unităţi administrativ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A9677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-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A9677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teritoriale </w:t>
      </w:r>
      <w:bookmarkEnd w:id="2"/>
      <w:r w:rsidR="00A9677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sau asociaţii de unităţi administrativ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A9677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-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A9677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teritoriale al căror buget nu permite suportarea cheltuielilor aferente </w:t>
      </w:r>
      <w:r w:rsidR="00D1107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demar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D1107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rii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D1107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 </w:t>
      </w:r>
      <w:r w:rsidR="00A9677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finalizării acestor </w:t>
      </w:r>
      <w:r w:rsidR="00D1107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lucr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D1107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ri</w:t>
      </w:r>
      <w:r w:rsidR="00A9677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</w:p>
    <w:p w14:paraId="1BFB5729" w14:textId="049CB562" w:rsidR="00B44A65" w:rsidRPr="005160F2" w:rsidRDefault="00B56604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Av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â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nd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 vedere c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 conformitate cu art.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13 din </w:t>
      </w:r>
      <w:bookmarkStart w:id="3" w:name="_Hlk193788609"/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O</w:t>
      </w:r>
      <w:r w:rsidR="00C204D6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rdona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</w:t>
      </w:r>
      <w:r w:rsidR="00C204D6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ța de 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u</w:t>
      </w:r>
      <w:r w:rsidR="00C204D6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rgență a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G</w:t>
      </w:r>
      <w:r w:rsidR="00C204D6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uvernului nr.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196/2005</w:t>
      </w:r>
      <w:r w:rsidR="00C204D6" w:rsidRPr="005160F2">
        <w:rPr>
          <w:rFonts w:ascii="Trebuchet MS" w:hAnsi="Trebuchet MS" w:cs="Times New Roman"/>
          <w:b/>
          <w:bCs/>
          <w:color w:val="000000"/>
          <w:sz w:val="22"/>
          <w:szCs w:val="22"/>
        </w:rPr>
        <w:t xml:space="preserve"> </w:t>
      </w:r>
      <w:r w:rsidR="00C204D6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privind Fondul pentru mediu, </w:t>
      </w:r>
      <w:bookmarkEnd w:id="3"/>
      <w:r w:rsidR="00174DF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aprobată cu modificări şi completări prin Legea nr. 105/2006, cu modificările şi completările ulterioare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 bugetul Fondului pentru mediu nu se poate utiliza pentru finan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area proiectelor privind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nchiderea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 ecologizarea depozitelor neconforme, fapt 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învederat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 de c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tre Curtea de Conturi a 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României, precum și cu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art.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5B2DE2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3 alin.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5B2DE2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lastRenderedPageBreak/>
        <w:t>(5)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din 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aceeași ordonanță de urgență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, 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conform c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r</w:t>
      </w:r>
      <w:r w:rsidR="005B2DE2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uia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finan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area 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unor </w:t>
      </w:r>
      <w:r w:rsidR="0010646D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proiecte din fonduri externe nerambursabile se poate asigura din bugetul Administra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10646D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iei Fondului pentru Mediu,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dar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in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â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nd cont de valoarea 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lucrărilor 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de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="0010646D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nchidere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10646D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 ecologizare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10646D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 depozitelor neconforme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de de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euri municipale, chiar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 situa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ia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 </w:t>
      </w:r>
      <w:r w:rsidR="0010646D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care Administra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10646D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ia Fondului pentru Mediu are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calitate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de solicitant eligibil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la finan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are din fonduri externe nerambursabile</w:t>
      </w:r>
      <w:r w:rsidR="00D77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bugetul Administra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iei Fondului pentru Mediu este </w:t>
      </w:r>
      <w:r w:rsidR="001D07E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ins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uficient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pentru asigurarea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finan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ță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rii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 implementar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ii unor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proiecte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de o asemenea </w:t>
      </w:r>
      <w:r w:rsidR="000F71C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anvergură</w:t>
      </w:r>
      <w:r w:rsidR="00834C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  <w:r w:rsidR="001D07E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F664B9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iar </w:t>
      </w:r>
      <w:r w:rsidR="0014775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singura</w:t>
      </w:r>
      <w:r w:rsidR="00F664B9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sursa de finan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F664B9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are identificat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F664B9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p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â</w:t>
      </w:r>
      <w:r w:rsidR="00F664B9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F664B9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la momentul actual</w:t>
      </w:r>
      <w:r w:rsidR="0014775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fiind bugetul de stat,</w:t>
      </w:r>
    </w:p>
    <w:p w14:paraId="35A36D39" w14:textId="7C7097D3" w:rsidR="00F664B9" w:rsidRPr="005160F2" w:rsidRDefault="0020008F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Luând în considerare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prevederile art. 15 din Hot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r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â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rea Guvernului nr.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277/2023 pentru aprobarea Regulamentului de organizare şi funcţionare a Administraţiei Fondului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pentru Mediu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, conform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cărora 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Administraţia Fondului </w:t>
      </w:r>
      <w:bookmarkStart w:id="4" w:name="_Hlk193788799"/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pentru Mediu </w:t>
      </w:r>
      <w:bookmarkEnd w:id="4"/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administrează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 condi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iile legii, patrimoniul, bunuri din proprietatea publică şi privată a statului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îș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 asigur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cheltuielile curente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 de capital din veniturile proprii realizate conform art. 7 din Ordonanţa de 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u</w:t>
      </w:r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rgenţă a Guvernului nr. 196/2005 privind Fondul pentru mediu, </w:t>
      </w:r>
      <w:bookmarkStart w:id="5" w:name="_Hlk193788642"/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aprobată cu modificări şi completări prin Legea nr. 105/2006, cu modificările şi completările ulterioare</w:t>
      </w:r>
      <w:bookmarkEnd w:id="5"/>
      <w:r w:rsidR="00B44A65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</w:p>
    <w:p w14:paraId="49694246" w14:textId="4FE4961D" w:rsidR="00F218B6" w:rsidRPr="005160F2" w:rsidRDefault="00F218B6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Întrucât</w:t>
      </w:r>
      <w:r w:rsidR="0020008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pentru depozitele neconforme de deșeuri municipale prevăzute în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br/>
        <w:t>anexa nr. 5 „</w:t>
      </w:r>
      <w:r w:rsidR="0020008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Depozite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neconforme de deşeuri care trebuie închise”, </w:t>
      </w:r>
      <w:r w:rsidR="0020008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la tabelul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5.2. „Depozite neconforme clasa "b" din zona urbană care au sistat/încetat depozitarea în perioada 16 iulie 2009-16 iulie 2017” </w:t>
      </w:r>
      <w:r w:rsidR="0020008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din 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Ordonanța Guvernului nr. 2/2021, cu </w:t>
      </w:r>
      <w:r w:rsidR="00721CFB" w:rsidRPr="005160F2">
        <w:rPr>
          <w:rFonts w:ascii="Trebuchet MS" w:hAnsi="Trebuchet MS" w:cs="Times New Roman"/>
          <w:color w:val="000000"/>
          <w:sz w:val="22"/>
          <w:szCs w:val="22"/>
        </w:rPr>
        <w:t xml:space="preserve">modificările și completările 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>ulterioare,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în legătură cu care există obligația închiderii, s-au aprobat hotărâri 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ale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Guvern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ului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privind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înscrierea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în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inventarul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centralizat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al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bunurilor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din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domeniul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public al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statului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şi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darea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în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administrarea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Ministerului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Mediului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,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Apelor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şi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Pădurilor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,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prin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Administraţia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Fondului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pentru</w:t>
      </w:r>
      <w:proofErr w:type="spellEnd"/>
      <w:r w:rsidRPr="005160F2">
        <w:rPr>
          <w:rFonts w:ascii="Trebuchet MS" w:eastAsia="Calibri" w:hAnsi="Trebuchet MS"/>
          <w:sz w:val="22"/>
          <w:szCs w:val="22"/>
          <w:lang w:val="en-US"/>
        </w:rPr>
        <w:t xml:space="preserve"> </w:t>
      </w:r>
      <w:proofErr w:type="spellStart"/>
      <w:r w:rsidRPr="005160F2">
        <w:rPr>
          <w:rFonts w:ascii="Trebuchet MS" w:eastAsia="Calibri" w:hAnsi="Trebuchet MS"/>
          <w:sz w:val="22"/>
          <w:szCs w:val="22"/>
          <w:lang w:val="en-US"/>
        </w:rPr>
        <w:t>Mediu</w:t>
      </w:r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 a imobilelor aferente depozitelor Vulcan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în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județul Hunedoara, Darabani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și Săveni în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jud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ețul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Botoșani,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iar 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proiectele hotărârilor Guvernului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pentru depozitele Lipova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în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județul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Arad, Rupea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în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județul Brașov, Hurghiș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în municipiul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Câmpulung Moldovenesc, județul Suceava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721CF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urmează a parcurge procedura de consultare interinstituțională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</w:p>
    <w:p w14:paraId="4D3B5576" w14:textId="685C7D8F" w:rsidR="00C17F10" w:rsidRPr="005160F2" w:rsidRDefault="00C17F10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:lang w:val="en-US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Av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â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nd 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 vedere </w:t>
      </w:r>
      <w:r w:rsidR="00A113A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faptul că în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Ghidul Solicitantului</w:t>
      </w:r>
      <w:r w:rsidR="0040770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-</w:t>
      </w:r>
      <w:r w:rsidR="0040770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Condiții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de accesare a finanțării </w:t>
      </w:r>
      <w:r w:rsidR="0040770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-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pentru proiecte noi în sectorul deșeurilor, aprobat prin Ordinul </w:t>
      </w:r>
      <w:r w:rsidR="0040770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ministrului investițiilor și proiectelor europene nr. 6641/29.10.2024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, pentru Programul Dezvoltare Durabilă 2021-2027, 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 cadrul c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ruia pentru Prioritatea 1 - Dezvoltarea infrastructurii de apă și apă uzată și tranziția la o economie circulară, Obiectivul Specific RSO2.6 – Promovarea tranziției la o economie circulară și eficientă din punct de vedere al utilizării resurselor, la tipul de proiecte B</w:t>
      </w:r>
      <w:r w:rsidR="0040770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- Investiții individuale suplimentare </w:t>
      </w:r>
      <w:bookmarkStart w:id="6" w:name="_Hlk193407950"/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pentru închiderea și reabilitarea depozitelor de deșeuri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lastRenderedPageBreak/>
        <w:t>municipale neconforme</w:t>
      </w:r>
      <w:bookmarkEnd w:id="6"/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, </w:t>
      </w:r>
      <w:r w:rsidR="0040770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Administrația Fondului pentru Mediu figurează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la categoria de solicitan</w:t>
      </w:r>
      <w:r w:rsidR="00AE3ED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 eligibili</w:t>
      </w:r>
      <w:r w:rsidR="0040770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</w:p>
    <w:p w14:paraId="5B0B754A" w14:textId="542BBF2E" w:rsidR="008063CA" w:rsidRPr="005160F2" w:rsidRDefault="00C17F10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Lu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â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nd 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 considerare c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apelul de finan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are pentru Obiectivul Specific RSO2.6 – Promovarea tranziției la o economie circulară și eficientă din punct de vedere al utilizării resurselor, la tipul de proiecte B, are </w:t>
      </w:r>
      <w:r w:rsidR="004E3838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dată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de 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nchidere 31.12.2025, iar ca cerin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e privind eligibilitatea tipului de proiect B se solicit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ca la elaborarea aplicație</w:t>
      </w:r>
      <w:r w:rsidR="004E3838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de finanțare, s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fie prezentate inclusiv documentele suport</w:t>
      </w:r>
      <w:r w:rsidR="004E3838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, respectiv,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Studiu de Fezabilitate, Analiza Cost-Beneficiu, Analiza Instituțională, Evaluarea Impactului asupra Mediului etc, precum și documentație/documentații de atribuire pentru contractele de servicii, lucrări și furnizare, doar dacă sunt activități finanțate din fonduri</w:t>
      </w:r>
      <w:r w:rsidR="0014775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le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proprii</w:t>
      </w:r>
      <w:r w:rsidR="0014775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ale solicitantilor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și sunt desfășurate anterior depunerii aplicației,</w:t>
      </w:r>
    </w:p>
    <w:p w14:paraId="0EBA9A66" w14:textId="3043405B" w:rsidR="00FD5437" w:rsidRPr="005160F2" w:rsidRDefault="004E3838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În baza</w:t>
      </w:r>
      <w:r w:rsidR="00317E1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2A51C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prevederil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or </w:t>
      </w:r>
      <w:r w:rsidR="002A51C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art.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2A51C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7 alin.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2A51C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(4) din Ordonanța de urgență a Guvernului nr.133/2021</w:t>
      </w:r>
      <w:r w:rsidR="002A51C7" w:rsidRPr="001215BB">
        <w:rPr>
          <w:rFonts w:ascii="Trebuchet MS" w:hAnsi="Trebuchet MS"/>
          <w:sz w:val="22"/>
          <w:szCs w:val="22"/>
        </w:rPr>
        <w:t xml:space="preserve"> </w:t>
      </w:r>
      <w:r w:rsidR="002A51C7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privind gestionarea financiară a fondurilor europene pentru perioada de programare 2021-2027 alocate României din Fondul european de dezvoltare regională, Fondul de coeziune,  Fondul social european Plus, Fondul pentru o tranziţie justă, </w:t>
      </w:r>
      <w:bookmarkStart w:id="7" w:name="_Hlk193964950"/>
      <w:bookmarkStart w:id="8" w:name="_Hlk193411656"/>
      <w:proofErr w:type="spellStart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aprobată</w:t>
      </w:r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cu </w:t>
      </w:r>
      <w:proofErr w:type="spellStart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modificări</w:t>
      </w:r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prin</w:t>
      </w:r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Legea</w:t>
      </w:r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nr. 231/2023, cu </w:t>
      </w:r>
      <w:proofErr w:type="spellStart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modificările</w:t>
      </w:r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și</w:t>
      </w:r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completările</w:t>
      </w:r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ulterioare</w:t>
      </w:r>
      <w:bookmarkEnd w:id="7"/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, care </w:t>
      </w:r>
      <w:proofErr w:type="spellStart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prevede</w:t>
      </w:r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că</w:t>
      </w:r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="00317E1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 bugetul Ministerului Mediului, Apelor şi Pădurilor se cuprind creditele de angajament şi creditele bugetare aferente proiectelor de investiţii din domeniul public al statului, </w:t>
      </w:r>
      <w:bookmarkEnd w:id="8"/>
      <w:r w:rsidR="00317E1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ai căror beneficiari identificaţi în ghidurile solicitantului sunt unităţile care funcţionează în subordinea/autoritatea/în coordonarea Ministerului Mediului, Apelor şi Pădurilor</w:t>
      </w:r>
      <w:r w:rsidR="0083725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, </w:t>
      </w:r>
    </w:p>
    <w:p w14:paraId="2EC34DE6" w14:textId="2BE59DA5" w:rsidR="0083725B" w:rsidRPr="005160F2" w:rsidRDefault="00486EFF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Ținând cont de faptul</w:t>
      </w:r>
      <w:r w:rsidR="0083725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c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83725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Administraţia Fondului pentru Mediu este instituţie publică finanţată integral din venituri proprii, înfiinţată conform Ordonanţei de urgenţă a Guvernului nr. 196/2005 privind Fondul pentru mediu, aprobată cu modificări şi completări prin Legea nr. 105/2006, cu modificările şi completările ulterioare, în coordonarea MinisteruI</w:t>
      </w:r>
      <w:r w:rsidR="009A3282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ui</w:t>
      </w:r>
      <w:r w:rsidR="0083725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Mediului, Apelor şi Pădurilor ca autoritate public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83725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central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83725B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pentru protecţia mediului, </w:t>
      </w:r>
    </w:p>
    <w:p w14:paraId="4AA014D4" w14:textId="1AE92772" w:rsidR="00240785" w:rsidRPr="005160F2" w:rsidRDefault="00240785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Av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â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nd 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 vedere </w:t>
      </w:r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că potrivit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art.</w:t>
      </w:r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7 alin.</w:t>
      </w:r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(6) din Ordonanța de urgență a Guvernului nr.133/2021</w:t>
      </w:r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  <w:r w:rsidRPr="001215B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aprobată</w:t>
      </w:r>
      <w:proofErr w:type="spellEnd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cu </w:t>
      </w:r>
      <w:proofErr w:type="spellStart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modificări</w:t>
      </w:r>
      <w:proofErr w:type="spellEnd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prin</w:t>
      </w:r>
      <w:proofErr w:type="spellEnd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Legea</w:t>
      </w:r>
      <w:proofErr w:type="spellEnd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nr. 231/2023, cu </w:t>
      </w:r>
      <w:proofErr w:type="spellStart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modificările</w:t>
      </w:r>
      <w:proofErr w:type="spellEnd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și</w:t>
      </w:r>
      <w:proofErr w:type="spellEnd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completările</w:t>
      </w:r>
      <w:proofErr w:type="spellEnd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486EFF" w:rsidRPr="005160F2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>ulterioare</w:t>
      </w:r>
      <w:proofErr w:type="spellEnd"/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, 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 bugetul Administra</w:t>
      </w:r>
      <w:r w:rsidR="00B0069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iei Fondului pentru Mediu se cuprind creditele de angajament şi creditele bugetare aferente valorii totale a proiectelor proprii finanţate din fonduri europene,</w:t>
      </w:r>
    </w:p>
    <w:p w14:paraId="20E2AE8E" w14:textId="1F94A01E" w:rsidR="00240785" w:rsidRPr="005160F2" w:rsidRDefault="009A3282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Luând în considerare faptul că responsabilitățile cu privire la schimbările climatice necesită o abordare clară și neîntârziată pentru îndeplinirea angajamentelor asumate de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lastRenderedPageBreak/>
        <w:t>România la nivel internațional</w:t>
      </w:r>
      <w:r w:rsidR="00C17F1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, ca deziderat imperios în executarea hotărârii CJUE, </w:t>
      </w:r>
      <w:r w:rsidR="00FB0F49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precum si </w:t>
      </w:r>
      <w:r w:rsidR="009C1A2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întreprinderea </w:t>
      </w:r>
      <w:r w:rsidR="00FB0F49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de măsuri pentru alinierea la recomandările privind asigurarea conformității de mediu </w:t>
      </w:r>
      <w:r w:rsidR="009C1A2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="00FB0F49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 contextul </w:t>
      </w:r>
      <w:r w:rsidR="009C1A2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aderării </w:t>
      </w:r>
      <w:r w:rsidR="00FB0F49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la OCDE</w:t>
      </w:r>
      <w:r w:rsidR="00065E0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</w:p>
    <w:p w14:paraId="7EEB2DDA" w14:textId="07C0E308" w:rsidR="00623794" w:rsidRPr="005160F2" w:rsidRDefault="00623794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Având în vedere necesitatea de a </w:t>
      </w:r>
      <w:r w:rsidR="0079089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nu genera blocaje </w:t>
      </w:r>
      <w:r w:rsidR="003B2D6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în </w:t>
      </w:r>
      <w:r w:rsidR="00447516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asigurarea sursei de </w:t>
      </w:r>
      <w:r w:rsidR="003B2D6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finanțare 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pentru elaborarea aplica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iei de finan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are 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i</w:t>
      </w:r>
      <w:r w:rsidR="00447516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depuner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ea</w:t>
      </w:r>
      <w:r w:rsidR="00C43643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cererilor de finan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are </w:t>
      </w:r>
      <w:r w:rsidR="00C43643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de c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C43643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tre Administra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C43643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ia Fondului pentru Mediu pentru proiectele privind închiderea și reabilitarea depozitelor de deșeuri municipale neconforme 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="00C43643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 cadrul Programului Dezvoltare Durabilă 2021-2027</w:t>
      </w:r>
      <w:r w:rsidR="003B2D6E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  <w:r w:rsidR="00C43643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precum 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C43643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i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necesitatea</w:t>
      </w:r>
      <w:r w:rsidR="00C43643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asigur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ă</w:t>
      </w:r>
      <w:r w:rsidR="00C43643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rii sursei de finan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ț</w:t>
      </w:r>
      <w:r w:rsidR="00C43643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are pentru implementarea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proiectelor</w:t>
      </w:r>
      <w:r w:rsidR="00C43643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cu impact asupra </w:t>
      </w:r>
      <w:r w:rsidR="00065E0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cre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ș</w:t>
      </w:r>
      <w:r w:rsidR="00065E0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terii 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gradului de absorbţie</w:t>
      </w:r>
      <w:r w:rsidR="00065E0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a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fondurilor externe nerambursabile </w:t>
      </w:r>
      <w:r w:rsidR="00065E0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alocate României în perioada de programare 2021-2027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,</w:t>
      </w:r>
      <w:r w:rsidR="00065E01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</w:t>
      </w:r>
      <w:r w:rsidR="00C82AE0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î</w:t>
      </w:r>
      <w:r w:rsidR="002E62DC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n conditiile unui deficit excesiv, </w:t>
      </w:r>
      <w:r w:rsidR="0079089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se impune adoptarea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unor </w:t>
      </w:r>
      <w:r w:rsidR="0079089F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măsuri imediate,</w:t>
      </w:r>
    </w:p>
    <w:p w14:paraId="0A940782" w14:textId="0DD256B7" w:rsidR="00B6401D" w:rsidRPr="005160F2" w:rsidRDefault="00623794" w:rsidP="001215BB">
      <w:pPr>
        <w:overflowPunct w:val="0"/>
        <w:autoSpaceDE w:val="0"/>
        <w:autoSpaceDN w:val="0"/>
        <w:adjustRightInd w:val="0"/>
        <w:spacing w:after="120" w:line="360" w:lineRule="auto"/>
        <w:ind w:right="72" w:firstLine="720"/>
        <w:jc w:val="both"/>
        <w:textAlignment w:val="baseline"/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Întrucât elementele antemenţionate vizează interesul public şi constituie o situaţie de urgență şi extraordinară a cărei reglementare nu poate fi amânată,</w:t>
      </w:r>
    </w:p>
    <w:p w14:paraId="61AE7A09" w14:textId="5D82EB0A" w:rsidR="00541A8C" w:rsidRPr="005160F2" w:rsidRDefault="00541A8C" w:rsidP="001215BB">
      <w:pPr>
        <w:spacing w:before="100" w:beforeAutospacing="1" w:after="100" w:afterAutospacing="1" w:line="360" w:lineRule="auto"/>
        <w:ind w:firstLine="720"/>
        <w:jc w:val="both"/>
        <w:rPr>
          <w:rFonts w:ascii="Trebuchet MS" w:hAnsi="Trebuchet MS" w:cs="Times New Roman"/>
          <w:strike/>
          <w:color w:val="000000"/>
          <w:sz w:val="22"/>
          <w:szCs w:val="22"/>
        </w:rPr>
      </w:pP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În temeiul </w:t>
      </w:r>
      <w:r w:rsidRPr="001215BB">
        <w:rPr>
          <w:rFonts w:ascii="Trebuchet MS" w:hAnsi="Trebuchet MS"/>
          <w:sz w:val="22"/>
          <w:szCs w:val="22"/>
        </w:rPr>
        <w:fldChar w:fldCharType="begin"/>
      </w:r>
      <w:r w:rsidRPr="001215BB">
        <w:rPr>
          <w:rFonts w:ascii="Trebuchet MS" w:hAnsi="Trebuchet MS"/>
          <w:sz w:val="22"/>
          <w:szCs w:val="22"/>
        </w:rPr>
        <w:instrText>HYPERLINK</w:instrText>
      </w:r>
      <w:r w:rsidRPr="001215BB">
        <w:rPr>
          <w:rFonts w:ascii="Trebuchet MS" w:hAnsi="Trebuchet MS"/>
          <w:sz w:val="22"/>
          <w:szCs w:val="22"/>
        </w:rPr>
      </w:r>
      <w:r w:rsidRPr="001215BB">
        <w:rPr>
          <w:rFonts w:ascii="Trebuchet MS" w:hAnsi="Trebuchet MS"/>
          <w:sz w:val="22"/>
          <w:szCs w:val="22"/>
        </w:rPr>
        <w:fldChar w:fldCharType="separate"/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art. </w:t>
      </w:r>
      <w:r w:rsidR="008225BE" w:rsidRPr="005160F2">
        <w:rPr>
          <w:rFonts w:ascii="Trebuchet MS" w:hAnsi="Trebuchet MS" w:cs="Times New Roman"/>
          <w:color w:val="000000"/>
          <w:sz w:val="22"/>
          <w:szCs w:val="22"/>
        </w:rPr>
        <w:t>115 alin. (4)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 din Constituţia României, republicată</w:t>
      </w:r>
      <w:r w:rsidRPr="001215BB">
        <w:rPr>
          <w:rFonts w:ascii="Trebuchet MS" w:hAnsi="Trebuchet MS"/>
          <w:sz w:val="22"/>
          <w:szCs w:val="22"/>
        </w:rPr>
        <w:fldChar w:fldCharType="end"/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, </w:t>
      </w:r>
    </w:p>
    <w:p w14:paraId="75068278" w14:textId="595575C8" w:rsidR="00541A8C" w:rsidRPr="005160F2" w:rsidRDefault="00541A8C" w:rsidP="001215BB">
      <w:pPr>
        <w:spacing w:before="100" w:beforeAutospacing="1" w:after="100" w:afterAutospacing="1" w:line="360" w:lineRule="auto"/>
        <w:ind w:firstLine="720"/>
        <w:jc w:val="both"/>
        <w:rPr>
          <w:rFonts w:ascii="Trebuchet MS" w:hAnsi="Trebuchet MS" w:cs="Times New Roman"/>
          <w:b/>
          <w:bCs/>
          <w:color w:val="000000"/>
          <w:sz w:val="22"/>
          <w:szCs w:val="22"/>
        </w:rPr>
      </w:pPr>
      <w:r w:rsidRPr="005160F2">
        <w:rPr>
          <w:rFonts w:ascii="Trebuchet MS" w:hAnsi="Trebuchet MS" w:cs="Times New Roman"/>
          <w:b/>
          <w:bCs/>
          <w:color w:val="000000"/>
          <w:sz w:val="22"/>
          <w:szCs w:val="22"/>
        </w:rPr>
        <w:t xml:space="preserve">Guvernul României </w:t>
      </w:r>
      <w:r w:rsidRPr="005160F2">
        <w:rPr>
          <w:rFonts w:ascii="Trebuchet MS" w:hAnsi="Trebuchet MS" w:cs="Times New Roman"/>
          <w:color w:val="000000"/>
          <w:sz w:val="22"/>
          <w:szCs w:val="22"/>
        </w:rPr>
        <w:t xml:space="preserve">adoptă prezenta </w:t>
      </w:r>
      <w:r w:rsidR="008225BE" w:rsidRPr="005160F2">
        <w:rPr>
          <w:rFonts w:ascii="Trebuchet MS" w:hAnsi="Trebuchet MS" w:cs="Times New Roman"/>
          <w:color w:val="000000"/>
          <w:sz w:val="22"/>
          <w:szCs w:val="22"/>
        </w:rPr>
        <w:t>ordonan</w:t>
      </w:r>
      <w:r w:rsidR="00BE4A6D" w:rsidRPr="005160F2">
        <w:rPr>
          <w:rFonts w:ascii="Trebuchet MS" w:hAnsi="Trebuchet MS" w:cs="Times New Roman"/>
          <w:color w:val="000000"/>
          <w:sz w:val="22"/>
          <w:szCs w:val="22"/>
        </w:rPr>
        <w:t>ță</w:t>
      </w:r>
      <w:r w:rsidR="008225BE" w:rsidRPr="005160F2">
        <w:rPr>
          <w:rFonts w:ascii="Trebuchet MS" w:hAnsi="Trebuchet MS" w:cs="Times New Roman"/>
          <w:color w:val="000000"/>
          <w:sz w:val="22"/>
          <w:szCs w:val="22"/>
        </w:rPr>
        <w:t xml:space="preserve"> de urgen</w:t>
      </w:r>
      <w:r w:rsidR="00BE4A6D" w:rsidRPr="005160F2">
        <w:rPr>
          <w:rFonts w:ascii="Trebuchet MS" w:hAnsi="Trebuchet MS" w:cs="Times New Roman"/>
          <w:color w:val="000000"/>
          <w:sz w:val="22"/>
          <w:szCs w:val="22"/>
        </w:rPr>
        <w:t>ță</w:t>
      </w:r>
      <w:r w:rsidR="00623794" w:rsidRPr="005160F2">
        <w:rPr>
          <w:rFonts w:ascii="Trebuchet MS" w:hAnsi="Trebuchet MS" w:cs="Times New Roman"/>
          <w:b/>
          <w:bCs/>
          <w:color w:val="000000"/>
          <w:sz w:val="22"/>
          <w:szCs w:val="22"/>
        </w:rPr>
        <w:t>:</w:t>
      </w:r>
    </w:p>
    <w:p w14:paraId="7FA69A2B" w14:textId="54BF1E0F" w:rsidR="005160F2" w:rsidRDefault="001D07EC" w:rsidP="005160F2">
      <w:pPr>
        <w:spacing w:after="0" w:line="360" w:lineRule="auto"/>
        <w:ind w:right="337"/>
        <w:jc w:val="both"/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</w:pPr>
      <w:r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Articol</w:t>
      </w:r>
      <w:r w:rsidR="00FF052F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 unic</w:t>
      </w:r>
      <w:r w:rsidR="00616055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 - 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Ordonanţa de urgenţă a Guvernului nr. 196/2005 privind Fondul pentru mediu,</w:t>
      </w:r>
      <w:r w:rsidR="00673DD6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</w:t>
      </w:r>
      <w:r w:rsidR="00673DD6"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>publicată în Monitorul Oficial al României, Partea I, nr. 1193 din 30 decembrie 2005,</w:t>
      </w:r>
      <w:r w:rsidRPr="005160F2">
        <w:rPr>
          <w:rFonts w:ascii="Trebuchet MS" w:eastAsia="Arial" w:hAnsi="Trebuchet MS" w:cs="Times New Roman"/>
          <w:kern w:val="0"/>
          <w:sz w:val="22"/>
          <w:szCs w:val="22"/>
          <w14:ligatures w14:val="none"/>
        </w:rPr>
        <w:t xml:space="preserve"> aprobată cu modificări şi completări prin Legea nr. 105/2006, cu modificările şi completările ulterioare, se completează după cum urmează</w:t>
      </w:r>
      <w:r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:</w:t>
      </w:r>
    </w:p>
    <w:p w14:paraId="08F3C0C3" w14:textId="77777777" w:rsidR="005160F2" w:rsidRPr="005160F2" w:rsidRDefault="005160F2" w:rsidP="001215BB">
      <w:pPr>
        <w:spacing w:after="0" w:line="360" w:lineRule="auto"/>
        <w:ind w:right="337"/>
        <w:jc w:val="both"/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</w:pPr>
    </w:p>
    <w:p w14:paraId="60D992A2" w14:textId="072FE343" w:rsidR="00CD2659" w:rsidRPr="005160F2" w:rsidRDefault="005160F2" w:rsidP="001215BB">
      <w:pPr>
        <w:spacing w:after="0" w:line="360" w:lineRule="auto"/>
        <w:ind w:right="337"/>
        <w:jc w:val="both"/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1. </w:t>
      </w:r>
      <w:r w:rsidR="005B2DE2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La</w:t>
      </w:r>
      <w:r w:rsidR="001D07EC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 articolul </w:t>
      </w:r>
      <w:r w:rsidR="005B2DE2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3</w:t>
      </w:r>
      <w:r w:rsidR="00CD2659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, </w:t>
      </w:r>
      <w:r w:rsidR="005B2DE2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după alineatul (5) </w:t>
      </w:r>
      <w:r w:rsidR="001D07EC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se introduc </w:t>
      </w:r>
      <w:r w:rsidR="00F664B9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cinci</w:t>
      </w:r>
      <w:r w:rsidR="001D07EC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 no</w:t>
      </w:r>
      <w:r w:rsidR="00F664B9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i</w:t>
      </w:r>
      <w:r w:rsidR="001D07EC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5B2DE2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alineat</w:t>
      </w:r>
      <w:r w:rsidR="00F664B9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e, </w:t>
      </w:r>
      <w:bookmarkStart w:id="9" w:name="_Hlk193411964"/>
      <w:r w:rsidR="00673DD6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alin. </w:t>
      </w:r>
      <w:r w:rsidR="00FF052F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(</w:t>
      </w:r>
      <w:r w:rsidR="001D07EC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5¹</w:t>
      </w:r>
      <w:r w:rsidR="00FF052F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)</w:t>
      </w:r>
      <w:r w:rsidR="00F664B9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 </w:t>
      </w:r>
      <w:bookmarkEnd w:id="9"/>
      <w:r w:rsidR="00FF052F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–</w:t>
      </w:r>
      <w:r w:rsidR="00673DD6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="00FF052F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(</w:t>
      </w:r>
      <w:r w:rsidR="00F664B9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5</w:t>
      </w:r>
      <w:r w:rsidR="00F664B9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:vertAlign w:val="superscript"/>
          <w14:ligatures w14:val="none"/>
        </w:rPr>
        <w:t>5</w:t>
      </w:r>
      <w:r w:rsidR="00FF052F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)</w:t>
      </w:r>
      <w:r w:rsidR="001D07EC" w:rsidRPr="005160F2">
        <w:rPr>
          <w:rFonts w:ascii="Trebuchet MS" w:eastAsia="Calibri" w:hAnsi="Trebuchet MS" w:cs="Times New Roman"/>
          <w:b/>
          <w:bCs/>
          <w:kern w:val="0"/>
          <w:sz w:val="22"/>
          <w:szCs w:val="22"/>
          <w14:ligatures w14:val="none"/>
        </w:rPr>
        <w:t>, cu următorul cuprins:</w:t>
      </w:r>
    </w:p>
    <w:p w14:paraId="490040F3" w14:textId="651B9CF2" w:rsidR="00CD2659" w:rsidRDefault="001D07EC" w:rsidP="00CD2659">
      <w:pPr>
        <w:spacing w:after="0" w:line="360" w:lineRule="auto"/>
        <w:ind w:right="337"/>
        <w:jc w:val="both"/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</w:pPr>
      <w:bookmarkStart w:id="10" w:name="_Hlk193408695"/>
      <w:r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„</w:t>
      </w:r>
      <w:r w:rsidR="00FF052F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(</w:t>
      </w:r>
      <w:r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5</w:t>
      </w:r>
      <w:r w:rsidRPr="005160F2">
        <w:rPr>
          <w:rFonts w:ascii="Trebuchet MS" w:eastAsia="Calibri" w:hAnsi="Trebuchet MS" w:cs="Times New Roman"/>
          <w:kern w:val="0"/>
          <w:sz w:val="22"/>
          <w:szCs w:val="22"/>
          <w:vertAlign w:val="superscript"/>
          <w14:ligatures w14:val="none"/>
        </w:rPr>
        <w:t>1</w:t>
      </w:r>
      <w:r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) </w:t>
      </w:r>
      <w:r w:rsidR="005B2DE2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Prin excep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5B2DE2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ie de la prevederile art.14, art.15, art. 22</w:t>
      </w:r>
      <w:r w:rsidR="00BF3CD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alin.(2) </w:t>
      </w:r>
      <w:r w:rsidR="00CD2659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ș</w:t>
      </w:r>
      <w:r w:rsidR="00CD265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i </w:t>
      </w:r>
      <w:r w:rsidR="005B2DE2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art. 31 din </w:t>
      </w:r>
      <w:r w:rsidR="0048207E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Ordonan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48207E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a Guvernului nr.2/2021 privind depozitarea de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ș</w:t>
      </w:r>
      <w:r w:rsidR="0048207E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eurilor, cu modific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ă</w:t>
      </w:r>
      <w:r w:rsidR="0048207E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rile 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ș</w:t>
      </w:r>
      <w:r w:rsidR="0048207E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i complet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ă</w:t>
      </w:r>
      <w:r w:rsidR="0048207E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rile ulterioare, Administraţia Fondului pentru Mediu asigură</w:t>
      </w:r>
      <w:r w:rsidR="008E563F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, 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î</w:t>
      </w:r>
      <w:r w:rsidR="008E563F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n calitate de </w:t>
      </w:r>
      <w:r w:rsidR="0075196C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beneficiar</w:t>
      </w:r>
      <w:r w:rsidR="008E563F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, </w:t>
      </w:r>
      <w:r w:rsidR="0048207E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gestionarea și implementarea proiectelor finanţate din fonduri externe nerambursabile pentru închiderea și reabilitarea depozitelor de deșeuri neconforme</w:t>
      </w:r>
      <w:r w:rsidR="008E563F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preluate 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î</w:t>
      </w:r>
      <w:r w:rsidR="008E563F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n patrimoniu</w:t>
      </w:r>
      <w:r w:rsidR="00FF052F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.</w:t>
      </w:r>
      <w:r w:rsidRPr="001215BB">
        <w:rPr>
          <w:rFonts w:ascii="Trebuchet MS" w:hAnsi="Trebuchet MS"/>
          <w:sz w:val="22"/>
          <w:szCs w:val="22"/>
        </w:rPr>
        <w:t xml:space="preserve"> </w:t>
      </w:r>
      <w:bookmarkEnd w:id="10"/>
    </w:p>
    <w:p w14:paraId="32675656" w14:textId="77777777" w:rsidR="00CD2659" w:rsidRPr="001215BB" w:rsidRDefault="00CD2659" w:rsidP="001215BB">
      <w:pPr>
        <w:spacing w:after="0" w:line="360" w:lineRule="auto"/>
        <w:ind w:right="337"/>
        <w:jc w:val="both"/>
        <w:rPr>
          <w:rFonts w:ascii="Trebuchet MS" w:hAnsi="Trebuchet MS"/>
          <w:sz w:val="22"/>
          <w:szCs w:val="22"/>
        </w:rPr>
      </w:pPr>
    </w:p>
    <w:p w14:paraId="2D8A5DAB" w14:textId="6F60DB95" w:rsidR="00CD2659" w:rsidRDefault="00FF052F" w:rsidP="00CD2659">
      <w:pPr>
        <w:spacing w:after="0" w:line="360" w:lineRule="auto"/>
        <w:ind w:right="337"/>
        <w:jc w:val="both"/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</w:pPr>
      <w:bookmarkStart w:id="11" w:name="_Hlk193410637"/>
      <w:r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(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5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:vertAlign w:val="superscript"/>
          <w14:ligatures w14:val="none"/>
        </w:rPr>
        <w:t>2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) Finan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area cheltuielilor pentru elaborarea aplica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i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ilor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de finan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are 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î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n 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vederea 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î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ncheierii un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or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contract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e finan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ate din fonduri externe nerambursabile 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î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n 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cadrul Programului de dezvoltare Durabil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ă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2021-2027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,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se va asigura din bugetul Administra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iei Fondului pentru 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lastRenderedPageBreak/>
        <w:t>Mediu</w:t>
      </w:r>
      <w:r w:rsidR="004805DD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, urm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â</w:t>
      </w:r>
      <w:r w:rsidR="004805DD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nd ca ulterior s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ă</w:t>
      </w:r>
      <w:r w:rsidR="004805DD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</w:t>
      </w:r>
      <w:r w:rsidR="004852CC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se </w:t>
      </w:r>
      <w:r w:rsidR="004805DD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solicite rambursarea cheltuielilor eligibile</w:t>
      </w:r>
      <w:r w:rsidR="004852CC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</w:t>
      </w:r>
      <w:r w:rsidR="00DE5CC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propor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DE5CC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ional cu rata de cofinan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DE5CC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are </w:t>
      </w:r>
      <w:r w:rsidR="004852CC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conform contractului</w:t>
      </w:r>
      <w:r w:rsidR="00B6401D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de finan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B6401D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are</w:t>
      </w:r>
      <w:r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.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</w:t>
      </w:r>
    </w:p>
    <w:p w14:paraId="45561533" w14:textId="77777777" w:rsidR="00CD2659" w:rsidRPr="005160F2" w:rsidRDefault="00CD2659" w:rsidP="001215BB">
      <w:pPr>
        <w:spacing w:after="0" w:line="360" w:lineRule="auto"/>
        <w:ind w:right="337"/>
        <w:jc w:val="both"/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</w:pPr>
    </w:p>
    <w:bookmarkEnd w:id="11"/>
    <w:p w14:paraId="1E2CDF1E" w14:textId="666C37B1" w:rsidR="00CD2659" w:rsidRDefault="00FF052F" w:rsidP="00CD2659">
      <w:pPr>
        <w:spacing w:after="0" w:line="360" w:lineRule="auto"/>
        <w:ind w:right="337"/>
        <w:jc w:val="both"/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(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5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:vertAlign w:val="superscript"/>
          <w14:ligatures w14:val="none"/>
        </w:rPr>
        <w:t>3</w:t>
      </w:r>
      <w:r w:rsidR="00E577E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) </w:t>
      </w:r>
      <w:r w:rsidR="0066662C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Finan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66662C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area </w:t>
      </w:r>
      <w:r w:rsidR="00DE5CC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cheltuielilor</w:t>
      </w:r>
      <w:r w:rsidR="00F64E78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pentru</w:t>
      </w:r>
      <w:r w:rsidR="00DE5CC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implement</w:t>
      </w:r>
      <w:r w:rsidR="00F64E78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area</w:t>
      </w:r>
      <w:r w:rsidR="00DE5CC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</w:t>
      </w:r>
      <w:r w:rsidR="00BF3CD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proiectelor pentru închiderea și reabilitarea depozitelor de deșeuri municipale neconforme ca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urma</w:t>
      </w:r>
      <w:r w:rsidR="00BF3CD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re a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î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ncheierii contract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elor 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finan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a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te din fonduri 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extern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e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nerambursabil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e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, </w:t>
      </w:r>
      <w:r w:rsidR="0075196C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va fi asigurat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ă</w:t>
      </w:r>
      <w:r w:rsidR="0075196C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</w:t>
      </w:r>
      <w:r w:rsidR="00DE5CC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din bugetul de stat</w:t>
      </w:r>
      <w:r w:rsidR="00F64E78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utiliz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â</w:t>
      </w:r>
      <w:r w:rsidR="00F64E78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ndu-se </w:t>
      </w:r>
      <w:r w:rsidR="0075196C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mecanismul cererilor de prefinan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75196C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are</w:t>
      </w:r>
      <w:r w:rsidR="00F64E78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, </w:t>
      </w:r>
      <w:r w:rsidR="002E5BF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meca</w:t>
      </w:r>
      <w:r w:rsidR="002E5BFB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n</w:t>
      </w:r>
      <w:r w:rsidR="002E5BF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ismul </w:t>
      </w:r>
      <w:r w:rsidR="0075196C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cererilor de plat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ă</w:t>
      </w:r>
      <w:r w:rsidR="00F64E78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ș</w:t>
      </w:r>
      <w:r w:rsidR="00F64E78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i mecanismul ramburs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ă</w:t>
      </w:r>
      <w:r w:rsidR="00F64E78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rii cheltuielilor eligibile,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în conformitate cu prevederile </w:t>
      </w:r>
      <w:bookmarkStart w:id="12" w:name="_Hlk193410830"/>
      <w:r w:rsidR="002E5BF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O</w:t>
      </w:r>
      <w:r w:rsidR="002E5BFB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rdonanței de urgență a Guvernului 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nr.133/2021 privind gestionarea financiară a fondurilor europene pentru perioada de programare 2021-2027 alocate României din Fondul european de dezvoltare regională, Fondul de coeziune, Fondul social european Plus, Fondul pentru o tranziție justă</w:t>
      </w:r>
      <w:bookmarkEnd w:id="12"/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,</w:t>
      </w:r>
      <w:r w:rsidR="002E5BFB" w:rsidRPr="002E5BFB">
        <w:rPr>
          <w:rFonts w:ascii="Trebuchet MS" w:eastAsia="Arial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bookmarkStart w:id="13" w:name="_Hlk193965685"/>
      <w:proofErr w:type="spellStart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aprobată</w:t>
      </w:r>
      <w:proofErr w:type="spellEnd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cu </w:t>
      </w:r>
      <w:proofErr w:type="spellStart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modificări</w:t>
      </w:r>
      <w:proofErr w:type="spellEnd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prin</w:t>
      </w:r>
      <w:proofErr w:type="spellEnd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Legea</w:t>
      </w:r>
      <w:proofErr w:type="spellEnd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nr.231/2023, cu </w:t>
      </w:r>
      <w:proofErr w:type="spellStart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modificările</w:t>
      </w:r>
      <w:proofErr w:type="spellEnd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și</w:t>
      </w:r>
      <w:proofErr w:type="spellEnd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completările</w:t>
      </w:r>
      <w:proofErr w:type="spellEnd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2E5BFB" w:rsidRPr="002E5BFB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ulterioare</w:t>
      </w:r>
      <w:proofErr w:type="spellEnd"/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</w:t>
      </w:r>
      <w:bookmarkEnd w:id="13"/>
      <w:r w:rsidR="002E5BFB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ș</w:t>
      </w:r>
      <w:r w:rsidR="002E5BFB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i 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ale H</w:t>
      </w:r>
      <w:r w:rsidR="002E5BFB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otărârii 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G</w:t>
      </w:r>
      <w:r w:rsidR="002E5BFB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uvernului nr. </w:t>
      </w:r>
      <w:r w:rsidR="0077566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829/2022 pentru aprobarea Normelor metodologice de aplicare a Ordonanţei de urgenţă a Guvernului nr.133/2021 privind gestionarea financiară a fondurilor europene pentru perioada de programare 2021-2027 alocate României din Fondul european de dezvoltare regională, Fondul de coeziune, Fondul social european Plus, Fondul pentru o tranziţie justă</w:t>
      </w:r>
      <w:r w:rsidR="005C33E8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aprobată</w:t>
      </w:r>
      <w:proofErr w:type="spellEnd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cu </w:t>
      </w:r>
      <w:proofErr w:type="spellStart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modificări</w:t>
      </w:r>
      <w:proofErr w:type="spellEnd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prin</w:t>
      </w:r>
      <w:proofErr w:type="spellEnd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Legea</w:t>
      </w:r>
      <w:proofErr w:type="spellEnd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nr.231/2023, cu </w:t>
      </w:r>
      <w:proofErr w:type="spellStart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modificările</w:t>
      </w:r>
      <w:proofErr w:type="spellEnd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și</w:t>
      </w:r>
      <w:proofErr w:type="spellEnd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completările</w:t>
      </w:r>
      <w:proofErr w:type="spellEnd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5C33E8" w:rsidRP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ulterioare</w:t>
      </w:r>
      <w:proofErr w:type="spellEnd"/>
      <w:r w:rsidR="005C33E8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. </w:t>
      </w:r>
    </w:p>
    <w:p w14:paraId="157E3167" w14:textId="77777777" w:rsidR="00CD2659" w:rsidRPr="005160F2" w:rsidRDefault="00CD2659" w:rsidP="001215BB">
      <w:pPr>
        <w:spacing w:after="0" w:line="360" w:lineRule="auto"/>
        <w:ind w:right="337"/>
        <w:jc w:val="both"/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</w:pPr>
    </w:p>
    <w:p w14:paraId="7609D70A" w14:textId="758AB96C" w:rsidR="00CD2659" w:rsidRDefault="00FF052F" w:rsidP="00CD2659">
      <w:pPr>
        <w:spacing w:after="0" w:line="360" w:lineRule="auto"/>
        <w:ind w:right="337"/>
        <w:jc w:val="both"/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</w:pPr>
      <w:bookmarkStart w:id="14" w:name="_Hlk193411550"/>
      <w:r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(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5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:vertAlign w:val="superscript"/>
          <w14:ligatures w14:val="none"/>
        </w:rPr>
        <w:t>4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) </w:t>
      </w:r>
      <w:r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Î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n bugetul Administra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iei Fondului pentru Mediu se cuprind creditele de angajament şi creditele bugetare aferente valorii totale a proiectelor proprii</w:t>
      </w:r>
      <w:r w:rsidR="00240785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privind</w:t>
      </w:r>
      <w:r w:rsidR="00240785" w:rsidRPr="001215BB">
        <w:rPr>
          <w:rFonts w:ascii="Trebuchet MS" w:hAnsi="Trebuchet MS"/>
          <w:sz w:val="22"/>
          <w:szCs w:val="22"/>
        </w:rPr>
        <w:t xml:space="preserve"> </w:t>
      </w:r>
      <w:r w:rsidR="00240785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închiderea și reabilitarea depozitelor de deșeuri municipale neconforme preluate 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î</w:t>
      </w:r>
      <w:r w:rsidR="00240785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n patrimoniu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finanţate din fonduri europene, cu respectarea prevederilor art. 10 şi 14 din O</w:t>
      </w:r>
      <w:r w:rsidR="003A276A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rdonanța de urgență a 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G</w:t>
      </w:r>
      <w:r w:rsidR="003A276A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uvernului</w:t>
      </w:r>
      <w:r w:rsidR="00600A57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nr. 133/2021</w:t>
      </w:r>
      <w:r w:rsidR="00752F10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, </w:t>
      </w:r>
      <w:bookmarkEnd w:id="14"/>
      <w:proofErr w:type="spellStart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aprobată</w:t>
      </w:r>
      <w:proofErr w:type="spellEnd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cu </w:t>
      </w:r>
      <w:proofErr w:type="spellStart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modificări</w:t>
      </w:r>
      <w:proofErr w:type="spellEnd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prin</w:t>
      </w:r>
      <w:proofErr w:type="spellEnd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Legea</w:t>
      </w:r>
      <w:proofErr w:type="spellEnd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nr.231/2023, cu </w:t>
      </w:r>
      <w:proofErr w:type="spellStart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modificările</w:t>
      </w:r>
      <w:proofErr w:type="spellEnd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și</w:t>
      </w:r>
      <w:proofErr w:type="spellEnd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completările</w:t>
      </w:r>
      <w:proofErr w:type="spellEnd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 xml:space="preserve"> </w:t>
      </w:r>
      <w:proofErr w:type="spellStart"/>
      <w:r w:rsidR="00752F10" w:rsidRP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ulterioare</w:t>
      </w:r>
      <w:proofErr w:type="spellEnd"/>
      <w:r w:rsidR="00752F10">
        <w:rPr>
          <w:rFonts w:ascii="Trebuchet MS" w:eastAsia="Calibri" w:hAnsi="Trebuchet MS" w:cs="Times New Roman"/>
          <w:kern w:val="0"/>
          <w:sz w:val="22"/>
          <w:szCs w:val="22"/>
          <w:lang w:val="en-GB"/>
          <w14:ligatures w14:val="none"/>
        </w:rPr>
        <w:t>.</w:t>
      </w:r>
    </w:p>
    <w:p w14:paraId="13D3ED26" w14:textId="77777777" w:rsidR="00CD2659" w:rsidRPr="005160F2" w:rsidRDefault="00CD2659" w:rsidP="001215BB">
      <w:pPr>
        <w:spacing w:after="0" w:line="360" w:lineRule="auto"/>
        <w:ind w:right="337"/>
        <w:jc w:val="both"/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</w:pPr>
    </w:p>
    <w:p w14:paraId="2CC138A7" w14:textId="65F85E97" w:rsidR="00F664B9" w:rsidRPr="005160F2" w:rsidRDefault="00FF052F" w:rsidP="001215BB">
      <w:pPr>
        <w:spacing w:after="0" w:line="360" w:lineRule="auto"/>
        <w:ind w:right="337"/>
        <w:jc w:val="both"/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</w:pPr>
      <w:r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(</w:t>
      </w:r>
      <w:r w:rsidR="00240785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5</w:t>
      </w:r>
      <w:r w:rsidR="00240785" w:rsidRPr="005160F2">
        <w:rPr>
          <w:rFonts w:ascii="Trebuchet MS" w:eastAsia="Calibri" w:hAnsi="Trebuchet MS" w:cs="Times New Roman"/>
          <w:kern w:val="0"/>
          <w:sz w:val="22"/>
          <w:szCs w:val="22"/>
          <w:vertAlign w:val="superscript"/>
          <w14:ligatures w14:val="none"/>
        </w:rPr>
        <w:t>5</w:t>
      </w:r>
      <w:r w:rsidR="00240785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) 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Î</w:t>
      </w:r>
      <w:r w:rsidR="00240785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n bugetul Ministerului Mediului, Apelor şi Pădurilor se cuprind creditele de angajament şi creditele bugetare aferente proiectelor de investiţii din domeniul public al statului</w:t>
      </w:r>
      <w:r w:rsidR="00F664B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 xml:space="preserve"> </w:t>
      </w:r>
      <w:r w:rsidR="00240785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privind</w:t>
      </w:r>
      <w:r w:rsidR="00240785" w:rsidRPr="001215BB">
        <w:rPr>
          <w:rFonts w:ascii="Trebuchet MS" w:hAnsi="Trebuchet MS"/>
          <w:sz w:val="22"/>
          <w:szCs w:val="22"/>
        </w:rPr>
        <w:t xml:space="preserve"> </w:t>
      </w:r>
      <w:r w:rsidR="00240785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închiderea și reabilitarea depozitelor de deșeuri municipale</w:t>
      </w:r>
      <w:r w:rsidR="00F664B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, al c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ă</w:t>
      </w:r>
      <w:r w:rsidR="00F664B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ror beneficiar este Administra</w:t>
      </w:r>
      <w:r w:rsidR="00B00691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ț</w:t>
      </w:r>
      <w:r w:rsidR="00F664B9" w:rsidRPr="005160F2">
        <w:rPr>
          <w:rFonts w:ascii="Trebuchet MS" w:eastAsia="Calibri" w:hAnsi="Trebuchet MS" w:cs="Times New Roman"/>
          <w:kern w:val="0"/>
          <w:sz w:val="22"/>
          <w:szCs w:val="22"/>
          <w14:ligatures w14:val="none"/>
        </w:rPr>
        <w:t>ia Fondului pentru Mediu.”</w:t>
      </w:r>
    </w:p>
    <w:p w14:paraId="2C819E24" w14:textId="77777777" w:rsidR="003871EF" w:rsidRPr="005160F2" w:rsidRDefault="003871EF" w:rsidP="001215BB">
      <w:pPr>
        <w:spacing w:after="0" w:line="360" w:lineRule="auto"/>
        <w:ind w:firstLine="720"/>
        <w:jc w:val="center"/>
        <w:rPr>
          <w:rFonts w:ascii="Trebuchet MS" w:hAnsi="Trebuchet MS" w:cs="Times New Roman"/>
          <w:color w:val="000000"/>
          <w:sz w:val="22"/>
          <w:szCs w:val="22"/>
        </w:rPr>
      </w:pPr>
    </w:p>
    <w:p w14:paraId="1C2D5474" w14:textId="1E5F86F2" w:rsidR="001F1A2A" w:rsidRPr="005160F2" w:rsidRDefault="008225BE" w:rsidP="001215BB">
      <w:pPr>
        <w:spacing w:line="360" w:lineRule="auto"/>
        <w:jc w:val="center"/>
        <w:rPr>
          <w:rFonts w:ascii="Trebuchet MS" w:hAnsi="Trebuchet MS" w:cs="Times New Roman"/>
          <w:b/>
          <w:bCs/>
          <w:sz w:val="22"/>
          <w:szCs w:val="22"/>
        </w:rPr>
      </w:pPr>
      <w:r w:rsidRPr="005160F2">
        <w:rPr>
          <w:rFonts w:ascii="Trebuchet MS" w:hAnsi="Trebuchet MS" w:cs="Times New Roman"/>
          <w:b/>
          <w:bCs/>
          <w:sz w:val="22"/>
          <w:szCs w:val="22"/>
        </w:rPr>
        <w:t>PRIM MINISTRU</w:t>
      </w:r>
    </w:p>
    <w:p w14:paraId="6187CB28" w14:textId="0451B887" w:rsidR="00225D83" w:rsidRPr="005160F2" w:rsidRDefault="008225BE" w:rsidP="001215BB">
      <w:pPr>
        <w:spacing w:line="360" w:lineRule="auto"/>
        <w:jc w:val="center"/>
        <w:rPr>
          <w:rFonts w:ascii="Trebuchet MS" w:hAnsi="Trebuchet MS" w:cs="Times New Roman"/>
          <w:b/>
          <w:bCs/>
          <w:sz w:val="22"/>
          <w:szCs w:val="22"/>
        </w:rPr>
      </w:pPr>
      <w:r w:rsidRPr="005160F2">
        <w:rPr>
          <w:rFonts w:ascii="Trebuchet MS" w:hAnsi="Trebuchet MS" w:cs="Times New Roman"/>
          <w:b/>
          <w:bCs/>
          <w:sz w:val="22"/>
          <w:szCs w:val="22"/>
        </w:rPr>
        <w:t xml:space="preserve">ION </w:t>
      </w:r>
      <w:r w:rsidR="00D420B5" w:rsidRPr="005160F2">
        <w:rPr>
          <w:rFonts w:ascii="Trebuchet MS" w:hAnsi="Trebuchet MS" w:cs="Times New Roman"/>
          <w:b/>
          <w:bCs/>
          <w:sz w:val="22"/>
          <w:szCs w:val="22"/>
        </w:rPr>
        <w:t xml:space="preserve">- </w:t>
      </w:r>
      <w:r w:rsidRPr="005160F2">
        <w:rPr>
          <w:rFonts w:ascii="Trebuchet MS" w:hAnsi="Trebuchet MS" w:cs="Times New Roman"/>
          <w:b/>
          <w:bCs/>
          <w:sz w:val="22"/>
          <w:szCs w:val="22"/>
        </w:rPr>
        <w:t>MARCEL CIOLACU</w:t>
      </w:r>
    </w:p>
    <w:sectPr w:rsidR="00225D83" w:rsidRPr="00516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44D50" w14:textId="77777777" w:rsidR="007C4DAF" w:rsidRDefault="007C4DAF" w:rsidP="001215BB">
      <w:pPr>
        <w:spacing w:after="0" w:line="240" w:lineRule="auto"/>
      </w:pPr>
      <w:r>
        <w:separator/>
      </w:r>
    </w:p>
  </w:endnote>
  <w:endnote w:type="continuationSeparator" w:id="0">
    <w:p w14:paraId="01400931" w14:textId="77777777" w:rsidR="007C4DAF" w:rsidRDefault="007C4DAF" w:rsidP="0012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F5C64" w14:textId="77777777" w:rsidR="001215BB" w:rsidRDefault="00121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2774" w14:textId="77777777" w:rsidR="001215BB" w:rsidRDefault="00121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99751" w14:textId="77777777" w:rsidR="001215BB" w:rsidRDefault="00121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474C" w14:textId="77777777" w:rsidR="007C4DAF" w:rsidRDefault="007C4DAF" w:rsidP="001215BB">
      <w:pPr>
        <w:spacing w:after="0" w:line="240" w:lineRule="auto"/>
      </w:pPr>
      <w:r>
        <w:separator/>
      </w:r>
    </w:p>
  </w:footnote>
  <w:footnote w:type="continuationSeparator" w:id="0">
    <w:p w14:paraId="036AACF9" w14:textId="77777777" w:rsidR="007C4DAF" w:rsidRDefault="007C4DAF" w:rsidP="00121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AA88E" w14:textId="5732ABC9" w:rsidR="001215BB" w:rsidRDefault="001215BB">
    <w:pPr>
      <w:pStyle w:val="Header"/>
    </w:pPr>
    <w:r>
      <w:rPr>
        <w:noProof/>
      </w:rPr>
      <w:pict w14:anchorId="320A7B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221094" o:spid="_x0000_s1026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2476A" w14:textId="2A6A92B6" w:rsidR="001215BB" w:rsidRDefault="001215BB">
    <w:pPr>
      <w:pStyle w:val="Header"/>
    </w:pPr>
    <w:r>
      <w:rPr>
        <w:noProof/>
      </w:rPr>
      <w:pict w14:anchorId="7A4454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221095" o:spid="_x0000_s1027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AFC57" w14:textId="378D54F9" w:rsidR="001215BB" w:rsidRDefault="001215BB">
    <w:pPr>
      <w:pStyle w:val="Header"/>
    </w:pPr>
    <w:r>
      <w:rPr>
        <w:noProof/>
      </w:rPr>
      <w:pict w14:anchorId="650623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7221093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904"/>
    <w:multiLevelType w:val="hybridMultilevel"/>
    <w:tmpl w:val="79285C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7082"/>
    <w:multiLevelType w:val="hybridMultilevel"/>
    <w:tmpl w:val="69FC698A"/>
    <w:lvl w:ilvl="0" w:tplc="CEDC78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90AF2"/>
    <w:multiLevelType w:val="hybridMultilevel"/>
    <w:tmpl w:val="FFECCF2E"/>
    <w:lvl w:ilvl="0" w:tplc="97482AC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01D93"/>
    <w:multiLevelType w:val="hybridMultilevel"/>
    <w:tmpl w:val="84DC51D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6162638">
    <w:abstractNumId w:val="1"/>
  </w:num>
  <w:num w:numId="2" w16cid:durableId="102262152">
    <w:abstractNumId w:val="3"/>
  </w:num>
  <w:num w:numId="3" w16cid:durableId="1226914594">
    <w:abstractNumId w:val="2"/>
  </w:num>
  <w:num w:numId="4" w16cid:durableId="152687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2A"/>
    <w:rsid w:val="00000DD6"/>
    <w:rsid w:val="000178E9"/>
    <w:rsid w:val="00025AE3"/>
    <w:rsid w:val="00065E01"/>
    <w:rsid w:val="00077CED"/>
    <w:rsid w:val="00095419"/>
    <w:rsid w:val="000977BB"/>
    <w:rsid w:val="000C1D79"/>
    <w:rsid w:val="000D4AF8"/>
    <w:rsid w:val="000E4373"/>
    <w:rsid w:val="000F1706"/>
    <w:rsid w:val="000F71C1"/>
    <w:rsid w:val="0010646D"/>
    <w:rsid w:val="00110E71"/>
    <w:rsid w:val="001110EA"/>
    <w:rsid w:val="00113058"/>
    <w:rsid w:val="001215BB"/>
    <w:rsid w:val="0012326A"/>
    <w:rsid w:val="00134888"/>
    <w:rsid w:val="0013709F"/>
    <w:rsid w:val="00146D4E"/>
    <w:rsid w:val="0014775B"/>
    <w:rsid w:val="001509E3"/>
    <w:rsid w:val="00151513"/>
    <w:rsid w:val="00174DFC"/>
    <w:rsid w:val="0017690B"/>
    <w:rsid w:val="001850C1"/>
    <w:rsid w:val="001A5D71"/>
    <w:rsid w:val="001B0FB3"/>
    <w:rsid w:val="001B1B94"/>
    <w:rsid w:val="001C02F2"/>
    <w:rsid w:val="001C068C"/>
    <w:rsid w:val="001C518C"/>
    <w:rsid w:val="001D07EC"/>
    <w:rsid w:val="001D0A64"/>
    <w:rsid w:val="001F1A2A"/>
    <w:rsid w:val="0020008F"/>
    <w:rsid w:val="00210B4A"/>
    <w:rsid w:val="00217528"/>
    <w:rsid w:val="002238E8"/>
    <w:rsid w:val="00225D83"/>
    <w:rsid w:val="00240785"/>
    <w:rsid w:val="00241C5E"/>
    <w:rsid w:val="002533D1"/>
    <w:rsid w:val="0026498A"/>
    <w:rsid w:val="00270D56"/>
    <w:rsid w:val="002807F3"/>
    <w:rsid w:val="00283499"/>
    <w:rsid w:val="0028690E"/>
    <w:rsid w:val="002907C1"/>
    <w:rsid w:val="002A1608"/>
    <w:rsid w:val="002A4205"/>
    <w:rsid w:val="002A4800"/>
    <w:rsid w:val="002A51C7"/>
    <w:rsid w:val="002D283A"/>
    <w:rsid w:val="002D74EC"/>
    <w:rsid w:val="002E2198"/>
    <w:rsid w:val="002E5BFB"/>
    <w:rsid w:val="002E62DC"/>
    <w:rsid w:val="00313909"/>
    <w:rsid w:val="00317E1F"/>
    <w:rsid w:val="00323B0E"/>
    <w:rsid w:val="003451E1"/>
    <w:rsid w:val="00361287"/>
    <w:rsid w:val="00362A9B"/>
    <w:rsid w:val="00366600"/>
    <w:rsid w:val="00370413"/>
    <w:rsid w:val="00386606"/>
    <w:rsid w:val="003871EF"/>
    <w:rsid w:val="00394192"/>
    <w:rsid w:val="003A276A"/>
    <w:rsid w:val="003B04DD"/>
    <w:rsid w:val="003B2D6E"/>
    <w:rsid w:val="003B4918"/>
    <w:rsid w:val="003B7490"/>
    <w:rsid w:val="003C0A44"/>
    <w:rsid w:val="00407707"/>
    <w:rsid w:val="00416960"/>
    <w:rsid w:val="00447516"/>
    <w:rsid w:val="00447F63"/>
    <w:rsid w:val="00480519"/>
    <w:rsid w:val="004805DD"/>
    <w:rsid w:val="0048207E"/>
    <w:rsid w:val="004852CC"/>
    <w:rsid w:val="00486EFF"/>
    <w:rsid w:val="004A6E74"/>
    <w:rsid w:val="004C10D5"/>
    <w:rsid w:val="004E0EA1"/>
    <w:rsid w:val="004E3838"/>
    <w:rsid w:val="004E3C7B"/>
    <w:rsid w:val="0050748C"/>
    <w:rsid w:val="005160F2"/>
    <w:rsid w:val="005172D0"/>
    <w:rsid w:val="005330B1"/>
    <w:rsid w:val="00535503"/>
    <w:rsid w:val="00541A8C"/>
    <w:rsid w:val="00555177"/>
    <w:rsid w:val="0056225F"/>
    <w:rsid w:val="00583901"/>
    <w:rsid w:val="0058798F"/>
    <w:rsid w:val="00596E58"/>
    <w:rsid w:val="005A678F"/>
    <w:rsid w:val="005B2DE2"/>
    <w:rsid w:val="005C33E8"/>
    <w:rsid w:val="005E0EB6"/>
    <w:rsid w:val="005F3BCC"/>
    <w:rsid w:val="005F5D46"/>
    <w:rsid w:val="00600A57"/>
    <w:rsid w:val="00605574"/>
    <w:rsid w:val="00612EDD"/>
    <w:rsid w:val="00616055"/>
    <w:rsid w:val="006162E3"/>
    <w:rsid w:val="00623794"/>
    <w:rsid w:val="006460C1"/>
    <w:rsid w:val="00650E1F"/>
    <w:rsid w:val="006568F5"/>
    <w:rsid w:val="00663CEC"/>
    <w:rsid w:val="0066662C"/>
    <w:rsid w:val="00673DD6"/>
    <w:rsid w:val="006744FA"/>
    <w:rsid w:val="0068231E"/>
    <w:rsid w:val="00684C32"/>
    <w:rsid w:val="00696CA8"/>
    <w:rsid w:val="006D118D"/>
    <w:rsid w:val="006D2BF1"/>
    <w:rsid w:val="006D52F0"/>
    <w:rsid w:val="006E4CAD"/>
    <w:rsid w:val="006F1A77"/>
    <w:rsid w:val="006F2100"/>
    <w:rsid w:val="00710F6B"/>
    <w:rsid w:val="00711D7E"/>
    <w:rsid w:val="00721CFB"/>
    <w:rsid w:val="0073278E"/>
    <w:rsid w:val="0075196C"/>
    <w:rsid w:val="00752F10"/>
    <w:rsid w:val="00760EDF"/>
    <w:rsid w:val="00775661"/>
    <w:rsid w:val="00786297"/>
    <w:rsid w:val="0079089F"/>
    <w:rsid w:val="007B07A6"/>
    <w:rsid w:val="007B59A1"/>
    <w:rsid w:val="007C4DAF"/>
    <w:rsid w:val="007C5431"/>
    <w:rsid w:val="007D2437"/>
    <w:rsid w:val="007E5FFB"/>
    <w:rsid w:val="007F2616"/>
    <w:rsid w:val="007F300F"/>
    <w:rsid w:val="0080590E"/>
    <w:rsid w:val="00805A42"/>
    <w:rsid w:val="008063CA"/>
    <w:rsid w:val="0080760A"/>
    <w:rsid w:val="00821983"/>
    <w:rsid w:val="008225BE"/>
    <w:rsid w:val="00827C91"/>
    <w:rsid w:val="00834CFF"/>
    <w:rsid w:val="0083725B"/>
    <w:rsid w:val="00853DB0"/>
    <w:rsid w:val="008671BD"/>
    <w:rsid w:val="0089027E"/>
    <w:rsid w:val="0089744F"/>
    <w:rsid w:val="008A5B0C"/>
    <w:rsid w:val="008B24AE"/>
    <w:rsid w:val="008B5C60"/>
    <w:rsid w:val="008B7F55"/>
    <w:rsid w:val="008C4B11"/>
    <w:rsid w:val="008E2C63"/>
    <w:rsid w:val="008E563F"/>
    <w:rsid w:val="008F1D28"/>
    <w:rsid w:val="008F7C84"/>
    <w:rsid w:val="00917956"/>
    <w:rsid w:val="0092241B"/>
    <w:rsid w:val="009257E0"/>
    <w:rsid w:val="00933F05"/>
    <w:rsid w:val="0095159C"/>
    <w:rsid w:val="00955262"/>
    <w:rsid w:val="00960C9C"/>
    <w:rsid w:val="00972B23"/>
    <w:rsid w:val="009A3282"/>
    <w:rsid w:val="009A35CF"/>
    <w:rsid w:val="009C1A21"/>
    <w:rsid w:val="009D71DB"/>
    <w:rsid w:val="009E0DE9"/>
    <w:rsid w:val="009E7AD6"/>
    <w:rsid w:val="00A00185"/>
    <w:rsid w:val="00A113A7"/>
    <w:rsid w:val="00A25197"/>
    <w:rsid w:val="00A27BA9"/>
    <w:rsid w:val="00A37D9E"/>
    <w:rsid w:val="00A6294D"/>
    <w:rsid w:val="00A651F4"/>
    <w:rsid w:val="00A65FBF"/>
    <w:rsid w:val="00A83BEB"/>
    <w:rsid w:val="00A84E4E"/>
    <w:rsid w:val="00A91985"/>
    <w:rsid w:val="00A9677C"/>
    <w:rsid w:val="00AA3D94"/>
    <w:rsid w:val="00AA73A8"/>
    <w:rsid w:val="00AC1C54"/>
    <w:rsid w:val="00AD78A4"/>
    <w:rsid w:val="00AE3EDE"/>
    <w:rsid w:val="00AE5B51"/>
    <w:rsid w:val="00B00550"/>
    <w:rsid w:val="00B00691"/>
    <w:rsid w:val="00B34DEF"/>
    <w:rsid w:val="00B3618C"/>
    <w:rsid w:val="00B3643A"/>
    <w:rsid w:val="00B44A65"/>
    <w:rsid w:val="00B465BA"/>
    <w:rsid w:val="00B56604"/>
    <w:rsid w:val="00B6401D"/>
    <w:rsid w:val="00B86A5F"/>
    <w:rsid w:val="00B96419"/>
    <w:rsid w:val="00BC4FE2"/>
    <w:rsid w:val="00BC53DF"/>
    <w:rsid w:val="00BD7659"/>
    <w:rsid w:val="00BE312E"/>
    <w:rsid w:val="00BE4A6D"/>
    <w:rsid w:val="00BE663B"/>
    <w:rsid w:val="00BF107D"/>
    <w:rsid w:val="00BF3CD7"/>
    <w:rsid w:val="00C107A4"/>
    <w:rsid w:val="00C15C0D"/>
    <w:rsid w:val="00C16F87"/>
    <w:rsid w:val="00C17F10"/>
    <w:rsid w:val="00C204D6"/>
    <w:rsid w:val="00C32F8E"/>
    <w:rsid w:val="00C43643"/>
    <w:rsid w:val="00C45153"/>
    <w:rsid w:val="00C5616A"/>
    <w:rsid w:val="00C75832"/>
    <w:rsid w:val="00C82AE0"/>
    <w:rsid w:val="00CA3270"/>
    <w:rsid w:val="00CC2AEF"/>
    <w:rsid w:val="00CC6B07"/>
    <w:rsid w:val="00CD2659"/>
    <w:rsid w:val="00D04F5D"/>
    <w:rsid w:val="00D1107B"/>
    <w:rsid w:val="00D170DF"/>
    <w:rsid w:val="00D25875"/>
    <w:rsid w:val="00D26E9C"/>
    <w:rsid w:val="00D27B04"/>
    <w:rsid w:val="00D30438"/>
    <w:rsid w:val="00D420B5"/>
    <w:rsid w:val="00D47D1F"/>
    <w:rsid w:val="00D63C5F"/>
    <w:rsid w:val="00D6639B"/>
    <w:rsid w:val="00D66A37"/>
    <w:rsid w:val="00D75E86"/>
    <w:rsid w:val="00D77691"/>
    <w:rsid w:val="00DB1243"/>
    <w:rsid w:val="00DB5400"/>
    <w:rsid w:val="00DC3BAB"/>
    <w:rsid w:val="00DC550F"/>
    <w:rsid w:val="00DD763C"/>
    <w:rsid w:val="00DE5CC9"/>
    <w:rsid w:val="00DE6E75"/>
    <w:rsid w:val="00E0788C"/>
    <w:rsid w:val="00E10E36"/>
    <w:rsid w:val="00E11E94"/>
    <w:rsid w:val="00E319D4"/>
    <w:rsid w:val="00E37A7B"/>
    <w:rsid w:val="00E44077"/>
    <w:rsid w:val="00E474F1"/>
    <w:rsid w:val="00E577EB"/>
    <w:rsid w:val="00E702A0"/>
    <w:rsid w:val="00E7349B"/>
    <w:rsid w:val="00E74267"/>
    <w:rsid w:val="00E83D23"/>
    <w:rsid w:val="00E86F36"/>
    <w:rsid w:val="00E93B7A"/>
    <w:rsid w:val="00EB056C"/>
    <w:rsid w:val="00EC3344"/>
    <w:rsid w:val="00F0401E"/>
    <w:rsid w:val="00F04AB0"/>
    <w:rsid w:val="00F1549F"/>
    <w:rsid w:val="00F20FE4"/>
    <w:rsid w:val="00F218B6"/>
    <w:rsid w:val="00F4351B"/>
    <w:rsid w:val="00F448CE"/>
    <w:rsid w:val="00F54F9A"/>
    <w:rsid w:val="00F64C38"/>
    <w:rsid w:val="00F64E78"/>
    <w:rsid w:val="00F656F9"/>
    <w:rsid w:val="00F664B9"/>
    <w:rsid w:val="00F7024E"/>
    <w:rsid w:val="00F722A4"/>
    <w:rsid w:val="00F73A0D"/>
    <w:rsid w:val="00F93526"/>
    <w:rsid w:val="00FA0B28"/>
    <w:rsid w:val="00FB0F49"/>
    <w:rsid w:val="00FD5437"/>
    <w:rsid w:val="00FF052F"/>
    <w:rsid w:val="00FF23C3"/>
    <w:rsid w:val="00FF4C8F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41D9"/>
  <w15:chartTrackingRefBased/>
  <w15:docId w15:val="{695B464F-7ACA-45B3-9C15-1133E81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57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A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A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A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A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A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A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A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A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A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A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A2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1A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A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4AB0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DB124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B1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43"/>
    <w:rPr>
      <w:b/>
      <w:bCs/>
      <w:sz w:val="20"/>
      <w:szCs w:val="20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D63C5F"/>
    <w:pPr>
      <w:spacing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2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5B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5BB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6E54-B0B5-4C3D-B872-BE6F0E9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Arat</dc:creator>
  <cp:keywords/>
  <dc:description/>
  <cp:lastModifiedBy>Ramona Danulet</cp:lastModifiedBy>
  <cp:revision>47</cp:revision>
  <cp:lastPrinted>2025-03-27T09:06:00Z</cp:lastPrinted>
  <dcterms:created xsi:type="dcterms:W3CDTF">2025-03-25T07:35:00Z</dcterms:created>
  <dcterms:modified xsi:type="dcterms:W3CDTF">2025-03-27T09:08:00Z</dcterms:modified>
</cp:coreProperties>
</file>