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9A90" w14:textId="5F53CA43" w:rsidR="00D028CA" w:rsidRPr="00A06EF0" w:rsidRDefault="0003293B" w:rsidP="00EC254B">
      <w:pPr>
        <w:spacing w:after="0" w:line="360" w:lineRule="auto"/>
        <w:ind w:right="141"/>
        <w:jc w:val="center"/>
        <w:rPr>
          <w:rFonts w:ascii="Times New Roman" w:hAnsi="Times New Roman"/>
          <w:b/>
          <w:sz w:val="24"/>
          <w:szCs w:val="24"/>
        </w:rPr>
      </w:pPr>
      <w:r>
        <w:rPr>
          <w:rFonts w:ascii="Times New Roman" w:hAnsi="Times New Roman"/>
          <w:b/>
          <w:sz w:val="24"/>
          <w:szCs w:val="24"/>
        </w:rPr>
        <w:t>EXPUNERE DE MOTIVE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748"/>
        <w:gridCol w:w="674"/>
        <w:gridCol w:w="94"/>
        <w:gridCol w:w="141"/>
        <w:gridCol w:w="1663"/>
        <w:gridCol w:w="478"/>
        <w:gridCol w:w="479"/>
        <w:gridCol w:w="479"/>
        <w:gridCol w:w="479"/>
        <w:gridCol w:w="1543"/>
      </w:tblGrid>
      <w:tr w:rsidR="00B80893" w:rsidRPr="00C83195" w14:paraId="73E978ED" w14:textId="77777777" w:rsidTr="00F03776">
        <w:trPr>
          <w:trHeight w:val="682"/>
        </w:trPr>
        <w:tc>
          <w:tcPr>
            <w:tcW w:w="9535" w:type="dxa"/>
            <w:gridSpan w:val="11"/>
            <w:vAlign w:val="center"/>
          </w:tcPr>
          <w:p w14:paraId="0133BF53" w14:textId="09510C19" w:rsidR="00E318A6" w:rsidRPr="00C83195" w:rsidRDefault="00E318A6"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1</w:t>
            </w:r>
          </w:p>
          <w:p w14:paraId="52BB3B94" w14:textId="6260330B" w:rsidR="003F4FD2" w:rsidRPr="00C83195" w:rsidRDefault="00E318A6" w:rsidP="00F71809">
            <w:pPr>
              <w:spacing w:before="240" w:after="240" w:line="240" w:lineRule="auto"/>
              <w:jc w:val="center"/>
              <w:rPr>
                <w:rFonts w:ascii="Times New Roman" w:hAnsi="Times New Roman"/>
                <w:b/>
                <w:sz w:val="24"/>
                <w:szCs w:val="24"/>
              </w:rPr>
            </w:pPr>
            <w:r w:rsidRPr="00C83195">
              <w:rPr>
                <w:rFonts w:ascii="Times New Roman" w:hAnsi="Times New Roman"/>
                <w:b/>
                <w:sz w:val="24"/>
                <w:szCs w:val="24"/>
              </w:rPr>
              <w:t xml:space="preserve">Titlul </w:t>
            </w:r>
            <w:r w:rsidR="004249E1" w:rsidRPr="00C83195">
              <w:rPr>
                <w:rFonts w:ascii="Times New Roman" w:hAnsi="Times New Roman"/>
                <w:b/>
                <w:sz w:val="24"/>
                <w:szCs w:val="24"/>
              </w:rPr>
              <w:t>proiectului de</w:t>
            </w:r>
            <w:r w:rsidRPr="00C83195">
              <w:rPr>
                <w:rFonts w:ascii="Times New Roman" w:hAnsi="Times New Roman"/>
                <w:b/>
                <w:sz w:val="24"/>
                <w:szCs w:val="24"/>
              </w:rPr>
              <w:t xml:space="preserve"> act normativ</w:t>
            </w:r>
          </w:p>
        </w:tc>
      </w:tr>
      <w:tr w:rsidR="00B80893" w:rsidRPr="00C83195" w14:paraId="6A673AC8" w14:textId="77777777" w:rsidTr="00F03776">
        <w:trPr>
          <w:trHeight w:val="457"/>
        </w:trPr>
        <w:tc>
          <w:tcPr>
            <w:tcW w:w="9535" w:type="dxa"/>
            <w:gridSpan w:val="11"/>
            <w:vAlign w:val="center"/>
          </w:tcPr>
          <w:p w14:paraId="3B9AF65F" w14:textId="64738616" w:rsidR="00B9140B" w:rsidRPr="00C83195" w:rsidRDefault="00C7045F" w:rsidP="00B9140B">
            <w:pPr>
              <w:pBdr>
                <w:top w:val="nil"/>
                <w:left w:val="nil"/>
                <w:bottom w:val="nil"/>
                <w:right w:val="nil"/>
                <w:between w:val="nil"/>
              </w:pBdr>
              <w:autoSpaceDE w:val="0"/>
              <w:autoSpaceDN w:val="0"/>
              <w:adjustRightInd w:val="0"/>
              <w:spacing w:before="240" w:after="240" w:line="240" w:lineRule="auto"/>
              <w:jc w:val="center"/>
              <w:rPr>
                <w:rFonts w:ascii="Times New Roman" w:hAnsi="Times New Roman"/>
                <w:b/>
                <w:sz w:val="24"/>
                <w:szCs w:val="24"/>
              </w:rPr>
            </w:pPr>
            <w:r>
              <w:rPr>
                <w:rFonts w:ascii="Times New Roman" w:hAnsi="Times New Roman"/>
                <w:b/>
                <w:sz w:val="24"/>
                <w:szCs w:val="24"/>
              </w:rPr>
              <w:t>LEGE</w:t>
            </w:r>
          </w:p>
          <w:p w14:paraId="13DEEE43" w14:textId="322CAA99" w:rsidR="00D028CA" w:rsidRPr="00C83195" w:rsidRDefault="00F95221" w:rsidP="00B9140B">
            <w:pPr>
              <w:pBdr>
                <w:top w:val="nil"/>
                <w:left w:val="nil"/>
                <w:bottom w:val="nil"/>
                <w:right w:val="nil"/>
                <w:between w:val="nil"/>
              </w:pBdr>
              <w:autoSpaceDE w:val="0"/>
              <w:autoSpaceDN w:val="0"/>
              <w:adjustRightInd w:val="0"/>
              <w:spacing w:before="240" w:after="240" w:line="240" w:lineRule="auto"/>
              <w:jc w:val="center"/>
              <w:rPr>
                <w:rFonts w:ascii="Times New Roman" w:hAnsi="Times New Roman"/>
                <w:b/>
                <w:sz w:val="24"/>
                <w:szCs w:val="24"/>
              </w:rPr>
            </w:pPr>
            <w:r w:rsidRPr="00F95221">
              <w:rPr>
                <w:rFonts w:ascii="Times New Roman" w:hAnsi="Times New Roman"/>
                <w:b/>
                <w:sz w:val="24"/>
                <w:szCs w:val="24"/>
              </w:rPr>
              <w:t>pentru modificarea şi completarea unor acte normative în domeniul protecției mediului</w:t>
            </w:r>
          </w:p>
        </w:tc>
      </w:tr>
      <w:tr w:rsidR="00B80893" w:rsidRPr="00C83195" w14:paraId="3F28B7CB" w14:textId="77777777" w:rsidTr="00F03776">
        <w:tc>
          <w:tcPr>
            <w:tcW w:w="9535" w:type="dxa"/>
            <w:gridSpan w:val="11"/>
            <w:vAlign w:val="center"/>
          </w:tcPr>
          <w:p w14:paraId="5FA100CD" w14:textId="45E78853" w:rsidR="00E318A6" w:rsidRPr="00C83195" w:rsidRDefault="00B96264"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Secțiunea</w:t>
            </w:r>
            <w:r w:rsidR="00E318A6" w:rsidRPr="00C83195">
              <w:rPr>
                <w:rFonts w:ascii="Times New Roman" w:hAnsi="Times New Roman"/>
                <w:b/>
                <w:sz w:val="24"/>
                <w:szCs w:val="24"/>
              </w:rPr>
              <w:t xml:space="preserve"> a 2-a</w:t>
            </w:r>
          </w:p>
          <w:p w14:paraId="677CF0A4" w14:textId="2C3415B0" w:rsidR="00D028CA" w:rsidRPr="00C83195" w:rsidRDefault="00E318A6" w:rsidP="00D028CA">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Motivul emiterii actului normativ</w:t>
            </w:r>
          </w:p>
        </w:tc>
      </w:tr>
      <w:tr w:rsidR="00B80893" w:rsidRPr="00C83195" w14:paraId="0FDB01F1" w14:textId="77777777" w:rsidTr="00C7045F">
        <w:trPr>
          <w:trHeight w:val="90"/>
        </w:trPr>
        <w:tc>
          <w:tcPr>
            <w:tcW w:w="757" w:type="dxa"/>
            <w:vAlign w:val="center"/>
          </w:tcPr>
          <w:p w14:paraId="181FB606" w14:textId="77777777" w:rsidR="00E318A6" w:rsidRPr="00C83195" w:rsidRDefault="00755B49" w:rsidP="00792971">
            <w:pPr>
              <w:spacing w:after="0" w:line="240" w:lineRule="auto"/>
              <w:jc w:val="both"/>
              <w:rPr>
                <w:rFonts w:ascii="Times New Roman" w:hAnsi="Times New Roman"/>
                <w:sz w:val="24"/>
                <w:szCs w:val="24"/>
              </w:rPr>
            </w:pPr>
            <w:r w:rsidRPr="00C83195">
              <w:rPr>
                <w:rFonts w:ascii="Times New Roman" w:hAnsi="Times New Roman"/>
                <w:sz w:val="24"/>
                <w:szCs w:val="24"/>
              </w:rPr>
              <w:t>2.</w:t>
            </w:r>
            <w:r w:rsidR="00E318A6" w:rsidRPr="00C83195">
              <w:rPr>
                <w:rFonts w:ascii="Times New Roman" w:hAnsi="Times New Roman"/>
                <w:sz w:val="24"/>
                <w:szCs w:val="24"/>
              </w:rPr>
              <w:t>1.</w:t>
            </w:r>
          </w:p>
        </w:tc>
        <w:tc>
          <w:tcPr>
            <w:tcW w:w="2748" w:type="dxa"/>
            <w:vAlign w:val="center"/>
          </w:tcPr>
          <w:p w14:paraId="1396BE67" w14:textId="77777777" w:rsidR="00E318A6" w:rsidRPr="00C83195" w:rsidRDefault="00755B49" w:rsidP="00792971">
            <w:pPr>
              <w:spacing w:after="0" w:line="240" w:lineRule="auto"/>
              <w:contextualSpacing/>
              <w:jc w:val="both"/>
              <w:rPr>
                <w:rFonts w:ascii="Times New Roman" w:hAnsi="Times New Roman"/>
                <w:sz w:val="24"/>
                <w:szCs w:val="24"/>
              </w:rPr>
            </w:pPr>
            <w:r w:rsidRPr="00C83195">
              <w:rPr>
                <w:rFonts w:ascii="Times New Roman" w:hAnsi="Times New Roman"/>
                <w:sz w:val="24"/>
                <w:szCs w:val="24"/>
              </w:rPr>
              <w:t>Sursa proiectului de act normativ</w:t>
            </w:r>
          </w:p>
        </w:tc>
        <w:tc>
          <w:tcPr>
            <w:tcW w:w="6030" w:type="dxa"/>
            <w:gridSpan w:val="9"/>
            <w:vAlign w:val="center"/>
          </w:tcPr>
          <w:p w14:paraId="19132E11" w14:textId="0D96BA06" w:rsidR="00405068" w:rsidRPr="00C7045F" w:rsidRDefault="00F95221" w:rsidP="00C7045F">
            <w:pPr>
              <w:pStyle w:val="Default"/>
              <w:jc w:val="both"/>
              <w:rPr>
                <w:rFonts w:ascii="Times New Roman" w:eastAsia="Times New Roman" w:hAnsi="Times New Roman" w:cs="Times New Roman"/>
                <w:bCs/>
                <w:noProof/>
                <w:color w:val="auto"/>
                <w:lang w:val="ro-RO" w:eastAsia="ro-RO"/>
              </w:rPr>
            </w:pPr>
            <w:r w:rsidRPr="00F95221">
              <w:rPr>
                <w:rFonts w:ascii="Times New Roman" w:eastAsia="Times New Roman" w:hAnsi="Times New Roman" w:cs="Times New Roman"/>
                <w:bCs/>
                <w:noProof/>
                <w:color w:val="auto"/>
                <w:lang w:val="ro-RO" w:eastAsia="ro-RO"/>
              </w:rPr>
              <w:t>Inițiativa Ministerului Mediului, Apelor și Pădurilor</w:t>
            </w:r>
          </w:p>
        </w:tc>
      </w:tr>
      <w:tr w:rsidR="00B80893" w:rsidRPr="00C83195" w14:paraId="5C7A03F5" w14:textId="77777777" w:rsidTr="00C7045F">
        <w:trPr>
          <w:trHeight w:val="798"/>
        </w:trPr>
        <w:tc>
          <w:tcPr>
            <w:tcW w:w="757" w:type="dxa"/>
            <w:vAlign w:val="center"/>
          </w:tcPr>
          <w:p w14:paraId="5FE64421" w14:textId="77777777" w:rsidR="00E318A6" w:rsidRPr="00C83195" w:rsidRDefault="00755B49" w:rsidP="00792971">
            <w:pPr>
              <w:spacing w:after="0" w:line="240" w:lineRule="auto"/>
              <w:jc w:val="both"/>
              <w:rPr>
                <w:rFonts w:ascii="Times New Roman" w:hAnsi="Times New Roman"/>
                <w:sz w:val="24"/>
                <w:szCs w:val="24"/>
                <w:vertAlign w:val="superscript"/>
              </w:rPr>
            </w:pPr>
            <w:r w:rsidRPr="00C83195">
              <w:rPr>
                <w:rFonts w:ascii="Times New Roman" w:hAnsi="Times New Roman"/>
                <w:sz w:val="24"/>
                <w:szCs w:val="24"/>
              </w:rPr>
              <w:t>2.2.</w:t>
            </w:r>
          </w:p>
        </w:tc>
        <w:tc>
          <w:tcPr>
            <w:tcW w:w="2748" w:type="dxa"/>
            <w:vAlign w:val="center"/>
          </w:tcPr>
          <w:p w14:paraId="1FD08E11" w14:textId="617C3D61" w:rsidR="00E318A6" w:rsidRPr="00C83195" w:rsidRDefault="00755B49" w:rsidP="00792971">
            <w:pPr>
              <w:spacing w:after="0" w:line="240" w:lineRule="auto"/>
              <w:jc w:val="both"/>
              <w:rPr>
                <w:rFonts w:ascii="Times New Roman" w:hAnsi="Times New Roman"/>
                <w:sz w:val="24"/>
                <w:szCs w:val="24"/>
              </w:rPr>
            </w:pPr>
            <w:r w:rsidRPr="00C83195">
              <w:rPr>
                <w:rFonts w:ascii="Times New Roman" w:eastAsia="Times New Roman" w:hAnsi="Times New Roman"/>
                <w:sz w:val="24"/>
                <w:szCs w:val="24"/>
              </w:rPr>
              <w:t xml:space="preserve">Descrierea </w:t>
            </w:r>
            <w:r w:rsidR="00266090" w:rsidRPr="00C83195">
              <w:rPr>
                <w:rFonts w:ascii="Times New Roman" w:eastAsia="Times New Roman" w:hAnsi="Times New Roman"/>
                <w:sz w:val="24"/>
                <w:szCs w:val="24"/>
              </w:rPr>
              <w:t>situației</w:t>
            </w:r>
            <w:r w:rsidRPr="00C83195">
              <w:rPr>
                <w:rFonts w:ascii="Times New Roman" w:eastAsia="Times New Roman" w:hAnsi="Times New Roman"/>
                <w:sz w:val="24"/>
                <w:szCs w:val="24"/>
              </w:rPr>
              <w:t xml:space="preserve"> actuale</w:t>
            </w:r>
          </w:p>
        </w:tc>
        <w:tc>
          <w:tcPr>
            <w:tcW w:w="6030" w:type="dxa"/>
            <w:gridSpan w:val="9"/>
            <w:vAlign w:val="center"/>
          </w:tcPr>
          <w:p w14:paraId="26D35247"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La data de 30 aprilie 2024 a fost adoptată Directiva (UE) 2024/1203 a Parlamentului European și a Consiliului privind protecția mediului prin intermediul dreptului penal, care înlocuiește Directivele 2008/99/CE și 2009/123/CE, termenul-limită pentru transpunerea acesteia în legislația internă a statelor membre fiind data de 21 mai 2026.</w:t>
            </w:r>
          </w:p>
          <w:p w14:paraId="14084743"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Potrivit evaluărilor realizate la nivelul Uniunii Europene, cadrul normativ existent în statele membre s-a dovedit insuficient pentru combaterea eficientă a criminalității de mediu, numărul cauzelor investigate și soluționate fiind redus, iar sancțiunile aplicate nefiind suficient de eficiente, proporționale și disuasive. Totodată, au fost identificate dificultăți privind cooperarea transfrontalieră și existența unor diferențe semnificative între reglementările naționale ale statelor membre.</w:t>
            </w:r>
          </w:p>
          <w:p w14:paraId="1CA2842C"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În acest context, noua directivă marchează o reformă semnificativă a cadrului juridic european în materia combaterii infracționalității de mediu, prin extinderea sferei faptelor incriminate, instituirea unor standarde minime comune privind sancțiunile aplicabile persoanelor fizice și juridice, reglementarea răspunderii penale a persoanelor juridice, diferențierea explicită între infracțiunile de pericol și infracțiunile de rezultat, precum și instituirea unor forme agravate raportate la gravitatea urmărilor produse asupra mediului ori asupra persoanelor. De asemenea, Directiva (UE) 2024/1203 reglementează obligații privind prevenirea infracțiunilor împotriva mediului, cooperarea instituțională, pregătirea profesională a autorităților competente implicate în prevenirea, investigarea și urmărirea penală a infracțiunilor de mediu, precum și colectarea datelor statistice privind aceste infracțiuni, în vederea asigurării unei aplicări eficiente și unitare a legii penale în domeniul protecției mediului.</w:t>
            </w:r>
          </w:p>
          <w:p w14:paraId="21B5539E"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 xml:space="preserve">Directiva reglementează, de asemenea, forme agravante în ipoteza producerii unor daune semnificative și pe scară largă, care sunt ireversibile sau de lungă durată, corespunzătoare </w:t>
            </w:r>
            <w:r w:rsidRPr="00AF3A0B">
              <w:rPr>
                <w:rFonts w:ascii="Times New Roman" w:hAnsi="Times New Roman"/>
                <w:noProof/>
                <w:lang w:val="ro-RO"/>
              </w:rPr>
              <w:lastRenderedPageBreak/>
              <w:t>unor forme de criminalitate de mediu de o gravitate excepțională, asociate frecvent în doctrină și în dezbaterile internaționale noțiunii de „ecocid”.</w:t>
            </w:r>
          </w:p>
          <w:p w14:paraId="4455A0C0"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Prin urmare, obligația de transpunere nu privește exclusiv configurarea unor norme de incriminare, ci și asigurarea unui cadru normativ apt să permită aplicarea efectivă a reglementării penale în materia protecției mediului, inclusiv prin instituirea unor sancțiuni proporționale și cu efect disuasiv.</w:t>
            </w:r>
          </w:p>
          <w:p w14:paraId="2404C31D"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 xml:space="preserve">Deși anumite dispoziții ale legislației naționale asigură, într-o anumită măsură, transpunerea reglementărilor europene anterioare în materia protecției mediului prin intermediul dreptului penal, cadrul normativ existent nu reflectă în mod integral noile exigențe instituite prin Directiva (UE) 2024/1203. </w:t>
            </w:r>
          </w:p>
          <w:p w14:paraId="65BDEF72"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În special, legislația în vigoare nu reglementează în mod expres anumite categorii noi de infracțiuni prevăzute de Directiva (UE) 2024/1203 și nu acoperă în mod corespunzător toate ipotezele de incriminare instituite de aceasta. Totodată, reglementările existente nu corespund în integralitate structurii și cerințelor prevăzute de Directiva (UE) 2024/1203, întrucât acestea incriminează, în principal, fapte de natură să pună în pericol viața, sănătatea ori mediul, fără a reglementa în mod corespunzător ipotezele în care se produc efectiv consecințe grave asupra mediului ori asupra persoanelor. De asemenea, sunt necesare completări sub aspectul sancționării faptelor săvârșite din culpă, al tentativei, al formelor agravate, precum și al adaptării regimului sancționator existent la cerințele Directivei (UE) 2024/1203 privind proporționalitatea și caracterul disuasiv al sancțiunilor aplicabile.</w:t>
            </w:r>
          </w:p>
          <w:p w14:paraId="4297E64B" w14:textId="77777777" w:rsidR="00AF3A0B" w:rsidRPr="00AF3A0B" w:rsidRDefault="00AF3A0B" w:rsidP="00AF3A0B">
            <w:pPr>
              <w:pStyle w:val="Default"/>
              <w:jc w:val="both"/>
              <w:rPr>
                <w:rFonts w:ascii="Times New Roman" w:hAnsi="Times New Roman"/>
                <w:noProof/>
                <w:lang w:val="ro-RO"/>
              </w:rPr>
            </w:pPr>
            <w:r w:rsidRPr="00AF3A0B">
              <w:rPr>
                <w:rFonts w:ascii="Times New Roman" w:hAnsi="Times New Roman"/>
                <w:noProof/>
                <w:lang w:val="ro-RO"/>
              </w:rPr>
              <w:t>Având în vedere că incriminările relevante în materia protecției mediului sunt reglementate prin acte normative sectoriale, transpunerea Directivei (UE) 2024/1203 este realizată prin modificarea și completarea acestor acte normative, cu păstrarea structurii sectoriale a reglementării. În acest context, prezentul proiect de lege urmărește introducerea noilor incriminări și a dispozițiilor conexe prevăzute de directivă, precum și adaptarea reglementărilor existente la cerințele acesteia.</w:t>
            </w:r>
          </w:p>
          <w:p w14:paraId="31106185" w14:textId="586AAB14" w:rsidR="00DE194C" w:rsidRPr="00F95221" w:rsidRDefault="00AF3A0B" w:rsidP="00AF3A0B">
            <w:pPr>
              <w:pStyle w:val="Default"/>
              <w:jc w:val="both"/>
              <w:rPr>
                <w:rFonts w:ascii="Times New Roman" w:hAnsi="Times New Roman"/>
                <w:noProof/>
                <w:lang w:val="ro-RO"/>
              </w:rPr>
            </w:pPr>
            <w:r w:rsidRPr="00AF3A0B">
              <w:rPr>
                <w:rFonts w:ascii="Times New Roman" w:hAnsi="Times New Roman"/>
                <w:noProof/>
                <w:lang w:val="ro-RO"/>
              </w:rPr>
              <w:t>Necesitatea modificării și completării actelor normative incidente în materia protecției mediului rezultă atât din obligația transpunerii în legislația națională a dispozițiilor Directivei (UE) 2024/1203, cât și din constatările care au fundamentat adoptarea acesteia, potrivit cărora reglementările existente la nivelul statelor membre nu au asigurat, în toate cazurile, un nivel suficient de eficient, proporțional și disuasiv al sancționării faptelor care aduc atingere mediului.</w:t>
            </w:r>
          </w:p>
        </w:tc>
      </w:tr>
      <w:tr w:rsidR="00B80893" w:rsidRPr="00C83195" w14:paraId="770B0CBB" w14:textId="77777777" w:rsidTr="00C7045F">
        <w:trPr>
          <w:trHeight w:val="90"/>
        </w:trPr>
        <w:tc>
          <w:tcPr>
            <w:tcW w:w="757" w:type="dxa"/>
            <w:vAlign w:val="center"/>
          </w:tcPr>
          <w:p w14:paraId="4FF6A346" w14:textId="5B5E210C" w:rsidR="007A3DC6" w:rsidRPr="00C83195" w:rsidRDefault="007A3DC6" w:rsidP="00792971">
            <w:pPr>
              <w:spacing w:after="0" w:line="240" w:lineRule="auto"/>
              <w:jc w:val="both"/>
              <w:rPr>
                <w:rFonts w:ascii="Times New Roman" w:hAnsi="Times New Roman"/>
                <w:sz w:val="24"/>
                <w:szCs w:val="24"/>
              </w:rPr>
            </w:pPr>
            <w:r w:rsidRPr="00C83195">
              <w:rPr>
                <w:rFonts w:ascii="Times New Roman" w:hAnsi="Times New Roman"/>
                <w:sz w:val="24"/>
                <w:szCs w:val="24"/>
              </w:rPr>
              <w:lastRenderedPageBreak/>
              <w:t>2.3.</w:t>
            </w:r>
          </w:p>
        </w:tc>
        <w:tc>
          <w:tcPr>
            <w:tcW w:w="2748" w:type="dxa"/>
            <w:vAlign w:val="center"/>
          </w:tcPr>
          <w:p w14:paraId="43E28308" w14:textId="77777777" w:rsidR="007A3DC6" w:rsidRPr="00C83195" w:rsidRDefault="007A3DC6" w:rsidP="00792971">
            <w:pPr>
              <w:spacing w:after="0" w:line="240" w:lineRule="auto"/>
              <w:jc w:val="both"/>
              <w:rPr>
                <w:rFonts w:ascii="Times New Roman" w:hAnsi="Times New Roman"/>
                <w:sz w:val="24"/>
                <w:szCs w:val="24"/>
              </w:rPr>
            </w:pPr>
            <w:r w:rsidRPr="00C83195">
              <w:rPr>
                <w:rFonts w:ascii="Times New Roman" w:hAnsi="Times New Roman"/>
                <w:iCs/>
                <w:sz w:val="24"/>
                <w:szCs w:val="24"/>
              </w:rPr>
              <w:t>Schimbări</w:t>
            </w:r>
            <w:r w:rsidRPr="00C83195">
              <w:rPr>
                <w:rFonts w:ascii="Times New Roman" w:eastAsia="Times New Roman" w:hAnsi="Times New Roman"/>
                <w:sz w:val="24"/>
                <w:szCs w:val="24"/>
              </w:rPr>
              <w:t xml:space="preserve"> preconizate</w:t>
            </w:r>
          </w:p>
        </w:tc>
        <w:tc>
          <w:tcPr>
            <w:tcW w:w="6030" w:type="dxa"/>
            <w:gridSpan w:val="9"/>
          </w:tcPr>
          <w:p w14:paraId="2D698DDF"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xml:space="preserve">În urma analizei prevederilor Directivei (UE) 2024/1203, raportat la cadrul juridic intern, a rezultat necesitatea elaborării prezentului proiect de act normativ, în vederea </w:t>
            </w:r>
            <w:r w:rsidRPr="008F6761">
              <w:rPr>
                <w:rFonts w:ascii="Times New Roman" w:eastAsia="Arial Unicode MS" w:hAnsi="Times New Roman" w:cs="Arial Unicode MS"/>
                <w:color w:val="000000"/>
                <w:sz w:val="24"/>
                <w:szCs w:val="24"/>
              </w:rPr>
              <w:lastRenderedPageBreak/>
              <w:t>asigurării transpunerii acesteia prin modificarea și completarea actelor normative incidente.</w:t>
            </w:r>
          </w:p>
          <w:p w14:paraId="45745EAE" w14:textId="48B72DF4" w:rsidR="008F6761" w:rsidRPr="008F6761" w:rsidRDefault="00416B11" w:rsidP="008F6761">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A</w:t>
            </w:r>
            <w:r w:rsidRPr="00416B11">
              <w:rPr>
                <w:rFonts w:ascii="Times New Roman" w:eastAsia="Arial Unicode MS" w:hAnsi="Times New Roman" w:cs="Arial Unicode MS"/>
                <w:color w:val="000000"/>
                <w:sz w:val="24"/>
                <w:szCs w:val="24"/>
              </w:rPr>
              <w:t>ctul european</w:t>
            </w:r>
            <w:r>
              <w:rPr>
                <w:rFonts w:ascii="Times New Roman" w:eastAsia="Arial Unicode MS" w:hAnsi="Times New Roman" w:cs="Arial Unicode MS"/>
                <w:color w:val="000000"/>
                <w:sz w:val="24"/>
                <w:szCs w:val="24"/>
              </w:rPr>
              <w:t xml:space="preserve"> </w:t>
            </w:r>
            <w:r w:rsidR="008F6761" w:rsidRPr="008F6761">
              <w:rPr>
                <w:rFonts w:ascii="Times New Roman" w:eastAsia="Arial Unicode MS" w:hAnsi="Times New Roman" w:cs="Arial Unicode MS"/>
                <w:color w:val="000000"/>
                <w:sz w:val="24"/>
                <w:szCs w:val="24"/>
              </w:rPr>
              <w:t>urmărește consolidarea protecției mediului prin intermediul dreptului penal, în contextul recunoașterii caracterului tot mai grav și frecvent transfrontalier al criminalității de mediu, precum și al necesității instituirii unor sancțiuni efective, proporționale și cu efect de descurajare. În acest scop, directiva stabilește norme minime privind definirea infracțiunilor și sancțiunilor în domeniul protecției mediului, precum și obligații referitoare la prevenirea, investigarea și sancționarea faptelor care aduc atingere mediului.</w:t>
            </w:r>
          </w:p>
          <w:p w14:paraId="1C611BAB"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Prevederile Directivei (UE) 2024/1203 care necesită transpunere în plan intern se referă la:</w:t>
            </w:r>
          </w:p>
          <w:p w14:paraId="546F3C85"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reglementarea infracțiunilor împotriva mediului, inclusiv prin introducerea unor noi incriminări și prin instituirea unor norme minime comune de incriminare pentru faptele prevăzute la art. 3 și 4 din directivă;</w:t>
            </w:r>
          </w:p>
          <w:p w14:paraId="4A71AC82"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sancționarea, după caz, a faptelor săvârșite din culpă și a tentativei;</w:t>
            </w:r>
          </w:p>
          <w:p w14:paraId="05F3CA2D"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stabilirea sancțiunilor penale aplicabile persoanelor fizice și juridice;</w:t>
            </w:r>
          </w:p>
          <w:p w14:paraId="749FD6BE"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instituirea unor forme agravate și sancțiuni mai severe în funcție de gravitatea urmărilor produse asupra mediului ori asupra persoanelor, inclusiv în ipoteza producerii unor daune semnificative și pe scară largă, ireversibile sau de lungă durată ori a decesului unei persoane;</w:t>
            </w:r>
          </w:p>
          <w:p w14:paraId="32FE3248"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reglementarea răspunderii persoanelor juridice și a sancțiunilor aplicabile acestora;</w:t>
            </w:r>
          </w:p>
          <w:p w14:paraId="5CDBC65A"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reglementarea măsurilor de confiscare;</w:t>
            </w:r>
          </w:p>
          <w:p w14:paraId="76554E7F"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stabilirea normelor privind competența și investigarea infracțiunilor împotriva mediului;</w:t>
            </w:r>
          </w:p>
          <w:p w14:paraId="41B15C3E"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instituirea obligațiilor privind prevenirea infracțiunilor împotriva mediului, cooperarea și coordonarea instituțională între autoritățile competente, asigurarea pregătirii profesionale specializate a persoanelor implicate în prevenirea, investigarea și urmărirea penală a infracțiunilor de mediu, precum și colectarea și publicarea datelor statistice privind aceste infracțiuni.</w:t>
            </w:r>
          </w:p>
          <w:p w14:paraId="4C2C84F9"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Transpunerea dispozițiilor Directivei (UE) 2024/1203 care privesc domeniul dreptului penal general, procedurii penale și organizării judiciare este asigurată, în principal, prin cadrul legislativ penal și procesual penal în vigoare. Prezentul proiect vizează modificarea și completarea reglementărilor naționale incidente în domeniile prevăzute de directivă, în vederea introducerii incriminărilor și a dispozițiilor specifice privind protecția mediului prin intermediul dreptului penal, cu respectarea cadrului general stabilit de legislația penală și procesual penală aplicabilă.</w:t>
            </w:r>
          </w:p>
          <w:p w14:paraId="62F6251D"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xml:space="preserve">Cu toate că anumite dispoziții din legislația națională asigurau transpunerea parțială a reglementărilor europene anterioare în materia protecției mediului prin intermediul dreptului penal, acestea nu acoperă integral noile ipoteze de </w:t>
            </w:r>
            <w:r w:rsidRPr="008F6761">
              <w:rPr>
                <w:rFonts w:ascii="Times New Roman" w:eastAsia="Arial Unicode MS" w:hAnsi="Times New Roman" w:cs="Arial Unicode MS"/>
                <w:color w:val="000000"/>
                <w:sz w:val="24"/>
                <w:szCs w:val="24"/>
              </w:rPr>
              <w:lastRenderedPageBreak/>
              <w:t>incriminare și cerințele prevăzute de Directiva (UE) 2024/1203. Prin urmare, se impune modificarea și completarea actelor normative incidente, în vederea introducerii noilor incriminări și a dispozițiilor conexe prevăzute de directivă, precum și adaptarea reglementărilor existente la noile cerințe privind protecția mediului prin intermediul dreptului penal.</w:t>
            </w:r>
          </w:p>
          <w:p w14:paraId="239FF784" w14:textId="072C169A" w:rsidR="008F6761" w:rsidRPr="00662139" w:rsidRDefault="008F6761" w:rsidP="00557419">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xml:space="preserve">În considerarea acestor elemente, prezentul proiect de lege modifică și completează actele normative incidente în vederea asigurării transpunerii Directivei (UE) 2024/1203 și armonizării cadrului normativ național cu noile cerințe europene privind protecția mediului prin intermediul </w:t>
            </w:r>
            <w:r w:rsidRPr="00662139">
              <w:rPr>
                <w:rFonts w:ascii="Times New Roman" w:eastAsia="Arial Unicode MS" w:hAnsi="Times New Roman" w:cs="Arial Unicode MS"/>
                <w:color w:val="000000"/>
                <w:sz w:val="24"/>
                <w:szCs w:val="24"/>
              </w:rPr>
              <w:t>dreptului penal, după cum urmează:</w:t>
            </w:r>
          </w:p>
          <w:p w14:paraId="21CAC1B1" w14:textId="1F9148BB" w:rsidR="003B004F" w:rsidRPr="0032698D" w:rsidRDefault="003B004F" w:rsidP="00557419">
            <w:pPr>
              <w:spacing w:after="0" w:line="240" w:lineRule="auto"/>
              <w:jc w:val="both"/>
              <w:rPr>
                <w:rFonts w:ascii="Times New Roman" w:eastAsia="Arial Unicode MS" w:hAnsi="Times New Roman" w:cs="Arial Unicode MS"/>
                <w:color w:val="000000"/>
                <w:sz w:val="24"/>
                <w:szCs w:val="24"/>
              </w:rPr>
            </w:pPr>
            <w:r w:rsidRPr="00662139">
              <w:rPr>
                <w:rFonts w:ascii="Times New Roman" w:eastAsia="Arial Unicode MS" w:hAnsi="Times New Roman" w:cs="Arial Unicode MS"/>
                <w:color w:val="000000"/>
                <w:sz w:val="24"/>
                <w:szCs w:val="24"/>
              </w:rPr>
              <w:t>1. Modificarea și completarea Ordonanței de urgență a Guvernului nr. 195/2005 privind protecția mediului</w:t>
            </w:r>
          </w:p>
          <w:p w14:paraId="19C98800"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În temeiul articolului 3 alineatul (3) din Tratatul privind Uniunea Europeană și al articolului 191 din Tratatul privind funcționarea Uniunii Europene, Uniunea urmărește asigurarea unui nivel ridicat de protecție și de îmbunătățire a calității mediului, mediul fiind protejat într-un sens larg, care include resursele naturale, ecosistemele, inclusiv funcțiile și serviciile ecosistemice, precum și fauna și flora sălbatică și habitatele acestora. Totodată, politica Uniunii în domeniul mediului se întemeiază pe principiile precauției și acțiunii preventive, pe principiul remedierii cu prioritate la sursă a daunelor aduse mediului și pe principiul „poluatorul plătește”.</w:t>
            </w:r>
          </w:p>
          <w:p w14:paraId="637321B1"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În acest context, modificările propuse asupra Ordonanței de urgență a Guvernului nr. 195/2005 privind protecția mediului urmăresc asigurarea transpunerii Directivei (UE) 2024/1203, precum și consolidarea protecției penale a mediului în raport cu gravitatea și complexitatea faptelor care aduc atingere mediului. Evoluțiile legislative și jurisprudențiale de la nivelul Uniunii Europene reflectă recunoașterea caracterului tot mai grav și deseori transfrontalier al criminalității de mediu, precum și necesitatea instituirii unor sancțiuni efective, proporționale și cu efect de descurajare, corespunzătoare impactului pe care aceste fapte îl pot avea asupra sănătății umane, biodiversității și echilibrului ecologic.</w:t>
            </w:r>
          </w:p>
          <w:p w14:paraId="52E07E42"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Astfel, se modifică și completează Ordonanța de urgență a Guvernului nr. 195/2005 privind protecția mediului prin actualizarea unor definiții relevante pentru protecția penală a mediului, reformularea unor incriminări existente, introducerea unor noi incriminări și instituirea unor dispoziții generale aplicabile infracțiunilor împotriva mediului.</w:t>
            </w:r>
          </w:p>
          <w:p w14:paraId="09588697"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 xml:space="preserve">În vederea transpunerii obligațiilor care decurg din Directiva (UE) 2024/1203, sunt reformulate incriminările existente privind poluarea aerului, apei și solului, utilizarea ori introducerea pe piață a unor substanțe, amestecuri și produse periculoase, încălcarea regimului juridic aplicabil anumitor substanțe chimice și produse cu impact asupra mediului, precum și realizarea unor proiecte supuse evaluării </w:t>
            </w:r>
            <w:r w:rsidRPr="008F6761">
              <w:rPr>
                <w:rFonts w:ascii="Times New Roman" w:eastAsia="Arial Unicode MS" w:hAnsi="Times New Roman" w:cs="Arial Unicode MS"/>
                <w:color w:val="000000"/>
                <w:sz w:val="24"/>
                <w:szCs w:val="24"/>
              </w:rPr>
              <w:lastRenderedPageBreak/>
              <w:t>impactului asupra mediului fără actele de reglementare prevăzute de lege.</w:t>
            </w:r>
          </w:p>
          <w:p w14:paraId="243015D1"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Totodată, sunt introduse noi incriminări privind operarea ori închiderea unor instalații în care sunt utilizate sau depozitate substanțe periculoase, introducerea pe piață a unor produse a căror utilizare pe scară largă produce ori este susceptibilă să producă daune semnificative mediului, precum și încălcarea regimului juridic aplicabil substanțelor care diminuează stratul de ozon.</w:t>
            </w:r>
          </w:p>
          <w:p w14:paraId="63C1A6ED"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Proiectul legislativ urmărește, de asemenea, adaptarea structurii incriminărilor la cerințele Directivei (UE) 2024/1203 prin diferențierea între infracțiunile de pericol și infracțiunile de rezultat, reglementarea distinctă a ipotezelor în care faptele produc efectiv daune semnificative mediului ori decesul unei persoane, precum și instituirea unor forme agravate în cazul producerii unor daune semnificative și pe scară largă, ireversibile sau de lungă durată. Totodată, sunt introduse dispoziții privind sancționarea tentativei și, după caz, a faptelor săvârșite din culpă, răspunderea penală a persoanelor juridice, precum și circumstanțele agravante aplicabile infracțiunilor de mediu.</w:t>
            </w:r>
          </w:p>
          <w:p w14:paraId="172DAE30"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De asemenea, sunt introduse dispoziții generale privind caracterul ilicit al faptelor în ipoteza existenței unor autorizații, avize sau aprobări obținute prin fraudă ori emise cu încălcarea vădită a cerințelor legale de fond.</w:t>
            </w:r>
          </w:p>
          <w:p w14:paraId="4E8023FB"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Totodată, proiectul introduce norme privind aplicarea extraterritorială a legii penale române pentru anumite infracțiuni de mediu, inclusiv prin derogare de la condiția dublei incriminări. Aceste dispoziții au în vedere caracterul transnațional al unei părți semnificative a criminalității de mediu, precum și faptul că anumite activități ilicite implică operațiuni desfășurate în mai multe state ori produc efecte asupra mediului dincolo de frontierele statului în care au fost săvârșite. Reglementarea urmărește asigurarea unei protecții penale efective și evitarea situațiilor în care diferențele dintre regimurile juridice naționale ori inexistența unor incriminări similare în alte state ar putea împiedica tragerea la răspundere penală pentru fapte grave care aduc atingere mediului.</w:t>
            </w:r>
          </w:p>
          <w:p w14:paraId="24F12508"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Soluția legislativă este în concordanță cu obligațiile care revin statelor membre potrivit Directivei (UE) 2024/1203 în materia stabilirii competenței și cooperării judiciare în domeniul infracțiunilor de mediu și răspunde necesității combaterii eficiente a fenomenelor infracționale care implică transportul transfrontalier de deșeuri, introducerea pe piață a unor substanțe ori produse periculoase, poluări cu efecte transfrontaliere sau activități desfășurate prin intermediul unor structuri ori operatori localizați în jurisdicții diferite. Totodată, reglementarea contribuie la prevenirea utilizării diferențelor dintre legislațiile naționale, prin exploatarea acestora în scopul eludării răspunderii penale, și la consolidarea capacității autorităților judiciare române de a investiga și sancționa fapte care, prin natura și consecințele lor, afectează interese esențiale privind protecția mediului.</w:t>
            </w:r>
          </w:p>
          <w:p w14:paraId="52267D5F"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lastRenderedPageBreak/>
              <w:t>Totodată, sunt instituite criterii privind evaluarea caracterului semnificativ, de lungă durată, ireversibil ori pe scară largă al daunelor aduse mediului, a caracterului susceptibil al unei fapte de a produce asemenea daune, precum și a caracterului neglijabil al unei cantități, aplicabile incriminărilor reglementate în vederea transpunerii Directivei (UE) 2024/1203. În vederea asigurării coerenței reglementării, aceste criterii au fost integrate la nivelul legislației-cadru, respectiv în Ordonanța de urgență a Guvernului nr. 195/2005 privind protecția mediului, ca norme cu aplicabilitate generală pentru incriminările reglementate în vederea transpunerii directivei. În mod corespunzător, celelalte acte normative modificate prin prezentul proiect instituie norme de trimitere la aceste dispoziții, fără reluarea conținutului acestora, în scopul asigurării unei aplicări unitare și coerente a dispozițiilor privind infracțiunile de mediu. Aceste criterii au fost elaborate prin valorificarea noțiunilor și conceptelor consacrate în dreptul Uniunii Europene, în special în cadrul Directivei (UE) 2024/1203, al Directivei 2004/35/CE privind răspunderea pentru mediul înconjurător și al orientărilor Comisiei Europene privind înțelegerea noțiunii de daună adusă mediului.</w:t>
            </w:r>
          </w:p>
          <w:p w14:paraId="29A47AB5" w14:textId="77777777" w:rsidR="008F6761" w:rsidRPr="008F6761"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În ceea ce privește regimul sancționator, proiectul are în vedere faptul că Directiva (UE) 2024/1203 stabilește standarde minime de protecție penală a mediului, statele membre având posibilitatea de a adopta sau menține măsuri mai stricte. În acest context, proiectul prevede și revizuirea limitelor de pedeapsă aplicabile unor infracțiuni deja reglementate de Ordonanța de urgență a Guvernului nr. 195/2005, care nu constituie în mod direct măsuri de transpunere a directivei. Această soluție legislativă este justificată de necesitatea asigurării coerenței interne a reglementării și a respectării principiului proporționalității sancțiunilor, având în vedere că respectivele infracțiuni implică, în numeroase cazuri, activități ori substanțe periculoase, instalații cu risc major sau conduite susceptibile să producă efecte grave asupra ecosistemelor, biodiversității și sănătății umane. Menținerea unor limite de pedeapsă semnificativ diferite pentru fapte comparabile sub aspectul gravității și al potențialului de afectare a mediului ar conduce la tratamente juridice neunitare și ar afecta eficiența protecției penale a mediului.</w:t>
            </w:r>
          </w:p>
          <w:p w14:paraId="0ED6258B" w14:textId="26043963" w:rsidR="00D35519" w:rsidRPr="003B004F" w:rsidRDefault="008F6761" w:rsidP="008F6761">
            <w:pPr>
              <w:spacing w:after="0" w:line="240" w:lineRule="auto"/>
              <w:jc w:val="both"/>
              <w:rPr>
                <w:rFonts w:ascii="Times New Roman" w:eastAsia="Arial Unicode MS" w:hAnsi="Times New Roman" w:cs="Arial Unicode MS"/>
                <w:color w:val="000000"/>
                <w:sz w:val="24"/>
                <w:szCs w:val="24"/>
              </w:rPr>
            </w:pPr>
            <w:r w:rsidRPr="008F6761">
              <w:rPr>
                <w:rFonts w:ascii="Times New Roman" w:eastAsia="Arial Unicode MS" w:hAnsi="Times New Roman" w:cs="Arial Unicode MS"/>
                <w:color w:val="000000"/>
                <w:sz w:val="24"/>
                <w:szCs w:val="24"/>
              </w:rPr>
              <w:t>Prin aceste modificări se asigură transpunerea art. 3 alin. (2) lit. a)-e) și lit. s), alin. (3) și alin. (6)-(8), precum și a art. 8 și art. 11 din Directiva (UE) 2024/1203.</w:t>
            </w:r>
          </w:p>
          <w:p w14:paraId="6864EDB7" w14:textId="09655A4F" w:rsidR="004E663A" w:rsidRPr="00456886" w:rsidRDefault="003B004F" w:rsidP="004E663A">
            <w:pPr>
              <w:spacing w:after="0" w:line="240" w:lineRule="auto"/>
              <w:jc w:val="both"/>
              <w:rPr>
                <w:rFonts w:ascii="Times New Roman" w:eastAsia="Arial Unicode MS" w:hAnsi="Times New Roman" w:cs="Arial Unicode MS"/>
                <w:color w:val="000000"/>
                <w:sz w:val="24"/>
                <w:szCs w:val="24"/>
              </w:rPr>
            </w:pPr>
            <w:r w:rsidRPr="00456886">
              <w:rPr>
                <w:rFonts w:ascii="Times New Roman" w:eastAsia="Arial Unicode MS" w:hAnsi="Times New Roman" w:cs="Arial Unicode MS"/>
                <w:color w:val="000000"/>
                <w:sz w:val="24"/>
                <w:szCs w:val="24"/>
              </w:rPr>
              <w:t>2. Modificarea și completarea Ordonanței de urgență a Guvernului nr. 92/2021 privind regimul deșeurilor</w:t>
            </w:r>
          </w:p>
          <w:p w14:paraId="030069F7"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Se modifică și completează Ordonanța de urgență a Guvernului nr. 92/2021 privind regimul deșeurilor, în vederea asigurării transpunerii Directivei (UE) 2024/1203, prin completarea incriminărilor existente și introducerea unor dispoziții conexe privind protecția mediului prin intermediul dreptului penal.</w:t>
            </w:r>
          </w:p>
          <w:p w14:paraId="41EDCC19"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lastRenderedPageBreak/>
              <w:t>Sunt completate dispozițiile privind gestionarea ilegală a deșeurilor, inclusiv a deșeurilor periculoase, prin reglementarea unor variante care au în vedere caracterul susceptibil al faptelor de a provoca moartea, vătămarea corporală gravă a unei persoane ori daune semnificative calității aerului, solului sau apei ori unui ecosistem, animalelor sau plantelor, precum și ipotezele în care asemenea daune se produc efectiv.</w:t>
            </w:r>
          </w:p>
          <w:p w14:paraId="5ABBAABB"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Totodată, sunt completate dispozițiile privind transferul ilegal de deșeuri, inclusiv prin actualizarea trimiterilor la legislația europeană aplicabilă în materia transferurilor de deșeuri, și sunt introduse dispoziții privind reciclarea ilegală a navelor în afara instalațiilor autorizate și înscrise în Lista europeană a instalațiilor de reciclare a navelor.</w:t>
            </w:r>
          </w:p>
          <w:p w14:paraId="6C91BBFF"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De asemenea, sunt reglementate variante agravate în cazul producerii unor daune semnificative și pe scară largă, ireversibile sau de lungă durată asupra mediului ori habitatelor din cadrul ariilor naturale protejate, precum și în ipoteza producerii decesului unei persoane.</w:t>
            </w:r>
          </w:p>
          <w:p w14:paraId="2DE60D57"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Totodată, sunt introduse dispoziții privind sancționarea formelor săvârșite din culpă și a tentativei, precum și circumstanțe agravante aplicabile faptelor săvârșite în ariile naturale protejate.</w:t>
            </w:r>
          </w:p>
          <w:p w14:paraId="6D9A8510"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În vederea asigurării unei aplicări unitare a dispozițiilor privind protecția penală a mediului, sunt introduse norme de trimitere la dispozițiile generale prevăzute de Ordonanța de urgență a Guvernului nr. 195/2005 privind protecția mediului referitoare la caracterul ilicit al faptei, precum și la criteriile privind evaluarea caracterului susceptibil al faptei de a produce daune mediului, a caracterului semnificativ, de lungă durată, ireversibil ori pe scară largă al daunelor și a caracterului neglijabil al unei cantități.</w:t>
            </w:r>
          </w:p>
          <w:p w14:paraId="5BEFBB6F" w14:textId="77777777"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De asemenea, sunt introduse dispoziții privind aplicarea legii penale române în cazul infracțiunilor săvârșite în afara teritoriului țării, inclusiv prin derogare de la condiția dublei incriminări. Aceste dispoziții au în vedere caracterul frecvent transfrontalier al activităților ilicite din domeniul gestionării și transferului de deșeuri, precum și necesitatea prevenirii situațiilor în care diferențele dintre legislațiile naționale ar putea fi utilizate pentru eludarea răspunderii penale. Reglementarea urmărește consolidarea capacității autorităților române de a investiga și sancționa fapte care implică operațiuni desfășurate în mai multe state ori care produc efecte asupra mediului dincolo de frontierele statului în care au fost săvârșite.</w:t>
            </w:r>
          </w:p>
          <w:p w14:paraId="42F49FED" w14:textId="16F67EA6" w:rsidR="004E663A" w:rsidRPr="004E663A" w:rsidRDefault="004E663A" w:rsidP="004E663A">
            <w:pPr>
              <w:spacing w:after="0" w:line="240" w:lineRule="auto"/>
              <w:jc w:val="both"/>
              <w:rPr>
                <w:rFonts w:ascii="Times New Roman" w:eastAsia="Arial Unicode MS" w:hAnsi="Times New Roman" w:cs="Arial Unicode MS"/>
                <w:color w:val="000000"/>
                <w:sz w:val="24"/>
                <w:szCs w:val="24"/>
              </w:rPr>
            </w:pPr>
            <w:r w:rsidRPr="004E663A">
              <w:rPr>
                <w:rFonts w:ascii="Times New Roman" w:eastAsia="Arial Unicode MS" w:hAnsi="Times New Roman" w:cs="Arial Unicode MS"/>
                <w:color w:val="000000"/>
                <w:sz w:val="24"/>
                <w:szCs w:val="24"/>
              </w:rPr>
              <w:t>Prin aceste modificări se asigură transpunerea art. 3 alin. (2) lit. f), g) și h) din Directiva (UE) 2024/1203.</w:t>
            </w:r>
          </w:p>
          <w:p w14:paraId="3B36CDD4" w14:textId="6CB7FDE3" w:rsidR="009C01EB" w:rsidRDefault="004E663A"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 xml:space="preserve">3. </w:t>
            </w:r>
            <w:r w:rsidR="009C01EB" w:rsidRPr="009C01EB">
              <w:rPr>
                <w:rFonts w:ascii="Times New Roman" w:eastAsia="Arial Unicode MS" w:hAnsi="Times New Roman" w:cs="Arial Unicode MS"/>
                <w:color w:val="000000"/>
                <w:sz w:val="24"/>
                <w:szCs w:val="24"/>
              </w:rPr>
              <w:t>Modificarea și completarea Legii nr. 17/1990 privind regimul juridic al apelor maritime interioare, al mării teritoriale, al zonei contigue și al zonei economice exclusive ale României</w:t>
            </w:r>
          </w:p>
          <w:p w14:paraId="5EA68614"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 xml:space="preserve">Se modifică și completează Legea nr. 17/1990 privind regimul juridic al apelor maritime interioare, al mării </w:t>
            </w:r>
            <w:r w:rsidRPr="00A7415A">
              <w:rPr>
                <w:rFonts w:ascii="Times New Roman" w:eastAsia="Arial Unicode MS" w:hAnsi="Times New Roman" w:cs="Arial Unicode MS"/>
                <w:color w:val="000000"/>
                <w:sz w:val="24"/>
                <w:szCs w:val="24"/>
              </w:rPr>
              <w:lastRenderedPageBreak/>
              <w:t>teritoriale, al zonei contigue și al zonei economice exclusive ale României, în vederea asigurării transpunerii Directivei (UE) 2024/1203, prin reformularea incriminării privind deversarea de substanțe poluante de pe nave și completarea cadrului normativ cu dispoziții conexe privind protecția mediului marin prin intermediul dreptului penal.</w:t>
            </w:r>
          </w:p>
          <w:p w14:paraId="35729C63"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în acord cu prevederile directivei, faptele de deversare de substanțe poluante de pe nave în apele maritime interioare, marea teritorială, zona economică exclusivă și marea liberă, prin încălcarea dispozițiilor legale aplicabile, inclusiv a normelor prevăzute de Convenția MARPOL 73/78.</w:t>
            </w:r>
          </w:p>
          <w:p w14:paraId="08E643C1"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sunt introduse dispoziții privind sancționarea faptelor săvârșite din culpă și a tentativei, precum și circumstanțe agravante aplicabile faptelor săvârșite în ariile naturale protejate marine.</w:t>
            </w:r>
          </w:p>
          <w:p w14:paraId="04C20906"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lang w:val="it-IT"/>
              </w:rPr>
            </w:pPr>
            <w:r w:rsidRPr="00A7415A">
              <w:rPr>
                <w:rFonts w:ascii="Times New Roman" w:eastAsia="Arial Unicode MS" w:hAnsi="Times New Roman" w:cs="Arial Unicode MS"/>
                <w:color w:val="000000"/>
                <w:sz w:val="24"/>
                <w:szCs w:val="24"/>
                <w:lang w:val="it-IT"/>
              </w:rPr>
              <w:t>De asemenea, sunt reglementate variante agravate în cazul producerii unor distrugeri ori daune semnificative și pe scară largă, ireversibile sau de lungă durată mediului marin ori unor ecosisteme marine de dimensiuni considerabile sau cu valoare ecologică semnificativă.</w:t>
            </w:r>
          </w:p>
          <w:p w14:paraId="4598F561" w14:textId="472FC780"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9C01EB">
              <w:rPr>
                <w:rFonts w:ascii="Times New Roman" w:eastAsia="Arial Unicode MS" w:hAnsi="Times New Roman" w:cs="Arial Unicode MS"/>
                <w:color w:val="000000"/>
                <w:sz w:val="24"/>
                <w:szCs w:val="24"/>
              </w:rPr>
              <w:t>Prin aceste modificări se asigură transpunerea art. 3 alin. (2) lit. i) din Directiva (UE) 2024/1203.</w:t>
            </w:r>
          </w:p>
          <w:p w14:paraId="6B5007EB" w14:textId="12755671" w:rsidR="003B004F" w:rsidRPr="003B004F" w:rsidRDefault="003D45B6"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4</w:t>
            </w:r>
            <w:r w:rsidR="003B004F" w:rsidRPr="003B004F">
              <w:rPr>
                <w:rFonts w:ascii="Times New Roman" w:eastAsia="Arial Unicode MS" w:hAnsi="Times New Roman" w:cs="Arial Unicode MS"/>
                <w:color w:val="000000"/>
                <w:sz w:val="24"/>
                <w:szCs w:val="24"/>
              </w:rPr>
              <w:t>. Modificarea și completarea Legii nr. 165/2016 privind siguranța operațiunilor petroliere offshore</w:t>
            </w:r>
          </w:p>
          <w:p w14:paraId="19C59A81"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Se modifică și completează Legea nr. 165/2016 privind siguranța operațiunilor petroliere offshore, în vederea asigurării transpunerii Directivei (UE) 2024/1203, prin introducerea unei incriminări și a unor dispoziții conexe privind construirea, operarea sau dezmembrarea instalațiilor petroliere offshore, cu încălcarea dispozițiilor legale aplicabile, inclusiv a obligațiilor privind siguranța operațională și prevenirea accidentelor majore.</w:t>
            </w:r>
          </w:p>
          <w:p w14:paraId="4CC50C2C"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în acord cu prevederile directivei, situațiile în care fapta este susceptibilă să provoace moartea sau vătămarea corporală gravă a unei persoane ori daune semnificative calității aerului, solului sau apei ori unui ecosistem, animalelor sau plantelor, precum și cele în care asemenea daune se produc efectiv.</w:t>
            </w:r>
          </w:p>
          <w:p w14:paraId="3E70CE80"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sunt introduse variante agravate în cazul producerii decesului unei persoane, precum și în ipoteza producerii unor distrugeri ori daune semnificative și pe scară largă, ireversibile sau de lungă durată mediului marin ori unui ecosistem marin de dimensiuni considerabile sau cu valoare ecologică semnificativă.</w:t>
            </w:r>
          </w:p>
          <w:p w14:paraId="08AEC82A"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De asemenea, sunt introduse dispoziții privind sancționarea faptelor săvârșite din culpă și a tentativei, precum și dispoziții privind aplicarea corespunzătoare a normelor generale referitoare la caracterul ilicit al faptei.</w:t>
            </w:r>
          </w:p>
          <w:p w14:paraId="5350F655" w14:textId="35C86EF1" w:rsidR="003B004F" w:rsidRPr="003B004F" w:rsidRDefault="009C01EB" w:rsidP="003B004F">
            <w:pPr>
              <w:spacing w:after="0" w:line="240" w:lineRule="auto"/>
              <w:jc w:val="both"/>
              <w:rPr>
                <w:rFonts w:ascii="Times New Roman" w:eastAsia="Arial Unicode MS" w:hAnsi="Times New Roman" w:cs="Arial Unicode MS"/>
                <w:color w:val="000000"/>
                <w:sz w:val="24"/>
                <w:szCs w:val="24"/>
              </w:rPr>
            </w:pPr>
            <w:r w:rsidRPr="009C01EB">
              <w:rPr>
                <w:rFonts w:ascii="Times New Roman" w:eastAsia="Arial Unicode MS" w:hAnsi="Times New Roman" w:cs="Arial Unicode MS"/>
                <w:color w:val="000000"/>
                <w:sz w:val="24"/>
                <w:szCs w:val="24"/>
              </w:rPr>
              <w:t>Prin aceste modificări se asigură transpunerea art. 3 alin. (2) lit. k) din Directiva (UE) 2024/1203.</w:t>
            </w:r>
          </w:p>
          <w:p w14:paraId="6406EF52" w14:textId="23C32A64" w:rsidR="003B004F" w:rsidRPr="003B004F" w:rsidRDefault="003D45B6"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5</w:t>
            </w:r>
            <w:r w:rsidR="003B004F" w:rsidRPr="003B004F">
              <w:rPr>
                <w:rFonts w:ascii="Times New Roman" w:eastAsia="Arial Unicode MS" w:hAnsi="Times New Roman" w:cs="Arial Unicode MS"/>
                <w:color w:val="000000"/>
                <w:sz w:val="24"/>
                <w:szCs w:val="24"/>
              </w:rPr>
              <w:t>. Modificarea și completarea Legii nr. 111/1996 privind desfășurarea în siguranță a activităților nucleare</w:t>
            </w:r>
          </w:p>
          <w:p w14:paraId="391AF2C3"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lastRenderedPageBreak/>
              <w:t>Se modifică și completează Legea nr. 111/1996 privind desfășurarea în siguranță, reglementarea, autorizarea și controlul activităților nucleare, în vederea asigurării transpunerii Directivei (UE) 2024/1203, prin introducerea unei incriminări și a unor dispoziții conexe privind fabricarea, producerea, prelucrarea, manipularea, utilizarea, deținerea, depozitarea, transportul, importul, exportul sau eliminarea materialelor ori substanțelor radioactive, cu încălcarea dispozițiilor legale aplicabile.</w:t>
            </w:r>
          </w:p>
          <w:p w14:paraId="59DFE573"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în acord cu prevederile directivei, situațiile în care fapta este susceptibilă să provoace moartea sau vătămarea corporală gravă a unei persoane ori daune semnificative mediului, precum și cele în care asemenea daune se produc efectiv.</w:t>
            </w:r>
          </w:p>
          <w:p w14:paraId="7D7258F8"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sunt introduse variante agravate în cazul producerii decesului unei persoane ori al producerii unor distrugeri sau daune semnificative și pe scară largă, ireversibile sau de lungă durată mediului ori unui ecosistem.</w:t>
            </w:r>
          </w:p>
          <w:p w14:paraId="26CC2D63" w14:textId="77777777" w:rsidR="009C01EB" w:rsidRPr="00A7415A" w:rsidRDefault="009C01EB" w:rsidP="009C01EB">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De asemenea, sunt introduse dispoziții privind sancționarea faptelor săvârșite din culpă și a tentativei, circumstanțe agravante aplicabile faptelor săvârșite în ariile naturale protejate, precum și dispoziții privind aplicarea corespunzătoare a normelor generale și criteriilor prevăzute de Ordonanța de urgență a Guvernului nr. 195/2005 privind protecția mediului și aplicarea legii penale române în cazul infracțiunilor săvârșite în afara teritoriului țării.</w:t>
            </w:r>
          </w:p>
          <w:p w14:paraId="4064B35F" w14:textId="1F29632E" w:rsidR="003B004F" w:rsidRPr="00A7415A" w:rsidRDefault="009C01EB" w:rsidP="003B004F">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Prin aceste modificări se asigură transpunerea art. 3 alin. (2) lit. l) din Directiva (UE) 2024/1203.</w:t>
            </w:r>
          </w:p>
          <w:p w14:paraId="72421D46" w14:textId="10C2B9E4" w:rsidR="003B004F" w:rsidRPr="003B004F" w:rsidRDefault="003D45B6"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6</w:t>
            </w:r>
            <w:r w:rsidR="003B004F" w:rsidRPr="003B004F">
              <w:rPr>
                <w:rFonts w:ascii="Times New Roman" w:eastAsia="Arial Unicode MS" w:hAnsi="Times New Roman" w:cs="Arial Unicode MS"/>
                <w:color w:val="000000"/>
                <w:sz w:val="24"/>
                <w:szCs w:val="24"/>
              </w:rPr>
              <w:t>. Modificarea și completarea Legii nr. 107/1996 privind regimul apelor</w:t>
            </w:r>
          </w:p>
          <w:p w14:paraId="6242BC3D" w14:textId="77777777" w:rsidR="00182970" w:rsidRPr="00A7415A" w:rsidRDefault="00182970" w:rsidP="00182970">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Se modifică și completează Legea apelor nr. 107/1996, în vederea asigurării transpunerii Directivei (UE) 2024/1203, prin introducerea unei incriminări și a unor dispoziții conexe privind captarea apelor de suprafață sau subterane, cu încălcarea dispozițiilor legale aplicabile.</w:t>
            </w:r>
          </w:p>
          <w:p w14:paraId="353C517E" w14:textId="77777777" w:rsidR="00182970" w:rsidRPr="00A7415A" w:rsidRDefault="00182970" w:rsidP="00182970">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Sunt reglementate, în acord cu prevederile directivei, situațiile în care fapta este susceptibilă să provoace daune semnificative stării ecologice sau potențialului ecologic al corpurilor de apă de suprafață ori stării cantitative a corpurilor de apă subterane, precum și cele în care asemenea daune se produc efectiv.</w:t>
            </w:r>
          </w:p>
          <w:p w14:paraId="660F26BD" w14:textId="77777777" w:rsidR="00182970" w:rsidRPr="00A7415A" w:rsidRDefault="00182970" w:rsidP="00182970">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Totodată, sunt introduse variante agravate în cazul producerii unor daune semnificative și pe scară largă, ireversibile sau de lungă durată calității apelor ori unui ecosistem acvatic de dimensiuni considerabile sau cu valoare ecologică semnificativă.</w:t>
            </w:r>
          </w:p>
          <w:p w14:paraId="6E4E03F0" w14:textId="77777777" w:rsidR="00182970" w:rsidRPr="00A7415A" w:rsidRDefault="00182970" w:rsidP="00182970">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 xml:space="preserve">De asemenea, sunt introduse dispoziții privind sancționarea faptelor săvârșite din culpă și a tentativei, circumstanțe agravante aplicabile faptelor săvârșite în ariile naturale protejate, precum și dispoziții privind aplicarea corespunzătoare a normelor generale și criteriilor prevăzute de Ordonanța de urgență a Guvernului nr. 195/2005 privind </w:t>
            </w:r>
            <w:r w:rsidRPr="00A7415A">
              <w:rPr>
                <w:rFonts w:ascii="Times New Roman" w:eastAsia="Arial Unicode MS" w:hAnsi="Times New Roman" w:cs="Arial Unicode MS"/>
                <w:color w:val="000000"/>
                <w:sz w:val="24"/>
                <w:szCs w:val="24"/>
                <w:lang w:val="pt-BR"/>
              </w:rPr>
              <w:lastRenderedPageBreak/>
              <w:t>protecția mediului și aplicarea legii penale române în cazul infracțiunilor săvârșite în afara teritoriului țării.</w:t>
            </w:r>
          </w:p>
          <w:p w14:paraId="41FA01E1" w14:textId="77777777" w:rsidR="00182970" w:rsidRPr="00A7415A" w:rsidRDefault="00182970" w:rsidP="00182970">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Totodată, este introdusă definiția noțiunii de „captare a apelor”, în vederea asigurării clarității și previzibilității normei de incriminare.</w:t>
            </w:r>
          </w:p>
          <w:p w14:paraId="12BB6D74" w14:textId="067D51D4" w:rsidR="003B004F" w:rsidRPr="00A7415A" w:rsidRDefault="00182970" w:rsidP="003B004F">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Prin aceste modificări se asigură transpunerea art. 3 alin. (2) lit. m) din Directiva (UE) 2024/1203.</w:t>
            </w:r>
          </w:p>
          <w:p w14:paraId="3B62C924" w14:textId="626EAA4D" w:rsidR="003B004F" w:rsidRDefault="003D45B6" w:rsidP="003B004F">
            <w:pPr>
              <w:spacing w:after="0" w:line="240" w:lineRule="auto"/>
              <w:jc w:val="both"/>
              <w:rPr>
                <w:rFonts w:ascii="Times New Roman" w:eastAsia="Arial Unicode MS" w:hAnsi="Times New Roman" w:cs="Arial Unicode MS"/>
                <w:color w:val="000000"/>
                <w:sz w:val="24"/>
                <w:szCs w:val="24"/>
              </w:rPr>
            </w:pPr>
            <w:r w:rsidRPr="00456886">
              <w:rPr>
                <w:rFonts w:ascii="Times New Roman" w:eastAsia="Arial Unicode MS" w:hAnsi="Times New Roman" w:cs="Arial Unicode MS"/>
                <w:color w:val="000000"/>
                <w:sz w:val="24"/>
                <w:szCs w:val="24"/>
              </w:rPr>
              <w:t>7</w:t>
            </w:r>
            <w:r w:rsidR="003B004F" w:rsidRPr="00456886">
              <w:rPr>
                <w:rFonts w:ascii="Times New Roman" w:eastAsia="Arial Unicode MS" w:hAnsi="Times New Roman" w:cs="Arial Unicode MS"/>
                <w:color w:val="000000"/>
                <w:sz w:val="24"/>
                <w:szCs w:val="24"/>
              </w:rPr>
              <w:t>. Modificarea și completarea Ordonanței de urgență a Guvernului nr. 57/2007 privind regimul ariilor naturale protejate, conservarea habitatelor naturale, a florei și faunei sălbatice</w:t>
            </w:r>
          </w:p>
          <w:p w14:paraId="24D4D025" w14:textId="77777777" w:rsidR="00456886" w:rsidRPr="00A7415A" w:rsidRDefault="00456886" w:rsidP="00456886">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Se modifică și completează Ordonanța de urgență a Guvernului nr. 57/2007 privind regimul ariilor naturale protejate, conservarea habitatelor naturale, a florei și faunei sălbatice, prin reformularea unor incriminări existente și introducerea unor noi incriminări și dispoziții conexe privind protecția speciilor de faună și floră sălbatică, a habitatelor naturale și a siturilor Natura 2000.</w:t>
            </w:r>
          </w:p>
          <w:p w14:paraId="1341E313" w14:textId="77777777" w:rsidR="00456886" w:rsidRPr="00A7415A" w:rsidRDefault="00456886" w:rsidP="00456886">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în acord cu prevederile directivei, infracțiuni privind comerțul ilegal cu specii protejate, importul ilegal al unor specii protejate, deteriorarea semnificativă a habitatelor din cadrul siturilor Natura 2000, perturbarea semnificativă a speciilor protejate, precum și introducerea și răspândirea speciilor alogene invazive.</w:t>
            </w:r>
          </w:p>
          <w:p w14:paraId="61B11C41" w14:textId="3A62929C" w:rsidR="00456886" w:rsidRPr="00A7415A" w:rsidRDefault="00456886" w:rsidP="00456886">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sunt reglementate formele săvârșite din culpă, tentativa, variantele agravate, inclusiv în cazul producerii unor distrugeri ori daune semnificative și pe scară largă, ireversibile sau de lungă durată, precum și în ipoteza producerii decesului unei persoane, circumstanțe agravante specifice.</w:t>
            </w:r>
          </w:p>
          <w:p w14:paraId="6295C6F9" w14:textId="77777777" w:rsidR="00456886" w:rsidRPr="00A7415A" w:rsidRDefault="00456886" w:rsidP="00456886">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De asemenea, sunt introduse dispoziții privind aplicarea corespunzătoare a normelor generale referitoare la caracterul ilicit al faptei și aplicarea legii penale române în cazul infracțiunilor săvârșite în afara teritoriului țării.</w:t>
            </w:r>
          </w:p>
          <w:p w14:paraId="26FF24BC" w14:textId="77777777" w:rsidR="00456886" w:rsidRPr="00A7415A" w:rsidRDefault="00456886" w:rsidP="00456886">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În ceea ce privește aprecierea caracterului neglijabil al cantității de specimene, proiectul instituie criterii specifice privind numărul specimenelor, statutul de protecție al speciilor, raritatea, vulnerabilitatea și impactul potențial asupra habitatelor și stării de conservare a speciilor.</w:t>
            </w:r>
          </w:p>
          <w:p w14:paraId="253117D1" w14:textId="77777777" w:rsidR="00456886" w:rsidRPr="00A7415A" w:rsidRDefault="00456886" w:rsidP="00456886">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Prin aceste modificări se asigură transpunerea art. 3 alin. (2) lit. n), o), q) și r) din Directiva (UE) 2024/1203.</w:t>
            </w:r>
          </w:p>
          <w:p w14:paraId="77AC51A4" w14:textId="77777777" w:rsidR="00456886" w:rsidRPr="003B004F" w:rsidRDefault="00456886" w:rsidP="003B004F">
            <w:pPr>
              <w:spacing w:after="0" w:line="240" w:lineRule="auto"/>
              <w:jc w:val="both"/>
              <w:rPr>
                <w:rFonts w:ascii="Times New Roman" w:eastAsia="Arial Unicode MS" w:hAnsi="Times New Roman" w:cs="Arial Unicode MS"/>
                <w:color w:val="000000"/>
                <w:sz w:val="24"/>
                <w:szCs w:val="24"/>
              </w:rPr>
            </w:pPr>
          </w:p>
          <w:p w14:paraId="79210C4C" w14:textId="647B6A18" w:rsidR="003B004F" w:rsidRPr="003B004F" w:rsidRDefault="003D45B6"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8</w:t>
            </w:r>
            <w:r w:rsidR="003B004F" w:rsidRPr="003B004F">
              <w:rPr>
                <w:rFonts w:ascii="Times New Roman" w:eastAsia="Arial Unicode MS" w:hAnsi="Times New Roman" w:cs="Arial Unicode MS"/>
                <w:color w:val="000000"/>
                <w:sz w:val="24"/>
                <w:szCs w:val="24"/>
              </w:rPr>
              <w:t>. Modificarea și completarea Legii nr. 331/2024 privind Codul silvic</w:t>
            </w:r>
          </w:p>
          <w:p w14:paraId="5E33D44D" w14:textId="77777777" w:rsidR="00616D5F" w:rsidRPr="00A7415A" w:rsidRDefault="00616D5F" w:rsidP="00616D5F">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Se completează Legea nr. 331/2024 privind Codul silvic, prin introducerea unei incriminări și a unor dispoziții conexe privind introducerea pe piață, punerea la dispoziție sau exportul produsului de bază relevant lemn, cu încălcarea dispozițiilor aplicabile din Regulamentul (UE) 2023/1115.</w:t>
            </w:r>
          </w:p>
          <w:p w14:paraId="05646DE3" w14:textId="61455C15" w:rsidR="00616D5F" w:rsidRPr="00A7415A" w:rsidRDefault="00616D5F" w:rsidP="00616D5F">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forma săvârșită din culpă, tentativa, varianta agravată.</w:t>
            </w:r>
          </w:p>
          <w:p w14:paraId="78D83DC1" w14:textId="77777777" w:rsidR="00616D5F" w:rsidRPr="00A7415A" w:rsidRDefault="00616D5F" w:rsidP="00616D5F">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 xml:space="preserve">De asemenea, sunt introduse dispoziții privind aplicarea corespunzătoare a dispozițiilor referitoare la caracterul ilicit </w:t>
            </w:r>
            <w:r w:rsidRPr="00A7415A">
              <w:rPr>
                <w:rFonts w:ascii="Times New Roman" w:eastAsia="Arial Unicode MS" w:hAnsi="Times New Roman" w:cs="Arial Unicode MS"/>
                <w:color w:val="000000"/>
                <w:sz w:val="24"/>
                <w:szCs w:val="24"/>
              </w:rPr>
              <w:lastRenderedPageBreak/>
              <w:t>al faptei și aplicarea legii penale române în cazul infracțiunilor săvârșite în afara teritoriului țării.</w:t>
            </w:r>
          </w:p>
          <w:p w14:paraId="1AC62055" w14:textId="77777777" w:rsidR="00616D5F" w:rsidRPr="00A7415A" w:rsidRDefault="00616D5F" w:rsidP="00616D5F">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În ceea ce privește aprecierea caracterului neglijabil al cantității, proiectul instituie norme de trimitere la criteriile deja prevăzute de Codul silvic.</w:t>
            </w:r>
          </w:p>
          <w:p w14:paraId="4883DF8F" w14:textId="73019536" w:rsidR="003B004F" w:rsidRPr="00A7415A" w:rsidRDefault="00616D5F" w:rsidP="003B004F">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Prin aceste modificări se asigură transpunerea art. 3 alin. (2) lit. p) din Directiva (UE) 2024/1203</w:t>
            </w:r>
            <w:r w:rsidR="003B004F" w:rsidRPr="003B004F">
              <w:rPr>
                <w:rFonts w:ascii="Times New Roman" w:eastAsia="Arial Unicode MS" w:hAnsi="Times New Roman" w:cs="Arial Unicode MS"/>
                <w:color w:val="000000"/>
                <w:sz w:val="24"/>
                <w:szCs w:val="24"/>
              </w:rPr>
              <w:t>.</w:t>
            </w:r>
          </w:p>
          <w:p w14:paraId="06245DAD" w14:textId="7C5A7F26" w:rsidR="003B004F" w:rsidRPr="003B004F" w:rsidRDefault="003D45B6" w:rsidP="003B004F">
            <w:pPr>
              <w:spacing w:after="0" w:line="240" w:lineRule="auto"/>
              <w:jc w:val="both"/>
              <w:rPr>
                <w:rFonts w:ascii="Times New Roman" w:eastAsia="Arial Unicode MS" w:hAnsi="Times New Roman" w:cs="Arial Unicode MS"/>
                <w:color w:val="000000"/>
                <w:sz w:val="24"/>
                <w:szCs w:val="24"/>
              </w:rPr>
            </w:pPr>
            <w:r>
              <w:rPr>
                <w:rFonts w:ascii="Times New Roman" w:eastAsia="Arial Unicode MS" w:hAnsi="Times New Roman" w:cs="Arial Unicode MS"/>
                <w:color w:val="000000"/>
                <w:sz w:val="24"/>
                <w:szCs w:val="24"/>
              </w:rPr>
              <w:t>9</w:t>
            </w:r>
            <w:r w:rsidR="003B004F" w:rsidRPr="003B004F">
              <w:rPr>
                <w:rFonts w:ascii="Times New Roman" w:eastAsia="Arial Unicode MS" w:hAnsi="Times New Roman" w:cs="Arial Unicode MS"/>
                <w:color w:val="000000"/>
                <w:sz w:val="24"/>
                <w:szCs w:val="24"/>
              </w:rPr>
              <w:t>. Modificarea și completarea Legii nr. 120/2024 privind stabilirea cadrului instituțional și a unor măsuri pentru punerea în aplicare a managementului gazelor fluorurate cu efect de seră</w:t>
            </w:r>
          </w:p>
          <w:p w14:paraId="7BDF93E9" w14:textId="77777777" w:rsidR="00470934" w:rsidRPr="00A7415A" w:rsidRDefault="00470934" w:rsidP="00470934">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Se modifică și completează Legea nr. 120/2024 privind stabilirea cadrului instituțional și a unor măsuri pentru punerea în aplicare a managementului gazelor fluorurate cu efect de seră, prin reformularea incriminării privind producerea, importul, exportul, introducerea pe piață, utilizarea sau eliberarea de gaze fluorurate cu efect de seră și prin introducerea unor dispoziții conexe, inclusiv prin actualizarea trimiterilor la Regulamentul (UE) 2024/573.</w:t>
            </w:r>
          </w:p>
          <w:p w14:paraId="4B3A4063" w14:textId="77777777" w:rsidR="00470934" w:rsidRPr="00A7415A" w:rsidRDefault="00470934" w:rsidP="00470934">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Sunt reglementate, în acord cu prevederile directivei, formele săvârșite din culpă, tentativa și variantele agravate în cazul producerii unor distrugeri ori daune semnificative și pe scară largă, ireversibile sau de lungă durată calității aerului ori unui ecosistem.</w:t>
            </w:r>
          </w:p>
          <w:p w14:paraId="14C501CA" w14:textId="77777777" w:rsidR="00470934" w:rsidRPr="00A7415A" w:rsidRDefault="00470934" w:rsidP="00470934">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De asemenea, sunt introduse dispoziții privind aplicarea corespunzătoare a dispozițiilor referitoare la caracterul ilicit al faptei și aplicarea legii penale române în cazul infracțiunilor săvârșite în afara teritoriului țării.</w:t>
            </w:r>
          </w:p>
          <w:p w14:paraId="64E26478" w14:textId="77777777" w:rsidR="00470934" w:rsidRPr="00A7415A" w:rsidRDefault="00470934" w:rsidP="00470934">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în vederea asigurării unei aplicări unitare a noțiunilor utilizate de directivă, evaluarea caracterului semnificativ, de lungă durată, ireversibil ori pe scară largă al daunelor se realizează prin raportare la criteriile prevăzute în Ordonanța de urgență a Guvernului nr. 195/2005 privind protecția mediului.</w:t>
            </w:r>
          </w:p>
          <w:p w14:paraId="17D76670" w14:textId="10C56788" w:rsidR="003B004F" w:rsidRPr="00A7415A" w:rsidRDefault="00470934" w:rsidP="00470934">
            <w:pPr>
              <w:spacing w:after="0" w:line="240" w:lineRule="auto"/>
              <w:jc w:val="both"/>
              <w:rPr>
                <w:rFonts w:ascii="Times New Roman" w:eastAsia="Arial Unicode MS" w:hAnsi="Times New Roman" w:cs="Arial Unicode MS"/>
                <w:color w:val="000000"/>
                <w:sz w:val="24"/>
                <w:szCs w:val="24"/>
                <w:lang w:val="pt-BR"/>
              </w:rPr>
            </w:pPr>
            <w:r w:rsidRPr="00A7415A">
              <w:rPr>
                <w:rFonts w:ascii="Times New Roman" w:eastAsia="Arial Unicode MS" w:hAnsi="Times New Roman" w:cs="Arial Unicode MS"/>
                <w:color w:val="000000"/>
                <w:sz w:val="24"/>
                <w:szCs w:val="24"/>
                <w:lang w:val="pt-BR"/>
              </w:rPr>
              <w:t>Prin aceste modificări se asigură transpunerea art. 3 alin. (2) lit. t) din Directiva (UE) 2024/1203.</w:t>
            </w:r>
          </w:p>
          <w:p w14:paraId="3D819D0C" w14:textId="216764F0" w:rsidR="003B004F" w:rsidRPr="003B004F" w:rsidRDefault="003B004F" w:rsidP="003B004F">
            <w:pPr>
              <w:spacing w:after="0" w:line="240" w:lineRule="auto"/>
              <w:jc w:val="both"/>
              <w:rPr>
                <w:rFonts w:ascii="Times New Roman" w:eastAsia="Arial Unicode MS" w:hAnsi="Times New Roman" w:cs="Arial Unicode MS"/>
                <w:color w:val="000000"/>
                <w:sz w:val="24"/>
                <w:szCs w:val="24"/>
              </w:rPr>
            </w:pPr>
            <w:r w:rsidRPr="003B004F">
              <w:rPr>
                <w:rFonts w:ascii="Times New Roman" w:eastAsia="Arial Unicode MS" w:hAnsi="Times New Roman" w:cs="Arial Unicode MS"/>
                <w:color w:val="000000"/>
                <w:sz w:val="24"/>
                <w:szCs w:val="24"/>
              </w:rPr>
              <w:t>1</w:t>
            </w:r>
            <w:r w:rsidR="00470934">
              <w:rPr>
                <w:rFonts w:ascii="Times New Roman" w:eastAsia="Arial Unicode MS" w:hAnsi="Times New Roman" w:cs="Arial Unicode MS"/>
                <w:color w:val="000000"/>
                <w:sz w:val="24"/>
                <w:szCs w:val="24"/>
              </w:rPr>
              <w:t>0</w:t>
            </w:r>
            <w:r w:rsidRPr="003B004F">
              <w:rPr>
                <w:rFonts w:ascii="Times New Roman" w:eastAsia="Arial Unicode MS" w:hAnsi="Times New Roman" w:cs="Arial Unicode MS"/>
                <w:color w:val="000000"/>
                <w:sz w:val="24"/>
                <w:szCs w:val="24"/>
              </w:rPr>
              <w:t>. Instituirea unor măsuri privind prevenirea infracțiunilor de mediu, cooperarea instituțională și colectarea datelor statistice</w:t>
            </w:r>
          </w:p>
          <w:p w14:paraId="56CC4E8B" w14:textId="77777777" w:rsidR="009E42C1" w:rsidRPr="00A7415A" w:rsidRDefault="009E42C1" w:rsidP="009E42C1">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Se introduc dispoziții privind prevenirea infracțiunilor împotriva mediului, inclusiv prin măsuri de informare, conștientizare și formare profesională specializată, consolidarea capacității instituționale și a resurselor necesare combaterii acestor infracțiuni, cooperarea între autoritățile și instituțiile competente la nivel național și internațional, elaborarea strategiei naționale în domeniu, precum și colectarea, raportarea și publicarea datelor statistice referitoare la infracțiunile de mediu.</w:t>
            </w:r>
          </w:p>
          <w:p w14:paraId="76EE0861" w14:textId="77777777" w:rsidR="009E42C1" w:rsidRPr="00A7415A" w:rsidRDefault="009E42C1" w:rsidP="009E42C1">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t>Totodată, sunt reglementate obligații privind evaluarea nevoilor de specializare și dezvoltarea competențelor profesionale ale personalului implicat în prevenirea, investigarea și judecarea infracțiunilor împotriva mediului.</w:t>
            </w:r>
          </w:p>
          <w:p w14:paraId="157CFD38" w14:textId="0910BDA5" w:rsidR="008F6A6F" w:rsidRPr="00A7415A" w:rsidRDefault="009E42C1" w:rsidP="009E42C1">
            <w:pPr>
              <w:spacing w:after="0" w:line="240" w:lineRule="auto"/>
              <w:jc w:val="both"/>
              <w:rPr>
                <w:rFonts w:ascii="Times New Roman" w:eastAsia="Arial Unicode MS" w:hAnsi="Times New Roman" w:cs="Arial Unicode MS"/>
                <w:color w:val="000000"/>
                <w:sz w:val="24"/>
                <w:szCs w:val="24"/>
              </w:rPr>
            </w:pPr>
            <w:r w:rsidRPr="00A7415A">
              <w:rPr>
                <w:rFonts w:ascii="Times New Roman" w:eastAsia="Arial Unicode MS" w:hAnsi="Times New Roman" w:cs="Arial Unicode MS"/>
                <w:color w:val="000000"/>
                <w:sz w:val="24"/>
                <w:szCs w:val="24"/>
              </w:rPr>
              <w:lastRenderedPageBreak/>
              <w:t>Prin aceste dispoziții se asigură transpunerea obligațiilor prevăzute de Directiva (UE) 2024/1203 în materia prevenirii infracțiunilor împotriva mediului, cooperării instituționale, formării profesionale și colectării datelor statistice.</w:t>
            </w:r>
          </w:p>
        </w:tc>
      </w:tr>
      <w:tr w:rsidR="00B80893" w:rsidRPr="00C83195" w14:paraId="035149F0" w14:textId="77777777" w:rsidTr="00C7045F">
        <w:trPr>
          <w:trHeight w:val="90"/>
        </w:trPr>
        <w:tc>
          <w:tcPr>
            <w:tcW w:w="757" w:type="dxa"/>
            <w:vAlign w:val="center"/>
          </w:tcPr>
          <w:p w14:paraId="7DF46C66" w14:textId="2DE1F168" w:rsidR="007A3DC6" w:rsidRPr="00C83195" w:rsidRDefault="007A3DC6" w:rsidP="00792971">
            <w:pPr>
              <w:spacing w:after="0" w:line="240" w:lineRule="auto"/>
              <w:jc w:val="both"/>
              <w:rPr>
                <w:rFonts w:ascii="Times New Roman" w:hAnsi="Times New Roman"/>
                <w:bCs/>
                <w:sz w:val="24"/>
                <w:szCs w:val="24"/>
              </w:rPr>
            </w:pPr>
            <w:r w:rsidRPr="00C83195">
              <w:rPr>
                <w:rFonts w:ascii="Times New Roman" w:hAnsi="Times New Roman"/>
                <w:bCs/>
                <w:sz w:val="24"/>
                <w:szCs w:val="24"/>
              </w:rPr>
              <w:lastRenderedPageBreak/>
              <w:t>2.4.</w:t>
            </w:r>
          </w:p>
        </w:tc>
        <w:tc>
          <w:tcPr>
            <w:tcW w:w="2748" w:type="dxa"/>
            <w:vAlign w:val="center"/>
          </w:tcPr>
          <w:p w14:paraId="24EF78AC" w14:textId="77777777" w:rsidR="007A3DC6" w:rsidRPr="00C83195" w:rsidRDefault="007A3DC6" w:rsidP="00792971">
            <w:pPr>
              <w:spacing w:after="0" w:line="240" w:lineRule="auto"/>
              <w:jc w:val="both"/>
              <w:rPr>
                <w:rFonts w:ascii="Times New Roman" w:hAnsi="Times New Roman"/>
                <w:bCs/>
                <w:sz w:val="24"/>
                <w:szCs w:val="24"/>
              </w:rPr>
            </w:pPr>
            <w:r w:rsidRPr="00C83195">
              <w:rPr>
                <w:rFonts w:ascii="Times New Roman" w:eastAsia="Times New Roman" w:hAnsi="Times New Roman"/>
                <w:bCs/>
                <w:sz w:val="24"/>
                <w:szCs w:val="24"/>
              </w:rPr>
              <w:t>Alte informaţii</w:t>
            </w:r>
          </w:p>
        </w:tc>
        <w:tc>
          <w:tcPr>
            <w:tcW w:w="6030" w:type="dxa"/>
            <w:gridSpan w:val="9"/>
            <w:vAlign w:val="center"/>
          </w:tcPr>
          <w:p w14:paraId="11F51C74" w14:textId="4F57E9D2" w:rsidR="00024997" w:rsidRPr="009C4ADE" w:rsidRDefault="003B004F" w:rsidP="003B004F">
            <w:pPr>
              <w:spacing w:after="0" w:line="240" w:lineRule="auto"/>
              <w:jc w:val="both"/>
              <w:rPr>
                <w:rFonts w:ascii="Times New Roman" w:eastAsia="Times New Roman" w:hAnsi="Times New Roman"/>
                <w:sz w:val="24"/>
                <w:szCs w:val="24"/>
                <w:lang w:eastAsia="ro-RO"/>
              </w:rPr>
            </w:pPr>
            <w:r w:rsidRPr="003B004F">
              <w:rPr>
                <w:rFonts w:ascii="Times New Roman" w:eastAsia="Times New Roman" w:hAnsi="Times New Roman"/>
                <w:sz w:val="24"/>
                <w:szCs w:val="24"/>
                <w:lang w:eastAsia="ro-RO"/>
              </w:rPr>
              <w:t>Transpunerea Directivei (UE) 2024/1203 este completată prin proiectul de lege inițiat de Ministerul Justiției pentru modificarea și completarea Legii nr. 286/2009 privind Codul penal, Legii nr. 135/2010 privind Codul de procedură penală, precum și pentru modificarea și completarea altor acte normative</w:t>
            </w:r>
            <w:r w:rsidR="00011D2B">
              <w:rPr>
                <w:rFonts w:ascii="Times New Roman" w:eastAsia="Times New Roman" w:hAnsi="Times New Roman"/>
                <w:sz w:val="24"/>
                <w:szCs w:val="24"/>
                <w:lang w:eastAsia="ro-RO"/>
              </w:rPr>
              <w:t>.</w:t>
            </w:r>
          </w:p>
        </w:tc>
      </w:tr>
      <w:tr w:rsidR="00B80893" w:rsidRPr="00C83195" w14:paraId="75F1BB53" w14:textId="77777777" w:rsidTr="00F03776">
        <w:trPr>
          <w:trHeight w:val="1119"/>
        </w:trPr>
        <w:tc>
          <w:tcPr>
            <w:tcW w:w="9535" w:type="dxa"/>
            <w:gridSpan w:val="11"/>
            <w:vAlign w:val="center"/>
          </w:tcPr>
          <w:p w14:paraId="3D014CF2" w14:textId="2C835431" w:rsidR="00D028CA" w:rsidRPr="00C83195" w:rsidRDefault="007A3DC6" w:rsidP="006B0B6D">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3-a</w:t>
            </w:r>
            <w:r w:rsidR="0011786B" w:rsidRPr="00C83195">
              <w:rPr>
                <w:rFonts w:ascii="Times New Roman" w:hAnsi="Times New Roman"/>
                <w:b/>
                <w:sz w:val="24"/>
                <w:szCs w:val="24"/>
              </w:rPr>
              <w:t xml:space="preserve"> </w:t>
            </w:r>
            <w:r w:rsidRPr="00C83195">
              <w:rPr>
                <w:rFonts w:ascii="Times New Roman" w:hAnsi="Times New Roman"/>
                <w:b/>
                <w:sz w:val="24"/>
                <w:szCs w:val="24"/>
              </w:rPr>
              <w:t>Impactul socioeconomic</w:t>
            </w:r>
          </w:p>
        </w:tc>
      </w:tr>
      <w:tr w:rsidR="00B80893" w:rsidRPr="00C83195" w14:paraId="5681B0E7" w14:textId="77777777" w:rsidTr="00C7045F">
        <w:trPr>
          <w:trHeight w:val="55"/>
        </w:trPr>
        <w:tc>
          <w:tcPr>
            <w:tcW w:w="757" w:type="dxa"/>
          </w:tcPr>
          <w:p w14:paraId="55AC5011"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3.1.</w:t>
            </w:r>
          </w:p>
        </w:tc>
        <w:tc>
          <w:tcPr>
            <w:tcW w:w="2748" w:type="dxa"/>
          </w:tcPr>
          <w:p w14:paraId="4E889230"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Descrierea generală a beneficiilor şi costurilor estimate ca urmare a intrării în vigoare a actului normativ</w:t>
            </w:r>
          </w:p>
        </w:tc>
        <w:tc>
          <w:tcPr>
            <w:tcW w:w="6030" w:type="dxa"/>
            <w:gridSpan w:val="9"/>
          </w:tcPr>
          <w:p w14:paraId="685D187F" w14:textId="77777777" w:rsidR="00B62E8C" w:rsidRPr="00C83195" w:rsidRDefault="00B62E8C" w:rsidP="00792971">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B80893" w:rsidRPr="00C83195" w14:paraId="7D9808B5" w14:textId="77777777" w:rsidTr="00C7045F">
        <w:trPr>
          <w:trHeight w:val="55"/>
        </w:trPr>
        <w:tc>
          <w:tcPr>
            <w:tcW w:w="757" w:type="dxa"/>
          </w:tcPr>
          <w:p w14:paraId="486C75EB"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3.2.</w:t>
            </w:r>
          </w:p>
        </w:tc>
        <w:tc>
          <w:tcPr>
            <w:tcW w:w="2748" w:type="dxa"/>
          </w:tcPr>
          <w:p w14:paraId="03F496B6"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social</w:t>
            </w:r>
          </w:p>
        </w:tc>
        <w:tc>
          <w:tcPr>
            <w:tcW w:w="6030" w:type="dxa"/>
            <w:gridSpan w:val="9"/>
          </w:tcPr>
          <w:p w14:paraId="59466B87" w14:textId="7C6C20E3" w:rsidR="00D028CA" w:rsidRPr="00C83195" w:rsidRDefault="003B004F" w:rsidP="00792971">
            <w:pPr>
              <w:spacing w:after="0" w:line="240" w:lineRule="auto"/>
              <w:jc w:val="both"/>
              <w:rPr>
                <w:rFonts w:ascii="Times New Roman" w:eastAsia="Times New Roman" w:hAnsi="Times New Roman"/>
                <w:sz w:val="24"/>
                <w:szCs w:val="24"/>
              </w:rPr>
            </w:pPr>
            <w:r w:rsidRPr="003B004F">
              <w:rPr>
                <w:rFonts w:ascii="Times New Roman" w:hAnsi="Times New Roman"/>
                <w:sz w:val="24"/>
                <w:szCs w:val="24"/>
              </w:rPr>
              <w:t>Actul normativ contribuie la consolidarea protecției mediului și a sănătății populației, prin instituirea unor mecanisme eficiente de prevenire și sancționare a infracțiunilor de mediu.</w:t>
            </w:r>
          </w:p>
        </w:tc>
      </w:tr>
      <w:tr w:rsidR="00B80893" w:rsidRPr="00C83195" w14:paraId="1C6C38CA" w14:textId="77777777" w:rsidTr="00C7045F">
        <w:trPr>
          <w:trHeight w:val="55"/>
        </w:trPr>
        <w:tc>
          <w:tcPr>
            <w:tcW w:w="757" w:type="dxa"/>
          </w:tcPr>
          <w:p w14:paraId="4C9312D2"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3.3.</w:t>
            </w:r>
          </w:p>
        </w:tc>
        <w:tc>
          <w:tcPr>
            <w:tcW w:w="2748" w:type="dxa"/>
          </w:tcPr>
          <w:p w14:paraId="4145E0EC" w14:textId="77777777" w:rsidR="00B62E8C" w:rsidRPr="00C83195" w:rsidRDefault="00B62E8C"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asupra drepturilor şi libertăţilor fundamentale ale omului</w:t>
            </w:r>
          </w:p>
        </w:tc>
        <w:tc>
          <w:tcPr>
            <w:tcW w:w="6030" w:type="dxa"/>
            <w:gridSpan w:val="9"/>
          </w:tcPr>
          <w:p w14:paraId="30D2A762" w14:textId="5B3694B5" w:rsidR="00B62E8C" w:rsidRPr="00C83195" w:rsidRDefault="003B004F" w:rsidP="00792971">
            <w:pPr>
              <w:spacing w:after="0" w:line="240" w:lineRule="auto"/>
              <w:jc w:val="both"/>
              <w:rPr>
                <w:rFonts w:ascii="Times New Roman" w:eastAsia="Times New Roman" w:hAnsi="Times New Roman"/>
                <w:sz w:val="24"/>
                <w:szCs w:val="24"/>
              </w:rPr>
            </w:pPr>
            <w:r w:rsidRPr="003B004F">
              <w:rPr>
                <w:rFonts w:ascii="Times New Roman" w:hAnsi="Times New Roman"/>
                <w:sz w:val="24"/>
                <w:szCs w:val="24"/>
              </w:rPr>
              <w:t>Actul normativ are în vedere asigurarea respectării principiului legalității incriminării și pedepsei și contribuie la protejarea dreptului la un mediu înconjurător sănătos.</w:t>
            </w:r>
          </w:p>
        </w:tc>
      </w:tr>
      <w:tr w:rsidR="00B80893" w:rsidRPr="00C83195" w14:paraId="0DB4D072" w14:textId="77777777" w:rsidTr="00C7045F">
        <w:trPr>
          <w:trHeight w:val="55"/>
        </w:trPr>
        <w:tc>
          <w:tcPr>
            <w:tcW w:w="757" w:type="dxa"/>
          </w:tcPr>
          <w:p w14:paraId="7ECB5D3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w:t>
            </w:r>
          </w:p>
        </w:tc>
        <w:tc>
          <w:tcPr>
            <w:tcW w:w="2748" w:type="dxa"/>
          </w:tcPr>
          <w:p w14:paraId="5AC4244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macroeconomic</w:t>
            </w:r>
          </w:p>
        </w:tc>
        <w:tc>
          <w:tcPr>
            <w:tcW w:w="6030" w:type="dxa"/>
            <w:gridSpan w:val="9"/>
          </w:tcPr>
          <w:p w14:paraId="4F4B1015" w14:textId="3D52BB2B" w:rsidR="00D028CA" w:rsidRPr="00C83195" w:rsidRDefault="00527175" w:rsidP="003B004F">
            <w:pPr>
              <w:pStyle w:val="BodyText"/>
              <w:ind w:left="18"/>
              <w:rPr>
                <w:rFonts w:ascii="Times New Roman" w:hAnsi="Times New Roman"/>
                <w:color w:val="auto"/>
                <w:szCs w:val="24"/>
              </w:rPr>
            </w:pPr>
            <w:r w:rsidRPr="00C83195">
              <w:rPr>
                <w:rFonts w:ascii="Times New Roman" w:hAnsi="Times New Roman"/>
                <w:iCs/>
                <w:color w:val="auto"/>
                <w:szCs w:val="24"/>
              </w:rPr>
              <w:t>Proiectul de act normativ nu se referă la acest subiect</w:t>
            </w:r>
            <w:r w:rsidR="003B004F">
              <w:rPr>
                <w:rFonts w:ascii="Times New Roman" w:hAnsi="Times New Roman"/>
                <w:color w:val="auto"/>
                <w:szCs w:val="24"/>
              </w:rPr>
              <w:t xml:space="preserve">. </w:t>
            </w:r>
          </w:p>
        </w:tc>
      </w:tr>
      <w:tr w:rsidR="00B80893" w:rsidRPr="00C83195" w14:paraId="519BA734" w14:textId="77777777" w:rsidTr="00C7045F">
        <w:trPr>
          <w:trHeight w:val="52"/>
        </w:trPr>
        <w:tc>
          <w:tcPr>
            <w:tcW w:w="757" w:type="dxa"/>
          </w:tcPr>
          <w:p w14:paraId="6CAD5E9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3.4.1.</w:t>
            </w:r>
          </w:p>
        </w:tc>
        <w:tc>
          <w:tcPr>
            <w:tcW w:w="2748" w:type="dxa"/>
          </w:tcPr>
          <w:p w14:paraId="52126AAC"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Impactul asupra economiei şi asupra principalilor indicatori macroeconomici</w:t>
            </w:r>
          </w:p>
        </w:tc>
        <w:tc>
          <w:tcPr>
            <w:tcW w:w="6030" w:type="dxa"/>
            <w:gridSpan w:val="9"/>
          </w:tcPr>
          <w:p w14:paraId="27931BBB"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120AB015" w14:textId="77777777" w:rsidTr="00C7045F">
        <w:trPr>
          <w:trHeight w:val="52"/>
        </w:trPr>
        <w:tc>
          <w:tcPr>
            <w:tcW w:w="757" w:type="dxa"/>
          </w:tcPr>
          <w:p w14:paraId="5B6A60A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3.4.2.</w:t>
            </w:r>
          </w:p>
        </w:tc>
        <w:tc>
          <w:tcPr>
            <w:tcW w:w="2748" w:type="dxa"/>
          </w:tcPr>
          <w:p w14:paraId="1B0B2D61"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concurenţial şi domeniul ajutoarelor de stat</w:t>
            </w:r>
          </w:p>
        </w:tc>
        <w:tc>
          <w:tcPr>
            <w:tcW w:w="6030" w:type="dxa"/>
            <w:gridSpan w:val="9"/>
          </w:tcPr>
          <w:p w14:paraId="16D8B0FE" w14:textId="77777777" w:rsidR="00527175" w:rsidRPr="00C83195" w:rsidRDefault="00527175" w:rsidP="00792971">
            <w:pPr>
              <w:spacing w:after="0" w:line="240" w:lineRule="auto"/>
              <w:jc w:val="both"/>
              <w:rPr>
                <w:rFonts w:ascii="Times New Roman" w:eastAsia="Times New Roman" w:hAnsi="Times New Roman"/>
                <w:sz w:val="24"/>
                <w:szCs w:val="24"/>
                <w:highlight w:val="yellow"/>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3C9A155E" w14:textId="77777777" w:rsidTr="00C7045F">
        <w:trPr>
          <w:trHeight w:val="52"/>
        </w:trPr>
        <w:tc>
          <w:tcPr>
            <w:tcW w:w="757" w:type="dxa"/>
          </w:tcPr>
          <w:p w14:paraId="3F11C4C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3.5.</w:t>
            </w:r>
          </w:p>
        </w:tc>
        <w:tc>
          <w:tcPr>
            <w:tcW w:w="2748" w:type="dxa"/>
          </w:tcPr>
          <w:p w14:paraId="27B629FC"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de afaceri</w:t>
            </w:r>
          </w:p>
        </w:tc>
        <w:tc>
          <w:tcPr>
            <w:tcW w:w="6030" w:type="dxa"/>
            <w:gridSpan w:val="9"/>
          </w:tcPr>
          <w:p w14:paraId="1275646B" w14:textId="77777777" w:rsidR="00527175" w:rsidRPr="00C83195" w:rsidRDefault="00527175" w:rsidP="00792971">
            <w:pPr>
              <w:spacing w:after="0" w:line="240" w:lineRule="auto"/>
              <w:jc w:val="both"/>
              <w:rPr>
                <w:rFonts w:ascii="Times New Roman" w:hAnsi="Times New Roman"/>
                <w:iCs/>
                <w:sz w:val="24"/>
                <w:szCs w:val="24"/>
              </w:rPr>
            </w:pPr>
            <w:r w:rsidRPr="00C83195">
              <w:rPr>
                <w:rFonts w:ascii="Times New Roman" w:hAnsi="Times New Roman"/>
                <w:iCs/>
                <w:sz w:val="24"/>
                <w:szCs w:val="24"/>
              </w:rPr>
              <w:t>Proiectul de act normativ nu se referă la acest subiect.</w:t>
            </w:r>
          </w:p>
        </w:tc>
      </w:tr>
      <w:tr w:rsidR="00B80893" w:rsidRPr="00C83195" w14:paraId="6267D427" w14:textId="77777777" w:rsidTr="00C7045F">
        <w:trPr>
          <w:trHeight w:val="52"/>
        </w:trPr>
        <w:tc>
          <w:tcPr>
            <w:tcW w:w="757" w:type="dxa"/>
          </w:tcPr>
          <w:p w14:paraId="7E328F5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hAnsi="Times New Roman"/>
                <w:sz w:val="24"/>
                <w:szCs w:val="24"/>
              </w:rPr>
              <w:t>3.6.</w:t>
            </w:r>
          </w:p>
        </w:tc>
        <w:tc>
          <w:tcPr>
            <w:tcW w:w="2748" w:type="dxa"/>
          </w:tcPr>
          <w:p w14:paraId="74B1CE6D"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Impactul asupra mediului înconjurător</w:t>
            </w:r>
          </w:p>
        </w:tc>
        <w:tc>
          <w:tcPr>
            <w:tcW w:w="6030" w:type="dxa"/>
            <w:gridSpan w:val="9"/>
          </w:tcPr>
          <w:p w14:paraId="644912EC" w14:textId="6CDB141E" w:rsidR="00D028CA" w:rsidRPr="00C83195" w:rsidRDefault="003B004F" w:rsidP="00792971">
            <w:pPr>
              <w:spacing w:after="0" w:line="240" w:lineRule="auto"/>
              <w:jc w:val="both"/>
              <w:rPr>
                <w:rFonts w:ascii="Times New Roman" w:hAnsi="Times New Roman"/>
                <w:sz w:val="24"/>
                <w:szCs w:val="24"/>
              </w:rPr>
            </w:pPr>
            <w:r w:rsidRPr="003B004F">
              <w:rPr>
                <w:rFonts w:ascii="Times New Roman" w:hAnsi="Times New Roman"/>
                <w:iCs/>
                <w:sz w:val="24"/>
                <w:szCs w:val="24"/>
              </w:rPr>
              <w:t xml:space="preserve">Impact favorabil prin descurajarea criminalității de mediu, prin stabilirea unor pedepse descurajante. </w:t>
            </w:r>
          </w:p>
        </w:tc>
      </w:tr>
      <w:tr w:rsidR="00B80893" w:rsidRPr="00C83195" w14:paraId="659C2038" w14:textId="77777777" w:rsidTr="00C7045F">
        <w:trPr>
          <w:trHeight w:val="52"/>
        </w:trPr>
        <w:tc>
          <w:tcPr>
            <w:tcW w:w="757" w:type="dxa"/>
          </w:tcPr>
          <w:p w14:paraId="4442D600"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3.7.</w:t>
            </w:r>
          </w:p>
        </w:tc>
        <w:tc>
          <w:tcPr>
            <w:tcW w:w="2748" w:type="dxa"/>
          </w:tcPr>
          <w:p w14:paraId="5318A52D"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Evaluarea costurilor şi beneficiilor din perspectiva inovării şi digitalizării</w:t>
            </w:r>
          </w:p>
        </w:tc>
        <w:tc>
          <w:tcPr>
            <w:tcW w:w="6030" w:type="dxa"/>
            <w:gridSpan w:val="9"/>
          </w:tcPr>
          <w:p w14:paraId="73858DC1" w14:textId="77777777" w:rsidR="00527175" w:rsidRPr="00C83195" w:rsidRDefault="00527175"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130577F1" w14:textId="77777777" w:rsidTr="00C7045F">
        <w:trPr>
          <w:trHeight w:val="52"/>
        </w:trPr>
        <w:tc>
          <w:tcPr>
            <w:tcW w:w="757" w:type="dxa"/>
          </w:tcPr>
          <w:p w14:paraId="318CEEF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3.8.</w:t>
            </w:r>
          </w:p>
        </w:tc>
        <w:tc>
          <w:tcPr>
            <w:tcW w:w="2748" w:type="dxa"/>
          </w:tcPr>
          <w:p w14:paraId="06B865C8" w14:textId="77777777" w:rsidR="00527175" w:rsidRPr="00C83195" w:rsidRDefault="00527175" w:rsidP="00792971">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Evaluarea costurilor şi beneficiilor din perspectiva dezvoltării durabile</w:t>
            </w:r>
          </w:p>
        </w:tc>
        <w:tc>
          <w:tcPr>
            <w:tcW w:w="6030" w:type="dxa"/>
            <w:gridSpan w:val="9"/>
          </w:tcPr>
          <w:p w14:paraId="6B255A48" w14:textId="77777777" w:rsidR="00527175" w:rsidRPr="00C83195" w:rsidRDefault="00527175" w:rsidP="00792971">
            <w:pPr>
              <w:spacing w:after="0" w:line="240" w:lineRule="auto"/>
              <w:contextualSpacing/>
              <w:jc w:val="both"/>
              <w:rPr>
                <w:rFonts w:ascii="Times New Roman" w:eastAsia="Times New Roman" w:hAnsi="Times New Roman"/>
                <w:b/>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B80893" w:rsidRPr="00C83195" w14:paraId="2F46371D" w14:textId="77777777" w:rsidTr="00C7045F">
        <w:trPr>
          <w:trHeight w:val="52"/>
        </w:trPr>
        <w:tc>
          <w:tcPr>
            <w:tcW w:w="757" w:type="dxa"/>
          </w:tcPr>
          <w:p w14:paraId="53D70EB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3.9.</w:t>
            </w:r>
          </w:p>
        </w:tc>
        <w:tc>
          <w:tcPr>
            <w:tcW w:w="2748" w:type="dxa"/>
          </w:tcPr>
          <w:p w14:paraId="7C5CB58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Alte informaţii</w:t>
            </w:r>
          </w:p>
        </w:tc>
        <w:tc>
          <w:tcPr>
            <w:tcW w:w="6030" w:type="dxa"/>
            <w:gridSpan w:val="9"/>
          </w:tcPr>
          <w:p w14:paraId="0BAE0D70" w14:textId="2B06CE74" w:rsidR="00D028CA"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Nu au fost identificate.</w:t>
            </w:r>
          </w:p>
        </w:tc>
      </w:tr>
      <w:tr w:rsidR="00B80893" w:rsidRPr="00C83195" w14:paraId="575A9032" w14:textId="77777777" w:rsidTr="00F03776">
        <w:trPr>
          <w:trHeight w:val="1727"/>
        </w:trPr>
        <w:tc>
          <w:tcPr>
            <w:tcW w:w="9535" w:type="dxa"/>
            <w:gridSpan w:val="11"/>
          </w:tcPr>
          <w:p w14:paraId="78B10E01" w14:textId="77777777" w:rsidR="00527175"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lastRenderedPageBreak/>
              <w:t>Secţiunea a 4-a</w:t>
            </w:r>
          </w:p>
          <w:p w14:paraId="4E9F7BBB" w14:textId="6ABEC5B7" w:rsidR="003F4FD2"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 xml:space="preserve">Impactul financiar asupra bugetului general consolidat atât pe termen scurt, pentru anul curent, cât şi pe termen lung (pe 5 ani), inclusiv </w:t>
            </w:r>
            <w:r w:rsidR="00B96264" w:rsidRPr="00C83195">
              <w:rPr>
                <w:rFonts w:ascii="Times New Roman" w:hAnsi="Times New Roman"/>
                <w:b/>
                <w:sz w:val="24"/>
                <w:szCs w:val="24"/>
              </w:rPr>
              <w:t>informații</w:t>
            </w:r>
            <w:r w:rsidRPr="00C83195">
              <w:rPr>
                <w:rFonts w:ascii="Times New Roman" w:hAnsi="Times New Roman"/>
                <w:b/>
                <w:sz w:val="24"/>
                <w:szCs w:val="24"/>
              </w:rPr>
              <w:t xml:space="preserve"> cu privire la cheltuieli şi venituri</w:t>
            </w:r>
          </w:p>
        </w:tc>
      </w:tr>
      <w:tr w:rsidR="00B80893" w:rsidRPr="00C83195" w14:paraId="5A4AB042" w14:textId="77777777" w:rsidTr="00F03776">
        <w:trPr>
          <w:trHeight w:val="52"/>
        </w:trPr>
        <w:tc>
          <w:tcPr>
            <w:tcW w:w="9535" w:type="dxa"/>
            <w:gridSpan w:val="11"/>
          </w:tcPr>
          <w:p w14:paraId="485AB12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 în mii lei (RON) – </w:t>
            </w:r>
          </w:p>
        </w:tc>
      </w:tr>
      <w:tr w:rsidR="00B80893" w:rsidRPr="00C83195" w14:paraId="38CF0D41" w14:textId="77777777" w:rsidTr="00F03776">
        <w:trPr>
          <w:trHeight w:val="45"/>
        </w:trPr>
        <w:tc>
          <w:tcPr>
            <w:tcW w:w="4179" w:type="dxa"/>
            <w:gridSpan w:val="3"/>
            <w:vAlign w:val="center"/>
          </w:tcPr>
          <w:p w14:paraId="7E58A95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Indicatori</w:t>
            </w:r>
          </w:p>
        </w:tc>
        <w:tc>
          <w:tcPr>
            <w:tcW w:w="1898" w:type="dxa"/>
            <w:gridSpan w:val="3"/>
            <w:vAlign w:val="center"/>
          </w:tcPr>
          <w:p w14:paraId="2A64845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Anul</w:t>
            </w:r>
          </w:p>
          <w:p w14:paraId="6D3681A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curent</w:t>
            </w:r>
          </w:p>
        </w:tc>
        <w:tc>
          <w:tcPr>
            <w:tcW w:w="1915" w:type="dxa"/>
            <w:gridSpan w:val="4"/>
            <w:vAlign w:val="center"/>
          </w:tcPr>
          <w:p w14:paraId="5F19DC42" w14:textId="0073FF93" w:rsidR="00527175" w:rsidRPr="00C83195" w:rsidRDefault="00774F48"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Următorii</w:t>
            </w:r>
            <w:r w:rsidR="00527175" w:rsidRPr="00C83195">
              <w:rPr>
                <w:rFonts w:ascii="Times New Roman" w:eastAsia="Times New Roman" w:hAnsi="Times New Roman"/>
                <w:sz w:val="24"/>
                <w:szCs w:val="24"/>
              </w:rPr>
              <w:t xml:space="preserve"> patru ani</w:t>
            </w:r>
          </w:p>
        </w:tc>
        <w:tc>
          <w:tcPr>
            <w:tcW w:w="1543" w:type="dxa"/>
            <w:vAlign w:val="center"/>
          </w:tcPr>
          <w:p w14:paraId="7E23A71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Media pe cinci ani</w:t>
            </w:r>
          </w:p>
        </w:tc>
      </w:tr>
      <w:tr w:rsidR="00B80893" w:rsidRPr="00C83195" w14:paraId="46BB4DA4" w14:textId="77777777" w:rsidTr="00F03776">
        <w:trPr>
          <w:trHeight w:val="45"/>
        </w:trPr>
        <w:tc>
          <w:tcPr>
            <w:tcW w:w="4179" w:type="dxa"/>
            <w:gridSpan w:val="3"/>
            <w:vAlign w:val="center"/>
          </w:tcPr>
          <w:p w14:paraId="7A3C4B0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1</w:t>
            </w:r>
          </w:p>
        </w:tc>
        <w:tc>
          <w:tcPr>
            <w:tcW w:w="1898" w:type="dxa"/>
            <w:gridSpan w:val="3"/>
            <w:vAlign w:val="center"/>
          </w:tcPr>
          <w:p w14:paraId="76184D1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2</w:t>
            </w:r>
          </w:p>
        </w:tc>
        <w:tc>
          <w:tcPr>
            <w:tcW w:w="478" w:type="dxa"/>
            <w:vAlign w:val="center"/>
          </w:tcPr>
          <w:p w14:paraId="1D5393F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3</w:t>
            </w:r>
          </w:p>
        </w:tc>
        <w:tc>
          <w:tcPr>
            <w:tcW w:w="479" w:type="dxa"/>
            <w:vAlign w:val="center"/>
          </w:tcPr>
          <w:p w14:paraId="2A609F1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4</w:t>
            </w:r>
          </w:p>
        </w:tc>
        <w:tc>
          <w:tcPr>
            <w:tcW w:w="479" w:type="dxa"/>
            <w:vAlign w:val="center"/>
          </w:tcPr>
          <w:p w14:paraId="57C3CA7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5</w:t>
            </w:r>
          </w:p>
        </w:tc>
        <w:tc>
          <w:tcPr>
            <w:tcW w:w="479" w:type="dxa"/>
            <w:vAlign w:val="center"/>
          </w:tcPr>
          <w:p w14:paraId="0D3BD96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6</w:t>
            </w:r>
          </w:p>
        </w:tc>
        <w:tc>
          <w:tcPr>
            <w:tcW w:w="1543" w:type="dxa"/>
            <w:vAlign w:val="center"/>
          </w:tcPr>
          <w:p w14:paraId="4C11176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7</w:t>
            </w:r>
          </w:p>
        </w:tc>
      </w:tr>
      <w:tr w:rsidR="00B80893" w:rsidRPr="00C83195" w14:paraId="521913A4" w14:textId="77777777" w:rsidTr="00F03776">
        <w:trPr>
          <w:trHeight w:val="45"/>
        </w:trPr>
        <w:tc>
          <w:tcPr>
            <w:tcW w:w="4179" w:type="dxa"/>
            <w:gridSpan w:val="3"/>
            <w:vAlign w:val="center"/>
          </w:tcPr>
          <w:p w14:paraId="1A9E5F2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4.1. Modificări ale veniturilor bugetare, plus/minus, din care:</w:t>
            </w:r>
          </w:p>
        </w:tc>
        <w:tc>
          <w:tcPr>
            <w:tcW w:w="1898" w:type="dxa"/>
            <w:gridSpan w:val="3"/>
            <w:vAlign w:val="center"/>
          </w:tcPr>
          <w:p w14:paraId="48B5151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65F6D67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98F700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EC95E4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E32002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4F3C29B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6065E766" w14:textId="77777777" w:rsidTr="00F03776">
        <w:trPr>
          <w:trHeight w:val="45"/>
        </w:trPr>
        <w:tc>
          <w:tcPr>
            <w:tcW w:w="4179" w:type="dxa"/>
            <w:gridSpan w:val="3"/>
            <w:vAlign w:val="center"/>
          </w:tcPr>
          <w:p w14:paraId="27136354"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 din acesta:</w:t>
            </w:r>
          </w:p>
          <w:p w14:paraId="2DD664CF"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impozit pe profit</w:t>
            </w:r>
          </w:p>
          <w:p w14:paraId="14E6242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impozit pe venit</w:t>
            </w:r>
          </w:p>
        </w:tc>
        <w:tc>
          <w:tcPr>
            <w:tcW w:w="1898" w:type="dxa"/>
            <w:gridSpan w:val="3"/>
            <w:vAlign w:val="center"/>
          </w:tcPr>
          <w:p w14:paraId="5C04D20A"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p>
        </w:tc>
        <w:tc>
          <w:tcPr>
            <w:tcW w:w="478" w:type="dxa"/>
            <w:vAlign w:val="center"/>
          </w:tcPr>
          <w:p w14:paraId="3FFAB17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F77B27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E05956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7428AE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0ED6C59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86D8EC0" w14:textId="77777777" w:rsidTr="00F03776">
        <w:trPr>
          <w:trHeight w:val="45"/>
        </w:trPr>
        <w:tc>
          <w:tcPr>
            <w:tcW w:w="4179" w:type="dxa"/>
            <w:gridSpan w:val="3"/>
            <w:vAlign w:val="center"/>
          </w:tcPr>
          <w:p w14:paraId="406B15D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p w14:paraId="67318E2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impozit pe profit</w:t>
            </w:r>
          </w:p>
        </w:tc>
        <w:tc>
          <w:tcPr>
            <w:tcW w:w="1898" w:type="dxa"/>
            <w:gridSpan w:val="3"/>
            <w:vAlign w:val="center"/>
          </w:tcPr>
          <w:p w14:paraId="73275F1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8779E9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00AF6E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FAF71D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8AED7C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698367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61150EF6" w14:textId="77777777" w:rsidTr="00F03776">
        <w:trPr>
          <w:trHeight w:val="45"/>
        </w:trPr>
        <w:tc>
          <w:tcPr>
            <w:tcW w:w="4179" w:type="dxa"/>
            <w:gridSpan w:val="3"/>
            <w:vAlign w:val="center"/>
          </w:tcPr>
          <w:p w14:paraId="1E0A45B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c) bugetul asigurărilor sociale de stat:</w:t>
            </w:r>
          </w:p>
          <w:p w14:paraId="0B20B7E0"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contribuţii de asigurări</w:t>
            </w:r>
          </w:p>
        </w:tc>
        <w:tc>
          <w:tcPr>
            <w:tcW w:w="1898" w:type="dxa"/>
            <w:gridSpan w:val="3"/>
            <w:vAlign w:val="center"/>
          </w:tcPr>
          <w:p w14:paraId="013AC9A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7576EE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04750B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AF060E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2C1A73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5A393E3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7B4ED10" w14:textId="77777777" w:rsidTr="00F03776">
        <w:trPr>
          <w:trHeight w:val="45"/>
        </w:trPr>
        <w:tc>
          <w:tcPr>
            <w:tcW w:w="4179" w:type="dxa"/>
            <w:gridSpan w:val="3"/>
            <w:vAlign w:val="center"/>
          </w:tcPr>
          <w:p w14:paraId="7FEBE6AE"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 alte tipuri de venituri</w:t>
            </w:r>
          </w:p>
          <w:p w14:paraId="17FD8FF5"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(se va menționa natura acestora)</w:t>
            </w:r>
          </w:p>
        </w:tc>
        <w:tc>
          <w:tcPr>
            <w:tcW w:w="1898" w:type="dxa"/>
            <w:gridSpan w:val="3"/>
            <w:vAlign w:val="center"/>
          </w:tcPr>
          <w:p w14:paraId="75886F7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E28EA5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B2075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2D1176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A7BD97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7C522DD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267DA40" w14:textId="77777777" w:rsidTr="00F03776">
        <w:trPr>
          <w:trHeight w:val="45"/>
        </w:trPr>
        <w:tc>
          <w:tcPr>
            <w:tcW w:w="4179" w:type="dxa"/>
            <w:gridSpan w:val="3"/>
            <w:vAlign w:val="center"/>
          </w:tcPr>
          <w:p w14:paraId="72F770ED"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4.2. Modificări ale cheltuielilor bugetare, plus/minus, din care:</w:t>
            </w:r>
          </w:p>
        </w:tc>
        <w:tc>
          <w:tcPr>
            <w:tcW w:w="1898" w:type="dxa"/>
            <w:gridSpan w:val="3"/>
            <w:vAlign w:val="center"/>
          </w:tcPr>
          <w:p w14:paraId="19B4268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2F36578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C83A52"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6722DA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54F80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60FACE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2B4DC3DF" w14:textId="77777777" w:rsidTr="00F03776">
        <w:trPr>
          <w:trHeight w:val="45"/>
        </w:trPr>
        <w:tc>
          <w:tcPr>
            <w:tcW w:w="4179" w:type="dxa"/>
            <w:gridSpan w:val="3"/>
            <w:vAlign w:val="center"/>
          </w:tcPr>
          <w:p w14:paraId="152CB10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 din acesta:</w:t>
            </w:r>
          </w:p>
          <w:p w14:paraId="6E90230C"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2A9D6478"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732412A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9EC805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103496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62444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872DEE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9DF019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A75F63D" w14:textId="77777777" w:rsidTr="00F03776">
        <w:trPr>
          <w:trHeight w:val="45"/>
        </w:trPr>
        <w:tc>
          <w:tcPr>
            <w:tcW w:w="4179" w:type="dxa"/>
            <w:gridSpan w:val="3"/>
            <w:vAlign w:val="center"/>
          </w:tcPr>
          <w:p w14:paraId="616001B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p w14:paraId="3B2E190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7282013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0074C01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9FA25F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8F7F5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815600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7118A7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46FA46A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005C62C" w14:textId="77777777" w:rsidTr="00F03776">
        <w:trPr>
          <w:trHeight w:val="45"/>
        </w:trPr>
        <w:tc>
          <w:tcPr>
            <w:tcW w:w="4179" w:type="dxa"/>
            <w:gridSpan w:val="3"/>
            <w:vAlign w:val="center"/>
          </w:tcPr>
          <w:p w14:paraId="6A74315D"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c) bugetul asigurărilor sociale de stat:</w:t>
            </w:r>
          </w:p>
          <w:p w14:paraId="0696A74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 cheltuieli de personal</w:t>
            </w:r>
          </w:p>
          <w:p w14:paraId="5C9B6D16"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(ii) bunuri şi servicii</w:t>
            </w:r>
          </w:p>
        </w:tc>
        <w:tc>
          <w:tcPr>
            <w:tcW w:w="1898" w:type="dxa"/>
            <w:gridSpan w:val="3"/>
            <w:vAlign w:val="center"/>
          </w:tcPr>
          <w:p w14:paraId="51B4C43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ED8B9B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B5A6B3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6D0EC5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808602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45DDD7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1CC8ED4A" w14:textId="77777777" w:rsidTr="00F03776">
        <w:trPr>
          <w:trHeight w:val="45"/>
        </w:trPr>
        <w:tc>
          <w:tcPr>
            <w:tcW w:w="4179" w:type="dxa"/>
            <w:gridSpan w:val="3"/>
            <w:vAlign w:val="center"/>
          </w:tcPr>
          <w:p w14:paraId="78903257"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d) alte tipuri de cheltuieli</w:t>
            </w:r>
          </w:p>
          <w:p w14:paraId="4EE821D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(se va menționa natura acestora)</w:t>
            </w:r>
          </w:p>
        </w:tc>
        <w:tc>
          <w:tcPr>
            <w:tcW w:w="1898" w:type="dxa"/>
            <w:gridSpan w:val="3"/>
            <w:vAlign w:val="center"/>
          </w:tcPr>
          <w:p w14:paraId="3A668AC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AE68FB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A244BC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D7AF0A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06ED95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57957C2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42485E1D" w14:textId="77777777" w:rsidTr="00F03776">
        <w:trPr>
          <w:trHeight w:val="45"/>
        </w:trPr>
        <w:tc>
          <w:tcPr>
            <w:tcW w:w="4179" w:type="dxa"/>
            <w:gridSpan w:val="3"/>
            <w:vAlign w:val="center"/>
          </w:tcPr>
          <w:p w14:paraId="6343F2CB"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4.3. Impact financiar, plus/minus, din care:</w:t>
            </w:r>
          </w:p>
        </w:tc>
        <w:tc>
          <w:tcPr>
            <w:tcW w:w="1898" w:type="dxa"/>
            <w:gridSpan w:val="3"/>
            <w:vAlign w:val="center"/>
          </w:tcPr>
          <w:p w14:paraId="40C6377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F4A319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5D162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A283ED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4FED7E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7FAD9C0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2C3B1804" w14:textId="77777777" w:rsidTr="00F03776">
        <w:trPr>
          <w:trHeight w:val="45"/>
        </w:trPr>
        <w:tc>
          <w:tcPr>
            <w:tcW w:w="4179" w:type="dxa"/>
            <w:gridSpan w:val="3"/>
            <w:vAlign w:val="center"/>
          </w:tcPr>
          <w:p w14:paraId="6D4F4BC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a) buget de stat</w:t>
            </w:r>
          </w:p>
        </w:tc>
        <w:tc>
          <w:tcPr>
            <w:tcW w:w="1898" w:type="dxa"/>
            <w:gridSpan w:val="3"/>
            <w:vAlign w:val="center"/>
          </w:tcPr>
          <w:p w14:paraId="161B424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2ECA52C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2D6132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9A992DE"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973FE0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01E43E6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36365923" w14:textId="77777777" w:rsidTr="00F03776">
        <w:trPr>
          <w:trHeight w:val="45"/>
        </w:trPr>
        <w:tc>
          <w:tcPr>
            <w:tcW w:w="4179" w:type="dxa"/>
            <w:gridSpan w:val="3"/>
            <w:vAlign w:val="center"/>
          </w:tcPr>
          <w:p w14:paraId="72150B13"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bugete locale</w:t>
            </w:r>
          </w:p>
        </w:tc>
        <w:tc>
          <w:tcPr>
            <w:tcW w:w="1898" w:type="dxa"/>
            <w:gridSpan w:val="3"/>
            <w:vAlign w:val="center"/>
          </w:tcPr>
          <w:p w14:paraId="2C56BC8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68B852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17FD12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1F88AB6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924522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1708F4D"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3106B0F9" w14:textId="77777777" w:rsidTr="00F03776">
        <w:trPr>
          <w:trHeight w:val="45"/>
        </w:trPr>
        <w:tc>
          <w:tcPr>
            <w:tcW w:w="4179" w:type="dxa"/>
            <w:gridSpan w:val="3"/>
            <w:vAlign w:val="center"/>
          </w:tcPr>
          <w:p w14:paraId="5E06573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4.4. Propuneri pentru acoperirea creşterii cheltuielilor bugetare</w:t>
            </w:r>
          </w:p>
        </w:tc>
        <w:tc>
          <w:tcPr>
            <w:tcW w:w="1898" w:type="dxa"/>
            <w:gridSpan w:val="3"/>
            <w:vAlign w:val="center"/>
          </w:tcPr>
          <w:p w14:paraId="344D18C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0CBD23F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F18F2F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B2D2DAC"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F3DC75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0156D1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02D01031" w14:textId="77777777" w:rsidTr="00F03776">
        <w:trPr>
          <w:trHeight w:val="45"/>
        </w:trPr>
        <w:tc>
          <w:tcPr>
            <w:tcW w:w="4179" w:type="dxa"/>
            <w:gridSpan w:val="3"/>
            <w:vAlign w:val="center"/>
          </w:tcPr>
          <w:p w14:paraId="68BFFAF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4.5. Propuneri pentru a compensa reducerea veniturilor bugetare</w:t>
            </w:r>
          </w:p>
        </w:tc>
        <w:tc>
          <w:tcPr>
            <w:tcW w:w="1898" w:type="dxa"/>
            <w:gridSpan w:val="3"/>
            <w:vAlign w:val="center"/>
          </w:tcPr>
          <w:p w14:paraId="280C1D5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73CE683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0822A5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2C9EB2A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F389E36"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A1A6CE3"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741BA07C" w14:textId="77777777" w:rsidTr="00F03776">
        <w:trPr>
          <w:trHeight w:val="45"/>
        </w:trPr>
        <w:tc>
          <w:tcPr>
            <w:tcW w:w="4179" w:type="dxa"/>
            <w:gridSpan w:val="3"/>
            <w:vAlign w:val="center"/>
          </w:tcPr>
          <w:p w14:paraId="0309E579"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4.6. Calcule detaliate privind fundamentarea modificărilor veniturilor şi/sau cheltuielilor bugetare</w:t>
            </w:r>
          </w:p>
        </w:tc>
        <w:tc>
          <w:tcPr>
            <w:tcW w:w="1898" w:type="dxa"/>
            <w:gridSpan w:val="3"/>
            <w:vAlign w:val="center"/>
          </w:tcPr>
          <w:p w14:paraId="2DB4F2E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11D67AC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C2FE1DA"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3F85AB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69BBDA64"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66B620F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57708B4F" w14:textId="77777777" w:rsidTr="00F03776">
        <w:trPr>
          <w:trHeight w:val="45"/>
        </w:trPr>
        <w:tc>
          <w:tcPr>
            <w:tcW w:w="4179" w:type="dxa"/>
            <w:gridSpan w:val="3"/>
            <w:vAlign w:val="center"/>
          </w:tcPr>
          <w:p w14:paraId="62E89F71"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4.7. Prezentarea, în cazul proiectelor de acte normative a căror adoptare atrage majorarea cheltuielilor bugetare, a următoarelor documente:</w:t>
            </w:r>
          </w:p>
        </w:tc>
        <w:tc>
          <w:tcPr>
            <w:tcW w:w="1898" w:type="dxa"/>
            <w:gridSpan w:val="3"/>
            <w:vAlign w:val="center"/>
          </w:tcPr>
          <w:p w14:paraId="1139AF8F"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6D10BDF0"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36539AD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06837A5"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792B935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7C0B87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B80893" w:rsidRPr="00C83195" w14:paraId="412A3B16" w14:textId="77777777" w:rsidTr="00F03776">
        <w:trPr>
          <w:trHeight w:val="45"/>
        </w:trPr>
        <w:tc>
          <w:tcPr>
            <w:tcW w:w="4179" w:type="dxa"/>
            <w:gridSpan w:val="3"/>
            <w:vAlign w:val="center"/>
          </w:tcPr>
          <w:p w14:paraId="139D41C0" w14:textId="5C7C60E5"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a) fişa financiară prevăzută la art. 15 din Legea nr. 500/2002 privind </w:t>
            </w:r>
            <w:r w:rsidR="00774F48" w:rsidRPr="00C83195">
              <w:rPr>
                <w:rFonts w:ascii="Times New Roman" w:eastAsia="Times New Roman" w:hAnsi="Times New Roman"/>
                <w:sz w:val="24"/>
                <w:szCs w:val="24"/>
              </w:rPr>
              <w:t>finanțele</w:t>
            </w:r>
            <w:r w:rsidRPr="00C83195">
              <w:rPr>
                <w:rFonts w:ascii="Times New Roman" w:eastAsia="Times New Roman" w:hAnsi="Times New Roman"/>
                <w:sz w:val="24"/>
                <w:szCs w:val="24"/>
              </w:rPr>
              <w:t xml:space="preserve"> publice, cu modificările şi completările </w:t>
            </w:r>
            <w:r w:rsidRPr="00C83195">
              <w:rPr>
                <w:rFonts w:ascii="Times New Roman" w:eastAsia="Times New Roman" w:hAnsi="Times New Roman"/>
                <w:sz w:val="24"/>
                <w:szCs w:val="24"/>
              </w:rPr>
              <w:lastRenderedPageBreak/>
              <w:t>ulterioare, însoţită de ipotezele şi metodologia de calcul utilizate;</w:t>
            </w:r>
          </w:p>
          <w:p w14:paraId="12F01362" w14:textId="77777777" w:rsidR="00527175" w:rsidRPr="00C83195" w:rsidRDefault="00527175"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F2445A9"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8" w:type="dxa"/>
            <w:vAlign w:val="center"/>
          </w:tcPr>
          <w:p w14:paraId="4D911A9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52B51307"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07A7D208"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479" w:type="dxa"/>
            <w:vAlign w:val="center"/>
          </w:tcPr>
          <w:p w14:paraId="4C313241"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c>
          <w:tcPr>
            <w:tcW w:w="1543" w:type="dxa"/>
            <w:vAlign w:val="center"/>
          </w:tcPr>
          <w:p w14:paraId="1661CE0B" w14:textId="77777777" w:rsidR="00527175" w:rsidRPr="00C83195" w:rsidRDefault="00527175" w:rsidP="00792971">
            <w:pPr>
              <w:tabs>
                <w:tab w:val="left" w:pos="720"/>
              </w:tabs>
              <w:spacing w:after="0" w:line="240" w:lineRule="auto"/>
              <w:jc w:val="both"/>
              <w:rPr>
                <w:rFonts w:ascii="Times New Roman" w:eastAsia="Times New Roman" w:hAnsi="Times New Roman"/>
                <w:sz w:val="24"/>
                <w:szCs w:val="24"/>
              </w:rPr>
            </w:pPr>
          </w:p>
        </w:tc>
      </w:tr>
      <w:tr w:rsidR="00C7045F" w:rsidRPr="00C83195" w14:paraId="69F0DA42" w14:textId="77777777" w:rsidTr="005D0128">
        <w:trPr>
          <w:trHeight w:val="70"/>
        </w:trPr>
        <w:tc>
          <w:tcPr>
            <w:tcW w:w="4179" w:type="dxa"/>
            <w:gridSpan w:val="3"/>
            <w:vAlign w:val="center"/>
          </w:tcPr>
          <w:p w14:paraId="0C299296" w14:textId="77777777" w:rsidR="00C7045F" w:rsidRPr="00C83195" w:rsidRDefault="00C704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4.8. Alte informații</w:t>
            </w:r>
          </w:p>
        </w:tc>
        <w:tc>
          <w:tcPr>
            <w:tcW w:w="5356" w:type="dxa"/>
            <w:gridSpan w:val="8"/>
            <w:vAlign w:val="center"/>
          </w:tcPr>
          <w:p w14:paraId="470A1C6A" w14:textId="4541AC33" w:rsidR="00D028CA" w:rsidRPr="00C83195" w:rsidRDefault="00C7045F" w:rsidP="0079297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Nu au fost identificate.</w:t>
            </w:r>
          </w:p>
        </w:tc>
      </w:tr>
      <w:tr w:rsidR="00B80893" w:rsidRPr="00C83195" w14:paraId="366948FD" w14:textId="77777777" w:rsidTr="00F03776">
        <w:trPr>
          <w:trHeight w:val="1374"/>
        </w:trPr>
        <w:tc>
          <w:tcPr>
            <w:tcW w:w="9535" w:type="dxa"/>
            <w:gridSpan w:val="11"/>
          </w:tcPr>
          <w:p w14:paraId="7B35EC4E" w14:textId="77777777" w:rsidR="00527175"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5-a</w:t>
            </w:r>
          </w:p>
          <w:p w14:paraId="3CFFA4FD" w14:textId="4BE18B39" w:rsidR="003F4FD2" w:rsidRPr="00C83195" w:rsidRDefault="00527175" w:rsidP="00F71809">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Efectele proiectului de act normativ asupra legislaţiei în vigoare</w:t>
            </w:r>
          </w:p>
        </w:tc>
      </w:tr>
      <w:tr w:rsidR="000C6C5F" w:rsidRPr="00C83195" w14:paraId="69A8AC20" w14:textId="77777777" w:rsidTr="00F03776">
        <w:trPr>
          <w:trHeight w:val="45"/>
        </w:trPr>
        <w:tc>
          <w:tcPr>
            <w:tcW w:w="757" w:type="dxa"/>
          </w:tcPr>
          <w:p w14:paraId="0021EBE7"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5.1.</w:t>
            </w:r>
          </w:p>
        </w:tc>
        <w:tc>
          <w:tcPr>
            <w:tcW w:w="3422" w:type="dxa"/>
            <w:gridSpan w:val="2"/>
          </w:tcPr>
          <w:p w14:paraId="3063B62A"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
                <w:iCs/>
                <w:sz w:val="24"/>
                <w:szCs w:val="24"/>
              </w:rPr>
            </w:pPr>
            <w:r w:rsidRPr="00C83195">
              <w:rPr>
                <w:rFonts w:ascii="Times New Roman" w:eastAsia="Times New Roman" w:hAnsi="Times New Roman"/>
                <w:iCs/>
                <w:sz w:val="24"/>
                <w:szCs w:val="24"/>
              </w:rPr>
              <w:t>Măsuri normative necesare pentru aplicarea prevederilor proiectului de act normativ</w:t>
            </w:r>
          </w:p>
        </w:tc>
        <w:tc>
          <w:tcPr>
            <w:tcW w:w="5356" w:type="dxa"/>
            <w:gridSpan w:val="8"/>
          </w:tcPr>
          <w:p w14:paraId="0CB6A6FA" w14:textId="7A78ACA5" w:rsidR="000C6C5F" w:rsidRPr="00C83195" w:rsidRDefault="000C6C5F" w:rsidP="00792971">
            <w:pPr>
              <w:pStyle w:val="BodyText"/>
              <w:tabs>
                <w:tab w:val="clear" w:pos="720"/>
                <w:tab w:val="left" w:pos="648"/>
              </w:tabs>
              <w:rPr>
                <w:rFonts w:ascii="Times New Roman" w:hAnsi="Times New Roman"/>
                <w:color w:val="auto"/>
                <w:szCs w:val="24"/>
              </w:rPr>
            </w:pPr>
            <w:r w:rsidRPr="00C83195">
              <w:rPr>
                <w:rFonts w:ascii="Times New Roman" w:hAnsi="Times New Roman"/>
                <w:iCs/>
                <w:szCs w:val="24"/>
              </w:rPr>
              <w:t>Proiectul de act normativ nu se referă la acest subiect</w:t>
            </w:r>
            <w:r w:rsidRPr="00C83195">
              <w:rPr>
                <w:rFonts w:ascii="Times New Roman" w:hAnsi="Times New Roman"/>
                <w:szCs w:val="24"/>
              </w:rPr>
              <w:t>.</w:t>
            </w:r>
          </w:p>
        </w:tc>
      </w:tr>
      <w:tr w:rsidR="000C6C5F" w:rsidRPr="00C83195" w14:paraId="71CD4DFB" w14:textId="77777777" w:rsidTr="00F03776">
        <w:trPr>
          <w:trHeight w:val="45"/>
        </w:trPr>
        <w:tc>
          <w:tcPr>
            <w:tcW w:w="757" w:type="dxa"/>
          </w:tcPr>
          <w:p w14:paraId="06E02883"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5.2.</w:t>
            </w:r>
          </w:p>
        </w:tc>
        <w:tc>
          <w:tcPr>
            <w:tcW w:w="3422" w:type="dxa"/>
            <w:gridSpan w:val="2"/>
          </w:tcPr>
          <w:p w14:paraId="607ED7BE"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Impactul asupra legislaţiei în domeniul achiziţiilor publice</w:t>
            </w:r>
          </w:p>
        </w:tc>
        <w:tc>
          <w:tcPr>
            <w:tcW w:w="5356" w:type="dxa"/>
            <w:gridSpan w:val="8"/>
          </w:tcPr>
          <w:p w14:paraId="7D279007" w14:textId="77777777" w:rsidR="000C6C5F" w:rsidRPr="00C83195" w:rsidRDefault="000C6C5F"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0C6C5F" w:rsidRPr="00C83195" w14:paraId="63CA0E1B" w14:textId="77777777" w:rsidTr="00F03776">
        <w:trPr>
          <w:trHeight w:val="45"/>
        </w:trPr>
        <w:tc>
          <w:tcPr>
            <w:tcW w:w="757" w:type="dxa"/>
          </w:tcPr>
          <w:p w14:paraId="6C3596AF"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5.3.</w:t>
            </w:r>
          </w:p>
        </w:tc>
        <w:tc>
          <w:tcPr>
            <w:tcW w:w="3422" w:type="dxa"/>
            <w:gridSpan w:val="2"/>
          </w:tcPr>
          <w:p w14:paraId="5EE2A531"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Conformitatea proiectului de act normativ cu legislaţia UE (în cazul proiectelor ce transpun sau asigură aplicarea unor prevederi de drept UE).</w:t>
            </w:r>
          </w:p>
        </w:tc>
        <w:tc>
          <w:tcPr>
            <w:tcW w:w="5356" w:type="dxa"/>
            <w:gridSpan w:val="8"/>
          </w:tcPr>
          <w:p w14:paraId="37E83F1D" w14:textId="3F0AFDC8" w:rsidR="000C6C5F" w:rsidRPr="00FB126D" w:rsidRDefault="00891160" w:rsidP="00FB126D">
            <w:pPr>
              <w:pStyle w:val="Default"/>
              <w:jc w:val="both"/>
              <w:rPr>
                <w:rFonts w:ascii="Times New Roman" w:eastAsia="Times New Roman" w:hAnsi="Times New Roman" w:cs="Times New Roman"/>
                <w:bCs/>
                <w:noProof/>
                <w:color w:val="auto"/>
                <w:lang w:val="ro-RO" w:eastAsia="ro-RO"/>
              </w:rPr>
            </w:pPr>
            <w:r w:rsidRPr="00891160">
              <w:rPr>
                <w:rFonts w:ascii="Times New Roman" w:hAnsi="Times New Roman" w:cs="Times New Roman"/>
                <w:noProof/>
                <w:color w:val="auto"/>
                <w:lang w:val="ro-RO"/>
              </w:rPr>
              <w:t>Prezentul proiect asigură transpunerea parțială a Directivei (UE) 2024/1203 a Parlamentului European și a Consiliului din 11 aprilie 2024 privind protecția mediului prin intermediul dreptului penal și de înlocuire a Directivelor 2008/99/CE și 2009/123/CE.</w:t>
            </w:r>
          </w:p>
        </w:tc>
      </w:tr>
      <w:tr w:rsidR="000C6C5F" w:rsidRPr="00C83195" w14:paraId="3FF7C75B" w14:textId="77777777" w:rsidTr="00F03776">
        <w:trPr>
          <w:trHeight w:val="45"/>
        </w:trPr>
        <w:tc>
          <w:tcPr>
            <w:tcW w:w="757" w:type="dxa"/>
          </w:tcPr>
          <w:p w14:paraId="598C0217"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5.3.1.</w:t>
            </w:r>
          </w:p>
        </w:tc>
        <w:tc>
          <w:tcPr>
            <w:tcW w:w="3422" w:type="dxa"/>
            <w:gridSpan w:val="2"/>
          </w:tcPr>
          <w:p w14:paraId="6B3915DA"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Măsuri normative necesare transpunerii directivelor UE</w:t>
            </w:r>
          </w:p>
        </w:tc>
        <w:tc>
          <w:tcPr>
            <w:tcW w:w="5356" w:type="dxa"/>
            <w:gridSpan w:val="8"/>
          </w:tcPr>
          <w:p w14:paraId="08861834"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Transpunerea Directivei (UE) 2024/1203 se realizează prin modificarea și completarea cadrului normativ intern în domeniul dreptului penal și al protecției mediului, prin intervenții asupra următoarelor acte normative:</w:t>
            </w:r>
          </w:p>
          <w:p w14:paraId="1B5B2E34" w14:textId="77777777" w:rsidR="00891160" w:rsidRPr="00891160" w:rsidRDefault="00891160" w:rsidP="00891160">
            <w:pPr>
              <w:spacing w:after="0" w:line="240" w:lineRule="auto"/>
              <w:jc w:val="both"/>
              <w:rPr>
                <w:rFonts w:ascii="Times New Roman" w:hAnsi="Times New Roman"/>
                <w:iCs/>
                <w:sz w:val="24"/>
                <w:szCs w:val="24"/>
              </w:rPr>
            </w:pPr>
          </w:p>
          <w:p w14:paraId="140833EB"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Legea nr. 331/2024 privind Codul silvic;</w:t>
            </w:r>
          </w:p>
          <w:p w14:paraId="19BC8C99" w14:textId="25EAEA22"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Legea nr. 120/2024 privind stabilirea cadrului instituțional și a unor măsuri pentru punerea în aplicare a managementului gazelor fluorurate cu efect de seră</w:t>
            </w:r>
            <w:r w:rsidR="00011D2B" w:rsidRPr="00891160">
              <w:rPr>
                <w:rFonts w:ascii="Times New Roman" w:hAnsi="Times New Roman"/>
                <w:iCs/>
                <w:sz w:val="24"/>
                <w:szCs w:val="24"/>
              </w:rPr>
              <w:t>;</w:t>
            </w:r>
          </w:p>
          <w:p w14:paraId="20EFD039" w14:textId="11F48770"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 xml:space="preserve">Legea nr. 17/1990 privind regimul apelor maritime;  </w:t>
            </w:r>
          </w:p>
          <w:p w14:paraId="2B13D561"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 xml:space="preserve">Legea nr. 165/2016 privind operațiunile petroliere offshore; </w:t>
            </w:r>
          </w:p>
          <w:p w14:paraId="32EDA655"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 xml:space="preserve">Legea nr. 111/1996 privind desfășurarea activităților nucleare; </w:t>
            </w:r>
          </w:p>
          <w:p w14:paraId="6212D847" w14:textId="372FBB71"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Legea nr. 107/1996 privind regimul apelor</w:t>
            </w:r>
            <w:r w:rsidR="00011D2B" w:rsidRPr="00891160">
              <w:rPr>
                <w:rFonts w:ascii="Times New Roman" w:hAnsi="Times New Roman"/>
                <w:iCs/>
                <w:sz w:val="24"/>
                <w:szCs w:val="24"/>
              </w:rPr>
              <w:t>;</w:t>
            </w:r>
          </w:p>
          <w:p w14:paraId="08000DFD"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 xml:space="preserve">Ordonanța de urgență a Guvernului nr. 195/2005 privind protecția mediului, prin instituirea cadrului general al incriminărilor și a criteriilor de evaluare a gravității faptelor; </w:t>
            </w:r>
          </w:p>
          <w:p w14:paraId="05254F7F" w14:textId="77777777"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 xml:space="preserve">Ordonanța de urgență a Guvernului nr. 92/2021 privind regimul deșeurilor; </w:t>
            </w:r>
          </w:p>
          <w:p w14:paraId="0367718A" w14:textId="7345A505" w:rsidR="00891160" w:rsidRPr="00891160" w:rsidRDefault="00891160" w:rsidP="00891160">
            <w:pPr>
              <w:spacing w:after="0" w:line="240" w:lineRule="auto"/>
              <w:jc w:val="both"/>
              <w:rPr>
                <w:rFonts w:ascii="Times New Roman" w:hAnsi="Times New Roman"/>
                <w:iCs/>
                <w:sz w:val="24"/>
                <w:szCs w:val="24"/>
              </w:rPr>
            </w:pPr>
            <w:r w:rsidRPr="00891160">
              <w:rPr>
                <w:rFonts w:ascii="Times New Roman" w:hAnsi="Times New Roman"/>
                <w:iCs/>
                <w:sz w:val="24"/>
                <w:szCs w:val="24"/>
              </w:rPr>
              <w:t>•</w:t>
            </w:r>
            <w:r w:rsidRPr="00891160">
              <w:rPr>
                <w:rFonts w:ascii="Times New Roman" w:hAnsi="Times New Roman"/>
                <w:iCs/>
                <w:sz w:val="24"/>
                <w:szCs w:val="24"/>
              </w:rPr>
              <w:tab/>
              <w:t>Ordonanța de urgență a Guvernului nr. 57/2007 privind regimul ariilor naturale protejate, conservarea habitatelor naturale, a florei și faunei sălbatice</w:t>
            </w:r>
            <w:r w:rsidR="00011D2B">
              <w:rPr>
                <w:rFonts w:ascii="Times New Roman" w:hAnsi="Times New Roman"/>
                <w:iCs/>
                <w:sz w:val="24"/>
                <w:szCs w:val="24"/>
              </w:rPr>
              <w:t>.</w:t>
            </w:r>
          </w:p>
          <w:p w14:paraId="327B69AA" w14:textId="77777777" w:rsidR="00891160" w:rsidRPr="00891160" w:rsidRDefault="00891160" w:rsidP="00891160">
            <w:pPr>
              <w:spacing w:after="0" w:line="240" w:lineRule="auto"/>
              <w:jc w:val="both"/>
              <w:rPr>
                <w:rFonts w:ascii="Times New Roman" w:hAnsi="Times New Roman"/>
                <w:iCs/>
                <w:sz w:val="24"/>
                <w:szCs w:val="24"/>
              </w:rPr>
            </w:pPr>
          </w:p>
          <w:p w14:paraId="080842CF" w14:textId="451AE982" w:rsidR="00D028CA" w:rsidRPr="00C83195" w:rsidRDefault="00891160" w:rsidP="00792971">
            <w:pPr>
              <w:spacing w:after="0" w:line="240" w:lineRule="auto"/>
              <w:jc w:val="both"/>
              <w:rPr>
                <w:rFonts w:ascii="Times New Roman" w:eastAsia="Times New Roman" w:hAnsi="Times New Roman"/>
                <w:b/>
                <w:sz w:val="24"/>
                <w:szCs w:val="24"/>
              </w:rPr>
            </w:pPr>
            <w:r w:rsidRPr="00891160">
              <w:rPr>
                <w:rFonts w:ascii="Times New Roman" w:hAnsi="Times New Roman"/>
                <w:iCs/>
                <w:sz w:val="24"/>
                <w:szCs w:val="24"/>
              </w:rPr>
              <w:t>Prin aceste modificări și completări legislative se asigură transpunerea dispozițiilor directivei referitoare la definirea infracțiunilor împotriva mediului, delimitarea ipotezelor de pericol și a celor de rezultat, reglementarea sancțiunilor aplicabile, instituirea criteriilor de evaluare a gravității faptelor, precum și a măsurilor privind prevenirea, cooperarea instituțională, formarea profesională și colectarea datelor statistice.</w:t>
            </w:r>
          </w:p>
        </w:tc>
      </w:tr>
      <w:tr w:rsidR="000C6C5F" w:rsidRPr="00C83195" w14:paraId="0BF8FAC9" w14:textId="77777777" w:rsidTr="00F03776">
        <w:trPr>
          <w:trHeight w:val="45"/>
        </w:trPr>
        <w:tc>
          <w:tcPr>
            <w:tcW w:w="757" w:type="dxa"/>
          </w:tcPr>
          <w:p w14:paraId="1FA7C4D4" w14:textId="77777777" w:rsidR="000C6C5F" w:rsidRPr="00C83195" w:rsidRDefault="000C6C5F" w:rsidP="00792971">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lastRenderedPageBreak/>
              <w:t>5.3.2.</w:t>
            </w:r>
          </w:p>
        </w:tc>
        <w:tc>
          <w:tcPr>
            <w:tcW w:w="3422" w:type="dxa"/>
            <w:gridSpan w:val="2"/>
          </w:tcPr>
          <w:p w14:paraId="0236B988" w14:textId="77777777" w:rsidR="000C6C5F" w:rsidRPr="00C83195" w:rsidRDefault="000C6C5F" w:rsidP="00792971">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Măsuri normative necesare aplicării actelor legislative ale UE</w:t>
            </w:r>
          </w:p>
        </w:tc>
        <w:tc>
          <w:tcPr>
            <w:tcW w:w="5356" w:type="dxa"/>
            <w:gridSpan w:val="8"/>
          </w:tcPr>
          <w:p w14:paraId="05A1C4E0" w14:textId="2C3A206B" w:rsidR="00D028CA" w:rsidRPr="00A06EF0" w:rsidRDefault="000C6C5F" w:rsidP="00792971">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p w14:paraId="087858F2" w14:textId="77777777" w:rsidR="00D028CA" w:rsidRPr="00C83195" w:rsidRDefault="00D028CA" w:rsidP="00792971">
            <w:pPr>
              <w:spacing w:after="0" w:line="240" w:lineRule="auto"/>
              <w:jc w:val="both"/>
              <w:rPr>
                <w:rFonts w:ascii="Times New Roman" w:eastAsia="Times New Roman" w:hAnsi="Times New Roman"/>
                <w:b/>
                <w:sz w:val="24"/>
                <w:szCs w:val="24"/>
              </w:rPr>
            </w:pPr>
          </w:p>
        </w:tc>
      </w:tr>
      <w:tr w:rsidR="00891160" w:rsidRPr="00C83195" w14:paraId="20FBDBA3" w14:textId="77777777" w:rsidTr="00F03776">
        <w:trPr>
          <w:trHeight w:val="45"/>
        </w:trPr>
        <w:tc>
          <w:tcPr>
            <w:tcW w:w="757" w:type="dxa"/>
          </w:tcPr>
          <w:p w14:paraId="69B9A455"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5.4.</w:t>
            </w:r>
          </w:p>
        </w:tc>
        <w:tc>
          <w:tcPr>
            <w:tcW w:w="3422" w:type="dxa"/>
            <w:gridSpan w:val="2"/>
          </w:tcPr>
          <w:p w14:paraId="11E25216"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Hotărâri ale Curţii de Justiţie a Uniunii Europene </w:t>
            </w:r>
          </w:p>
        </w:tc>
        <w:tc>
          <w:tcPr>
            <w:tcW w:w="5356" w:type="dxa"/>
            <w:gridSpan w:val="8"/>
          </w:tcPr>
          <w:p w14:paraId="6670F83D" w14:textId="77777777" w:rsidR="00891160" w:rsidRPr="00A06EF0" w:rsidRDefault="00891160" w:rsidP="00891160">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p w14:paraId="3273D695" w14:textId="77793BD1" w:rsidR="00891160" w:rsidRPr="00C83195" w:rsidRDefault="00891160" w:rsidP="00891160">
            <w:pPr>
              <w:pStyle w:val="Default"/>
              <w:spacing w:line="360" w:lineRule="auto"/>
              <w:jc w:val="both"/>
              <w:rPr>
                <w:rFonts w:ascii="Times New Roman" w:eastAsia="Times New Roman" w:hAnsi="Times New Roman"/>
                <w:b/>
                <w:noProof/>
                <w:lang w:val="ro-RO"/>
              </w:rPr>
            </w:pPr>
          </w:p>
        </w:tc>
      </w:tr>
      <w:tr w:rsidR="00891160" w:rsidRPr="00C83195" w14:paraId="7FFC3598" w14:textId="77777777" w:rsidTr="00F03776">
        <w:trPr>
          <w:trHeight w:val="252"/>
        </w:trPr>
        <w:tc>
          <w:tcPr>
            <w:tcW w:w="757" w:type="dxa"/>
          </w:tcPr>
          <w:p w14:paraId="7925B6F5"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5.5.</w:t>
            </w:r>
          </w:p>
        </w:tc>
        <w:tc>
          <w:tcPr>
            <w:tcW w:w="3422" w:type="dxa"/>
            <w:gridSpan w:val="2"/>
          </w:tcPr>
          <w:p w14:paraId="36E8BE6E"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acte normative şi/sau documente internaţionale din care decurg angajamente asumate </w:t>
            </w:r>
          </w:p>
        </w:tc>
        <w:tc>
          <w:tcPr>
            <w:tcW w:w="5356" w:type="dxa"/>
            <w:gridSpan w:val="8"/>
          </w:tcPr>
          <w:p w14:paraId="19DE4B52" w14:textId="77777777" w:rsidR="00891160" w:rsidRPr="00C83195" w:rsidRDefault="00891160" w:rsidP="00891160">
            <w:pPr>
              <w:spacing w:after="0" w:line="240" w:lineRule="auto"/>
              <w:contextualSpacing/>
              <w:jc w:val="both"/>
              <w:rPr>
                <w:rFonts w:ascii="Times New Roman" w:eastAsia="Times New Roman" w:hAnsi="Times New Roman"/>
                <w:b/>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891160" w:rsidRPr="00C83195" w14:paraId="445C6843" w14:textId="77777777" w:rsidTr="00F03776">
        <w:trPr>
          <w:trHeight w:val="252"/>
        </w:trPr>
        <w:tc>
          <w:tcPr>
            <w:tcW w:w="757" w:type="dxa"/>
          </w:tcPr>
          <w:p w14:paraId="09A0F9E3"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5.6.</w:t>
            </w:r>
          </w:p>
        </w:tc>
        <w:tc>
          <w:tcPr>
            <w:tcW w:w="3422" w:type="dxa"/>
            <w:gridSpan w:val="2"/>
          </w:tcPr>
          <w:p w14:paraId="7F9F4211"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Alte informaţii</w:t>
            </w:r>
          </w:p>
        </w:tc>
        <w:tc>
          <w:tcPr>
            <w:tcW w:w="5356" w:type="dxa"/>
            <w:gridSpan w:val="8"/>
          </w:tcPr>
          <w:p w14:paraId="1BB686C1" w14:textId="6E1E8845"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Nu au fost identificate.</w:t>
            </w:r>
          </w:p>
        </w:tc>
      </w:tr>
      <w:tr w:rsidR="00891160" w:rsidRPr="00C83195" w14:paraId="31A1B87E" w14:textId="77777777" w:rsidTr="00F03776">
        <w:trPr>
          <w:trHeight w:val="45"/>
        </w:trPr>
        <w:tc>
          <w:tcPr>
            <w:tcW w:w="9535" w:type="dxa"/>
            <w:gridSpan w:val="11"/>
            <w:vAlign w:val="center"/>
          </w:tcPr>
          <w:p w14:paraId="582A3482" w14:textId="013B3B7B" w:rsidR="00891160" w:rsidRPr="00C83195" w:rsidRDefault="00891160" w:rsidP="00891160">
            <w:pPr>
              <w:autoSpaceDE w:val="0"/>
              <w:autoSpaceDN w:val="0"/>
              <w:adjustRightInd w:val="0"/>
              <w:spacing w:before="240" w:after="240" w:line="240" w:lineRule="auto"/>
              <w:rPr>
                <w:rFonts w:ascii="Times New Roman" w:hAnsi="Times New Roman"/>
                <w:b/>
                <w:sz w:val="24"/>
                <w:szCs w:val="24"/>
              </w:rPr>
            </w:pPr>
            <w:r w:rsidRPr="00C83195">
              <w:rPr>
                <w:rFonts w:ascii="Times New Roman" w:hAnsi="Times New Roman"/>
                <w:b/>
                <w:sz w:val="24"/>
                <w:szCs w:val="24"/>
              </w:rPr>
              <w:t xml:space="preserve">                                                               Secţiunea a 6-a</w:t>
            </w:r>
          </w:p>
          <w:p w14:paraId="70F2E756" w14:textId="245EC3D7" w:rsidR="00891160" w:rsidRPr="00C83195" w:rsidRDefault="00891160" w:rsidP="00891160">
            <w:pPr>
              <w:autoSpaceDE w:val="0"/>
              <w:autoSpaceDN w:val="0"/>
              <w:adjustRightInd w:val="0"/>
              <w:spacing w:before="240" w:after="240" w:line="240" w:lineRule="auto"/>
              <w:rPr>
                <w:rFonts w:ascii="Times New Roman" w:hAnsi="Times New Roman"/>
                <w:b/>
                <w:sz w:val="24"/>
                <w:szCs w:val="24"/>
              </w:rPr>
            </w:pPr>
            <w:r>
              <w:rPr>
                <w:rFonts w:ascii="Times New Roman" w:hAnsi="Times New Roman"/>
                <w:b/>
                <w:sz w:val="24"/>
                <w:szCs w:val="24"/>
              </w:rPr>
              <w:t xml:space="preserve">                  </w:t>
            </w:r>
            <w:r w:rsidRPr="00C83195">
              <w:rPr>
                <w:rFonts w:ascii="Times New Roman" w:hAnsi="Times New Roman"/>
                <w:b/>
                <w:sz w:val="24"/>
                <w:szCs w:val="24"/>
              </w:rPr>
              <w:t>Consultările efectuate în vederea elaborării proiectului de act normativ</w:t>
            </w:r>
          </w:p>
        </w:tc>
      </w:tr>
      <w:tr w:rsidR="00891160" w:rsidRPr="00C83195" w14:paraId="673FD90E" w14:textId="77777777" w:rsidTr="00F03776">
        <w:trPr>
          <w:trHeight w:val="55"/>
        </w:trPr>
        <w:tc>
          <w:tcPr>
            <w:tcW w:w="757" w:type="dxa"/>
          </w:tcPr>
          <w:p w14:paraId="242F8321"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6.1.</w:t>
            </w:r>
          </w:p>
        </w:tc>
        <w:tc>
          <w:tcPr>
            <w:tcW w:w="3516" w:type="dxa"/>
            <w:gridSpan w:val="3"/>
          </w:tcPr>
          <w:p w14:paraId="4DC65C28"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neaplicarea procedurii de participare la elaborarea actelor normative</w:t>
            </w:r>
          </w:p>
        </w:tc>
        <w:tc>
          <w:tcPr>
            <w:tcW w:w="5262" w:type="dxa"/>
            <w:gridSpan w:val="7"/>
          </w:tcPr>
          <w:p w14:paraId="4DCA5C32" w14:textId="77777777" w:rsidR="00891160" w:rsidRPr="00C83195" w:rsidRDefault="00891160" w:rsidP="00891160">
            <w:pPr>
              <w:spacing w:after="0" w:line="240" w:lineRule="auto"/>
              <w:jc w:val="both"/>
              <w:rPr>
                <w:rFonts w:ascii="Times New Roman" w:eastAsia="Times New Roman" w:hAnsi="Times New Roman"/>
                <w:sz w:val="24"/>
                <w:szCs w:val="24"/>
                <w:highlight w:val="yellow"/>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891160" w:rsidRPr="00C83195" w14:paraId="726C2133" w14:textId="77777777" w:rsidTr="00F03776">
        <w:trPr>
          <w:trHeight w:val="52"/>
        </w:trPr>
        <w:tc>
          <w:tcPr>
            <w:tcW w:w="757" w:type="dxa"/>
          </w:tcPr>
          <w:p w14:paraId="1776E7B3"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6.2.</w:t>
            </w:r>
          </w:p>
        </w:tc>
        <w:tc>
          <w:tcPr>
            <w:tcW w:w="3516" w:type="dxa"/>
            <w:gridSpan w:val="3"/>
          </w:tcPr>
          <w:p w14:paraId="47A369EF"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procesul de consultare cu organizaţii neguvernamentale, institute de cercetare şi alte organisme implicate</w:t>
            </w:r>
          </w:p>
        </w:tc>
        <w:tc>
          <w:tcPr>
            <w:tcW w:w="5262" w:type="dxa"/>
            <w:gridSpan w:val="7"/>
          </w:tcPr>
          <w:p w14:paraId="6323E098" w14:textId="77777777" w:rsidR="00891160" w:rsidRPr="00C83195" w:rsidRDefault="00891160" w:rsidP="00891160">
            <w:pPr>
              <w:spacing w:after="0" w:line="240" w:lineRule="auto"/>
              <w:jc w:val="both"/>
              <w:rPr>
                <w:rFonts w:ascii="Times New Roman" w:eastAsia="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891160" w:rsidRPr="00C83195" w14:paraId="1A1D8823" w14:textId="77777777" w:rsidTr="00F03776">
        <w:trPr>
          <w:trHeight w:val="52"/>
        </w:trPr>
        <w:tc>
          <w:tcPr>
            <w:tcW w:w="757" w:type="dxa"/>
          </w:tcPr>
          <w:p w14:paraId="394296A4"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6.3.</w:t>
            </w:r>
          </w:p>
        </w:tc>
        <w:tc>
          <w:tcPr>
            <w:tcW w:w="3516" w:type="dxa"/>
            <w:gridSpan w:val="3"/>
          </w:tcPr>
          <w:p w14:paraId="4A99E7D2"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Informaţii despre consultările organizate cu autorităţile administraţiei publice locale</w:t>
            </w:r>
          </w:p>
        </w:tc>
        <w:tc>
          <w:tcPr>
            <w:tcW w:w="5262" w:type="dxa"/>
            <w:gridSpan w:val="7"/>
          </w:tcPr>
          <w:p w14:paraId="0D5F3FC1" w14:textId="63BD48C0" w:rsidR="00891160" w:rsidRPr="00C83195" w:rsidRDefault="00891160" w:rsidP="00891160">
            <w:pPr>
              <w:spacing w:after="0" w:line="240" w:lineRule="auto"/>
              <w:jc w:val="both"/>
              <w:rPr>
                <w:rFonts w:ascii="Times New Roman" w:hAnsi="Times New Roman"/>
                <w:sz w:val="24"/>
                <w:szCs w:val="24"/>
              </w:rPr>
            </w:pPr>
            <w:r w:rsidRPr="00C83195">
              <w:rPr>
                <w:rFonts w:ascii="Times New Roman" w:hAnsi="Times New Roman"/>
                <w:iCs/>
                <w:sz w:val="24"/>
                <w:szCs w:val="24"/>
              </w:rPr>
              <w:t>Proiectul de act normativ nu se referă la acest subiect</w:t>
            </w:r>
            <w:r w:rsidRPr="00C83195">
              <w:rPr>
                <w:rFonts w:ascii="Times New Roman" w:hAnsi="Times New Roman"/>
                <w:sz w:val="24"/>
                <w:szCs w:val="24"/>
              </w:rPr>
              <w:t>.</w:t>
            </w:r>
          </w:p>
        </w:tc>
      </w:tr>
      <w:tr w:rsidR="00891160" w:rsidRPr="00C83195" w14:paraId="02D7CE28" w14:textId="77777777" w:rsidTr="00F03776">
        <w:trPr>
          <w:trHeight w:val="52"/>
        </w:trPr>
        <w:tc>
          <w:tcPr>
            <w:tcW w:w="757" w:type="dxa"/>
          </w:tcPr>
          <w:p w14:paraId="79FC62F4"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6.4.</w:t>
            </w:r>
          </w:p>
        </w:tc>
        <w:tc>
          <w:tcPr>
            <w:tcW w:w="3516" w:type="dxa"/>
            <w:gridSpan w:val="3"/>
          </w:tcPr>
          <w:p w14:paraId="626D2C57" w14:textId="77777777" w:rsidR="00891160" w:rsidRPr="00C83195" w:rsidRDefault="00891160" w:rsidP="00891160">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Informaţii privind puncte de vedere/opinii emise de organisme consultative constituite prin acte normative</w:t>
            </w:r>
          </w:p>
        </w:tc>
        <w:tc>
          <w:tcPr>
            <w:tcW w:w="5262" w:type="dxa"/>
            <w:gridSpan w:val="7"/>
          </w:tcPr>
          <w:p w14:paraId="114AEFA2" w14:textId="77777777" w:rsidR="00891160" w:rsidRPr="00C83195" w:rsidRDefault="00891160" w:rsidP="00891160">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891160" w:rsidRPr="00C83195" w14:paraId="42A869E0" w14:textId="77777777" w:rsidTr="00F03776">
        <w:trPr>
          <w:trHeight w:val="52"/>
        </w:trPr>
        <w:tc>
          <w:tcPr>
            <w:tcW w:w="757" w:type="dxa"/>
          </w:tcPr>
          <w:p w14:paraId="2C0C7FC4"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6.5.</w:t>
            </w:r>
          </w:p>
        </w:tc>
        <w:tc>
          <w:tcPr>
            <w:tcW w:w="3516" w:type="dxa"/>
            <w:gridSpan w:val="3"/>
          </w:tcPr>
          <w:p w14:paraId="768E54A0"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Informaţii privind avizarea de către:                           </w:t>
            </w:r>
          </w:p>
          <w:p w14:paraId="4D516779"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a) Consiliul Legislativ </w:t>
            </w:r>
          </w:p>
          <w:p w14:paraId="46FB75C8"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b) Consiliul Suprem de Apărare a Ţării                         </w:t>
            </w:r>
          </w:p>
          <w:p w14:paraId="37E257EB"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c) Consiliul Economic şi Social </w:t>
            </w:r>
          </w:p>
          <w:p w14:paraId="0153992F"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d) Consiliul Concurenţei    </w:t>
            </w:r>
          </w:p>
          <w:p w14:paraId="7F284622"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 xml:space="preserve">e) Curtea de Conturi             </w:t>
            </w:r>
          </w:p>
        </w:tc>
        <w:tc>
          <w:tcPr>
            <w:tcW w:w="5262" w:type="dxa"/>
            <w:gridSpan w:val="7"/>
          </w:tcPr>
          <w:p w14:paraId="046E9D04" w14:textId="5A20D735" w:rsidR="00891160" w:rsidRPr="00A06EF0" w:rsidRDefault="00891160" w:rsidP="00891160">
            <w:pPr>
              <w:pStyle w:val="BodyText"/>
              <w:rPr>
                <w:rFonts w:ascii="Times New Roman" w:hAnsi="Times New Roman"/>
                <w:color w:val="auto"/>
                <w:szCs w:val="24"/>
              </w:rPr>
            </w:pPr>
            <w:bookmarkStart w:id="0" w:name="_Hlk213320893"/>
            <w:r w:rsidRPr="00C83195">
              <w:rPr>
                <w:rFonts w:ascii="Times New Roman" w:hAnsi="Times New Roman"/>
                <w:color w:val="auto"/>
                <w:szCs w:val="24"/>
              </w:rPr>
              <w:t xml:space="preserve">Proiectul de act normativ urmează a fi avizat de </w:t>
            </w:r>
            <w:r w:rsidRPr="00C83195">
              <w:rPr>
                <w:rFonts w:ascii="Times New Roman" w:hAnsi="Times New Roman"/>
                <w:szCs w:val="24"/>
              </w:rPr>
              <w:t>Consiliul Economic şi Social</w:t>
            </w:r>
            <w:r>
              <w:rPr>
                <w:rFonts w:ascii="Times New Roman" w:hAnsi="Times New Roman"/>
                <w:szCs w:val="24"/>
              </w:rPr>
              <w:t xml:space="preserve"> </w:t>
            </w:r>
            <w:r>
              <w:rPr>
                <w:rFonts w:ascii="Times New Roman" w:hAnsi="Times New Roman"/>
                <w:color w:val="auto"/>
                <w:szCs w:val="24"/>
              </w:rPr>
              <w:t>și</w:t>
            </w:r>
            <w:r w:rsidRPr="00C83195">
              <w:rPr>
                <w:rFonts w:ascii="Times New Roman" w:hAnsi="Times New Roman"/>
                <w:color w:val="auto"/>
                <w:szCs w:val="24"/>
              </w:rPr>
              <w:t xml:space="preserve"> Consiliul Legislativ.</w:t>
            </w:r>
            <w:bookmarkEnd w:id="0"/>
          </w:p>
          <w:p w14:paraId="0BD34270" w14:textId="77777777" w:rsidR="00891160" w:rsidRPr="00C83195" w:rsidRDefault="00891160" w:rsidP="00891160">
            <w:pPr>
              <w:spacing w:after="0" w:line="240" w:lineRule="auto"/>
              <w:jc w:val="both"/>
              <w:rPr>
                <w:rFonts w:ascii="Times New Roman" w:eastAsia="Times New Roman" w:hAnsi="Times New Roman"/>
                <w:sz w:val="24"/>
                <w:szCs w:val="24"/>
              </w:rPr>
            </w:pPr>
          </w:p>
        </w:tc>
      </w:tr>
      <w:tr w:rsidR="00891160" w:rsidRPr="00C83195" w14:paraId="5E9DB478" w14:textId="77777777" w:rsidTr="00F03776">
        <w:trPr>
          <w:trHeight w:val="52"/>
        </w:trPr>
        <w:tc>
          <w:tcPr>
            <w:tcW w:w="757" w:type="dxa"/>
          </w:tcPr>
          <w:p w14:paraId="51F29023"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6.6.</w:t>
            </w:r>
          </w:p>
        </w:tc>
        <w:tc>
          <w:tcPr>
            <w:tcW w:w="3516" w:type="dxa"/>
            <w:gridSpan w:val="3"/>
          </w:tcPr>
          <w:p w14:paraId="61907FC8"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informaţii                  </w:t>
            </w:r>
          </w:p>
        </w:tc>
        <w:tc>
          <w:tcPr>
            <w:tcW w:w="5262" w:type="dxa"/>
            <w:gridSpan w:val="7"/>
          </w:tcPr>
          <w:p w14:paraId="7F82F92A" w14:textId="6723087C" w:rsidR="00891160" w:rsidRPr="00C83195" w:rsidRDefault="00891160" w:rsidP="00891160">
            <w:pPr>
              <w:spacing w:after="0" w:line="240" w:lineRule="auto"/>
              <w:jc w:val="both"/>
              <w:rPr>
                <w:rFonts w:ascii="Times New Roman" w:hAnsi="Times New Roman"/>
                <w:sz w:val="24"/>
                <w:szCs w:val="24"/>
              </w:rPr>
            </w:pPr>
            <w:r w:rsidRPr="00C83195">
              <w:rPr>
                <w:rFonts w:ascii="Times New Roman" w:hAnsi="Times New Roman"/>
                <w:sz w:val="24"/>
                <w:szCs w:val="24"/>
              </w:rPr>
              <w:t>Nu au fost identificate.</w:t>
            </w:r>
          </w:p>
        </w:tc>
      </w:tr>
      <w:tr w:rsidR="00891160" w:rsidRPr="00C83195" w14:paraId="7656DDF6" w14:textId="77777777" w:rsidTr="00F03776">
        <w:trPr>
          <w:trHeight w:val="1834"/>
        </w:trPr>
        <w:tc>
          <w:tcPr>
            <w:tcW w:w="9535" w:type="dxa"/>
            <w:gridSpan w:val="11"/>
            <w:vAlign w:val="center"/>
          </w:tcPr>
          <w:p w14:paraId="10D278E4" w14:textId="49B8CE4E" w:rsidR="00891160" w:rsidRPr="00C83195" w:rsidRDefault="00891160" w:rsidP="00891160">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lastRenderedPageBreak/>
              <w:t>Secţiunea a 7-a</w:t>
            </w:r>
          </w:p>
          <w:p w14:paraId="7574775A" w14:textId="77777777" w:rsidR="00891160" w:rsidRPr="00C83195" w:rsidRDefault="00891160" w:rsidP="00891160">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Activităţi de informare publică privind elaborarea şi implementarea</w:t>
            </w:r>
          </w:p>
          <w:p w14:paraId="5BA8D095" w14:textId="392E457C" w:rsidR="00891160" w:rsidRPr="00C83195" w:rsidRDefault="00891160" w:rsidP="00891160">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proiectului de act normativ</w:t>
            </w:r>
          </w:p>
        </w:tc>
      </w:tr>
      <w:tr w:rsidR="00891160" w:rsidRPr="00C83195" w14:paraId="69E046BD" w14:textId="77777777" w:rsidTr="00F03776">
        <w:trPr>
          <w:trHeight w:val="105"/>
        </w:trPr>
        <w:tc>
          <w:tcPr>
            <w:tcW w:w="757" w:type="dxa"/>
            <w:vAlign w:val="center"/>
          </w:tcPr>
          <w:p w14:paraId="7D8E0D8A" w14:textId="77777777"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7.1.</w:t>
            </w:r>
          </w:p>
        </w:tc>
        <w:tc>
          <w:tcPr>
            <w:tcW w:w="3657" w:type="dxa"/>
            <w:gridSpan w:val="4"/>
          </w:tcPr>
          <w:p w14:paraId="4DAA6BFB" w14:textId="77777777" w:rsidR="00891160" w:rsidRPr="00C83195" w:rsidRDefault="00891160" w:rsidP="00891160">
            <w:pPr>
              <w:spacing w:after="0" w:line="240" w:lineRule="auto"/>
              <w:contextualSpacing/>
              <w:jc w:val="both"/>
              <w:rPr>
                <w:rFonts w:ascii="Times New Roman" w:eastAsia="Times New Roman" w:hAnsi="Times New Roman"/>
                <w:iCs/>
                <w:sz w:val="24"/>
                <w:szCs w:val="24"/>
              </w:rPr>
            </w:pPr>
            <w:r w:rsidRPr="00C83195">
              <w:rPr>
                <w:rFonts w:ascii="Times New Roman" w:eastAsia="Times New Roman" w:hAnsi="Times New Roman"/>
                <w:sz w:val="24"/>
                <w:szCs w:val="24"/>
              </w:rPr>
              <w:t>Informarea societăţii civile cu privire la elaborarea proiectului de act normativ</w:t>
            </w:r>
          </w:p>
        </w:tc>
        <w:tc>
          <w:tcPr>
            <w:tcW w:w="5121" w:type="dxa"/>
            <w:gridSpan w:val="6"/>
          </w:tcPr>
          <w:p w14:paraId="1148BDC1" w14:textId="78D1478D" w:rsidR="00891160" w:rsidRPr="00460AAD" w:rsidRDefault="00891160" w:rsidP="00891160">
            <w:pPr>
              <w:spacing w:after="0" w:line="240" w:lineRule="auto"/>
              <w:jc w:val="both"/>
              <w:rPr>
                <w:rFonts w:ascii="Times New Roman" w:eastAsia="MS Mincho" w:hAnsi="Times New Roman"/>
                <w:sz w:val="24"/>
                <w:szCs w:val="24"/>
              </w:rPr>
            </w:pPr>
            <w:bookmarkStart w:id="1" w:name="_Hlk213254671"/>
            <w:r w:rsidRPr="00460AAD">
              <w:rPr>
                <w:rFonts w:ascii="Times New Roman" w:eastAsia="MS Mincho" w:hAnsi="Times New Roman"/>
                <w:sz w:val="24"/>
                <w:szCs w:val="24"/>
              </w:rPr>
              <w:t xml:space="preserve">În procesul de elaborare a proiectului de act normativ a fost îndeplinită procedura prevăzută de </w:t>
            </w:r>
            <w:r w:rsidRPr="00460AAD">
              <w:rPr>
                <w:rFonts w:ascii="Times New Roman" w:eastAsia="MS Mincho" w:hAnsi="Times New Roman"/>
                <w:sz w:val="24"/>
                <w:szCs w:val="24"/>
              </w:rPr>
              <w:br/>
              <w:t>Legea nr. 52/2003 privind transparenţa decizională în administrația publică, republicată, cu modificările și completările ulterioare.</w:t>
            </w:r>
          </w:p>
          <w:p w14:paraId="339130E5" w14:textId="77777777" w:rsidR="00891160" w:rsidRPr="00460AAD" w:rsidRDefault="00891160" w:rsidP="00891160">
            <w:pPr>
              <w:spacing w:after="0" w:line="240" w:lineRule="auto"/>
              <w:jc w:val="both"/>
              <w:rPr>
                <w:rFonts w:ascii="Times New Roman" w:eastAsia="MS Mincho" w:hAnsi="Times New Roman"/>
                <w:sz w:val="24"/>
                <w:szCs w:val="24"/>
              </w:rPr>
            </w:pPr>
          </w:p>
          <w:p w14:paraId="1B24B27E" w14:textId="30E4FA7D" w:rsidR="00891160" w:rsidRPr="00460AAD" w:rsidRDefault="00891160" w:rsidP="00891160">
            <w:pPr>
              <w:spacing w:after="0" w:line="240" w:lineRule="auto"/>
              <w:jc w:val="both"/>
              <w:rPr>
                <w:rFonts w:ascii="Times New Roman" w:eastAsia="MS Mincho" w:hAnsi="Times New Roman"/>
                <w:sz w:val="24"/>
                <w:szCs w:val="24"/>
              </w:rPr>
            </w:pPr>
            <w:r w:rsidRPr="00460AAD">
              <w:rPr>
                <w:rFonts w:ascii="Times New Roman" w:eastAsia="MS Mincho" w:hAnsi="Times New Roman"/>
                <w:sz w:val="24"/>
                <w:szCs w:val="24"/>
              </w:rPr>
              <w:t xml:space="preserve">Proiectul de act normativ a fost postat pe site-ul Ministerului Mediului, Apelor și Pădurilor, la Secțiunea „Transparență” în data de  </w:t>
            </w:r>
            <w:r>
              <w:rPr>
                <w:rFonts w:ascii="Times New Roman" w:eastAsia="MS Mincho" w:hAnsi="Times New Roman"/>
                <w:sz w:val="24"/>
                <w:szCs w:val="24"/>
              </w:rPr>
              <w:t>........................................</w:t>
            </w:r>
            <w:r w:rsidRPr="00460AAD">
              <w:rPr>
                <w:rFonts w:ascii="Times New Roman" w:eastAsia="MS Mincho" w:hAnsi="Times New Roman"/>
                <w:sz w:val="24"/>
                <w:szCs w:val="24"/>
              </w:rPr>
              <w:t>.</w:t>
            </w:r>
            <w:bookmarkEnd w:id="1"/>
          </w:p>
        </w:tc>
      </w:tr>
      <w:tr w:rsidR="00891160" w:rsidRPr="00C83195" w14:paraId="68AED2D8" w14:textId="77777777" w:rsidTr="00F03776">
        <w:trPr>
          <w:trHeight w:val="105"/>
        </w:trPr>
        <w:tc>
          <w:tcPr>
            <w:tcW w:w="757" w:type="dxa"/>
            <w:vAlign w:val="center"/>
          </w:tcPr>
          <w:p w14:paraId="5C06BEFD" w14:textId="31DBEBA5" w:rsidR="00891160" w:rsidRPr="00C83195" w:rsidRDefault="00891160" w:rsidP="00891160">
            <w:pPr>
              <w:spacing w:after="0" w:line="240" w:lineRule="auto"/>
              <w:contextualSpacing/>
              <w:jc w:val="both"/>
              <w:rPr>
                <w:rFonts w:ascii="Times New Roman" w:eastAsia="Times New Roman" w:hAnsi="Times New Roman"/>
                <w:sz w:val="24"/>
                <w:szCs w:val="24"/>
              </w:rPr>
            </w:pPr>
            <w:r w:rsidRPr="00C83195">
              <w:rPr>
                <w:rFonts w:ascii="Times New Roman" w:eastAsia="Times New Roman" w:hAnsi="Times New Roman"/>
                <w:sz w:val="24"/>
                <w:szCs w:val="24"/>
              </w:rPr>
              <w:t>7.2.</w:t>
            </w:r>
          </w:p>
        </w:tc>
        <w:tc>
          <w:tcPr>
            <w:tcW w:w="3657" w:type="dxa"/>
            <w:gridSpan w:val="4"/>
          </w:tcPr>
          <w:p w14:paraId="09D9D332" w14:textId="77777777" w:rsidR="00891160" w:rsidRPr="00C83195" w:rsidRDefault="00891160" w:rsidP="00891160">
            <w:pPr>
              <w:spacing w:after="0" w:line="240" w:lineRule="auto"/>
              <w:jc w:val="both"/>
              <w:rPr>
                <w:rFonts w:ascii="Times New Roman" w:eastAsia="Times New Roman" w:hAnsi="Times New Roman"/>
                <w:sz w:val="24"/>
                <w:szCs w:val="24"/>
              </w:rPr>
            </w:pPr>
            <w:r w:rsidRPr="00C83195">
              <w:rPr>
                <w:rFonts w:ascii="Times New Roman" w:eastAsia="Times New Roman" w:hAnsi="Times New Roman"/>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5121" w:type="dxa"/>
            <w:gridSpan w:val="6"/>
          </w:tcPr>
          <w:p w14:paraId="0487CC21" w14:textId="77777777" w:rsidR="00891160" w:rsidRPr="00C83195" w:rsidRDefault="00891160" w:rsidP="00891160">
            <w:pPr>
              <w:spacing w:after="0" w:line="240" w:lineRule="auto"/>
              <w:jc w:val="both"/>
              <w:rPr>
                <w:rFonts w:ascii="Times New Roman" w:eastAsia="Times New Roman" w:hAnsi="Times New Roman"/>
                <w:sz w:val="24"/>
                <w:szCs w:val="24"/>
              </w:rPr>
            </w:pPr>
            <w:r w:rsidRPr="00C83195">
              <w:rPr>
                <w:rFonts w:ascii="Times New Roman" w:hAnsi="Times New Roman"/>
                <w:sz w:val="24"/>
                <w:szCs w:val="24"/>
              </w:rPr>
              <w:t>Proiectul de act normativ nu se referă la acest subiect.</w:t>
            </w:r>
          </w:p>
        </w:tc>
      </w:tr>
      <w:tr w:rsidR="00891160" w:rsidRPr="00C83195" w14:paraId="6FC7168A" w14:textId="77777777" w:rsidTr="00F03776">
        <w:trPr>
          <w:trHeight w:val="1496"/>
        </w:trPr>
        <w:tc>
          <w:tcPr>
            <w:tcW w:w="9535" w:type="dxa"/>
            <w:gridSpan w:val="11"/>
            <w:vAlign w:val="center"/>
          </w:tcPr>
          <w:p w14:paraId="267844F1" w14:textId="748C97B6" w:rsidR="00891160" w:rsidRPr="00C83195" w:rsidRDefault="00891160" w:rsidP="00891160">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Secţiunea a 8-a</w:t>
            </w:r>
          </w:p>
          <w:p w14:paraId="7AFA4F74" w14:textId="1A2F8877" w:rsidR="00891160" w:rsidRPr="00C83195" w:rsidRDefault="00891160" w:rsidP="00891160">
            <w:pPr>
              <w:autoSpaceDE w:val="0"/>
              <w:autoSpaceDN w:val="0"/>
              <w:adjustRightInd w:val="0"/>
              <w:spacing w:before="240" w:after="240" w:line="240" w:lineRule="auto"/>
              <w:jc w:val="center"/>
              <w:rPr>
                <w:rFonts w:ascii="Times New Roman" w:hAnsi="Times New Roman"/>
                <w:b/>
                <w:sz w:val="24"/>
                <w:szCs w:val="24"/>
              </w:rPr>
            </w:pPr>
            <w:r w:rsidRPr="00C83195">
              <w:rPr>
                <w:rFonts w:ascii="Times New Roman" w:hAnsi="Times New Roman"/>
                <w:b/>
                <w:sz w:val="24"/>
                <w:szCs w:val="24"/>
              </w:rPr>
              <w:t>Măsuri de implementare</w:t>
            </w:r>
          </w:p>
        </w:tc>
      </w:tr>
      <w:tr w:rsidR="00891160" w:rsidRPr="00C83195" w14:paraId="6E135389" w14:textId="77777777" w:rsidTr="00F03776">
        <w:trPr>
          <w:trHeight w:val="158"/>
        </w:trPr>
        <w:tc>
          <w:tcPr>
            <w:tcW w:w="757" w:type="dxa"/>
            <w:vAlign w:val="center"/>
          </w:tcPr>
          <w:p w14:paraId="43B8A0A5" w14:textId="77777777" w:rsidR="00891160" w:rsidRPr="00C83195" w:rsidRDefault="00891160" w:rsidP="00891160">
            <w:pPr>
              <w:spacing w:after="0" w:line="240" w:lineRule="auto"/>
              <w:contextualSpacing/>
              <w:jc w:val="both"/>
              <w:rPr>
                <w:rFonts w:ascii="Times New Roman" w:hAnsi="Times New Roman"/>
                <w:sz w:val="24"/>
                <w:szCs w:val="24"/>
              </w:rPr>
            </w:pPr>
            <w:r w:rsidRPr="00C83195">
              <w:rPr>
                <w:rFonts w:ascii="Times New Roman" w:hAnsi="Times New Roman"/>
                <w:sz w:val="24"/>
                <w:szCs w:val="24"/>
              </w:rPr>
              <w:t>8.1.</w:t>
            </w:r>
          </w:p>
        </w:tc>
        <w:tc>
          <w:tcPr>
            <w:tcW w:w="3657" w:type="dxa"/>
            <w:gridSpan w:val="4"/>
          </w:tcPr>
          <w:p w14:paraId="1CF7C52B" w14:textId="77777777" w:rsidR="00891160" w:rsidRPr="00C83195" w:rsidRDefault="00891160" w:rsidP="00891160">
            <w:pPr>
              <w:spacing w:after="0" w:line="240" w:lineRule="auto"/>
              <w:contextualSpacing/>
              <w:jc w:val="both"/>
              <w:rPr>
                <w:rFonts w:ascii="Times New Roman" w:eastAsia="Times New Roman" w:hAnsi="Times New Roman"/>
                <w:iCs/>
                <w:sz w:val="24"/>
                <w:szCs w:val="24"/>
              </w:rPr>
            </w:pPr>
            <w:r w:rsidRPr="00C83195">
              <w:rPr>
                <w:rFonts w:ascii="Times New Roman" w:eastAsia="Times New Roman" w:hAnsi="Times New Roman"/>
                <w:sz w:val="24"/>
                <w:szCs w:val="24"/>
              </w:rPr>
              <w:t xml:space="preserve">Măsuri de punere în aplicare a proiectului de act normativ </w:t>
            </w:r>
          </w:p>
        </w:tc>
        <w:tc>
          <w:tcPr>
            <w:tcW w:w="5121" w:type="dxa"/>
            <w:gridSpan w:val="6"/>
          </w:tcPr>
          <w:p w14:paraId="6853B353" w14:textId="61272EE8" w:rsidR="00891160" w:rsidRPr="00A06EF0" w:rsidRDefault="00891160" w:rsidP="00891160">
            <w:pPr>
              <w:autoSpaceDE w:val="0"/>
              <w:autoSpaceDN w:val="0"/>
              <w:adjustRightInd w:val="0"/>
              <w:spacing w:after="0" w:line="240" w:lineRule="auto"/>
              <w:jc w:val="both"/>
              <w:rPr>
                <w:rFonts w:ascii="Times New Roman" w:hAnsi="Times New Roman"/>
                <w:sz w:val="24"/>
                <w:szCs w:val="24"/>
              </w:rPr>
            </w:pPr>
            <w:r w:rsidRPr="00C83195">
              <w:rPr>
                <w:rFonts w:ascii="Times New Roman" w:hAnsi="Times New Roman"/>
                <w:sz w:val="24"/>
                <w:szCs w:val="24"/>
              </w:rPr>
              <w:t>Proiectul de act normativ nu se referă la acest subiect.</w:t>
            </w:r>
          </w:p>
        </w:tc>
      </w:tr>
      <w:tr w:rsidR="00891160" w:rsidRPr="00C83195" w14:paraId="13CF1A7C" w14:textId="77777777" w:rsidTr="00F03776">
        <w:trPr>
          <w:trHeight w:val="157"/>
        </w:trPr>
        <w:tc>
          <w:tcPr>
            <w:tcW w:w="757" w:type="dxa"/>
            <w:vAlign w:val="center"/>
          </w:tcPr>
          <w:p w14:paraId="7678AD8C" w14:textId="77777777" w:rsidR="00891160" w:rsidRPr="00C83195" w:rsidRDefault="00891160" w:rsidP="00891160">
            <w:pPr>
              <w:spacing w:after="0" w:line="240" w:lineRule="auto"/>
              <w:contextualSpacing/>
              <w:jc w:val="both"/>
              <w:rPr>
                <w:rFonts w:ascii="Times New Roman" w:hAnsi="Times New Roman"/>
                <w:sz w:val="24"/>
                <w:szCs w:val="24"/>
              </w:rPr>
            </w:pPr>
            <w:r w:rsidRPr="00C83195">
              <w:rPr>
                <w:rFonts w:ascii="Times New Roman" w:hAnsi="Times New Roman"/>
                <w:sz w:val="24"/>
                <w:szCs w:val="24"/>
              </w:rPr>
              <w:t>8.2.</w:t>
            </w:r>
          </w:p>
        </w:tc>
        <w:tc>
          <w:tcPr>
            <w:tcW w:w="3657" w:type="dxa"/>
            <w:gridSpan w:val="4"/>
          </w:tcPr>
          <w:p w14:paraId="0EA6BA97" w14:textId="77777777" w:rsidR="00891160" w:rsidRPr="00C83195" w:rsidRDefault="00891160" w:rsidP="00891160">
            <w:pPr>
              <w:autoSpaceDE w:val="0"/>
              <w:autoSpaceDN w:val="0"/>
              <w:adjustRightInd w:val="0"/>
              <w:spacing w:after="0" w:line="240" w:lineRule="auto"/>
              <w:jc w:val="both"/>
              <w:rPr>
                <w:rFonts w:ascii="Times New Roman" w:eastAsia="Times New Roman" w:hAnsi="Times New Roman"/>
                <w:iCs/>
                <w:sz w:val="24"/>
                <w:szCs w:val="24"/>
              </w:rPr>
            </w:pPr>
            <w:r w:rsidRPr="00C83195">
              <w:rPr>
                <w:rFonts w:ascii="Times New Roman" w:eastAsia="Times New Roman" w:hAnsi="Times New Roman"/>
                <w:iCs/>
                <w:sz w:val="24"/>
                <w:szCs w:val="24"/>
              </w:rPr>
              <w:t xml:space="preserve">Alte informaţii    </w:t>
            </w:r>
          </w:p>
        </w:tc>
        <w:tc>
          <w:tcPr>
            <w:tcW w:w="5121" w:type="dxa"/>
            <w:gridSpan w:val="6"/>
          </w:tcPr>
          <w:p w14:paraId="2D50E788" w14:textId="72427282" w:rsidR="00891160" w:rsidRPr="00C83195" w:rsidRDefault="00891160" w:rsidP="00891160">
            <w:pPr>
              <w:spacing w:after="0" w:line="240" w:lineRule="auto"/>
              <w:jc w:val="both"/>
              <w:rPr>
                <w:rFonts w:ascii="Times New Roman" w:hAnsi="Times New Roman"/>
                <w:sz w:val="24"/>
                <w:szCs w:val="24"/>
              </w:rPr>
            </w:pPr>
            <w:r w:rsidRPr="00C83195">
              <w:rPr>
                <w:rFonts w:ascii="Times New Roman" w:hAnsi="Times New Roman"/>
                <w:sz w:val="24"/>
                <w:szCs w:val="24"/>
              </w:rPr>
              <w:t>Nu au fost identificate.</w:t>
            </w:r>
          </w:p>
        </w:tc>
      </w:tr>
    </w:tbl>
    <w:p w14:paraId="209CEF6A" w14:textId="77777777" w:rsidR="00A06EF0" w:rsidRDefault="00A06EF0" w:rsidP="00E91E12">
      <w:pPr>
        <w:autoSpaceDE w:val="0"/>
        <w:autoSpaceDN w:val="0"/>
        <w:adjustRightInd w:val="0"/>
        <w:spacing w:after="0" w:line="360" w:lineRule="auto"/>
        <w:jc w:val="both"/>
        <w:rPr>
          <w:rFonts w:ascii="Times New Roman" w:hAnsi="Times New Roman"/>
          <w:sz w:val="24"/>
          <w:szCs w:val="24"/>
        </w:rPr>
      </w:pPr>
    </w:p>
    <w:p w14:paraId="41B71A8F" w14:textId="77777777" w:rsidR="00092DA3" w:rsidRDefault="00092DA3" w:rsidP="00D028CA">
      <w:pPr>
        <w:spacing w:after="0" w:line="360" w:lineRule="auto"/>
        <w:jc w:val="both"/>
        <w:rPr>
          <w:rFonts w:ascii="Times New Roman" w:hAnsi="Times New Roman"/>
          <w:sz w:val="24"/>
          <w:szCs w:val="24"/>
        </w:rPr>
      </w:pPr>
    </w:p>
    <w:p w14:paraId="0D847613" w14:textId="77777777" w:rsidR="00092DA3" w:rsidRDefault="00092DA3" w:rsidP="00D028CA">
      <w:pPr>
        <w:spacing w:after="0" w:line="360" w:lineRule="auto"/>
        <w:jc w:val="both"/>
        <w:rPr>
          <w:rFonts w:ascii="Times New Roman" w:hAnsi="Times New Roman"/>
          <w:sz w:val="24"/>
          <w:szCs w:val="24"/>
        </w:rPr>
      </w:pPr>
    </w:p>
    <w:p w14:paraId="55D22A85" w14:textId="77777777" w:rsidR="00092DA3" w:rsidRDefault="00092DA3" w:rsidP="00D028CA">
      <w:pPr>
        <w:spacing w:after="0" w:line="360" w:lineRule="auto"/>
        <w:jc w:val="both"/>
        <w:rPr>
          <w:rFonts w:ascii="Times New Roman" w:hAnsi="Times New Roman"/>
          <w:sz w:val="24"/>
          <w:szCs w:val="24"/>
        </w:rPr>
      </w:pPr>
    </w:p>
    <w:p w14:paraId="3BA78615" w14:textId="77777777" w:rsidR="00092DA3" w:rsidRDefault="00092DA3" w:rsidP="00D028CA">
      <w:pPr>
        <w:spacing w:after="0" w:line="360" w:lineRule="auto"/>
        <w:jc w:val="both"/>
        <w:rPr>
          <w:rFonts w:ascii="Times New Roman" w:hAnsi="Times New Roman"/>
          <w:sz w:val="24"/>
          <w:szCs w:val="24"/>
        </w:rPr>
      </w:pPr>
    </w:p>
    <w:p w14:paraId="4E44CB51" w14:textId="77777777" w:rsidR="00092DA3" w:rsidRDefault="00092DA3" w:rsidP="00D028CA">
      <w:pPr>
        <w:spacing w:after="0" w:line="360" w:lineRule="auto"/>
        <w:jc w:val="both"/>
        <w:rPr>
          <w:rFonts w:ascii="Times New Roman" w:hAnsi="Times New Roman"/>
          <w:sz w:val="24"/>
          <w:szCs w:val="24"/>
        </w:rPr>
      </w:pPr>
    </w:p>
    <w:p w14:paraId="7B2E86D9" w14:textId="77777777" w:rsidR="00092DA3" w:rsidRDefault="00092DA3" w:rsidP="00D028CA">
      <w:pPr>
        <w:spacing w:after="0" w:line="360" w:lineRule="auto"/>
        <w:jc w:val="both"/>
        <w:rPr>
          <w:rFonts w:ascii="Times New Roman" w:hAnsi="Times New Roman"/>
          <w:sz w:val="24"/>
          <w:szCs w:val="24"/>
        </w:rPr>
      </w:pPr>
    </w:p>
    <w:p w14:paraId="23074D02" w14:textId="77777777" w:rsidR="00092DA3" w:rsidRDefault="00092DA3" w:rsidP="00D028CA">
      <w:pPr>
        <w:spacing w:after="0" w:line="360" w:lineRule="auto"/>
        <w:jc w:val="both"/>
        <w:rPr>
          <w:rFonts w:ascii="Times New Roman" w:hAnsi="Times New Roman"/>
          <w:sz w:val="24"/>
          <w:szCs w:val="24"/>
        </w:rPr>
      </w:pPr>
    </w:p>
    <w:p w14:paraId="56DE9785" w14:textId="77777777" w:rsidR="00092DA3" w:rsidRDefault="00092DA3" w:rsidP="00D028CA">
      <w:pPr>
        <w:spacing w:after="0" w:line="360" w:lineRule="auto"/>
        <w:jc w:val="both"/>
        <w:rPr>
          <w:rFonts w:ascii="Times New Roman" w:hAnsi="Times New Roman"/>
          <w:sz w:val="24"/>
          <w:szCs w:val="24"/>
        </w:rPr>
      </w:pPr>
    </w:p>
    <w:p w14:paraId="06B48565" w14:textId="77777777" w:rsidR="00092DA3" w:rsidRDefault="00092DA3" w:rsidP="00D028CA">
      <w:pPr>
        <w:spacing w:after="0" w:line="360" w:lineRule="auto"/>
        <w:jc w:val="both"/>
        <w:rPr>
          <w:rFonts w:ascii="Times New Roman" w:hAnsi="Times New Roman"/>
          <w:sz w:val="24"/>
          <w:szCs w:val="24"/>
        </w:rPr>
      </w:pPr>
    </w:p>
    <w:p w14:paraId="0D714D0B" w14:textId="77777777" w:rsidR="00092DA3" w:rsidRDefault="00092DA3" w:rsidP="00D028CA">
      <w:pPr>
        <w:spacing w:after="0" w:line="360" w:lineRule="auto"/>
        <w:jc w:val="both"/>
        <w:rPr>
          <w:rFonts w:ascii="Times New Roman" w:hAnsi="Times New Roman"/>
          <w:sz w:val="24"/>
          <w:szCs w:val="24"/>
        </w:rPr>
      </w:pPr>
    </w:p>
    <w:p w14:paraId="0006E0A0" w14:textId="77777777" w:rsidR="00092DA3" w:rsidRDefault="00092DA3" w:rsidP="00D028CA">
      <w:pPr>
        <w:spacing w:after="0" w:line="360" w:lineRule="auto"/>
        <w:jc w:val="both"/>
        <w:rPr>
          <w:rFonts w:ascii="Times New Roman" w:hAnsi="Times New Roman"/>
          <w:sz w:val="24"/>
          <w:szCs w:val="24"/>
        </w:rPr>
      </w:pPr>
    </w:p>
    <w:p w14:paraId="11B93028" w14:textId="77777777" w:rsidR="00092DA3" w:rsidRDefault="00092DA3" w:rsidP="00D028CA">
      <w:pPr>
        <w:spacing w:after="0" w:line="360" w:lineRule="auto"/>
        <w:jc w:val="both"/>
        <w:rPr>
          <w:rFonts w:ascii="Times New Roman" w:hAnsi="Times New Roman"/>
          <w:sz w:val="24"/>
          <w:szCs w:val="24"/>
        </w:rPr>
      </w:pPr>
    </w:p>
    <w:p w14:paraId="20433341" w14:textId="6ABA8CD1" w:rsidR="00B11E63" w:rsidRPr="00C83195" w:rsidRDefault="00E318A6" w:rsidP="00D028CA">
      <w:pPr>
        <w:spacing w:after="0" w:line="360" w:lineRule="auto"/>
        <w:jc w:val="both"/>
        <w:rPr>
          <w:rFonts w:ascii="Times New Roman" w:hAnsi="Times New Roman"/>
          <w:sz w:val="24"/>
          <w:szCs w:val="24"/>
        </w:rPr>
      </w:pPr>
      <w:r w:rsidRPr="00C83195">
        <w:rPr>
          <w:rFonts w:ascii="Times New Roman" w:hAnsi="Times New Roman"/>
          <w:sz w:val="24"/>
          <w:szCs w:val="24"/>
        </w:rPr>
        <w:lastRenderedPageBreak/>
        <w:t>Pentru considerentele de mai sus, a</w:t>
      </w:r>
      <w:r w:rsidR="007776E7">
        <w:rPr>
          <w:rFonts w:ascii="Times New Roman" w:hAnsi="Times New Roman"/>
          <w:sz w:val="24"/>
          <w:szCs w:val="24"/>
        </w:rPr>
        <w:t xml:space="preserve"> fost</w:t>
      </w:r>
      <w:r w:rsidRPr="00C83195">
        <w:rPr>
          <w:rFonts w:ascii="Times New Roman" w:hAnsi="Times New Roman"/>
          <w:sz w:val="24"/>
          <w:szCs w:val="24"/>
        </w:rPr>
        <w:t xml:space="preserve"> elaborat prezentul proiect de </w:t>
      </w:r>
      <w:r w:rsidR="00C7045F" w:rsidRPr="00C7045F">
        <w:rPr>
          <w:rFonts w:ascii="Times New Roman" w:hAnsi="Times New Roman"/>
          <w:b/>
          <w:bCs/>
          <w:sz w:val="24"/>
          <w:szCs w:val="24"/>
        </w:rPr>
        <w:t>Lege</w:t>
      </w:r>
      <w:r w:rsidR="00C7045F">
        <w:rPr>
          <w:rFonts w:ascii="Times New Roman" w:hAnsi="Times New Roman"/>
          <w:sz w:val="24"/>
          <w:szCs w:val="24"/>
        </w:rPr>
        <w:t xml:space="preserve"> </w:t>
      </w:r>
      <w:r w:rsidR="00F95221" w:rsidRPr="00460AAD">
        <w:rPr>
          <w:rFonts w:ascii="Times New Roman" w:hAnsi="Times New Roman"/>
          <w:b/>
          <w:bCs/>
          <w:sz w:val="24"/>
          <w:szCs w:val="24"/>
        </w:rPr>
        <w:t>pentru modificarea şi completarea unor acte normative în domeniul protecției mediului</w:t>
      </w:r>
      <w:r w:rsidR="00C7045F" w:rsidRPr="00460AAD">
        <w:rPr>
          <w:rFonts w:ascii="Times New Roman" w:hAnsi="Times New Roman"/>
          <w:sz w:val="24"/>
          <w:szCs w:val="24"/>
        </w:rPr>
        <w:t>,</w:t>
      </w:r>
      <w:r w:rsidR="00C7045F">
        <w:rPr>
          <w:rFonts w:ascii="Times New Roman" w:hAnsi="Times New Roman"/>
          <w:b/>
          <w:bCs/>
          <w:sz w:val="24"/>
          <w:szCs w:val="24"/>
        </w:rPr>
        <w:t xml:space="preserve"> </w:t>
      </w:r>
      <w:r w:rsidRPr="00C83195">
        <w:rPr>
          <w:rFonts w:ascii="Times New Roman" w:hAnsi="Times New Roman"/>
          <w:sz w:val="24"/>
          <w:szCs w:val="24"/>
        </w:rPr>
        <w:t xml:space="preserve">care în forma prezentată, </w:t>
      </w:r>
      <w:r w:rsidR="00B36949" w:rsidRPr="00C83195">
        <w:rPr>
          <w:rFonts w:ascii="Times New Roman" w:hAnsi="Times New Roman"/>
          <w:sz w:val="24"/>
          <w:szCs w:val="24"/>
        </w:rPr>
        <w:t xml:space="preserve">a fost avizat de ministerele interesate </w:t>
      </w:r>
      <w:r w:rsidR="001F6287" w:rsidRPr="00C83195">
        <w:rPr>
          <w:rFonts w:ascii="Times New Roman" w:hAnsi="Times New Roman"/>
          <w:sz w:val="24"/>
          <w:szCs w:val="24"/>
        </w:rPr>
        <w:t>și</w:t>
      </w:r>
      <w:r w:rsidR="00B36949" w:rsidRPr="00C83195">
        <w:rPr>
          <w:rFonts w:ascii="Times New Roman" w:hAnsi="Times New Roman"/>
          <w:sz w:val="24"/>
          <w:szCs w:val="24"/>
        </w:rPr>
        <w:t xml:space="preserve"> de Consiliul Legislativ şi pe care îl supunem spre adoptare.</w:t>
      </w:r>
    </w:p>
    <w:p w14:paraId="67B4A82A" w14:textId="77777777" w:rsidR="0026671D" w:rsidRPr="00C83195" w:rsidRDefault="0026671D" w:rsidP="0026671D">
      <w:pPr>
        <w:spacing w:after="0" w:line="360" w:lineRule="auto"/>
        <w:jc w:val="both"/>
        <w:rPr>
          <w:rFonts w:ascii="Times New Roman" w:hAnsi="Times New Roman"/>
          <w:b/>
          <w:color w:val="000000"/>
          <w:sz w:val="24"/>
          <w:szCs w:val="24"/>
        </w:rPr>
      </w:pPr>
    </w:p>
    <w:p w14:paraId="71BE3793" w14:textId="04E95ACD" w:rsidR="0026671D" w:rsidRPr="00C83195" w:rsidRDefault="0026671D" w:rsidP="007E7E5F">
      <w:pPr>
        <w:spacing w:after="0" w:line="360" w:lineRule="auto"/>
        <w:jc w:val="center"/>
        <w:rPr>
          <w:rFonts w:ascii="Times New Roman" w:eastAsia="Times New Roman" w:hAnsi="Times New Roman"/>
          <w:b/>
          <w:color w:val="000000"/>
          <w:sz w:val="24"/>
          <w:szCs w:val="24"/>
          <w:lang w:eastAsia="ro-RO"/>
        </w:rPr>
      </w:pPr>
      <w:r w:rsidRPr="00C83195">
        <w:rPr>
          <w:rFonts w:ascii="Times New Roman" w:eastAsia="Times New Roman" w:hAnsi="Times New Roman"/>
          <w:b/>
          <w:color w:val="000000"/>
          <w:sz w:val="24"/>
          <w:szCs w:val="24"/>
          <w:lang w:eastAsia="ro-RO"/>
        </w:rPr>
        <w:t>MINISTRUL MEDIULUI, APELOR ȘI PĂDURILOR</w:t>
      </w:r>
    </w:p>
    <w:p w14:paraId="3E27FFB6" w14:textId="64FC4B8F" w:rsidR="007E7E5F" w:rsidRDefault="00E60191" w:rsidP="007E7E5F">
      <w:pPr>
        <w:spacing w:after="0" w:line="360" w:lineRule="auto"/>
        <w:jc w:val="center"/>
        <w:rPr>
          <w:rFonts w:ascii="Times New Roman" w:eastAsia="Times New Roman" w:hAnsi="Times New Roman"/>
          <w:b/>
          <w:color w:val="000000"/>
          <w:sz w:val="24"/>
          <w:szCs w:val="24"/>
          <w:lang w:eastAsia="ro-RO"/>
        </w:rPr>
      </w:pPr>
      <w:r w:rsidRPr="000E25C2">
        <w:rPr>
          <w:rFonts w:ascii="Times New Roman" w:eastAsia="Times New Roman" w:hAnsi="Times New Roman"/>
          <w:b/>
          <w:color w:val="000000"/>
          <w:sz w:val="24"/>
          <w:szCs w:val="24"/>
          <w:lang w:eastAsia="ro-RO"/>
        </w:rPr>
        <w:t>DIANA-ANDA BUZOIANU</w:t>
      </w:r>
    </w:p>
    <w:p w14:paraId="5B01C27F" w14:textId="77777777" w:rsidR="00662139" w:rsidRDefault="00662139" w:rsidP="007E7E5F">
      <w:pPr>
        <w:spacing w:after="0" w:line="360" w:lineRule="auto"/>
        <w:jc w:val="center"/>
        <w:rPr>
          <w:rFonts w:ascii="Times New Roman" w:eastAsia="Times New Roman" w:hAnsi="Times New Roman"/>
          <w:b/>
          <w:color w:val="000000"/>
          <w:sz w:val="24"/>
          <w:szCs w:val="24"/>
          <w:lang w:eastAsia="ro-RO"/>
        </w:rPr>
      </w:pPr>
    </w:p>
    <w:p w14:paraId="1E930AD3" w14:textId="77777777" w:rsidR="00F67677" w:rsidRDefault="00F67677" w:rsidP="00F67677">
      <w:pPr>
        <w:spacing w:after="0" w:line="360" w:lineRule="auto"/>
        <w:jc w:val="center"/>
        <w:rPr>
          <w:rFonts w:ascii="Times New Roman" w:eastAsia="Times New Roman" w:hAnsi="Times New Roman"/>
          <w:b/>
          <w:sz w:val="24"/>
          <w:szCs w:val="24"/>
          <w:lang w:eastAsia="ro-RO"/>
        </w:rPr>
      </w:pPr>
      <w:r w:rsidRPr="00C743A8">
        <w:rPr>
          <w:rFonts w:ascii="Times New Roman" w:eastAsia="Times New Roman" w:hAnsi="Times New Roman"/>
          <w:b/>
          <w:sz w:val="24"/>
          <w:szCs w:val="24"/>
          <w:lang w:eastAsia="ro-RO"/>
        </w:rPr>
        <w:t>AVIZĂM:</w:t>
      </w:r>
    </w:p>
    <w:p w14:paraId="1EB0C7EC" w14:textId="77777777" w:rsidR="00662139" w:rsidRDefault="00662139" w:rsidP="00F67677">
      <w:pPr>
        <w:spacing w:after="0" w:line="360" w:lineRule="auto"/>
        <w:jc w:val="center"/>
        <w:rPr>
          <w:rFonts w:ascii="Times New Roman" w:eastAsia="Times New Roman" w:hAnsi="Times New Roman"/>
          <w:b/>
          <w:sz w:val="24"/>
          <w:szCs w:val="24"/>
          <w:lang w:eastAsia="ro-RO"/>
        </w:rPr>
      </w:pPr>
    </w:p>
    <w:p w14:paraId="0562A743" w14:textId="10023A62" w:rsidR="00662139" w:rsidRPr="00C743A8" w:rsidRDefault="00092DA3"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00662139" w:rsidRPr="00C743A8">
        <w:rPr>
          <w:rFonts w:ascii="Times New Roman" w:eastAsia="Times New Roman" w:hAnsi="Times New Roman"/>
          <w:b/>
          <w:sz w:val="24"/>
          <w:szCs w:val="24"/>
          <w:lang w:eastAsia="ro-RO"/>
        </w:rPr>
        <w:t>VICEPRIM-MINISTRU,</w:t>
      </w:r>
      <w:r w:rsidR="00662139">
        <w:rPr>
          <w:rFonts w:ascii="Times New Roman" w:eastAsia="Times New Roman" w:hAnsi="Times New Roman"/>
          <w:b/>
          <w:sz w:val="24"/>
          <w:szCs w:val="24"/>
          <w:lang w:eastAsia="ro-RO"/>
        </w:rPr>
        <w:tab/>
      </w:r>
      <w:r w:rsidR="00662139">
        <w:rPr>
          <w:rFonts w:ascii="Times New Roman" w:eastAsia="Times New Roman" w:hAnsi="Times New Roman"/>
          <w:b/>
          <w:sz w:val="24"/>
          <w:szCs w:val="24"/>
          <w:lang w:eastAsia="ro-RO"/>
        </w:rPr>
        <w:tab/>
      </w:r>
      <w:r w:rsidR="00662139">
        <w:rPr>
          <w:rFonts w:ascii="Times New Roman" w:eastAsia="Times New Roman" w:hAnsi="Times New Roman"/>
          <w:b/>
          <w:sz w:val="24"/>
          <w:szCs w:val="24"/>
          <w:lang w:eastAsia="ro-RO"/>
        </w:rPr>
        <w:tab/>
      </w:r>
      <w:r w:rsidR="00662139">
        <w:rPr>
          <w:rFonts w:ascii="Times New Roman" w:eastAsia="Times New Roman" w:hAnsi="Times New Roman"/>
          <w:b/>
          <w:sz w:val="24"/>
          <w:szCs w:val="24"/>
          <w:lang w:eastAsia="ro-RO"/>
        </w:rPr>
        <w:tab/>
        <w:t xml:space="preserve">       </w:t>
      </w:r>
      <w:r>
        <w:rPr>
          <w:rFonts w:ascii="Times New Roman" w:eastAsia="Times New Roman" w:hAnsi="Times New Roman"/>
          <w:b/>
          <w:sz w:val="24"/>
          <w:szCs w:val="24"/>
          <w:lang w:eastAsia="ro-RO"/>
        </w:rPr>
        <w:t xml:space="preserve"> </w:t>
      </w:r>
      <w:r w:rsidR="00662139" w:rsidRPr="00C743A8">
        <w:rPr>
          <w:rFonts w:ascii="Times New Roman" w:eastAsia="Times New Roman" w:hAnsi="Times New Roman"/>
          <w:b/>
          <w:sz w:val="24"/>
          <w:szCs w:val="24"/>
          <w:lang w:eastAsia="ro-RO"/>
        </w:rPr>
        <w:t>VICEPRIM-MINISTRU</w:t>
      </w:r>
      <w:r w:rsidR="00662139">
        <w:rPr>
          <w:rFonts w:ascii="Times New Roman" w:eastAsia="Times New Roman" w:hAnsi="Times New Roman"/>
          <w:b/>
          <w:sz w:val="24"/>
          <w:szCs w:val="24"/>
          <w:lang w:eastAsia="ro-RO"/>
        </w:rPr>
        <w:t xml:space="preserve">, </w:t>
      </w:r>
    </w:p>
    <w:p w14:paraId="34B764EC" w14:textId="77777777" w:rsidR="00662139" w:rsidRPr="00C743A8" w:rsidRDefault="00662139" w:rsidP="00662139">
      <w:pPr>
        <w:spacing w:after="0" w:line="360" w:lineRule="auto"/>
        <w:rPr>
          <w:rFonts w:ascii="Times New Roman" w:eastAsia="Times New Roman" w:hAnsi="Times New Roman"/>
          <w:b/>
          <w:sz w:val="24"/>
          <w:szCs w:val="24"/>
          <w:lang w:eastAsia="ro-RO"/>
        </w:rPr>
      </w:pPr>
      <w:r w:rsidRPr="00C743A8">
        <w:rPr>
          <w:rFonts w:ascii="Times New Roman" w:eastAsia="Times New Roman" w:hAnsi="Times New Roman"/>
          <w:b/>
          <w:bCs/>
          <w:sz w:val="24"/>
          <w:szCs w:val="24"/>
          <w:lang w:eastAsia="ro-RO"/>
        </w:rPr>
        <w:t>MINISTRUL APĂRĂRII NAȚIONALE</w:t>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t xml:space="preserve">     MINISTRUL AFACERILOR INTERNE</w:t>
      </w:r>
    </w:p>
    <w:p w14:paraId="7AA77252" w14:textId="6A75778F" w:rsidR="00662139" w:rsidRDefault="00662139" w:rsidP="00662139">
      <w:pPr>
        <w:spacing w:after="0" w:line="360" w:lineRule="auto"/>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 xml:space="preserve">            </w:t>
      </w:r>
      <w:r w:rsidRPr="00C743A8">
        <w:rPr>
          <w:rFonts w:ascii="Times New Roman" w:eastAsia="Times New Roman" w:hAnsi="Times New Roman"/>
          <w:b/>
          <w:bCs/>
          <w:sz w:val="24"/>
          <w:szCs w:val="24"/>
          <w:lang w:eastAsia="ro-RO"/>
        </w:rPr>
        <w:t xml:space="preserve">RADU – DINEL MIRUȚĂ </w:t>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r>
      <w:r w:rsidR="00092DA3">
        <w:rPr>
          <w:rFonts w:ascii="Times New Roman" w:eastAsia="Times New Roman" w:hAnsi="Times New Roman"/>
          <w:b/>
          <w:bCs/>
          <w:sz w:val="24"/>
          <w:szCs w:val="24"/>
          <w:lang w:eastAsia="ro-RO"/>
        </w:rPr>
        <w:t xml:space="preserve"> </w:t>
      </w:r>
      <w:r>
        <w:rPr>
          <w:rFonts w:ascii="Times New Roman" w:eastAsia="Times New Roman" w:hAnsi="Times New Roman"/>
          <w:b/>
          <w:bCs/>
          <w:sz w:val="24"/>
          <w:szCs w:val="24"/>
          <w:lang w:eastAsia="ro-RO"/>
        </w:rPr>
        <w:t>MARIAN-CĂTĂLIN PREDOIU</w:t>
      </w:r>
    </w:p>
    <w:p w14:paraId="04D9A3A9" w14:textId="77777777" w:rsidR="00662139" w:rsidRPr="00C743A8" w:rsidRDefault="00662139" w:rsidP="00662139">
      <w:pPr>
        <w:spacing w:after="0" w:line="360" w:lineRule="auto"/>
        <w:rPr>
          <w:rFonts w:ascii="Times New Roman" w:eastAsia="Times New Roman" w:hAnsi="Times New Roman"/>
          <w:b/>
          <w:sz w:val="24"/>
          <w:szCs w:val="24"/>
          <w:lang w:eastAsia="ro-RO"/>
        </w:rPr>
      </w:pPr>
    </w:p>
    <w:p w14:paraId="2C684537" w14:textId="77777777" w:rsidR="00662139" w:rsidRDefault="00662139" w:rsidP="00662139">
      <w:pPr>
        <w:spacing w:after="0" w:line="360" w:lineRule="auto"/>
        <w:rPr>
          <w:rFonts w:ascii="Times New Roman" w:eastAsia="Times New Roman" w:hAnsi="Times New Roman"/>
          <w:b/>
          <w:sz w:val="24"/>
          <w:szCs w:val="24"/>
          <w:lang w:eastAsia="ro-RO"/>
        </w:rPr>
      </w:pPr>
      <w:r w:rsidRPr="00C743A8">
        <w:rPr>
          <w:rFonts w:ascii="Times New Roman" w:eastAsia="Times New Roman" w:hAnsi="Times New Roman"/>
          <w:b/>
          <w:sz w:val="24"/>
          <w:szCs w:val="24"/>
          <w:lang w:eastAsia="ro-RO"/>
        </w:rPr>
        <w:t xml:space="preserve">MINISTRUL ECONOMIEI, DIGITALIZĂRII, </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MINISTRUL AGRICULTURII ȘI</w:t>
      </w:r>
    </w:p>
    <w:p w14:paraId="37341903" w14:textId="77777777" w:rsidR="00662139" w:rsidRPr="00C743A8" w:rsidRDefault="00662139" w:rsidP="00662139">
      <w:pPr>
        <w:spacing w:after="0" w:line="360" w:lineRule="auto"/>
        <w:rPr>
          <w:rFonts w:ascii="Times New Roman" w:eastAsia="Times New Roman" w:hAnsi="Times New Roman"/>
          <w:b/>
          <w:sz w:val="24"/>
          <w:szCs w:val="24"/>
          <w:lang w:eastAsia="ro-RO"/>
        </w:rPr>
      </w:pPr>
      <w:r w:rsidRPr="00C743A8">
        <w:rPr>
          <w:rFonts w:ascii="Times New Roman" w:eastAsia="Times New Roman" w:hAnsi="Times New Roman"/>
          <w:b/>
          <w:sz w:val="24"/>
          <w:szCs w:val="24"/>
          <w:lang w:eastAsia="ro-RO"/>
        </w:rPr>
        <w:t>ANTREPRENORIATULUI</w:t>
      </w:r>
      <w:r>
        <w:rPr>
          <w:rFonts w:ascii="Times New Roman" w:eastAsia="Times New Roman" w:hAnsi="Times New Roman"/>
          <w:b/>
          <w:sz w:val="24"/>
          <w:szCs w:val="24"/>
          <w:lang w:eastAsia="ro-RO"/>
        </w:rPr>
        <w:t xml:space="preserve"> </w:t>
      </w:r>
      <w:r w:rsidRPr="00C743A8">
        <w:rPr>
          <w:rFonts w:ascii="Times New Roman" w:eastAsia="Times New Roman" w:hAnsi="Times New Roman"/>
          <w:b/>
          <w:sz w:val="24"/>
          <w:szCs w:val="24"/>
          <w:lang w:eastAsia="ro-RO"/>
        </w:rPr>
        <w:t>ȘI TURISMULUI</w:t>
      </w:r>
      <w:r>
        <w:rPr>
          <w:rFonts w:ascii="Times New Roman" w:eastAsia="Times New Roman" w:hAnsi="Times New Roman"/>
          <w:b/>
          <w:sz w:val="24"/>
          <w:szCs w:val="24"/>
          <w:lang w:eastAsia="ro-RO"/>
        </w:rPr>
        <w:tab/>
        <w:t xml:space="preserve">   DEZVOLTĂRII RURALE, INTERIMAR </w:t>
      </w:r>
    </w:p>
    <w:p w14:paraId="64B04D3F"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Pr="00C743A8">
        <w:rPr>
          <w:rFonts w:ascii="Times New Roman" w:eastAsia="Times New Roman" w:hAnsi="Times New Roman"/>
          <w:b/>
          <w:sz w:val="24"/>
          <w:szCs w:val="24"/>
          <w:lang w:eastAsia="ro-RO"/>
        </w:rPr>
        <w:t>AMBROZIE – IRINEU DARĂU</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 xml:space="preserve">            TÁNCZOS BARNA</w:t>
      </w:r>
    </w:p>
    <w:p w14:paraId="5A905CD3" w14:textId="77777777" w:rsidR="00662139" w:rsidRDefault="00662139" w:rsidP="00662139">
      <w:pPr>
        <w:spacing w:after="0" w:line="360" w:lineRule="auto"/>
        <w:rPr>
          <w:rFonts w:ascii="Times New Roman" w:eastAsia="Times New Roman" w:hAnsi="Times New Roman"/>
          <w:b/>
          <w:sz w:val="24"/>
          <w:szCs w:val="24"/>
          <w:lang w:eastAsia="ro-RO"/>
        </w:rPr>
      </w:pPr>
    </w:p>
    <w:p w14:paraId="6F45FCEA"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MINISTRUL DEZVOLTĂRII, LUCRĂRILOR</w:t>
      </w:r>
      <w:r>
        <w:rPr>
          <w:rFonts w:ascii="Times New Roman" w:eastAsia="Times New Roman" w:hAnsi="Times New Roman"/>
          <w:b/>
          <w:sz w:val="24"/>
          <w:szCs w:val="24"/>
          <w:lang w:eastAsia="ro-RO"/>
        </w:rPr>
        <w:tab/>
        <w:t xml:space="preserve">         MINISTRUL TRANSPORTURILOR</w:t>
      </w:r>
    </w:p>
    <w:p w14:paraId="6B049D48"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PUBLICE ȘI ADMINISTRAȚIEI</w:t>
      </w:r>
      <w:r>
        <w:rPr>
          <w:rFonts w:ascii="Times New Roman" w:eastAsia="Times New Roman" w:hAnsi="Times New Roman"/>
          <w:b/>
          <w:sz w:val="24"/>
          <w:szCs w:val="24"/>
          <w:lang w:eastAsia="ro-RO"/>
        </w:rPr>
        <w:tab/>
        <w:t xml:space="preserve">                   ȘI INFRASTRUCTURII, INTERIMAR</w:t>
      </w:r>
    </w:p>
    <w:p w14:paraId="2B12D229"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CSEKE ATTILA-ZOLTAN</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bCs/>
          <w:sz w:val="24"/>
          <w:szCs w:val="24"/>
          <w:lang w:eastAsia="ro-RO"/>
        </w:rPr>
        <w:t xml:space="preserve">      </w:t>
      </w:r>
      <w:r w:rsidRPr="00C743A8">
        <w:rPr>
          <w:rFonts w:ascii="Times New Roman" w:eastAsia="Times New Roman" w:hAnsi="Times New Roman"/>
          <w:b/>
          <w:bCs/>
          <w:sz w:val="24"/>
          <w:szCs w:val="24"/>
          <w:lang w:eastAsia="ro-RO"/>
        </w:rPr>
        <w:t>RADU – DINEL MIRUȚĂ</w:t>
      </w:r>
    </w:p>
    <w:p w14:paraId="0C15443E" w14:textId="77777777" w:rsidR="00662139" w:rsidRDefault="00662139" w:rsidP="00662139">
      <w:pPr>
        <w:spacing w:after="0" w:line="360" w:lineRule="auto"/>
        <w:rPr>
          <w:rFonts w:ascii="Times New Roman" w:eastAsia="Times New Roman" w:hAnsi="Times New Roman"/>
          <w:b/>
          <w:sz w:val="24"/>
          <w:szCs w:val="24"/>
          <w:lang w:eastAsia="ro-RO"/>
        </w:rPr>
      </w:pPr>
    </w:p>
    <w:p w14:paraId="26E7ADBB" w14:textId="77777777" w:rsidR="00662139" w:rsidRDefault="00662139" w:rsidP="00662139">
      <w:pPr>
        <w:spacing w:after="0" w:line="360" w:lineRule="auto"/>
        <w:ind w:right="-478"/>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MINISTRUL SĂNĂTĂȚII, INTERIMAR </w:t>
      </w:r>
      <w:r>
        <w:rPr>
          <w:rFonts w:ascii="Times New Roman" w:eastAsia="Times New Roman" w:hAnsi="Times New Roman"/>
          <w:b/>
          <w:sz w:val="24"/>
          <w:szCs w:val="24"/>
          <w:lang w:eastAsia="ro-RO"/>
        </w:rPr>
        <w:tab/>
        <w:t xml:space="preserve">   MINISTRUL EDUCAȚIEI ȘI CERCETĂRII</w:t>
      </w:r>
    </w:p>
    <w:p w14:paraId="2100A30C"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CSEKE ATTILA-ZOLTAN</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 xml:space="preserve">              MIHAI DIMIAN</w:t>
      </w:r>
    </w:p>
    <w:p w14:paraId="307BBB1B" w14:textId="7777777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p>
    <w:p w14:paraId="15C5DA0C" w14:textId="77777777" w:rsidR="00662139" w:rsidRDefault="00662139" w:rsidP="00662139">
      <w:pPr>
        <w:spacing w:after="0" w:line="360" w:lineRule="auto"/>
        <w:ind w:left="-540" w:right="-388"/>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MINISTRUL MUNCII, FAMILIEI, TINERETULUI        MINISTRUL ENERGIEI, INTERIMAR</w:t>
      </w:r>
    </w:p>
    <w:p w14:paraId="624AACAA" w14:textId="77777777" w:rsidR="00662139" w:rsidRDefault="00662139" w:rsidP="00662139">
      <w:pPr>
        <w:spacing w:after="0" w:line="360" w:lineRule="auto"/>
        <w:ind w:left="6750" w:hanging="6750"/>
        <w:rPr>
          <w:rFonts w:ascii="Times New Roman" w:eastAsia="Times New Roman" w:hAnsi="Times New Roman"/>
          <w:b/>
          <w:sz w:val="24"/>
          <w:szCs w:val="24"/>
          <w:lang w:eastAsia="ro-RO"/>
        </w:rPr>
      </w:pPr>
      <w:r>
        <w:rPr>
          <w:rFonts w:ascii="Times New Roman" w:eastAsia="Times New Roman" w:hAnsi="Times New Roman"/>
          <w:b/>
          <w:sz w:val="24"/>
          <w:szCs w:val="24"/>
          <w:lang w:eastAsia="ro-RO"/>
        </w:rPr>
        <w:t>ȘI SOLIDARITĂȚII SOCIALE, INTERIMAR                        ILIE-GAVRIL  BOLOJAN</w:t>
      </w:r>
    </w:p>
    <w:p w14:paraId="65CED956" w14:textId="77777777" w:rsidR="00662139" w:rsidRPr="00C743A8"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DRAGOȘ-NICOLAE PÎSLARU</w:t>
      </w:r>
    </w:p>
    <w:p w14:paraId="4B74A171" w14:textId="6DEBCD63" w:rsidR="00662139" w:rsidRPr="00C743A8"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sidR="00092DA3">
        <w:rPr>
          <w:rFonts w:ascii="Times New Roman" w:eastAsia="Times New Roman" w:hAnsi="Times New Roman"/>
          <w:b/>
          <w:sz w:val="24"/>
          <w:szCs w:val="24"/>
          <w:lang w:eastAsia="ro-RO"/>
        </w:rPr>
        <w:tab/>
      </w:r>
      <w:r w:rsidR="00092DA3">
        <w:rPr>
          <w:rFonts w:ascii="Times New Roman" w:eastAsia="Times New Roman" w:hAnsi="Times New Roman"/>
          <w:b/>
          <w:sz w:val="24"/>
          <w:szCs w:val="24"/>
          <w:lang w:eastAsia="ro-RO"/>
        </w:rPr>
        <w:tab/>
      </w:r>
      <w:r w:rsidR="00092DA3">
        <w:rPr>
          <w:rFonts w:ascii="Times New Roman" w:eastAsia="Times New Roman" w:hAnsi="Times New Roman"/>
          <w:b/>
          <w:sz w:val="24"/>
          <w:szCs w:val="24"/>
          <w:lang w:eastAsia="ro-RO"/>
        </w:rPr>
        <w:tab/>
        <w:t xml:space="preserve">       MINISTRUL FINANȚELOR</w:t>
      </w:r>
    </w:p>
    <w:p w14:paraId="546246CA" w14:textId="622BC8F2" w:rsidR="00662139" w:rsidRDefault="00662139" w:rsidP="00662139">
      <w:pPr>
        <w:spacing w:after="0" w:line="360" w:lineRule="auto"/>
        <w:ind w:right="-298"/>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Pr="0000057A">
        <w:rPr>
          <w:rFonts w:ascii="Times New Roman" w:eastAsia="Times New Roman" w:hAnsi="Times New Roman"/>
          <w:b/>
          <w:sz w:val="24"/>
          <w:szCs w:val="24"/>
          <w:lang w:eastAsia="ro-RO"/>
        </w:rPr>
        <w:t xml:space="preserve">COMISIA NAȚIONALĂ PENTRU </w:t>
      </w:r>
      <w:r>
        <w:rPr>
          <w:rFonts w:ascii="Times New Roman" w:eastAsia="Times New Roman" w:hAnsi="Times New Roman"/>
          <w:b/>
          <w:sz w:val="24"/>
          <w:szCs w:val="24"/>
          <w:lang w:eastAsia="ro-RO"/>
        </w:rPr>
        <w:tab/>
        <w:t xml:space="preserve">         </w:t>
      </w:r>
      <w:r>
        <w:rPr>
          <w:rFonts w:ascii="Times New Roman" w:eastAsia="Times New Roman" w:hAnsi="Times New Roman"/>
          <w:b/>
          <w:sz w:val="24"/>
          <w:szCs w:val="24"/>
          <w:lang w:eastAsia="ro-RO"/>
        </w:rPr>
        <w:tab/>
        <w:t xml:space="preserve">    </w:t>
      </w:r>
      <w:r w:rsidR="00092DA3">
        <w:rPr>
          <w:rFonts w:ascii="Times New Roman" w:eastAsia="Times New Roman" w:hAnsi="Times New Roman"/>
          <w:b/>
          <w:sz w:val="24"/>
          <w:szCs w:val="24"/>
          <w:lang w:eastAsia="ro-RO"/>
        </w:rPr>
        <w:t xml:space="preserve">      </w:t>
      </w:r>
      <w:r w:rsidR="00092DA3" w:rsidRPr="00460AAD">
        <w:rPr>
          <w:rFonts w:ascii="Times New Roman" w:hAnsi="Times New Roman"/>
          <w:b/>
          <w:color w:val="000000" w:themeColor="text1"/>
          <w:sz w:val="24"/>
          <w:szCs w:val="24"/>
        </w:rPr>
        <w:t>ALEXANDRU NAZARE</w:t>
      </w:r>
      <w:r w:rsidR="00092DA3" w:rsidDel="00092DA3">
        <w:rPr>
          <w:rFonts w:ascii="Times New Roman" w:eastAsia="Times New Roman" w:hAnsi="Times New Roman"/>
          <w:b/>
          <w:sz w:val="24"/>
          <w:szCs w:val="24"/>
          <w:lang w:eastAsia="ro-RO"/>
        </w:rPr>
        <w:t xml:space="preserve"> </w:t>
      </w:r>
    </w:p>
    <w:p w14:paraId="59428BF2" w14:textId="44C8E273" w:rsidR="00662139" w:rsidRDefault="00662139" w:rsidP="00662139">
      <w:pPr>
        <w:spacing w:after="0" w:line="360" w:lineRule="auto"/>
        <w:rPr>
          <w:rFonts w:ascii="Times New Roman" w:eastAsia="Times New Roman" w:hAnsi="Times New Roman"/>
          <w:b/>
          <w:sz w:val="24"/>
          <w:szCs w:val="24"/>
          <w:lang w:eastAsia="ro-RO"/>
        </w:rPr>
      </w:pPr>
      <w:r w:rsidRPr="0000057A">
        <w:rPr>
          <w:rFonts w:ascii="Times New Roman" w:eastAsia="Times New Roman" w:hAnsi="Times New Roman"/>
          <w:b/>
          <w:sz w:val="24"/>
          <w:szCs w:val="24"/>
          <w:lang w:eastAsia="ro-RO"/>
        </w:rPr>
        <w:t>CONTROLUL ACTIVITĂȚILOR NUCLEARE</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 xml:space="preserve">        </w:t>
      </w:r>
    </w:p>
    <w:p w14:paraId="68FFB793" w14:textId="69A43D40"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PREȘEDINTE</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sidR="00092DA3">
        <w:rPr>
          <w:rFonts w:ascii="Times New Roman" w:eastAsia="Times New Roman" w:hAnsi="Times New Roman"/>
          <w:b/>
          <w:sz w:val="24"/>
          <w:szCs w:val="24"/>
          <w:lang w:eastAsia="ro-RO"/>
        </w:rPr>
        <w:t xml:space="preserve">                </w:t>
      </w:r>
      <w:r w:rsidR="00092DA3" w:rsidRPr="0000057A">
        <w:rPr>
          <w:rFonts w:ascii="Times New Roman" w:eastAsia="Times New Roman" w:hAnsi="Times New Roman"/>
          <w:b/>
          <w:sz w:val="24"/>
          <w:szCs w:val="24"/>
          <w:lang w:eastAsia="ro-RO"/>
        </w:rPr>
        <w:t>MINISTRUL AFACERILOR EXTERNE</w:t>
      </w:r>
    </w:p>
    <w:p w14:paraId="35327B7D" w14:textId="23320A3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Pr="0000057A">
        <w:rPr>
          <w:rFonts w:ascii="Times New Roman" w:eastAsia="Times New Roman" w:hAnsi="Times New Roman"/>
          <w:b/>
          <w:sz w:val="24"/>
          <w:szCs w:val="24"/>
          <w:lang w:eastAsia="ro-RO"/>
        </w:rPr>
        <w:t>CANTEMIR MARIAN CIUREA-ERCĂU</w:t>
      </w:r>
      <w:r w:rsidR="00092DA3">
        <w:rPr>
          <w:rFonts w:ascii="Times New Roman" w:eastAsia="Times New Roman" w:hAnsi="Times New Roman"/>
          <w:b/>
          <w:sz w:val="24"/>
          <w:szCs w:val="24"/>
          <w:lang w:eastAsia="ro-RO"/>
        </w:rPr>
        <w:t xml:space="preserve">                            </w:t>
      </w:r>
      <w:r w:rsidR="00092DA3" w:rsidRPr="0000057A">
        <w:rPr>
          <w:rFonts w:ascii="Times New Roman" w:eastAsia="Times New Roman" w:hAnsi="Times New Roman"/>
          <w:b/>
          <w:sz w:val="24"/>
          <w:szCs w:val="24"/>
          <w:lang w:eastAsia="ro-RO"/>
        </w:rPr>
        <w:t>OANA-SILVIA ȚOIU</w:t>
      </w:r>
    </w:p>
    <w:p w14:paraId="6CB83244" w14:textId="5CCEBA88"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 xml:space="preserve">    </w:t>
      </w:r>
    </w:p>
    <w:p w14:paraId="716D3BF5" w14:textId="2B109E97"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Pr="0000057A">
        <w:rPr>
          <w:rFonts w:ascii="Times New Roman" w:eastAsia="Times New Roman" w:hAnsi="Times New Roman"/>
          <w:b/>
          <w:sz w:val="24"/>
          <w:szCs w:val="24"/>
          <w:lang w:eastAsia="ro-RO"/>
        </w:rPr>
        <w:t xml:space="preserve">MINISTRUL INVESTIȚIILOR ȘI </w:t>
      </w:r>
      <w:r>
        <w:rPr>
          <w:rFonts w:ascii="Times New Roman" w:eastAsia="Times New Roman" w:hAnsi="Times New Roman"/>
          <w:b/>
          <w:sz w:val="24"/>
          <w:szCs w:val="24"/>
          <w:lang w:eastAsia="ro-RO"/>
        </w:rPr>
        <w:tab/>
      </w:r>
      <w:r w:rsidR="00092DA3">
        <w:rPr>
          <w:rFonts w:ascii="Times New Roman" w:eastAsia="Times New Roman" w:hAnsi="Times New Roman"/>
          <w:b/>
          <w:sz w:val="24"/>
          <w:szCs w:val="24"/>
          <w:lang w:eastAsia="ro-RO"/>
        </w:rPr>
        <w:t xml:space="preserve">                 </w:t>
      </w:r>
      <w:r w:rsidR="00092DA3" w:rsidRPr="0000057A">
        <w:rPr>
          <w:rFonts w:ascii="Times New Roman" w:eastAsia="Times New Roman" w:hAnsi="Times New Roman"/>
          <w:b/>
          <w:sz w:val="24"/>
          <w:szCs w:val="24"/>
          <w:lang w:eastAsia="ro-RO"/>
        </w:rPr>
        <w:t>MINISTRUL JUSTIȚIEI</w:t>
      </w:r>
      <w:r w:rsidR="00092DA3">
        <w:rPr>
          <w:rFonts w:ascii="Times New Roman" w:eastAsia="Times New Roman" w:hAnsi="Times New Roman"/>
          <w:b/>
          <w:sz w:val="24"/>
          <w:szCs w:val="24"/>
          <w:lang w:eastAsia="ro-RO"/>
        </w:rPr>
        <w:t>, INTERIMAR</w:t>
      </w:r>
      <w:r>
        <w:rPr>
          <w:rFonts w:ascii="Times New Roman" w:eastAsia="Times New Roman" w:hAnsi="Times New Roman"/>
          <w:b/>
          <w:sz w:val="24"/>
          <w:szCs w:val="24"/>
          <w:lang w:eastAsia="ro-RO"/>
        </w:rPr>
        <w:t xml:space="preserve">  </w:t>
      </w:r>
      <w:r w:rsidRPr="0000057A">
        <w:rPr>
          <w:rFonts w:ascii="Times New Roman" w:eastAsia="Times New Roman" w:hAnsi="Times New Roman"/>
          <w:b/>
          <w:sz w:val="24"/>
          <w:szCs w:val="24"/>
          <w:lang w:eastAsia="ro-RO"/>
        </w:rPr>
        <w:t xml:space="preserve">   </w:t>
      </w:r>
    </w:p>
    <w:p w14:paraId="06A21D85" w14:textId="2901D3C6" w:rsidR="00662139" w:rsidRDefault="00662139" w:rsidP="00662139">
      <w:pPr>
        <w:spacing w:after="0" w:line="360"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w:t>
      </w:r>
      <w:r w:rsidRPr="0000057A">
        <w:rPr>
          <w:rFonts w:ascii="Times New Roman" w:eastAsia="Times New Roman" w:hAnsi="Times New Roman"/>
          <w:b/>
          <w:sz w:val="24"/>
          <w:szCs w:val="24"/>
          <w:lang w:eastAsia="ro-RO"/>
        </w:rPr>
        <w:t>PROIECTELOR EUROPENE</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sidR="00092DA3">
        <w:rPr>
          <w:rFonts w:ascii="Times New Roman" w:eastAsia="Times New Roman" w:hAnsi="Times New Roman"/>
          <w:b/>
          <w:bCs/>
          <w:sz w:val="24"/>
          <w:szCs w:val="24"/>
          <w:lang w:eastAsia="ro-RO"/>
        </w:rPr>
        <w:t>MARIAN-CĂTĂLIN PREDOIU</w:t>
      </w:r>
      <w:r>
        <w:rPr>
          <w:rFonts w:ascii="Times New Roman" w:eastAsia="Times New Roman" w:hAnsi="Times New Roman"/>
          <w:b/>
          <w:sz w:val="24"/>
          <w:szCs w:val="24"/>
          <w:lang w:eastAsia="ro-RO"/>
        </w:rPr>
        <w:tab/>
      </w:r>
    </w:p>
    <w:sectPr w:rsidR="00662139" w:rsidSect="00F010A6">
      <w:headerReference w:type="even" r:id="rId8"/>
      <w:headerReference w:type="default" r:id="rId9"/>
      <w:footerReference w:type="even" r:id="rId10"/>
      <w:footerReference w:type="default" r:id="rId11"/>
      <w:headerReference w:type="first" r:id="rId12"/>
      <w:footerReference w:type="first" r:id="rId13"/>
      <w:pgSz w:w="11906" w:h="16838"/>
      <w:pgMar w:top="1152" w:right="864" w:bottom="720" w:left="1440" w:header="418"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D58C" w14:textId="77777777" w:rsidR="007E2028" w:rsidRPr="00C83195" w:rsidRDefault="007E2028" w:rsidP="008608BE">
      <w:pPr>
        <w:spacing w:after="0" w:line="240" w:lineRule="auto"/>
      </w:pPr>
      <w:r w:rsidRPr="00C83195">
        <w:separator/>
      </w:r>
    </w:p>
  </w:endnote>
  <w:endnote w:type="continuationSeparator" w:id="0">
    <w:p w14:paraId="057C4C30" w14:textId="77777777" w:rsidR="007E2028" w:rsidRPr="00C83195" w:rsidRDefault="007E2028" w:rsidP="008608BE">
      <w:pPr>
        <w:spacing w:after="0" w:line="240" w:lineRule="auto"/>
      </w:pPr>
      <w:r w:rsidRPr="00C83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6FA5" w14:textId="77777777" w:rsidR="00900793" w:rsidRDefault="00900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B108" w14:textId="77777777" w:rsidR="00913E2A" w:rsidRPr="00C83195" w:rsidRDefault="00913E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AB53" w14:textId="77777777" w:rsidR="00900793" w:rsidRDefault="00900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0290" w14:textId="77777777" w:rsidR="007E2028" w:rsidRPr="00C83195" w:rsidRDefault="007E2028" w:rsidP="008608BE">
      <w:pPr>
        <w:spacing w:after="0" w:line="240" w:lineRule="auto"/>
      </w:pPr>
      <w:r w:rsidRPr="00C83195">
        <w:separator/>
      </w:r>
    </w:p>
  </w:footnote>
  <w:footnote w:type="continuationSeparator" w:id="0">
    <w:p w14:paraId="720A763C" w14:textId="77777777" w:rsidR="007E2028" w:rsidRPr="00C83195" w:rsidRDefault="007E2028" w:rsidP="008608BE">
      <w:pPr>
        <w:spacing w:after="0" w:line="240" w:lineRule="auto"/>
      </w:pPr>
      <w:r w:rsidRPr="00C83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45EF" w14:textId="54EC16B5" w:rsidR="00913E2A" w:rsidRPr="00C83195" w:rsidRDefault="00000000">
    <w:pPr>
      <w:pStyle w:val="Header"/>
    </w:pPr>
    <w:r>
      <w:pict w14:anchorId="2DF96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487829" o:spid="_x0000_s1026" type="#_x0000_t136" style="position:absolute;margin-left:0;margin-top:0;width:473.8pt;height:203.0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C568" w14:textId="70665BA3" w:rsidR="00913E2A" w:rsidRPr="00C83195" w:rsidRDefault="00000000">
    <w:pPr>
      <w:pStyle w:val="Header"/>
    </w:pPr>
    <w:r>
      <w:pict w14:anchorId="464F6F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487830" o:spid="_x0000_s1027" type="#_x0000_t136" style="position:absolute;margin-left:0;margin-top:0;width:473.8pt;height:203.0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FAD2" w14:textId="5E9E4B99" w:rsidR="00913E2A" w:rsidRPr="00C83195" w:rsidRDefault="00000000">
    <w:pPr>
      <w:pStyle w:val="Header"/>
    </w:pPr>
    <w:r>
      <w:pict w14:anchorId="5F6C7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487828" o:spid="_x0000_s1025" type="#_x0000_t136" style="position:absolute;margin-left:0;margin-top:0;width:473.8pt;height:203.0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E97"/>
    <w:multiLevelType w:val="hybridMultilevel"/>
    <w:tmpl w:val="D60E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874BD"/>
    <w:multiLevelType w:val="hybridMultilevel"/>
    <w:tmpl w:val="241A3B16"/>
    <w:lvl w:ilvl="0" w:tplc="04090001">
      <w:start w:val="1"/>
      <w:numFmt w:val="bullet"/>
      <w:lvlText w:val=""/>
      <w:lvlJc w:val="left"/>
      <w:pPr>
        <w:ind w:left="720" w:hanging="360"/>
      </w:pPr>
      <w:rPr>
        <w:rFonts w:ascii="Symbol" w:hAnsi="Symbol" w:hint="default"/>
      </w:rPr>
    </w:lvl>
    <w:lvl w:ilvl="1" w:tplc="46B64B64">
      <w:start w:val="19"/>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C1FC2"/>
    <w:multiLevelType w:val="hybridMultilevel"/>
    <w:tmpl w:val="B1D6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5508A"/>
    <w:multiLevelType w:val="hybridMultilevel"/>
    <w:tmpl w:val="6DBE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12FD3"/>
    <w:multiLevelType w:val="hybridMultilevel"/>
    <w:tmpl w:val="E23A7548"/>
    <w:lvl w:ilvl="0" w:tplc="E77405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6"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9" w15:restartNumberingAfterBreak="0">
    <w:nsid w:val="43514F21"/>
    <w:multiLevelType w:val="hybridMultilevel"/>
    <w:tmpl w:val="DCC63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1"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2"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3"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6"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C6C39EF"/>
    <w:multiLevelType w:val="hybridMultilevel"/>
    <w:tmpl w:val="7952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3C81645"/>
    <w:multiLevelType w:val="hybridMultilevel"/>
    <w:tmpl w:val="21A64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755590137">
    <w:abstractNumId w:val="16"/>
  </w:num>
  <w:num w:numId="2" w16cid:durableId="1192500804">
    <w:abstractNumId w:val="20"/>
  </w:num>
  <w:num w:numId="3" w16cid:durableId="343095422">
    <w:abstractNumId w:val="24"/>
  </w:num>
  <w:num w:numId="4" w16cid:durableId="63187214">
    <w:abstractNumId w:val="28"/>
  </w:num>
  <w:num w:numId="5" w16cid:durableId="2105375442">
    <w:abstractNumId w:val="25"/>
  </w:num>
  <w:num w:numId="6" w16cid:durableId="32846679">
    <w:abstractNumId w:val="21"/>
  </w:num>
  <w:num w:numId="7" w16cid:durableId="694574588">
    <w:abstractNumId w:val="27"/>
  </w:num>
  <w:num w:numId="8" w16cid:durableId="1389646007">
    <w:abstractNumId w:val="14"/>
  </w:num>
  <w:num w:numId="9" w16cid:durableId="1909882503">
    <w:abstractNumId w:val="31"/>
  </w:num>
  <w:num w:numId="10" w16cid:durableId="1545602429">
    <w:abstractNumId w:val="9"/>
  </w:num>
  <w:num w:numId="11" w16cid:durableId="1991324067">
    <w:abstractNumId w:val="12"/>
  </w:num>
  <w:num w:numId="12" w16cid:durableId="379205308">
    <w:abstractNumId w:val="17"/>
  </w:num>
  <w:num w:numId="13" w16cid:durableId="917131545">
    <w:abstractNumId w:val="2"/>
  </w:num>
  <w:num w:numId="14" w16cid:durableId="1429236360">
    <w:abstractNumId w:val="34"/>
  </w:num>
  <w:num w:numId="15" w16cid:durableId="931626974">
    <w:abstractNumId w:val="22"/>
  </w:num>
  <w:num w:numId="16" w16cid:durableId="1281498159">
    <w:abstractNumId w:val="15"/>
  </w:num>
  <w:num w:numId="17" w16cid:durableId="388961779">
    <w:abstractNumId w:val="33"/>
  </w:num>
  <w:num w:numId="18" w16cid:durableId="752435199">
    <w:abstractNumId w:val="3"/>
  </w:num>
  <w:num w:numId="19" w16cid:durableId="687222689">
    <w:abstractNumId w:val="13"/>
  </w:num>
  <w:num w:numId="20" w16cid:durableId="1728259479">
    <w:abstractNumId w:val="18"/>
  </w:num>
  <w:num w:numId="21" w16cid:durableId="481964002">
    <w:abstractNumId w:val="30"/>
  </w:num>
  <w:num w:numId="22" w16cid:durableId="9726837">
    <w:abstractNumId w:val="0"/>
  </w:num>
  <w:num w:numId="23" w16cid:durableId="1398624993">
    <w:abstractNumId w:val="23"/>
  </w:num>
  <w:num w:numId="24" w16cid:durableId="422381257">
    <w:abstractNumId w:val="26"/>
  </w:num>
  <w:num w:numId="25" w16cid:durableId="683360142">
    <w:abstractNumId w:val="8"/>
  </w:num>
  <w:num w:numId="26" w16cid:durableId="1359697421">
    <w:abstractNumId w:val="11"/>
  </w:num>
  <w:num w:numId="27" w16cid:durableId="508106899">
    <w:abstractNumId w:val="35"/>
  </w:num>
  <w:num w:numId="28" w16cid:durableId="2070611509">
    <w:abstractNumId w:val="4"/>
  </w:num>
  <w:num w:numId="29" w16cid:durableId="442266369">
    <w:abstractNumId w:val="7"/>
  </w:num>
  <w:num w:numId="30" w16cid:durableId="749041479">
    <w:abstractNumId w:val="10"/>
  </w:num>
  <w:num w:numId="31" w16cid:durableId="1695768505">
    <w:abstractNumId w:val="5"/>
  </w:num>
  <w:num w:numId="32" w16cid:durableId="786628674">
    <w:abstractNumId w:val="1"/>
  </w:num>
  <w:num w:numId="33" w16cid:durableId="1263076281">
    <w:abstractNumId w:val="32"/>
  </w:num>
  <w:num w:numId="34" w16cid:durableId="1139297231">
    <w:abstractNumId w:val="6"/>
  </w:num>
  <w:num w:numId="35" w16cid:durableId="656881638">
    <w:abstractNumId w:val="19"/>
  </w:num>
  <w:num w:numId="36" w16cid:durableId="8215854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057A"/>
    <w:rsid w:val="000039A8"/>
    <w:rsid w:val="0000428F"/>
    <w:rsid w:val="00005076"/>
    <w:rsid w:val="0001164E"/>
    <w:rsid w:val="00011D2B"/>
    <w:rsid w:val="00013198"/>
    <w:rsid w:val="00022CD1"/>
    <w:rsid w:val="00024886"/>
    <w:rsid w:val="00024997"/>
    <w:rsid w:val="00025328"/>
    <w:rsid w:val="00026B6C"/>
    <w:rsid w:val="00030939"/>
    <w:rsid w:val="0003102E"/>
    <w:rsid w:val="0003293B"/>
    <w:rsid w:val="00037FA4"/>
    <w:rsid w:val="00040D3A"/>
    <w:rsid w:val="00055124"/>
    <w:rsid w:val="00056934"/>
    <w:rsid w:val="000600D2"/>
    <w:rsid w:val="000602ED"/>
    <w:rsid w:val="00061A87"/>
    <w:rsid w:val="000632BD"/>
    <w:rsid w:val="0006492E"/>
    <w:rsid w:val="00064B5E"/>
    <w:rsid w:val="00070A8C"/>
    <w:rsid w:val="000725AF"/>
    <w:rsid w:val="00075B68"/>
    <w:rsid w:val="00081510"/>
    <w:rsid w:val="000846FD"/>
    <w:rsid w:val="00091801"/>
    <w:rsid w:val="00092DA3"/>
    <w:rsid w:val="000A0AEE"/>
    <w:rsid w:val="000A290D"/>
    <w:rsid w:val="000A540D"/>
    <w:rsid w:val="000A7C19"/>
    <w:rsid w:val="000B188D"/>
    <w:rsid w:val="000B2378"/>
    <w:rsid w:val="000B484B"/>
    <w:rsid w:val="000B76B4"/>
    <w:rsid w:val="000C302D"/>
    <w:rsid w:val="000C48EB"/>
    <w:rsid w:val="000C5DAE"/>
    <w:rsid w:val="000C6C5F"/>
    <w:rsid w:val="000C794C"/>
    <w:rsid w:val="000D408E"/>
    <w:rsid w:val="000D4A03"/>
    <w:rsid w:val="000E25C2"/>
    <w:rsid w:val="000F2005"/>
    <w:rsid w:val="000F3EC1"/>
    <w:rsid w:val="000F781A"/>
    <w:rsid w:val="001062DA"/>
    <w:rsid w:val="00106463"/>
    <w:rsid w:val="0010683F"/>
    <w:rsid w:val="00110FCB"/>
    <w:rsid w:val="00111300"/>
    <w:rsid w:val="001122AB"/>
    <w:rsid w:val="0011786B"/>
    <w:rsid w:val="0012009A"/>
    <w:rsid w:val="00121E71"/>
    <w:rsid w:val="00121F11"/>
    <w:rsid w:val="001220F1"/>
    <w:rsid w:val="00122729"/>
    <w:rsid w:val="0013058C"/>
    <w:rsid w:val="00130AB4"/>
    <w:rsid w:val="00137C19"/>
    <w:rsid w:val="00142579"/>
    <w:rsid w:val="00143127"/>
    <w:rsid w:val="0014356E"/>
    <w:rsid w:val="00145DA9"/>
    <w:rsid w:val="00152550"/>
    <w:rsid w:val="00154A7A"/>
    <w:rsid w:val="00160B69"/>
    <w:rsid w:val="00167088"/>
    <w:rsid w:val="00170F0D"/>
    <w:rsid w:val="00173255"/>
    <w:rsid w:val="00173D2D"/>
    <w:rsid w:val="00181388"/>
    <w:rsid w:val="00182970"/>
    <w:rsid w:val="00186713"/>
    <w:rsid w:val="00190E39"/>
    <w:rsid w:val="0019736A"/>
    <w:rsid w:val="001A0F9D"/>
    <w:rsid w:val="001A2B64"/>
    <w:rsid w:val="001A3763"/>
    <w:rsid w:val="001A6151"/>
    <w:rsid w:val="001B3F10"/>
    <w:rsid w:val="001B4159"/>
    <w:rsid w:val="001B4984"/>
    <w:rsid w:val="001B4B0E"/>
    <w:rsid w:val="001C02F2"/>
    <w:rsid w:val="001C2157"/>
    <w:rsid w:val="001C2B44"/>
    <w:rsid w:val="001C31FD"/>
    <w:rsid w:val="001C4B8F"/>
    <w:rsid w:val="001D1FB2"/>
    <w:rsid w:val="001D4A79"/>
    <w:rsid w:val="001D4C40"/>
    <w:rsid w:val="001D5ECD"/>
    <w:rsid w:val="001D7B34"/>
    <w:rsid w:val="001E20BE"/>
    <w:rsid w:val="001E30AF"/>
    <w:rsid w:val="001E4841"/>
    <w:rsid w:val="001F3BED"/>
    <w:rsid w:val="001F4CC8"/>
    <w:rsid w:val="001F6287"/>
    <w:rsid w:val="00200C84"/>
    <w:rsid w:val="002044FB"/>
    <w:rsid w:val="002051A6"/>
    <w:rsid w:val="00221C5B"/>
    <w:rsid w:val="0022431B"/>
    <w:rsid w:val="002311D5"/>
    <w:rsid w:val="00233D94"/>
    <w:rsid w:val="002370BF"/>
    <w:rsid w:val="00240987"/>
    <w:rsid w:val="002437AF"/>
    <w:rsid w:val="00255264"/>
    <w:rsid w:val="00266090"/>
    <w:rsid w:val="002666F3"/>
    <w:rsid w:val="0026671D"/>
    <w:rsid w:val="00273CE3"/>
    <w:rsid w:val="00274022"/>
    <w:rsid w:val="00276C2F"/>
    <w:rsid w:val="0028558E"/>
    <w:rsid w:val="002A0A7E"/>
    <w:rsid w:val="002A0B93"/>
    <w:rsid w:val="002A43AC"/>
    <w:rsid w:val="002C45A1"/>
    <w:rsid w:val="002D373C"/>
    <w:rsid w:val="002E1FFC"/>
    <w:rsid w:val="002F2055"/>
    <w:rsid w:val="002F6086"/>
    <w:rsid w:val="003008BA"/>
    <w:rsid w:val="0030257E"/>
    <w:rsid w:val="003109D3"/>
    <w:rsid w:val="00315776"/>
    <w:rsid w:val="0031581E"/>
    <w:rsid w:val="00315AC4"/>
    <w:rsid w:val="00316DC9"/>
    <w:rsid w:val="00321F29"/>
    <w:rsid w:val="00322D45"/>
    <w:rsid w:val="00323132"/>
    <w:rsid w:val="003246AF"/>
    <w:rsid w:val="0032698D"/>
    <w:rsid w:val="0032744E"/>
    <w:rsid w:val="0033059C"/>
    <w:rsid w:val="00332A04"/>
    <w:rsid w:val="00337707"/>
    <w:rsid w:val="0034065A"/>
    <w:rsid w:val="0035229E"/>
    <w:rsid w:val="00352D0B"/>
    <w:rsid w:val="00353466"/>
    <w:rsid w:val="00354E22"/>
    <w:rsid w:val="00376591"/>
    <w:rsid w:val="00380D42"/>
    <w:rsid w:val="0038126B"/>
    <w:rsid w:val="00382B4C"/>
    <w:rsid w:val="00383F6B"/>
    <w:rsid w:val="00391701"/>
    <w:rsid w:val="00394627"/>
    <w:rsid w:val="00396576"/>
    <w:rsid w:val="00397BD4"/>
    <w:rsid w:val="003A1AC2"/>
    <w:rsid w:val="003A2E8C"/>
    <w:rsid w:val="003A64F8"/>
    <w:rsid w:val="003B004F"/>
    <w:rsid w:val="003B21F3"/>
    <w:rsid w:val="003B4F92"/>
    <w:rsid w:val="003B7233"/>
    <w:rsid w:val="003C5728"/>
    <w:rsid w:val="003C63BB"/>
    <w:rsid w:val="003C6608"/>
    <w:rsid w:val="003D0800"/>
    <w:rsid w:val="003D2894"/>
    <w:rsid w:val="003D45B6"/>
    <w:rsid w:val="003E1B13"/>
    <w:rsid w:val="003E3A21"/>
    <w:rsid w:val="003E5ABD"/>
    <w:rsid w:val="003E5C76"/>
    <w:rsid w:val="003E65F9"/>
    <w:rsid w:val="003E7C4C"/>
    <w:rsid w:val="003F2B45"/>
    <w:rsid w:val="003F4FD2"/>
    <w:rsid w:val="003F67EC"/>
    <w:rsid w:val="00402B2E"/>
    <w:rsid w:val="004034B1"/>
    <w:rsid w:val="00405068"/>
    <w:rsid w:val="004052AC"/>
    <w:rsid w:val="00416B11"/>
    <w:rsid w:val="00416D83"/>
    <w:rsid w:val="004249E1"/>
    <w:rsid w:val="00434A6C"/>
    <w:rsid w:val="0043520B"/>
    <w:rsid w:val="00436A42"/>
    <w:rsid w:val="00437913"/>
    <w:rsid w:val="0045035F"/>
    <w:rsid w:val="0045151F"/>
    <w:rsid w:val="00456886"/>
    <w:rsid w:val="00460AAD"/>
    <w:rsid w:val="00461D8A"/>
    <w:rsid w:val="00463B79"/>
    <w:rsid w:val="00465D50"/>
    <w:rsid w:val="00466C7F"/>
    <w:rsid w:val="00466F34"/>
    <w:rsid w:val="00470934"/>
    <w:rsid w:val="00470BC1"/>
    <w:rsid w:val="00477921"/>
    <w:rsid w:val="004822EC"/>
    <w:rsid w:val="004833F0"/>
    <w:rsid w:val="00486C80"/>
    <w:rsid w:val="004958DE"/>
    <w:rsid w:val="004A1916"/>
    <w:rsid w:val="004A217C"/>
    <w:rsid w:val="004A30E7"/>
    <w:rsid w:val="004A48EF"/>
    <w:rsid w:val="004A7495"/>
    <w:rsid w:val="004B04D5"/>
    <w:rsid w:val="004B1E86"/>
    <w:rsid w:val="004B28AB"/>
    <w:rsid w:val="004B3CE4"/>
    <w:rsid w:val="004B68E7"/>
    <w:rsid w:val="004C37CB"/>
    <w:rsid w:val="004C5E7C"/>
    <w:rsid w:val="004D2D6C"/>
    <w:rsid w:val="004D2ED5"/>
    <w:rsid w:val="004E0368"/>
    <w:rsid w:val="004E0C09"/>
    <w:rsid w:val="004E663A"/>
    <w:rsid w:val="004F37E9"/>
    <w:rsid w:val="004F4B81"/>
    <w:rsid w:val="00514827"/>
    <w:rsid w:val="00520573"/>
    <w:rsid w:val="005206CC"/>
    <w:rsid w:val="00527175"/>
    <w:rsid w:val="00527567"/>
    <w:rsid w:val="00530F60"/>
    <w:rsid w:val="005316CA"/>
    <w:rsid w:val="00532BDA"/>
    <w:rsid w:val="00532FF0"/>
    <w:rsid w:val="00537764"/>
    <w:rsid w:val="00542785"/>
    <w:rsid w:val="005452F2"/>
    <w:rsid w:val="00546A11"/>
    <w:rsid w:val="0054705C"/>
    <w:rsid w:val="005505C3"/>
    <w:rsid w:val="00552782"/>
    <w:rsid w:val="00556F01"/>
    <w:rsid w:val="00557419"/>
    <w:rsid w:val="00557F13"/>
    <w:rsid w:val="00562169"/>
    <w:rsid w:val="005638C8"/>
    <w:rsid w:val="00566307"/>
    <w:rsid w:val="00570F55"/>
    <w:rsid w:val="00571DB3"/>
    <w:rsid w:val="00573AD9"/>
    <w:rsid w:val="00576959"/>
    <w:rsid w:val="00576A3E"/>
    <w:rsid w:val="0058334C"/>
    <w:rsid w:val="00585766"/>
    <w:rsid w:val="00586197"/>
    <w:rsid w:val="005903E8"/>
    <w:rsid w:val="00593ECF"/>
    <w:rsid w:val="00595327"/>
    <w:rsid w:val="005A479C"/>
    <w:rsid w:val="005A73E2"/>
    <w:rsid w:val="005B2853"/>
    <w:rsid w:val="005B429C"/>
    <w:rsid w:val="005C01F6"/>
    <w:rsid w:val="005C09F8"/>
    <w:rsid w:val="005C3515"/>
    <w:rsid w:val="005C46A6"/>
    <w:rsid w:val="005C5815"/>
    <w:rsid w:val="005C77DF"/>
    <w:rsid w:val="005D08BB"/>
    <w:rsid w:val="005D189B"/>
    <w:rsid w:val="005D2C7C"/>
    <w:rsid w:val="005D6415"/>
    <w:rsid w:val="005D7549"/>
    <w:rsid w:val="005E005E"/>
    <w:rsid w:val="005E44BA"/>
    <w:rsid w:val="005F1BC7"/>
    <w:rsid w:val="005F492F"/>
    <w:rsid w:val="005F7EE7"/>
    <w:rsid w:val="006003AE"/>
    <w:rsid w:val="00606317"/>
    <w:rsid w:val="00607BA5"/>
    <w:rsid w:val="00613620"/>
    <w:rsid w:val="00614508"/>
    <w:rsid w:val="00616D5F"/>
    <w:rsid w:val="00622A06"/>
    <w:rsid w:val="00622A21"/>
    <w:rsid w:val="00631FE1"/>
    <w:rsid w:val="00634114"/>
    <w:rsid w:val="00635E81"/>
    <w:rsid w:val="00637F20"/>
    <w:rsid w:val="00640526"/>
    <w:rsid w:val="0064554F"/>
    <w:rsid w:val="006469D2"/>
    <w:rsid w:val="0064732E"/>
    <w:rsid w:val="00653BC5"/>
    <w:rsid w:val="0065735D"/>
    <w:rsid w:val="0066212C"/>
    <w:rsid w:val="00662139"/>
    <w:rsid w:val="00662DA0"/>
    <w:rsid w:val="00662EDD"/>
    <w:rsid w:val="006663D8"/>
    <w:rsid w:val="00666F8A"/>
    <w:rsid w:val="0067553F"/>
    <w:rsid w:val="00677613"/>
    <w:rsid w:val="00682912"/>
    <w:rsid w:val="00683D57"/>
    <w:rsid w:val="006868ED"/>
    <w:rsid w:val="00690F6C"/>
    <w:rsid w:val="00693417"/>
    <w:rsid w:val="00695DF3"/>
    <w:rsid w:val="00696FB1"/>
    <w:rsid w:val="006B0B6D"/>
    <w:rsid w:val="006B3F3C"/>
    <w:rsid w:val="006B527E"/>
    <w:rsid w:val="006C1C7E"/>
    <w:rsid w:val="006C2524"/>
    <w:rsid w:val="006C5B1C"/>
    <w:rsid w:val="006C7E2D"/>
    <w:rsid w:val="006D0A5C"/>
    <w:rsid w:val="006D7917"/>
    <w:rsid w:val="006E4C7C"/>
    <w:rsid w:val="006E650E"/>
    <w:rsid w:val="006E6D40"/>
    <w:rsid w:val="006F638D"/>
    <w:rsid w:val="0070772A"/>
    <w:rsid w:val="007119A8"/>
    <w:rsid w:val="00711CB4"/>
    <w:rsid w:val="00714854"/>
    <w:rsid w:val="00714DB2"/>
    <w:rsid w:val="00715216"/>
    <w:rsid w:val="007152D6"/>
    <w:rsid w:val="00721A19"/>
    <w:rsid w:val="0072450B"/>
    <w:rsid w:val="007261E2"/>
    <w:rsid w:val="0073442A"/>
    <w:rsid w:val="00736959"/>
    <w:rsid w:val="007406EE"/>
    <w:rsid w:val="00751E0B"/>
    <w:rsid w:val="007538B8"/>
    <w:rsid w:val="00755B49"/>
    <w:rsid w:val="00761970"/>
    <w:rsid w:val="0076266B"/>
    <w:rsid w:val="007632C6"/>
    <w:rsid w:val="00770F4C"/>
    <w:rsid w:val="00772ED5"/>
    <w:rsid w:val="00773EDA"/>
    <w:rsid w:val="00774F48"/>
    <w:rsid w:val="007759D0"/>
    <w:rsid w:val="007766E9"/>
    <w:rsid w:val="007776E7"/>
    <w:rsid w:val="007809D1"/>
    <w:rsid w:val="00783D89"/>
    <w:rsid w:val="0078461E"/>
    <w:rsid w:val="00787A66"/>
    <w:rsid w:val="007917BD"/>
    <w:rsid w:val="00792971"/>
    <w:rsid w:val="007931E1"/>
    <w:rsid w:val="007A0A37"/>
    <w:rsid w:val="007A3DC6"/>
    <w:rsid w:val="007A74C9"/>
    <w:rsid w:val="007B79E7"/>
    <w:rsid w:val="007C11A4"/>
    <w:rsid w:val="007C4FFC"/>
    <w:rsid w:val="007D131A"/>
    <w:rsid w:val="007D16E0"/>
    <w:rsid w:val="007D2A05"/>
    <w:rsid w:val="007D44D0"/>
    <w:rsid w:val="007D5338"/>
    <w:rsid w:val="007D7713"/>
    <w:rsid w:val="007E2028"/>
    <w:rsid w:val="007E4DF2"/>
    <w:rsid w:val="007E7E5F"/>
    <w:rsid w:val="007F069E"/>
    <w:rsid w:val="007F7121"/>
    <w:rsid w:val="007F7A3E"/>
    <w:rsid w:val="008005B2"/>
    <w:rsid w:val="00801BFB"/>
    <w:rsid w:val="00803354"/>
    <w:rsid w:val="008219ED"/>
    <w:rsid w:val="00827C83"/>
    <w:rsid w:val="0083273B"/>
    <w:rsid w:val="00833DE6"/>
    <w:rsid w:val="00836F59"/>
    <w:rsid w:val="00841BD0"/>
    <w:rsid w:val="0084222C"/>
    <w:rsid w:val="00842817"/>
    <w:rsid w:val="00842916"/>
    <w:rsid w:val="00845D09"/>
    <w:rsid w:val="00846122"/>
    <w:rsid w:val="0085474B"/>
    <w:rsid w:val="008558FC"/>
    <w:rsid w:val="008571F0"/>
    <w:rsid w:val="008608BE"/>
    <w:rsid w:val="00867EE0"/>
    <w:rsid w:val="00870DE4"/>
    <w:rsid w:val="00871FEF"/>
    <w:rsid w:val="008806DC"/>
    <w:rsid w:val="008813FC"/>
    <w:rsid w:val="00882009"/>
    <w:rsid w:val="00885BC2"/>
    <w:rsid w:val="00885E47"/>
    <w:rsid w:val="008909C4"/>
    <w:rsid w:val="00890A78"/>
    <w:rsid w:val="00891160"/>
    <w:rsid w:val="0089285E"/>
    <w:rsid w:val="00894EB6"/>
    <w:rsid w:val="008957A2"/>
    <w:rsid w:val="008A7237"/>
    <w:rsid w:val="008B656C"/>
    <w:rsid w:val="008B7E8A"/>
    <w:rsid w:val="008C085A"/>
    <w:rsid w:val="008C4919"/>
    <w:rsid w:val="008D003A"/>
    <w:rsid w:val="008E5742"/>
    <w:rsid w:val="008F10ED"/>
    <w:rsid w:val="008F13C3"/>
    <w:rsid w:val="008F1517"/>
    <w:rsid w:val="008F38BE"/>
    <w:rsid w:val="008F3BF1"/>
    <w:rsid w:val="008F3C41"/>
    <w:rsid w:val="008F6761"/>
    <w:rsid w:val="008F6A6F"/>
    <w:rsid w:val="00900793"/>
    <w:rsid w:val="00900C23"/>
    <w:rsid w:val="00903FE3"/>
    <w:rsid w:val="009064CB"/>
    <w:rsid w:val="00910F7C"/>
    <w:rsid w:val="00912A2C"/>
    <w:rsid w:val="00913D4F"/>
    <w:rsid w:val="00913E2A"/>
    <w:rsid w:val="00914A1B"/>
    <w:rsid w:val="009165C2"/>
    <w:rsid w:val="00916830"/>
    <w:rsid w:val="009172C8"/>
    <w:rsid w:val="00920BDC"/>
    <w:rsid w:val="00921193"/>
    <w:rsid w:val="009212CB"/>
    <w:rsid w:val="00924C4F"/>
    <w:rsid w:val="00924CC8"/>
    <w:rsid w:val="00934C3B"/>
    <w:rsid w:val="0093615C"/>
    <w:rsid w:val="0093697C"/>
    <w:rsid w:val="0093786C"/>
    <w:rsid w:val="00937E1F"/>
    <w:rsid w:val="00942750"/>
    <w:rsid w:val="00947A8C"/>
    <w:rsid w:val="00955397"/>
    <w:rsid w:val="0095597D"/>
    <w:rsid w:val="00955E3D"/>
    <w:rsid w:val="00965062"/>
    <w:rsid w:val="009707A8"/>
    <w:rsid w:val="00972EDF"/>
    <w:rsid w:val="009752A0"/>
    <w:rsid w:val="00983191"/>
    <w:rsid w:val="009855C2"/>
    <w:rsid w:val="009A70BB"/>
    <w:rsid w:val="009B1161"/>
    <w:rsid w:val="009C01EB"/>
    <w:rsid w:val="009C0DA0"/>
    <w:rsid w:val="009C0EB6"/>
    <w:rsid w:val="009C390F"/>
    <w:rsid w:val="009C43E1"/>
    <w:rsid w:val="009C477A"/>
    <w:rsid w:val="009C4ADE"/>
    <w:rsid w:val="009C65EA"/>
    <w:rsid w:val="009D1000"/>
    <w:rsid w:val="009D24AF"/>
    <w:rsid w:val="009D7EA2"/>
    <w:rsid w:val="009E1085"/>
    <w:rsid w:val="009E42C1"/>
    <w:rsid w:val="009F1E25"/>
    <w:rsid w:val="009F218B"/>
    <w:rsid w:val="009F2C12"/>
    <w:rsid w:val="009F4D37"/>
    <w:rsid w:val="009F5E1E"/>
    <w:rsid w:val="00A06EF0"/>
    <w:rsid w:val="00A10696"/>
    <w:rsid w:val="00A1232C"/>
    <w:rsid w:val="00A148CB"/>
    <w:rsid w:val="00A14F04"/>
    <w:rsid w:val="00A212AD"/>
    <w:rsid w:val="00A2132F"/>
    <w:rsid w:val="00A244EE"/>
    <w:rsid w:val="00A3039A"/>
    <w:rsid w:val="00A332F4"/>
    <w:rsid w:val="00A33CDD"/>
    <w:rsid w:val="00A359A7"/>
    <w:rsid w:val="00A40651"/>
    <w:rsid w:val="00A41621"/>
    <w:rsid w:val="00A457B8"/>
    <w:rsid w:val="00A52AE6"/>
    <w:rsid w:val="00A559CF"/>
    <w:rsid w:val="00A71710"/>
    <w:rsid w:val="00A7415A"/>
    <w:rsid w:val="00A74176"/>
    <w:rsid w:val="00A75E7B"/>
    <w:rsid w:val="00A81272"/>
    <w:rsid w:val="00A8218F"/>
    <w:rsid w:val="00A8361B"/>
    <w:rsid w:val="00A85F7A"/>
    <w:rsid w:val="00A91965"/>
    <w:rsid w:val="00A94389"/>
    <w:rsid w:val="00AA1676"/>
    <w:rsid w:val="00AB26A3"/>
    <w:rsid w:val="00AB2F50"/>
    <w:rsid w:val="00AC09E0"/>
    <w:rsid w:val="00AC1C6D"/>
    <w:rsid w:val="00AC2FF0"/>
    <w:rsid w:val="00AD1B45"/>
    <w:rsid w:val="00AD4079"/>
    <w:rsid w:val="00AD4DA8"/>
    <w:rsid w:val="00AE0E0A"/>
    <w:rsid w:val="00AE0F1A"/>
    <w:rsid w:val="00AE7ACE"/>
    <w:rsid w:val="00AF3A0B"/>
    <w:rsid w:val="00AF4E96"/>
    <w:rsid w:val="00AF4F89"/>
    <w:rsid w:val="00AF681D"/>
    <w:rsid w:val="00B11A1C"/>
    <w:rsid w:val="00B11E63"/>
    <w:rsid w:val="00B177B5"/>
    <w:rsid w:val="00B17EF4"/>
    <w:rsid w:val="00B221D8"/>
    <w:rsid w:val="00B22CD8"/>
    <w:rsid w:val="00B22F1F"/>
    <w:rsid w:val="00B26876"/>
    <w:rsid w:val="00B3079E"/>
    <w:rsid w:val="00B36949"/>
    <w:rsid w:val="00B36FBE"/>
    <w:rsid w:val="00B5051B"/>
    <w:rsid w:val="00B5202D"/>
    <w:rsid w:val="00B53DD7"/>
    <w:rsid w:val="00B540CC"/>
    <w:rsid w:val="00B62E8C"/>
    <w:rsid w:val="00B649EC"/>
    <w:rsid w:val="00B72ADF"/>
    <w:rsid w:val="00B73C5D"/>
    <w:rsid w:val="00B74ED1"/>
    <w:rsid w:val="00B80893"/>
    <w:rsid w:val="00B81212"/>
    <w:rsid w:val="00B85D09"/>
    <w:rsid w:val="00B9140B"/>
    <w:rsid w:val="00B96264"/>
    <w:rsid w:val="00B96B67"/>
    <w:rsid w:val="00BA2E58"/>
    <w:rsid w:val="00BA6EEC"/>
    <w:rsid w:val="00BB37E0"/>
    <w:rsid w:val="00BB7FA0"/>
    <w:rsid w:val="00BD09A9"/>
    <w:rsid w:val="00BD13A6"/>
    <w:rsid w:val="00BD1C79"/>
    <w:rsid w:val="00BD45EC"/>
    <w:rsid w:val="00BD6282"/>
    <w:rsid w:val="00BE03BA"/>
    <w:rsid w:val="00BE1F63"/>
    <w:rsid w:val="00BE2664"/>
    <w:rsid w:val="00BE3D7F"/>
    <w:rsid w:val="00BE6F92"/>
    <w:rsid w:val="00BE7B3A"/>
    <w:rsid w:val="00BE7EE6"/>
    <w:rsid w:val="00BF5115"/>
    <w:rsid w:val="00C05B2F"/>
    <w:rsid w:val="00C11638"/>
    <w:rsid w:val="00C1211A"/>
    <w:rsid w:val="00C12852"/>
    <w:rsid w:val="00C17BCC"/>
    <w:rsid w:val="00C34065"/>
    <w:rsid w:val="00C3739F"/>
    <w:rsid w:val="00C47074"/>
    <w:rsid w:val="00C505A6"/>
    <w:rsid w:val="00C5304B"/>
    <w:rsid w:val="00C5335D"/>
    <w:rsid w:val="00C61361"/>
    <w:rsid w:val="00C629C7"/>
    <w:rsid w:val="00C64A32"/>
    <w:rsid w:val="00C7045F"/>
    <w:rsid w:val="00C761F5"/>
    <w:rsid w:val="00C82A41"/>
    <w:rsid w:val="00C82ADB"/>
    <w:rsid w:val="00C83195"/>
    <w:rsid w:val="00C84487"/>
    <w:rsid w:val="00C84952"/>
    <w:rsid w:val="00C858EE"/>
    <w:rsid w:val="00C87583"/>
    <w:rsid w:val="00C90C41"/>
    <w:rsid w:val="00C9190D"/>
    <w:rsid w:val="00C9236C"/>
    <w:rsid w:val="00CA28EF"/>
    <w:rsid w:val="00CA7052"/>
    <w:rsid w:val="00CA7B81"/>
    <w:rsid w:val="00CB7031"/>
    <w:rsid w:val="00CC29B3"/>
    <w:rsid w:val="00CC4EA9"/>
    <w:rsid w:val="00CD468D"/>
    <w:rsid w:val="00CE06AD"/>
    <w:rsid w:val="00CE0B5B"/>
    <w:rsid w:val="00CE26D2"/>
    <w:rsid w:val="00CE2F57"/>
    <w:rsid w:val="00CE4D88"/>
    <w:rsid w:val="00CF246E"/>
    <w:rsid w:val="00CF559B"/>
    <w:rsid w:val="00CF7098"/>
    <w:rsid w:val="00D028CA"/>
    <w:rsid w:val="00D15CE2"/>
    <w:rsid w:val="00D17007"/>
    <w:rsid w:val="00D17D05"/>
    <w:rsid w:val="00D3503A"/>
    <w:rsid w:val="00D35362"/>
    <w:rsid w:val="00D35519"/>
    <w:rsid w:val="00D40630"/>
    <w:rsid w:val="00D41778"/>
    <w:rsid w:val="00D41936"/>
    <w:rsid w:val="00D42507"/>
    <w:rsid w:val="00D42C0A"/>
    <w:rsid w:val="00D564DA"/>
    <w:rsid w:val="00D56BF8"/>
    <w:rsid w:val="00D6404D"/>
    <w:rsid w:val="00D65BE5"/>
    <w:rsid w:val="00D6705A"/>
    <w:rsid w:val="00D74038"/>
    <w:rsid w:val="00D76520"/>
    <w:rsid w:val="00D76C9B"/>
    <w:rsid w:val="00D92BCA"/>
    <w:rsid w:val="00D961CC"/>
    <w:rsid w:val="00D97A7F"/>
    <w:rsid w:val="00DA33B1"/>
    <w:rsid w:val="00DA4E5A"/>
    <w:rsid w:val="00DB1272"/>
    <w:rsid w:val="00DB3BF8"/>
    <w:rsid w:val="00DB4726"/>
    <w:rsid w:val="00DB4FFF"/>
    <w:rsid w:val="00DC1B08"/>
    <w:rsid w:val="00DC5AF6"/>
    <w:rsid w:val="00DC7711"/>
    <w:rsid w:val="00DD1217"/>
    <w:rsid w:val="00DD5A94"/>
    <w:rsid w:val="00DE194C"/>
    <w:rsid w:val="00DE49A0"/>
    <w:rsid w:val="00DE550B"/>
    <w:rsid w:val="00DF3D17"/>
    <w:rsid w:val="00DF4D89"/>
    <w:rsid w:val="00E01616"/>
    <w:rsid w:val="00E0584F"/>
    <w:rsid w:val="00E0697F"/>
    <w:rsid w:val="00E12C22"/>
    <w:rsid w:val="00E15A2B"/>
    <w:rsid w:val="00E17279"/>
    <w:rsid w:val="00E23926"/>
    <w:rsid w:val="00E252B6"/>
    <w:rsid w:val="00E30BA6"/>
    <w:rsid w:val="00E318A6"/>
    <w:rsid w:val="00E350CC"/>
    <w:rsid w:val="00E35769"/>
    <w:rsid w:val="00E42476"/>
    <w:rsid w:val="00E44626"/>
    <w:rsid w:val="00E56447"/>
    <w:rsid w:val="00E5694C"/>
    <w:rsid w:val="00E56D29"/>
    <w:rsid w:val="00E60191"/>
    <w:rsid w:val="00E6519A"/>
    <w:rsid w:val="00E65C06"/>
    <w:rsid w:val="00E67A64"/>
    <w:rsid w:val="00E7184E"/>
    <w:rsid w:val="00E7238C"/>
    <w:rsid w:val="00E8007B"/>
    <w:rsid w:val="00E8575B"/>
    <w:rsid w:val="00E862CA"/>
    <w:rsid w:val="00E90EAB"/>
    <w:rsid w:val="00E91A80"/>
    <w:rsid w:val="00E91E12"/>
    <w:rsid w:val="00EA0D49"/>
    <w:rsid w:val="00EA7629"/>
    <w:rsid w:val="00EA78EE"/>
    <w:rsid w:val="00EB3777"/>
    <w:rsid w:val="00EB49A0"/>
    <w:rsid w:val="00EB5454"/>
    <w:rsid w:val="00EB6877"/>
    <w:rsid w:val="00EB7661"/>
    <w:rsid w:val="00EC0EC0"/>
    <w:rsid w:val="00EC254B"/>
    <w:rsid w:val="00EC28E3"/>
    <w:rsid w:val="00EC512B"/>
    <w:rsid w:val="00ED4490"/>
    <w:rsid w:val="00ED5E3A"/>
    <w:rsid w:val="00ED6F6D"/>
    <w:rsid w:val="00EE7EB1"/>
    <w:rsid w:val="00EF0F23"/>
    <w:rsid w:val="00EF1DA7"/>
    <w:rsid w:val="00F010A6"/>
    <w:rsid w:val="00F01EE9"/>
    <w:rsid w:val="00F03776"/>
    <w:rsid w:val="00F21710"/>
    <w:rsid w:val="00F24973"/>
    <w:rsid w:val="00F24D67"/>
    <w:rsid w:val="00F24EE0"/>
    <w:rsid w:val="00F269A2"/>
    <w:rsid w:val="00F305F7"/>
    <w:rsid w:val="00F40694"/>
    <w:rsid w:val="00F40AD6"/>
    <w:rsid w:val="00F4315D"/>
    <w:rsid w:val="00F633E2"/>
    <w:rsid w:val="00F66A76"/>
    <w:rsid w:val="00F66E8B"/>
    <w:rsid w:val="00F67677"/>
    <w:rsid w:val="00F71809"/>
    <w:rsid w:val="00F81ED5"/>
    <w:rsid w:val="00F83242"/>
    <w:rsid w:val="00F846A7"/>
    <w:rsid w:val="00F862E4"/>
    <w:rsid w:val="00F90BCE"/>
    <w:rsid w:val="00F93EF5"/>
    <w:rsid w:val="00F95221"/>
    <w:rsid w:val="00F95CFF"/>
    <w:rsid w:val="00FA0326"/>
    <w:rsid w:val="00FA0B57"/>
    <w:rsid w:val="00FA67DB"/>
    <w:rsid w:val="00FB126D"/>
    <w:rsid w:val="00FB445F"/>
    <w:rsid w:val="00FB4923"/>
    <w:rsid w:val="00FC1115"/>
    <w:rsid w:val="00FC54A9"/>
    <w:rsid w:val="00FD36DB"/>
    <w:rsid w:val="00FD49CF"/>
    <w:rsid w:val="00FE1860"/>
    <w:rsid w:val="00FE26F8"/>
    <w:rsid w:val="00FE3526"/>
    <w:rsid w:val="00FE5404"/>
    <w:rsid w:val="00FE608F"/>
    <w:rsid w:val="00FE6765"/>
    <w:rsid w:val="00FE7C89"/>
    <w:rsid w:val="00FF13FC"/>
    <w:rsid w:val="00FF53BB"/>
    <w:rsid w:val="00FF5A00"/>
    <w:rsid w:val="00FF70C7"/>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502D7"/>
  <w15:chartTrackingRefBased/>
  <w15:docId w15:val="{9C670046-714D-A545-A05F-ABC9E2EB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noProof/>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style>
  <w:style w:type="table" w:styleId="TableGrid">
    <w:name w:val="Table Grid"/>
    <w:basedOn w:val="TableNormal"/>
    <w:uiPriority w:val="3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sz w:val="24"/>
      <w:szCs w:val="20"/>
    </w:rPr>
  </w:style>
  <w:style w:type="paragraph" w:customStyle="1" w:styleId="Bullet">
    <w:name w:val="Bullet"/>
    <w:basedOn w:val="Normal"/>
    <w:rsid w:val="007D131A"/>
    <w:pPr>
      <w:spacing w:after="0" w:line="240" w:lineRule="auto"/>
    </w:pPr>
    <w:rPr>
      <w:rFonts w:ascii="Times New Roman" w:eastAsia="Times New Roman" w:hAnsi="Times New Roman"/>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uiPriority w:val="22"/>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C5335D"/>
    <w:rPr>
      <w:sz w:val="22"/>
      <w:szCs w:val="22"/>
      <w:lang w:val="en-GB" w:eastAsia="en-US"/>
    </w:rPr>
  </w:style>
  <w:style w:type="character" w:styleId="UnresolvedMention">
    <w:name w:val="Unresolved Mention"/>
    <w:basedOn w:val="DefaultParagraphFont"/>
    <w:uiPriority w:val="99"/>
    <w:semiHidden/>
    <w:unhideWhenUsed/>
    <w:rsid w:val="00405068"/>
    <w:rPr>
      <w:color w:val="605E5C"/>
      <w:shd w:val="clear" w:color="auto" w:fill="E1DFDD"/>
    </w:rPr>
  </w:style>
  <w:style w:type="character" w:customStyle="1" w:styleId="Fontdeparagrafimplicit1">
    <w:name w:val="Font de paragraf implicit1"/>
    <w:rsid w:val="00A2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5470">
      <w:bodyDiv w:val="1"/>
      <w:marLeft w:val="0"/>
      <w:marRight w:val="0"/>
      <w:marTop w:val="0"/>
      <w:marBottom w:val="0"/>
      <w:divBdr>
        <w:top w:val="none" w:sz="0" w:space="0" w:color="auto"/>
        <w:left w:val="none" w:sz="0" w:space="0" w:color="auto"/>
        <w:bottom w:val="none" w:sz="0" w:space="0" w:color="auto"/>
        <w:right w:val="none" w:sz="0" w:space="0" w:color="auto"/>
      </w:divBdr>
    </w:div>
    <w:div w:id="33240637">
      <w:bodyDiv w:val="1"/>
      <w:marLeft w:val="0"/>
      <w:marRight w:val="0"/>
      <w:marTop w:val="0"/>
      <w:marBottom w:val="0"/>
      <w:divBdr>
        <w:top w:val="none" w:sz="0" w:space="0" w:color="auto"/>
        <w:left w:val="none" w:sz="0" w:space="0" w:color="auto"/>
        <w:bottom w:val="none" w:sz="0" w:space="0" w:color="auto"/>
        <w:right w:val="none" w:sz="0" w:space="0" w:color="auto"/>
      </w:divBdr>
    </w:div>
    <w:div w:id="36202954">
      <w:bodyDiv w:val="1"/>
      <w:marLeft w:val="0"/>
      <w:marRight w:val="0"/>
      <w:marTop w:val="0"/>
      <w:marBottom w:val="0"/>
      <w:divBdr>
        <w:top w:val="none" w:sz="0" w:space="0" w:color="auto"/>
        <w:left w:val="none" w:sz="0" w:space="0" w:color="auto"/>
        <w:bottom w:val="none" w:sz="0" w:space="0" w:color="auto"/>
        <w:right w:val="none" w:sz="0" w:space="0" w:color="auto"/>
      </w:divBdr>
    </w:div>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68831478">
      <w:bodyDiv w:val="1"/>
      <w:marLeft w:val="0"/>
      <w:marRight w:val="0"/>
      <w:marTop w:val="0"/>
      <w:marBottom w:val="0"/>
      <w:divBdr>
        <w:top w:val="none" w:sz="0" w:space="0" w:color="auto"/>
        <w:left w:val="none" w:sz="0" w:space="0" w:color="auto"/>
        <w:bottom w:val="none" w:sz="0" w:space="0" w:color="auto"/>
        <w:right w:val="none" w:sz="0" w:space="0" w:color="auto"/>
      </w:divBdr>
    </w:div>
    <w:div w:id="173109665">
      <w:bodyDiv w:val="1"/>
      <w:marLeft w:val="0"/>
      <w:marRight w:val="0"/>
      <w:marTop w:val="0"/>
      <w:marBottom w:val="0"/>
      <w:divBdr>
        <w:top w:val="none" w:sz="0" w:space="0" w:color="auto"/>
        <w:left w:val="none" w:sz="0" w:space="0" w:color="auto"/>
        <w:bottom w:val="none" w:sz="0" w:space="0" w:color="auto"/>
        <w:right w:val="none" w:sz="0" w:space="0" w:color="auto"/>
      </w:divBdr>
    </w:div>
    <w:div w:id="205334588">
      <w:bodyDiv w:val="1"/>
      <w:marLeft w:val="0"/>
      <w:marRight w:val="0"/>
      <w:marTop w:val="0"/>
      <w:marBottom w:val="0"/>
      <w:divBdr>
        <w:top w:val="none" w:sz="0" w:space="0" w:color="auto"/>
        <w:left w:val="none" w:sz="0" w:space="0" w:color="auto"/>
        <w:bottom w:val="none" w:sz="0" w:space="0" w:color="auto"/>
        <w:right w:val="none" w:sz="0" w:space="0" w:color="auto"/>
      </w:divBdr>
    </w:div>
    <w:div w:id="235481107">
      <w:bodyDiv w:val="1"/>
      <w:marLeft w:val="0"/>
      <w:marRight w:val="0"/>
      <w:marTop w:val="0"/>
      <w:marBottom w:val="0"/>
      <w:divBdr>
        <w:top w:val="none" w:sz="0" w:space="0" w:color="auto"/>
        <w:left w:val="none" w:sz="0" w:space="0" w:color="auto"/>
        <w:bottom w:val="none" w:sz="0" w:space="0" w:color="auto"/>
        <w:right w:val="none" w:sz="0" w:space="0" w:color="auto"/>
      </w:divBdr>
    </w:div>
    <w:div w:id="408619917">
      <w:bodyDiv w:val="1"/>
      <w:marLeft w:val="0"/>
      <w:marRight w:val="0"/>
      <w:marTop w:val="0"/>
      <w:marBottom w:val="0"/>
      <w:divBdr>
        <w:top w:val="none" w:sz="0" w:space="0" w:color="auto"/>
        <w:left w:val="none" w:sz="0" w:space="0" w:color="auto"/>
        <w:bottom w:val="none" w:sz="0" w:space="0" w:color="auto"/>
        <w:right w:val="none" w:sz="0" w:space="0" w:color="auto"/>
      </w:divBdr>
    </w:div>
    <w:div w:id="474563182">
      <w:bodyDiv w:val="1"/>
      <w:marLeft w:val="0"/>
      <w:marRight w:val="0"/>
      <w:marTop w:val="0"/>
      <w:marBottom w:val="0"/>
      <w:divBdr>
        <w:top w:val="none" w:sz="0" w:space="0" w:color="auto"/>
        <w:left w:val="none" w:sz="0" w:space="0" w:color="auto"/>
        <w:bottom w:val="none" w:sz="0" w:space="0" w:color="auto"/>
        <w:right w:val="none" w:sz="0" w:space="0" w:color="auto"/>
      </w:divBdr>
    </w:div>
    <w:div w:id="537864599">
      <w:bodyDiv w:val="1"/>
      <w:marLeft w:val="0"/>
      <w:marRight w:val="0"/>
      <w:marTop w:val="0"/>
      <w:marBottom w:val="0"/>
      <w:divBdr>
        <w:top w:val="none" w:sz="0" w:space="0" w:color="auto"/>
        <w:left w:val="none" w:sz="0" w:space="0" w:color="auto"/>
        <w:bottom w:val="none" w:sz="0" w:space="0" w:color="auto"/>
        <w:right w:val="none" w:sz="0" w:space="0" w:color="auto"/>
      </w:divBdr>
    </w:div>
    <w:div w:id="538905170">
      <w:bodyDiv w:val="1"/>
      <w:marLeft w:val="0"/>
      <w:marRight w:val="0"/>
      <w:marTop w:val="0"/>
      <w:marBottom w:val="0"/>
      <w:divBdr>
        <w:top w:val="none" w:sz="0" w:space="0" w:color="auto"/>
        <w:left w:val="none" w:sz="0" w:space="0" w:color="auto"/>
        <w:bottom w:val="none" w:sz="0" w:space="0" w:color="auto"/>
        <w:right w:val="none" w:sz="0" w:space="0" w:color="auto"/>
      </w:divBdr>
    </w:div>
    <w:div w:id="554006220">
      <w:bodyDiv w:val="1"/>
      <w:marLeft w:val="0"/>
      <w:marRight w:val="0"/>
      <w:marTop w:val="0"/>
      <w:marBottom w:val="0"/>
      <w:divBdr>
        <w:top w:val="none" w:sz="0" w:space="0" w:color="auto"/>
        <w:left w:val="none" w:sz="0" w:space="0" w:color="auto"/>
        <w:bottom w:val="none" w:sz="0" w:space="0" w:color="auto"/>
        <w:right w:val="none" w:sz="0" w:space="0" w:color="auto"/>
      </w:divBdr>
    </w:div>
    <w:div w:id="646662693">
      <w:bodyDiv w:val="1"/>
      <w:marLeft w:val="0"/>
      <w:marRight w:val="0"/>
      <w:marTop w:val="0"/>
      <w:marBottom w:val="0"/>
      <w:divBdr>
        <w:top w:val="none" w:sz="0" w:space="0" w:color="auto"/>
        <w:left w:val="none" w:sz="0" w:space="0" w:color="auto"/>
        <w:bottom w:val="none" w:sz="0" w:space="0" w:color="auto"/>
        <w:right w:val="none" w:sz="0" w:space="0" w:color="auto"/>
      </w:divBdr>
    </w:div>
    <w:div w:id="744835428">
      <w:bodyDiv w:val="1"/>
      <w:marLeft w:val="0"/>
      <w:marRight w:val="0"/>
      <w:marTop w:val="0"/>
      <w:marBottom w:val="0"/>
      <w:divBdr>
        <w:top w:val="none" w:sz="0" w:space="0" w:color="auto"/>
        <w:left w:val="none" w:sz="0" w:space="0" w:color="auto"/>
        <w:bottom w:val="none" w:sz="0" w:space="0" w:color="auto"/>
        <w:right w:val="none" w:sz="0" w:space="0" w:color="auto"/>
      </w:divBdr>
      <w:divsChild>
        <w:div w:id="223806298">
          <w:marLeft w:val="0"/>
          <w:marRight w:val="0"/>
          <w:marTop w:val="0"/>
          <w:marBottom w:val="300"/>
          <w:divBdr>
            <w:top w:val="none" w:sz="0" w:space="0" w:color="auto"/>
            <w:left w:val="none" w:sz="0" w:space="0" w:color="auto"/>
            <w:bottom w:val="none" w:sz="0" w:space="0" w:color="auto"/>
            <w:right w:val="none" w:sz="0" w:space="0" w:color="auto"/>
          </w:divBdr>
          <w:divsChild>
            <w:div w:id="1668433338">
              <w:marLeft w:val="0"/>
              <w:marRight w:val="300"/>
              <w:marTop w:val="0"/>
              <w:marBottom w:val="150"/>
              <w:divBdr>
                <w:top w:val="none" w:sz="0" w:space="0" w:color="auto"/>
                <w:left w:val="none" w:sz="0" w:space="0" w:color="auto"/>
                <w:bottom w:val="none" w:sz="0" w:space="0" w:color="auto"/>
                <w:right w:val="none" w:sz="0" w:space="0" w:color="auto"/>
              </w:divBdr>
            </w:div>
            <w:div w:id="2082365550">
              <w:marLeft w:val="0"/>
              <w:marRight w:val="0"/>
              <w:marTop w:val="0"/>
              <w:marBottom w:val="0"/>
              <w:divBdr>
                <w:top w:val="none" w:sz="0" w:space="0" w:color="auto"/>
                <w:left w:val="none" w:sz="0" w:space="0" w:color="auto"/>
                <w:bottom w:val="none" w:sz="0" w:space="0" w:color="auto"/>
                <w:right w:val="none" w:sz="0" w:space="0" w:color="auto"/>
              </w:divBdr>
            </w:div>
          </w:divsChild>
        </w:div>
        <w:div w:id="335881563">
          <w:marLeft w:val="0"/>
          <w:marRight w:val="300"/>
          <w:marTop w:val="0"/>
          <w:marBottom w:val="300"/>
          <w:divBdr>
            <w:top w:val="none" w:sz="0" w:space="0" w:color="auto"/>
            <w:left w:val="none" w:sz="0" w:space="0" w:color="auto"/>
            <w:bottom w:val="none" w:sz="0" w:space="0" w:color="auto"/>
            <w:right w:val="none" w:sz="0" w:space="0" w:color="auto"/>
          </w:divBdr>
          <w:divsChild>
            <w:div w:id="1667589046">
              <w:marLeft w:val="0"/>
              <w:marRight w:val="0"/>
              <w:marTop w:val="0"/>
              <w:marBottom w:val="0"/>
              <w:divBdr>
                <w:top w:val="none" w:sz="0" w:space="0" w:color="auto"/>
                <w:left w:val="none" w:sz="0" w:space="0" w:color="auto"/>
                <w:bottom w:val="none" w:sz="0" w:space="0" w:color="auto"/>
                <w:right w:val="none" w:sz="0" w:space="0" w:color="auto"/>
              </w:divBdr>
            </w:div>
            <w:div w:id="1923945851">
              <w:marLeft w:val="0"/>
              <w:marRight w:val="0"/>
              <w:marTop w:val="0"/>
              <w:marBottom w:val="0"/>
              <w:divBdr>
                <w:top w:val="none" w:sz="0" w:space="0" w:color="auto"/>
                <w:left w:val="none" w:sz="0" w:space="0" w:color="auto"/>
                <w:bottom w:val="none" w:sz="0" w:space="0" w:color="auto"/>
                <w:right w:val="none" w:sz="0" w:space="0" w:color="auto"/>
              </w:divBdr>
            </w:div>
          </w:divsChild>
        </w:div>
        <w:div w:id="421151057">
          <w:marLeft w:val="0"/>
          <w:marRight w:val="0"/>
          <w:marTop w:val="0"/>
          <w:marBottom w:val="0"/>
          <w:divBdr>
            <w:top w:val="none" w:sz="0" w:space="0" w:color="auto"/>
            <w:left w:val="none" w:sz="0" w:space="0" w:color="auto"/>
            <w:bottom w:val="none" w:sz="0" w:space="0" w:color="auto"/>
            <w:right w:val="none" w:sz="0" w:space="0" w:color="auto"/>
          </w:divBdr>
        </w:div>
        <w:div w:id="633482733">
          <w:marLeft w:val="0"/>
          <w:marRight w:val="0"/>
          <w:marTop w:val="0"/>
          <w:marBottom w:val="300"/>
          <w:divBdr>
            <w:top w:val="none" w:sz="0" w:space="0" w:color="auto"/>
            <w:left w:val="none" w:sz="0" w:space="0" w:color="auto"/>
            <w:bottom w:val="none" w:sz="0" w:space="0" w:color="auto"/>
            <w:right w:val="none" w:sz="0" w:space="0" w:color="auto"/>
          </w:divBdr>
          <w:divsChild>
            <w:div w:id="1084497850">
              <w:marLeft w:val="0"/>
              <w:marRight w:val="0"/>
              <w:marTop w:val="0"/>
              <w:marBottom w:val="0"/>
              <w:divBdr>
                <w:top w:val="none" w:sz="0" w:space="0" w:color="auto"/>
                <w:left w:val="none" w:sz="0" w:space="0" w:color="auto"/>
                <w:bottom w:val="none" w:sz="0" w:space="0" w:color="auto"/>
                <w:right w:val="none" w:sz="0" w:space="0" w:color="auto"/>
              </w:divBdr>
            </w:div>
            <w:div w:id="1372729649">
              <w:marLeft w:val="0"/>
              <w:marRight w:val="0"/>
              <w:marTop w:val="0"/>
              <w:marBottom w:val="0"/>
              <w:divBdr>
                <w:top w:val="none" w:sz="0" w:space="0" w:color="auto"/>
                <w:left w:val="none" w:sz="0" w:space="0" w:color="auto"/>
                <w:bottom w:val="none" w:sz="0" w:space="0" w:color="auto"/>
                <w:right w:val="none" w:sz="0" w:space="0" w:color="auto"/>
              </w:divBdr>
            </w:div>
          </w:divsChild>
        </w:div>
        <w:div w:id="715199764">
          <w:marLeft w:val="0"/>
          <w:marRight w:val="300"/>
          <w:marTop w:val="0"/>
          <w:marBottom w:val="300"/>
          <w:divBdr>
            <w:top w:val="none" w:sz="0" w:space="0" w:color="auto"/>
            <w:left w:val="none" w:sz="0" w:space="0" w:color="auto"/>
            <w:bottom w:val="none" w:sz="0" w:space="0" w:color="auto"/>
            <w:right w:val="none" w:sz="0" w:space="0" w:color="auto"/>
          </w:divBdr>
          <w:divsChild>
            <w:div w:id="146169400">
              <w:marLeft w:val="0"/>
              <w:marRight w:val="0"/>
              <w:marTop w:val="0"/>
              <w:marBottom w:val="0"/>
              <w:divBdr>
                <w:top w:val="none" w:sz="0" w:space="0" w:color="auto"/>
                <w:left w:val="none" w:sz="0" w:space="0" w:color="auto"/>
                <w:bottom w:val="none" w:sz="0" w:space="0" w:color="auto"/>
                <w:right w:val="none" w:sz="0" w:space="0" w:color="auto"/>
              </w:divBdr>
            </w:div>
            <w:div w:id="458110766">
              <w:marLeft w:val="0"/>
              <w:marRight w:val="0"/>
              <w:marTop w:val="0"/>
              <w:marBottom w:val="0"/>
              <w:divBdr>
                <w:top w:val="none" w:sz="0" w:space="0" w:color="auto"/>
                <w:left w:val="none" w:sz="0" w:space="0" w:color="auto"/>
                <w:bottom w:val="none" w:sz="0" w:space="0" w:color="auto"/>
                <w:right w:val="none" w:sz="0" w:space="0" w:color="auto"/>
              </w:divBdr>
            </w:div>
          </w:divsChild>
        </w:div>
        <w:div w:id="943616743">
          <w:marLeft w:val="0"/>
          <w:marRight w:val="300"/>
          <w:marTop w:val="0"/>
          <w:marBottom w:val="300"/>
          <w:divBdr>
            <w:top w:val="none" w:sz="0" w:space="0" w:color="auto"/>
            <w:left w:val="none" w:sz="0" w:space="0" w:color="auto"/>
            <w:bottom w:val="none" w:sz="0" w:space="0" w:color="auto"/>
            <w:right w:val="none" w:sz="0" w:space="0" w:color="auto"/>
          </w:divBdr>
          <w:divsChild>
            <w:div w:id="665935056">
              <w:marLeft w:val="0"/>
              <w:marRight w:val="0"/>
              <w:marTop w:val="0"/>
              <w:marBottom w:val="0"/>
              <w:divBdr>
                <w:top w:val="none" w:sz="0" w:space="0" w:color="auto"/>
                <w:left w:val="none" w:sz="0" w:space="0" w:color="auto"/>
                <w:bottom w:val="none" w:sz="0" w:space="0" w:color="auto"/>
                <w:right w:val="none" w:sz="0" w:space="0" w:color="auto"/>
              </w:divBdr>
            </w:div>
            <w:div w:id="1673336147">
              <w:marLeft w:val="0"/>
              <w:marRight w:val="0"/>
              <w:marTop w:val="0"/>
              <w:marBottom w:val="0"/>
              <w:divBdr>
                <w:top w:val="none" w:sz="0" w:space="0" w:color="auto"/>
                <w:left w:val="none" w:sz="0" w:space="0" w:color="auto"/>
                <w:bottom w:val="none" w:sz="0" w:space="0" w:color="auto"/>
                <w:right w:val="none" w:sz="0" w:space="0" w:color="auto"/>
              </w:divBdr>
            </w:div>
          </w:divsChild>
        </w:div>
        <w:div w:id="1178735022">
          <w:marLeft w:val="0"/>
          <w:marRight w:val="300"/>
          <w:marTop w:val="0"/>
          <w:marBottom w:val="300"/>
          <w:divBdr>
            <w:top w:val="none" w:sz="0" w:space="0" w:color="auto"/>
            <w:left w:val="none" w:sz="0" w:space="0" w:color="auto"/>
            <w:bottom w:val="none" w:sz="0" w:space="0" w:color="auto"/>
            <w:right w:val="none" w:sz="0" w:space="0" w:color="auto"/>
          </w:divBdr>
          <w:divsChild>
            <w:div w:id="943414631">
              <w:marLeft w:val="0"/>
              <w:marRight w:val="0"/>
              <w:marTop w:val="0"/>
              <w:marBottom w:val="0"/>
              <w:divBdr>
                <w:top w:val="none" w:sz="0" w:space="0" w:color="auto"/>
                <w:left w:val="none" w:sz="0" w:space="0" w:color="auto"/>
                <w:bottom w:val="none" w:sz="0" w:space="0" w:color="auto"/>
                <w:right w:val="none" w:sz="0" w:space="0" w:color="auto"/>
              </w:divBdr>
            </w:div>
            <w:div w:id="1670256817">
              <w:marLeft w:val="0"/>
              <w:marRight w:val="0"/>
              <w:marTop w:val="0"/>
              <w:marBottom w:val="0"/>
              <w:divBdr>
                <w:top w:val="none" w:sz="0" w:space="0" w:color="auto"/>
                <w:left w:val="none" w:sz="0" w:space="0" w:color="auto"/>
                <w:bottom w:val="none" w:sz="0" w:space="0" w:color="auto"/>
                <w:right w:val="none" w:sz="0" w:space="0" w:color="auto"/>
              </w:divBdr>
            </w:div>
          </w:divsChild>
        </w:div>
        <w:div w:id="1776562070">
          <w:marLeft w:val="0"/>
          <w:marRight w:val="300"/>
          <w:marTop w:val="0"/>
          <w:marBottom w:val="300"/>
          <w:divBdr>
            <w:top w:val="none" w:sz="0" w:space="0" w:color="auto"/>
            <w:left w:val="none" w:sz="0" w:space="0" w:color="auto"/>
            <w:bottom w:val="none" w:sz="0" w:space="0" w:color="auto"/>
            <w:right w:val="none" w:sz="0" w:space="0" w:color="auto"/>
          </w:divBdr>
          <w:divsChild>
            <w:div w:id="340161320">
              <w:marLeft w:val="0"/>
              <w:marRight w:val="0"/>
              <w:marTop w:val="0"/>
              <w:marBottom w:val="0"/>
              <w:divBdr>
                <w:top w:val="none" w:sz="0" w:space="0" w:color="auto"/>
                <w:left w:val="none" w:sz="0" w:space="0" w:color="auto"/>
                <w:bottom w:val="none" w:sz="0" w:space="0" w:color="auto"/>
                <w:right w:val="none" w:sz="0" w:space="0" w:color="auto"/>
              </w:divBdr>
            </w:div>
            <w:div w:id="1629895354">
              <w:marLeft w:val="0"/>
              <w:marRight w:val="0"/>
              <w:marTop w:val="0"/>
              <w:marBottom w:val="0"/>
              <w:divBdr>
                <w:top w:val="none" w:sz="0" w:space="0" w:color="auto"/>
                <w:left w:val="none" w:sz="0" w:space="0" w:color="auto"/>
                <w:bottom w:val="none" w:sz="0" w:space="0" w:color="auto"/>
                <w:right w:val="none" w:sz="0" w:space="0" w:color="auto"/>
              </w:divBdr>
            </w:div>
          </w:divsChild>
        </w:div>
        <w:div w:id="1872523803">
          <w:marLeft w:val="0"/>
          <w:marRight w:val="300"/>
          <w:marTop w:val="0"/>
          <w:marBottom w:val="300"/>
          <w:divBdr>
            <w:top w:val="none" w:sz="0" w:space="0" w:color="auto"/>
            <w:left w:val="none" w:sz="0" w:space="0" w:color="auto"/>
            <w:bottom w:val="none" w:sz="0" w:space="0" w:color="auto"/>
            <w:right w:val="none" w:sz="0" w:space="0" w:color="auto"/>
          </w:divBdr>
          <w:divsChild>
            <w:div w:id="2120024464">
              <w:marLeft w:val="0"/>
              <w:marRight w:val="0"/>
              <w:marTop w:val="0"/>
              <w:marBottom w:val="0"/>
              <w:divBdr>
                <w:top w:val="none" w:sz="0" w:space="0" w:color="auto"/>
                <w:left w:val="none" w:sz="0" w:space="0" w:color="auto"/>
                <w:bottom w:val="none" w:sz="0" w:space="0" w:color="auto"/>
                <w:right w:val="none" w:sz="0" w:space="0" w:color="auto"/>
              </w:divBdr>
            </w:div>
            <w:div w:id="2144033101">
              <w:marLeft w:val="0"/>
              <w:marRight w:val="0"/>
              <w:marTop w:val="0"/>
              <w:marBottom w:val="0"/>
              <w:divBdr>
                <w:top w:val="none" w:sz="0" w:space="0" w:color="auto"/>
                <w:left w:val="none" w:sz="0" w:space="0" w:color="auto"/>
                <w:bottom w:val="none" w:sz="0" w:space="0" w:color="auto"/>
                <w:right w:val="none" w:sz="0" w:space="0" w:color="auto"/>
              </w:divBdr>
            </w:div>
          </w:divsChild>
        </w:div>
        <w:div w:id="1956207832">
          <w:marLeft w:val="0"/>
          <w:marRight w:val="0"/>
          <w:marTop w:val="0"/>
          <w:marBottom w:val="300"/>
          <w:divBdr>
            <w:top w:val="none" w:sz="0" w:space="0" w:color="auto"/>
            <w:left w:val="none" w:sz="0" w:space="0" w:color="auto"/>
            <w:bottom w:val="none" w:sz="0" w:space="0" w:color="auto"/>
            <w:right w:val="none" w:sz="0" w:space="0" w:color="auto"/>
          </w:divBdr>
          <w:divsChild>
            <w:div w:id="213275013">
              <w:marLeft w:val="0"/>
              <w:marRight w:val="0"/>
              <w:marTop w:val="0"/>
              <w:marBottom w:val="0"/>
              <w:divBdr>
                <w:top w:val="none" w:sz="0" w:space="0" w:color="auto"/>
                <w:left w:val="none" w:sz="0" w:space="0" w:color="auto"/>
                <w:bottom w:val="none" w:sz="0" w:space="0" w:color="auto"/>
                <w:right w:val="none" w:sz="0" w:space="0" w:color="auto"/>
              </w:divBdr>
            </w:div>
            <w:div w:id="298611290">
              <w:marLeft w:val="0"/>
              <w:marRight w:val="0"/>
              <w:marTop w:val="0"/>
              <w:marBottom w:val="0"/>
              <w:divBdr>
                <w:top w:val="none" w:sz="0" w:space="0" w:color="auto"/>
                <w:left w:val="none" w:sz="0" w:space="0" w:color="auto"/>
                <w:bottom w:val="none" w:sz="0" w:space="0" w:color="auto"/>
                <w:right w:val="none" w:sz="0" w:space="0" w:color="auto"/>
              </w:divBdr>
            </w:div>
          </w:divsChild>
        </w:div>
        <w:div w:id="1988438979">
          <w:marLeft w:val="0"/>
          <w:marRight w:val="300"/>
          <w:marTop w:val="0"/>
          <w:marBottom w:val="300"/>
          <w:divBdr>
            <w:top w:val="none" w:sz="0" w:space="0" w:color="auto"/>
            <w:left w:val="none" w:sz="0" w:space="0" w:color="auto"/>
            <w:bottom w:val="none" w:sz="0" w:space="0" w:color="auto"/>
            <w:right w:val="none" w:sz="0" w:space="0" w:color="auto"/>
          </w:divBdr>
          <w:divsChild>
            <w:div w:id="639964358">
              <w:marLeft w:val="0"/>
              <w:marRight w:val="0"/>
              <w:marTop w:val="0"/>
              <w:marBottom w:val="0"/>
              <w:divBdr>
                <w:top w:val="none" w:sz="0" w:space="0" w:color="auto"/>
                <w:left w:val="none" w:sz="0" w:space="0" w:color="auto"/>
                <w:bottom w:val="none" w:sz="0" w:space="0" w:color="auto"/>
                <w:right w:val="none" w:sz="0" w:space="0" w:color="auto"/>
              </w:divBdr>
            </w:div>
            <w:div w:id="705561431">
              <w:marLeft w:val="0"/>
              <w:marRight w:val="0"/>
              <w:marTop w:val="0"/>
              <w:marBottom w:val="0"/>
              <w:divBdr>
                <w:top w:val="none" w:sz="0" w:space="0" w:color="auto"/>
                <w:left w:val="none" w:sz="0" w:space="0" w:color="auto"/>
                <w:bottom w:val="none" w:sz="0" w:space="0" w:color="auto"/>
                <w:right w:val="none" w:sz="0" w:space="0" w:color="auto"/>
              </w:divBdr>
            </w:div>
          </w:divsChild>
        </w:div>
        <w:div w:id="2022271336">
          <w:marLeft w:val="0"/>
          <w:marRight w:val="0"/>
          <w:marTop w:val="0"/>
          <w:marBottom w:val="300"/>
          <w:divBdr>
            <w:top w:val="none" w:sz="0" w:space="0" w:color="auto"/>
            <w:left w:val="none" w:sz="0" w:space="0" w:color="auto"/>
            <w:bottom w:val="none" w:sz="0" w:space="0" w:color="auto"/>
            <w:right w:val="none" w:sz="0" w:space="0" w:color="auto"/>
          </w:divBdr>
          <w:divsChild>
            <w:div w:id="654146410">
              <w:marLeft w:val="0"/>
              <w:marRight w:val="0"/>
              <w:marTop w:val="0"/>
              <w:marBottom w:val="0"/>
              <w:divBdr>
                <w:top w:val="none" w:sz="0" w:space="0" w:color="auto"/>
                <w:left w:val="none" w:sz="0" w:space="0" w:color="auto"/>
                <w:bottom w:val="none" w:sz="0" w:space="0" w:color="auto"/>
                <w:right w:val="none" w:sz="0" w:space="0" w:color="auto"/>
              </w:divBdr>
            </w:div>
            <w:div w:id="987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91792">
      <w:bodyDiv w:val="1"/>
      <w:marLeft w:val="0"/>
      <w:marRight w:val="0"/>
      <w:marTop w:val="0"/>
      <w:marBottom w:val="0"/>
      <w:divBdr>
        <w:top w:val="none" w:sz="0" w:space="0" w:color="auto"/>
        <w:left w:val="none" w:sz="0" w:space="0" w:color="auto"/>
        <w:bottom w:val="none" w:sz="0" w:space="0" w:color="auto"/>
        <w:right w:val="none" w:sz="0" w:space="0" w:color="auto"/>
      </w:divBdr>
    </w:div>
    <w:div w:id="897938140">
      <w:bodyDiv w:val="1"/>
      <w:marLeft w:val="0"/>
      <w:marRight w:val="0"/>
      <w:marTop w:val="0"/>
      <w:marBottom w:val="0"/>
      <w:divBdr>
        <w:top w:val="none" w:sz="0" w:space="0" w:color="auto"/>
        <w:left w:val="none" w:sz="0" w:space="0" w:color="auto"/>
        <w:bottom w:val="none" w:sz="0" w:space="0" w:color="auto"/>
        <w:right w:val="none" w:sz="0" w:space="0" w:color="auto"/>
      </w:divBdr>
    </w:div>
    <w:div w:id="1031614628">
      <w:bodyDiv w:val="1"/>
      <w:marLeft w:val="0"/>
      <w:marRight w:val="0"/>
      <w:marTop w:val="0"/>
      <w:marBottom w:val="0"/>
      <w:divBdr>
        <w:top w:val="none" w:sz="0" w:space="0" w:color="auto"/>
        <w:left w:val="none" w:sz="0" w:space="0" w:color="auto"/>
        <w:bottom w:val="none" w:sz="0" w:space="0" w:color="auto"/>
        <w:right w:val="none" w:sz="0" w:space="0" w:color="auto"/>
      </w:divBdr>
    </w:div>
    <w:div w:id="1229340740">
      <w:bodyDiv w:val="1"/>
      <w:marLeft w:val="0"/>
      <w:marRight w:val="0"/>
      <w:marTop w:val="0"/>
      <w:marBottom w:val="0"/>
      <w:divBdr>
        <w:top w:val="none" w:sz="0" w:space="0" w:color="auto"/>
        <w:left w:val="none" w:sz="0" w:space="0" w:color="auto"/>
        <w:bottom w:val="none" w:sz="0" w:space="0" w:color="auto"/>
        <w:right w:val="none" w:sz="0" w:space="0" w:color="auto"/>
      </w:divBdr>
    </w:div>
    <w:div w:id="1478376001">
      <w:bodyDiv w:val="1"/>
      <w:marLeft w:val="0"/>
      <w:marRight w:val="0"/>
      <w:marTop w:val="0"/>
      <w:marBottom w:val="0"/>
      <w:divBdr>
        <w:top w:val="none" w:sz="0" w:space="0" w:color="auto"/>
        <w:left w:val="none" w:sz="0" w:space="0" w:color="auto"/>
        <w:bottom w:val="none" w:sz="0" w:space="0" w:color="auto"/>
        <w:right w:val="none" w:sz="0" w:space="0" w:color="auto"/>
      </w:divBdr>
    </w:div>
    <w:div w:id="1506481664">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95891883">
      <w:bodyDiv w:val="1"/>
      <w:marLeft w:val="0"/>
      <w:marRight w:val="0"/>
      <w:marTop w:val="0"/>
      <w:marBottom w:val="0"/>
      <w:divBdr>
        <w:top w:val="none" w:sz="0" w:space="0" w:color="auto"/>
        <w:left w:val="none" w:sz="0" w:space="0" w:color="auto"/>
        <w:bottom w:val="none" w:sz="0" w:space="0" w:color="auto"/>
        <w:right w:val="none" w:sz="0" w:space="0" w:color="auto"/>
      </w:divBdr>
    </w:div>
    <w:div w:id="1765833832">
      <w:bodyDiv w:val="1"/>
      <w:marLeft w:val="0"/>
      <w:marRight w:val="0"/>
      <w:marTop w:val="0"/>
      <w:marBottom w:val="0"/>
      <w:divBdr>
        <w:top w:val="none" w:sz="0" w:space="0" w:color="auto"/>
        <w:left w:val="none" w:sz="0" w:space="0" w:color="auto"/>
        <w:bottom w:val="none" w:sz="0" w:space="0" w:color="auto"/>
        <w:right w:val="none" w:sz="0" w:space="0" w:color="auto"/>
      </w:divBdr>
    </w:div>
    <w:div w:id="1839953418">
      <w:bodyDiv w:val="1"/>
      <w:marLeft w:val="0"/>
      <w:marRight w:val="0"/>
      <w:marTop w:val="0"/>
      <w:marBottom w:val="0"/>
      <w:divBdr>
        <w:top w:val="none" w:sz="0" w:space="0" w:color="auto"/>
        <w:left w:val="none" w:sz="0" w:space="0" w:color="auto"/>
        <w:bottom w:val="none" w:sz="0" w:space="0" w:color="auto"/>
        <w:right w:val="none" w:sz="0" w:space="0" w:color="auto"/>
      </w:divBdr>
    </w:div>
    <w:div w:id="1950232835">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E6CAD-A637-4987-872C-E1830AC2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6321</Words>
  <Characters>36033</Characters>
  <Application>Microsoft Office Word</Application>
  <DocSecurity>0</DocSecurity>
  <Lines>300</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Administrator</cp:lastModifiedBy>
  <cp:revision>3</cp:revision>
  <cp:lastPrinted>2026-02-18T13:34:00Z</cp:lastPrinted>
  <dcterms:created xsi:type="dcterms:W3CDTF">2026-06-18T02:55:00Z</dcterms:created>
  <dcterms:modified xsi:type="dcterms:W3CDTF">2026-06-18T07:05:00Z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994040659db95acdcd1fa0a19d24a823b8a444414603f53b1e5c67911cfb5efe</vt:lpwstr>
  </property>
</Properties>
</file>