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2101E" w14:textId="77777777" w:rsidR="007D5F1A" w:rsidRDefault="00000000">
      <w:pPr>
        <w:spacing w:after="40"/>
      </w:pPr>
      <w:r>
        <w:rPr>
          <w:b/>
        </w:rPr>
        <w:t>Direcția Deșeuri și Situri Contaminate</w:t>
      </w:r>
    </w:p>
    <w:p w14:paraId="5A913E77" w14:textId="12601C39" w:rsidR="007D5F1A" w:rsidRDefault="00000000">
      <w:pPr>
        <w:spacing w:after="240"/>
      </w:pPr>
      <w:r>
        <w:t xml:space="preserve">Nr. 129012 / DDSC / </w:t>
      </w:r>
      <w:r w:rsidR="000B59B7">
        <w:t>26</w:t>
      </w:r>
      <w:r>
        <w:t>.</w:t>
      </w:r>
      <w:r w:rsidR="000B59B7">
        <w:t>10</w:t>
      </w:r>
      <w:r>
        <w:t>.2026</w:t>
      </w:r>
    </w:p>
    <w:p w14:paraId="111646E8" w14:textId="77777777" w:rsidR="007D5F1A" w:rsidRDefault="00000000">
      <w:pPr>
        <w:spacing w:before="80" w:after="120"/>
        <w:jc w:val="center"/>
      </w:pPr>
      <w:r>
        <w:rPr>
          <w:b/>
          <w:sz w:val="26"/>
        </w:rPr>
        <w:t>REFERAT DE APROBARE</w:t>
      </w:r>
    </w:p>
    <w:p w14:paraId="1EAAE66F" w14:textId="3ADB0DBD" w:rsidR="007D5F1A" w:rsidRPr="00101529" w:rsidRDefault="00000000">
      <w:pPr>
        <w:spacing w:after="280"/>
        <w:jc w:val="center"/>
        <w:rPr>
          <w:b/>
          <w:bCs/>
        </w:rPr>
      </w:pPr>
      <w:r w:rsidRPr="00101529">
        <w:rPr>
          <w:b/>
          <w:bCs/>
        </w:rPr>
        <w:t xml:space="preserve">privind </w:t>
      </w:r>
      <w:r w:rsidR="00AD020A">
        <w:rPr>
          <w:b/>
          <w:bCs/>
        </w:rPr>
        <w:t xml:space="preserve">proiectul de Ordin al </w:t>
      </w:r>
      <w:r w:rsidR="009F21E4" w:rsidRPr="00101529">
        <w:rPr>
          <w:b/>
          <w:bCs/>
        </w:rPr>
        <w:t xml:space="preserve">ministrului mediului, apelor și pădurilor </w:t>
      </w:r>
      <w:r w:rsidR="009F21E4">
        <w:rPr>
          <w:b/>
          <w:bCs/>
        </w:rPr>
        <w:t>si al minis</w:t>
      </w:r>
      <w:r w:rsidR="00657319">
        <w:rPr>
          <w:b/>
          <w:bCs/>
        </w:rPr>
        <w:t>t</w:t>
      </w:r>
      <w:r w:rsidR="00B97004">
        <w:rPr>
          <w:b/>
          <w:bCs/>
        </w:rPr>
        <w:t>r</w:t>
      </w:r>
      <w:r w:rsidR="00657319">
        <w:rPr>
          <w:b/>
          <w:bCs/>
        </w:rPr>
        <w:t>ului economiei, digitalizarii, antreprenoriatului si turismului</w:t>
      </w:r>
      <w:r w:rsidR="0011564B">
        <w:rPr>
          <w:b/>
          <w:bCs/>
        </w:rPr>
        <w:t xml:space="preserve"> pentru </w:t>
      </w:r>
      <w:r w:rsidRPr="00101529">
        <w:rPr>
          <w:b/>
          <w:bCs/>
        </w:rPr>
        <w:t>modificarea și completarea Anexei nr. 1 la Ordinul ministrului mediului, apelor și pădurilor și al viceprim-ministrului, ministrul economiei, comerțului și relațiilor cu mediul de afaceri nr. 1494/846/2016 pentru aprobarea procedurii şi criteriilor de acordare a licenţei de operare, revizuire, vizare anuală şi anulare a licenţei de operare a organizaţiilor colective şi de aprobare a planului de operare pentru producătorii care îşi îndeplinesc în mod individual obligaţiile, acordarea licenţei reprezentanţilor autorizaţi, precum şi componenţa şi atribuţiile comisiei de autorizare, pentru gestionarea deşeurilor de echipamente electrice şi electronice</w:t>
      </w:r>
    </w:p>
    <w:p w14:paraId="1D56F3FD" w14:textId="77777777" w:rsidR="007D5F1A" w:rsidRDefault="00000000" w:rsidP="00066713">
      <w:pPr>
        <w:spacing w:after="160"/>
        <w:jc w:val="both"/>
      </w:pPr>
      <w:r>
        <w:t>Directiva 2012/19/UE privind gestionarea deşeurilor de echipamente electrice şi electronice a fost transpusă în dreptul intern prin Ordonanța de urgență a Guvernului nr. 5/2015 privind deşeurile de echipamente electrice şi electronice, aprobată cu modificări și completări prin Legea nr. 127/2024. Prin Legea nr. 127/2024 au fost stabilite noi criterii de licențiere a organizațiilor colective care implementează răspunderea extinsă a producătorului (REP) în domeniul echipamentelor electrice și electronice (EEE) și al deșeurilor de echipamente electrice și electronice (DEEE), aplicabile începând cu data de 1 ianuarie 2025.</w:t>
      </w:r>
    </w:p>
    <w:p w14:paraId="2BDAE536" w14:textId="77777777" w:rsidR="007D5F1A" w:rsidRDefault="00000000" w:rsidP="00066713">
      <w:pPr>
        <w:spacing w:after="160"/>
        <w:jc w:val="both"/>
      </w:pPr>
      <w:r>
        <w:t>În conformitate cu art. III din Legea nr. 127/2024, actele normative subsecvente urmează a fi actualizate în concordanță cu noile prevederi ale legii-cadru. Prin Ordinul ministrului mediului, apelor și pădurilor nr. 3199/2024 din 11 decembrie 2024 au fost stabilite condițiile și criteriile de licențiere ale organizațiilor colective; prezentul proiect de ordin constituie etapa ulterioară a aceluiași demers de aliniere normativă, vizând, cu precădere, procedura de vizare anuală și sistemul de evaluare a activității organizațiilor colective.</w:t>
      </w:r>
    </w:p>
    <w:p w14:paraId="07981A38" w14:textId="77777777" w:rsidR="007D5F1A" w:rsidRDefault="00000000" w:rsidP="00066713">
      <w:pPr>
        <w:spacing w:after="80"/>
        <w:jc w:val="both"/>
      </w:pPr>
      <w:r>
        <w:t>Modificările propuse prin prezentul proiect de ordin au rezultat din cumulul următoarelor surse:</w:t>
      </w:r>
    </w:p>
    <w:p w14:paraId="71328266" w14:textId="77777777" w:rsidR="007D5F1A" w:rsidRDefault="00000000" w:rsidP="00066713">
      <w:pPr>
        <w:spacing w:after="120"/>
        <w:ind w:left="283"/>
        <w:jc w:val="both"/>
      </w:pPr>
      <w:r>
        <w:t xml:space="preserve">– </w:t>
      </w:r>
      <w:r>
        <w:rPr>
          <w:b/>
        </w:rPr>
        <w:t xml:space="preserve">obligații exprese ale legii primare: </w:t>
      </w:r>
      <w:r>
        <w:t>art. 25 alin. (7) și (9) din OUG nr. 5/2015, astfel cum a fost modificată prin Legea nr. 127/2024, impune autorității competente să stabilească prin ordin procedura detaliată de vizare anuală, inclusiv condițiile de neacordare și dreptul la remediere, aspecte care nu erau reglementate în forma anterioară a OM 1494/846/2016;</w:t>
      </w:r>
    </w:p>
    <w:p w14:paraId="39C17BC4" w14:textId="77777777" w:rsidR="007D5F1A" w:rsidRDefault="00000000" w:rsidP="00066713">
      <w:pPr>
        <w:spacing w:after="120"/>
        <w:ind w:left="283"/>
        <w:jc w:val="both"/>
      </w:pPr>
      <w:r>
        <w:t xml:space="preserve">– </w:t>
      </w:r>
      <w:r>
        <w:rPr>
          <w:b/>
        </w:rPr>
        <w:t xml:space="preserve">necesitatea operaționalizării Ordinului nr. 3199/2024: </w:t>
      </w:r>
      <w:r>
        <w:t xml:space="preserve">ordinul din decembrie 2024 a stabilit condițiile de licențiere inițială, însă nu a reglementat mecanismul de monitorizare continuă (vizare anuală); prezentul ordin acoperă această lacună, introducând Anexa nr. 1e (condiții </w:t>
      </w:r>
      <w:r>
        <w:lastRenderedPageBreak/>
        <w:t>obligatorii) și Anexa nr. 1f (grilă de evaluare anuală în 100 de puncte), instrumente esențiale pentru supravegherea anuală a organizațiilor colective;</w:t>
      </w:r>
    </w:p>
    <w:p w14:paraId="4EB5D9A8" w14:textId="77777777" w:rsidR="007D5F1A" w:rsidRDefault="00000000" w:rsidP="00066713">
      <w:pPr>
        <w:spacing w:after="120"/>
        <w:ind w:left="283"/>
        <w:jc w:val="both"/>
      </w:pPr>
      <w:r>
        <w:t xml:space="preserve">– </w:t>
      </w:r>
      <w:r>
        <w:rPr>
          <w:b/>
        </w:rPr>
        <w:t xml:space="preserve">constatări din activitatea de monitorizare a ANMAP și a comisiei de autorizare: </w:t>
      </w:r>
      <w:r>
        <w:t>practica aplicării OM 1494/846/2016 a evidențiat absența unor criterii clare și obiective de neacordare a vizei anuale, ceea ce a generat insecuritate juridică atât pentru autoritățile competente, cât și pentru organizațiile colective; de exemplu, lipsa unor prevederi exprese privind dreptul la remediere a creat dificultăți procedurale în situații în care o organizație colectivă nu îndeplinea temporar o cerință; prezentul proiect introduce termene clare de demarare a procedurii de remediere (10, respectiv 60 de zile, în funcție de tipul neconformității);</w:t>
      </w:r>
    </w:p>
    <w:p w14:paraId="316BD880" w14:textId="77777777" w:rsidR="007D5F1A" w:rsidRDefault="00000000" w:rsidP="00066713">
      <w:pPr>
        <w:spacing w:after="120"/>
        <w:ind w:left="283"/>
        <w:jc w:val="both"/>
      </w:pPr>
      <w:r>
        <w:t xml:space="preserve">– </w:t>
      </w:r>
      <w:r>
        <w:rPr>
          <w:b/>
        </w:rPr>
        <w:t xml:space="preserve">necesitatea transparentizării tarifelor percepute producătorilor: </w:t>
      </w:r>
      <w:r>
        <w:t>art. 25 alin. (11) din OUG nr. 5/2015 impune o structură minimă a costurilor, însă mecanismul de notificare prealabilă a modificărilor tarifare lipsea din reglementarea existentă; art. 17 lit. f1) nou introdus obligă organizațiile colective să notifice Comisia cu cel puțin 30 de zile înainte de publicarea tarifelor modificate, prevenind astfel modificările unilaterale și neanunțate în defavoarea producătorilor.</w:t>
      </w:r>
    </w:p>
    <w:p w14:paraId="115D7182" w14:textId="77777777" w:rsidR="007D5F1A" w:rsidRDefault="00000000" w:rsidP="00066713">
      <w:pPr>
        <w:spacing w:before="80" w:after="120"/>
        <w:jc w:val="both"/>
      </w:pPr>
      <w:r>
        <w:t>Față de cele de mai sus, proiectul de ordin propune modificarea Anexei nr. 1 la Ordinul nr. 1494/846/2016 – Procedura și criteriile de acordare a licenței de operare, revizuire, vizare anuală și anulare a licenței de operare a organizațiilor colective – prin următoarele intervenții:</w:t>
      </w:r>
    </w:p>
    <w:p w14:paraId="48D834E2" w14:textId="77777777" w:rsidR="007D5F1A" w:rsidRDefault="00000000" w:rsidP="00066713">
      <w:pPr>
        <w:spacing w:after="120"/>
        <w:ind w:left="283"/>
        <w:jc w:val="both"/>
      </w:pPr>
      <w:r>
        <w:t xml:space="preserve">– </w:t>
      </w:r>
      <w:r>
        <w:rPr>
          <w:b/>
        </w:rPr>
        <w:t>abrogarea art. 8, art. 13 și art. 15</w:t>
      </w:r>
      <w:r>
        <w:t>, ale căror dispoziții sunt integrate în noul mecanism de evaluare sau au devenit incompatibile cu cadrul legal în vigoare;</w:t>
      </w:r>
    </w:p>
    <w:p w14:paraId="2971A5D5" w14:textId="77777777" w:rsidR="007D5F1A" w:rsidRDefault="00000000" w:rsidP="00066713">
      <w:pPr>
        <w:spacing w:after="120"/>
        <w:ind w:left="283"/>
        <w:jc w:val="both"/>
      </w:pPr>
      <w:r>
        <w:t xml:space="preserve">– </w:t>
      </w:r>
      <w:r>
        <w:rPr>
          <w:b/>
        </w:rPr>
        <w:t>modificarea art. 9 alin. (1)</w:t>
      </w:r>
      <w:r>
        <w:t>, în sensul actualizării cerințelor privind auditurile anuale: organizațiile colective vor transmite Comisiei de autorizare raportul de audit financiar statutar (în sensul Legii nr. 162/2017), un audit financiar conform ISA 805 — Standard Internațional de Audit privind auditurile elementelor specifice ale situațiilor financiare — pentru confirmarea elementelor financiare din Anexa nr. 1f, și un raport de audit operațional extern întocmit conform Anexei nr. 1d, toate depuse până la data de 15 mai a anului următor celui auditat;</w:t>
      </w:r>
    </w:p>
    <w:p w14:paraId="07F3AD28" w14:textId="77777777" w:rsidR="007D5F1A" w:rsidRDefault="00000000" w:rsidP="00066713">
      <w:pPr>
        <w:spacing w:after="120"/>
        <w:ind w:left="283"/>
        <w:jc w:val="both"/>
      </w:pPr>
      <w:r>
        <w:t xml:space="preserve">– </w:t>
      </w:r>
      <w:r>
        <w:rPr>
          <w:b/>
        </w:rPr>
        <w:t>modificarea art. 10 alin. (1)</w:t>
      </w:r>
      <w:r>
        <w:t>, prin care se definesc în mod explicit cazurile în care Comisia nu acordă viza anuală: neîndeplinirea uneia sau mai multor condiții obligatorii din Anexa nr. 1e sau obținerea unui punctaj sub 80 de puncte din 100 în grila de evaluare din Anexa nr. 1f;</w:t>
      </w:r>
    </w:p>
    <w:p w14:paraId="2A4683AA" w14:textId="77777777" w:rsidR="007D5F1A" w:rsidRDefault="00000000" w:rsidP="00066713">
      <w:pPr>
        <w:spacing w:after="120"/>
        <w:ind w:left="283"/>
        <w:jc w:val="both"/>
      </w:pPr>
      <w:r>
        <w:t xml:space="preserve">– </w:t>
      </w:r>
      <w:r>
        <w:rPr>
          <w:b/>
        </w:rPr>
        <w:t>modificarea art. 11 alin. (1)</w:t>
      </w:r>
      <w:r>
        <w:t>, prin care se garantează dreptul organizației colective la remediere înainte de neacordarea vizei anuale, cu termene individualizate pentru fiecare situație în parte, prevăzute în Anexele nr. 1e și 1f;</w:t>
      </w:r>
    </w:p>
    <w:p w14:paraId="6E35EA12" w14:textId="77777777" w:rsidR="007D5F1A" w:rsidRDefault="00000000" w:rsidP="00066713">
      <w:pPr>
        <w:spacing w:after="120"/>
        <w:ind w:left="283"/>
        <w:jc w:val="both"/>
      </w:pPr>
      <w:r>
        <w:t xml:space="preserve">– </w:t>
      </w:r>
      <w:r>
        <w:rPr>
          <w:b/>
        </w:rPr>
        <w:t>modificarea art. 16 alin. (1)</w:t>
      </w:r>
      <w:r>
        <w:t>, în sensul alinierii condiției de anulare a licenței de operare la noua procedură de neacordare a vizei anuale reglementată de art. 10;</w:t>
      </w:r>
    </w:p>
    <w:p w14:paraId="2561A229" w14:textId="77777777" w:rsidR="007D5F1A" w:rsidRDefault="00000000" w:rsidP="00066713">
      <w:pPr>
        <w:spacing w:after="120"/>
        <w:ind w:left="283"/>
        <w:jc w:val="both"/>
      </w:pPr>
      <w:r>
        <w:lastRenderedPageBreak/>
        <w:t xml:space="preserve">– </w:t>
      </w:r>
      <w:r>
        <w:rPr>
          <w:b/>
        </w:rPr>
        <w:t>completarea art. 17 alin. (1) cu litera f1)</w:t>
      </w:r>
      <w:r>
        <w:t>, prin care se instituie obligația organizației colective de a notifica Comisia cu cel puțin 30 de zile înainte de publicarea oricărei modificări a valorilor contribuțiilor financiare percepute producătorilor, notificarea incluzând structura costurilor conform Anexei nr. 1b;</w:t>
      </w:r>
    </w:p>
    <w:p w14:paraId="2D96CED8" w14:textId="77777777" w:rsidR="007D5F1A" w:rsidRDefault="00000000" w:rsidP="00066713">
      <w:pPr>
        <w:spacing w:after="120"/>
        <w:ind w:left="283"/>
        <w:jc w:val="both"/>
      </w:pPr>
      <w:r>
        <w:t xml:space="preserve">– </w:t>
      </w:r>
      <w:r>
        <w:rPr>
          <w:b/>
        </w:rPr>
        <w:t>modificarea art. 18</w:t>
      </w:r>
      <w:r>
        <w:t>, în vederea actualizării referirilor la anexele procedurii, pentru a reflecta noua structură a acestora (Anexele nr. 1a–1f);</w:t>
      </w:r>
    </w:p>
    <w:p w14:paraId="0D8A070B" w14:textId="77777777" w:rsidR="007D5F1A" w:rsidRDefault="00000000" w:rsidP="00066713">
      <w:pPr>
        <w:spacing w:after="120"/>
        <w:ind w:left="283"/>
        <w:jc w:val="both"/>
      </w:pPr>
      <w:r>
        <w:t xml:space="preserve">– </w:t>
      </w:r>
      <w:r>
        <w:rPr>
          <w:b/>
        </w:rPr>
        <w:t>introducerea Anexei nr. 1e</w:t>
      </w:r>
      <w:r>
        <w:t xml:space="preserve"> — care stabilește cele șase condiții obligatorii (pass/fail) pentru obținerea vizei anuale, referitoare la: componența acționariatului (numai producători înregistrați în Registrul național al producătorilor de EEE gestionat de ANMAP); separarea față de operatorii de colectare și tratare DEEE; constituirea garanției financiare de 2 milioane lei în favoarea AFM; menținerea cotei de piață de minimum 5% (calculată pe baza datelor din sistemul eTax administrat de AFM); depunerea rapoartelor de audit în termenul legal; și atingerea obiectivelor de colectare DEEE în proporție de cel puțin 70%, cu includerea ratelor minime de colectare pe categorii prevăzute la art. 17¹ din OUG nr. 5/2015, aplicabile progresiv începând cu 1 ianuarie 2025; fiecare condiție este însoțită de mijloacele de dovedire și de termenele de demarare a procedurii de remediere aplicabile;</w:t>
      </w:r>
    </w:p>
    <w:p w14:paraId="033CEAEB" w14:textId="77777777" w:rsidR="007D5F1A" w:rsidRDefault="00000000" w:rsidP="00066713">
      <w:pPr>
        <w:spacing w:after="120"/>
        <w:ind w:left="283"/>
        <w:jc w:val="both"/>
      </w:pPr>
      <w:r>
        <w:t xml:space="preserve">– </w:t>
      </w:r>
      <w:r>
        <w:rPr>
          <w:b/>
        </w:rPr>
        <w:t>introducerea Anexei nr. 1f</w:t>
      </w:r>
      <w:r>
        <w:t xml:space="preserve"> — grila de evaluare anuală în 100 de puncte, structurată pe trei paliere: îndeplinirea obiectivelor de colectare, reciclare și valorificare (43 puncte); sustenabilitate și costuri, inclusiv respectarea structurii contribuțiilor financiare și existența auditului intern (45 puncte); relația cu autoritățile competente, inclusiv contracte cu UAT-uri și campanii de informare (10 puncte); obținerea unui punctaj sub 80 de puncte atrage neacordarea vizei anuale.</w:t>
      </w:r>
    </w:p>
    <w:p w14:paraId="530CFC82" w14:textId="77777777" w:rsidR="007D5F1A" w:rsidRDefault="00000000" w:rsidP="00066713">
      <w:pPr>
        <w:spacing w:before="80" w:after="160"/>
        <w:jc w:val="both"/>
      </w:pPr>
      <w:r>
        <w:t>Proiectul de ordin a fost elaborat cu respectarea prevederilor legale în vigoare și cuprinde măsurile anterior enumerate în vederea implementării eficiente a Directivei 2012/19/UE privind deșeurile de echipamente electrice și electronice, în concordanță cu obligațiile stabilite prin OUG nr. 5/2015, aprobată cu modificări și completări prin Legea nr. 127/2024, cu completările ulterioare.</w:t>
      </w:r>
    </w:p>
    <w:p w14:paraId="343FD77A" w14:textId="1EDA2D6D" w:rsidR="007D5F1A" w:rsidRPr="004545CF" w:rsidRDefault="00000000" w:rsidP="00066713">
      <w:pPr>
        <w:spacing w:after="320"/>
        <w:jc w:val="both"/>
        <w:rPr>
          <w:lang w:val="ro-RO"/>
        </w:rPr>
      </w:pPr>
      <w:r>
        <w:t>Supunem spre aprobare proiectul de modificare și completare a Ordinului nr. 1494/846/2016, astfel cum a fost prezentat mai sus</w:t>
      </w:r>
      <w:r w:rsidR="004545CF">
        <w:t xml:space="preserve">, demers </w:t>
      </w:r>
      <w:r w:rsidR="004545CF">
        <w:rPr>
          <w:lang w:val="ro-RO"/>
        </w:rPr>
        <w:t xml:space="preserve">început în </w:t>
      </w:r>
      <w:r w:rsidR="004545CF">
        <w:t>17.06.2026.</w:t>
      </w:r>
    </w:p>
    <w:p w14:paraId="103A4268" w14:textId="77777777" w:rsidR="007D5F1A" w:rsidRDefault="00000000">
      <w:pPr>
        <w:spacing w:after="200"/>
      </w:pPr>
      <w:r>
        <w:t>Cu deosebită considerație,</w:t>
      </w:r>
    </w:p>
    <w:p w14:paraId="26125684" w14:textId="77777777" w:rsidR="007D5F1A" w:rsidRDefault="00000000">
      <w:pPr>
        <w:spacing w:after="40"/>
      </w:pPr>
      <w:r>
        <w:rPr>
          <w:b/>
        </w:rPr>
        <w:t>Director</w:t>
      </w:r>
    </w:p>
    <w:p w14:paraId="288DCB6A" w14:textId="77777777" w:rsidR="007D5F1A" w:rsidRDefault="00000000">
      <w:pPr>
        <w:spacing w:after="40"/>
      </w:pPr>
      <w:r>
        <w:t>Cecilia MARTIN</w:t>
      </w:r>
    </w:p>
    <w:p w14:paraId="62C16398" w14:textId="77777777" w:rsidR="007D5F1A" w:rsidRDefault="00000000">
      <w:r>
        <w:t>Direcția Deșeuri și Situri Contaminate</w:t>
      </w:r>
    </w:p>
    <w:sectPr w:rsidR="007D5F1A" w:rsidSect="00034616">
      <w:headerReference w:type="default" r:id="rId8"/>
      <w:pgSz w:w="12240" w:h="15840"/>
      <w:pgMar w:top="1417" w:right="1134"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E2474" w14:textId="77777777" w:rsidR="00DB4004" w:rsidRDefault="00DB4004" w:rsidP="006D516A">
      <w:pPr>
        <w:spacing w:line="240" w:lineRule="auto"/>
      </w:pPr>
      <w:r>
        <w:separator/>
      </w:r>
    </w:p>
  </w:endnote>
  <w:endnote w:type="continuationSeparator" w:id="0">
    <w:p w14:paraId="1A705597" w14:textId="77777777" w:rsidR="00DB4004" w:rsidRDefault="00DB4004" w:rsidP="006D51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A1659" w14:textId="77777777" w:rsidR="00DB4004" w:rsidRDefault="00DB4004" w:rsidP="006D516A">
      <w:pPr>
        <w:spacing w:line="240" w:lineRule="auto"/>
      </w:pPr>
      <w:r>
        <w:separator/>
      </w:r>
    </w:p>
  </w:footnote>
  <w:footnote w:type="continuationSeparator" w:id="0">
    <w:p w14:paraId="4B06B2CC" w14:textId="77777777" w:rsidR="00DB4004" w:rsidRDefault="00DB4004" w:rsidP="006D516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EAB5F" w14:textId="77777777" w:rsidR="006D516A" w:rsidRDefault="006D516A" w:rsidP="006D516A">
    <w:pPr>
      <w:pStyle w:val="Header"/>
    </w:pPr>
    <w:r>
      <w:rPr>
        <w:rFonts w:eastAsia="Times New Roman" w:cs="Times New Roman"/>
        <w:b/>
        <w:bCs/>
        <w:noProof/>
        <w:color w:val="000000"/>
        <w:szCs w:val="24"/>
      </w:rPr>
      <w:drawing>
        <wp:inline distT="0" distB="0" distL="0" distR="0" wp14:anchorId="15A1452A" wp14:editId="66E71414">
          <wp:extent cx="3231515" cy="893445"/>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231515" cy="893445"/>
                  </a:xfrm>
                  <a:prstGeom prst="rect">
                    <a:avLst/>
                  </a:prstGeom>
                  <a:ln/>
                </pic:spPr>
              </pic:pic>
            </a:graphicData>
          </a:graphic>
        </wp:inline>
      </w:drawing>
    </w:r>
  </w:p>
  <w:p w14:paraId="3D3138B6" w14:textId="77777777" w:rsidR="006D516A" w:rsidRDefault="006D51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0983336">
    <w:abstractNumId w:val="8"/>
  </w:num>
  <w:num w:numId="2" w16cid:durableId="2088455212">
    <w:abstractNumId w:val="6"/>
  </w:num>
  <w:num w:numId="3" w16cid:durableId="1369915783">
    <w:abstractNumId w:val="5"/>
  </w:num>
  <w:num w:numId="4" w16cid:durableId="351810370">
    <w:abstractNumId w:val="4"/>
  </w:num>
  <w:num w:numId="5" w16cid:durableId="429590978">
    <w:abstractNumId w:val="7"/>
  </w:num>
  <w:num w:numId="6" w16cid:durableId="315494370">
    <w:abstractNumId w:val="3"/>
  </w:num>
  <w:num w:numId="7" w16cid:durableId="1381979158">
    <w:abstractNumId w:val="2"/>
  </w:num>
  <w:num w:numId="8" w16cid:durableId="135032031">
    <w:abstractNumId w:val="1"/>
  </w:num>
  <w:num w:numId="9" w16cid:durableId="640117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6713"/>
    <w:rsid w:val="000B59B7"/>
    <w:rsid w:val="00101529"/>
    <w:rsid w:val="0011564B"/>
    <w:rsid w:val="0015074B"/>
    <w:rsid w:val="00153253"/>
    <w:rsid w:val="0029639D"/>
    <w:rsid w:val="00326F90"/>
    <w:rsid w:val="004545CF"/>
    <w:rsid w:val="0046545E"/>
    <w:rsid w:val="00657319"/>
    <w:rsid w:val="006676F7"/>
    <w:rsid w:val="006D516A"/>
    <w:rsid w:val="00791ADA"/>
    <w:rsid w:val="007D5F1A"/>
    <w:rsid w:val="009C1141"/>
    <w:rsid w:val="009F21E4"/>
    <w:rsid w:val="00AA1D8D"/>
    <w:rsid w:val="00AD020A"/>
    <w:rsid w:val="00B47730"/>
    <w:rsid w:val="00B97004"/>
    <w:rsid w:val="00C063C1"/>
    <w:rsid w:val="00CB0664"/>
    <w:rsid w:val="00DB40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C1DCDE"/>
  <w14:defaultImageDpi w14:val="300"/>
  <w15:docId w15:val="{4C88DD0C-15DF-6D47-B3F5-54B957EDD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20" w:lineRule="exact"/>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1235</Words>
  <Characters>7041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Cecilia Martin</cp:lastModifiedBy>
  <cp:revision>12</cp:revision>
  <dcterms:created xsi:type="dcterms:W3CDTF">2026-08-27T08:31:00Z</dcterms:created>
  <dcterms:modified xsi:type="dcterms:W3CDTF">2026-11-03T11:13:00Z</dcterms:modified>
  <cp:category/>
</cp:coreProperties>
</file>