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30D3" w14:textId="7886C035" w:rsidR="0049222D" w:rsidRPr="00F74530" w:rsidRDefault="00E318A6" w:rsidP="00F74530">
      <w:pPr>
        <w:spacing w:after="0" w:line="276" w:lineRule="auto"/>
        <w:ind w:right="141"/>
        <w:jc w:val="center"/>
        <w:rPr>
          <w:rFonts w:ascii="Times New Roman" w:hAnsi="Times New Roman"/>
          <w:b/>
          <w:noProof/>
          <w:color w:val="000000"/>
          <w:sz w:val="24"/>
          <w:szCs w:val="24"/>
          <w:lang w:val="ro-RO"/>
        </w:rPr>
      </w:pPr>
      <w:r w:rsidRPr="00F74530">
        <w:rPr>
          <w:rFonts w:ascii="Times New Roman" w:hAnsi="Times New Roman"/>
          <w:b/>
          <w:noProof/>
          <w:color w:val="000000"/>
          <w:sz w:val="24"/>
          <w:szCs w:val="24"/>
          <w:lang w:val="ro-RO"/>
        </w:rPr>
        <w:t>NOTĂ DE FUNDAMENTARE</w:t>
      </w:r>
    </w:p>
    <w:tbl>
      <w:tblPr>
        <w:tblW w:w="96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261"/>
        <w:gridCol w:w="1161"/>
        <w:gridCol w:w="94"/>
        <w:gridCol w:w="141"/>
        <w:gridCol w:w="1663"/>
        <w:gridCol w:w="478"/>
        <w:gridCol w:w="479"/>
        <w:gridCol w:w="479"/>
        <w:gridCol w:w="479"/>
        <w:gridCol w:w="1642"/>
      </w:tblGrid>
      <w:tr w:rsidR="00E318A6" w:rsidRPr="00F74530" w14:paraId="73E978ED" w14:textId="77777777" w:rsidTr="004274DD">
        <w:trPr>
          <w:trHeight w:val="682"/>
        </w:trPr>
        <w:tc>
          <w:tcPr>
            <w:tcW w:w="9634" w:type="dxa"/>
            <w:gridSpan w:val="11"/>
            <w:vAlign w:val="center"/>
          </w:tcPr>
          <w:p w14:paraId="0133BF53" w14:textId="77777777" w:rsidR="00E318A6" w:rsidRPr="00F74530" w:rsidRDefault="00E318A6" w:rsidP="00F74530">
            <w:pPr>
              <w:autoSpaceDE w:val="0"/>
              <w:autoSpaceDN w:val="0"/>
              <w:adjustRightInd w:val="0"/>
              <w:spacing w:after="0" w:line="276" w:lineRule="auto"/>
              <w:jc w:val="center"/>
              <w:rPr>
                <w:rFonts w:ascii="Times New Roman" w:hAnsi="Times New Roman"/>
                <w:b/>
                <w:noProof/>
                <w:color w:val="000000"/>
                <w:sz w:val="24"/>
                <w:szCs w:val="24"/>
                <w:lang w:val="ro-RO"/>
              </w:rPr>
            </w:pPr>
            <w:r w:rsidRPr="00F74530">
              <w:rPr>
                <w:rFonts w:ascii="Times New Roman" w:hAnsi="Times New Roman"/>
                <w:b/>
                <w:noProof/>
                <w:color w:val="000000"/>
                <w:sz w:val="24"/>
                <w:szCs w:val="24"/>
                <w:lang w:val="ro-RO"/>
              </w:rPr>
              <w:t>Secţiunea 1</w:t>
            </w:r>
          </w:p>
          <w:p w14:paraId="52BB3B94" w14:textId="3AB20A32" w:rsidR="00D3011B" w:rsidRPr="00F74530" w:rsidRDefault="00E318A6" w:rsidP="00F74530">
            <w:pPr>
              <w:autoSpaceDE w:val="0"/>
              <w:autoSpaceDN w:val="0"/>
              <w:adjustRightInd w:val="0"/>
              <w:spacing w:after="0" w:line="276" w:lineRule="auto"/>
              <w:jc w:val="center"/>
              <w:rPr>
                <w:rFonts w:ascii="Times New Roman" w:hAnsi="Times New Roman"/>
                <w:b/>
                <w:noProof/>
                <w:color w:val="000000"/>
                <w:sz w:val="24"/>
                <w:szCs w:val="24"/>
                <w:lang w:val="ro-RO"/>
              </w:rPr>
            </w:pPr>
            <w:r w:rsidRPr="00F74530">
              <w:rPr>
                <w:rFonts w:ascii="Times New Roman" w:hAnsi="Times New Roman"/>
                <w:b/>
                <w:noProof/>
                <w:color w:val="000000"/>
                <w:sz w:val="24"/>
                <w:szCs w:val="24"/>
                <w:lang w:val="ro-RO"/>
              </w:rPr>
              <w:t xml:space="preserve">Titlul </w:t>
            </w:r>
            <w:r w:rsidR="004249E1" w:rsidRPr="00F74530">
              <w:rPr>
                <w:rFonts w:ascii="Times New Roman" w:hAnsi="Times New Roman"/>
                <w:b/>
                <w:noProof/>
                <w:color w:val="000000"/>
                <w:sz w:val="24"/>
                <w:szCs w:val="24"/>
                <w:lang w:val="ro-RO"/>
              </w:rPr>
              <w:t>proiectului de</w:t>
            </w:r>
            <w:r w:rsidRPr="00F74530">
              <w:rPr>
                <w:rFonts w:ascii="Times New Roman" w:hAnsi="Times New Roman"/>
                <w:b/>
                <w:noProof/>
                <w:color w:val="000000"/>
                <w:sz w:val="24"/>
                <w:szCs w:val="24"/>
                <w:lang w:val="ro-RO"/>
              </w:rPr>
              <w:t xml:space="preserve"> act normativ</w:t>
            </w:r>
          </w:p>
        </w:tc>
      </w:tr>
      <w:tr w:rsidR="00E318A6" w:rsidRPr="00F74530" w14:paraId="6A673AC8" w14:textId="77777777" w:rsidTr="004274DD">
        <w:trPr>
          <w:trHeight w:val="457"/>
        </w:trPr>
        <w:tc>
          <w:tcPr>
            <w:tcW w:w="9634" w:type="dxa"/>
            <w:gridSpan w:val="11"/>
            <w:vAlign w:val="center"/>
          </w:tcPr>
          <w:p w14:paraId="22AC63F6" w14:textId="77777777" w:rsidR="00D3011B" w:rsidRPr="00F74530" w:rsidRDefault="00D3011B" w:rsidP="00F74530">
            <w:pPr>
              <w:autoSpaceDE w:val="0"/>
              <w:autoSpaceDN w:val="0"/>
              <w:adjustRightInd w:val="0"/>
              <w:spacing w:after="0" w:line="276" w:lineRule="auto"/>
              <w:jc w:val="center"/>
              <w:rPr>
                <w:rFonts w:ascii="Times New Roman" w:hAnsi="Times New Roman"/>
                <w:b/>
                <w:noProof/>
                <w:color w:val="000000"/>
                <w:sz w:val="24"/>
                <w:szCs w:val="24"/>
                <w:lang w:val="ro-RO"/>
              </w:rPr>
            </w:pPr>
            <w:bookmarkStart w:id="0" w:name="_Hlk104286147"/>
            <w:bookmarkStart w:id="1" w:name="_Hlk134015391"/>
          </w:p>
          <w:p w14:paraId="5ED105F8" w14:textId="4E22A8A3" w:rsidR="006D7917" w:rsidRPr="00F74530" w:rsidRDefault="006D7917" w:rsidP="00F74530">
            <w:pPr>
              <w:autoSpaceDE w:val="0"/>
              <w:autoSpaceDN w:val="0"/>
              <w:adjustRightInd w:val="0"/>
              <w:spacing w:after="0" w:line="276" w:lineRule="auto"/>
              <w:jc w:val="center"/>
              <w:rPr>
                <w:rFonts w:ascii="Times New Roman" w:hAnsi="Times New Roman"/>
                <w:b/>
                <w:noProof/>
                <w:color w:val="000000"/>
                <w:sz w:val="24"/>
                <w:szCs w:val="24"/>
                <w:lang w:val="ro-RO"/>
              </w:rPr>
            </w:pPr>
            <w:r w:rsidRPr="00F74530">
              <w:rPr>
                <w:rFonts w:ascii="Times New Roman" w:hAnsi="Times New Roman"/>
                <w:b/>
                <w:noProof/>
                <w:color w:val="000000"/>
                <w:sz w:val="24"/>
                <w:szCs w:val="24"/>
                <w:lang w:val="ro-RO"/>
              </w:rPr>
              <w:t>HOTĂRÂRE</w:t>
            </w:r>
          </w:p>
          <w:bookmarkEnd w:id="0"/>
          <w:bookmarkEnd w:id="1"/>
          <w:p w14:paraId="13DEEE43" w14:textId="5D910DDC" w:rsidR="00D3011B" w:rsidRPr="00F74530" w:rsidRDefault="00912FE2" w:rsidP="00F74530">
            <w:pPr>
              <w:autoSpaceDE w:val="0"/>
              <w:autoSpaceDN w:val="0"/>
              <w:adjustRightInd w:val="0"/>
              <w:spacing w:line="276" w:lineRule="auto"/>
              <w:jc w:val="center"/>
              <w:rPr>
                <w:rFonts w:ascii="Times New Roman" w:hAnsi="Times New Roman"/>
                <w:b/>
                <w:sz w:val="24"/>
                <w:szCs w:val="24"/>
                <w:lang w:val="ro-RO"/>
              </w:rPr>
            </w:pPr>
            <w:r w:rsidRPr="00F74530">
              <w:rPr>
                <w:rFonts w:ascii="Times New Roman" w:hAnsi="Times New Roman"/>
                <w:b/>
                <w:bCs/>
                <w:sz w:val="24"/>
                <w:szCs w:val="24"/>
                <w:lang w:val="ro-RO"/>
              </w:rPr>
              <w:t>Hotărâre a Guvernului privind instituirea sistemului electronic de trasabilitate a fluxurilor de deșeuri municipale reciclabile predate de persoane fizice către operatorii economici autorizați</w:t>
            </w:r>
          </w:p>
        </w:tc>
      </w:tr>
      <w:tr w:rsidR="00E318A6" w:rsidRPr="00F74530" w14:paraId="3F28B7CB" w14:textId="77777777" w:rsidTr="004274DD">
        <w:tc>
          <w:tcPr>
            <w:tcW w:w="9634" w:type="dxa"/>
            <w:gridSpan w:val="11"/>
            <w:vAlign w:val="center"/>
          </w:tcPr>
          <w:p w14:paraId="5FA100CD" w14:textId="77777777" w:rsidR="00E318A6" w:rsidRPr="00F74530" w:rsidRDefault="00E318A6"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Secţiunea a 2-a</w:t>
            </w:r>
          </w:p>
          <w:p w14:paraId="677CF0A4" w14:textId="73E64772" w:rsidR="00D3011B" w:rsidRPr="00F74530" w:rsidRDefault="00E318A6"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Motivul emiterii actului normativ</w:t>
            </w:r>
          </w:p>
        </w:tc>
      </w:tr>
      <w:tr w:rsidR="00E318A6" w:rsidRPr="00F74530" w14:paraId="0FDB01F1" w14:textId="77777777" w:rsidTr="004274DD">
        <w:trPr>
          <w:trHeight w:val="90"/>
        </w:trPr>
        <w:tc>
          <w:tcPr>
            <w:tcW w:w="757" w:type="dxa"/>
            <w:vAlign w:val="center"/>
          </w:tcPr>
          <w:p w14:paraId="181FB606" w14:textId="77777777" w:rsidR="00E318A6" w:rsidRPr="00F74530" w:rsidRDefault="00755B49" w:rsidP="00F74530">
            <w:pPr>
              <w:spacing w:after="0" w:line="276" w:lineRule="auto"/>
              <w:jc w:val="both"/>
              <w:rPr>
                <w:rFonts w:ascii="Times New Roman" w:hAnsi="Times New Roman"/>
                <w:noProof/>
                <w:color w:val="000000"/>
                <w:sz w:val="24"/>
                <w:szCs w:val="24"/>
                <w:lang w:val="ro-RO"/>
              </w:rPr>
            </w:pPr>
            <w:r w:rsidRPr="00F74530">
              <w:rPr>
                <w:rFonts w:ascii="Times New Roman" w:hAnsi="Times New Roman"/>
                <w:noProof/>
                <w:color w:val="000000"/>
                <w:sz w:val="24"/>
                <w:szCs w:val="24"/>
                <w:lang w:val="ro-RO"/>
              </w:rPr>
              <w:t>2.</w:t>
            </w:r>
            <w:r w:rsidR="00E318A6" w:rsidRPr="00F74530">
              <w:rPr>
                <w:rFonts w:ascii="Times New Roman" w:hAnsi="Times New Roman"/>
                <w:noProof/>
                <w:color w:val="000000"/>
                <w:sz w:val="24"/>
                <w:szCs w:val="24"/>
                <w:lang w:val="ro-RO"/>
              </w:rPr>
              <w:t>1.</w:t>
            </w:r>
          </w:p>
        </w:tc>
        <w:tc>
          <w:tcPr>
            <w:tcW w:w="2261" w:type="dxa"/>
            <w:vAlign w:val="center"/>
          </w:tcPr>
          <w:p w14:paraId="1396BE67" w14:textId="77777777" w:rsidR="00E318A6" w:rsidRPr="00F74530" w:rsidRDefault="00755B49" w:rsidP="00F74530">
            <w:pPr>
              <w:spacing w:after="0" w:line="276" w:lineRule="auto"/>
              <w:contextualSpacing/>
              <w:jc w:val="both"/>
              <w:rPr>
                <w:rFonts w:ascii="Times New Roman" w:hAnsi="Times New Roman"/>
                <w:noProof/>
                <w:color w:val="000000"/>
                <w:sz w:val="24"/>
                <w:szCs w:val="24"/>
                <w:lang w:val="ro-RO"/>
              </w:rPr>
            </w:pPr>
            <w:r w:rsidRPr="00F74530">
              <w:rPr>
                <w:rFonts w:ascii="Times New Roman" w:hAnsi="Times New Roman"/>
                <w:noProof/>
                <w:color w:val="000000"/>
                <w:sz w:val="24"/>
                <w:szCs w:val="24"/>
                <w:lang w:val="ro-RO"/>
              </w:rPr>
              <w:t>Sursa proiectului de act normativ</w:t>
            </w:r>
          </w:p>
        </w:tc>
        <w:tc>
          <w:tcPr>
            <w:tcW w:w="6616" w:type="dxa"/>
            <w:gridSpan w:val="9"/>
            <w:vAlign w:val="center"/>
          </w:tcPr>
          <w:p w14:paraId="6A298316" w14:textId="176054CE" w:rsidR="000C7773" w:rsidRPr="002C205F" w:rsidRDefault="00437B07" w:rsidP="000C7773">
            <w:pPr>
              <w:spacing w:after="120"/>
              <w:jc w:val="both"/>
              <w:rPr>
                <w:rFonts w:ascii="Times New Roman" w:hAnsi="Times New Roman"/>
                <w:lang w:val="ro-RO"/>
              </w:rPr>
            </w:pPr>
            <w:r w:rsidRPr="00F74530">
              <w:rPr>
                <w:rFonts w:ascii="Times New Roman" w:hAnsi="Times New Roman"/>
                <w:bCs/>
                <w:sz w:val="24"/>
                <w:szCs w:val="24"/>
                <w:lang w:val="ro-RO"/>
              </w:rPr>
              <w:t>În temeiul art. 108 din Constituția României, republicată, și al art. 19 alin. (4), art. 48 alin. (7) și (8), art. 50 lit. q) și art. 68 din Ordonanța de urgență a Guvernului nr. 92/2021 privind regimul deșeurilor, aprobată cu modificări și completări prin Legea nr. 17/2023, cu modificările și completările ulterioare,</w:t>
            </w:r>
            <w:r w:rsidR="000C7773" w:rsidRPr="002C205F">
              <w:rPr>
                <w:rFonts w:ascii="Times New Roman" w:hAnsi="Times New Roman"/>
                <w:lang w:val="ro-RO"/>
              </w:rPr>
              <w:t xml:space="preserve"> precum și în conformitate cu prevederile art.75 lit. g) din Ordonanţa de urgenţă a Guvernului nr. 195/2005 privind protecţia mediului, aprobată cu modificări şi completări prin Legea nr. 265/2006, cu modificările şi completările ulterioare.</w:t>
            </w:r>
          </w:p>
          <w:p w14:paraId="19132E11" w14:textId="5596DB1A" w:rsidR="00A06928" w:rsidRPr="00F74530" w:rsidRDefault="00A06928" w:rsidP="00F74530">
            <w:pPr>
              <w:autoSpaceDE w:val="0"/>
              <w:autoSpaceDN w:val="0"/>
              <w:adjustRightInd w:val="0"/>
              <w:spacing w:line="276" w:lineRule="auto"/>
              <w:jc w:val="both"/>
              <w:rPr>
                <w:rFonts w:ascii="Times New Roman" w:hAnsi="Times New Roman"/>
                <w:bCs/>
                <w:sz w:val="24"/>
                <w:szCs w:val="24"/>
                <w:lang w:val="ro-RO"/>
              </w:rPr>
            </w:pPr>
          </w:p>
        </w:tc>
      </w:tr>
      <w:tr w:rsidR="00E318A6" w:rsidRPr="00F74530" w14:paraId="5C7A03F5" w14:textId="77777777" w:rsidTr="001F76F2">
        <w:trPr>
          <w:trHeight w:val="699"/>
        </w:trPr>
        <w:tc>
          <w:tcPr>
            <w:tcW w:w="757" w:type="dxa"/>
            <w:vAlign w:val="center"/>
          </w:tcPr>
          <w:p w14:paraId="5FE64421" w14:textId="77777777" w:rsidR="00E318A6" w:rsidRPr="00F74530" w:rsidRDefault="00755B49" w:rsidP="00F74530">
            <w:pPr>
              <w:spacing w:after="0" w:line="276" w:lineRule="auto"/>
              <w:jc w:val="both"/>
              <w:rPr>
                <w:rFonts w:ascii="Times New Roman" w:hAnsi="Times New Roman"/>
                <w:noProof/>
                <w:color w:val="000000"/>
                <w:sz w:val="24"/>
                <w:szCs w:val="24"/>
                <w:vertAlign w:val="superscript"/>
                <w:lang w:val="ro-RO"/>
              </w:rPr>
            </w:pPr>
            <w:r w:rsidRPr="00F74530">
              <w:rPr>
                <w:rFonts w:ascii="Times New Roman" w:hAnsi="Times New Roman"/>
                <w:noProof/>
                <w:color w:val="000000"/>
                <w:sz w:val="24"/>
                <w:szCs w:val="24"/>
                <w:lang w:val="ro-RO"/>
              </w:rPr>
              <w:t>2.2.</w:t>
            </w:r>
          </w:p>
        </w:tc>
        <w:tc>
          <w:tcPr>
            <w:tcW w:w="2261" w:type="dxa"/>
            <w:vAlign w:val="center"/>
          </w:tcPr>
          <w:p w14:paraId="1FD08E11" w14:textId="77777777" w:rsidR="00E318A6" w:rsidRPr="00F74530" w:rsidRDefault="00755B49" w:rsidP="00F74530">
            <w:pPr>
              <w:spacing w:after="0" w:line="276" w:lineRule="auto"/>
              <w:jc w:val="both"/>
              <w:rPr>
                <w:rFonts w:ascii="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Descrierea situaţiei actuale</w:t>
            </w:r>
          </w:p>
        </w:tc>
        <w:tc>
          <w:tcPr>
            <w:tcW w:w="6616" w:type="dxa"/>
            <w:gridSpan w:val="9"/>
            <w:vAlign w:val="center"/>
          </w:tcPr>
          <w:p w14:paraId="02F8481B" w14:textId="77777777" w:rsidR="00B60AA6" w:rsidRPr="00F74530" w:rsidRDefault="00B60AA6"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Cadrul legislativ actual privind regimul deșeurilor, instituit prin Ordonanța de urgență a Guvernului nr. 92/2021 privind regimul deșeurilor, aprobată cu modificări și completări prin Legea nr. 17/2023, cu modificările și completările ulterioare, denumită în continuare Ordonanța de urgență, permite persoanelor fizice să predea deșeuri reciclabile colectorilor autorizați fără existența unui sistem unitar de trasabilitate centralizată a acestor tranzacții.</w:t>
            </w:r>
          </w:p>
          <w:p w14:paraId="09F2DBD3" w14:textId="48CD3CDA" w:rsidR="00B60AA6" w:rsidRPr="00F74530" w:rsidRDefault="00B60AA6"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Activitatea curentă a Gărzii Naționale de Mediu</w:t>
            </w:r>
            <w:r w:rsidR="00CD3132">
              <w:rPr>
                <w:rFonts w:ascii="Times New Roman" w:hAnsi="Times New Roman"/>
                <w:sz w:val="24"/>
                <w:szCs w:val="24"/>
                <w:lang w:val="ro-RO"/>
              </w:rPr>
              <w:t xml:space="preserve"> </w:t>
            </w:r>
            <w:r w:rsidRPr="00F74530">
              <w:rPr>
                <w:rFonts w:ascii="Times New Roman" w:hAnsi="Times New Roman"/>
                <w:sz w:val="24"/>
                <w:szCs w:val="24"/>
                <w:lang w:val="ro-RO"/>
              </w:rPr>
              <w:t>a evidențiat următoarele disfuncționalități:</w:t>
            </w:r>
          </w:p>
          <w:p w14:paraId="44E7E0FB" w14:textId="77777777" w:rsidR="00B60AA6" w:rsidRPr="00F74530" w:rsidRDefault="00B60AA6" w:rsidP="00F74530">
            <w:pPr>
              <w:spacing w:after="8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a) intensificarea fenomenului de colectare ilegală și trafic ilicit cu deșeuri reciclabile, prin care persoane care nu dețin calitatea de operatori economici autorizați direcționează cantități semnificative în afara cadrului legal;</w:t>
            </w:r>
          </w:p>
          <w:p w14:paraId="0EAED7EA" w14:textId="77777777" w:rsidR="00B60AA6" w:rsidRPr="00F74530" w:rsidRDefault="00B60AA6" w:rsidP="00F74530">
            <w:pPr>
              <w:spacing w:after="8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b) creșterea numărului de cazuri de sustragere a materialelor reciclabile valoroase din infrastructura publică și privată — cabluri, capace de canalizare, elemente metalice din construcții — fenomen care depășește sfera de aplicare a Ordonanței de urgență a Guvernului nr. 31/2011;</w:t>
            </w:r>
          </w:p>
          <w:p w14:paraId="649DF549" w14:textId="77777777" w:rsidR="00B60AA6" w:rsidRPr="00F74530" w:rsidRDefault="00B60AA6" w:rsidP="00F74530">
            <w:pPr>
              <w:spacing w:after="8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c) lipsa trasabilității deșeurilor predate de persoane fizice împiedică identificarea originii deșeurilor și creează condiții favorabile introducerii în circuitul legal a deșeurilor provenite din surse ilicite;</w:t>
            </w:r>
          </w:p>
          <w:p w14:paraId="31106185" w14:textId="53429E88" w:rsidR="001B7A0E" w:rsidRPr="00F74530" w:rsidRDefault="00B60AA6" w:rsidP="00F74530">
            <w:pPr>
              <w:spacing w:after="12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 xml:space="preserve">d) imposibilitatea cuantificării reale a cantităților de deșeuri municipale reciclabile colectate prin acest canal afectează </w:t>
            </w:r>
            <w:r w:rsidRPr="00F74530">
              <w:rPr>
                <w:rFonts w:ascii="Times New Roman" w:hAnsi="Times New Roman"/>
                <w:sz w:val="24"/>
                <w:szCs w:val="24"/>
                <w:lang w:val="ro-RO"/>
              </w:rPr>
              <w:lastRenderedPageBreak/>
              <w:t>acuratețea raportărilor naționale către Comisia Europeană privind îndeplinirea obiectivelor de reciclare prevăzute la art. 17 alin. (5) lit. c)–e) din Ordonanța de urgență — 55% până în 2025, 60% până în 2030, 65% până în 2035.</w:t>
            </w:r>
          </w:p>
        </w:tc>
      </w:tr>
      <w:tr w:rsidR="007A3DC6" w:rsidRPr="00F74530" w14:paraId="770B0CBB" w14:textId="77777777" w:rsidTr="004274DD">
        <w:trPr>
          <w:trHeight w:val="90"/>
        </w:trPr>
        <w:tc>
          <w:tcPr>
            <w:tcW w:w="757" w:type="dxa"/>
            <w:vAlign w:val="center"/>
          </w:tcPr>
          <w:p w14:paraId="4FF6A346" w14:textId="77777777" w:rsidR="007A3DC6" w:rsidRPr="00F74530" w:rsidRDefault="007A3DC6" w:rsidP="00F74530">
            <w:pPr>
              <w:spacing w:after="0" w:line="276" w:lineRule="auto"/>
              <w:jc w:val="both"/>
              <w:rPr>
                <w:rFonts w:ascii="Times New Roman" w:hAnsi="Times New Roman"/>
                <w:noProof/>
                <w:color w:val="000000"/>
                <w:sz w:val="24"/>
                <w:szCs w:val="24"/>
                <w:lang w:val="ro-RO"/>
              </w:rPr>
            </w:pPr>
            <w:r w:rsidRPr="00F74530">
              <w:rPr>
                <w:rFonts w:ascii="Times New Roman" w:hAnsi="Times New Roman"/>
                <w:noProof/>
                <w:color w:val="000000"/>
                <w:sz w:val="24"/>
                <w:szCs w:val="24"/>
                <w:lang w:val="ro-RO"/>
              </w:rPr>
              <w:lastRenderedPageBreak/>
              <w:t>2.3.</w:t>
            </w:r>
          </w:p>
        </w:tc>
        <w:tc>
          <w:tcPr>
            <w:tcW w:w="2261" w:type="dxa"/>
            <w:vAlign w:val="center"/>
          </w:tcPr>
          <w:p w14:paraId="43E28308" w14:textId="77777777" w:rsidR="007A3DC6" w:rsidRPr="00F74530" w:rsidRDefault="007A3DC6" w:rsidP="00F74530">
            <w:pPr>
              <w:spacing w:after="0" w:line="276" w:lineRule="auto"/>
              <w:jc w:val="both"/>
              <w:rPr>
                <w:rFonts w:ascii="Times New Roman" w:hAnsi="Times New Roman"/>
                <w:noProof/>
                <w:color w:val="000000"/>
                <w:sz w:val="24"/>
                <w:szCs w:val="24"/>
                <w:lang w:val="ro-RO"/>
              </w:rPr>
            </w:pPr>
            <w:r w:rsidRPr="00F74530">
              <w:rPr>
                <w:rFonts w:ascii="Times New Roman" w:hAnsi="Times New Roman"/>
                <w:iCs/>
                <w:noProof/>
                <w:color w:val="000000"/>
                <w:sz w:val="24"/>
                <w:szCs w:val="24"/>
                <w:lang w:val="ro-RO"/>
              </w:rPr>
              <w:t>Schimbări</w:t>
            </w:r>
            <w:r w:rsidRPr="00F74530">
              <w:rPr>
                <w:rFonts w:ascii="Times New Roman" w:eastAsia="Times New Roman" w:hAnsi="Times New Roman"/>
                <w:noProof/>
                <w:color w:val="000000"/>
                <w:sz w:val="24"/>
                <w:szCs w:val="24"/>
                <w:lang w:val="ro-RO"/>
              </w:rPr>
              <w:t xml:space="preserve"> preconizate</w:t>
            </w:r>
          </w:p>
        </w:tc>
        <w:tc>
          <w:tcPr>
            <w:tcW w:w="6616" w:type="dxa"/>
            <w:gridSpan w:val="9"/>
          </w:tcPr>
          <w:p w14:paraId="7335FEFF" w14:textId="77777777" w:rsidR="00EC0CAE" w:rsidRPr="00F74530" w:rsidRDefault="00EC0CAE" w:rsidP="00F74530">
            <w:pPr>
              <w:spacing w:after="120" w:line="276" w:lineRule="auto"/>
              <w:jc w:val="both"/>
              <w:rPr>
                <w:rFonts w:ascii="Times New Roman" w:hAnsi="Times New Roman"/>
                <w:sz w:val="24"/>
                <w:szCs w:val="24"/>
              </w:rPr>
            </w:pPr>
            <w:r w:rsidRPr="00F74530">
              <w:rPr>
                <w:rFonts w:ascii="Times New Roman" w:hAnsi="Times New Roman"/>
                <w:sz w:val="24"/>
                <w:szCs w:val="24"/>
                <w:lang w:val="ro-RO"/>
              </w:rPr>
              <w:t>Proiectul de hotărâre instituie sistemul electronic de trasabilitate TRACE-DM, gestionat de Administrația Fondului pentru Mediu, ca parte componentă a sistemului eficace de colectare a datelor și de trasabilitate a deșeurilor municipale prevăzut la art. 19 alin. (4) din Ordonanța de urgență.</w:t>
            </w:r>
          </w:p>
          <w:p w14:paraId="71A2A374" w14:textId="77777777" w:rsidR="00647EFE" w:rsidRPr="00F74530" w:rsidRDefault="00647EFE"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Principalele măsuri instituite sunt:</w:t>
            </w:r>
          </w:p>
          <w:p w14:paraId="0765845E" w14:textId="77777777" w:rsidR="00647EFE" w:rsidRPr="00F74530" w:rsidRDefault="00647EFE" w:rsidP="00F74530">
            <w:pPr>
              <w:spacing w:after="8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a) instituirea unui sistem informatic centralizat pentru înregistrarea tuturor tranzacțiilor de predare a deșeurilor municipale reciclabile de către persoane fizice;</w:t>
            </w:r>
          </w:p>
          <w:p w14:paraId="5C93BAED" w14:textId="77777777" w:rsidR="00647EFE" w:rsidRPr="00F74530" w:rsidRDefault="00647EFE" w:rsidP="00F74530">
            <w:pPr>
              <w:spacing w:after="8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b) obligația operatorilor economici autorizați de a verifica identitatea persoanelor fizice predătoare și de a consemna declarația privind proveniența deșeurilor din gospodăria proprie;</w:t>
            </w:r>
          </w:p>
          <w:p w14:paraId="2A76F974" w14:textId="77777777" w:rsidR="00647EFE" w:rsidRPr="00F74530" w:rsidRDefault="00647EFE" w:rsidP="00F74530">
            <w:pPr>
              <w:spacing w:after="8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c) instituirea unor praguri de înregistrare extinsă, calculate cumulativ pe an calendaristic și pe persoană fizică predătoare — 500 kg hârtie și carton, 200 kg materiale plastice, 200 kg sticlă, 500 kg metal — peste care se aplică un regim documentar suplimentar pentru verificarea provenienței;</w:t>
            </w:r>
          </w:p>
          <w:p w14:paraId="314CAB70" w14:textId="77777777" w:rsidR="00647EFE" w:rsidRPr="00F74530" w:rsidRDefault="00647EFE" w:rsidP="00F74530">
            <w:pPr>
              <w:spacing w:after="8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d) corelarea cu cadrul preexistent instituit prin Ordonanța de urgență a Guvernului nr. 31/2011 pentru deșeurile metalice, prin generarea electronică a borderoului de achiziție;</w:t>
            </w:r>
          </w:p>
          <w:p w14:paraId="157CFD38" w14:textId="5C38962C" w:rsidR="00EA4ED5" w:rsidRPr="00F74530" w:rsidRDefault="00647EFE" w:rsidP="00F74530">
            <w:pPr>
              <w:spacing w:after="120" w:line="276" w:lineRule="auto"/>
              <w:ind w:left="360"/>
              <w:jc w:val="both"/>
              <w:rPr>
                <w:rFonts w:ascii="Times New Roman" w:hAnsi="Times New Roman"/>
                <w:sz w:val="24"/>
                <w:szCs w:val="24"/>
                <w:lang w:val="ro-RO"/>
              </w:rPr>
            </w:pPr>
            <w:r w:rsidRPr="00F74530">
              <w:rPr>
                <w:rFonts w:ascii="Times New Roman" w:hAnsi="Times New Roman"/>
                <w:sz w:val="24"/>
                <w:szCs w:val="24"/>
                <w:lang w:val="ro-RO"/>
              </w:rPr>
              <w:t>e) interconectarea cu Sistemul Integrat de Mediu administrat de ANM</w:t>
            </w:r>
            <w:r w:rsidRPr="00F74530">
              <w:rPr>
                <w:rFonts w:ascii="Times New Roman" w:hAnsi="Times New Roman"/>
                <w:sz w:val="24"/>
                <w:szCs w:val="24"/>
              </w:rPr>
              <w:t>AP</w:t>
            </w:r>
            <w:r w:rsidRPr="00F74530">
              <w:rPr>
                <w:rFonts w:ascii="Times New Roman" w:hAnsi="Times New Roman"/>
                <w:sz w:val="24"/>
                <w:szCs w:val="24"/>
                <w:lang w:val="ro-RO"/>
              </w:rPr>
              <w:t>, în scopul integrării datelor în raportările naționale către Comisia Europeană prevăzute la art. 49 din Ordonanța de urgență.</w:t>
            </w:r>
          </w:p>
        </w:tc>
      </w:tr>
      <w:tr w:rsidR="007A3DC6" w:rsidRPr="00F74530" w14:paraId="035149F0" w14:textId="77777777" w:rsidTr="004274DD">
        <w:trPr>
          <w:trHeight w:val="90"/>
        </w:trPr>
        <w:tc>
          <w:tcPr>
            <w:tcW w:w="757" w:type="dxa"/>
            <w:vAlign w:val="center"/>
          </w:tcPr>
          <w:p w14:paraId="7DF46C66" w14:textId="6B365200" w:rsidR="007A3DC6" w:rsidRPr="00F74530" w:rsidRDefault="007A3DC6" w:rsidP="00F74530">
            <w:pPr>
              <w:spacing w:after="0" w:line="276" w:lineRule="auto"/>
              <w:jc w:val="both"/>
              <w:rPr>
                <w:rFonts w:ascii="Times New Roman" w:hAnsi="Times New Roman"/>
                <w:bCs/>
                <w:noProof/>
                <w:color w:val="000000"/>
                <w:sz w:val="24"/>
                <w:szCs w:val="24"/>
                <w:lang w:val="ro-RO"/>
              </w:rPr>
            </w:pPr>
            <w:r w:rsidRPr="00F74530">
              <w:rPr>
                <w:rFonts w:ascii="Times New Roman" w:hAnsi="Times New Roman"/>
                <w:bCs/>
                <w:noProof/>
                <w:color w:val="000000"/>
                <w:sz w:val="24"/>
                <w:szCs w:val="24"/>
                <w:lang w:val="ro-RO"/>
              </w:rPr>
              <w:t>2.4.</w:t>
            </w:r>
          </w:p>
        </w:tc>
        <w:tc>
          <w:tcPr>
            <w:tcW w:w="2261" w:type="dxa"/>
            <w:vAlign w:val="center"/>
          </w:tcPr>
          <w:p w14:paraId="24EF78AC" w14:textId="77777777" w:rsidR="007A3DC6" w:rsidRPr="00F74530" w:rsidRDefault="007A3DC6" w:rsidP="00F74530">
            <w:pPr>
              <w:spacing w:after="0" w:line="276" w:lineRule="auto"/>
              <w:jc w:val="both"/>
              <w:rPr>
                <w:rFonts w:ascii="Times New Roman" w:hAnsi="Times New Roman"/>
                <w:bCs/>
                <w:noProof/>
                <w:color w:val="000000"/>
                <w:sz w:val="24"/>
                <w:szCs w:val="24"/>
                <w:lang w:val="ro-RO"/>
              </w:rPr>
            </w:pPr>
            <w:r w:rsidRPr="00F74530">
              <w:rPr>
                <w:rFonts w:ascii="Times New Roman" w:eastAsia="Times New Roman" w:hAnsi="Times New Roman"/>
                <w:bCs/>
                <w:noProof/>
                <w:color w:val="000000"/>
                <w:sz w:val="24"/>
                <w:szCs w:val="24"/>
                <w:lang w:val="ro-RO"/>
              </w:rPr>
              <w:t>Alte informaţii</w:t>
            </w:r>
          </w:p>
        </w:tc>
        <w:tc>
          <w:tcPr>
            <w:tcW w:w="6616" w:type="dxa"/>
            <w:gridSpan w:val="9"/>
            <w:vAlign w:val="center"/>
          </w:tcPr>
          <w:p w14:paraId="7F1112D8" w14:textId="77777777" w:rsidR="00191B5C" w:rsidRPr="00F74530" w:rsidRDefault="00191B5C"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Proiectul nu conține limite cantitative absolute pentru predarea de deșeuri de către persoane fizice, ci instituie un sistem de trasabilitate cu praguri operaționale care declanșează verificări documentare suplimentare. Pragurile cantitative reprezintă parametri operaționali ai sistemului de trasabilitate, în acord cu logica art. 19 alin. (4) din Ordonanța de urgență, și nu obligații primare autonome de natură să restrângă exercițiul drepturilor patrimoniale ale persoanelor fizice.</w:t>
            </w:r>
          </w:p>
          <w:p w14:paraId="45D54472" w14:textId="77777777" w:rsidR="00CC2A0A" w:rsidRDefault="00191B5C" w:rsidP="00F74530">
            <w:pPr>
              <w:spacing w:line="276" w:lineRule="auto"/>
              <w:jc w:val="both"/>
              <w:rPr>
                <w:rFonts w:ascii="Times New Roman" w:hAnsi="Times New Roman"/>
                <w:sz w:val="24"/>
                <w:szCs w:val="24"/>
                <w:lang w:val="ro-RO"/>
              </w:rPr>
            </w:pPr>
            <w:r w:rsidRPr="00F74530">
              <w:rPr>
                <w:rFonts w:ascii="Times New Roman" w:hAnsi="Times New Roman"/>
                <w:sz w:val="24"/>
                <w:szCs w:val="24"/>
                <w:lang w:val="ro-RO"/>
              </w:rPr>
              <w:t>Proiectul nu instituie noi contravenții. Nerespectarea obligațiilor prevăzute de prezenta hotărâre se constată de Garda Națională de Mediu prin raportare la sancțiunile contravenționale existente la art. 62 alin. (1) lit. a) din Ordonanța de urgență, în conexiune cu obligațiile de păstrare a evidenței prevăzute la art. 48 din aceeași ordonanță.</w:t>
            </w:r>
          </w:p>
          <w:p w14:paraId="6902D2B3" w14:textId="77777777" w:rsidR="008F2A8F" w:rsidRDefault="008F2A8F" w:rsidP="00F74530">
            <w:pPr>
              <w:spacing w:line="276" w:lineRule="auto"/>
              <w:jc w:val="both"/>
              <w:rPr>
                <w:rFonts w:ascii="Times New Roman" w:hAnsi="Times New Roman"/>
                <w:i/>
                <w:iCs/>
                <w:color w:val="000000" w:themeColor="text1"/>
                <w:sz w:val="24"/>
                <w:szCs w:val="24"/>
                <w:lang w:val="ro-RO"/>
              </w:rPr>
            </w:pPr>
          </w:p>
          <w:p w14:paraId="11F51C74" w14:textId="4D0CD963" w:rsidR="008F2A8F" w:rsidRPr="00F74530" w:rsidRDefault="008F2A8F" w:rsidP="00F74530">
            <w:pPr>
              <w:spacing w:line="276" w:lineRule="auto"/>
              <w:jc w:val="both"/>
              <w:rPr>
                <w:rFonts w:ascii="Times New Roman" w:hAnsi="Times New Roman"/>
                <w:i/>
                <w:iCs/>
                <w:color w:val="000000" w:themeColor="text1"/>
                <w:sz w:val="24"/>
                <w:szCs w:val="24"/>
                <w:lang w:val="ro-RO"/>
              </w:rPr>
            </w:pPr>
          </w:p>
        </w:tc>
      </w:tr>
      <w:tr w:rsidR="007A3DC6" w:rsidRPr="00F74530" w14:paraId="75F1BB53" w14:textId="77777777" w:rsidTr="004274DD">
        <w:trPr>
          <w:trHeight w:val="90"/>
        </w:trPr>
        <w:tc>
          <w:tcPr>
            <w:tcW w:w="9634" w:type="dxa"/>
            <w:gridSpan w:val="11"/>
            <w:vAlign w:val="center"/>
          </w:tcPr>
          <w:p w14:paraId="497CA1CB" w14:textId="77777777" w:rsidR="007A3DC6" w:rsidRPr="00F74530" w:rsidRDefault="007A3DC6"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lastRenderedPageBreak/>
              <w:t>Secţiunea a 3-a</w:t>
            </w:r>
          </w:p>
          <w:p w14:paraId="3D014CF2" w14:textId="2008694B" w:rsidR="00D3011B" w:rsidRPr="00F74530" w:rsidRDefault="007A3DC6"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Impactul socioeconomic</w:t>
            </w:r>
          </w:p>
        </w:tc>
      </w:tr>
      <w:tr w:rsidR="00B62E8C" w:rsidRPr="00F74530" w14:paraId="5681B0E7" w14:textId="77777777" w:rsidTr="004274DD">
        <w:trPr>
          <w:trHeight w:val="55"/>
        </w:trPr>
        <w:tc>
          <w:tcPr>
            <w:tcW w:w="757" w:type="dxa"/>
          </w:tcPr>
          <w:p w14:paraId="55AC5011" w14:textId="77777777" w:rsidR="00B62E8C" w:rsidRPr="00F74530" w:rsidRDefault="00B62E8C"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3.1.</w:t>
            </w:r>
          </w:p>
        </w:tc>
        <w:tc>
          <w:tcPr>
            <w:tcW w:w="2261" w:type="dxa"/>
          </w:tcPr>
          <w:p w14:paraId="4E889230" w14:textId="77777777" w:rsidR="00B62E8C" w:rsidRPr="00F74530" w:rsidRDefault="00B62E8C"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Descrierea generală a beneficiilor şi costurilor estimate ca urmare a intrării în vigoare a actului normativ</w:t>
            </w:r>
          </w:p>
        </w:tc>
        <w:tc>
          <w:tcPr>
            <w:tcW w:w="6616" w:type="dxa"/>
            <w:gridSpan w:val="9"/>
          </w:tcPr>
          <w:p w14:paraId="685D187F" w14:textId="77777777" w:rsidR="00B62E8C" w:rsidRPr="00F74530" w:rsidRDefault="00B62E8C" w:rsidP="00F74530">
            <w:pPr>
              <w:spacing w:line="276" w:lineRule="auto"/>
              <w:jc w:val="both"/>
              <w:rPr>
                <w:rFonts w:ascii="Times New Roman" w:eastAsia="Times New Roman" w:hAnsi="Times New Roman"/>
                <w:noProof/>
                <w:color w:val="000000"/>
                <w:sz w:val="24"/>
                <w:szCs w:val="24"/>
                <w:lang w:val="ro-RO"/>
              </w:rPr>
            </w:pPr>
            <w:r w:rsidRPr="00F74530">
              <w:rPr>
                <w:rFonts w:ascii="Times New Roman" w:hAnsi="Times New Roman"/>
                <w:sz w:val="24"/>
                <w:szCs w:val="24"/>
                <w:lang w:val="ro-RO"/>
              </w:rPr>
              <w:t>Proiectul de act normativ nu se referă la acest subiect.</w:t>
            </w:r>
          </w:p>
        </w:tc>
      </w:tr>
      <w:tr w:rsidR="00B62E8C" w:rsidRPr="00F74530" w14:paraId="7D9808B5" w14:textId="77777777" w:rsidTr="004274DD">
        <w:trPr>
          <w:trHeight w:val="55"/>
        </w:trPr>
        <w:tc>
          <w:tcPr>
            <w:tcW w:w="757" w:type="dxa"/>
          </w:tcPr>
          <w:p w14:paraId="486C75EB" w14:textId="77777777" w:rsidR="00B62E8C" w:rsidRPr="00F74530" w:rsidRDefault="00B62E8C"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3.2.</w:t>
            </w:r>
          </w:p>
        </w:tc>
        <w:tc>
          <w:tcPr>
            <w:tcW w:w="2261" w:type="dxa"/>
          </w:tcPr>
          <w:p w14:paraId="03F496B6" w14:textId="77777777" w:rsidR="00B62E8C" w:rsidRPr="00F74530" w:rsidRDefault="00B62E8C"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Impactul social</w:t>
            </w:r>
          </w:p>
        </w:tc>
        <w:tc>
          <w:tcPr>
            <w:tcW w:w="6616" w:type="dxa"/>
            <w:gridSpan w:val="9"/>
          </w:tcPr>
          <w:p w14:paraId="59466B87" w14:textId="38D5AF9D" w:rsidR="00F73CE2" w:rsidRPr="00F74530" w:rsidRDefault="00B62E8C" w:rsidP="00F74530">
            <w:pPr>
              <w:spacing w:line="276" w:lineRule="auto"/>
              <w:jc w:val="both"/>
              <w:rPr>
                <w:rFonts w:ascii="Times New Roman" w:eastAsia="Times New Roman" w:hAnsi="Times New Roman"/>
                <w:noProof/>
                <w:color w:val="000000"/>
                <w:sz w:val="24"/>
                <w:szCs w:val="24"/>
                <w:lang w:val="ro-RO"/>
              </w:rPr>
            </w:pPr>
            <w:r w:rsidRPr="00F74530">
              <w:rPr>
                <w:rFonts w:ascii="Times New Roman" w:hAnsi="Times New Roman"/>
                <w:sz w:val="24"/>
                <w:szCs w:val="24"/>
                <w:lang w:val="ro-RO"/>
              </w:rPr>
              <w:t>Proiectul de act normativ nu se referă la acest subiect.</w:t>
            </w:r>
          </w:p>
        </w:tc>
      </w:tr>
      <w:tr w:rsidR="00B62E8C" w:rsidRPr="00F74530" w14:paraId="1C6C38CA" w14:textId="77777777" w:rsidTr="004274DD">
        <w:trPr>
          <w:trHeight w:val="55"/>
        </w:trPr>
        <w:tc>
          <w:tcPr>
            <w:tcW w:w="757" w:type="dxa"/>
          </w:tcPr>
          <w:p w14:paraId="4C9312D2" w14:textId="77777777" w:rsidR="00B62E8C" w:rsidRPr="00F74530" w:rsidRDefault="00B62E8C"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3.3.</w:t>
            </w:r>
          </w:p>
        </w:tc>
        <w:tc>
          <w:tcPr>
            <w:tcW w:w="2261" w:type="dxa"/>
          </w:tcPr>
          <w:p w14:paraId="4145E0EC" w14:textId="77777777" w:rsidR="00B62E8C" w:rsidRPr="00F74530" w:rsidRDefault="00B62E8C"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Impactul asupra drepturilor şi libertăţilor fundamentale ale omului</w:t>
            </w:r>
          </w:p>
        </w:tc>
        <w:tc>
          <w:tcPr>
            <w:tcW w:w="6616" w:type="dxa"/>
            <w:gridSpan w:val="9"/>
          </w:tcPr>
          <w:p w14:paraId="30D2A762" w14:textId="476C0C26" w:rsidR="00CC2A0A" w:rsidRPr="00F74530" w:rsidRDefault="00B62E8C" w:rsidP="00F74530">
            <w:pPr>
              <w:spacing w:line="276" w:lineRule="auto"/>
              <w:jc w:val="both"/>
              <w:rPr>
                <w:rFonts w:ascii="Times New Roman" w:eastAsia="Times New Roman" w:hAnsi="Times New Roman"/>
                <w:noProof/>
                <w:color w:val="000000"/>
                <w:sz w:val="24"/>
                <w:szCs w:val="24"/>
                <w:lang w:val="ro-RO"/>
              </w:rPr>
            </w:pPr>
            <w:r w:rsidRPr="00F74530">
              <w:rPr>
                <w:rFonts w:ascii="Times New Roman" w:hAnsi="Times New Roman"/>
                <w:sz w:val="24"/>
                <w:szCs w:val="24"/>
                <w:lang w:val="ro-RO"/>
              </w:rPr>
              <w:t>Proiectul de act normativ nu se referă la acest subiect.</w:t>
            </w:r>
          </w:p>
        </w:tc>
      </w:tr>
      <w:tr w:rsidR="00527175" w:rsidRPr="00F74530" w14:paraId="0DB4D072" w14:textId="77777777" w:rsidTr="004274DD">
        <w:trPr>
          <w:trHeight w:val="55"/>
        </w:trPr>
        <w:tc>
          <w:tcPr>
            <w:tcW w:w="757" w:type="dxa"/>
          </w:tcPr>
          <w:p w14:paraId="7ECB5D38"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3.4.</w:t>
            </w:r>
          </w:p>
        </w:tc>
        <w:tc>
          <w:tcPr>
            <w:tcW w:w="2261" w:type="dxa"/>
          </w:tcPr>
          <w:p w14:paraId="5AC42441"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Impactul macroeconomic</w:t>
            </w:r>
          </w:p>
        </w:tc>
        <w:tc>
          <w:tcPr>
            <w:tcW w:w="6616" w:type="dxa"/>
            <w:gridSpan w:val="9"/>
          </w:tcPr>
          <w:p w14:paraId="4F4B1015" w14:textId="49E6A262" w:rsidR="00F73CE2" w:rsidRPr="00F74530" w:rsidRDefault="00A536BA"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Proiectul contribuie indirect la creșterea ratei de reciclare a deșeurilor municipale, cu impact asupra economiei circulare și asupra reducerii dependenței de materii prime virgine, în acord cu obiectivele Regulamentului (UE) 2024/1252 privind materiile prime critice (CRMA).</w:t>
            </w:r>
          </w:p>
        </w:tc>
      </w:tr>
      <w:tr w:rsidR="00527175" w:rsidRPr="00F74530" w14:paraId="519BA734" w14:textId="77777777" w:rsidTr="004274DD">
        <w:trPr>
          <w:trHeight w:val="52"/>
        </w:trPr>
        <w:tc>
          <w:tcPr>
            <w:tcW w:w="757" w:type="dxa"/>
          </w:tcPr>
          <w:p w14:paraId="6CAD5E95"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3.4.1.</w:t>
            </w:r>
          </w:p>
        </w:tc>
        <w:tc>
          <w:tcPr>
            <w:tcW w:w="2261" w:type="dxa"/>
          </w:tcPr>
          <w:p w14:paraId="52126AAC"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Impactul asupra economiei şi asupra principalilor indicatori macroeconomici</w:t>
            </w:r>
          </w:p>
        </w:tc>
        <w:tc>
          <w:tcPr>
            <w:tcW w:w="6616" w:type="dxa"/>
            <w:gridSpan w:val="9"/>
          </w:tcPr>
          <w:p w14:paraId="27931BBB" w14:textId="77777777" w:rsidR="00527175" w:rsidRPr="00F74530" w:rsidRDefault="00527175"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tc>
      </w:tr>
      <w:tr w:rsidR="00527175" w:rsidRPr="00F74530" w14:paraId="120AB015" w14:textId="77777777" w:rsidTr="004274DD">
        <w:trPr>
          <w:trHeight w:val="52"/>
        </w:trPr>
        <w:tc>
          <w:tcPr>
            <w:tcW w:w="757" w:type="dxa"/>
          </w:tcPr>
          <w:p w14:paraId="5B6A60A9"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3.4.2.</w:t>
            </w:r>
          </w:p>
        </w:tc>
        <w:tc>
          <w:tcPr>
            <w:tcW w:w="2261" w:type="dxa"/>
          </w:tcPr>
          <w:p w14:paraId="1B0B2D61" w14:textId="77777777" w:rsidR="00527175" w:rsidRPr="00F74530" w:rsidRDefault="00527175"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Impactul asupra mediului concurenţial şi domeniul ajutoarelor de stat</w:t>
            </w:r>
          </w:p>
        </w:tc>
        <w:tc>
          <w:tcPr>
            <w:tcW w:w="6616" w:type="dxa"/>
            <w:gridSpan w:val="9"/>
          </w:tcPr>
          <w:p w14:paraId="1C312B3F" w14:textId="77777777" w:rsidR="006C3C54" w:rsidRPr="00F74530" w:rsidRDefault="006C3C54"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Proiectul nu instituie ajutoare de stat. Sistemul de trasabilitate se aplică nediscriminatoriu tuturor operatorilor economici autorizați pentru colectarea deșeurilor. Măsura nu afectează concurența pe piață, ci, dimpotrivă, contribuie la egalizarea condițiilor de piață prin descurajarea operatorilor neconformi care funcționează în zona gri.</w:t>
            </w:r>
          </w:p>
          <w:p w14:paraId="16D8B0FE" w14:textId="1092DE44" w:rsidR="00527175" w:rsidRPr="00F74530" w:rsidRDefault="006C3C54"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Sistemul TRACE-DM se articulează cu Sistemul de Garanție-Returnare (SGR) operat de RetuRO Sistem Garanție-Returnare S.A. în baza Hotărârii Guvernului nr. 1.074/2021, prin diferențierea fluxurilor — ambalajele SGR sunt excluse, sistemul TRACE-DM vizând restul fluxurilor de deșeuri municipale reciclabile.</w:t>
            </w:r>
          </w:p>
        </w:tc>
      </w:tr>
      <w:tr w:rsidR="00527175" w:rsidRPr="00F74530" w14:paraId="3C9A155E" w14:textId="77777777" w:rsidTr="004274DD">
        <w:trPr>
          <w:trHeight w:val="52"/>
        </w:trPr>
        <w:tc>
          <w:tcPr>
            <w:tcW w:w="757" w:type="dxa"/>
          </w:tcPr>
          <w:p w14:paraId="3F11C4C2"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3.5.</w:t>
            </w:r>
          </w:p>
        </w:tc>
        <w:tc>
          <w:tcPr>
            <w:tcW w:w="2261" w:type="dxa"/>
          </w:tcPr>
          <w:p w14:paraId="27B629FC" w14:textId="77777777" w:rsidR="00527175" w:rsidRPr="00F74530" w:rsidRDefault="00527175"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Impactul asupra mediului de afaceri</w:t>
            </w:r>
          </w:p>
        </w:tc>
        <w:tc>
          <w:tcPr>
            <w:tcW w:w="6616" w:type="dxa"/>
            <w:gridSpan w:val="9"/>
          </w:tcPr>
          <w:p w14:paraId="1275646B" w14:textId="5AACA3EC" w:rsidR="002859D9" w:rsidRPr="00F74530" w:rsidRDefault="009A68CD"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 xml:space="preserve">Operatorii economici autorizați vor avea obligația de a se conecta la sistemul TRACE-DM și de a înregistra electronic tranzacțiile cu persoane fizice. Costurile de conformare sunt limitate, întrucât majoritatea operatorilor dispun deja de sisteme proprii de evidență, iar pentru deșeurile metalice borderoul de achiziție este deja obligatoriu prin Ordonanța de urgență a Guvernului nr. 31/2011. </w:t>
            </w:r>
            <w:r w:rsidRPr="00F74530">
              <w:rPr>
                <w:rFonts w:ascii="Times New Roman" w:hAnsi="Times New Roman"/>
                <w:sz w:val="24"/>
                <w:szCs w:val="24"/>
                <w:lang w:val="ro-RO"/>
              </w:rPr>
              <w:lastRenderedPageBreak/>
              <w:t>Perioada de tranziție de 60 de zile prevăzută la art. 15 alin. (1) din proiect asigură timpul necesar adaptării.</w:t>
            </w:r>
          </w:p>
        </w:tc>
      </w:tr>
      <w:tr w:rsidR="00527175" w:rsidRPr="00F74530" w14:paraId="6267D427" w14:textId="77777777" w:rsidTr="004274DD">
        <w:trPr>
          <w:trHeight w:val="52"/>
        </w:trPr>
        <w:tc>
          <w:tcPr>
            <w:tcW w:w="757" w:type="dxa"/>
          </w:tcPr>
          <w:p w14:paraId="7E328F56"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hAnsi="Times New Roman"/>
                <w:noProof/>
                <w:sz w:val="24"/>
                <w:szCs w:val="24"/>
                <w:lang w:val="ro-RO"/>
              </w:rPr>
              <w:lastRenderedPageBreak/>
              <w:t>3.6.</w:t>
            </w:r>
          </w:p>
        </w:tc>
        <w:tc>
          <w:tcPr>
            <w:tcW w:w="2261" w:type="dxa"/>
          </w:tcPr>
          <w:p w14:paraId="74B1CE6D" w14:textId="77777777" w:rsidR="00527175" w:rsidRPr="00F74530" w:rsidRDefault="00527175"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Impactul asupra mediului înconjurător</w:t>
            </w:r>
          </w:p>
        </w:tc>
        <w:tc>
          <w:tcPr>
            <w:tcW w:w="6616" w:type="dxa"/>
            <w:gridSpan w:val="9"/>
          </w:tcPr>
          <w:p w14:paraId="644912EC" w14:textId="0E7CD8C1" w:rsidR="00527175" w:rsidRPr="00F74530" w:rsidRDefault="008628E0" w:rsidP="00F74530">
            <w:pPr>
              <w:spacing w:after="0" w:line="276" w:lineRule="auto"/>
              <w:jc w:val="both"/>
              <w:rPr>
                <w:rFonts w:ascii="Times New Roman" w:hAnsi="Times New Roman"/>
                <w:noProof/>
                <w:color w:val="000000"/>
                <w:sz w:val="24"/>
                <w:szCs w:val="24"/>
                <w:lang w:val="ro-RO"/>
              </w:rPr>
            </w:pPr>
            <w:r w:rsidRPr="00F74530">
              <w:rPr>
                <w:rFonts w:ascii="Times New Roman" w:hAnsi="Times New Roman"/>
                <w:sz w:val="24"/>
                <w:szCs w:val="24"/>
                <w:lang w:val="ro-RO"/>
              </w:rPr>
              <w:t>Asigurarea trasabilității contribuie la creșterea ratei reale de reciclare a deșeurilor municipale și la îndeplinirea obiectivelor cantitative prevăzute la art. 17 alin. (5) din Ordonanța de urgență. Indirect, proiectul susține etapele superioare ale ierarhiei deșeurilor prevăzute la art. 4 din Ordonanța de urgență — prevenire, pregătire pentru reutilizare, reciclare.</w:t>
            </w:r>
          </w:p>
        </w:tc>
      </w:tr>
      <w:tr w:rsidR="00527175" w:rsidRPr="00F74530" w14:paraId="659C2038" w14:textId="77777777" w:rsidTr="004274DD">
        <w:trPr>
          <w:trHeight w:val="52"/>
        </w:trPr>
        <w:tc>
          <w:tcPr>
            <w:tcW w:w="757" w:type="dxa"/>
          </w:tcPr>
          <w:p w14:paraId="4442D600"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3.7.</w:t>
            </w:r>
          </w:p>
        </w:tc>
        <w:tc>
          <w:tcPr>
            <w:tcW w:w="2261" w:type="dxa"/>
          </w:tcPr>
          <w:p w14:paraId="5318A52D" w14:textId="77777777" w:rsidR="00527175" w:rsidRPr="00F74530" w:rsidRDefault="00527175"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Evaluarea costurilor şi beneficiilor din perspectiva inovării şi digitalizării</w:t>
            </w:r>
          </w:p>
        </w:tc>
        <w:tc>
          <w:tcPr>
            <w:tcW w:w="6616" w:type="dxa"/>
            <w:gridSpan w:val="9"/>
          </w:tcPr>
          <w:p w14:paraId="73858DC1" w14:textId="77777777" w:rsidR="00527175" w:rsidRPr="00F74530" w:rsidRDefault="00527175" w:rsidP="00F74530">
            <w:pPr>
              <w:spacing w:after="0" w:line="276" w:lineRule="auto"/>
              <w:jc w:val="both"/>
              <w:rPr>
                <w:rFonts w:ascii="Times New Roman" w:hAnsi="Times New Roman"/>
                <w:noProof/>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tc>
      </w:tr>
      <w:tr w:rsidR="00527175" w:rsidRPr="00F74530" w14:paraId="130577F1" w14:textId="77777777" w:rsidTr="004274DD">
        <w:trPr>
          <w:trHeight w:val="52"/>
        </w:trPr>
        <w:tc>
          <w:tcPr>
            <w:tcW w:w="757" w:type="dxa"/>
          </w:tcPr>
          <w:p w14:paraId="318CEEF8"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3.8.</w:t>
            </w:r>
          </w:p>
        </w:tc>
        <w:tc>
          <w:tcPr>
            <w:tcW w:w="2261" w:type="dxa"/>
          </w:tcPr>
          <w:p w14:paraId="06B865C8" w14:textId="77777777" w:rsidR="00527175" w:rsidRPr="00F74530" w:rsidRDefault="00527175"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Evaluarea costurilor şi beneficiilor din perspectiva dezvoltării durabile</w:t>
            </w:r>
          </w:p>
        </w:tc>
        <w:tc>
          <w:tcPr>
            <w:tcW w:w="6616" w:type="dxa"/>
            <w:gridSpan w:val="9"/>
          </w:tcPr>
          <w:p w14:paraId="6B255A48" w14:textId="77777777" w:rsidR="00527175" w:rsidRPr="00F74530" w:rsidRDefault="00527175" w:rsidP="00F74530">
            <w:pPr>
              <w:spacing w:after="0" w:line="276" w:lineRule="auto"/>
              <w:contextualSpacing/>
              <w:jc w:val="both"/>
              <w:rPr>
                <w:rFonts w:ascii="Times New Roman" w:eastAsia="Times New Roman" w:hAnsi="Times New Roman"/>
                <w:b/>
                <w:noProof/>
                <w:color w:val="000000"/>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tc>
      </w:tr>
      <w:tr w:rsidR="00527175" w:rsidRPr="00F74530" w14:paraId="2F46371D" w14:textId="77777777" w:rsidTr="004274DD">
        <w:trPr>
          <w:trHeight w:val="52"/>
        </w:trPr>
        <w:tc>
          <w:tcPr>
            <w:tcW w:w="757" w:type="dxa"/>
          </w:tcPr>
          <w:p w14:paraId="53D70EB9"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3.9.</w:t>
            </w:r>
          </w:p>
        </w:tc>
        <w:tc>
          <w:tcPr>
            <w:tcW w:w="2261" w:type="dxa"/>
          </w:tcPr>
          <w:p w14:paraId="7C5CB58E"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Alte informaţii</w:t>
            </w:r>
          </w:p>
        </w:tc>
        <w:tc>
          <w:tcPr>
            <w:tcW w:w="6616" w:type="dxa"/>
            <w:gridSpan w:val="9"/>
          </w:tcPr>
          <w:p w14:paraId="21494ACE" w14:textId="46318199" w:rsidR="00E0114B" w:rsidRPr="00F74530" w:rsidRDefault="00527175" w:rsidP="00F74530">
            <w:pPr>
              <w:spacing w:after="0" w:line="276" w:lineRule="auto"/>
              <w:contextualSpacing/>
              <w:jc w:val="both"/>
              <w:rPr>
                <w:rFonts w:ascii="Times New Roman" w:eastAsia="Times New Roman" w:hAnsi="Times New Roman"/>
                <w:b/>
                <w:noProof/>
                <w:color w:val="000000"/>
                <w:sz w:val="24"/>
                <w:szCs w:val="24"/>
                <w:lang w:val="ro-RO"/>
              </w:rPr>
            </w:pPr>
            <w:r w:rsidRPr="00F74530">
              <w:rPr>
                <w:rFonts w:ascii="Times New Roman" w:eastAsia="Times New Roman" w:hAnsi="Times New Roman"/>
                <w:noProof/>
                <w:color w:val="000000"/>
                <w:sz w:val="24"/>
                <w:szCs w:val="24"/>
                <w:lang w:val="ro-RO"/>
              </w:rPr>
              <w:t>Nu au fost identificate.</w:t>
            </w:r>
          </w:p>
          <w:p w14:paraId="0BAE0D70" w14:textId="070BD114" w:rsidR="00E0114B" w:rsidRPr="00F74530" w:rsidRDefault="00E0114B" w:rsidP="00F74530">
            <w:pPr>
              <w:spacing w:after="0" w:line="276" w:lineRule="auto"/>
              <w:contextualSpacing/>
              <w:jc w:val="both"/>
              <w:rPr>
                <w:rFonts w:ascii="Times New Roman" w:eastAsia="Times New Roman" w:hAnsi="Times New Roman"/>
                <w:b/>
                <w:noProof/>
                <w:color w:val="000000"/>
                <w:sz w:val="24"/>
                <w:szCs w:val="24"/>
                <w:lang w:val="ro-RO"/>
              </w:rPr>
            </w:pPr>
          </w:p>
        </w:tc>
      </w:tr>
      <w:tr w:rsidR="00527175" w:rsidRPr="00F74530" w14:paraId="575A9032" w14:textId="77777777" w:rsidTr="004274DD">
        <w:trPr>
          <w:trHeight w:val="52"/>
        </w:trPr>
        <w:tc>
          <w:tcPr>
            <w:tcW w:w="9634" w:type="dxa"/>
            <w:gridSpan w:val="11"/>
          </w:tcPr>
          <w:p w14:paraId="78B10E01" w14:textId="22E3B0B4" w:rsidR="00527175" w:rsidRPr="00F74530" w:rsidRDefault="00527175"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Secţiunea a 4-a</w:t>
            </w:r>
          </w:p>
          <w:p w14:paraId="4E9F7BBB" w14:textId="50372EB4" w:rsidR="00D3011B" w:rsidRPr="00F74530" w:rsidRDefault="00527175"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Impactul financiar asupra bugetului general consolidat atât pe termen scurt, pentru anul curent, cât şi pe termen lung (pe 5 ani), inclusiv informaţii cu privire la cheltuieli şi venituri</w:t>
            </w:r>
          </w:p>
        </w:tc>
      </w:tr>
      <w:tr w:rsidR="00527175" w:rsidRPr="00F74530" w14:paraId="5A4AB042" w14:textId="77777777" w:rsidTr="004274DD">
        <w:trPr>
          <w:trHeight w:val="52"/>
        </w:trPr>
        <w:tc>
          <w:tcPr>
            <w:tcW w:w="9634" w:type="dxa"/>
            <w:gridSpan w:val="11"/>
          </w:tcPr>
          <w:p w14:paraId="485AB125"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 în mii lei (RON) – </w:t>
            </w:r>
          </w:p>
        </w:tc>
      </w:tr>
      <w:tr w:rsidR="00527175" w:rsidRPr="00F74530" w14:paraId="38CF0D41" w14:textId="77777777" w:rsidTr="004274DD">
        <w:trPr>
          <w:trHeight w:val="45"/>
        </w:trPr>
        <w:tc>
          <w:tcPr>
            <w:tcW w:w="4179" w:type="dxa"/>
            <w:gridSpan w:val="3"/>
            <w:vAlign w:val="center"/>
          </w:tcPr>
          <w:p w14:paraId="7E58A951"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Indicatori</w:t>
            </w:r>
          </w:p>
        </w:tc>
        <w:tc>
          <w:tcPr>
            <w:tcW w:w="1898" w:type="dxa"/>
            <w:gridSpan w:val="3"/>
            <w:vAlign w:val="center"/>
          </w:tcPr>
          <w:p w14:paraId="2A64845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Anul</w:t>
            </w:r>
          </w:p>
          <w:p w14:paraId="6D3681AE"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curent</w:t>
            </w:r>
          </w:p>
        </w:tc>
        <w:tc>
          <w:tcPr>
            <w:tcW w:w="1915" w:type="dxa"/>
            <w:gridSpan w:val="4"/>
            <w:vAlign w:val="center"/>
          </w:tcPr>
          <w:p w14:paraId="5F19DC42"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Urmatorii patru ani</w:t>
            </w:r>
          </w:p>
        </w:tc>
        <w:tc>
          <w:tcPr>
            <w:tcW w:w="1642" w:type="dxa"/>
            <w:vAlign w:val="center"/>
          </w:tcPr>
          <w:p w14:paraId="7E23A71D"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Media pe cinci ani</w:t>
            </w:r>
          </w:p>
        </w:tc>
      </w:tr>
      <w:tr w:rsidR="00527175" w:rsidRPr="00F74530" w14:paraId="46BB4DA4" w14:textId="77777777" w:rsidTr="004274DD">
        <w:trPr>
          <w:trHeight w:val="45"/>
        </w:trPr>
        <w:tc>
          <w:tcPr>
            <w:tcW w:w="4179" w:type="dxa"/>
            <w:gridSpan w:val="3"/>
            <w:vAlign w:val="center"/>
          </w:tcPr>
          <w:p w14:paraId="7A3C4B0E"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1</w:t>
            </w:r>
          </w:p>
        </w:tc>
        <w:tc>
          <w:tcPr>
            <w:tcW w:w="1898" w:type="dxa"/>
            <w:gridSpan w:val="3"/>
            <w:vAlign w:val="center"/>
          </w:tcPr>
          <w:p w14:paraId="76184D1F"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2</w:t>
            </w:r>
          </w:p>
        </w:tc>
        <w:tc>
          <w:tcPr>
            <w:tcW w:w="478" w:type="dxa"/>
            <w:vAlign w:val="center"/>
          </w:tcPr>
          <w:p w14:paraId="1D5393FA"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3</w:t>
            </w:r>
          </w:p>
        </w:tc>
        <w:tc>
          <w:tcPr>
            <w:tcW w:w="479" w:type="dxa"/>
            <w:vAlign w:val="center"/>
          </w:tcPr>
          <w:p w14:paraId="2A609F1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w:t>
            </w:r>
          </w:p>
        </w:tc>
        <w:tc>
          <w:tcPr>
            <w:tcW w:w="479" w:type="dxa"/>
            <w:vAlign w:val="center"/>
          </w:tcPr>
          <w:p w14:paraId="57C3CA7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w:t>
            </w:r>
          </w:p>
        </w:tc>
        <w:tc>
          <w:tcPr>
            <w:tcW w:w="479" w:type="dxa"/>
            <w:vAlign w:val="center"/>
          </w:tcPr>
          <w:p w14:paraId="0D3BD96E"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6</w:t>
            </w:r>
          </w:p>
        </w:tc>
        <w:tc>
          <w:tcPr>
            <w:tcW w:w="1642" w:type="dxa"/>
            <w:vAlign w:val="center"/>
          </w:tcPr>
          <w:p w14:paraId="4C11176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7</w:t>
            </w:r>
          </w:p>
        </w:tc>
      </w:tr>
      <w:tr w:rsidR="00527175" w:rsidRPr="00F74530" w14:paraId="521913A4" w14:textId="77777777" w:rsidTr="004274DD">
        <w:trPr>
          <w:trHeight w:val="45"/>
        </w:trPr>
        <w:tc>
          <w:tcPr>
            <w:tcW w:w="4179" w:type="dxa"/>
            <w:gridSpan w:val="3"/>
            <w:vAlign w:val="center"/>
          </w:tcPr>
          <w:p w14:paraId="1A9E5F27"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4.1. Modificări ale veniturilor bugetare, plus/minus, din care:</w:t>
            </w:r>
          </w:p>
        </w:tc>
        <w:tc>
          <w:tcPr>
            <w:tcW w:w="1898" w:type="dxa"/>
            <w:gridSpan w:val="3"/>
            <w:vAlign w:val="center"/>
          </w:tcPr>
          <w:p w14:paraId="48B5151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65F6D67D"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98F700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1EC95E43"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E32002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4F3C29B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6065E766" w14:textId="77777777" w:rsidTr="004274DD">
        <w:trPr>
          <w:trHeight w:val="45"/>
        </w:trPr>
        <w:tc>
          <w:tcPr>
            <w:tcW w:w="4179" w:type="dxa"/>
            <w:gridSpan w:val="3"/>
            <w:vAlign w:val="center"/>
          </w:tcPr>
          <w:p w14:paraId="27136354"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a) buget de stat, din acesta:</w:t>
            </w:r>
          </w:p>
          <w:p w14:paraId="2DD664CF"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 impozit pe profit</w:t>
            </w:r>
          </w:p>
          <w:p w14:paraId="14E62421"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(ii) impozit pe venit</w:t>
            </w:r>
          </w:p>
        </w:tc>
        <w:tc>
          <w:tcPr>
            <w:tcW w:w="1898" w:type="dxa"/>
            <w:gridSpan w:val="3"/>
            <w:vAlign w:val="center"/>
          </w:tcPr>
          <w:p w14:paraId="5C04D20A"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p>
        </w:tc>
        <w:tc>
          <w:tcPr>
            <w:tcW w:w="478" w:type="dxa"/>
            <w:vAlign w:val="center"/>
          </w:tcPr>
          <w:p w14:paraId="3FFAB17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F77B273"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7E05956E"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37428AE2"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0ED6C590"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786D8EC0" w14:textId="77777777" w:rsidTr="004274DD">
        <w:trPr>
          <w:trHeight w:val="45"/>
        </w:trPr>
        <w:tc>
          <w:tcPr>
            <w:tcW w:w="4179" w:type="dxa"/>
            <w:gridSpan w:val="3"/>
            <w:vAlign w:val="center"/>
          </w:tcPr>
          <w:p w14:paraId="406B15D6"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b) bugete locale</w:t>
            </w:r>
          </w:p>
          <w:p w14:paraId="67318E27"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 impozit pe profit</w:t>
            </w:r>
          </w:p>
        </w:tc>
        <w:tc>
          <w:tcPr>
            <w:tcW w:w="1898" w:type="dxa"/>
            <w:gridSpan w:val="3"/>
            <w:vAlign w:val="center"/>
          </w:tcPr>
          <w:p w14:paraId="73275F1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48779E91"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300AF6E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FAF71D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78AED7C2"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66983672"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61150EF6" w14:textId="77777777" w:rsidTr="004274DD">
        <w:trPr>
          <w:trHeight w:val="45"/>
        </w:trPr>
        <w:tc>
          <w:tcPr>
            <w:tcW w:w="4179" w:type="dxa"/>
            <w:gridSpan w:val="3"/>
            <w:vAlign w:val="center"/>
          </w:tcPr>
          <w:p w14:paraId="1E0A45B3"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c) bugetul asigurărilor sociale de stat:</w:t>
            </w:r>
          </w:p>
          <w:p w14:paraId="0B20B7E0"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 contribuţii de asigurări</w:t>
            </w:r>
          </w:p>
        </w:tc>
        <w:tc>
          <w:tcPr>
            <w:tcW w:w="1898" w:type="dxa"/>
            <w:gridSpan w:val="3"/>
            <w:vAlign w:val="center"/>
          </w:tcPr>
          <w:p w14:paraId="013AC9A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47576EED"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04750B8"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AF060E2"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2C1A73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5A393E3A"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77B4ED10" w14:textId="77777777" w:rsidTr="004274DD">
        <w:trPr>
          <w:trHeight w:val="45"/>
        </w:trPr>
        <w:tc>
          <w:tcPr>
            <w:tcW w:w="4179" w:type="dxa"/>
            <w:gridSpan w:val="3"/>
            <w:vAlign w:val="center"/>
          </w:tcPr>
          <w:p w14:paraId="7FEBE6AE"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d) alte tipuri de venituri</w:t>
            </w:r>
          </w:p>
          <w:p w14:paraId="17FD8FF5"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(se va menționa natura acestora)</w:t>
            </w:r>
          </w:p>
        </w:tc>
        <w:tc>
          <w:tcPr>
            <w:tcW w:w="1898" w:type="dxa"/>
            <w:gridSpan w:val="3"/>
            <w:vAlign w:val="center"/>
          </w:tcPr>
          <w:p w14:paraId="75886F7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0E28EA52"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2B2075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12D11769"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7A7BD97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7C522DD3"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7267DA40" w14:textId="77777777" w:rsidTr="004274DD">
        <w:trPr>
          <w:trHeight w:val="45"/>
        </w:trPr>
        <w:tc>
          <w:tcPr>
            <w:tcW w:w="4179" w:type="dxa"/>
            <w:gridSpan w:val="3"/>
            <w:vAlign w:val="center"/>
          </w:tcPr>
          <w:p w14:paraId="72F770ED"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4.2. Modificări ale cheltuielilor bugetare, plus/minus, din care:</w:t>
            </w:r>
          </w:p>
        </w:tc>
        <w:tc>
          <w:tcPr>
            <w:tcW w:w="1898" w:type="dxa"/>
            <w:gridSpan w:val="3"/>
            <w:vAlign w:val="center"/>
          </w:tcPr>
          <w:p w14:paraId="19B4268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2F36578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2C83A52"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66722DAF"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54F80DE"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160FACE0"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2B4DC3DF" w14:textId="77777777" w:rsidTr="004274DD">
        <w:trPr>
          <w:trHeight w:val="45"/>
        </w:trPr>
        <w:tc>
          <w:tcPr>
            <w:tcW w:w="4179" w:type="dxa"/>
            <w:gridSpan w:val="3"/>
            <w:vAlign w:val="center"/>
          </w:tcPr>
          <w:p w14:paraId="152CB107"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a) buget de stat, din acesta:</w:t>
            </w:r>
          </w:p>
          <w:p w14:paraId="6E90230C"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 cheltuieli de personal</w:t>
            </w:r>
          </w:p>
          <w:p w14:paraId="2A9D6478"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(ii) bunuri şi servicii</w:t>
            </w:r>
          </w:p>
        </w:tc>
        <w:tc>
          <w:tcPr>
            <w:tcW w:w="1898" w:type="dxa"/>
            <w:gridSpan w:val="3"/>
            <w:vAlign w:val="center"/>
          </w:tcPr>
          <w:p w14:paraId="732412A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49EC8050"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1103496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62444DE"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7872DEE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69DF019D"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0A75F63D" w14:textId="77777777" w:rsidTr="004274DD">
        <w:trPr>
          <w:trHeight w:val="45"/>
        </w:trPr>
        <w:tc>
          <w:tcPr>
            <w:tcW w:w="4179" w:type="dxa"/>
            <w:gridSpan w:val="3"/>
            <w:vAlign w:val="center"/>
          </w:tcPr>
          <w:p w14:paraId="616001B3"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b) bugete locale:</w:t>
            </w:r>
          </w:p>
          <w:p w14:paraId="3B2E1901"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 cheltuieli de personal</w:t>
            </w:r>
          </w:p>
          <w:p w14:paraId="72820132"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(ii) bunuri şi servicii</w:t>
            </w:r>
          </w:p>
        </w:tc>
        <w:tc>
          <w:tcPr>
            <w:tcW w:w="1898" w:type="dxa"/>
            <w:gridSpan w:val="3"/>
            <w:vAlign w:val="center"/>
          </w:tcPr>
          <w:p w14:paraId="0074C019"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19FA25F9"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C8F7F5A"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1815600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7118A7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46FA46A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0005C62C" w14:textId="77777777" w:rsidTr="004274DD">
        <w:trPr>
          <w:trHeight w:val="45"/>
        </w:trPr>
        <w:tc>
          <w:tcPr>
            <w:tcW w:w="4179" w:type="dxa"/>
            <w:gridSpan w:val="3"/>
            <w:vAlign w:val="center"/>
          </w:tcPr>
          <w:p w14:paraId="6A74315D"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c) bugetul asigurărilor sociale de stat:</w:t>
            </w:r>
          </w:p>
          <w:p w14:paraId="0696A743"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 cheltuieli de personal</w:t>
            </w:r>
          </w:p>
          <w:p w14:paraId="5C9B6D16"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lastRenderedPageBreak/>
              <w:t>(ii) bunuri şi servicii</w:t>
            </w:r>
          </w:p>
        </w:tc>
        <w:tc>
          <w:tcPr>
            <w:tcW w:w="1898" w:type="dxa"/>
            <w:gridSpan w:val="3"/>
            <w:vAlign w:val="center"/>
          </w:tcPr>
          <w:p w14:paraId="51B4C43A"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1ED8B9BE"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7B5A6B3D"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6D0EC5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8086029"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645DDD7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1CC8ED4A" w14:textId="77777777" w:rsidTr="004274DD">
        <w:trPr>
          <w:trHeight w:val="45"/>
        </w:trPr>
        <w:tc>
          <w:tcPr>
            <w:tcW w:w="4179" w:type="dxa"/>
            <w:gridSpan w:val="3"/>
            <w:vAlign w:val="center"/>
          </w:tcPr>
          <w:p w14:paraId="78903257"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d) alte tipuri de cheltuieli</w:t>
            </w:r>
          </w:p>
          <w:p w14:paraId="4EE821D3"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(se va menționa natura acestora)</w:t>
            </w:r>
          </w:p>
        </w:tc>
        <w:tc>
          <w:tcPr>
            <w:tcW w:w="1898" w:type="dxa"/>
            <w:gridSpan w:val="3"/>
            <w:vAlign w:val="center"/>
          </w:tcPr>
          <w:p w14:paraId="3A668AC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0AE68FB8"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A244BC0"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6D7AF0A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06ED95D"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57957C28"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42485E1D" w14:textId="77777777" w:rsidTr="004274DD">
        <w:trPr>
          <w:trHeight w:val="45"/>
        </w:trPr>
        <w:tc>
          <w:tcPr>
            <w:tcW w:w="4179" w:type="dxa"/>
            <w:gridSpan w:val="3"/>
            <w:vAlign w:val="center"/>
          </w:tcPr>
          <w:p w14:paraId="6343F2CB"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4.3. Impact financiar, plus/minus, din care:</w:t>
            </w:r>
          </w:p>
        </w:tc>
        <w:tc>
          <w:tcPr>
            <w:tcW w:w="1898" w:type="dxa"/>
            <w:gridSpan w:val="3"/>
            <w:vAlign w:val="center"/>
          </w:tcPr>
          <w:p w14:paraId="40C6377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0F4A319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C5D162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A283ED3"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4FED7E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7FAD9C0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2C3B1804" w14:textId="77777777" w:rsidTr="004274DD">
        <w:trPr>
          <w:trHeight w:val="45"/>
        </w:trPr>
        <w:tc>
          <w:tcPr>
            <w:tcW w:w="4179" w:type="dxa"/>
            <w:gridSpan w:val="3"/>
            <w:vAlign w:val="center"/>
          </w:tcPr>
          <w:p w14:paraId="6D4F4BC9"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a) buget de stat</w:t>
            </w:r>
          </w:p>
        </w:tc>
        <w:tc>
          <w:tcPr>
            <w:tcW w:w="1898" w:type="dxa"/>
            <w:gridSpan w:val="3"/>
            <w:vAlign w:val="center"/>
          </w:tcPr>
          <w:p w14:paraId="161B424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2ECA52C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2D6132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9A992DE"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973FE01"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01E43E6A"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36365923" w14:textId="77777777" w:rsidTr="004274DD">
        <w:trPr>
          <w:trHeight w:val="45"/>
        </w:trPr>
        <w:tc>
          <w:tcPr>
            <w:tcW w:w="4179" w:type="dxa"/>
            <w:gridSpan w:val="3"/>
            <w:vAlign w:val="center"/>
          </w:tcPr>
          <w:p w14:paraId="72150B13"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b) bugete locale</w:t>
            </w:r>
          </w:p>
        </w:tc>
        <w:tc>
          <w:tcPr>
            <w:tcW w:w="1898" w:type="dxa"/>
            <w:gridSpan w:val="3"/>
            <w:vAlign w:val="center"/>
          </w:tcPr>
          <w:p w14:paraId="2C56BC88"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168B852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17FD12F"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1F88AB6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924522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61708F4D"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3106B0F9" w14:textId="77777777" w:rsidTr="004274DD">
        <w:trPr>
          <w:trHeight w:val="45"/>
        </w:trPr>
        <w:tc>
          <w:tcPr>
            <w:tcW w:w="4179" w:type="dxa"/>
            <w:gridSpan w:val="3"/>
            <w:vAlign w:val="center"/>
          </w:tcPr>
          <w:p w14:paraId="5E065739"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4.4. Propuneri pentru acoperirea creşterii cheltuielilor bugetare</w:t>
            </w:r>
          </w:p>
        </w:tc>
        <w:tc>
          <w:tcPr>
            <w:tcW w:w="1898" w:type="dxa"/>
            <w:gridSpan w:val="3"/>
            <w:vAlign w:val="center"/>
          </w:tcPr>
          <w:p w14:paraId="344D18C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0CBD23F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F18F2F3"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B2D2DAC"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F3DC758"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60156D1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02D01031" w14:textId="77777777" w:rsidTr="004274DD">
        <w:trPr>
          <w:trHeight w:val="45"/>
        </w:trPr>
        <w:tc>
          <w:tcPr>
            <w:tcW w:w="4179" w:type="dxa"/>
            <w:gridSpan w:val="3"/>
            <w:vAlign w:val="center"/>
          </w:tcPr>
          <w:p w14:paraId="68BFFAF9"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4.5. Propuneri pentru a compensa reducerea veniturilor bugetare</w:t>
            </w:r>
          </w:p>
        </w:tc>
        <w:tc>
          <w:tcPr>
            <w:tcW w:w="1898" w:type="dxa"/>
            <w:gridSpan w:val="3"/>
            <w:vAlign w:val="center"/>
          </w:tcPr>
          <w:p w14:paraId="280C1D5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73CE683F"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0822A5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2C9EB2A8"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F389E36"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1A1A6CE3"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741BA07C" w14:textId="77777777" w:rsidTr="004274DD">
        <w:trPr>
          <w:trHeight w:val="45"/>
        </w:trPr>
        <w:tc>
          <w:tcPr>
            <w:tcW w:w="4179" w:type="dxa"/>
            <w:gridSpan w:val="3"/>
            <w:vAlign w:val="center"/>
          </w:tcPr>
          <w:p w14:paraId="0309E579"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4.6. Calcule detaliate privind fundamentarea modificărilor veniturilor şi/sau cheltuielilor bugetare</w:t>
            </w:r>
          </w:p>
        </w:tc>
        <w:tc>
          <w:tcPr>
            <w:tcW w:w="1898" w:type="dxa"/>
            <w:gridSpan w:val="3"/>
            <w:vAlign w:val="center"/>
          </w:tcPr>
          <w:p w14:paraId="2DB4F2E1"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11D67AC0"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6C2FE1DA"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3F85AB1"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69BBDA64"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66B620F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57708B4F" w14:textId="77777777" w:rsidTr="004274DD">
        <w:trPr>
          <w:trHeight w:val="45"/>
        </w:trPr>
        <w:tc>
          <w:tcPr>
            <w:tcW w:w="4179" w:type="dxa"/>
            <w:gridSpan w:val="3"/>
            <w:vAlign w:val="center"/>
          </w:tcPr>
          <w:p w14:paraId="62E89F71"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4.7. Prezentarea, în cazul proiectelor de acte normative a căror adoptare atrage majorarea cheltuielilor bugetare, a următoarelor documente:</w:t>
            </w:r>
          </w:p>
        </w:tc>
        <w:tc>
          <w:tcPr>
            <w:tcW w:w="1898" w:type="dxa"/>
            <w:gridSpan w:val="3"/>
            <w:vAlign w:val="center"/>
          </w:tcPr>
          <w:p w14:paraId="1139AF8F"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6D10BDF0"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36539AD9"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06837A5"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792B9359"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17C0B871"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527175" w:rsidRPr="00F74530" w14:paraId="412A3B16" w14:textId="77777777" w:rsidTr="004274DD">
        <w:trPr>
          <w:trHeight w:val="45"/>
        </w:trPr>
        <w:tc>
          <w:tcPr>
            <w:tcW w:w="4179" w:type="dxa"/>
            <w:gridSpan w:val="3"/>
            <w:vAlign w:val="center"/>
          </w:tcPr>
          <w:p w14:paraId="139D41C0"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a) fişa financiară prevăzută la art. 15 din Legea nr. 500/2002 privind finanţele publice, cu modificările şi completările ulterioare, însoţită de ipotezele şi metodologia de calcul utilizate;</w:t>
            </w:r>
          </w:p>
          <w:p w14:paraId="12F01362"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98" w:type="dxa"/>
            <w:gridSpan w:val="3"/>
            <w:vAlign w:val="center"/>
          </w:tcPr>
          <w:p w14:paraId="1F2445A9"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8" w:type="dxa"/>
            <w:vAlign w:val="center"/>
          </w:tcPr>
          <w:p w14:paraId="4D911A91"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52B51307"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07A7D208"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479" w:type="dxa"/>
            <w:vAlign w:val="center"/>
          </w:tcPr>
          <w:p w14:paraId="4C313241"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c>
          <w:tcPr>
            <w:tcW w:w="1642" w:type="dxa"/>
            <w:vAlign w:val="center"/>
          </w:tcPr>
          <w:p w14:paraId="1661CE0B" w14:textId="77777777" w:rsidR="00527175" w:rsidRPr="00F74530" w:rsidRDefault="00527175" w:rsidP="00F74530">
            <w:pPr>
              <w:tabs>
                <w:tab w:val="left" w:pos="720"/>
              </w:tabs>
              <w:spacing w:after="0" w:line="276" w:lineRule="auto"/>
              <w:jc w:val="both"/>
              <w:rPr>
                <w:rFonts w:ascii="Times New Roman" w:eastAsia="Times New Roman" w:hAnsi="Times New Roman"/>
                <w:noProof/>
                <w:color w:val="000000"/>
                <w:sz w:val="24"/>
                <w:szCs w:val="24"/>
                <w:lang w:val="ro-RO"/>
              </w:rPr>
            </w:pPr>
          </w:p>
        </w:tc>
      </w:tr>
      <w:tr w:rsidR="009110AB" w:rsidRPr="00F74530" w14:paraId="69F0DA42" w14:textId="77777777" w:rsidTr="00875CB4">
        <w:trPr>
          <w:trHeight w:val="45"/>
        </w:trPr>
        <w:tc>
          <w:tcPr>
            <w:tcW w:w="4179" w:type="dxa"/>
            <w:gridSpan w:val="3"/>
            <w:vAlign w:val="center"/>
          </w:tcPr>
          <w:p w14:paraId="0C299296" w14:textId="700783D5" w:rsidR="009110AB" w:rsidRPr="00F74530" w:rsidRDefault="009110AB"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4.8. Alte informații</w:t>
            </w:r>
          </w:p>
        </w:tc>
        <w:tc>
          <w:tcPr>
            <w:tcW w:w="5455" w:type="dxa"/>
            <w:gridSpan w:val="8"/>
            <w:vAlign w:val="center"/>
          </w:tcPr>
          <w:p w14:paraId="470A1C6A" w14:textId="0EEC1F7A" w:rsidR="009110AB" w:rsidRPr="00F74530" w:rsidRDefault="009110AB" w:rsidP="00F74530">
            <w:pPr>
              <w:tabs>
                <w:tab w:val="left" w:pos="720"/>
              </w:tabs>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Nu au fost identificate. </w:t>
            </w:r>
          </w:p>
        </w:tc>
      </w:tr>
      <w:tr w:rsidR="00527175" w:rsidRPr="00F74530" w14:paraId="366948FD" w14:textId="77777777" w:rsidTr="004274DD">
        <w:trPr>
          <w:trHeight w:val="45"/>
        </w:trPr>
        <w:tc>
          <w:tcPr>
            <w:tcW w:w="9634" w:type="dxa"/>
            <w:gridSpan w:val="11"/>
          </w:tcPr>
          <w:p w14:paraId="7B35EC4E" w14:textId="0A031F73" w:rsidR="00527175" w:rsidRPr="00F74530" w:rsidRDefault="00527175"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Secţiunea a 5-a</w:t>
            </w:r>
          </w:p>
          <w:p w14:paraId="3CFFA4FD" w14:textId="5BB932F8" w:rsidR="00F73CE2" w:rsidRPr="00F74530" w:rsidRDefault="00527175" w:rsidP="00F74530">
            <w:pPr>
              <w:spacing w:after="0" w:line="276" w:lineRule="auto"/>
              <w:contextualSpacing/>
              <w:jc w:val="center"/>
              <w:rPr>
                <w:rFonts w:ascii="Times New Roman" w:eastAsia="Times New Roman" w:hAnsi="Times New Roman"/>
                <w:iCs/>
                <w:noProof/>
                <w:color w:val="000000"/>
                <w:sz w:val="24"/>
                <w:szCs w:val="24"/>
                <w:lang w:val="ro-RO"/>
              </w:rPr>
            </w:pPr>
            <w:r w:rsidRPr="00F74530">
              <w:rPr>
                <w:rFonts w:ascii="Times New Roman" w:eastAsia="Times New Roman" w:hAnsi="Times New Roman"/>
                <w:b/>
                <w:iCs/>
                <w:noProof/>
                <w:color w:val="000000"/>
                <w:sz w:val="24"/>
                <w:szCs w:val="24"/>
                <w:lang w:val="ro-RO"/>
              </w:rPr>
              <w:t>Efectele proiectului de act normativ asupra legislaţiei în vigoare</w:t>
            </w:r>
          </w:p>
        </w:tc>
      </w:tr>
      <w:tr w:rsidR="00527175" w:rsidRPr="00F74530" w14:paraId="69A8AC20" w14:textId="77777777" w:rsidTr="004274DD">
        <w:trPr>
          <w:trHeight w:val="45"/>
        </w:trPr>
        <w:tc>
          <w:tcPr>
            <w:tcW w:w="757" w:type="dxa"/>
          </w:tcPr>
          <w:p w14:paraId="0021EBE7"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5.1.</w:t>
            </w:r>
          </w:p>
        </w:tc>
        <w:tc>
          <w:tcPr>
            <w:tcW w:w="3422" w:type="dxa"/>
            <w:gridSpan w:val="2"/>
          </w:tcPr>
          <w:p w14:paraId="3063B62A"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
                <w:iCs/>
                <w:noProof/>
                <w:color w:val="000000"/>
                <w:sz w:val="24"/>
                <w:szCs w:val="24"/>
                <w:lang w:val="ro-RO"/>
              </w:rPr>
            </w:pPr>
            <w:r w:rsidRPr="00F74530">
              <w:rPr>
                <w:rFonts w:ascii="Times New Roman" w:eastAsia="Times New Roman" w:hAnsi="Times New Roman"/>
                <w:iCs/>
                <w:noProof/>
                <w:color w:val="000000"/>
                <w:sz w:val="24"/>
                <w:szCs w:val="24"/>
                <w:lang w:val="ro-RO"/>
              </w:rPr>
              <w:t>Măsuri normative necesare pentru aplicarea prevederilor proiectului de act normativ</w:t>
            </w:r>
          </w:p>
        </w:tc>
        <w:tc>
          <w:tcPr>
            <w:tcW w:w="5455" w:type="dxa"/>
            <w:gridSpan w:val="8"/>
          </w:tcPr>
          <w:p w14:paraId="0CB6A6FA" w14:textId="69C4B076" w:rsidR="00527175" w:rsidRPr="00F74530" w:rsidRDefault="00B47833" w:rsidP="00F74530">
            <w:pPr>
              <w:pStyle w:val="BodyText"/>
              <w:tabs>
                <w:tab w:val="clear" w:pos="720"/>
                <w:tab w:val="left" w:pos="648"/>
              </w:tabs>
              <w:spacing w:after="120" w:line="276" w:lineRule="auto"/>
              <w:rPr>
                <w:rFonts w:ascii="Times New Roman" w:hAnsi="Times New Roman"/>
                <w:szCs w:val="24"/>
              </w:rPr>
            </w:pPr>
            <w:r w:rsidRPr="00F74530">
              <w:rPr>
                <w:rFonts w:ascii="Times New Roman" w:hAnsi="Times New Roman"/>
                <w:szCs w:val="24"/>
              </w:rPr>
              <w:t>Proiectul de act normativ nu se referă la acest subiect.</w:t>
            </w:r>
          </w:p>
        </w:tc>
      </w:tr>
      <w:tr w:rsidR="00527175" w:rsidRPr="00F74530" w14:paraId="71CD4DFB" w14:textId="77777777" w:rsidTr="004274DD">
        <w:trPr>
          <w:trHeight w:val="45"/>
        </w:trPr>
        <w:tc>
          <w:tcPr>
            <w:tcW w:w="757" w:type="dxa"/>
          </w:tcPr>
          <w:p w14:paraId="06E02883"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5.2.</w:t>
            </w:r>
          </w:p>
        </w:tc>
        <w:tc>
          <w:tcPr>
            <w:tcW w:w="3422" w:type="dxa"/>
            <w:gridSpan w:val="2"/>
          </w:tcPr>
          <w:p w14:paraId="607ED7BE"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Impactul asupra legislaţiei în domeniul achiziţiilor publice</w:t>
            </w:r>
          </w:p>
        </w:tc>
        <w:tc>
          <w:tcPr>
            <w:tcW w:w="5455" w:type="dxa"/>
            <w:gridSpan w:val="8"/>
          </w:tcPr>
          <w:p w14:paraId="354CB912" w14:textId="77777777" w:rsidR="00527175" w:rsidRPr="00F74530" w:rsidRDefault="00527175" w:rsidP="00F74530">
            <w:pPr>
              <w:spacing w:after="0" w:line="276" w:lineRule="auto"/>
              <w:jc w:val="both"/>
              <w:rPr>
                <w:rFonts w:ascii="Times New Roman" w:hAnsi="Times New Roman"/>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p w14:paraId="7D279007" w14:textId="77777777" w:rsidR="00D3011B" w:rsidRPr="00F74530" w:rsidRDefault="00D3011B" w:rsidP="00F74530">
            <w:pPr>
              <w:spacing w:after="0" w:line="276" w:lineRule="auto"/>
              <w:jc w:val="both"/>
              <w:rPr>
                <w:rFonts w:ascii="Times New Roman" w:hAnsi="Times New Roman"/>
                <w:noProof/>
                <w:color w:val="000000"/>
                <w:sz w:val="24"/>
                <w:szCs w:val="24"/>
                <w:lang w:val="ro-RO"/>
              </w:rPr>
            </w:pPr>
          </w:p>
        </w:tc>
      </w:tr>
      <w:tr w:rsidR="00527175" w:rsidRPr="00F74530" w14:paraId="63CA0E1B" w14:textId="77777777" w:rsidTr="004274DD">
        <w:trPr>
          <w:trHeight w:val="45"/>
        </w:trPr>
        <w:tc>
          <w:tcPr>
            <w:tcW w:w="757" w:type="dxa"/>
          </w:tcPr>
          <w:p w14:paraId="6C3596AF"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5.3.</w:t>
            </w:r>
          </w:p>
        </w:tc>
        <w:tc>
          <w:tcPr>
            <w:tcW w:w="3422" w:type="dxa"/>
            <w:gridSpan w:val="2"/>
          </w:tcPr>
          <w:p w14:paraId="5EE2A531"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Conformitatea proiectului de act normativ cu legislaţia UE (în cazul proiectelor ce transpun sau asigură aplicarea unor prevederi de drept UE).</w:t>
            </w:r>
          </w:p>
        </w:tc>
        <w:tc>
          <w:tcPr>
            <w:tcW w:w="5455" w:type="dxa"/>
            <w:gridSpan w:val="8"/>
          </w:tcPr>
          <w:p w14:paraId="37E83F1D" w14:textId="6CC0BAD8" w:rsidR="00527175" w:rsidRPr="00F74530" w:rsidRDefault="00B71DBA" w:rsidP="00F74530">
            <w:pPr>
              <w:spacing w:after="120" w:line="276" w:lineRule="auto"/>
              <w:jc w:val="both"/>
              <w:rPr>
                <w:rFonts w:ascii="Times New Roman" w:hAnsi="Times New Roman"/>
                <w:sz w:val="24"/>
                <w:szCs w:val="24"/>
                <w:lang w:val="ro-RO"/>
              </w:rPr>
            </w:pPr>
            <w:r w:rsidRPr="00F74530">
              <w:rPr>
                <w:rFonts w:ascii="Times New Roman" w:hAnsi="Times New Roman"/>
                <w:sz w:val="24"/>
                <w:szCs w:val="24"/>
                <w:lang w:val="ro-RO"/>
              </w:rPr>
              <w:t xml:space="preserve">Proiectul este compatibil cu prevederile Directivei 2008/98/CE a Parlamentului European și a Consiliului privind deșeurile, transpusă prin Ordonanța de urgență. Sistemul TRACE-DM contribuie la îndeplinirea obligațiilor de raportare către Comisia Europeană prevăzute de Decizia de punere în aplicare (UE) 2019/1.004. Proiectul susține obiectivele Regulamentului (UE) 2024/1252 privind materiile </w:t>
            </w:r>
            <w:r w:rsidRPr="00F74530">
              <w:rPr>
                <w:rFonts w:ascii="Times New Roman" w:hAnsi="Times New Roman"/>
                <w:sz w:val="24"/>
                <w:szCs w:val="24"/>
                <w:lang w:val="ro-RO"/>
              </w:rPr>
              <w:lastRenderedPageBreak/>
              <w:t>prime critice (CRMA) prin asigurarea trasabilității fluxurilor de deșeuri din care pot fi recuperate materii prime critice.</w:t>
            </w:r>
          </w:p>
        </w:tc>
      </w:tr>
      <w:tr w:rsidR="00527175" w:rsidRPr="00F74530" w14:paraId="3FF7C75B" w14:textId="77777777" w:rsidTr="004274DD">
        <w:trPr>
          <w:trHeight w:val="45"/>
        </w:trPr>
        <w:tc>
          <w:tcPr>
            <w:tcW w:w="757" w:type="dxa"/>
          </w:tcPr>
          <w:p w14:paraId="598C0217"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lastRenderedPageBreak/>
              <w:t>5.3.1.</w:t>
            </w:r>
          </w:p>
        </w:tc>
        <w:tc>
          <w:tcPr>
            <w:tcW w:w="3422" w:type="dxa"/>
            <w:gridSpan w:val="2"/>
          </w:tcPr>
          <w:p w14:paraId="6B3915DA"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Măsuri normative necesare transpunerii directivelor UE</w:t>
            </w:r>
          </w:p>
        </w:tc>
        <w:tc>
          <w:tcPr>
            <w:tcW w:w="5455" w:type="dxa"/>
            <w:gridSpan w:val="8"/>
          </w:tcPr>
          <w:p w14:paraId="672A0D6F" w14:textId="77777777" w:rsidR="00452B21" w:rsidRPr="00F74530" w:rsidRDefault="00527175" w:rsidP="00F74530">
            <w:pPr>
              <w:spacing w:after="0" w:line="276" w:lineRule="auto"/>
              <w:jc w:val="both"/>
              <w:rPr>
                <w:rFonts w:ascii="Times New Roman" w:hAnsi="Times New Roman"/>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p w14:paraId="14021B9B" w14:textId="77777777" w:rsidR="00D3011B" w:rsidRPr="00F74530" w:rsidRDefault="00D3011B" w:rsidP="00F74530">
            <w:pPr>
              <w:spacing w:after="0" w:line="276" w:lineRule="auto"/>
              <w:jc w:val="both"/>
              <w:rPr>
                <w:rFonts w:ascii="Times New Roman" w:eastAsia="Times New Roman" w:hAnsi="Times New Roman"/>
                <w:b/>
                <w:noProof/>
                <w:sz w:val="24"/>
                <w:szCs w:val="24"/>
                <w:lang w:val="ro-RO"/>
              </w:rPr>
            </w:pPr>
          </w:p>
          <w:p w14:paraId="080842CF" w14:textId="0CB6CB75" w:rsidR="00D3011B" w:rsidRPr="00F74530" w:rsidRDefault="00D3011B" w:rsidP="00F74530">
            <w:pPr>
              <w:spacing w:after="0" w:line="276" w:lineRule="auto"/>
              <w:jc w:val="both"/>
              <w:rPr>
                <w:rFonts w:ascii="Times New Roman" w:eastAsia="Times New Roman" w:hAnsi="Times New Roman"/>
                <w:b/>
                <w:noProof/>
                <w:color w:val="000000"/>
                <w:sz w:val="24"/>
                <w:szCs w:val="24"/>
                <w:lang w:val="ro-RO"/>
              </w:rPr>
            </w:pPr>
          </w:p>
        </w:tc>
      </w:tr>
      <w:tr w:rsidR="00527175" w:rsidRPr="00F74530" w14:paraId="0BF8FAC9" w14:textId="77777777" w:rsidTr="004274DD">
        <w:trPr>
          <w:trHeight w:val="45"/>
        </w:trPr>
        <w:tc>
          <w:tcPr>
            <w:tcW w:w="757" w:type="dxa"/>
          </w:tcPr>
          <w:p w14:paraId="1FA7C4D4"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5.3.2.</w:t>
            </w:r>
          </w:p>
        </w:tc>
        <w:tc>
          <w:tcPr>
            <w:tcW w:w="3422" w:type="dxa"/>
            <w:gridSpan w:val="2"/>
          </w:tcPr>
          <w:p w14:paraId="0236B988"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Măsuri normative necesare aplicării actelor legislative ale UE</w:t>
            </w:r>
          </w:p>
        </w:tc>
        <w:tc>
          <w:tcPr>
            <w:tcW w:w="5455" w:type="dxa"/>
            <w:gridSpan w:val="8"/>
          </w:tcPr>
          <w:p w14:paraId="087858F2" w14:textId="58AFE5B2" w:rsidR="00452B21" w:rsidRPr="00F74530" w:rsidRDefault="00527175" w:rsidP="00F74530">
            <w:pPr>
              <w:spacing w:after="0" w:line="276" w:lineRule="auto"/>
              <w:jc w:val="both"/>
              <w:rPr>
                <w:rFonts w:ascii="Times New Roman" w:eastAsia="Times New Roman" w:hAnsi="Times New Roman"/>
                <w:b/>
                <w:noProof/>
                <w:color w:val="000000"/>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tc>
      </w:tr>
      <w:tr w:rsidR="00527175" w:rsidRPr="00F74530" w14:paraId="20FBDBA3" w14:textId="77777777" w:rsidTr="004274DD">
        <w:trPr>
          <w:trHeight w:val="45"/>
        </w:trPr>
        <w:tc>
          <w:tcPr>
            <w:tcW w:w="757" w:type="dxa"/>
          </w:tcPr>
          <w:p w14:paraId="69B9A455"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5.4.</w:t>
            </w:r>
          </w:p>
        </w:tc>
        <w:tc>
          <w:tcPr>
            <w:tcW w:w="3422" w:type="dxa"/>
            <w:gridSpan w:val="2"/>
          </w:tcPr>
          <w:p w14:paraId="11E25216"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 xml:space="preserve">Hotărâri ale Curţii de Justiţie a Uniunii Europene </w:t>
            </w:r>
          </w:p>
        </w:tc>
        <w:tc>
          <w:tcPr>
            <w:tcW w:w="5455" w:type="dxa"/>
            <w:gridSpan w:val="8"/>
          </w:tcPr>
          <w:p w14:paraId="2CAA708F" w14:textId="32040516" w:rsidR="00CC2A0A" w:rsidRPr="00F74530" w:rsidRDefault="00527175" w:rsidP="00F74530">
            <w:pPr>
              <w:spacing w:after="0" w:line="276" w:lineRule="auto"/>
              <w:jc w:val="both"/>
              <w:rPr>
                <w:rFonts w:ascii="Times New Roman" w:hAnsi="Times New Roman"/>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p w14:paraId="3273D695" w14:textId="77777777" w:rsidR="00452B21" w:rsidRPr="00F74530" w:rsidRDefault="00452B21" w:rsidP="00F74530">
            <w:pPr>
              <w:spacing w:after="0" w:line="276" w:lineRule="auto"/>
              <w:jc w:val="both"/>
              <w:rPr>
                <w:rFonts w:ascii="Times New Roman" w:eastAsia="Times New Roman" w:hAnsi="Times New Roman"/>
                <w:b/>
                <w:noProof/>
                <w:color w:val="000000"/>
                <w:sz w:val="24"/>
                <w:szCs w:val="24"/>
                <w:lang w:val="ro-RO"/>
              </w:rPr>
            </w:pPr>
          </w:p>
        </w:tc>
      </w:tr>
      <w:tr w:rsidR="00527175" w:rsidRPr="00F74530" w14:paraId="7FFC3598" w14:textId="77777777" w:rsidTr="004274DD">
        <w:trPr>
          <w:trHeight w:val="252"/>
        </w:trPr>
        <w:tc>
          <w:tcPr>
            <w:tcW w:w="757" w:type="dxa"/>
          </w:tcPr>
          <w:p w14:paraId="7925B6F5"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5.5.</w:t>
            </w:r>
          </w:p>
        </w:tc>
        <w:tc>
          <w:tcPr>
            <w:tcW w:w="3422" w:type="dxa"/>
            <w:gridSpan w:val="2"/>
          </w:tcPr>
          <w:p w14:paraId="36E8BE6E"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 xml:space="preserve">Alte acte normative şi/sau documente internaţionale din care decurg angajamente asumate </w:t>
            </w:r>
          </w:p>
        </w:tc>
        <w:tc>
          <w:tcPr>
            <w:tcW w:w="5455" w:type="dxa"/>
            <w:gridSpan w:val="8"/>
          </w:tcPr>
          <w:p w14:paraId="19DE4B52" w14:textId="77777777" w:rsidR="00527175" w:rsidRPr="00F74530" w:rsidRDefault="00527175" w:rsidP="00F74530">
            <w:pPr>
              <w:spacing w:after="0" w:line="276" w:lineRule="auto"/>
              <w:contextualSpacing/>
              <w:jc w:val="both"/>
              <w:rPr>
                <w:rFonts w:ascii="Times New Roman" w:eastAsia="Times New Roman" w:hAnsi="Times New Roman"/>
                <w:b/>
                <w:noProof/>
                <w:color w:val="000000"/>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tc>
      </w:tr>
      <w:tr w:rsidR="00527175" w:rsidRPr="00F74530" w14:paraId="445C6843" w14:textId="77777777" w:rsidTr="004274DD">
        <w:trPr>
          <w:trHeight w:val="252"/>
        </w:trPr>
        <w:tc>
          <w:tcPr>
            <w:tcW w:w="757" w:type="dxa"/>
          </w:tcPr>
          <w:p w14:paraId="09A0F9E3"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5.6.</w:t>
            </w:r>
          </w:p>
        </w:tc>
        <w:tc>
          <w:tcPr>
            <w:tcW w:w="3422" w:type="dxa"/>
            <w:gridSpan w:val="2"/>
          </w:tcPr>
          <w:p w14:paraId="7F9F4211" w14:textId="77777777" w:rsidR="00527175" w:rsidRPr="00F74530" w:rsidRDefault="00527175"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Alte informaţii</w:t>
            </w:r>
          </w:p>
        </w:tc>
        <w:tc>
          <w:tcPr>
            <w:tcW w:w="5455" w:type="dxa"/>
            <w:gridSpan w:val="8"/>
          </w:tcPr>
          <w:p w14:paraId="1BB686C1" w14:textId="76538DA8" w:rsidR="00D3011B"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Nu au fost identificate.</w:t>
            </w:r>
          </w:p>
        </w:tc>
      </w:tr>
      <w:tr w:rsidR="00527175" w:rsidRPr="00F74530" w14:paraId="31A1B87E" w14:textId="77777777" w:rsidTr="004274DD">
        <w:trPr>
          <w:trHeight w:val="45"/>
        </w:trPr>
        <w:tc>
          <w:tcPr>
            <w:tcW w:w="9634" w:type="dxa"/>
            <w:gridSpan w:val="11"/>
            <w:vAlign w:val="center"/>
          </w:tcPr>
          <w:p w14:paraId="582A3482" w14:textId="38207519" w:rsidR="00527175" w:rsidRPr="00F74530" w:rsidRDefault="00527175"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Secţiunea a 6-a</w:t>
            </w:r>
          </w:p>
          <w:p w14:paraId="70F2E756" w14:textId="7E6E52E6" w:rsidR="00D3011B" w:rsidRPr="00F74530" w:rsidRDefault="00527175"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Consultările efectuate în vederea elaborării proiectului de act normativ</w:t>
            </w:r>
          </w:p>
        </w:tc>
      </w:tr>
      <w:tr w:rsidR="00527175" w:rsidRPr="00F74530" w14:paraId="673FD90E" w14:textId="77777777" w:rsidTr="004274DD">
        <w:trPr>
          <w:trHeight w:val="55"/>
        </w:trPr>
        <w:tc>
          <w:tcPr>
            <w:tcW w:w="757" w:type="dxa"/>
          </w:tcPr>
          <w:p w14:paraId="242F8321"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6.1.</w:t>
            </w:r>
          </w:p>
        </w:tc>
        <w:tc>
          <w:tcPr>
            <w:tcW w:w="3516" w:type="dxa"/>
            <w:gridSpan w:val="3"/>
          </w:tcPr>
          <w:p w14:paraId="4DC65C28" w14:textId="77777777" w:rsidR="00527175" w:rsidRPr="00F74530" w:rsidRDefault="00527175"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Informaţii privind neaplicarea procedurii de participare la elaborarea actelor normative</w:t>
            </w:r>
          </w:p>
        </w:tc>
        <w:tc>
          <w:tcPr>
            <w:tcW w:w="5361" w:type="dxa"/>
            <w:gridSpan w:val="7"/>
          </w:tcPr>
          <w:p w14:paraId="4DCA5C32" w14:textId="77777777" w:rsidR="00527175" w:rsidRPr="00F74530" w:rsidRDefault="00527175" w:rsidP="00F74530">
            <w:pPr>
              <w:spacing w:after="0" w:line="276" w:lineRule="auto"/>
              <w:jc w:val="both"/>
              <w:rPr>
                <w:rFonts w:ascii="Times New Roman" w:eastAsia="Times New Roman" w:hAnsi="Times New Roman"/>
                <w:noProof/>
                <w:color w:val="000000"/>
                <w:sz w:val="24"/>
                <w:szCs w:val="24"/>
                <w:highlight w:val="yellow"/>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tc>
      </w:tr>
      <w:tr w:rsidR="00EB37C9" w:rsidRPr="00F74530" w14:paraId="726C2133" w14:textId="77777777" w:rsidTr="004274DD">
        <w:trPr>
          <w:trHeight w:val="52"/>
        </w:trPr>
        <w:tc>
          <w:tcPr>
            <w:tcW w:w="757" w:type="dxa"/>
          </w:tcPr>
          <w:p w14:paraId="1776E7B3"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6.2.</w:t>
            </w:r>
          </w:p>
        </w:tc>
        <w:tc>
          <w:tcPr>
            <w:tcW w:w="3516" w:type="dxa"/>
            <w:gridSpan w:val="3"/>
          </w:tcPr>
          <w:p w14:paraId="47A369EF"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Informaţii privind procesul de consultare cu organizaţii neguvernamentale, institute de cercetare şi alte organisme implicate</w:t>
            </w:r>
          </w:p>
        </w:tc>
        <w:tc>
          <w:tcPr>
            <w:tcW w:w="5361" w:type="dxa"/>
            <w:gridSpan w:val="7"/>
          </w:tcPr>
          <w:p w14:paraId="6323E098" w14:textId="187D85B8" w:rsidR="00B4772D" w:rsidRPr="00F74530" w:rsidRDefault="00EB37C9" w:rsidP="00F74530">
            <w:pPr>
              <w:tabs>
                <w:tab w:val="left" w:pos="1980"/>
              </w:tabs>
              <w:spacing w:line="276" w:lineRule="auto"/>
              <w:jc w:val="both"/>
              <w:rPr>
                <w:rFonts w:ascii="Times New Roman" w:hAnsi="Times New Roman"/>
                <w:iCs/>
                <w:sz w:val="24"/>
                <w:szCs w:val="24"/>
                <w:lang w:val="ro-RO"/>
              </w:rPr>
            </w:pPr>
            <w:r w:rsidRPr="00F74530">
              <w:rPr>
                <w:rFonts w:ascii="Times New Roman" w:hAnsi="Times New Roman"/>
                <w:iCs/>
                <w:sz w:val="24"/>
                <w:szCs w:val="24"/>
                <w:lang w:val="ro-RO"/>
              </w:rPr>
              <w:t>Proiectul de act normativ nu se referă la acest subiect</w:t>
            </w:r>
            <w:r w:rsidRPr="00F74530">
              <w:rPr>
                <w:rFonts w:ascii="Times New Roman" w:hAnsi="Times New Roman"/>
                <w:sz w:val="24"/>
                <w:szCs w:val="24"/>
                <w:lang w:val="ro-RO"/>
              </w:rPr>
              <w:t>.</w:t>
            </w:r>
          </w:p>
        </w:tc>
      </w:tr>
      <w:tr w:rsidR="00EB37C9" w:rsidRPr="00F74530" w14:paraId="1A1D8823" w14:textId="77777777" w:rsidTr="004274DD">
        <w:trPr>
          <w:trHeight w:val="52"/>
        </w:trPr>
        <w:tc>
          <w:tcPr>
            <w:tcW w:w="757" w:type="dxa"/>
          </w:tcPr>
          <w:p w14:paraId="394296A4"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6.3.</w:t>
            </w:r>
          </w:p>
        </w:tc>
        <w:tc>
          <w:tcPr>
            <w:tcW w:w="3516" w:type="dxa"/>
            <w:gridSpan w:val="3"/>
          </w:tcPr>
          <w:p w14:paraId="4A99E7D2"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Informaţii despre consultările organizate cu autorităţile administraţiei publice locale</w:t>
            </w:r>
          </w:p>
        </w:tc>
        <w:tc>
          <w:tcPr>
            <w:tcW w:w="5361" w:type="dxa"/>
            <w:gridSpan w:val="7"/>
          </w:tcPr>
          <w:p w14:paraId="0D5F3FC1" w14:textId="474F8470" w:rsidR="00EB37C9" w:rsidRPr="00F74530" w:rsidRDefault="00EB37C9"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hAnsi="Times New Roman"/>
                <w:sz w:val="24"/>
                <w:szCs w:val="24"/>
                <w:lang w:val="ro-RO"/>
              </w:rPr>
              <w:t>Proiectul de act normativ nu se referă la acest subiect.</w:t>
            </w:r>
          </w:p>
        </w:tc>
      </w:tr>
      <w:tr w:rsidR="00EB37C9" w:rsidRPr="00F74530" w14:paraId="02D7CE28" w14:textId="77777777" w:rsidTr="004274DD">
        <w:trPr>
          <w:trHeight w:val="52"/>
        </w:trPr>
        <w:tc>
          <w:tcPr>
            <w:tcW w:w="757" w:type="dxa"/>
          </w:tcPr>
          <w:p w14:paraId="79FC62F4"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6.4.</w:t>
            </w:r>
          </w:p>
        </w:tc>
        <w:tc>
          <w:tcPr>
            <w:tcW w:w="3516" w:type="dxa"/>
            <w:gridSpan w:val="3"/>
          </w:tcPr>
          <w:p w14:paraId="626D2C57" w14:textId="77777777" w:rsidR="00EB37C9" w:rsidRPr="00F74530" w:rsidRDefault="00EB37C9"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Informaţii privind puncte de vedere/opinii emise de organisme consultative constituite prin acte normative</w:t>
            </w:r>
          </w:p>
        </w:tc>
        <w:tc>
          <w:tcPr>
            <w:tcW w:w="5361" w:type="dxa"/>
            <w:gridSpan w:val="7"/>
          </w:tcPr>
          <w:p w14:paraId="114AEFA2" w14:textId="77777777" w:rsidR="00EB37C9" w:rsidRPr="00F74530" w:rsidRDefault="00EB37C9"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hAnsi="Times New Roman"/>
                <w:sz w:val="24"/>
                <w:szCs w:val="24"/>
                <w:lang w:val="ro-RO"/>
              </w:rPr>
              <w:t>Proiectul de act normativ nu se referă la acest subiect.</w:t>
            </w:r>
          </w:p>
        </w:tc>
      </w:tr>
      <w:tr w:rsidR="00EB37C9" w:rsidRPr="00F74530" w14:paraId="42A869E0" w14:textId="77777777" w:rsidTr="004274DD">
        <w:trPr>
          <w:trHeight w:val="52"/>
        </w:trPr>
        <w:tc>
          <w:tcPr>
            <w:tcW w:w="757" w:type="dxa"/>
          </w:tcPr>
          <w:p w14:paraId="2C0C7FC4"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6.5.</w:t>
            </w:r>
          </w:p>
        </w:tc>
        <w:tc>
          <w:tcPr>
            <w:tcW w:w="3516" w:type="dxa"/>
            <w:gridSpan w:val="3"/>
          </w:tcPr>
          <w:p w14:paraId="768E54A0"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Informaţii privind avizarea de către:                           </w:t>
            </w:r>
          </w:p>
          <w:p w14:paraId="4D516779"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a) Consiliul Legislativ </w:t>
            </w:r>
          </w:p>
          <w:p w14:paraId="46FB75C8"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b) Consiliul Suprem de Apărare a Ţării                         </w:t>
            </w:r>
          </w:p>
          <w:p w14:paraId="37E257EB"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c) Consiliul Economic şi Social </w:t>
            </w:r>
          </w:p>
          <w:p w14:paraId="0153992F"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d) Consiliul Concurenţei    </w:t>
            </w:r>
          </w:p>
          <w:p w14:paraId="7F284622"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 xml:space="preserve">e) Curtea de Conturi             </w:t>
            </w:r>
          </w:p>
        </w:tc>
        <w:tc>
          <w:tcPr>
            <w:tcW w:w="5361" w:type="dxa"/>
            <w:gridSpan w:val="7"/>
          </w:tcPr>
          <w:p w14:paraId="4717910B" w14:textId="0C00EC58" w:rsidR="00EB37C9" w:rsidRPr="00F74530" w:rsidRDefault="00EB37C9" w:rsidP="00F74530">
            <w:pPr>
              <w:pStyle w:val="BodyText"/>
              <w:spacing w:line="276" w:lineRule="auto"/>
              <w:rPr>
                <w:rFonts w:ascii="Times New Roman" w:hAnsi="Times New Roman"/>
                <w:szCs w:val="24"/>
              </w:rPr>
            </w:pPr>
            <w:r w:rsidRPr="00F74530">
              <w:rPr>
                <w:rFonts w:ascii="Times New Roman" w:hAnsi="Times New Roman"/>
                <w:szCs w:val="24"/>
              </w:rPr>
              <w:t>Proiectul de act normativ a fost supus evaluării Consiliului Concurenței, potrivit legii.</w:t>
            </w:r>
          </w:p>
          <w:p w14:paraId="0BD34270" w14:textId="3ACD773F" w:rsidR="00EB37C9" w:rsidRPr="00F74530" w:rsidRDefault="00EB37C9" w:rsidP="00F74530">
            <w:pPr>
              <w:pStyle w:val="BodyText"/>
              <w:spacing w:line="276" w:lineRule="auto"/>
              <w:rPr>
                <w:rFonts w:ascii="Times New Roman" w:hAnsi="Times New Roman"/>
                <w:color w:val="auto"/>
                <w:szCs w:val="24"/>
              </w:rPr>
            </w:pPr>
            <w:r w:rsidRPr="00F74530">
              <w:rPr>
                <w:rFonts w:ascii="Times New Roman" w:hAnsi="Times New Roman"/>
                <w:color w:val="auto"/>
                <w:szCs w:val="24"/>
              </w:rPr>
              <w:t>Proiectul de act normativ urmează a fi avizat de Consiliul Legislativ.</w:t>
            </w:r>
          </w:p>
        </w:tc>
      </w:tr>
      <w:tr w:rsidR="00EB37C9" w:rsidRPr="00F74530" w14:paraId="5E9DB478" w14:textId="77777777" w:rsidTr="004274DD">
        <w:trPr>
          <w:trHeight w:val="52"/>
        </w:trPr>
        <w:tc>
          <w:tcPr>
            <w:tcW w:w="757" w:type="dxa"/>
          </w:tcPr>
          <w:p w14:paraId="51F29023"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6.6.</w:t>
            </w:r>
          </w:p>
        </w:tc>
        <w:tc>
          <w:tcPr>
            <w:tcW w:w="3516" w:type="dxa"/>
            <w:gridSpan w:val="3"/>
          </w:tcPr>
          <w:p w14:paraId="61907FC8"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 xml:space="preserve">Alte informaţii                  </w:t>
            </w:r>
          </w:p>
        </w:tc>
        <w:tc>
          <w:tcPr>
            <w:tcW w:w="5361" w:type="dxa"/>
            <w:gridSpan w:val="7"/>
          </w:tcPr>
          <w:p w14:paraId="7F82F92A" w14:textId="696F3EE8" w:rsidR="00D3011B" w:rsidRPr="00F74530" w:rsidRDefault="00EB37C9" w:rsidP="00F74530">
            <w:pPr>
              <w:spacing w:after="0" w:line="276" w:lineRule="auto"/>
              <w:jc w:val="both"/>
              <w:rPr>
                <w:rFonts w:ascii="Times New Roman" w:hAnsi="Times New Roman"/>
                <w:sz w:val="24"/>
                <w:szCs w:val="24"/>
                <w:lang w:val="ro-RO"/>
              </w:rPr>
            </w:pPr>
            <w:r w:rsidRPr="00F74530">
              <w:rPr>
                <w:rFonts w:ascii="Times New Roman" w:hAnsi="Times New Roman"/>
                <w:sz w:val="24"/>
                <w:szCs w:val="24"/>
                <w:lang w:val="ro-RO"/>
              </w:rPr>
              <w:t>Nu au fost identificate.</w:t>
            </w:r>
          </w:p>
        </w:tc>
      </w:tr>
      <w:tr w:rsidR="00EB37C9" w:rsidRPr="00F74530" w14:paraId="7656DDF6" w14:textId="77777777" w:rsidTr="004274DD">
        <w:trPr>
          <w:trHeight w:val="52"/>
        </w:trPr>
        <w:tc>
          <w:tcPr>
            <w:tcW w:w="9634" w:type="dxa"/>
            <w:gridSpan w:val="11"/>
            <w:vAlign w:val="center"/>
          </w:tcPr>
          <w:p w14:paraId="10D278E4" w14:textId="718D7119" w:rsidR="00EB37C9" w:rsidRPr="00F74530" w:rsidRDefault="00EB37C9"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Secţiunea a 7-a</w:t>
            </w:r>
          </w:p>
          <w:p w14:paraId="7574775A" w14:textId="77777777" w:rsidR="00EB37C9" w:rsidRPr="00F74530" w:rsidRDefault="00EB37C9"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Activităţi de informare publică privind elaborarea şi implementarea</w:t>
            </w:r>
          </w:p>
          <w:p w14:paraId="5BA8D095" w14:textId="6BCD4623" w:rsidR="00D3011B" w:rsidRPr="00F74530" w:rsidRDefault="00EB37C9"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proiectului de act normativ</w:t>
            </w:r>
          </w:p>
        </w:tc>
      </w:tr>
      <w:tr w:rsidR="00EB37C9" w:rsidRPr="00F74530" w14:paraId="69E046BD" w14:textId="77777777" w:rsidTr="004274DD">
        <w:trPr>
          <w:trHeight w:val="105"/>
        </w:trPr>
        <w:tc>
          <w:tcPr>
            <w:tcW w:w="757" w:type="dxa"/>
            <w:vAlign w:val="center"/>
          </w:tcPr>
          <w:p w14:paraId="7D8E0D8A"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bookmarkStart w:id="2" w:name="_Hlk198113789"/>
            <w:r w:rsidRPr="00F74530">
              <w:rPr>
                <w:rFonts w:ascii="Times New Roman" w:eastAsia="Times New Roman" w:hAnsi="Times New Roman"/>
                <w:noProof/>
                <w:color w:val="000000"/>
                <w:sz w:val="24"/>
                <w:szCs w:val="24"/>
                <w:lang w:val="ro-RO"/>
              </w:rPr>
              <w:t>7.1.</w:t>
            </w:r>
          </w:p>
        </w:tc>
        <w:tc>
          <w:tcPr>
            <w:tcW w:w="3657" w:type="dxa"/>
            <w:gridSpan w:val="4"/>
          </w:tcPr>
          <w:p w14:paraId="4DAA6BFB" w14:textId="77777777" w:rsidR="00EB37C9" w:rsidRPr="00F74530" w:rsidRDefault="00EB37C9" w:rsidP="00F74530">
            <w:pPr>
              <w:spacing w:after="0" w:line="276" w:lineRule="auto"/>
              <w:contextualSpacing/>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noProof/>
                <w:color w:val="000000"/>
                <w:sz w:val="24"/>
                <w:szCs w:val="24"/>
                <w:lang w:val="ro-RO"/>
              </w:rPr>
              <w:t>Informarea societăţii civile cu privire la elaborarea proiectului de act normativ</w:t>
            </w:r>
          </w:p>
        </w:tc>
        <w:tc>
          <w:tcPr>
            <w:tcW w:w="5220" w:type="dxa"/>
            <w:gridSpan w:val="6"/>
          </w:tcPr>
          <w:p w14:paraId="3576F5C9" w14:textId="1C002B3E" w:rsidR="008C6F93" w:rsidRPr="00F74530" w:rsidRDefault="00EB37C9" w:rsidP="00F74530">
            <w:pPr>
              <w:autoSpaceDE w:val="0"/>
              <w:autoSpaceDN w:val="0"/>
              <w:adjustRightInd w:val="0"/>
              <w:spacing w:after="0" w:line="276" w:lineRule="auto"/>
              <w:jc w:val="both"/>
              <w:rPr>
                <w:rFonts w:ascii="Times New Roman" w:hAnsi="Times New Roman"/>
                <w:sz w:val="24"/>
                <w:szCs w:val="24"/>
                <w:lang w:val="ro-RO"/>
              </w:rPr>
            </w:pPr>
            <w:r w:rsidRPr="00F74530">
              <w:rPr>
                <w:rFonts w:ascii="Times New Roman" w:hAnsi="Times New Roman"/>
                <w:sz w:val="24"/>
                <w:szCs w:val="24"/>
                <w:lang w:val="ro-RO"/>
              </w:rPr>
              <w:t xml:space="preserve">În elaborarea proiectului de act normativ a fost îndeplinită procedura </w:t>
            </w:r>
            <w:r w:rsidR="008C6F93" w:rsidRPr="00F74530">
              <w:rPr>
                <w:rFonts w:ascii="Times New Roman" w:hAnsi="Times New Roman"/>
                <w:sz w:val="24"/>
                <w:szCs w:val="24"/>
                <w:lang w:val="ro-RO"/>
              </w:rPr>
              <w:t>prevăzută</w:t>
            </w:r>
            <w:r w:rsidRPr="00F74530">
              <w:rPr>
                <w:rFonts w:ascii="Times New Roman" w:hAnsi="Times New Roman"/>
                <w:sz w:val="24"/>
                <w:szCs w:val="24"/>
                <w:lang w:val="ro-RO"/>
              </w:rPr>
              <w:t xml:space="preserve"> de Legea nr. </w:t>
            </w:r>
            <w:r w:rsidRPr="00F74530">
              <w:rPr>
                <w:rFonts w:ascii="Times New Roman" w:hAnsi="Times New Roman"/>
                <w:sz w:val="24"/>
                <w:szCs w:val="24"/>
                <w:lang w:val="ro-RO"/>
              </w:rPr>
              <w:lastRenderedPageBreak/>
              <w:t>52/2003 privind transparența decizională, republicată, cu modificările ulterioare.</w:t>
            </w:r>
          </w:p>
          <w:p w14:paraId="50CF71E5" w14:textId="233BAF37" w:rsidR="007B65DC" w:rsidRPr="00F74530" w:rsidRDefault="007B65DC" w:rsidP="00F74530">
            <w:pPr>
              <w:autoSpaceDE w:val="0"/>
              <w:autoSpaceDN w:val="0"/>
              <w:adjustRightInd w:val="0"/>
              <w:spacing w:after="0" w:line="276" w:lineRule="auto"/>
              <w:jc w:val="both"/>
              <w:rPr>
                <w:rFonts w:ascii="Times New Roman" w:hAnsi="Times New Roman"/>
                <w:sz w:val="24"/>
                <w:szCs w:val="24"/>
                <w:lang w:val="ro-RO"/>
              </w:rPr>
            </w:pPr>
            <w:r w:rsidRPr="00F74530">
              <w:rPr>
                <w:rFonts w:ascii="Times New Roman" w:hAnsi="Times New Roman"/>
                <w:sz w:val="24"/>
                <w:szCs w:val="24"/>
                <w:lang w:val="ro-RO"/>
              </w:rPr>
              <w:t>În perioada prevăzută de lege, cetățenii, instituțiile publice și organizațiile neguvernamentale au avut posibilitatea să transmită sugestii, observații sau propuneri aferente proiectului de act normativ.</w:t>
            </w:r>
          </w:p>
          <w:p w14:paraId="1B24B27E" w14:textId="3D089038" w:rsidR="00D3011B" w:rsidRPr="00F74530" w:rsidRDefault="007B65DC" w:rsidP="00F74530">
            <w:pPr>
              <w:autoSpaceDE w:val="0"/>
              <w:autoSpaceDN w:val="0"/>
              <w:adjustRightInd w:val="0"/>
              <w:spacing w:after="0" w:line="276" w:lineRule="auto"/>
              <w:jc w:val="both"/>
              <w:rPr>
                <w:rFonts w:ascii="Times New Roman" w:hAnsi="Times New Roman"/>
                <w:sz w:val="24"/>
                <w:szCs w:val="24"/>
                <w:lang w:val="ro-RO"/>
              </w:rPr>
            </w:pPr>
            <w:r w:rsidRPr="00F74530">
              <w:rPr>
                <w:rFonts w:ascii="Times New Roman" w:hAnsi="Times New Roman"/>
                <w:sz w:val="24"/>
                <w:szCs w:val="24"/>
                <w:lang w:val="ro-RO"/>
              </w:rPr>
              <w:t>Toate punctele de vedere primite în perioada de consultare au fost analizate de către structura de specialitate, fiind transmise răspunsuri motivate în scris, în baza termenelor procedurale legale, asigurând astfel respectarea tuturor etapelor prevăzute de lege (publicare, consultare, răspuns).</w:t>
            </w:r>
          </w:p>
        </w:tc>
      </w:tr>
      <w:bookmarkEnd w:id="2"/>
      <w:tr w:rsidR="00EB37C9" w:rsidRPr="00F74530" w14:paraId="68AED2D8" w14:textId="77777777" w:rsidTr="004274DD">
        <w:trPr>
          <w:trHeight w:val="105"/>
        </w:trPr>
        <w:tc>
          <w:tcPr>
            <w:tcW w:w="757" w:type="dxa"/>
            <w:vAlign w:val="center"/>
          </w:tcPr>
          <w:p w14:paraId="5C06BEFD" w14:textId="77777777" w:rsidR="00EB37C9" w:rsidRPr="00F74530" w:rsidRDefault="00EB37C9" w:rsidP="00F74530">
            <w:pPr>
              <w:spacing w:after="0" w:line="276" w:lineRule="auto"/>
              <w:contextualSpacing/>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lastRenderedPageBreak/>
              <w:t>7.2.</w:t>
            </w:r>
          </w:p>
        </w:tc>
        <w:tc>
          <w:tcPr>
            <w:tcW w:w="3657" w:type="dxa"/>
            <w:gridSpan w:val="4"/>
          </w:tcPr>
          <w:p w14:paraId="09D9D332" w14:textId="77777777" w:rsidR="00EB37C9" w:rsidRPr="00F74530" w:rsidRDefault="00EB37C9"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eastAsia="Times New Roman" w:hAnsi="Times New Roman"/>
                <w:noProof/>
                <w:color w:val="000000"/>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tc>
        <w:tc>
          <w:tcPr>
            <w:tcW w:w="5220" w:type="dxa"/>
            <w:gridSpan w:val="6"/>
          </w:tcPr>
          <w:p w14:paraId="0487CC21" w14:textId="0F626169" w:rsidR="00EB37C9" w:rsidRPr="00F74530" w:rsidRDefault="00EB37C9" w:rsidP="00F74530">
            <w:pPr>
              <w:spacing w:after="0" w:line="276" w:lineRule="auto"/>
              <w:jc w:val="both"/>
              <w:rPr>
                <w:rFonts w:ascii="Times New Roman" w:hAnsi="Times New Roman"/>
                <w:sz w:val="24"/>
                <w:szCs w:val="24"/>
                <w:lang w:val="ro-RO"/>
              </w:rPr>
            </w:pPr>
            <w:r w:rsidRPr="00F74530">
              <w:rPr>
                <w:rFonts w:ascii="Times New Roman" w:hAnsi="Times New Roman"/>
                <w:sz w:val="24"/>
                <w:szCs w:val="24"/>
                <w:lang w:val="ro-RO"/>
              </w:rPr>
              <w:t>Proiectul de act normativ nu se referă la acest subiect.</w:t>
            </w:r>
          </w:p>
        </w:tc>
      </w:tr>
      <w:tr w:rsidR="00EB37C9" w:rsidRPr="00F74530" w14:paraId="6FC7168A" w14:textId="77777777" w:rsidTr="004274DD">
        <w:trPr>
          <w:trHeight w:val="105"/>
        </w:trPr>
        <w:tc>
          <w:tcPr>
            <w:tcW w:w="9634" w:type="dxa"/>
            <w:gridSpan w:val="11"/>
            <w:vAlign w:val="center"/>
          </w:tcPr>
          <w:p w14:paraId="4B5A3A4D" w14:textId="38A782F4" w:rsidR="00EB37C9" w:rsidRPr="00F74530" w:rsidRDefault="00EB37C9"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Secţiunea a 8-a</w:t>
            </w:r>
          </w:p>
          <w:p w14:paraId="7AFA4F74" w14:textId="421CFFA6" w:rsidR="00D3011B" w:rsidRPr="00F74530" w:rsidRDefault="00EB37C9" w:rsidP="00F74530">
            <w:pPr>
              <w:spacing w:after="0" w:line="276" w:lineRule="auto"/>
              <w:contextualSpacing/>
              <w:jc w:val="center"/>
              <w:rPr>
                <w:rFonts w:ascii="Times New Roman" w:eastAsia="Times New Roman" w:hAnsi="Times New Roman"/>
                <w:b/>
                <w:noProof/>
                <w:color w:val="000000"/>
                <w:sz w:val="24"/>
                <w:szCs w:val="24"/>
                <w:lang w:val="ro-RO"/>
              </w:rPr>
            </w:pPr>
            <w:r w:rsidRPr="00F74530">
              <w:rPr>
                <w:rFonts w:ascii="Times New Roman" w:eastAsia="Times New Roman" w:hAnsi="Times New Roman"/>
                <w:b/>
                <w:noProof/>
                <w:color w:val="000000"/>
                <w:sz w:val="24"/>
                <w:szCs w:val="24"/>
                <w:lang w:val="ro-RO"/>
              </w:rPr>
              <w:t>Măsuri de implementare</w:t>
            </w:r>
          </w:p>
        </w:tc>
      </w:tr>
      <w:tr w:rsidR="00EB37C9" w:rsidRPr="00F74530" w14:paraId="6E135389" w14:textId="77777777" w:rsidTr="004274DD">
        <w:trPr>
          <w:trHeight w:val="158"/>
        </w:trPr>
        <w:tc>
          <w:tcPr>
            <w:tcW w:w="757" w:type="dxa"/>
            <w:vAlign w:val="center"/>
          </w:tcPr>
          <w:p w14:paraId="43B8A0A5" w14:textId="77777777" w:rsidR="00EB37C9" w:rsidRPr="00F74530" w:rsidRDefault="00EB37C9" w:rsidP="00F74530">
            <w:pPr>
              <w:spacing w:after="0" w:line="276" w:lineRule="auto"/>
              <w:contextualSpacing/>
              <w:jc w:val="both"/>
              <w:rPr>
                <w:rFonts w:ascii="Times New Roman" w:hAnsi="Times New Roman"/>
                <w:noProof/>
                <w:color w:val="000000"/>
                <w:sz w:val="24"/>
                <w:szCs w:val="24"/>
                <w:lang w:val="ro-RO"/>
              </w:rPr>
            </w:pPr>
            <w:r w:rsidRPr="00F74530">
              <w:rPr>
                <w:rFonts w:ascii="Times New Roman" w:hAnsi="Times New Roman"/>
                <w:noProof/>
                <w:color w:val="000000"/>
                <w:sz w:val="24"/>
                <w:szCs w:val="24"/>
                <w:lang w:val="ro-RO"/>
              </w:rPr>
              <w:t>8.1.</w:t>
            </w:r>
          </w:p>
        </w:tc>
        <w:tc>
          <w:tcPr>
            <w:tcW w:w="3657" w:type="dxa"/>
            <w:gridSpan w:val="4"/>
          </w:tcPr>
          <w:p w14:paraId="1CF7C52B" w14:textId="77777777" w:rsidR="00EB37C9" w:rsidRPr="00F74530" w:rsidRDefault="00EB37C9" w:rsidP="00F74530">
            <w:pPr>
              <w:spacing w:after="0" w:line="276" w:lineRule="auto"/>
              <w:contextualSpacing/>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noProof/>
                <w:color w:val="000000"/>
                <w:sz w:val="24"/>
                <w:szCs w:val="24"/>
                <w:lang w:val="ro-RO"/>
              </w:rPr>
              <w:t xml:space="preserve">Măsuri de punere în aplicare a proiectului de act normativ </w:t>
            </w:r>
          </w:p>
        </w:tc>
        <w:tc>
          <w:tcPr>
            <w:tcW w:w="5220" w:type="dxa"/>
            <w:gridSpan w:val="6"/>
          </w:tcPr>
          <w:p w14:paraId="6853B353" w14:textId="240B1EDF" w:rsidR="00F73CE2" w:rsidRPr="00F74530" w:rsidRDefault="00EB37C9" w:rsidP="00F74530">
            <w:pPr>
              <w:autoSpaceDE w:val="0"/>
              <w:autoSpaceDN w:val="0"/>
              <w:adjustRightInd w:val="0"/>
              <w:spacing w:after="0" w:line="276" w:lineRule="auto"/>
              <w:jc w:val="both"/>
              <w:rPr>
                <w:rFonts w:ascii="Times New Roman" w:eastAsia="Times New Roman" w:hAnsi="Times New Roman"/>
                <w:noProof/>
                <w:color w:val="000000"/>
                <w:sz w:val="24"/>
                <w:szCs w:val="24"/>
                <w:lang w:val="ro-RO"/>
              </w:rPr>
            </w:pPr>
            <w:r w:rsidRPr="00F74530">
              <w:rPr>
                <w:rFonts w:ascii="Times New Roman" w:hAnsi="Times New Roman"/>
                <w:sz w:val="24"/>
                <w:szCs w:val="24"/>
                <w:lang w:val="ro-RO"/>
              </w:rPr>
              <w:t>Proiectul de act normativ nu se referă la acest subiect.</w:t>
            </w:r>
          </w:p>
        </w:tc>
      </w:tr>
      <w:tr w:rsidR="00EB37C9" w:rsidRPr="00F74530" w14:paraId="13CF1A7C" w14:textId="77777777" w:rsidTr="004274DD">
        <w:trPr>
          <w:trHeight w:val="157"/>
        </w:trPr>
        <w:tc>
          <w:tcPr>
            <w:tcW w:w="757" w:type="dxa"/>
            <w:vAlign w:val="center"/>
          </w:tcPr>
          <w:p w14:paraId="7678AD8C" w14:textId="77777777" w:rsidR="00EB37C9" w:rsidRPr="00F74530" w:rsidRDefault="00EB37C9" w:rsidP="00F74530">
            <w:pPr>
              <w:spacing w:after="0" w:line="276" w:lineRule="auto"/>
              <w:contextualSpacing/>
              <w:jc w:val="both"/>
              <w:rPr>
                <w:rFonts w:ascii="Times New Roman" w:hAnsi="Times New Roman"/>
                <w:noProof/>
                <w:color w:val="000000"/>
                <w:sz w:val="24"/>
                <w:szCs w:val="24"/>
                <w:lang w:val="ro-RO"/>
              </w:rPr>
            </w:pPr>
            <w:r w:rsidRPr="00F74530">
              <w:rPr>
                <w:rFonts w:ascii="Times New Roman" w:hAnsi="Times New Roman"/>
                <w:noProof/>
                <w:color w:val="000000"/>
                <w:sz w:val="24"/>
                <w:szCs w:val="24"/>
                <w:lang w:val="ro-RO"/>
              </w:rPr>
              <w:t>8.2.</w:t>
            </w:r>
          </w:p>
        </w:tc>
        <w:tc>
          <w:tcPr>
            <w:tcW w:w="3657" w:type="dxa"/>
            <w:gridSpan w:val="4"/>
          </w:tcPr>
          <w:p w14:paraId="0EA6BA97" w14:textId="77777777" w:rsidR="00EB37C9" w:rsidRPr="00F74530" w:rsidRDefault="00EB37C9" w:rsidP="00F74530">
            <w:pPr>
              <w:autoSpaceDE w:val="0"/>
              <w:autoSpaceDN w:val="0"/>
              <w:adjustRightInd w:val="0"/>
              <w:spacing w:after="0" w:line="276" w:lineRule="auto"/>
              <w:jc w:val="both"/>
              <w:rPr>
                <w:rFonts w:ascii="Times New Roman" w:eastAsia="Times New Roman" w:hAnsi="Times New Roman"/>
                <w:iCs/>
                <w:noProof/>
                <w:color w:val="000000"/>
                <w:sz w:val="24"/>
                <w:szCs w:val="24"/>
                <w:lang w:val="ro-RO"/>
              </w:rPr>
            </w:pPr>
            <w:r w:rsidRPr="00F74530">
              <w:rPr>
                <w:rFonts w:ascii="Times New Roman" w:eastAsia="Times New Roman" w:hAnsi="Times New Roman"/>
                <w:iCs/>
                <w:noProof/>
                <w:color w:val="000000"/>
                <w:sz w:val="24"/>
                <w:szCs w:val="24"/>
                <w:lang w:val="ro-RO"/>
              </w:rPr>
              <w:t xml:space="preserve">Alte informaţii    </w:t>
            </w:r>
          </w:p>
        </w:tc>
        <w:tc>
          <w:tcPr>
            <w:tcW w:w="5220" w:type="dxa"/>
            <w:gridSpan w:val="6"/>
          </w:tcPr>
          <w:p w14:paraId="2D50E788" w14:textId="03D6E840" w:rsidR="00F73CE2" w:rsidRPr="00F74530" w:rsidRDefault="00EB37C9" w:rsidP="00F74530">
            <w:pPr>
              <w:spacing w:after="0" w:line="276" w:lineRule="auto"/>
              <w:jc w:val="both"/>
              <w:rPr>
                <w:rFonts w:ascii="Times New Roman" w:eastAsia="Times New Roman" w:hAnsi="Times New Roman"/>
                <w:noProof/>
                <w:color w:val="000000"/>
                <w:sz w:val="24"/>
                <w:szCs w:val="24"/>
                <w:lang w:val="ro-RO"/>
              </w:rPr>
            </w:pPr>
            <w:r w:rsidRPr="00F74530">
              <w:rPr>
                <w:rFonts w:ascii="Times New Roman" w:hAnsi="Times New Roman"/>
                <w:sz w:val="24"/>
                <w:szCs w:val="24"/>
                <w:lang w:val="ro-RO"/>
              </w:rPr>
              <w:t>Nu au fost identificate.</w:t>
            </w:r>
          </w:p>
        </w:tc>
      </w:tr>
    </w:tbl>
    <w:p w14:paraId="6593E687" w14:textId="69D030E2" w:rsidR="00D3011B" w:rsidRPr="00F74530" w:rsidRDefault="00E318A6" w:rsidP="00F74530">
      <w:pPr>
        <w:spacing w:after="0" w:line="276" w:lineRule="auto"/>
        <w:jc w:val="both"/>
        <w:rPr>
          <w:rFonts w:ascii="Times New Roman" w:hAnsi="Times New Roman"/>
          <w:noProof/>
          <w:color w:val="000000"/>
          <w:sz w:val="24"/>
          <w:szCs w:val="24"/>
          <w:lang w:val="ro-RO"/>
        </w:rPr>
      </w:pPr>
      <w:r w:rsidRPr="00F74530">
        <w:rPr>
          <w:rFonts w:ascii="Times New Roman" w:hAnsi="Times New Roman"/>
          <w:noProof/>
          <w:color w:val="000000"/>
          <w:sz w:val="24"/>
          <w:szCs w:val="24"/>
          <w:lang w:val="ro-RO"/>
        </w:rPr>
        <w:t xml:space="preserve">Pentru considerentele de mai sus, am elaborat prezentul proiect de </w:t>
      </w:r>
      <w:r w:rsidR="00F74530" w:rsidRPr="00F74530">
        <w:rPr>
          <w:rFonts w:ascii="Times New Roman" w:hAnsi="Times New Roman"/>
          <w:b/>
          <w:noProof/>
          <w:color w:val="000000"/>
          <w:sz w:val="24"/>
          <w:szCs w:val="24"/>
          <w:lang w:val="ro-RO"/>
        </w:rPr>
        <w:t>de Hotărâre a Guvernului privind instituirea sistemului electronic de trasabilitate a fluxurilor de deșeuri municipale reciclabile predate de persoane fizice către operatorii economici autorizați</w:t>
      </w:r>
      <w:r w:rsidRPr="00F74530">
        <w:rPr>
          <w:rFonts w:ascii="Times New Roman" w:eastAsia="Times New Roman" w:hAnsi="Times New Roman"/>
          <w:b/>
          <w:noProof/>
          <w:color w:val="000000"/>
          <w:spacing w:val="6"/>
          <w:sz w:val="24"/>
          <w:szCs w:val="24"/>
          <w:lang w:val="ro-RO"/>
        </w:rPr>
        <w:t xml:space="preserve">, </w:t>
      </w:r>
      <w:r w:rsidRPr="00F74530">
        <w:rPr>
          <w:rFonts w:ascii="Times New Roman" w:hAnsi="Times New Roman"/>
          <w:noProof/>
          <w:color w:val="000000"/>
          <w:sz w:val="24"/>
          <w:szCs w:val="24"/>
          <w:lang w:val="ro-RO"/>
        </w:rPr>
        <w:t xml:space="preserve">care în forma prezentată, </w:t>
      </w:r>
      <w:r w:rsidR="00B36949" w:rsidRPr="00F74530">
        <w:rPr>
          <w:rFonts w:ascii="Times New Roman" w:hAnsi="Times New Roman"/>
          <w:noProof/>
          <w:color w:val="000000"/>
          <w:sz w:val="24"/>
          <w:szCs w:val="24"/>
          <w:lang w:val="ro-RO"/>
        </w:rPr>
        <w:t>a fost avizat de ministerele interesate şi de Consiliul Legislativ şi pe care îl supunem spre adopta</w:t>
      </w:r>
      <w:r w:rsidR="00E0114B" w:rsidRPr="00F74530">
        <w:rPr>
          <w:rFonts w:ascii="Times New Roman" w:hAnsi="Times New Roman"/>
          <w:noProof/>
          <w:color w:val="000000"/>
          <w:sz w:val="24"/>
          <w:szCs w:val="24"/>
          <w:lang w:val="ro-RO"/>
        </w:rPr>
        <w:t>re.</w:t>
      </w:r>
    </w:p>
    <w:p w14:paraId="49C11268" w14:textId="77777777" w:rsidR="00E0114B" w:rsidRPr="00F74530" w:rsidRDefault="00E0114B" w:rsidP="00F74530">
      <w:pPr>
        <w:spacing w:after="0" w:line="276" w:lineRule="auto"/>
        <w:jc w:val="both"/>
        <w:rPr>
          <w:rFonts w:ascii="Times New Roman" w:hAnsi="Times New Roman"/>
          <w:noProof/>
          <w:color w:val="000000"/>
          <w:sz w:val="24"/>
          <w:szCs w:val="24"/>
          <w:lang w:val="ro-RO"/>
        </w:rPr>
      </w:pPr>
    </w:p>
    <w:p w14:paraId="6F689D0A" w14:textId="1E6E3F61" w:rsidR="00E318A6" w:rsidRPr="00F74530" w:rsidRDefault="00E318A6" w:rsidP="00F74530">
      <w:pPr>
        <w:spacing w:after="0" w:line="276" w:lineRule="auto"/>
        <w:jc w:val="center"/>
        <w:rPr>
          <w:rFonts w:ascii="Times New Roman" w:eastAsia="Times New Roman" w:hAnsi="Times New Roman"/>
          <w:b/>
          <w:color w:val="000000"/>
          <w:sz w:val="24"/>
          <w:szCs w:val="24"/>
          <w:lang w:val="ro-RO" w:eastAsia="ro-RO"/>
        </w:rPr>
      </w:pPr>
      <w:r w:rsidRPr="00F74530">
        <w:rPr>
          <w:rFonts w:ascii="Times New Roman" w:eastAsia="Times New Roman" w:hAnsi="Times New Roman"/>
          <w:b/>
          <w:color w:val="000000"/>
          <w:sz w:val="24"/>
          <w:szCs w:val="24"/>
          <w:lang w:val="ro-RO" w:eastAsia="ro-RO"/>
        </w:rPr>
        <w:t>MINISTRUL MEDIULUI, APELOR ȘI PĂDURILOR</w:t>
      </w:r>
    </w:p>
    <w:p w14:paraId="58953CB3" w14:textId="633D06FD" w:rsidR="00EB5390" w:rsidRPr="00F74530" w:rsidRDefault="00EA09E9" w:rsidP="00F74530">
      <w:pPr>
        <w:spacing w:after="0" w:line="276" w:lineRule="auto"/>
        <w:jc w:val="center"/>
        <w:rPr>
          <w:rFonts w:ascii="Times New Roman" w:eastAsia="Times New Roman" w:hAnsi="Times New Roman"/>
          <w:b/>
          <w:color w:val="000000"/>
          <w:sz w:val="24"/>
          <w:szCs w:val="24"/>
          <w:lang w:val="ro-RO" w:eastAsia="ro-RO"/>
        </w:rPr>
      </w:pPr>
      <w:r w:rsidRPr="00F74530">
        <w:rPr>
          <w:rFonts w:ascii="Times New Roman" w:eastAsia="Times New Roman" w:hAnsi="Times New Roman"/>
          <w:b/>
          <w:color w:val="000000"/>
          <w:sz w:val="24"/>
          <w:szCs w:val="24"/>
          <w:lang w:val="ro-RO" w:eastAsia="ro-RO"/>
        </w:rPr>
        <w:t>DIANA</w:t>
      </w:r>
      <w:r w:rsidR="00D3011B" w:rsidRPr="00F74530">
        <w:rPr>
          <w:rFonts w:ascii="Times New Roman" w:eastAsia="Times New Roman" w:hAnsi="Times New Roman"/>
          <w:b/>
          <w:color w:val="000000"/>
          <w:sz w:val="24"/>
          <w:szCs w:val="24"/>
          <w:lang w:val="ro-RO" w:eastAsia="ro-RO"/>
        </w:rPr>
        <w:t>-ANDA</w:t>
      </w:r>
      <w:r w:rsidRPr="00F74530">
        <w:rPr>
          <w:rFonts w:ascii="Times New Roman" w:eastAsia="Times New Roman" w:hAnsi="Times New Roman"/>
          <w:b/>
          <w:color w:val="000000"/>
          <w:sz w:val="24"/>
          <w:szCs w:val="24"/>
          <w:lang w:val="ro-RO" w:eastAsia="ro-RO"/>
        </w:rPr>
        <w:t xml:space="preserve"> BUZOIANU</w:t>
      </w:r>
    </w:p>
    <w:p w14:paraId="07512F46" w14:textId="77777777" w:rsidR="00C87A05" w:rsidRPr="00F74530" w:rsidRDefault="00C87A05" w:rsidP="00F74530">
      <w:pPr>
        <w:spacing w:after="0" w:line="276" w:lineRule="auto"/>
        <w:jc w:val="center"/>
        <w:rPr>
          <w:rFonts w:ascii="Times New Roman" w:eastAsia="Times New Roman" w:hAnsi="Times New Roman"/>
          <w:b/>
          <w:color w:val="000000"/>
          <w:sz w:val="24"/>
          <w:szCs w:val="24"/>
          <w:lang w:val="ro-RO" w:eastAsia="ro-RO"/>
        </w:rPr>
      </w:pPr>
    </w:p>
    <w:p w14:paraId="17FB2BA6" w14:textId="15ACA272" w:rsidR="00E30BA6" w:rsidRPr="00F74530" w:rsidRDefault="00EB5390" w:rsidP="00F74530">
      <w:pPr>
        <w:spacing w:after="0" w:line="276" w:lineRule="auto"/>
        <w:jc w:val="center"/>
        <w:rPr>
          <w:rFonts w:ascii="Times New Roman" w:eastAsia="Times New Roman" w:hAnsi="Times New Roman"/>
          <w:b/>
          <w:color w:val="000000"/>
          <w:sz w:val="24"/>
          <w:szCs w:val="24"/>
          <w:u w:val="single"/>
          <w:lang w:val="ro-RO" w:eastAsia="ro-RO"/>
        </w:rPr>
      </w:pPr>
      <w:r w:rsidRPr="00F74530">
        <w:rPr>
          <w:rFonts w:ascii="Times New Roman" w:eastAsia="Times New Roman" w:hAnsi="Times New Roman"/>
          <w:b/>
          <w:color w:val="000000"/>
          <w:sz w:val="24"/>
          <w:szCs w:val="24"/>
          <w:u w:val="single"/>
          <w:lang w:val="ro-RO" w:eastAsia="ro-RO"/>
        </w:rPr>
        <w:t>AVIZĂM:</w:t>
      </w:r>
    </w:p>
    <w:p w14:paraId="114A390E" w14:textId="77777777" w:rsidR="00C87A05" w:rsidRPr="00F74530" w:rsidRDefault="00C87A05" w:rsidP="00F74530">
      <w:pPr>
        <w:spacing w:after="0" w:line="276" w:lineRule="auto"/>
        <w:jc w:val="center"/>
        <w:rPr>
          <w:rFonts w:ascii="Times New Roman" w:eastAsia="Times New Roman" w:hAnsi="Times New Roman"/>
          <w:b/>
          <w:color w:val="000000"/>
          <w:sz w:val="24"/>
          <w:szCs w:val="24"/>
          <w:u w:val="single"/>
          <w:lang w:val="ro-RO" w:eastAsia="ro-RO"/>
        </w:rPr>
      </w:pPr>
    </w:p>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5410"/>
      </w:tblGrid>
      <w:tr w:rsidR="00903FFB" w:rsidRPr="00F74530" w14:paraId="16908D13" w14:textId="77777777" w:rsidTr="00272651">
        <w:trPr>
          <w:trHeight w:val="2826"/>
        </w:trPr>
        <w:tc>
          <w:tcPr>
            <w:tcW w:w="5222" w:type="dxa"/>
          </w:tcPr>
          <w:p w14:paraId="18225CA5" w14:textId="77777777" w:rsidR="00903FFB" w:rsidRPr="00F74530" w:rsidRDefault="00903FFB" w:rsidP="00F74530">
            <w:pPr>
              <w:spacing w:line="276" w:lineRule="auto"/>
              <w:jc w:val="center"/>
              <w:rPr>
                <w:rFonts w:ascii="Times New Roman" w:hAnsi="Times New Roman"/>
                <w:b/>
                <w:bCs/>
                <w:sz w:val="24"/>
                <w:szCs w:val="24"/>
                <w:lang w:val="ro-RO"/>
              </w:rPr>
            </w:pPr>
          </w:p>
          <w:p w14:paraId="7948F583" w14:textId="20DBC121" w:rsidR="00903FFB" w:rsidRPr="00F74530" w:rsidRDefault="00903FFB" w:rsidP="00F74530">
            <w:pPr>
              <w:spacing w:line="276" w:lineRule="auto"/>
              <w:jc w:val="center"/>
              <w:rPr>
                <w:rFonts w:ascii="Times New Roman" w:hAnsi="Times New Roman"/>
                <w:b/>
                <w:bCs/>
                <w:sz w:val="24"/>
                <w:szCs w:val="24"/>
                <w:lang w:val="ro-RO"/>
              </w:rPr>
            </w:pPr>
            <w:r w:rsidRPr="00F74530">
              <w:rPr>
                <w:rFonts w:ascii="Times New Roman" w:hAnsi="Times New Roman"/>
                <w:b/>
                <w:bCs/>
                <w:sz w:val="24"/>
                <w:szCs w:val="24"/>
                <w:lang w:val="ro-RO"/>
              </w:rPr>
              <w:t xml:space="preserve">MINISTRUL ECONOMIEI, </w:t>
            </w:r>
            <w:r w:rsidR="00B02CB5" w:rsidRPr="00F74530">
              <w:rPr>
                <w:rFonts w:ascii="Times New Roman" w:hAnsi="Times New Roman"/>
                <w:b/>
                <w:bCs/>
                <w:sz w:val="24"/>
                <w:szCs w:val="24"/>
                <w:lang w:val="ro-RO"/>
              </w:rPr>
              <w:t xml:space="preserve">DIGITALIZĂRII, </w:t>
            </w:r>
            <w:r w:rsidRPr="00F74530">
              <w:rPr>
                <w:rFonts w:ascii="Times New Roman" w:hAnsi="Times New Roman"/>
                <w:b/>
                <w:bCs/>
                <w:sz w:val="24"/>
                <w:szCs w:val="24"/>
                <w:lang w:val="ro-RO"/>
              </w:rPr>
              <w:t>ANTREPRENORIATULUI ȘI TURISMULUI</w:t>
            </w:r>
          </w:p>
          <w:p w14:paraId="7EFF9F0B" w14:textId="737B2051" w:rsidR="00903FFB" w:rsidRPr="00F74530" w:rsidRDefault="009A0D6D" w:rsidP="00F74530">
            <w:pPr>
              <w:spacing w:line="276" w:lineRule="auto"/>
              <w:jc w:val="center"/>
              <w:rPr>
                <w:rFonts w:ascii="Times New Roman" w:hAnsi="Times New Roman"/>
                <w:sz w:val="24"/>
                <w:szCs w:val="24"/>
                <w:lang w:val="ro-RO"/>
              </w:rPr>
            </w:pPr>
            <w:r>
              <w:rPr>
                <w:rFonts w:ascii="Times New Roman" w:hAnsi="Times New Roman"/>
                <w:b/>
                <w:bCs/>
                <w:sz w:val="24"/>
                <w:szCs w:val="24"/>
                <w:lang w:val="ro-RO"/>
              </w:rPr>
              <w:t>AMBROZIE-IRINEU DARĂU</w:t>
            </w:r>
          </w:p>
        </w:tc>
        <w:tc>
          <w:tcPr>
            <w:tcW w:w="5410" w:type="dxa"/>
          </w:tcPr>
          <w:p w14:paraId="2F855DF6" w14:textId="77777777" w:rsidR="00903FFB" w:rsidRPr="00F74530" w:rsidRDefault="00903FFB" w:rsidP="00F74530">
            <w:pPr>
              <w:spacing w:line="276" w:lineRule="auto"/>
              <w:jc w:val="center"/>
              <w:rPr>
                <w:rFonts w:ascii="Times New Roman" w:hAnsi="Times New Roman"/>
                <w:b/>
                <w:bCs/>
                <w:sz w:val="24"/>
                <w:szCs w:val="24"/>
                <w:lang w:val="ro-RO"/>
              </w:rPr>
            </w:pPr>
          </w:p>
          <w:p w14:paraId="3BF3A53B" w14:textId="7AD40945" w:rsidR="00EB5390" w:rsidRPr="00F74530" w:rsidRDefault="00EB5390" w:rsidP="00F74530">
            <w:pPr>
              <w:spacing w:line="276" w:lineRule="auto"/>
              <w:jc w:val="center"/>
              <w:rPr>
                <w:rFonts w:ascii="Times New Roman" w:hAnsi="Times New Roman"/>
                <w:b/>
                <w:bCs/>
                <w:sz w:val="24"/>
                <w:szCs w:val="24"/>
                <w:lang w:val="ro-RO"/>
              </w:rPr>
            </w:pPr>
            <w:r w:rsidRPr="00F74530">
              <w:rPr>
                <w:rFonts w:ascii="Times New Roman" w:hAnsi="Times New Roman"/>
                <w:b/>
                <w:bCs/>
                <w:sz w:val="24"/>
                <w:szCs w:val="24"/>
                <w:lang w:val="ro-RO"/>
              </w:rPr>
              <w:t>MINISTRUL DEZVOLTĂRII, LUCRĂRILOR PUBLICE ȘI ADMINISTRAȚIEI</w:t>
            </w:r>
          </w:p>
          <w:p w14:paraId="030CA131" w14:textId="6D9E11F1" w:rsidR="00903FFB" w:rsidRPr="00F74530" w:rsidRDefault="00B02CB5" w:rsidP="00272651">
            <w:pPr>
              <w:spacing w:line="276" w:lineRule="auto"/>
              <w:jc w:val="center"/>
              <w:rPr>
                <w:rFonts w:ascii="Times New Roman" w:hAnsi="Times New Roman"/>
                <w:b/>
                <w:bCs/>
                <w:sz w:val="24"/>
                <w:szCs w:val="24"/>
                <w:lang w:val="ro-RO"/>
              </w:rPr>
            </w:pPr>
            <w:r w:rsidRPr="00F74530">
              <w:rPr>
                <w:rFonts w:ascii="Times New Roman" w:hAnsi="Times New Roman"/>
                <w:b/>
                <w:bCs/>
                <w:sz w:val="24"/>
                <w:szCs w:val="24"/>
                <w:lang w:val="ro-RO"/>
              </w:rPr>
              <w:t>CSEKE ATTILA - ZOLTAN</w:t>
            </w:r>
          </w:p>
        </w:tc>
      </w:tr>
      <w:tr w:rsidR="00272651" w:rsidRPr="00F74530" w14:paraId="795D54FD" w14:textId="77777777" w:rsidTr="00272651">
        <w:trPr>
          <w:trHeight w:val="1267"/>
        </w:trPr>
        <w:tc>
          <w:tcPr>
            <w:tcW w:w="5222" w:type="dxa"/>
          </w:tcPr>
          <w:p w14:paraId="5C2C0500" w14:textId="77777777" w:rsidR="00272651" w:rsidRPr="00F74530" w:rsidRDefault="00272651" w:rsidP="00272651">
            <w:pPr>
              <w:spacing w:line="276" w:lineRule="auto"/>
              <w:jc w:val="center"/>
              <w:rPr>
                <w:rFonts w:ascii="Times New Roman" w:hAnsi="Times New Roman"/>
                <w:b/>
                <w:bCs/>
                <w:sz w:val="24"/>
                <w:szCs w:val="24"/>
                <w:lang w:val="ro-RO"/>
              </w:rPr>
            </w:pPr>
            <w:r w:rsidRPr="00F74530">
              <w:rPr>
                <w:rFonts w:ascii="Times New Roman" w:hAnsi="Times New Roman"/>
                <w:b/>
                <w:bCs/>
                <w:sz w:val="24"/>
                <w:szCs w:val="24"/>
                <w:lang w:val="ro-RO"/>
              </w:rPr>
              <w:t>MINISTRUL FINANȚELOR</w:t>
            </w:r>
          </w:p>
          <w:p w14:paraId="5D75BFC0" w14:textId="27D712A4" w:rsidR="00272651" w:rsidRPr="00F74530" w:rsidRDefault="00272651" w:rsidP="00272651">
            <w:pPr>
              <w:spacing w:line="276" w:lineRule="auto"/>
              <w:jc w:val="center"/>
              <w:rPr>
                <w:rFonts w:ascii="Times New Roman" w:hAnsi="Times New Roman"/>
                <w:b/>
                <w:bCs/>
                <w:sz w:val="24"/>
                <w:szCs w:val="24"/>
                <w:lang w:val="ro-RO"/>
              </w:rPr>
            </w:pPr>
            <w:r w:rsidRPr="00F74530">
              <w:rPr>
                <w:rFonts w:ascii="Times New Roman" w:hAnsi="Times New Roman"/>
                <w:b/>
                <w:bCs/>
                <w:sz w:val="24"/>
                <w:szCs w:val="24"/>
                <w:lang w:val="ro-RO"/>
              </w:rPr>
              <w:t>ALEXANDRU NAZARE</w:t>
            </w:r>
          </w:p>
        </w:tc>
        <w:tc>
          <w:tcPr>
            <w:tcW w:w="5410" w:type="dxa"/>
          </w:tcPr>
          <w:p w14:paraId="7AA04CA9" w14:textId="4C1E762A" w:rsidR="00272651" w:rsidRPr="00F74530" w:rsidRDefault="00272651" w:rsidP="00272651">
            <w:pPr>
              <w:spacing w:line="276" w:lineRule="auto"/>
              <w:rPr>
                <w:rFonts w:ascii="Times New Roman" w:hAnsi="Times New Roman"/>
                <w:b/>
                <w:bCs/>
                <w:sz w:val="24"/>
                <w:szCs w:val="24"/>
                <w:lang w:val="ro-RO"/>
              </w:rPr>
            </w:pPr>
            <w:r>
              <w:rPr>
                <w:rFonts w:ascii="Times New Roman" w:hAnsi="Times New Roman"/>
                <w:b/>
                <w:bCs/>
                <w:sz w:val="24"/>
                <w:szCs w:val="24"/>
                <w:lang w:val="ro-RO"/>
              </w:rPr>
              <w:t xml:space="preserve">                   </w:t>
            </w:r>
            <w:r w:rsidRPr="00F74530">
              <w:rPr>
                <w:rFonts w:ascii="Times New Roman" w:hAnsi="Times New Roman"/>
                <w:b/>
                <w:bCs/>
                <w:sz w:val="24"/>
                <w:szCs w:val="24"/>
                <w:lang w:val="ro-RO"/>
              </w:rPr>
              <w:t>MINISTRUL JUSTIȚIEI</w:t>
            </w:r>
          </w:p>
          <w:p w14:paraId="094A103B" w14:textId="79DB76EF" w:rsidR="00272651" w:rsidRPr="00F74530" w:rsidRDefault="00272651" w:rsidP="00272651">
            <w:pPr>
              <w:spacing w:line="276" w:lineRule="auto"/>
              <w:rPr>
                <w:rFonts w:ascii="Times New Roman" w:hAnsi="Times New Roman"/>
                <w:b/>
                <w:bCs/>
                <w:sz w:val="24"/>
                <w:szCs w:val="24"/>
                <w:lang w:val="ro-RO"/>
              </w:rPr>
            </w:pPr>
            <w:r w:rsidRPr="00F74530">
              <w:rPr>
                <w:rFonts w:ascii="Times New Roman" w:hAnsi="Times New Roman"/>
                <w:b/>
                <w:bCs/>
                <w:sz w:val="24"/>
                <w:szCs w:val="24"/>
                <w:lang w:val="ro-RO"/>
              </w:rPr>
              <w:t xml:space="preserve">             </w:t>
            </w:r>
            <w:r>
              <w:rPr>
                <w:rFonts w:ascii="Times New Roman" w:hAnsi="Times New Roman"/>
                <w:b/>
                <w:bCs/>
                <w:sz w:val="24"/>
                <w:szCs w:val="24"/>
                <w:lang w:val="ro-RO"/>
              </w:rPr>
              <w:t>MARIAN-CĂTĂLIN PREDOIU</w:t>
            </w:r>
          </w:p>
        </w:tc>
      </w:tr>
    </w:tbl>
    <w:p w14:paraId="23136BB9" w14:textId="77777777" w:rsidR="00E70778" w:rsidRPr="00F74530" w:rsidRDefault="00E70778" w:rsidP="00F74530">
      <w:pPr>
        <w:spacing w:after="0" w:line="276" w:lineRule="auto"/>
        <w:jc w:val="both"/>
        <w:rPr>
          <w:rFonts w:ascii="Times New Roman" w:hAnsi="Times New Roman"/>
          <w:b/>
          <w:sz w:val="24"/>
          <w:szCs w:val="24"/>
          <w:lang w:val="ro-RO"/>
        </w:rPr>
      </w:pPr>
    </w:p>
    <w:p w14:paraId="5B904461" w14:textId="77777777" w:rsidR="00012D88" w:rsidRPr="00F74530" w:rsidRDefault="00012D88" w:rsidP="00F74530">
      <w:pPr>
        <w:spacing w:after="0" w:line="276" w:lineRule="auto"/>
        <w:jc w:val="both"/>
        <w:rPr>
          <w:rFonts w:ascii="Times New Roman" w:hAnsi="Times New Roman"/>
          <w:b/>
          <w:sz w:val="24"/>
          <w:szCs w:val="24"/>
          <w:lang w:val="ro-RO"/>
        </w:rPr>
      </w:pPr>
    </w:p>
    <w:p w14:paraId="1A058084" w14:textId="77777777" w:rsidR="00DC2F4C" w:rsidRPr="00F74530" w:rsidRDefault="00DC2F4C" w:rsidP="00F74530">
      <w:pPr>
        <w:spacing w:after="0" w:line="276" w:lineRule="auto"/>
        <w:jc w:val="both"/>
        <w:rPr>
          <w:rFonts w:ascii="Times New Roman" w:hAnsi="Times New Roman"/>
          <w:b/>
          <w:sz w:val="24"/>
          <w:szCs w:val="24"/>
          <w:lang w:val="ro-RO"/>
        </w:rPr>
      </w:pPr>
    </w:p>
    <w:sectPr w:rsidR="00DC2F4C" w:rsidRPr="00F74530" w:rsidSect="009751C1">
      <w:headerReference w:type="even" r:id="rId8"/>
      <w:headerReference w:type="default" r:id="rId9"/>
      <w:footerReference w:type="even" r:id="rId10"/>
      <w:footerReference w:type="default" r:id="rId11"/>
      <w:headerReference w:type="first" r:id="rId12"/>
      <w:footerReference w:type="first" r:id="rId13"/>
      <w:pgSz w:w="11906" w:h="16838"/>
      <w:pgMar w:top="992" w:right="424" w:bottom="567" w:left="156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A785" w14:textId="77777777" w:rsidR="004A567E" w:rsidRDefault="004A567E" w:rsidP="008608BE">
      <w:pPr>
        <w:spacing w:after="0" w:line="240" w:lineRule="auto"/>
      </w:pPr>
      <w:r>
        <w:separator/>
      </w:r>
    </w:p>
  </w:endnote>
  <w:endnote w:type="continuationSeparator" w:id="0">
    <w:p w14:paraId="6A64497E" w14:textId="77777777" w:rsidR="004A567E" w:rsidRDefault="004A567E"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5E67" w14:textId="77777777" w:rsidR="004E70CB" w:rsidRDefault="004E7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B0A6" w14:textId="77777777" w:rsidR="004E70CB" w:rsidRDefault="004E7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9FD7" w14:textId="77777777" w:rsidR="004E70CB" w:rsidRDefault="004E7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D4D7" w14:textId="77777777" w:rsidR="004A567E" w:rsidRDefault="004A567E" w:rsidP="008608BE">
      <w:pPr>
        <w:spacing w:after="0" w:line="240" w:lineRule="auto"/>
      </w:pPr>
      <w:r>
        <w:separator/>
      </w:r>
    </w:p>
  </w:footnote>
  <w:footnote w:type="continuationSeparator" w:id="0">
    <w:p w14:paraId="6A43ED88" w14:textId="77777777" w:rsidR="004A567E" w:rsidRDefault="004A567E"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41C" w14:textId="3D5AAEE8" w:rsidR="00773EDA" w:rsidRDefault="00000000">
    <w:pPr>
      <w:pStyle w:val="Header"/>
    </w:pPr>
    <w:r>
      <w:rPr>
        <w:noProof/>
      </w:rPr>
      <w:pict w14:anchorId="7AEBA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4063" o:spid="_x0000_s1026" type="#_x0000_t136" style="position:absolute;margin-left:0;margin-top:0;width:489.6pt;height:209.8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CBE" w14:textId="70163D37" w:rsidR="00773EDA" w:rsidRDefault="00000000">
    <w:pPr>
      <w:pStyle w:val="Header"/>
    </w:pPr>
    <w:r>
      <w:rPr>
        <w:noProof/>
      </w:rPr>
      <w:pict w14:anchorId="19EE8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4064" o:spid="_x0000_s1027" type="#_x0000_t136" style="position:absolute;margin-left:0;margin-top:0;width:489.6pt;height:209.8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473B" w14:textId="66482B25" w:rsidR="00773EDA" w:rsidRDefault="00000000">
    <w:pPr>
      <w:pStyle w:val="Header"/>
    </w:pPr>
    <w:r>
      <w:rPr>
        <w:noProof/>
      </w:rPr>
      <w:pict w14:anchorId="7FA13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4062" o:spid="_x0000_s1025" type="#_x0000_t136" style="position:absolute;margin-left:0;margin-top:0;width:489.6pt;height:209.8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B3E97"/>
    <w:multiLevelType w:val="hybridMultilevel"/>
    <w:tmpl w:val="D60E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C7D92"/>
    <w:multiLevelType w:val="hybridMultilevel"/>
    <w:tmpl w:val="1EAE795A"/>
    <w:lvl w:ilvl="0" w:tplc="B9183D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F7B49"/>
    <w:multiLevelType w:val="hybridMultilevel"/>
    <w:tmpl w:val="5974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874BD"/>
    <w:multiLevelType w:val="hybridMultilevel"/>
    <w:tmpl w:val="241A3B16"/>
    <w:lvl w:ilvl="0" w:tplc="04090001">
      <w:start w:val="1"/>
      <w:numFmt w:val="bullet"/>
      <w:lvlText w:val=""/>
      <w:lvlJc w:val="left"/>
      <w:pPr>
        <w:ind w:left="720" w:hanging="360"/>
      </w:pPr>
      <w:rPr>
        <w:rFonts w:ascii="Symbol" w:hAnsi="Symbol" w:hint="default"/>
      </w:rPr>
    </w:lvl>
    <w:lvl w:ilvl="1" w:tplc="46B64B64">
      <w:start w:val="19"/>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4D4E"/>
    <w:multiLevelType w:val="hybridMultilevel"/>
    <w:tmpl w:val="F6F0D854"/>
    <w:lvl w:ilvl="0" w:tplc="14463AD8">
      <w:start w:val="3"/>
      <w:numFmt w:val="decimal"/>
      <w:lvlText w:val="%1."/>
      <w:lvlJc w:val="left"/>
      <w:pPr>
        <w:ind w:left="798" w:hanging="360"/>
      </w:pPr>
      <w:rPr>
        <w:rFonts w:hint="default"/>
      </w:rPr>
    </w:lvl>
    <w:lvl w:ilvl="1" w:tplc="08090019" w:tentative="1">
      <w:start w:val="1"/>
      <w:numFmt w:val="lowerLetter"/>
      <w:lvlText w:val="%2."/>
      <w:lvlJc w:val="left"/>
      <w:pPr>
        <w:ind w:left="1518" w:hanging="360"/>
      </w:pPr>
    </w:lvl>
    <w:lvl w:ilvl="2" w:tplc="0809001B" w:tentative="1">
      <w:start w:val="1"/>
      <w:numFmt w:val="lowerRoman"/>
      <w:lvlText w:val="%3."/>
      <w:lvlJc w:val="right"/>
      <w:pPr>
        <w:ind w:left="2238" w:hanging="180"/>
      </w:pPr>
    </w:lvl>
    <w:lvl w:ilvl="3" w:tplc="0809000F" w:tentative="1">
      <w:start w:val="1"/>
      <w:numFmt w:val="decimal"/>
      <w:lvlText w:val="%4."/>
      <w:lvlJc w:val="left"/>
      <w:pPr>
        <w:ind w:left="2958" w:hanging="360"/>
      </w:pPr>
    </w:lvl>
    <w:lvl w:ilvl="4" w:tplc="08090019" w:tentative="1">
      <w:start w:val="1"/>
      <w:numFmt w:val="lowerLetter"/>
      <w:lvlText w:val="%5."/>
      <w:lvlJc w:val="left"/>
      <w:pPr>
        <w:ind w:left="3678" w:hanging="360"/>
      </w:pPr>
    </w:lvl>
    <w:lvl w:ilvl="5" w:tplc="0809001B" w:tentative="1">
      <w:start w:val="1"/>
      <w:numFmt w:val="lowerRoman"/>
      <w:lvlText w:val="%6."/>
      <w:lvlJc w:val="right"/>
      <w:pPr>
        <w:ind w:left="4398" w:hanging="180"/>
      </w:pPr>
    </w:lvl>
    <w:lvl w:ilvl="6" w:tplc="0809000F" w:tentative="1">
      <w:start w:val="1"/>
      <w:numFmt w:val="decimal"/>
      <w:lvlText w:val="%7."/>
      <w:lvlJc w:val="left"/>
      <w:pPr>
        <w:ind w:left="5118" w:hanging="360"/>
      </w:pPr>
    </w:lvl>
    <w:lvl w:ilvl="7" w:tplc="08090019" w:tentative="1">
      <w:start w:val="1"/>
      <w:numFmt w:val="lowerLetter"/>
      <w:lvlText w:val="%8."/>
      <w:lvlJc w:val="left"/>
      <w:pPr>
        <w:ind w:left="5838" w:hanging="360"/>
      </w:pPr>
    </w:lvl>
    <w:lvl w:ilvl="8" w:tplc="0809001B" w:tentative="1">
      <w:start w:val="1"/>
      <w:numFmt w:val="lowerRoman"/>
      <w:lvlText w:val="%9."/>
      <w:lvlJc w:val="right"/>
      <w:pPr>
        <w:ind w:left="6558" w:hanging="180"/>
      </w:pPr>
    </w:lvl>
  </w:abstractNum>
  <w:abstractNum w:abstractNumId="9" w15:restartNumberingAfterBreak="0">
    <w:nsid w:val="1BD03328"/>
    <w:multiLevelType w:val="hybridMultilevel"/>
    <w:tmpl w:val="9AA2A0A2"/>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0" w15:restartNumberingAfterBreak="0">
    <w:nsid w:val="21EB60E5"/>
    <w:multiLevelType w:val="hybridMultilevel"/>
    <w:tmpl w:val="3B663F58"/>
    <w:lvl w:ilvl="0" w:tplc="6ADE4062">
      <w:start w:val="1"/>
      <w:numFmt w:val="decimal"/>
      <w:lvlText w:val="%1."/>
      <w:lvlJc w:val="left"/>
      <w:pPr>
        <w:ind w:left="438" w:hanging="360"/>
      </w:pPr>
      <w:rPr>
        <w:rFonts w:hint="default"/>
      </w:r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abstractNum w:abstractNumId="11" w15:restartNumberingAfterBreak="0">
    <w:nsid w:val="24C5508A"/>
    <w:multiLevelType w:val="hybridMultilevel"/>
    <w:tmpl w:val="6DBE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E5269"/>
    <w:multiLevelType w:val="hybridMultilevel"/>
    <w:tmpl w:val="24F0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12FD3"/>
    <w:multiLevelType w:val="hybridMultilevel"/>
    <w:tmpl w:val="E23A7548"/>
    <w:lvl w:ilvl="0" w:tplc="E774056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E93778"/>
    <w:multiLevelType w:val="multilevel"/>
    <w:tmpl w:val="F8B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2"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2787E"/>
    <w:multiLevelType w:val="multilevel"/>
    <w:tmpl w:val="A49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6" w15:restartNumberingAfterBreak="0">
    <w:nsid w:val="40A243E2"/>
    <w:multiLevelType w:val="hybridMultilevel"/>
    <w:tmpl w:val="9D0A2DBC"/>
    <w:lvl w:ilvl="0" w:tplc="7EAA9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B3940"/>
    <w:multiLevelType w:val="multilevel"/>
    <w:tmpl w:val="3D6E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9"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0"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31" w15:restartNumberingAfterBreak="0">
    <w:nsid w:val="4B483EFC"/>
    <w:multiLevelType w:val="multilevel"/>
    <w:tmpl w:val="F8B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768EE"/>
    <w:multiLevelType w:val="multilevel"/>
    <w:tmpl w:val="6B1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582D6FAD"/>
    <w:multiLevelType w:val="hybridMultilevel"/>
    <w:tmpl w:val="1E0C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81DB4"/>
    <w:multiLevelType w:val="hybridMultilevel"/>
    <w:tmpl w:val="B53C586E"/>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40" w15:restartNumberingAfterBreak="0">
    <w:nsid w:val="5D584FF5"/>
    <w:multiLevelType w:val="hybridMultilevel"/>
    <w:tmpl w:val="497457FC"/>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1" w15:restartNumberingAfterBreak="0">
    <w:nsid w:val="623D17F1"/>
    <w:multiLevelType w:val="hybridMultilevel"/>
    <w:tmpl w:val="66F2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3" w15:restartNumberingAfterBreak="0">
    <w:nsid w:val="6BD345E3"/>
    <w:multiLevelType w:val="hybridMultilevel"/>
    <w:tmpl w:val="9F82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22389C"/>
    <w:multiLevelType w:val="multilevel"/>
    <w:tmpl w:val="E2BE3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7107F31"/>
    <w:multiLevelType w:val="hybridMultilevel"/>
    <w:tmpl w:val="985ECA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1" w15:restartNumberingAfterBreak="0">
    <w:nsid w:val="7FBC3028"/>
    <w:multiLevelType w:val="hybridMultilevel"/>
    <w:tmpl w:val="44B2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C90E6D"/>
    <w:multiLevelType w:val="hybridMultilevel"/>
    <w:tmpl w:val="AC04BC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860672">
    <w:abstractNumId w:val="22"/>
  </w:num>
  <w:num w:numId="2" w16cid:durableId="443622052">
    <w:abstractNumId w:val="28"/>
  </w:num>
  <w:num w:numId="3" w16cid:durableId="1876573863">
    <w:abstractNumId w:val="34"/>
  </w:num>
  <w:num w:numId="4" w16cid:durableId="1844390901">
    <w:abstractNumId w:val="42"/>
  </w:num>
  <w:num w:numId="5" w16cid:durableId="572274582">
    <w:abstractNumId w:val="35"/>
  </w:num>
  <w:num w:numId="6" w16cid:durableId="674115962">
    <w:abstractNumId w:val="29"/>
  </w:num>
  <w:num w:numId="7" w16cid:durableId="623778461">
    <w:abstractNumId w:val="38"/>
  </w:num>
  <w:num w:numId="8" w16cid:durableId="771172287">
    <w:abstractNumId w:val="20"/>
  </w:num>
  <w:num w:numId="9" w16cid:durableId="854270316">
    <w:abstractNumId w:val="45"/>
  </w:num>
  <w:num w:numId="10" w16cid:durableId="548806511">
    <w:abstractNumId w:val="13"/>
  </w:num>
  <w:num w:numId="11" w16cid:durableId="1510098988">
    <w:abstractNumId w:val="18"/>
  </w:num>
  <w:num w:numId="12" w16cid:durableId="946083224">
    <w:abstractNumId w:val="24"/>
  </w:num>
  <w:num w:numId="13" w16cid:durableId="1035035071">
    <w:abstractNumId w:val="3"/>
  </w:num>
  <w:num w:numId="14" w16cid:durableId="427316605">
    <w:abstractNumId w:val="48"/>
  </w:num>
  <w:num w:numId="15" w16cid:durableId="1209293612">
    <w:abstractNumId w:val="30"/>
  </w:num>
  <w:num w:numId="16" w16cid:durableId="421724801">
    <w:abstractNumId w:val="21"/>
  </w:num>
  <w:num w:numId="17" w16cid:durableId="1491479731">
    <w:abstractNumId w:val="46"/>
  </w:num>
  <w:num w:numId="18" w16cid:durableId="1003894794">
    <w:abstractNumId w:val="4"/>
  </w:num>
  <w:num w:numId="19" w16cid:durableId="495851430">
    <w:abstractNumId w:val="19"/>
  </w:num>
  <w:num w:numId="20" w16cid:durableId="515192336">
    <w:abstractNumId w:val="25"/>
  </w:num>
  <w:num w:numId="21" w16cid:durableId="2017077973">
    <w:abstractNumId w:val="44"/>
  </w:num>
  <w:num w:numId="22" w16cid:durableId="835026425">
    <w:abstractNumId w:val="0"/>
  </w:num>
  <w:num w:numId="23" w16cid:durableId="665599675">
    <w:abstractNumId w:val="32"/>
  </w:num>
  <w:num w:numId="24" w16cid:durableId="791552302">
    <w:abstractNumId w:val="37"/>
  </w:num>
  <w:num w:numId="25" w16cid:durableId="1752578651">
    <w:abstractNumId w:val="12"/>
  </w:num>
  <w:num w:numId="26" w16cid:durableId="522327022">
    <w:abstractNumId w:val="16"/>
  </w:num>
  <w:num w:numId="27" w16cid:durableId="1817259987">
    <w:abstractNumId w:val="50"/>
  </w:num>
  <w:num w:numId="28" w16cid:durableId="349530254">
    <w:abstractNumId w:val="6"/>
  </w:num>
  <w:num w:numId="29" w16cid:durableId="847597533">
    <w:abstractNumId w:val="11"/>
  </w:num>
  <w:num w:numId="30" w16cid:durableId="967860544">
    <w:abstractNumId w:val="15"/>
  </w:num>
  <w:num w:numId="31" w16cid:durableId="174081972">
    <w:abstractNumId w:val="7"/>
  </w:num>
  <w:num w:numId="32" w16cid:durableId="639923453">
    <w:abstractNumId w:val="1"/>
  </w:num>
  <w:num w:numId="33" w16cid:durableId="2129813430">
    <w:abstractNumId w:val="10"/>
  </w:num>
  <w:num w:numId="34" w16cid:durableId="1261254415">
    <w:abstractNumId w:val="39"/>
  </w:num>
  <w:num w:numId="35" w16cid:durableId="2131317705">
    <w:abstractNumId w:val="8"/>
  </w:num>
  <w:num w:numId="36" w16cid:durableId="45027410">
    <w:abstractNumId w:val="9"/>
  </w:num>
  <w:num w:numId="37" w16cid:durableId="185751674">
    <w:abstractNumId w:val="40"/>
  </w:num>
  <w:num w:numId="38" w16cid:durableId="1631009110">
    <w:abstractNumId w:val="51"/>
  </w:num>
  <w:num w:numId="39" w16cid:durableId="2065525913">
    <w:abstractNumId w:val="43"/>
  </w:num>
  <w:num w:numId="40" w16cid:durableId="642272270">
    <w:abstractNumId w:val="26"/>
  </w:num>
  <w:num w:numId="41" w16cid:durableId="1748725125">
    <w:abstractNumId w:val="14"/>
  </w:num>
  <w:num w:numId="42" w16cid:durableId="1088190517">
    <w:abstractNumId w:val="52"/>
  </w:num>
  <w:num w:numId="43" w16cid:durableId="1241713126">
    <w:abstractNumId w:val="2"/>
  </w:num>
  <w:num w:numId="44" w16cid:durableId="1104038915">
    <w:abstractNumId w:val="5"/>
  </w:num>
  <w:num w:numId="45" w16cid:durableId="1777368098">
    <w:abstractNumId w:val="49"/>
  </w:num>
  <w:num w:numId="46" w16cid:durableId="621034802">
    <w:abstractNumId w:val="41"/>
  </w:num>
  <w:num w:numId="47" w16cid:durableId="501631589">
    <w:abstractNumId w:val="36"/>
  </w:num>
  <w:num w:numId="48" w16cid:durableId="1068504901">
    <w:abstractNumId w:val="27"/>
  </w:num>
  <w:num w:numId="49" w16cid:durableId="829100835">
    <w:abstractNumId w:val="47"/>
  </w:num>
  <w:num w:numId="50" w16cid:durableId="942343456">
    <w:abstractNumId w:val="33"/>
  </w:num>
  <w:num w:numId="51" w16cid:durableId="1587957619">
    <w:abstractNumId w:val="23"/>
  </w:num>
  <w:num w:numId="52" w16cid:durableId="2052268472">
    <w:abstractNumId w:val="31"/>
  </w:num>
  <w:num w:numId="53" w16cid:durableId="1695615768">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222E"/>
    <w:rsid w:val="00005076"/>
    <w:rsid w:val="0000685D"/>
    <w:rsid w:val="00007565"/>
    <w:rsid w:val="00010331"/>
    <w:rsid w:val="00012D88"/>
    <w:rsid w:val="00016362"/>
    <w:rsid w:val="0002163D"/>
    <w:rsid w:val="00024C94"/>
    <w:rsid w:val="00025328"/>
    <w:rsid w:val="0002673F"/>
    <w:rsid w:val="00026B6C"/>
    <w:rsid w:val="00036986"/>
    <w:rsid w:val="00037FA4"/>
    <w:rsid w:val="00040D3A"/>
    <w:rsid w:val="00044AF7"/>
    <w:rsid w:val="00046F61"/>
    <w:rsid w:val="00056E69"/>
    <w:rsid w:val="00060609"/>
    <w:rsid w:val="00063233"/>
    <w:rsid w:val="0006492E"/>
    <w:rsid w:val="00067D6F"/>
    <w:rsid w:val="000835A9"/>
    <w:rsid w:val="00084D57"/>
    <w:rsid w:val="00084E18"/>
    <w:rsid w:val="000877C1"/>
    <w:rsid w:val="000904EC"/>
    <w:rsid w:val="00090FCE"/>
    <w:rsid w:val="00091801"/>
    <w:rsid w:val="000A0AEE"/>
    <w:rsid w:val="000A7C19"/>
    <w:rsid w:val="000B188D"/>
    <w:rsid w:val="000C2A07"/>
    <w:rsid w:val="000C302D"/>
    <w:rsid w:val="000C425F"/>
    <w:rsid w:val="000C48EB"/>
    <w:rsid w:val="000C4FD6"/>
    <w:rsid w:val="000C7773"/>
    <w:rsid w:val="000D3809"/>
    <w:rsid w:val="000E087D"/>
    <w:rsid w:val="000E5481"/>
    <w:rsid w:val="000E7FD8"/>
    <w:rsid w:val="000F00B6"/>
    <w:rsid w:val="000F2891"/>
    <w:rsid w:val="0010208B"/>
    <w:rsid w:val="00110FCB"/>
    <w:rsid w:val="001166C7"/>
    <w:rsid w:val="00121F11"/>
    <w:rsid w:val="001220F1"/>
    <w:rsid w:val="00122A6F"/>
    <w:rsid w:val="00126A62"/>
    <w:rsid w:val="0013058C"/>
    <w:rsid w:val="00130AB4"/>
    <w:rsid w:val="00141F93"/>
    <w:rsid w:val="00142579"/>
    <w:rsid w:val="0014356E"/>
    <w:rsid w:val="00147F8B"/>
    <w:rsid w:val="00155C6A"/>
    <w:rsid w:val="00162DBD"/>
    <w:rsid w:val="001635FD"/>
    <w:rsid w:val="00167088"/>
    <w:rsid w:val="00167CD7"/>
    <w:rsid w:val="00170F0D"/>
    <w:rsid w:val="00173D2D"/>
    <w:rsid w:val="00174476"/>
    <w:rsid w:val="00186B4E"/>
    <w:rsid w:val="001876EA"/>
    <w:rsid w:val="00191B5C"/>
    <w:rsid w:val="001929CE"/>
    <w:rsid w:val="001A421A"/>
    <w:rsid w:val="001A7D74"/>
    <w:rsid w:val="001B4984"/>
    <w:rsid w:val="001B4B0E"/>
    <w:rsid w:val="001B5C41"/>
    <w:rsid w:val="001B7A0E"/>
    <w:rsid w:val="001C02F2"/>
    <w:rsid w:val="001C09DD"/>
    <w:rsid w:val="001C2B44"/>
    <w:rsid w:val="001C4B8F"/>
    <w:rsid w:val="001C6C6C"/>
    <w:rsid w:val="001F4CC8"/>
    <w:rsid w:val="001F76F2"/>
    <w:rsid w:val="00200C84"/>
    <w:rsid w:val="00203C5F"/>
    <w:rsid w:val="002051A6"/>
    <w:rsid w:val="00220294"/>
    <w:rsid w:val="00221B75"/>
    <w:rsid w:val="0022431B"/>
    <w:rsid w:val="00224F49"/>
    <w:rsid w:val="00227BED"/>
    <w:rsid w:val="00227FA2"/>
    <w:rsid w:val="002315D3"/>
    <w:rsid w:val="002353A9"/>
    <w:rsid w:val="00242C44"/>
    <w:rsid w:val="002437AF"/>
    <w:rsid w:val="00246A5E"/>
    <w:rsid w:val="00254048"/>
    <w:rsid w:val="00256E1C"/>
    <w:rsid w:val="0026339E"/>
    <w:rsid w:val="00265E9D"/>
    <w:rsid w:val="00266C73"/>
    <w:rsid w:val="002679D2"/>
    <w:rsid w:val="00270B03"/>
    <w:rsid w:val="002720FD"/>
    <w:rsid w:val="00272651"/>
    <w:rsid w:val="00272BC9"/>
    <w:rsid w:val="00273415"/>
    <w:rsid w:val="00273FC6"/>
    <w:rsid w:val="00282729"/>
    <w:rsid w:val="00283DA1"/>
    <w:rsid w:val="002859D9"/>
    <w:rsid w:val="0029596E"/>
    <w:rsid w:val="00295CAF"/>
    <w:rsid w:val="002A2180"/>
    <w:rsid w:val="002A256A"/>
    <w:rsid w:val="002B01F9"/>
    <w:rsid w:val="002B0DC1"/>
    <w:rsid w:val="002C45A1"/>
    <w:rsid w:val="002D20DB"/>
    <w:rsid w:val="002D2DAA"/>
    <w:rsid w:val="002D45C5"/>
    <w:rsid w:val="002D6A11"/>
    <w:rsid w:val="002D7C2F"/>
    <w:rsid w:val="002E0425"/>
    <w:rsid w:val="002E1FFC"/>
    <w:rsid w:val="002E5506"/>
    <w:rsid w:val="002E7C14"/>
    <w:rsid w:val="002F1B7B"/>
    <w:rsid w:val="002F5A49"/>
    <w:rsid w:val="002F75D4"/>
    <w:rsid w:val="003010DD"/>
    <w:rsid w:val="003044B4"/>
    <w:rsid w:val="00306B48"/>
    <w:rsid w:val="003104AC"/>
    <w:rsid w:val="003109D3"/>
    <w:rsid w:val="003124E4"/>
    <w:rsid w:val="00314277"/>
    <w:rsid w:val="00314F9B"/>
    <w:rsid w:val="0031581E"/>
    <w:rsid w:val="00315AC4"/>
    <w:rsid w:val="00316DC9"/>
    <w:rsid w:val="00321F29"/>
    <w:rsid w:val="00323DEA"/>
    <w:rsid w:val="0032744E"/>
    <w:rsid w:val="00331EAE"/>
    <w:rsid w:val="003368AB"/>
    <w:rsid w:val="00337707"/>
    <w:rsid w:val="0034065A"/>
    <w:rsid w:val="003423D2"/>
    <w:rsid w:val="003441CF"/>
    <w:rsid w:val="00344D15"/>
    <w:rsid w:val="00347AF5"/>
    <w:rsid w:val="00350C90"/>
    <w:rsid w:val="00354E22"/>
    <w:rsid w:val="00355720"/>
    <w:rsid w:val="00363ABD"/>
    <w:rsid w:val="003661E8"/>
    <w:rsid w:val="00372F39"/>
    <w:rsid w:val="003804E2"/>
    <w:rsid w:val="00381291"/>
    <w:rsid w:val="00384351"/>
    <w:rsid w:val="00391701"/>
    <w:rsid w:val="003951F0"/>
    <w:rsid w:val="003953A3"/>
    <w:rsid w:val="00396576"/>
    <w:rsid w:val="00397BD4"/>
    <w:rsid w:val="003A02BD"/>
    <w:rsid w:val="003A159D"/>
    <w:rsid w:val="003A1AC2"/>
    <w:rsid w:val="003A383E"/>
    <w:rsid w:val="003A4F96"/>
    <w:rsid w:val="003B0E9C"/>
    <w:rsid w:val="003B313C"/>
    <w:rsid w:val="003B68FB"/>
    <w:rsid w:val="003B7233"/>
    <w:rsid w:val="003C0462"/>
    <w:rsid w:val="003C6608"/>
    <w:rsid w:val="003C7B95"/>
    <w:rsid w:val="003D2894"/>
    <w:rsid w:val="003D619E"/>
    <w:rsid w:val="003E5ABD"/>
    <w:rsid w:val="003F031A"/>
    <w:rsid w:val="003F0588"/>
    <w:rsid w:val="003F236A"/>
    <w:rsid w:val="00400D72"/>
    <w:rsid w:val="00403002"/>
    <w:rsid w:val="00403BAA"/>
    <w:rsid w:val="0040548A"/>
    <w:rsid w:val="00412749"/>
    <w:rsid w:val="00413A93"/>
    <w:rsid w:val="00422512"/>
    <w:rsid w:val="004225D2"/>
    <w:rsid w:val="004249E1"/>
    <w:rsid w:val="00425656"/>
    <w:rsid w:val="004274DD"/>
    <w:rsid w:val="00430E59"/>
    <w:rsid w:val="00437B07"/>
    <w:rsid w:val="00437E15"/>
    <w:rsid w:val="00444A3A"/>
    <w:rsid w:val="00447926"/>
    <w:rsid w:val="00447A51"/>
    <w:rsid w:val="00452B21"/>
    <w:rsid w:val="004563CB"/>
    <w:rsid w:val="004662E9"/>
    <w:rsid w:val="00466C7F"/>
    <w:rsid w:val="0047004E"/>
    <w:rsid w:val="00470BC1"/>
    <w:rsid w:val="004713CA"/>
    <w:rsid w:val="004748E6"/>
    <w:rsid w:val="00477921"/>
    <w:rsid w:val="00487A9E"/>
    <w:rsid w:val="00491708"/>
    <w:rsid w:val="0049222D"/>
    <w:rsid w:val="004A30E7"/>
    <w:rsid w:val="004A49E5"/>
    <w:rsid w:val="004A567E"/>
    <w:rsid w:val="004A7495"/>
    <w:rsid w:val="004B12AD"/>
    <w:rsid w:val="004B28AB"/>
    <w:rsid w:val="004B3CE4"/>
    <w:rsid w:val="004C37CB"/>
    <w:rsid w:val="004C505C"/>
    <w:rsid w:val="004C7D9D"/>
    <w:rsid w:val="004D0AA8"/>
    <w:rsid w:val="004D207D"/>
    <w:rsid w:val="004D2D6C"/>
    <w:rsid w:val="004D2ED5"/>
    <w:rsid w:val="004E03EB"/>
    <w:rsid w:val="004E4FBB"/>
    <w:rsid w:val="004E70CB"/>
    <w:rsid w:val="004F184F"/>
    <w:rsid w:val="004F4B81"/>
    <w:rsid w:val="004F4BD3"/>
    <w:rsid w:val="00500BC2"/>
    <w:rsid w:val="005030C9"/>
    <w:rsid w:val="0051289F"/>
    <w:rsid w:val="00514FCD"/>
    <w:rsid w:val="00520573"/>
    <w:rsid w:val="00520BE5"/>
    <w:rsid w:val="00522C16"/>
    <w:rsid w:val="00525C6E"/>
    <w:rsid w:val="0052697F"/>
    <w:rsid w:val="00527175"/>
    <w:rsid w:val="00533D00"/>
    <w:rsid w:val="0053682F"/>
    <w:rsid w:val="00537764"/>
    <w:rsid w:val="005452F2"/>
    <w:rsid w:val="0054705C"/>
    <w:rsid w:val="00552782"/>
    <w:rsid w:val="00562169"/>
    <w:rsid w:val="005638C8"/>
    <w:rsid w:val="005903E8"/>
    <w:rsid w:val="005A2F44"/>
    <w:rsid w:val="005A6310"/>
    <w:rsid w:val="005A73E2"/>
    <w:rsid w:val="005A741C"/>
    <w:rsid w:val="005B10D0"/>
    <w:rsid w:val="005B3591"/>
    <w:rsid w:val="005B429C"/>
    <w:rsid w:val="005B4ABA"/>
    <w:rsid w:val="005B4B8A"/>
    <w:rsid w:val="005B7AAD"/>
    <w:rsid w:val="005C09F8"/>
    <w:rsid w:val="005C3436"/>
    <w:rsid w:val="005C3D67"/>
    <w:rsid w:val="005C46A6"/>
    <w:rsid w:val="005C5CAB"/>
    <w:rsid w:val="005D08BB"/>
    <w:rsid w:val="005D3058"/>
    <w:rsid w:val="005D32A1"/>
    <w:rsid w:val="005D64FD"/>
    <w:rsid w:val="005E5EFD"/>
    <w:rsid w:val="0060351F"/>
    <w:rsid w:val="0060467D"/>
    <w:rsid w:val="006130D9"/>
    <w:rsid w:val="00614508"/>
    <w:rsid w:val="00623399"/>
    <w:rsid w:val="00625EFE"/>
    <w:rsid w:val="00636C99"/>
    <w:rsid w:val="00640526"/>
    <w:rsid w:val="006461DC"/>
    <w:rsid w:val="0064732E"/>
    <w:rsid w:val="00647EFE"/>
    <w:rsid w:val="0065092A"/>
    <w:rsid w:val="006567B7"/>
    <w:rsid w:val="006618D9"/>
    <w:rsid w:val="00662EDD"/>
    <w:rsid w:val="00665A08"/>
    <w:rsid w:val="006663D8"/>
    <w:rsid w:val="00666F8A"/>
    <w:rsid w:val="006742EB"/>
    <w:rsid w:val="006745B2"/>
    <w:rsid w:val="006812EB"/>
    <w:rsid w:val="00682912"/>
    <w:rsid w:val="00683D57"/>
    <w:rsid w:val="00690B2F"/>
    <w:rsid w:val="006933E8"/>
    <w:rsid w:val="0069731C"/>
    <w:rsid w:val="006A3B8F"/>
    <w:rsid w:val="006A5FD5"/>
    <w:rsid w:val="006B05D9"/>
    <w:rsid w:val="006B1669"/>
    <w:rsid w:val="006B4F01"/>
    <w:rsid w:val="006B527E"/>
    <w:rsid w:val="006C0A3A"/>
    <w:rsid w:val="006C3C54"/>
    <w:rsid w:val="006C4176"/>
    <w:rsid w:val="006C5B1C"/>
    <w:rsid w:val="006D7917"/>
    <w:rsid w:val="006E4335"/>
    <w:rsid w:val="006E6D40"/>
    <w:rsid w:val="006F098B"/>
    <w:rsid w:val="006F43B5"/>
    <w:rsid w:val="006F4A27"/>
    <w:rsid w:val="007049D4"/>
    <w:rsid w:val="00712E1F"/>
    <w:rsid w:val="00715216"/>
    <w:rsid w:val="0072130B"/>
    <w:rsid w:val="00721D89"/>
    <w:rsid w:val="0072470B"/>
    <w:rsid w:val="007253FE"/>
    <w:rsid w:val="00733822"/>
    <w:rsid w:val="0073442A"/>
    <w:rsid w:val="007406EE"/>
    <w:rsid w:val="00743893"/>
    <w:rsid w:val="007449C7"/>
    <w:rsid w:val="00746700"/>
    <w:rsid w:val="00752118"/>
    <w:rsid w:val="007534FB"/>
    <w:rsid w:val="0075535D"/>
    <w:rsid w:val="00755B49"/>
    <w:rsid w:val="0075780F"/>
    <w:rsid w:val="0076138B"/>
    <w:rsid w:val="00761970"/>
    <w:rsid w:val="00761C80"/>
    <w:rsid w:val="007632C6"/>
    <w:rsid w:val="00772ED5"/>
    <w:rsid w:val="00773EDA"/>
    <w:rsid w:val="00777676"/>
    <w:rsid w:val="007809D1"/>
    <w:rsid w:val="0078461E"/>
    <w:rsid w:val="00787A66"/>
    <w:rsid w:val="00792EE0"/>
    <w:rsid w:val="007931B2"/>
    <w:rsid w:val="007A3DC6"/>
    <w:rsid w:val="007B26C1"/>
    <w:rsid w:val="007B4AED"/>
    <w:rsid w:val="007B65DC"/>
    <w:rsid w:val="007D131A"/>
    <w:rsid w:val="007D5338"/>
    <w:rsid w:val="007D5A3F"/>
    <w:rsid w:val="007E4DF2"/>
    <w:rsid w:val="007F0B10"/>
    <w:rsid w:val="007F3FA1"/>
    <w:rsid w:val="007F7121"/>
    <w:rsid w:val="008005B2"/>
    <w:rsid w:val="00801BFB"/>
    <w:rsid w:val="008042BB"/>
    <w:rsid w:val="00806443"/>
    <w:rsid w:val="00807B84"/>
    <w:rsid w:val="00810F4F"/>
    <w:rsid w:val="00823B4B"/>
    <w:rsid w:val="00826D2F"/>
    <w:rsid w:val="00826EFC"/>
    <w:rsid w:val="00830220"/>
    <w:rsid w:val="00830C46"/>
    <w:rsid w:val="00833AD8"/>
    <w:rsid w:val="00834EB9"/>
    <w:rsid w:val="00841BD0"/>
    <w:rsid w:val="00842817"/>
    <w:rsid w:val="0084364F"/>
    <w:rsid w:val="00844A5B"/>
    <w:rsid w:val="008558FC"/>
    <w:rsid w:val="008608BE"/>
    <w:rsid w:val="0086172B"/>
    <w:rsid w:val="008628E0"/>
    <w:rsid w:val="00867035"/>
    <w:rsid w:val="00867EE0"/>
    <w:rsid w:val="00872943"/>
    <w:rsid w:val="00884C9F"/>
    <w:rsid w:val="00885BC2"/>
    <w:rsid w:val="00885E47"/>
    <w:rsid w:val="00890534"/>
    <w:rsid w:val="00890A78"/>
    <w:rsid w:val="0089276D"/>
    <w:rsid w:val="00893160"/>
    <w:rsid w:val="00893FC2"/>
    <w:rsid w:val="00894EB6"/>
    <w:rsid w:val="008950B5"/>
    <w:rsid w:val="008A63D0"/>
    <w:rsid w:val="008B1B61"/>
    <w:rsid w:val="008B5955"/>
    <w:rsid w:val="008B656C"/>
    <w:rsid w:val="008C1F21"/>
    <w:rsid w:val="008C4919"/>
    <w:rsid w:val="008C6CA4"/>
    <w:rsid w:val="008C6F93"/>
    <w:rsid w:val="008D003A"/>
    <w:rsid w:val="008D29CD"/>
    <w:rsid w:val="008D3976"/>
    <w:rsid w:val="008D4156"/>
    <w:rsid w:val="008D6210"/>
    <w:rsid w:val="008D6761"/>
    <w:rsid w:val="008F1517"/>
    <w:rsid w:val="008F2A8F"/>
    <w:rsid w:val="008F3BD4"/>
    <w:rsid w:val="008F7341"/>
    <w:rsid w:val="00903FFB"/>
    <w:rsid w:val="009110AB"/>
    <w:rsid w:val="00912FE2"/>
    <w:rsid w:val="0091463F"/>
    <w:rsid w:val="00915B20"/>
    <w:rsid w:val="00924C4F"/>
    <w:rsid w:val="00937E1F"/>
    <w:rsid w:val="009430BB"/>
    <w:rsid w:val="00943DCF"/>
    <w:rsid w:val="009475C0"/>
    <w:rsid w:val="00947A8C"/>
    <w:rsid w:val="009512E5"/>
    <w:rsid w:val="0095283B"/>
    <w:rsid w:val="0095597D"/>
    <w:rsid w:val="00955CFE"/>
    <w:rsid w:val="00957051"/>
    <w:rsid w:val="0096318B"/>
    <w:rsid w:val="009632AF"/>
    <w:rsid w:val="009638A5"/>
    <w:rsid w:val="00965062"/>
    <w:rsid w:val="009707A8"/>
    <w:rsid w:val="009751C1"/>
    <w:rsid w:val="00977651"/>
    <w:rsid w:val="009806F3"/>
    <w:rsid w:val="00992D84"/>
    <w:rsid w:val="009970E2"/>
    <w:rsid w:val="009A0D6D"/>
    <w:rsid w:val="009A5060"/>
    <w:rsid w:val="009A68CD"/>
    <w:rsid w:val="009B0A1B"/>
    <w:rsid w:val="009B5BBC"/>
    <w:rsid w:val="009B6488"/>
    <w:rsid w:val="009C0DA0"/>
    <w:rsid w:val="009C390F"/>
    <w:rsid w:val="009C65EA"/>
    <w:rsid w:val="009D1000"/>
    <w:rsid w:val="009D107A"/>
    <w:rsid w:val="009D24AF"/>
    <w:rsid w:val="009D452D"/>
    <w:rsid w:val="009D4846"/>
    <w:rsid w:val="009D7E73"/>
    <w:rsid w:val="009E1F38"/>
    <w:rsid w:val="009F17EC"/>
    <w:rsid w:val="009F218B"/>
    <w:rsid w:val="009F2C12"/>
    <w:rsid w:val="009F3CCA"/>
    <w:rsid w:val="009F4D37"/>
    <w:rsid w:val="009F5AC1"/>
    <w:rsid w:val="009F5E1E"/>
    <w:rsid w:val="00A02527"/>
    <w:rsid w:val="00A05634"/>
    <w:rsid w:val="00A06928"/>
    <w:rsid w:val="00A07BA1"/>
    <w:rsid w:val="00A10473"/>
    <w:rsid w:val="00A1331A"/>
    <w:rsid w:val="00A17BD0"/>
    <w:rsid w:val="00A2411C"/>
    <w:rsid w:val="00A26D43"/>
    <w:rsid w:val="00A304A0"/>
    <w:rsid w:val="00A359A7"/>
    <w:rsid w:val="00A43C54"/>
    <w:rsid w:val="00A43CC2"/>
    <w:rsid w:val="00A52470"/>
    <w:rsid w:val="00A52ABA"/>
    <w:rsid w:val="00A52AE6"/>
    <w:rsid w:val="00A533C9"/>
    <w:rsid w:val="00A536BA"/>
    <w:rsid w:val="00A55C71"/>
    <w:rsid w:val="00A56107"/>
    <w:rsid w:val="00A602CA"/>
    <w:rsid w:val="00A622FD"/>
    <w:rsid w:val="00A73430"/>
    <w:rsid w:val="00A76910"/>
    <w:rsid w:val="00A77FB2"/>
    <w:rsid w:val="00A8218F"/>
    <w:rsid w:val="00A91C89"/>
    <w:rsid w:val="00A91E3C"/>
    <w:rsid w:val="00A93A29"/>
    <w:rsid w:val="00AA43E7"/>
    <w:rsid w:val="00AB0523"/>
    <w:rsid w:val="00AB26A3"/>
    <w:rsid w:val="00AB3664"/>
    <w:rsid w:val="00AC1D41"/>
    <w:rsid w:val="00AC5A79"/>
    <w:rsid w:val="00AD1B45"/>
    <w:rsid w:val="00AD1FB8"/>
    <w:rsid w:val="00AD363F"/>
    <w:rsid w:val="00AD4DA8"/>
    <w:rsid w:val="00AD60CB"/>
    <w:rsid w:val="00AD685F"/>
    <w:rsid w:val="00AE20FA"/>
    <w:rsid w:val="00AE2BCE"/>
    <w:rsid w:val="00AE36AC"/>
    <w:rsid w:val="00AE611E"/>
    <w:rsid w:val="00AF3C4A"/>
    <w:rsid w:val="00AF7B9A"/>
    <w:rsid w:val="00B00B16"/>
    <w:rsid w:val="00B01DB2"/>
    <w:rsid w:val="00B02CB5"/>
    <w:rsid w:val="00B17226"/>
    <w:rsid w:val="00B17605"/>
    <w:rsid w:val="00B17695"/>
    <w:rsid w:val="00B17EF4"/>
    <w:rsid w:val="00B20108"/>
    <w:rsid w:val="00B22AC3"/>
    <w:rsid w:val="00B23D2E"/>
    <w:rsid w:val="00B25B77"/>
    <w:rsid w:val="00B26876"/>
    <w:rsid w:val="00B35FD9"/>
    <w:rsid w:val="00B36949"/>
    <w:rsid w:val="00B36FBE"/>
    <w:rsid w:val="00B4772D"/>
    <w:rsid w:val="00B47833"/>
    <w:rsid w:val="00B47B33"/>
    <w:rsid w:val="00B5051B"/>
    <w:rsid w:val="00B52048"/>
    <w:rsid w:val="00B53DD7"/>
    <w:rsid w:val="00B55A9F"/>
    <w:rsid w:val="00B60AA6"/>
    <w:rsid w:val="00B6289F"/>
    <w:rsid w:val="00B62E8C"/>
    <w:rsid w:val="00B65298"/>
    <w:rsid w:val="00B71BDD"/>
    <w:rsid w:val="00B71DBA"/>
    <w:rsid w:val="00B72ADF"/>
    <w:rsid w:val="00B734DA"/>
    <w:rsid w:val="00B73C5D"/>
    <w:rsid w:val="00B74ED1"/>
    <w:rsid w:val="00B7682A"/>
    <w:rsid w:val="00B8043F"/>
    <w:rsid w:val="00B81212"/>
    <w:rsid w:val="00B8268A"/>
    <w:rsid w:val="00B85402"/>
    <w:rsid w:val="00B877BC"/>
    <w:rsid w:val="00B94F8C"/>
    <w:rsid w:val="00B96E9B"/>
    <w:rsid w:val="00B9761D"/>
    <w:rsid w:val="00BA4C85"/>
    <w:rsid w:val="00BA6EEC"/>
    <w:rsid w:val="00BB0808"/>
    <w:rsid w:val="00BB37E0"/>
    <w:rsid w:val="00BB5E45"/>
    <w:rsid w:val="00BC3E68"/>
    <w:rsid w:val="00BD09A9"/>
    <w:rsid w:val="00BD0CBF"/>
    <w:rsid w:val="00BD13A6"/>
    <w:rsid w:val="00BD1C79"/>
    <w:rsid w:val="00BD23AB"/>
    <w:rsid w:val="00BD45EC"/>
    <w:rsid w:val="00BD6282"/>
    <w:rsid w:val="00BE03BA"/>
    <w:rsid w:val="00BE2ADD"/>
    <w:rsid w:val="00BF070E"/>
    <w:rsid w:val="00BF19C1"/>
    <w:rsid w:val="00BF2C89"/>
    <w:rsid w:val="00BF54CC"/>
    <w:rsid w:val="00BF589A"/>
    <w:rsid w:val="00BF6C4C"/>
    <w:rsid w:val="00C05008"/>
    <w:rsid w:val="00C115DF"/>
    <w:rsid w:val="00C17BCC"/>
    <w:rsid w:val="00C27A6C"/>
    <w:rsid w:val="00C33EA5"/>
    <w:rsid w:val="00C34065"/>
    <w:rsid w:val="00C36FD8"/>
    <w:rsid w:val="00C3739F"/>
    <w:rsid w:val="00C43A68"/>
    <w:rsid w:val="00C446DE"/>
    <w:rsid w:val="00C50B83"/>
    <w:rsid w:val="00C51786"/>
    <w:rsid w:val="00C61E99"/>
    <w:rsid w:val="00C660F4"/>
    <w:rsid w:val="00C70BBA"/>
    <w:rsid w:val="00C761F5"/>
    <w:rsid w:val="00C76AFB"/>
    <w:rsid w:val="00C835D7"/>
    <w:rsid w:val="00C84487"/>
    <w:rsid w:val="00C84F36"/>
    <w:rsid w:val="00C87210"/>
    <w:rsid w:val="00C87A05"/>
    <w:rsid w:val="00C90C41"/>
    <w:rsid w:val="00CA21CD"/>
    <w:rsid w:val="00CA38DC"/>
    <w:rsid w:val="00CA53D8"/>
    <w:rsid w:val="00CA7052"/>
    <w:rsid w:val="00CB44BE"/>
    <w:rsid w:val="00CB4A04"/>
    <w:rsid w:val="00CC29B3"/>
    <w:rsid w:val="00CC2A0A"/>
    <w:rsid w:val="00CC6A93"/>
    <w:rsid w:val="00CD3132"/>
    <w:rsid w:val="00CD468D"/>
    <w:rsid w:val="00CE0ABF"/>
    <w:rsid w:val="00D01489"/>
    <w:rsid w:val="00D0203C"/>
    <w:rsid w:val="00D05F9F"/>
    <w:rsid w:val="00D10725"/>
    <w:rsid w:val="00D15B55"/>
    <w:rsid w:val="00D21340"/>
    <w:rsid w:val="00D2182F"/>
    <w:rsid w:val="00D22433"/>
    <w:rsid w:val="00D3011B"/>
    <w:rsid w:val="00D32419"/>
    <w:rsid w:val="00D33441"/>
    <w:rsid w:val="00D3503A"/>
    <w:rsid w:val="00D40630"/>
    <w:rsid w:val="00D41006"/>
    <w:rsid w:val="00D45905"/>
    <w:rsid w:val="00D564DA"/>
    <w:rsid w:val="00D57261"/>
    <w:rsid w:val="00D6044B"/>
    <w:rsid w:val="00D61407"/>
    <w:rsid w:val="00D6404D"/>
    <w:rsid w:val="00D643FA"/>
    <w:rsid w:val="00D66305"/>
    <w:rsid w:val="00D67F15"/>
    <w:rsid w:val="00D731A3"/>
    <w:rsid w:val="00D7522F"/>
    <w:rsid w:val="00D7556E"/>
    <w:rsid w:val="00D868A2"/>
    <w:rsid w:val="00D917D6"/>
    <w:rsid w:val="00D92BCA"/>
    <w:rsid w:val="00D961CC"/>
    <w:rsid w:val="00D96D2E"/>
    <w:rsid w:val="00DA240F"/>
    <w:rsid w:val="00DA33B1"/>
    <w:rsid w:val="00DA3CAD"/>
    <w:rsid w:val="00DA642E"/>
    <w:rsid w:val="00DA697F"/>
    <w:rsid w:val="00DA71B0"/>
    <w:rsid w:val="00DB1272"/>
    <w:rsid w:val="00DB2A7E"/>
    <w:rsid w:val="00DB498F"/>
    <w:rsid w:val="00DC2F4C"/>
    <w:rsid w:val="00DC4B28"/>
    <w:rsid w:val="00DC5AF6"/>
    <w:rsid w:val="00DD2E30"/>
    <w:rsid w:val="00DD35DB"/>
    <w:rsid w:val="00DD5A94"/>
    <w:rsid w:val="00DE29B4"/>
    <w:rsid w:val="00DE3A7C"/>
    <w:rsid w:val="00DF25B3"/>
    <w:rsid w:val="00DF3D17"/>
    <w:rsid w:val="00DF5458"/>
    <w:rsid w:val="00DF62EE"/>
    <w:rsid w:val="00E0114B"/>
    <w:rsid w:val="00E01616"/>
    <w:rsid w:val="00E0584F"/>
    <w:rsid w:val="00E06428"/>
    <w:rsid w:val="00E11F3D"/>
    <w:rsid w:val="00E17279"/>
    <w:rsid w:val="00E24277"/>
    <w:rsid w:val="00E269DD"/>
    <w:rsid w:val="00E27C4D"/>
    <w:rsid w:val="00E3047F"/>
    <w:rsid w:val="00E307A0"/>
    <w:rsid w:val="00E30BA6"/>
    <w:rsid w:val="00E318A6"/>
    <w:rsid w:val="00E33E3D"/>
    <w:rsid w:val="00E350CC"/>
    <w:rsid w:val="00E3729E"/>
    <w:rsid w:val="00E37357"/>
    <w:rsid w:val="00E44113"/>
    <w:rsid w:val="00E44626"/>
    <w:rsid w:val="00E51926"/>
    <w:rsid w:val="00E51B24"/>
    <w:rsid w:val="00E526AA"/>
    <w:rsid w:val="00E5485C"/>
    <w:rsid w:val="00E57A05"/>
    <w:rsid w:val="00E6519A"/>
    <w:rsid w:val="00E67A64"/>
    <w:rsid w:val="00E70778"/>
    <w:rsid w:val="00E71656"/>
    <w:rsid w:val="00E743E6"/>
    <w:rsid w:val="00E77684"/>
    <w:rsid w:val="00E80254"/>
    <w:rsid w:val="00E80CF7"/>
    <w:rsid w:val="00E83B50"/>
    <w:rsid w:val="00E8575B"/>
    <w:rsid w:val="00E912F8"/>
    <w:rsid w:val="00E914FC"/>
    <w:rsid w:val="00E91514"/>
    <w:rsid w:val="00E953B5"/>
    <w:rsid w:val="00EA05CB"/>
    <w:rsid w:val="00EA09E9"/>
    <w:rsid w:val="00EA0D49"/>
    <w:rsid w:val="00EA4ED5"/>
    <w:rsid w:val="00EB20C1"/>
    <w:rsid w:val="00EB21FC"/>
    <w:rsid w:val="00EB2F7D"/>
    <w:rsid w:val="00EB3777"/>
    <w:rsid w:val="00EB37C9"/>
    <w:rsid w:val="00EB5390"/>
    <w:rsid w:val="00EB6877"/>
    <w:rsid w:val="00EC0CAE"/>
    <w:rsid w:val="00EC28E3"/>
    <w:rsid w:val="00EC7679"/>
    <w:rsid w:val="00ED3E31"/>
    <w:rsid w:val="00ED42DB"/>
    <w:rsid w:val="00ED65E2"/>
    <w:rsid w:val="00EF1842"/>
    <w:rsid w:val="00EF45B1"/>
    <w:rsid w:val="00F015C1"/>
    <w:rsid w:val="00F01EE9"/>
    <w:rsid w:val="00F13C3D"/>
    <w:rsid w:val="00F16008"/>
    <w:rsid w:val="00F228E6"/>
    <w:rsid w:val="00F24D67"/>
    <w:rsid w:val="00F269A2"/>
    <w:rsid w:val="00F37413"/>
    <w:rsid w:val="00F4024E"/>
    <w:rsid w:val="00F41502"/>
    <w:rsid w:val="00F430F4"/>
    <w:rsid w:val="00F6061C"/>
    <w:rsid w:val="00F66A76"/>
    <w:rsid w:val="00F7068C"/>
    <w:rsid w:val="00F716FF"/>
    <w:rsid w:val="00F73CE2"/>
    <w:rsid w:val="00F74530"/>
    <w:rsid w:val="00F81875"/>
    <w:rsid w:val="00F83242"/>
    <w:rsid w:val="00F862E4"/>
    <w:rsid w:val="00F87378"/>
    <w:rsid w:val="00F91072"/>
    <w:rsid w:val="00F928EA"/>
    <w:rsid w:val="00F92AA9"/>
    <w:rsid w:val="00F93802"/>
    <w:rsid w:val="00F93EF5"/>
    <w:rsid w:val="00F93F12"/>
    <w:rsid w:val="00F969CE"/>
    <w:rsid w:val="00F973D9"/>
    <w:rsid w:val="00FA0B57"/>
    <w:rsid w:val="00FA5704"/>
    <w:rsid w:val="00FA6D0E"/>
    <w:rsid w:val="00FB33C3"/>
    <w:rsid w:val="00FB445F"/>
    <w:rsid w:val="00FB48AD"/>
    <w:rsid w:val="00FC2838"/>
    <w:rsid w:val="00FC69C3"/>
    <w:rsid w:val="00FD25EF"/>
    <w:rsid w:val="00FD44E6"/>
    <w:rsid w:val="00FD49CF"/>
    <w:rsid w:val="00FD4E09"/>
    <w:rsid w:val="00FE26F8"/>
    <w:rsid w:val="00FF53BB"/>
    <w:rsid w:val="00FF7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502D7"/>
  <w15:chartTrackingRefBased/>
  <w15:docId w15:val="{9C670046-714D-A545-A05F-ABC9E2EB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eastAsia="en-US"/>
    </w:rPr>
  </w:style>
  <w:style w:type="paragraph" w:styleId="ListParagraph">
    <w:name w:val="List Paragraph"/>
    <w:aliases w:val="Bullet Points,Liste Paragraf,Normal bullet 2,body 2,List Paragraph2,Paragraph,Paragraphe de liste PBLH,Bullet list,Figure_name,Equipment,Numbered Indented Text,lp1,List Paragraph11,List Paragraph Char Char Char,Header bold"/>
    <w:basedOn w:val="Normal"/>
    <w:link w:val="ListParagraphChar"/>
    <w:uiPriority w:val="1"/>
    <w:qFormat/>
    <w:rsid w:val="007D131A"/>
    <w:pPr>
      <w:ind w:left="720"/>
      <w:contextualSpacing/>
    </w:pPr>
    <w:rPr>
      <w:noProof/>
      <w:lang w:val="ro-RO"/>
    </w:rPr>
  </w:style>
  <w:style w:type="table" w:styleId="TableGrid">
    <w:name w:val="Table Grid"/>
    <w:basedOn w:val="TableNormal"/>
    <w:uiPriority w:val="3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paragraph" w:styleId="Revision">
    <w:name w:val="Revision"/>
    <w:hidden/>
    <w:uiPriority w:val="99"/>
    <w:semiHidden/>
    <w:rsid w:val="00830220"/>
    <w:rPr>
      <w:sz w:val="22"/>
      <w:szCs w:val="22"/>
      <w:lang w:val="en-GB" w:eastAsia="en-US"/>
    </w:rPr>
  </w:style>
  <w:style w:type="paragraph" w:customStyle="1" w:styleId="al">
    <w:name w:val="a_l"/>
    <w:basedOn w:val="Normal"/>
    <w:rsid w:val="000877C1"/>
    <w:pPr>
      <w:spacing w:after="0" w:line="240" w:lineRule="auto"/>
      <w:jc w:val="both"/>
    </w:pPr>
    <w:rPr>
      <w:rFonts w:ascii="Times New Roman" w:eastAsiaTheme="minorEastAsia" w:hAnsi="Times New Roman"/>
      <w:sz w:val="24"/>
      <w:szCs w:val="24"/>
      <w:lang w:val="en-US"/>
    </w:rPr>
  </w:style>
  <w:style w:type="character" w:customStyle="1" w:styleId="slitbdy">
    <w:name w:val="s_lit_bdy"/>
    <w:basedOn w:val="DefaultParagraphFont"/>
    <w:rsid w:val="00EF1842"/>
  </w:style>
  <w:style w:type="character" w:customStyle="1" w:styleId="UnresolvedMention1">
    <w:name w:val="Unresolved Mention1"/>
    <w:basedOn w:val="DefaultParagraphFont"/>
    <w:uiPriority w:val="99"/>
    <w:semiHidden/>
    <w:unhideWhenUsed/>
    <w:rsid w:val="00090FCE"/>
    <w:rPr>
      <w:color w:val="605E5C"/>
      <w:shd w:val="clear" w:color="auto" w:fill="E1DFDD"/>
    </w:rPr>
  </w:style>
  <w:style w:type="character" w:customStyle="1" w:styleId="ListParagraphChar">
    <w:name w:val="List Paragraph Char"/>
    <w:aliases w:val="Bullet Points Char,Liste Paragraf Char,Normal bullet 2 Char,body 2 Char,List Paragraph2 Char,Paragraph Char,Paragraphe de liste PBLH Char,Bullet list Char,Figure_name Char,Equipment Char,Numbered Indented Text Char,lp1 Char"/>
    <w:link w:val="ListParagraph"/>
    <w:uiPriority w:val="34"/>
    <w:locked/>
    <w:rsid w:val="00CA53D8"/>
    <w:rPr>
      <w:noProof/>
      <w:sz w:val="22"/>
      <w:szCs w:val="22"/>
      <w:lang w:eastAsia="en-US"/>
    </w:rPr>
  </w:style>
  <w:style w:type="character" w:styleId="UnresolvedMention">
    <w:name w:val="Unresolved Mention"/>
    <w:basedOn w:val="DefaultParagraphFont"/>
    <w:uiPriority w:val="99"/>
    <w:semiHidden/>
    <w:unhideWhenUsed/>
    <w:rsid w:val="00405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6068752">
      <w:bodyDiv w:val="1"/>
      <w:marLeft w:val="0"/>
      <w:marRight w:val="0"/>
      <w:marTop w:val="0"/>
      <w:marBottom w:val="0"/>
      <w:divBdr>
        <w:top w:val="none" w:sz="0" w:space="0" w:color="auto"/>
        <w:left w:val="none" w:sz="0" w:space="0" w:color="auto"/>
        <w:bottom w:val="none" w:sz="0" w:space="0" w:color="auto"/>
        <w:right w:val="none" w:sz="0" w:space="0" w:color="auto"/>
      </w:divBdr>
      <w:divsChild>
        <w:div w:id="396829110">
          <w:marLeft w:val="0"/>
          <w:marRight w:val="0"/>
          <w:marTop w:val="2250"/>
          <w:marBottom w:val="0"/>
          <w:divBdr>
            <w:top w:val="none" w:sz="0" w:space="0" w:color="auto"/>
            <w:left w:val="none" w:sz="0" w:space="0" w:color="auto"/>
            <w:bottom w:val="none" w:sz="0" w:space="0" w:color="auto"/>
            <w:right w:val="none" w:sz="0" w:space="0" w:color="auto"/>
          </w:divBdr>
          <w:divsChild>
            <w:div w:id="1603608175">
              <w:marLeft w:val="-225"/>
              <w:marRight w:val="-225"/>
              <w:marTop w:val="0"/>
              <w:marBottom w:val="0"/>
              <w:divBdr>
                <w:top w:val="none" w:sz="0" w:space="0" w:color="auto"/>
                <w:left w:val="none" w:sz="0" w:space="0" w:color="auto"/>
                <w:bottom w:val="none" w:sz="0" w:space="0" w:color="auto"/>
                <w:right w:val="none" w:sz="0" w:space="0" w:color="auto"/>
              </w:divBdr>
              <w:divsChild>
                <w:div w:id="2088571994">
                  <w:marLeft w:val="0"/>
                  <w:marRight w:val="0"/>
                  <w:marTop w:val="0"/>
                  <w:marBottom w:val="0"/>
                  <w:divBdr>
                    <w:top w:val="none" w:sz="0" w:space="0" w:color="auto"/>
                    <w:left w:val="none" w:sz="0" w:space="0" w:color="auto"/>
                    <w:bottom w:val="none" w:sz="0" w:space="0" w:color="auto"/>
                    <w:right w:val="none" w:sz="0" w:space="0" w:color="auto"/>
                  </w:divBdr>
                  <w:divsChild>
                    <w:div w:id="188521201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235481107">
      <w:bodyDiv w:val="1"/>
      <w:marLeft w:val="0"/>
      <w:marRight w:val="0"/>
      <w:marTop w:val="0"/>
      <w:marBottom w:val="0"/>
      <w:divBdr>
        <w:top w:val="none" w:sz="0" w:space="0" w:color="auto"/>
        <w:left w:val="none" w:sz="0" w:space="0" w:color="auto"/>
        <w:bottom w:val="none" w:sz="0" w:space="0" w:color="auto"/>
        <w:right w:val="none" w:sz="0" w:space="0" w:color="auto"/>
      </w:divBdr>
    </w:div>
    <w:div w:id="436490856">
      <w:bodyDiv w:val="1"/>
      <w:marLeft w:val="0"/>
      <w:marRight w:val="0"/>
      <w:marTop w:val="0"/>
      <w:marBottom w:val="0"/>
      <w:divBdr>
        <w:top w:val="none" w:sz="0" w:space="0" w:color="auto"/>
        <w:left w:val="none" w:sz="0" w:space="0" w:color="auto"/>
        <w:bottom w:val="none" w:sz="0" w:space="0" w:color="auto"/>
        <w:right w:val="none" w:sz="0" w:space="0" w:color="auto"/>
      </w:divBdr>
    </w:div>
    <w:div w:id="541940118">
      <w:bodyDiv w:val="1"/>
      <w:marLeft w:val="0"/>
      <w:marRight w:val="0"/>
      <w:marTop w:val="0"/>
      <w:marBottom w:val="0"/>
      <w:divBdr>
        <w:top w:val="none" w:sz="0" w:space="0" w:color="auto"/>
        <w:left w:val="none" w:sz="0" w:space="0" w:color="auto"/>
        <w:bottom w:val="none" w:sz="0" w:space="0" w:color="auto"/>
        <w:right w:val="none" w:sz="0" w:space="0" w:color="auto"/>
      </w:divBdr>
    </w:div>
    <w:div w:id="583540336">
      <w:bodyDiv w:val="1"/>
      <w:marLeft w:val="0"/>
      <w:marRight w:val="0"/>
      <w:marTop w:val="0"/>
      <w:marBottom w:val="0"/>
      <w:divBdr>
        <w:top w:val="none" w:sz="0" w:space="0" w:color="auto"/>
        <w:left w:val="none" w:sz="0" w:space="0" w:color="auto"/>
        <w:bottom w:val="none" w:sz="0" w:space="0" w:color="auto"/>
        <w:right w:val="none" w:sz="0" w:space="0" w:color="auto"/>
      </w:divBdr>
    </w:div>
    <w:div w:id="600455422">
      <w:bodyDiv w:val="1"/>
      <w:marLeft w:val="0"/>
      <w:marRight w:val="0"/>
      <w:marTop w:val="0"/>
      <w:marBottom w:val="0"/>
      <w:divBdr>
        <w:top w:val="none" w:sz="0" w:space="0" w:color="auto"/>
        <w:left w:val="none" w:sz="0" w:space="0" w:color="auto"/>
        <w:bottom w:val="none" w:sz="0" w:space="0" w:color="auto"/>
        <w:right w:val="none" w:sz="0" w:space="0" w:color="auto"/>
      </w:divBdr>
    </w:div>
    <w:div w:id="662900613">
      <w:bodyDiv w:val="1"/>
      <w:marLeft w:val="0"/>
      <w:marRight w:val="0"/>
      <w:marTop w:val="0"/>
      <w:marBottom w:val="0"/>
      <w:divBdr>
        <w:top w:val="none" w:sz="0" w:space="0" w:color="auto"/>
        <w:left w:val="none" w:sz="0" w:space="0" w:color="auto"/>
        <w:bottom w:val="none" w:sz="0" w:space="0" w:color="auto"/>
        <w:right w:val="none" w:sz="0" w:space="0" w:color="auto"/>
      </w:divBdr>
    </w:div>
    <w:div w:id="735474577">
      <w:bodyDiv w:val="1"/>
      <w:marLeft w:val="0"/>
      <w:marRight w:val="0"/>
      <w:marTop w:val="0"/>
      <w:marBottom w:val="0"/>
      <w:divBdr>
        <w:top w:val="none" w:sz="0" w:space="0" w:color="auto"/>
        <w:left w:val="none" w:sz="0" w:space="0" w:color="auto"/>
        <w:bottom w:val="none" w:sz="0" w:space="0" w:color="auto"/>
        <w:right w:val="none" w:sz="0" w:space="0" w:color="auto"/>
      </w:divBdr>
    </w:div>
    <w:div w:id="744835428">
      <w:bodyDiv w:val="1"/>
      <w:marLeft w:val="0"/>
      <w:marRight w:val="0"/>
      <w:marTop w:val="0"/>
      <w:marBottom w:val="0"/>
      <w:divBdr>
        <w:top w:val="none" w:sz="0" w:space="0" w:color="auto"/>
        <w:left w:val="none" w:sz="0" w:space="0" w:color="auto"/>
        <w:bottom w:val="none" w:sz="0" w:space="0" w:color="auto"/>
        <w:right w:val="none" w:sz="0" w:space="0" w:color="auto"/>
      </w:divBdr>
      <w:divsChild>
        <w:div w:id="223806298">
          <w:marLeft w:val="0"/>
          <w:marRight w:val="0"/>
          <w:marTop w:val="0"/>
          <w:marBottom w:val="300"/>
          <w:divBdr>
            <w:top w:val="none" w:sz="0" w:space="0" w:color="auto"/>
            <w:left w:val="none" w:sz="0" w:space="0" w:color="auto"/>
            <w:bottom w:val="none" w:sz="0" w:space="0" w:color="auto"/>
            <w:right w:val="none" w:sz="0" w:space="0" w:color="auto"/>
          </w:divBdr>
          <w:divsChild>
            <w:div w:id="1668433338">
              <w:marLeft w:val="0"/>
              <w:marRight w:val="300"/>
              <w:marTop w:val="0"/>
              <w:marBottom w:val="150"/>
              <w:divBdr>
                <w:top w:val="none" w:sz="0" w:space="0" w:color="auto"/>
                <w:left w:val="none" w:sz="0" w:space="0" w:color="auto"/>
                <w:bottom w:val="none" w:sz="0" w:space="0" w:color="auto"/>
                <w:right w:val="none" w:sz="0" w:space="0" w:color="auto"/>
              </w:divBdr>
            </w:div>
            <w:div w:id="2082365550">
              <w:marLeft w:val="0"/>
              <w:marRight w:val="0"/>
              <w:marTop w:val="0"/>
              <w:marBottom w:val="0"/>
              <w:divBdr>
                <w:top w:val="none" w:sz="0" w:space="0" w:color="auto"/>
                <w:left w:val="none" w:sz="0" w:space="0" w:color="auto"/>
                <w:bottom w:val="none" w:sz="0" w:space="0" w:color="auto"/>
                <w:right w:val="none" w:sz="0" w:space="0" w:color="auto"/>
              </w:divBdr>
            </w:div>
          </w:divsChild>
        </w:div>
        <w:div w:id="335881563">
          <w:marLeft w:val="0"/>
          <w:marRight w:val="300"/>
          <w:marTop w:val="0"/>
          <w:marBottom w:val="300"/>
          <w:divBdr>
            <w:top w:val="none" w:sz="0" w:space="0" w:color="auto"/>
            <w:left w:val="none" w:sz="0" w:space="0" w:color="auto"/>
            <w:bottom w:val="none" w:sz="0" w:space="0" w:color="auto"/>
            <w:right w:val="none" w:sz="0" w:space="0" w:color="auto"/>
          </w:divBdr>
          <w:divsChild>
            <w:div w:id="1667589046">
              <w:marLeft w:val="0"/>
              <w:marRight w:val="0"/>
              <w:marTop w:val="0"/>
              <w:marBottom w:val="0"/>
              <w:divBdr>
                <w:top w:val="none" w:sz="0" w:space="0" w:color="auto"/>
                <w:left w:val="none" w:sz="0" w:space="0" w:color="auto"/>
                <w:bottom w:val="none" w:sz="0" w:space="0" w:color="auto"/>
                <w:right w:val="none" w:sz="0" w:space="0" w:color="auto"/>
              </w:divBdr>
            </w:div>
            <w:div w:id="1923945851">
              <w:marLeft w:val="0"/>
              <w:marRight w:val="0"/>
              <w:marTop w:val="0"/>
              <w:marBottom w:val="0"/>
              <w:divBdr>
                <w:top w:val="none" w:sz="0" w:space="0" w:color="auto"/>
                <w:left w:val="none" w:sz="0" w:space="0" w:color="auto"/>
                <w:bottom w:val="none" w:sz="0" w:space="0" w:color="auto"/>
                <w:right w:val="none" w:sz="0" w:space="0" w:color="auto"/>
              </w:divBdr>
            </w:div>
          </w:divsChild>
        </w:div>
        <w:div w:id="421151057">
          <w:marLeft w:val="0"/>
          <w:marRight w:val="0"/>
          <w:marTop w:val="0"/>
          <w:marBottom w:val="0"/>
          <w:divBdr>
            <w:top w:val="none" w:sz="0" w:space="0" w:color="auto"/>
            <w:left w:val="none" w:sz="0" w:space="0" w:color="auto"/>
            <w:bottom w:val="none" w:sz="0" w:space="0" w:color="auto"/>
            <w:right w:val="none" w:sz="0" w:space="0" w:color="auto"/>
          </w:divBdr>
        </w:div>
        <w:div w:id="633482733">
          <w:marLeft w:val="0"/>
          <w:marRight w:val="0"/>
          <w:marTop w:val="0"/>
          <w:marBottom w:val="300"/>
          <w:divBdr>
            <w:top w:val="none" w:sz="0" w:space="0" w:color="auto"/>
            <w:left w:val="none" w:sz="0" w:space="0" w:color="auto"/>
            <w:bottom w:val="none" w:sz="0" w:space="0" w:color="auto"/>
            <w:right w:val="none" w:sz="0" w:space="0" w:color="auto"/>
          </w:divBdr>
          <w:divsChild>
            <w:div w:id="1084497850">
              <w:marLeft w:val="0"/>
              <w:marRight w:val="0"/>
              <w:marTop w:val="0"/>
              <w:marBottom w:val="0"/>
              <w:divBdr>
                <w:top w:val="none" w:sz="0" w:space="0" w:color="auto"/>
                <w:left w:val="none" w:sz="0" w:space="0" w:color="auto"/>
                <w:bottom w:val="none" w:sz="0" w:space="0" w:color="auto"/>
                <w:right w:val="none" w:sz="0" w:space="0" w:color="auto"/>
              </w:divBdr>
            </w:div>
            <w:div w:id="1372729649">
              <w:marLeft w:val="0"/>
              <w:marRight w:val="0"/>
              <w:marTop w:val="0"/>
              <w:marBottom w:val="0"/>
              <w:divBdr>
                <w:top w:val="none" w:sz="0" w:space="0" w:color="auto"/>
                <w:left w:val="none" w:sz="0" w:space="0" w:color="auto"/>
                <w:bottom w:val="none" w:sz="0" w:space="0" w:color="auto"/>
                <w:right w:val="none" w:sz="0" w:space="0" w:color="auto"/>
              </w:divBdr>
            </w:div>
          </w:divsChild>
        </w:div>
        <w:div w:id="715199764">
          <w:marLeft w:val="0"/>
          <w:marRight w:val="300"/>
          <w:marTop w:val="0"/>
          <w:marBottom w:val="300"/>
          <w:divBdr>
            <w:top w:val="none" w:sz="0" w:space="0" w:color="auto"/>
            <w:left w:val="none" w:sz="0" w:space="0" w:color="auto"/>
            <w:bottom w:val="none" w:sz="0" w:space="0" w:color="auto"/>
            <w:right w:val="none" w:sz="0" w:space="0" w:color="auto"/>
          </w:divBdr>
          <w:divsChild>
            <w:div w:id="146169400">
              <w:marLeft w:val="0"/>
              <w:marRight w:val="0"/>
              <w:marTop w:val="0"/>
              <w:marBottom w:val="0"/>
              <w:divBdr>
                <w:top w:val="none" w:sz="0" w:space="0" w:color="auto"/>
                <w:left w:val="none" w:sz="0" w:space="0" w:color="auto"/>
                <w:bottom w:val="none" w:sz="0" w:space="0" w:color="auto"/>
                <w:right w:val="none" w:sz="0" w:space="0" w:color="auto"/>
              </w:divBdr>
            </w:div>
            <w:div w:id="458110766">
              <w:marLeft w:val="0"/>
              <w:marRight w:val="0"/>
              <w:marTop w:val="0"/>
              <w:marBottom w:val="0"/>
              <w:divBdr>
                <w:top w:val="none" w:sz="0" w:space="0" w:color="auto"/>
                <w:left w:val="none" w:sz="0" w:space="0" w:color="auto"/>
                <w:bottom w:val="none" w:sz="0" w:space="0" w:color="auto"/>
                <w:right w:val="none" w:sz="0" w:space="0" w:color="auto"/>
              </w:divBdr>
            </w:div>
          </w:divsChild>
        </w:div>
        <w:div w:id="943616743">
          <w:marLeft w:val="0"/>
          <w:marRight w:val="300"/>
          <w:marTop w:val="0"/>
          <w:marBottom w:val="300"/>
          <w:divBdr>
            <w:top w:val="none" w:sz="0" w:space="0" w:color="auto"/>
            <w:left w:val="none" w:sz="0" w:space="0" w:color="auto"/>
            <w:bottom w:val="none" w:sz="0" w:space="0" w:color="auto"/>
            <w:right w:val="none" w:sz="0" w:space="0" w:color="auto"/>
          </w:divBdr>
          <w:divsChild>
            <w:div w:id="665935056">
              <w:marLeft w:val="0"/>
              <w:marRight w:val="0"/>
              <w:marTop w:val="0"/>
              <w:marBottom w:val="0"/>
              <w:divBdr>
                <w:top w:val="none" w:sz="0" w:space="0" w:color="auto"/>
                <w:left w:val="none" w:sz="0" w:space="0" w:color="auto"/>
                <w:bottom w:val="none" w:sz="0" w:space="0" w:color="auto"/>
                <w:right w:val="none" w:sz="0" w:space="0" w:color="auto"/>
              </w:divBdr>
            </w:div>
            <w:div w:id="1673336147">
              <w:marLeft w:val="0"/>
              <w:marRight w:val="0"/>
              <w:marTop w:val="0"/>
              <w:marBottom w:val="0"/>
              <w:divBdr>
                <w:top w:val="none" w:sz="0" w:space="0" w:color="auto"/>
                <w:left w:val="none" w:sz="0" w:space="0" w:color="auto"/>
                <w:bottom w:val="none" w:sz="0" w:space="0" w:color="auto"/>
                <w:right w:val="none" w:sz="0" w:space="0" w:color="auto"/>
              </w:divBdr>
            </w:div>
          </w:divsChild>
        </w:div>
        <w:div w:id="1178735022">
          <w:marLeft w:val="0"/>
          <w:marRight w:val="300"/>
          <w:marTop w:val="0"/>
          <w:marBottom w:val="300"/>
          <w:divBdr>
            <w:top w:val="none" w:sz="0" w:space="0" w:color="auto"/>
            <w:left w:val="none" w:sz="0" w:space="0" w:color="auto"/>
            <w:bottom w:val="none" w:sz="0" w:space="0" w:color="auto"/>
            <w:right w:val="none" w:sz="0" w:space="0" w:color="auto"/>
          </w:divBdr>
          <w:divsChild>
            <w:div w:id="943414631">
              <w:marLeft w:val="0"/>
              <w:marRight w:val="0"/>
              <w:marTop w:val="0"/>
              <w:marBottom w:val="0"/>
              <w:divBdr>
                <w:top w:val="none" w:sz="0" w:space="0" w:color="auto"/>
                <w:left w:val="none" w:sz="0" w:space="0" w:color="auto"/>
                <w:bottom w:val="none" w:sz="0" w:space="0" w:color="auto"/>
                <w:right w:val="none" w:sz="0" w:space="0" w:color="auto"/>
              </w:divBdr>
            </w:div>
            <w:div w:id="1670256817">
              <w:marLeft w:val="0"/>
              <w:marRight w:val="0"/>
              <w:marTop w:val="0"/>
              <w:marBottom w:val="0"/>
              <w:divBdr>
                <w:top w:val="none" w:sz="0" w:space="0" w:color="auto"/>
                <w:left w:val="none" w:sz="0" w:space="0" w:color="auto"/>
                <w:bottom w:val="none" w:sz="0" w:space="0" w:color="auto"/>
                <w:right w:val="none" w:sz="0" w:space="0" w:color="auto"/>
              </w:divBdr>
            </w:div>
          </w:divsChild>
        </w:div>
        <w:div w:id="1776562070">
          <w:marLeft w:val="0"/>
          <w:marRight w:val="300"/>
          <w:marTop w:val="0"/>
          <w:marBottom w:val="300"/>
          <w:divBdr>
            <w:top w:val="none" w:sz="0" w:space="0" w:color="auto"/>
            <w:left w:val="none" w:sz="0" w:space="0" w:color="auto"/>
            <w:bottom w:val="none" w:sz="0" w:space="0" w:color="auto"/>
            <w:right w:val="none" w:sz="0" w:space="0" w:color="auto"/>
          </w:divBdr>
          <w:divsChild>
            <w:div w:id="340161320">
              <w:marLeft w:val="0"/>
              <w:marRight w:val="0"/>
              <w:marTop w:val="0"/>
              <w:marBottom w:val="0"/>
              <w:divBdr>
                <w:top w:val="none" w:sz="0" w:space="0" w:color="auto"/>
                <w:left w:val="none" w:sz="0" w:space="0" w:color="auto"/>
                <w:bottom w:val="none" w:sz="0" w:space="0" w:color="auto"/>
                <w:right w:val="none" w:sz="0" w:space="0" w:color="auto"/>
              </w:divBdr>
            </w:div>
            <w:div w:id="1629895354">
              <w:marLeft w:val="0"/>
              <w:marRight w:val="0"/>
              <w:marTop w:val="0"/>
              <w:marBottom w:val="0"/>
              <w:divBdr>
                <w:top w:val="none" w:sz="0" w:space="0" w:color="auto"/>
                <w:left w:val="none" w:sz="0" w:space="0" w:color="auto"/>
                <w:bottom w:val="none" w:sz="0" w:space="0" w:color="auto"/>
                <w:right w:val="none" w:sz="0" w:space="0" w:color="auto"/>
              </w:divBdr>
            </w:div>
          </w:divsChild>
        </w:div>
        <w:div w:id="1872523803">
          <w:marLeft w:val="0"/>
          <w:marRight w:val="300"/>
          <w:marTop w:val="0"/>
          <w:marBottom w:val="300"/>
          <w:divBdr>
            <w:top w:val="none" w:sz="0" w:space="0" w:color="auto"/>
            <w:left w:val="none" w:sz="0" w:space="0" w:color="auto"/>
            <w:bottom w:val="none" w:sz="0" w:space="0" w:color="auto"/>
            <w:right w:val="none" w:sz="0" w:space="0" w:color="auto"/>
          </w:divBdr>
          <w:divsChild>
            <w:div w:id="2120024464">
              <w:marLeft w:val="0"/>
              <w:marRight w:val="0"/>
              <w:marTop w:val="0"/>
              <w:marBottom w:val="0"/>
              <w:divBdr>
                <w:top w:val="none" w:sz="0" w:space="0" w:color="auto"/>
                <w:left w:val="none" w:sz="0" w:space="0" w:color="auto"/>
                <w:bottom w:val="none" w:sz="0" w:space="0" w:color="auto"/>
                <w:right w:val="none" w:sz="0" w:space="0" w:color="auto"/>
              </w:divBdr>
            </w:div>
            <w:div w:id="2144033101">
              <w:marLeft w:val="0"/>
              <w:marRight w:val="0"/>
              <w:marTop w:val="0"/>
              <w:marBottom w:val="0"/>
              <w:divBdr>
                <w:top w:val="none" w:sz="0" w:space="0" w:color="auto"/>
                <w:left w:val="none" w:sz="0" w:space="0" w:color="auto"/>
                <w:bottom w:val="none" w:sz="0" w:space="0" w:color="auto"/>
                <w:right w:val="none" w:sz="0" w:space="0" w:color="auto"/>
              </w:divBdr>
            </w:div>
          </w:divsChild>
        </w:div>
        <w:div w:id="1956207832">
          <w:marLeft w:val="0"/>
          <w:marRight w:val="0"/>
          <w:marTop w:val="0"/>
          <w:marBottom w:val="300"/>
          <w:divBdr>
            <w:top w:val="none" w:sz="0" w:space="0" w:color="auto"/>
            <w:left w:val="none" w:sz="0" w:space="0" w:color="auto"/>
            <w:bottom w:val="none" w:sz="0" w:space="0" w:color="auto"/>
            <w:right w:val="none" w:sz="0" w:space="0" w:color="auto"/>
          </w:divBdr>
          <w:divsChild>
            <w:div w:id="213275013">
              <w:marLeft w:val="0"/>
              <w:marRight w:val="0"/>
              <w:marTop w:val="0"/>
              <w:marBottom w:val="0"/>
              <w:divBdr>
                <w:top w:val="none" w:sz="0" w:space="0" w:color="auto"/>
                <w:left w:val="none" w:sz="0" w:space="0" w:color="auto"/>
                <w:bottom w:val="none" w:sz="0" w:space="0" w:color="auto"/>
                <w:right w:val="none" w:sz="0" w:space="0" w:color="auto"/>
              </w:divBdr>
            </w:div>
            <w:div w:id="298611290">
              <w:marLeft w:val="0"/>
              <w:marRight w:val="0"/>
              <w:marTop w:val="0"/>
              <w:marBottom w:val="0"/>
              <w:divBdr>
                <w:top w:val="none" w:sz="0" w:space="0" w:color="auto"/>
                <w:left w:val="none" w:sz="0" w:space="0" w:color="auto"/>
                <w:bottom w:val="none" w:sz="0" w:space="0" w:color="auto"/>
                <w:right w:val="none" w:sz="0" w:space="0" w:color="auto"/>
              </w:divBdr>
            </w:div>
          </w:divsChild>
        </w:div>
        <w:div w:id="1988438979">
          <w:marLeft w:val="0"/>
          <w:marRight w:val="300"/>
          <w:marTop w:val="0"/>
          <w:marBottom w:val="300"/>
          <w:divBdr>
            <w:top w:val="none" w:sz="0" w:space="0" w:color="auto"/>
            <w:left w:val="none" w:sz="0" w:space="0" w:color="auto"/>
            <w:bottom w:val="none" w:sz="0" w:space="0" w:color="auto"/>
            <w:right w:val="none" w:sz="0" w:space="0" w:color="auto"/>
          </w:divBdr>
          <w:divsChild>
            <w:div w:id="639964358">
              <w:marLeft w:val="0"/>
              <w:marRight w:val="0"/>
              <w:marTop w:val="0"/>
              <w:marBottom w:val="0"/>
              <w:divBdr>
                <w:top w:val="none" w:sz="0" w:space="0" w:color="auto"/>
                <w:left w:val="none" w:sz="0" w:space="0" w:color="auto"/>
                <w:bottom w:val="none" w:sz="0" w:space="0" w:color="auto"/>
                <w:right w:val="none" w:sz="0" w:space="0" w:color="auto"/>
              </w:divBdr>
            </w:div>
            <w:div w:id="705561431">
              <w:marLeft w:val="0"/>
              <w:marRight w:val="0"/>
              <w:marTop w:val="0"/>
              <w:marBottom w:val="0"/>
              <w:divBdr>
                <w:top w:val="none" w:sz="0" w:space="0" w:color="auto"/>
                <w:left w:val="none" w:sz="0" w:space="0" w:color="auto"/>
                <w:bottom w:val="none" w:sz="0" w:space="0" w:color="auto"/>
                <w:right w:val="none" w:sz="0" w:space="0" w:color="auto"/>
              </w:divBdr>
            </w:div>
          </w:divsChild>
        </w:div>
        <w:div w:id="2022271336">
          <w:marLeft w:val="0"/>
          <w:marRight w:val="0"/>
          <w:marTop w:val="0"/>
          <w:marBottom w:val="300"/>
          <w:divBdr>
            <w:top w:val="none" w:sz="0" w:space="0" w:color="auto"/>
            <w:left w:val="none" w:sz="0" w:space="0" w:color="auto"/>
            <w:bottom w:val="none" w:sz="0" w:space="0" w:color="auto"/>
            <w:right w:val="none" w:sz="0" w:space="0" w:color="auto"/>
          </w:divBdr>
          <w:divsChild>
            <w:div w:id="654146410">
              <w:marLeft w:val="0"/>
              <w:marRight w:val="0"/>
              <w:marTop w:val="0"/>
              <w:marBottom w:val="0"/>
              <w:divBdr>
                <w:top w:val="none" w:sz="0" w:space="0" w:color="auto"/>
                <w:left w:val="none" w:sz="0" w:space="0" w:color="auto"/>
                <w:bottom w:val="none" w:sz="0" w:space="0" w:color="auto"/>
                <w:right w:val="none" w:sz="0" w:space="0" w:color="auto"/>
              </w:divBdr>
            </w:div>
            <w:div w:id="9872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0064">
      <w:bodyDiv w:val="1"/>
      <w:marLeft w:val="0"/>
      <w:marRight w:val="0"/>
      <w:marTop w:val="0"/>
      <w:marBottom w:val="0"/>
      <w:divBdr>
        <w:top w:val="none" w:sz="0" w:space="0" w:color="auto"/>
        <w:left w:val="none" w:sz="0" w:space="0" w:color="auto"/>
        <w:bottom w:val="none" w:sz="0" w:space="0" w:color="auto"/>
        <w:right w:val="none" w:sz="0" w:space="0" w:color="auto"/>
      </w:divBdr>
    </w:div>
    <w:div w:id="1031614628">
      <w:bodyDiv w:val="1"/>
      <w:marLeft w:val="0"/>
      <w:marRight w:val="0"/>
      <w:marTop w:val="0"/>
      <w:marBottom w:val="0"/>
      <w:divBdr>
        <w:top w:val="none" w:sz="0" w:space="0" w:color="auto"/>
        <w:left w:val="none" w:sz="0" w:space="0" w:color="auto"/>
        <w:bottom w:val="none" w:sz="0" w:space="0" w:color="auto"/>
        <w:right w:val="none" w:sz="0" w:space="0" w:color="auto"/>
      </w:divBdr>
    </w:div>
    <w:div w:id="1205556817">
      <w:bodyDiv w:val="1"/>
      <w:marLeft w:val="0"/>
      <w:marRight w:val="0"/>
      <w:marTop w:val="0"/>
      <w:marBottom w:val="0"/>
      <w:divBdr>
        <w:top w:val="none" w:sz="0" w:space="0" w:color="auto"/>
        <w:left w:val="none" w:sz="0" w:space="0" w:color="auto"/>
        <w:bottom w:val="none" w:sz="0" w:space="0" w:color="auto"/>
        <w:right w:val="none" w:sz="0" w:space="0" w:color="auto"/>
      </w:divBdr>
    </w:div>
    <w:div w:id="1224027706">
      <w:bodyDiv w:val="1"/>
      <w:marLeft w:val="0"/>
      <w:marRight w:val="0"/>
      <w:marTop w:val="0"/>
      <w:marBottom w:val="0"/>
      <w:divBdr>
        <w:top w:val="none" w:sz="0" w:space="0" w:color="auto"/>
        <w:left w:val="none" w:sz="0" w:space="0" w:color="auto"/>
        <w:bottom w:val="none" w:sz="0" w:space="0" w:color="auto"/>
        <w:right w:val="none" w:sz="0" w:space="0" w:color="auto"/>
      </w:divBdr>
    </w:div>
    <w:div w:id="1262642453">
      <w:bodyDiv w:val="1"/>
      <w:marLeft w:val="0"/>
      <w:marRight w:val="0"/>
      <w:marTop w:val="0"/>
      <w:marBottom w:val="0"/>
      <w:divBdr>
        <w:top w:val="none" w:sz="0" w:space="0" w:color="auto"/>
        <w:left w:val="none" w:sz="0" w:space="0" w:color="auto"/>
        <w:bottom w:val="none" w:sz="0" w:space="0" w:color="auto"/>
        <w:right w:val="none" w:sz="0" w:space="0" w:color="auto"/>
      </w:divBdr>
    </w:div>
    <w:div w:id="1382098065">
      <w:bodyDiv w:val="1"/>
      <w:marLeft w:val="0"/>
      <w:marRight w:val="0"/>
      <w:marTop w:val="0"/>
      <w:marBottom w:val="0"/>
      <w:divBdr>
        <w:top w:val="none" w:sz="0" w:space="0" w:color="auto"/>
        <w:left w:val="none" w:sz="0" w:space="0" w:color="auto"/>
        <w:bottom w:val="none" w:sz="0" w:space="0" w:color="auto"/>
        <w:right w:val="none" w:sz="0" w:space="0" w:color="auto"/>
      </w:divBdr>
    </w:div>
    <w:div w:id="1417702077">
      <w:bodyDiv w:val="1"/>
      <w:marLeft w:val="0"/>
      <w:marRight w:val="0"/>
      <w:marTop w:val="0"/>
      <w:marBottom w:val="0"/>
      <w:divBdr>
        <w:top w:val="none" w:sz="0" w:space="0" w:color="auto"/>
        <w:left w:val="none" w:sz="0" w:space="0" w:color="auto"/>
        <w:bottom w:val="none" w:sz="0" w:space="0" w:color="auto"/>
        <w:right w:val="none" w:sz="0" w:space="0" w:color="auto"/>
      </w:divBdr>
    </w:div>
    <w:div w:id="1479150460">
      <w:bodyDiv w:val="1"/>
      <w:marLeft w:val="0"/>
      <w:marRight w:val="0"/>
      <w:marTop w:val="0"/>
      <w:marBottom w:val="0"/>
      <w:divBdr>
        <w:top w:val="none" w:sz="0" w:space="0" w:color="auto"/>
        <w:left w:val="none" w:sz="0" w:space="0" w:color="auto"/>
        <w:bottom w:val="none" w:sz="0" w:space="0" w:color="auto"/>
        <w:right w:val="none" w:sz="0" w:space="0" w:color="auto"/>
      </w:divBdr>
      <w:divsChild>
        <w:div w:id="710418034">
          <w:marLeft w:val="0"/>
          <w:marRight w:val="0"/>
          <w:marTop w:val="2250"/>
          <w:marBottom w:val="0"/>
          <w:divBdr>
            <w:top w:val="none" w:sz="0" w:space="0" w:color="auto"/>
            <w:left w:val="none" w:sz="0" w:space="0" w:color="auto"/>
            <w:bottom w:val="none" w:sz="0" w:space="0" w:color="auto"/>
            <w:right w:val="none" w:sz="0" w:space="0" w:color="auto"/>
          </w:divBdr>
          <w:divsChild>
            <w:div w:id="2019963979">
              <w:marLeft w:val="-225"/>
              <w:marRight w:val="-225"/>
              <w:marTop w:val="0"/>
              <w:marBottom w:val="0"/>
              <w:divBdr>
                <w:top w:val="none" w:sz="0" w:space="0" w:color="auto"/>
                <w:left w:val="none" w:sz="0" w:space="0" w:color="auto"/>
                <w:bottom w:val="none" w:sz="0" w:space="0" w:color="auto"/>
                <w:right w:val="none" w:sz="0" w:space="0" w:color="auto"/>
              </w:divBdr>
              <w:divsChild>
                <w:div w:id="1739329870">
                  <w:marLeft w:val="0"/>
                  <w:marRight w:val="0"/>
                  <w:marTop w:val="0"/>
                  <w:marBottom w:val="0"/>
                  <w:divBdr>
                    <w:top w:val="none" w:sz="0" w:space="0" w:color="auto"/>
                    <w:left w:val="none" w:sz="0" w:space="0" w:color="auto"/>
                    <w:bottom w:val="none" w:sz="0" w:space="0" w:color="auto"/>
                    <w:right w:val="none" w:sz="0" w:space="0" w:color="auto"/>
                  </w:divBdr>
                  <w:divsChild>
                    <w:div w:id="170390291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522545950">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680504880">
      <w:bodyDiv w:val="1"/>
      <w:marLeft w:val="0"/>
      <w:marRight w:val="0"/>
      <w:marTop w:val="0"/>
      <w:marBottom w:val="0"/>
      <w:divBdr>
        <w:top w:val="none" w:sz="0" w:space="0" w:color="auto"/>
        <w:left w:val="none" w:sz="0" w:space="0" w:color="auto"/>
        <w:bottom w:val="none" w:sz="0" w:space="0" w:color="auto"/>
        <w:right w:val="none" w:sz="0" w:space="0" w:color="auto"/>
      </w:divBdr>
    </w:div>
    <w:div w:id="1845247416">
      <w:bodyDiv w:val="1"/>
      <w:marLeft w:val="0"/>
      <w:marRight w:val="0"/>
      <w:marTop w:val="0"/>
      <w:marBottom w:val="0"/>
      <w:divBdr>
        <w:top w:val="none" w:sz="0" w:space="0" w:color="auto"/>
        <w:left w:val="none" w:sz="0" w:space="0" w:color="auto"/>
        <w:bottom w:val="none" w:sz="0" w:space="0" w:color="auto"/>
        <w:right w:val="none" w:sz="0" w:space="0" w:color="auto"/>
      </w:divBdr>
    </w:div>
    <w:div w:id="1935359813">
      <w:bodyDiv w:val="1"/>
      <w:marLeft w:val="0"/>
      <w:marRight w:val="0"/>
      <w:marTop w:val="0"/>
      <w:marBottom w:val="0"/>
      <w:divBdr>
        <w:top w:val="none" w:sz="0" w:space="0" w:color="auto"/>
        <w:left w:val="none" w:sz="0" w:space="0" w:color="auto"/>
        <w:bottom w:val="none" w:sz="0" w:space="0" w:color="auto"/>
        <w:right w:val="none" w:sz="0" w:space="0" w:color="auto"/>
      </w:divBdr>
    </w:div>
    <w:div w:id="1975745062">
      <w:bodyDiv w:val="1"/>
      <w:marLeft w:val="0"/>
      <w:marRight w:val="0"/>
      <w:marTop w:val="0"/>
      <w:marBottom w:val="0"/>
      <w:divBdr>
        <w:top w:val="none" w:sz="0" w:space="0" w:color="auto"/>
        <w:left w:val="none" w:sz="0" w:space="0" w:color="auto"/>
        <w:bottom w:val="none" w:sz="0" w:space="0" w:color="auto"/>
        <w:right w:val="none" w:sz="0" w:space="0" w:color="auto"/>
      </w:divBdr>
    </w:div>
    <w:div w:id="1993369772">
      <w:bodyDiv w:val="1"/>
      <w:marLeft w:val="0"/>
      <w:marRight w:val="0"/>
      <w:marTop w:val="0"/>
      <w:marBottom w:val="0"/>
      <w:divBdr>
        <w:top w:val="none" w:sz="0" w:space="0" w:color="auto"/>
        <w:left w:val="none" w:sz="0" w:space="0" w:color="auto"/>
        <w:bottom w:val="none" w:sz="0" w:space="0" w:color="auto"/>
        <w:right w:val="none" w:sz="0" w:space="0" w:color="auto"/>
      </w:divBdr>
      <w:divsChild>
        <w:div w:id="340662430">
          <w:marLeft w:val="0"/>
          <w:marRight w:val="0"/>
          <w:marTop w:val="2250"/>
          <w:marBottom w:val="0"/>
          <w:divBdr>
            <w:top w:val="none" w:sz="0" w:space="0" w:color="auto"/>
            <w:left w:val="none" w:sz="0" w:space="0" w:color="auto"/>
            <w:bottom w:val="none" w:sz="0" w:space="0" w:color="auto"/>
            <w:right w:val="none" w:sz="0" w:space="0" w:color="auto"/>
          </w:divBdr>
          <w:divsChild>
            <w:div w:id="1079601593">
              <w:marLeft w:val="-225"/>
              <w:marRight w:val="-225"/>
              <w:marTop w:val="0"/>
              <w:marBottom w:val="0"/>
              <w:divBdr>
                <w:top w:val="none" w:sz="0" w:space="0" w:color="auto"/>
                <w:left w:val="none" w:sz="0" w:space="0" w:color="auto"/>
                <w:bottom w:val="none" w:sz="0" w:space="0" w:color="auto"/>
                <w:right w:val="none" w:sz="0" w:space="0" w:color="auto"/>
              </w:divBdr>
              <w:divsChild>
                <w:div w:id="350379957">
                  <w:marLeft w:val="0"/>
                  <w:marRight w:val="0"/>
                  <w:marTop w:val="0"/>
                  <w:marBottom w:val="0"/>
                  <w:divBdr>
                    <w:top w:val="none" w:sz="0" w:space="0" w:color="auto"/>
                    <w:left w:val="none" w:sz="0" w:space="0" w:color="auto"/>
                    <w:bottom w:val="none" w:sz="0" w:space="0" w:color="auto"/>
                    <w:right w:val="none" w:sz="0" w:space="0" w:color="auto"/>
                  </w:divBdr>
                  <w:divsChild>
                    <w:div w:id="199957290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999503534">
      <w:bodyDiv w:val="1"/>
      <w:marLeft w:val="0"/>
      <w:marRight w:val="0"/>
      <w:marTop w:val="0"/>
      <w:marBottom w:val="0"/>
      <w:divBdr>
        <w:top w:val="none" w:sz="0" w:space="0" w:color="auto"/>
        <w:left w:val="none" w:sz="0" w:space="0" w:color="auto"/>
        <w:bottom w:val="none" w:sz="0" w:space="0" w:color="auto"/>
        <w:right w:val="none" w:sz="0" w:space="0" w:color="auto"/>
      </w:divBdr>
    </w:div>
    <w:div w:id="2069183339">
      <w:bodyDiv w:val="1"/>
      <w:marLeft w:val="0"/>
      <w:marRight w:val="0"/>
      <w:marTop w:val="0"/>
      <w:marBottom w:val="0"/>
      <w:divBdr>
        <w:top w:val="none" w:sz="0" w:space="0" w:color="auto"/>
        <w:left w:val="none" w:sz="0" w:space="0" w:color="auto"/>
        <w:bottom w:val="none" w:sz="0" w:space="0" w:color="auto"/>
        <w:right w:val="none" w:sz="0" w:space="0" w:color="auto"/>
      </w:divBdr>
    </w:div>
    <w:div w:id="2073965729">
      <w:bodyDiv w:val="1"/>
      <w:marLeft w:val="0"/>
      <w:marRight w:val="0"/>
      <w:marTop w:val="0"/>
      <w:marBottom w:val="0"/>
      <w:divBdr>
        <w:top w:val="none" w:sz="0" w:space="0" w:color="auto"/>
        <w:left w:val="none" w:sz="0" w:space="0" w:color="auto"/>
        <w:bottom w:val="none" w:sz="0" w:space="0" w:color="auto"/>
        <w:right w:val="none" w:sz="0" w:space="0" w:color="auto"/>
      </w:divBdr>
      <w:divsChild>
        <w:div w:id="1387871469">
          <w:marLeft w:val="0"/>
          <w:marRight w:val="0"/>
          <w:marTop w:val="2250"/>
          <w:marBottom w:val="0"/>
          <w:divBdr>
            <w:top w:val="none" w:sz="0" w:space="0" w:color="auto"/>
            <w:left w:val="none" w:sz="0" w:space="0" w:color="auto"/>
            <w:bottom w:val="none" w:sz="0" w:space="0" w:color="auto"/>
            <w:right w:val="none" w:sz="0" w:space="0" w:color="auto"/>
          </w:divBdr>
          <w:divsChild>
            <w:div w:id="2121486664">
              <w:marLeft w:val="-225"/>
              <w:marRight w:val="-225"/>
              <w:marTop w:val="0"/>
              <w:marBottom w:val="0"/>
              <w:divBdr>
                <w:top w:val="none" w:sz="0" w:space="0" w:color="auto"/>
                <w:left w:val="none" w:sz="0" w:space="0" w:color="auto"/>
                <w:bottom w:val="none" w:sz="0" w:space="0" w:color="auto"/>
                <w:right w:val="none" w:sz="0" w:space="0" w:color="auto"/>
              </w:divBdr>
              <w:divsChild>
                <w:div w:id="89087419">
                  <w:marLeft w:val="0"/>
                  <w:marRight w:val="0"/>
                  <w:marTop w:val="0"/>
                  <w:marBottom w:val="0"/>
                  <w:divBdr>
                    <w:top w:val="none" w:sz="0" w:space="0" w:color="auto"/>
                    <w:left w:val="none" w:sz="0" w:space="0" w:color="auto"/>
                    <w:bottom w:val="none" w:sz="0" w:space="0" w:color="auto"/>
                    <w:right w:val="none" w:sz="0" w:space="0" w:color="auto"/>
                  </w:divBdr>
                  <w:divsChild>
                    <w:div w:id="60562283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 w:id="21030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2685-9820-4FD7-92E4-926C230F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2198</Words>
  <Characters>12534</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Cecilia Martin</cp:lastModifiedBy>
  <cp:revision>2</cp:revision>
  <cp:lastPrinted>2026-05-08T07:19:00Z</cp:lastPrinted>
  <dcterms:created xsi:type="dcterms:W3CDTF">2026-05-08T17:33:00Z</dcterms:created>
  <dcterms:modified xsi:type="dcterms:W3CDTF">2026-05-08T17:33:00Z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c883f15a981261c4dbec8648a6c7426c7254f3d7adf95aca35d705eb5ab92484</vt:lpwstr>
  </property>
</Properties>
</file>