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41213" w14:textId="7FD7B5AB" w:rsidR="0041555B" w:rsidRPr="00F07779" w:rsidRDefault="00B67AF6" w:rsidP="0041555B">
      <w:pPr>
        <w:ind w:firstLine="708"/>
        <w:jc w:val="right"/>
      </w:pPr>
      <w:r w:rsidRPr="00F07779">
        <w:t>PROPOSAL</w:t>
      </w:r>
    </w:p>
    <w:p w14:paraId="4FB05B7F" w14:textId="77777777" w:rsidR="00316460" w:rsidRPr="00F07779" w:rsidRDefault="00316460" w:rsidP="00B67AF6">
      <w:pPr>
        <w:jc w:val="both"/>
      </w:pPr>
    </w:p>
    <w:p w14:paraId="2201108D" w14:textId="2DC94A6D" w:rsidR="00B67AF6" w:rsidRPr="00F07779" w:rsidRDefault="00B67AF6" w:rsidP="00B67AF6">
      <w:pPr>
        <w:jc w:val="both"/>
      </w:pPr>
      <w:r w:rsidRPr="00F07779">
        <w:t xml:space="preserve">Based on Articles </w:t>
      </w:r>
      <w:r w:rsidR="0023079F">
        <w:t>3,</w:t>
      </w:r>
      <w:r w:rsidRPr="00F07779">
        <w:t xml:space="preserve">5 and 6 of the Energy Law (“Official Gazette of RS” No. 145/14, 95/18 – other law, 40/21, 35/23 – other law, 62/23, 94/24), </w:t>
      </w:r>
    </w:p>
    <w:p w14:paraId="1DE4C5E5" w14:textId="77777777" w:rsidR="00B67AF6" w:rsidRPr="00F07779" w:rsidRDefault="00B67AF6" w:rsidP="00B67AF6">
      <w:pPr>
        <w:jc w:val="both"/>
      </w:pPr>
    </w:p>
    <w:p w14:paraId="6C889F68" w14:textId="55B945CA" w:rsidR="00B67AF6" w:rsidRPr="00F07779" w:rsidRDefault="00B67AF6" w:rsidP="00B67AF6">
      <w:pPr>
        <w:jc w:val="both"/>
      </w:pPr>
      <w:r w:rsidRPr="00F07779">
        <w:t>The Government has adopted</w:t>
      </w:r>
    </w:p>
    <w:p w14:paraId="505841FB" w14:textId="77777777" w:rsidR="00B67AF6" w:rsidRPr="00F07779" w:rsidRDefault="00B67AF6" w:rsidP="00B67AF6">
      <w:pPr>
        <w:jc w:val="both"/>
      </w:pPr>
    </w:p>
    <w:p w14:paraId="36777A4D" w14:textId="3A5986C1" w:rsidR="00B67AF6" w:rsidRPr="00F07779" w:rsidRDefault="00B67AF6" w:rsidP="00B67AF6">
      <w:pPr>
        <w:jc w:val="center"/>
      </w:pPr>
      <w:r w:rsidRPr="00F07779">
        <w:t>THE PROGRAM FOR THE IMPLEMENTATION OF THE ENERGY DEVELOPMENT STRATEGY OF THE REPUBLIC OF SERBIA FOR THE PERIOD UNTIL 2040 WITH PROJECTIONS UNTIL 2050, FOR THE PERIOD</w:t>
      </w:r>
      <w:r w:rsidR="002F2636">
        <w:t xml:space="preserve"> FROM</w:t>
      </w:r>
      <w:r w:rsidRPr="00F07779">
        <w:t xml:space="preserve"> 2026</w:t>
      </w:r>
      <w:r w:rsidR="002F2636">
        <w:t xml:space="preserve"> UNTIL </w:t>
      </w:r>
      <w:r w:rsidRPr="00F07779">
        <w:t>2028</w:t>
      </w:r>
    </w:p>
    <w:p w14:paraId="6E633F99" w14:textId="652FF20E" w:rsidR="004745EF" w:rsidRPr="00F07779" w:rsidRDefault="00021F83" w:rsidP="00021F83">
      <w:pPr>
        <w:pStyle w:val="Heading1"/>
        <w:numPr>
          <w:ilvl w:val="0"/>
          <w:numId w:val="7"/>
        </w:numPr>
        <w:rPr>
          <w:rFonts w:ascii="Times New Roman" w:hAnsi="Times New Roman" w:cs="Times New Roman"/>
          <w:sz w:val="28"/>
          <w:szCs w:val="28"/>
        </w:rPr>
      </w:pPr>
      <w:r w:rsidRPr="00F07779">
        <w:rPr>
          <w:rFonts w:ascii="Times New Roman" w:hAnsi="Times New Roman" w:cs="Times New Roman"/>
          <w:sz w:val="28"/>
          <w:szCs w:val="28"/>
        </w:rPr>
        <w:t>INTRODUCTION</w:t>
      </w:r>
    </w:p>
    <w:p w14:paraId="076405D7" w14:textId="77777777" w:rsidR="000B21E8" w:rsidRPr="00F07779" w:rsidRDefault="000B21E8" w:rsidP="000B21E8">
      <w:pPr>
        <w:jc w:val="both"/>
      </w:pPr>
    </w:p>
    <w:p w14:paraId="65F49A35" w14:textId="576E3392" w:rsidR="00CD60BA" w:rsidRPr="00F07779" w:rsidRDefault="00CD60BA" w:rsidP="000B21E8">
      <w:pPr>
        <w:jc w:val="both"/>
      </w:pPr>
      <w:r w:rsidRPr="00F07779">
        <w:t>Article 3 of the Energy Law (“Official Gazette of RS”, No. 145/14, 95/18 – other law, 40/21, 35/23 – other law, 62/23, and 94/2024, hereinafter: the Law) defines that the energy policy of the Republic of Serbia is further elaborated and implemented in more detail through the Energy Development Strategy of the Republic of Serbia, the Program for the Implementation of the Strategy (hereinafter: the Program), and the Energy Balance of the Republic of Serbia.</w:t>
      </w:r>
    </w:p>
    <w:p w14:paraId="16221279" w14:textId="77777777" w:rsidR="00CD60BA" w:rsidRPr="00F07779" w:rsidRDefault="00CD60BA" w:rsidP="000B21E8">
      <w:pPr>
        <w:jc w:val="both"/>
      </w:pPr>
    </w:p>
    <w:p w14:paraId="68C9637A" w14:textId="35CF5188" w:rsidR="000B21E8" w:rsidRPr="00F07779" w:rsidRDefault="00CD60BA" w:rsidP="004B2AB5">
      <w:pPr>
        <w:pStyle w:val="Heading2"/>
        <w:numPr>
          <w:ilvl w:val="1"/>
          <w:numId w:val="7"/>
        </w:numPr>
        <w:rPr>
          <w:rFonts w:ascii="Times New Roman" w:hAnsi="Times New Roman" w:cs="Times New Roman"/>
        </w:rPr>
      </w:pPr>
      <w:bookmarkStart w:id="0" w:name="_Toc199155503"/>
      <w:r w:rsidRPr="00F07779">
        <w:rPr>
          <w:rFonts w:ascii="Times New Roman" w:hAnsi="Times New Roman" w:cs="Times New Roman"/>
        </w:rPr>
        <w:t>Reasons for adopting the Program and responsible institutions</w:t>
      </w:r>
      <w:bookmarkEnd w:id="0"/>
    </w:p>
    <w:p w14:paraId="10FA22C1" w14:textId="77777777" w:rsidR="000B21E8" w:rsidRPr="00F07779" w:rsidRDefault="000B21E8" w:rsidP="000B21E8">
      <w:pPr>
        <w:jc w:val="both"/>
        <w:rPr>
          <w:b/>
          <w:bCs/>
          <w:color w:val="FF0000"/>
        </w:rPr>
      </w:pPr>
    </w:p>
    <w:p w14:paraId="09B81179" w14:textId="31293679" w:rsidR="00FD58FC" w:rsidRPr="00F07779" w:rsidRDefault="00CD60BA" w:rsidP="00FD58FC">
      <w:pPr>
        <w:snapToGrid w:val="0"/>
        <w:jc w:val="both"/>
      </w:pPr>
      <w:r w:rsidRPr="00F07779">
        <w:t>The Energy Development Strategy of the Republic of Serbia for the period until 2040, with projections until 2050, has been adopted by the National Assembly of the Republic of Serbia in November 2024 (“Official Gazette of RS”, No. 94/2024, hereinafter: the Strategy).</w:t>
      </w:r>
      <w:r w:rsidR="00FD58FC" w:rsidRPr="00F07779">
        <w:t xml:space="preserve"> In accordance with Articles 3 and 5 of the Law on </w:t>
      </w:r>
      <w:proofErr w:type="gramStart"/>
      <w:r w:rsidR="00FD58FC" w:rsidRPr="00F07779">
        <w:t>Energy, and</w:t>
      </w:r>
      <w:proofErr w:type="gramEnd"/>
      <w:r w:rsidR="00FD58FC" w:rsidRPr="00F07779">
        <w:t xml:space="preserve"> bearing in mind that the adoption of the new Strategy has amended the basic act establishing energy policy and planning development in the energy sector of the Republic of Serbia, it is necessary to adopt an appropriate Program for the implementation of the Strategy.</w:t>
      </w:r>
    </w:p>
    <w:p w14:paraId="5D8668B0" w14:textId="77777777" w:rsidR="00FD58FC" w:rsidRPr="00F07779" w:rsidRDefault="00FD58FC" w:rsidP="000B21E8">
      <w:pPr>
        <w:snapToGrid w:val="0"/>
        <w:jc w:val="both"/>
      </w:pPr>
    </w:p>
    <w:p w14:paraId="381D7D2A" w14:textId="4E0491B8" w:rsidR="00FD58FC" w:rsidRPr="00F07779" w:rsidRDefault="00FD58FC" w:rsidP="000B21E8">
      <w:pPr>
        <w:snapToGrid w:val="0"/>
        <w:jc w:val="both"/>
      </w:pPr>
      <w:r w:rsidRPr="00F07779">
        <w:t xml:space="preserve">The process of developing the Program was initiated and is led by the Ministry of Mining and Energy as </w:t>
      </w:r>
      <w:proofErr w:type="gramStart"/>
      <w:r w:rsidRPr="00F07779">
        <w:t>the</w:t>
      </w:r>
      <w:proofErr w:type="gramEnd"/>
      <w:r w:rsidRPr="00F07779">
        <w:t xml:space="preserve"> competent institution. In accordance with Article 5 of the Law, the Program is adopted by the Government of the Republic of Serbia. The Program is the result of close cooperation with relevant stakeholders (state administration bodies, public and private sectors and civil society organizations) who, through participation in the Working Group, monitor and actively participate in the process of developing the Program. The Working Group</w:t>
      </w:r>
      <w:r w:rsidRPr="00F07779">
        <w:rPr>
          <w:vertAlign w:val="superscript"/>
        </w:rPr>
        <w:footnoteReference w:id="1"/>
      </w:r>
      <w:r w:rsidRPr="00F07779">
        <w:t>, in addition to representatives of the Ministry of Mining and Energy, also includes representatives of the following institutions, organizations and associations:</w:t>
      </w:r>
    </w:p>
    <w:p w14:paraId="04B3C4D5" w14:textId="0ACF30AF" w:rsidR="003925AD" w:rsidRPr="007D0379" w:rsidRDefault="003925AD" w:rsidP="007D0379">
      <w:pPr>
        <w:pStyle w:val="ListParagraph"/>
        <w:numPr>
          <w:ilvl w:val="0"/>
          <w:numId w:val="46"/>
        </w:numPr>
        <w:snapToGrid w:val="0"/>
        <w:contextualSpacing w:val="0"/>
        <w:rPr>
          <w:rFonts w:ascii="Times New Roman" w:eastAsia="Calibri" w:hAnsi="Times New Roman" w:cs="Times New Roman"/>
          <w:noProof w:val="0"/>
        </w:rPr>
      </w:pPr>
      <w:r w:rsidRPr="007D0379">
        <w:rPr>
          <w:rFonts w:ascii="Times New Roman" w:eastAsia="Calibri" w:hAnsi="Times New Roman" w:cs="Times New Roman"/>
          <w:noProof w:val="0"/>
        </w:rPr>
        <w:t>Ministry of Environmental Protection</w:t>
      </w:r>
    </w:p>
    <w:p w14:paraId="7F92E3C9" w14:textId="00EC7849" w:rsidR="003925AD" w:rsidRPr="007D0379" w:rsidRDefault="003925AD" w:rsidP="007D0379">
      <w:pPr>
        <w:pStyle w:val="ListParagraph"/>
        <w:numPr>
          <w:ilvl w:val="0"/>
          <w:numId w:val="46"/>
        </w:numPr>
        <w:snapToGrid w:val="0"/>
        <w:contextualSpacing w:val="0"/>
        <w:rPr>
          <w:rFonts w:ascii="Times New Roman" w:eastAsia="Calibri" w:hAnsi="Times New Roman" w:cs="Times New Roman"/>
          <w:noProof w:val="0"/>
        </w:rPr>
      </w:pPr>
      <w:r w:rsidRPr="007D0379">
        <w:rPr>
          <w:rFonts w:ascii="Times New Roman" w:eastAsia="Calibri" w:hAnsi="Times New Roman" w:cs="Times New Roman"/>
          <w:noProof w:val="0"/>
        </w:rPr>
        <w:t>Ministry of Agriculture, Forestry and Water Management</w:t>
      </w:r>
    </w:p>
    <w:p w14:paraId="41399001" w14:textId="7262C850" w:rsidR="003925AD" w:rsidRPr="007D0379" w:rsidRDefault="003925AD" w:rsidP="007D0379">
      <w:pPr>
        <w:pStyle w:val="ListParagraph"/>
        <w:numPr>
          <w:ilvl w:val="0"/>
          <w:numId w:val="46"/>
        </w:numPr>
        <w:snapToGrid w:val="0"/>
        <w:contextualSpacing w:val="0"/>
        <w:rPr>
          <w:rFonts w:ascii="Times New Roman" w:eastAsia="Calibri" w:hAnsi="Times New Roman" w:cs="Times New Roman"/>
          <w:noProof w:val="0"/>
        </w:rPr>
      </w:pPr>
      <w:r w:rsidRPr="007D0379">
        <w:rPr>
          <w:rFonts w:ascii="Times New Roman" w:eastAsia="Calibri" w:hAnsi="Times New Roman" w:cs="Times New Roman"/>
          <w:noProof w:val="0"/>
        </w:rPr>
        <w:t>Chamber of Commerce and Industry of Serbia</w:t>
      </w:r>
    </w:p>
    <w:p w14:paraId="5856451D" w14:textId="2D5934A1" w:rsidR="003925AD" w:rsidRPr="007D0379" w:rsidRDefault="003925AD" w:rsidP="007D0379">
      <w:pPr>
        <w:pStyle w:val="ListParagraph"/>
        <w:numPr>
          <w:ilvl w:val="0"/>
          <w:numId w:val="46"/>
        </w:numPr>
        <w:snapToGrid w:val="0"/>
        <w:contextualSpacing w:val="0"/>
        <w:rPr>
          <w:rFonts w:ascii="Times New Roman" w:eastAsia="Calibri" w:hAnsi="Times New Roman" w:cs="Times New Roman"/>
          <w:noProof w:val="0"/>
        </w:rPr>
      </w:pPr>
      <w:r w:rsidRPr="007D0379">
        <w:rPr>
          <w:rFonts w:ascii="Times New Roman" w:eastAsia="Calibri" w:hAnsi="Times New Roman" w:cs="Times New Roman"/>
          <w:noProof w:val="0"/>
        </w:rPr>
        <w:t>Energy Agency of the Republic of Serbia</w:t>
      </w:r>
    </w:p>
    <w:p w14:paraId="00A63FB5" w14:textId="5290EB4C" w:rsidR="003925AD" w:rsidRPr="007D0379" w:rsidRDefault="003925AD" w:rsidP="007D0379">
      <w:pPr>
        <w:pStyle w:val="ListParagraph"/>
        <w:numPr>
          <w:ilvl w:val="0"/>
          <w:numId w:val="46"/>
        </w:numPr>
        <w:snapToGrid w:val="0"/>
        <w:contextualSpacing w:val="0"/>
        <w:rPr>
          <w:rFonts w:ascii="Times New Roman" w:eastAsia="Calibri" w:hAnsi="Times New Roman" w:cs="Times New Roman"/>
          <w:noProof w:val="0"/>
        </w:rPr>
      </w:pPr>
      <w:proofErr w:type="spellStart"/>
      <w:r w:rsidRPr="007D0379">
        <w:rPr>
          <w:rFonts w:ascii="Times New Roman" w:eastAsia="Calibri" w:hAnsi="Times New Roman" w:cs="Times New Roman"/>
          <w:noProof w:val="0"/>
        </w:rPr>
        <w:t>Elektromreža</w:t>
      </w:r>
      <w:proofErr w:type="spellEnd"/>
      <w:r w:rsidRPr="007D0379">
        <w:rPr>
          <w:rFonts w:ascii="Times New Roman" w:eastAsia="Calibri" w:hAnsi="Times New Roman" w:cs="Times New Roman"/>
          <w:noProof w:val="0"/>
        </w:rPr>
        <w:t xml:space="preserve"> Srbije JSC (Transmission System Operator)</w:t>
      </w:r>
    </w:p>
    <w:p w14:paraId="04E6B1E3" w14:textId="01132177" w:rsidR="003925AD" w:rsidRPr="007D0379" w:rsidRDefault="003925AD" w:rsidP="007D0379">
      <w:pPr>
        <w:pStyle w:val="ListParagraph"/>
        <w:numPr>
          <w:ilvl w:val="0"/>
          <w:numId w:val="46"/>
        </w:numPr>
        <w:snapToGrid w:val="0"/>
        <w:contextualSpacing w:val="0"/>
        <w:rPr>
          <w:rFonts w:ascii="Times New Roman" w:eastAsia="Calibri" w:hAnsi="Times New Roman" w:cs="Times New Roman"/>
          <w:noProof w:val="0"/>
        </w:rPr>
      </w:pPr>
      <w:proofErr w:type="spellStart"/>
      <w:r w:rsidRPr="007D0379">
        <w:rPr>
          <w:rFonts w:ascii="Times New Roman" w:eastAsia="Calibri" w:hAnsi="Times New Roman" w:cs="Times New Roman"/>
          <w:noProof w:val="0"/>
        </w:rPr>
        <w:t>Elektroprivreda</w:t>
      </w:r>
      <w:proofErr w:type="spellEnd"/>
      <w:r w:rsidRPr="007D0379">
        <w:rPr>
          <w:rFonts w:ascii="Times New Roman" w:eastAsia="Calibri" w:hAnsi="Times New Roman" w:cs="Times New Roman"/>
          <w:noProof w:val="0"/>
        </w:rPr>
        <w:t xml:space="preserve"> Srbije JSC (Electric Power Industry of Serbia)</w:t>
      </w:r>
    </w:p>
    <w:p w14:paraId="21430E9C" w14:textId="133A13E4" w:rsidR="003925AD" w:rsidRPr="007D0379" w:rsidRDefault="003925AD" w:rsidP="007D0379">
      <w:pPr>
        <w:pStyle w:val="ListParagraph"/>
        <w:numPr>
          <w:ilvl w:val="0"/>
          <w:numId w:val="46"/>
        </w:numPr>
        <w:snapToGrid w:val="0"/>
        <w:contextualSpacing w:val="0"/>
        <w:rPr>
          <w:rFonts w:ascii="Times New Roman" w:eastAsia="Calibri" w:hAnsi="Times New Roman" w:cs="Times New Roman"/>
          <w:noProof w:val="0"/>
        </w:rPr>
      </w:pPr>
      <w:proofErr w:type="spellStart"/>
      <w:r w:rsidRPr="007D0379">
        <w:rPr>
          <w:rFonts w:ascii="Times New Roman" w:eastAsia="Calibri" w:hAnsi="Times New Roman" w:cs="Times New Roman"/>
          <w:noProof w:val="0"/>
        </w:rPr>
        <w:t>Elektrodistibucija</w:t>
      </w:r>
      <w:proofErr w:type="spellEnd"/>
      <w:r w:rsidRPr="007D0379">
        <w:rPr>
          <w:rFonts w:ascii="Times New Roman" w:eastAsia="Calibri" w:hAnsi="Times New Roman" w:cs="Times New Roman"/>
          <w:noProof w:val="0"/>
        </w:rPr>
        <w:t xml:space="preserve"> Srbije LLC (Electricity Distribution of Serbia)</w:t>
      </w:r>
    </w:p>
    <w:p w14:paraId="24943E0B" w14:textId="4D2BD2F5" w:rsidR="003925AD" w:rsidRPr="007D0379" w:rsidRDefault="003925AD" w:rsidP="007D0379">
      <w:pPr>
        <w:pStyle w:val="ListParagraph"/>
        <w:numPr>
          <w:ilvl w:val="0"/>
          <w:numId w:val="46"/>
        </w:numPr>
        <w:snapToGrid w:val="0"/>
        <w:contextualSpacing w:val="0"/>
        <w:rPr>
          <w:rFonts w:ascii="Times New Roman" w:eastAsia="Calibri" w:hAnsi="Times New Roman" w:cs="Times New Roman"/>
          <w:noProof w:val="0"/>
        </w:rPr>
      </w:pPr>
      <w:r w:rsidRPr="007D0379">
        <w:rPr>
          <w:rFonts w:ascii="Times New Roman" w:eastAsia="Calibri" w:hAnsi="Times New Roman" w:cs="Times New Roman"/>
          <w:noProof w:val="0"/>
        </w:rPr>
        <w:t>NIS JSC (Petroleum Industry of Serbia)</w:t>
      </w:r>
    </w:p>
    <w:p w14:paraId="661CF323" w14:textId="552D60A3" w:rsidR="003925AD" w:rsidRPr="007D0379" w:rsidRDefault="003925AD" w:rsidP="007D0379">
      <w:pPr>
        <w:pStyle w:val="ListParagraph"/>
        <w:numPr>
          <w:ilvl w:val="0"/>
          <w:numId w:val="46"/>
        </w:numPr>
        <w:snapToGrid w:val="0"/>
        <w:contextualSpacing w:val="0"/>
        <w:rPr>
          <w:rFonts w:ascii="Times New Roman" w:eastAsia="Calibri" w:hAnsi="Times New Roman" w:cs="Times New Roman"/>
          <w:noProof w:val="0"/>
        </w:rPr>
      </w:pPr>
      <w:r w:rsidRPr="007D0379">
        <w:rPr>
          <w:rFonts w:ascii="Times New Roman" w:eastAsia="Calibri" w:hAnsi="Times New Roman" w:cs="Times New Roman"/>
          <w:noProof w:val="0"/>
        </w:rPr>
        <w:t xml:space="preserve">Public Enterprise </w:t>
      </w:r>
      <w:proofErr w:type="spellStart"/>
      <w:r w:rsidRPr="007D0379">
        <w:rPr>
          <w:rFonts w:ascii="Times New Roman" w:eastAsia="Calibri" w:hAnsi="Times New Roman" w:cs="Times New Roman"/>
          <w:noProof w:val="0"/>
        </w:rPr>
        <w:t>Srbijagas</w:t>
      </w:r>
      <w:proofErr w:type="spellEnd"/>
    </w:p>
    <w:p w14:paraId="7FA884AD" w14:textId="2C2EE0AD" w:rsidR="003925AD" w:rsidRPr="007D0379" w:rsidRDefault="003925AD" w:rsidP="007D0379">
      <w:pPr>
        <w:pStyle w:val="ListParagraph"/>
        <w:numPr>
          <w:ilvl w:val="0"/>
          <w:numId w:val="46"/>
        </w:numPr>
        <w:snapToGrid w:val="0"/>
        <w:contextualSpacing w:val="0"/>
        <w:rPr>
          <w:rFonts w:ascii="Times New Roman" w:eastAsia="Calibri" w:hAnsi="Times New Roman" w:cs="Times New Roman"/>
          <w:noProof w:val="0"/>
        </w:rPr>
      </w:pPr>
      <w:proofErr w:type="spellStart"/>
      <w:r w:rsidRPr="007D0379">
        <w:rPr>
          <w:rFonts w:ascii="Times New Roman" w:eastAsia="Calibri" w:hAnsi="Times New Roman" w:cs="Times New Roman"/>
          <w:noProof w:val="0"/>
        </w:rPr>
        <w:t>Distribucijagas</w:t>
      </w:r>
      <w:proofErr w:type="spellEnd"/>
      <w:r w:rsidRPr="007D0379">
        <w:rPr>
          <w:rFonts w:ascii="Times New Roman" w:eastAsia="Calibri" w:hAnsi="Times New Roman" w:cs="Times New Roman"/>
          <w:noProof w:val="0"/>
        </w:rPr>
        <w:t xml:space="preserve"> </w:t>
      </w:r>
      <w:proofErr w:type="spellStart"/>
      <w:r w:rsidRPr="007D0379">
        <w:rPr>
          <w:rFonts w:ascii="Times New Roman" w:eastAsia="Calibri" w:hAnsi="Times New Roman" w:cs="Times New Roman"/>
          <w:noProof w:val="0"/>
        </w:rPr>
        <w:t>Srbija</w:t>
      </w:r>
      <w:proofErr w:type="spellEnd"/>
      <w:r w:rsidRPr="007D0379">
        <w:rPr>
          <w:rFonts w:ascii="Times New Roman" w:eastAsia="Calibri" w:hAnsi="Times New Roman" w:cs="Times New Roman"/>
          <w:noProof w:val="0"/>
        </w:rPr>
        <w:t xml:space="preserve"> LLC</w:t>
      </w:r>
    </w:p>
    <w:p w14:paraId="7EF6EC36" w14:textId="2B2194F6" w:rsidR="003925AD" w:rsidRPr="007D0379" w:rsidRDefault="003925AD" w:rsidP="007D0379">
      <w:pPr>
        <w:pStyle w:val="ListParagraph"/>
        <w:numPr>
          <w:ilvl w:val="0"/>
          <w:numId w:val="46"/>
        </w:numPr>
        <w:snapToGrid w:val="0"/>
        <w:contextualSpacing w:val="0"/>
        <w:rPr>
          <w:rFonts w:ascii="Times New Roman" w:eastAsia="Calibri" w:hAnsi="Times New Roman" w:cs="Times New Roman"/>
          <w:noProof w:val="0"/>
        </w:rPr>
      </w:pPr>
      <w:proofErr w:type="spellStart"/>
      <w:r w:rsidRPr="007D0379">
        <w:rPr>
          <w:rFonts w:ascii="Times New Roman" w:eastAsia="Calibri" w:hAnsi="Times New Roman" w:cs="Times New Roman"/>
          <w:noProof w:val="0"/>
        </w:rPr>
        <w:t>Transportgas</w:t>
      </w:r>
      <w:proofErr w:type="spellEnd"/>
      <w:r w:rsidRPr="007D0379">
        <w:rPr>
          <w:rFonts w:ascii="Times New Roman" w:eastAsia="Calibri" w:hAnsi="Times New Roman" w:cs="Times New Roman"/>
          <w:noProof w:val="0"/>
        </w:rPr>
        <w:t xml:space="preserve"> </w:t>
      </w:r>
      <w:proofErr w:type="spellStart"/>
      <w:r w:rsidRPr="007D0379">
        <w:rPr>
          <w:rFonts w:ascii="Times New Roman" w:eastAsia="Calibri" w:hAnsi="Times New Roman" w:cs="Times New Roman"/>
          <w:noProof w:val="0"/>
        </w:rPr>
        <w:t>Srbija</w:t>
      </w:r>
      <w:proofErr w:type="spellEnd"/>
      <w:r w:rsidRPr="007D0379">
        <w:rPr>
          <w:rFonts w:ascii="Times New Roman" w:eastAsia="Calibri" w:hAnsi="Times New Roman" w:cs="Times New Roman"/>
          <w:noProof w:val="0"/>
        </w:rPr>
        <w:t xml:space="preserve"> LLC</w:t>
      </w:r>
    </w:p>
    <w:p w14:paraId="61D0CE20" w14:textId="03AB74F9" w:rsidR="003925AD" w:rsidRPr="007D0379" w:rsidRDefault="003925AD" w:rsidP="007D0379">
      <w:pPr>
        <w:pStyle w:val="ListParagraph"/>
        <w:numPr>
          <w:ilvl w:val="0"/>
          <w:numId w:val="47"/>
        </w:numPr>
        <w:snapToGrid w:val="0"/>
        <w:contextualSpacing w:val="0"/>
        <w:rPr>
          <w:rFonts w:ascii="Times New Roman" w:eastAsia="Calibri" w:hAnsi="Times New Roman" w:cs="Times New Roman"/>
          <w:noProof w:val="0"/>
        </w:rPr>
      </w:pPr>
      <w:r w:rsidRPr="007D0379">
        <w:rPr>
          <w:rFonts w:ascii="Times New Roman" w:eastAsia="Calibri" w:hAnsi="Times New Roman" w:cs="Times New Roman"/>
          <w:noProof w:val="0"/>
        </w:rPr>
        <w:t>Transnafta JSC</w:t>
      </w:r>
    </w:p>
    <w:p w14:paraId="22807ADE" w14:textId="521A39E8" w:rsidR="003925AD" w:rsidRPr="007D0379" w:rsidRDefault="003925AD" w:rsidP="007D0379">
      <w:pPr>
        <w:pStyle w:val="ListParagraph"/>
        <w:numPr>
          <w:ilvl w:val="0"/>
          <w:numId w:val="47"/>
        </w:numPr>
        <w:snapToGrid w:val="0"/>
        <w:contextualSpacing w:val="0"/>
        <w:rPr>
          <w:rFonts w:ascii="Times New Roman" w:eastAsia="Calibri" w:hAnsi="Times New Roman" w:cs="Times New Roman"/>
          <w:noProof w:val="0"/>
        </w:rPr>
      </w:pPr>
      <w:r w:rsidRPr="007D0379">
        <w:rPr>
          <w:rFonts w:ascii="Times New Roman" w:eastAsia="Calibri" w:hAnsi="Times New Roman" w:cs="Times New Roman"/>
          <w:noProof w:val="0"/>
        </w:rPr>
        <w:t>SEEPEX JSC (</w:t>
      </w:r>
      <w:proofErr w:type="gramStart"/>
      <w:r w:rsidRPr="007D0379">
        <w:rPr>
          <w:rFonts w:ascii="Times New Roman" w:eastAsia="Calibri" w:hAnsi="Times New Roman" w:cs="Times New Roman"/>
          <w:noProof w:val="0"/>
        </w:rPr>
        <w:t>South East</w:t>
      </w:r>
      <w:proofErr w:type="gramEnd"/>
      <w:r w:rsidRPr="007D0379">
        <w:rPr>
          <w:rFonts w:ascii="Times New Roman" w:eastAsia="Calibri" w:hAnsi="Times New Roman" w:cs="Times New Roman"/>
          <w:noProof w:val="0"/>
        </w:rPr>
        <w:t xml:space="preserve"> European Power Exchange)</w:t>
      </w:r>
    </w:p>
    <w:p w14:paraId="35F656F0" w14:textId="79FB94EF" w:rsidR="003925AD" w:rsidRPr="007D0379" w:rsidRDefault="003925AD" w:rsidP="007D0379">
      <w:pPr>
        <w:pStyle w:val="ListParagraph"/>
        <w:numPr>
          <w:ilvl w:val="0"/>
          <w:numId w:val="47"/>
        </w:numPr>
        <w:snapToGrid w:val="0"/>
        <w:contextualSpacing w:val="0"/>
        <w:rPr>
          <w:rFonts w:ascii="Times New Roman" w:eastAsia="Calibri" w:hAnsi="Times New Roman" w:cs="Times New Roman"/>
          <w:noProof w:val="0"/>
        </w:rPr>
      </w:pPr>
      <w:r w:rsidRPr="007D0379">
        <w:rPr>
          <w:rFonts w:ascii="Times New Roman" w:eastAsia="Calibri" w:hAnsi="Times New Roman" w:cs="Times New Roman"/>
          <w:noProof w:val="0"/>
        </w:rPr>
        <w:t>RES Foundation</w:t>
      </w:r>
    </w:p>
    <w:p w14:paraId="4E0BA164" w14:textId="77777777" w:rsidR="003925AD" w:rsidRPr="007D0379" w:rsidRDefault="003925AD" w:rsidP="007D0379">
      <w:pPr>
        <w:pStyle w:val="ListParagraph"/>
        <w:numPr>
          <w:ilvl w:val="0"/>
          <w:numId w:val="47"/>
        </w:numPr>
        <w:snapToGrid w:val="0"/>
        <w:contextualSpacing w:val="0"/>
        <w:rPr>
          <w:rFonts w:ascii="Times New Roman" w:eastAsia="Calibri" w:hAnsi="Times New Roman" w:cs="Times New Roman"/>
          <w:noProof w:val="0"/>
        </w:rPr>
      </w:pPr>
      <w:r w:rsidRPr="007D0379">
        <w:rPr>
          <w:rFonts w:ascii="Times New Roman" w:eastAsia="Calibri" w:hAnsi="Times New Roman" w:cs="Times New Roman"/>
          <w:noProof w:val="0"/>
        </w:rPr>
        <w:t>Association “Belgrade Open School”</w:t>
      </w:r>
    </w:p>
    <w:p w14:paraId="1FD71B4E" w14:textId="2F3B5C4F" w:rsidR="003925AD" w:rsidRPr="007D0379" w:rsidRDefault="003925AD" w:rsidP="007D0379">
      <w:pPr>
        <w:pStyle w:val="ListParagraph"/>
        <w:numPr>
          <w:ilvl w:val="0"/>
          <w:numId w:val="47"/>
        </w:numPr>
        <w:snapToGrid w:val="0"/>
        <w:rPr>
          <w:rFonts w:ascii="Times New Roman" w:eastAsia="Calibri" w:hAnsi="Times New Roman" w:cs="Times New Roman"/>
        </w:rPr>
      </w:pPr>
      <w:r w:rsidRPr="007D0379">
        <w:rPr>
          <w:rFonts w:ascii="Times New Roman" w:eastAsia="Calibri" w:hAnsi="Times New Roman" w:cs="Times New Roman"/>
        </w:rPr>
        <w:t>Association “Center for Ecology and Sustainable Development”</w:t>
      </w:r>
    </w:p>
    <w:p w14:paraId="0D39E983" w14:textId="1C6285E8" w:rsidR="003925AD" w:rsidRPr="007D0379" w:rsidRDefault="003925AD" w:rsidP="007D0379">
      <w:pPr>
        <w:pStyle w:val="ListParagraph"/>
        <w:numPr>
          <w:ilvl w:val="0"/>
          <w:numId w:val="47"/>
        </w:numPr>
        <w:snapToGrid w:val="0"/>
        <w:rPr>
          <w:rFonts w:ascii="Times New Roman" w:eastAsia="Calibri" w:hAnsi="Times New Roman" w:cs="Times New Roman"/>
        </w:rPr>
      </w:pPr>
      <w:r w:rsidRPr="007D0379">
        <w:rPr>
          <w:rFonts w:ascii="Times New Roman" w:eastAsia="Calibri" w:hAnsi="Times New Roman" w:cs="Times New Roman"/>
        </w:rPr>
        <w:t>European Bank for Reconstruction and Development (EBRD)</w:t>
      </w:r>
    </w:p>
    <w:p w14:paraId="5EF849F0" w14:textId="04568E49" w:rsidR="000B21E8" w:rsidRPr="00F07779" w:rsidRDefault="00393348" w:rsidP="004B2AB5">
      <w:pPr>
        <w:pStyle w:val="Heading1"/>
        <w:numPr>
          <w:ilvl w:val="0"/>
          <w:numId w:val="7"/>
        </w:numPr>
        <w:rPr>
          <w:rFonts w:ascii="Times New Roman" w:hAnsi="Times New Roman" w:cs="Times New Roman"/>
          <w:sz w:val="28"/>
          <w:szCs w:val="28"/>
        </w:rPr>
      </w:pPr>
      <w:r w:rsidRPr="00F07779">
        <w:rPr>
          <w:rFonts w:ascii="Times New Roman" w:hAnsi="Times New Roman" w:cs="Times New Roman"/>
          <w:sz w:val="28"/>
          <w:szCs w:val="28"/>
        </w:rPr>
        <w:lastRenderedPageBreak/>
        <w:t>LEGAL FRAMEWORK</w:t>
      </w:r>
    </w:p>
    <w:p w14:paraId="76397079" w14:textId="77777777" w:rsidR="000B21E8" w:rsidRPr="00F07779" w:rsidRDefault="000B21E8" w:rsidP="000B21E8">
      <w:pPr>
        <w:jc w:val="both"/>
      </w:pPr>
    </w:p>
    <w:p w14:paraId="09FC706D" w14:textId="77777777" w:rsidR="00393348" w:rsidRPr="00F07779" w:rsidRDefault="00393348" w:rsidP="00393348">
      <w:pPr>
        <w:jc w:val="both"/>
      </w:pPr>
      <w:r w:rsidRPr="00F07779">
        <w:t>In accordance with the Energy Law, the Program establishes the conditions, method, dynamics and measures for the implementation of the Strategy for the three-year period, from 2026 to 2028.</w:t>
      </w:r>
    </w:p>
    <w:p w14:paraId="3471C5F6" w14:textId="77777777" w:rsidR="00393348" w:rsidRPr="00F07779" w:rsidRDefault="00393348" w:rsidP="00393348">
      <w:pPr>
        <w:jc w:val="both"/>
      </w:pPr>
    </w:p>
    <w:p w14:paraId="0BC44955" w14:textId="7ADF09C6" w:rsidR="00393348" w:rsidRPr="00F07779" w:rsidRDefault="00393348" w:rsidP="00393348">
      <w:pPr>
        <w:jc w:val="both"/>
      </w:pPr>
      <w:r w:rsidRPr="00F07779">
        <w:t>In addition to the Law and the Strategy, the legal framework for the development of the Program also included the Law on the Use of Renewable Energy Sources (“Official Gazette of RS”, No. 40/21 and 35/23), the Law on Energy Efficiency and Rational Use of Energy ((“Official Gazette of RS”, No. 40/21) and the Treaty on the Establishment of the Energy Community ((“Official Gazette of RS”, No. 62/06). The legal framework also includes the Law on Mining and Geological Exploration (“Official Gazette of RS”, No. 101/15, 95/18 - other law, 40/21) and the Law on Climate Change (“Official Gazette of RS”, No. 26/21), in the part relating to the issues of the Program.</w:t>
      </w:r>
    </w:p>
    <w:p w14:paraId="043E08FD" w14:textId="77777777" w:rsidR="00393348" w:rsidRPr="00F07779" w:rsidRDefault="00393348" w:rsidP="00393348">
      <w:pPr>
        <w:jc w:val="both"/>
      </w:pPr>
    </w:p>
    <w:p w14:paraId="5C56D81A" w14:textId="4B21934B" w:rsidR="00393348" w:rsidRPr="00F07779" w:rsidRDefault="00393348" w:rsidP="00393348">
      <w:pPr>
        <w:jc w:val="both"/>
      </w:pPr>
      <w:r w:rsidRPr="00F07779">
        <w:t xml:space="preserve">The Program is aligned with the measures and activities defined in the Integrated National Energy and Climate Plan of the Republic of Serbia for the period up to 2030 with a vision to 2050 ("Official Gazette of the Republic of Serbia", No. 70/2024-59, hereinafter: INECP), as well as the document Amendments and Supplements to the Baselines of the Energy Infrastructure Development Plan and Energy Efficiency Measures for the Period up to 2028 with Projections </w:t>
      </w:r>
      <w:r w:rsidR="00021F83" w:rsidRPr="00F07779">
        <w:t xml:space="preserve">up </w:t>
      </w:r>
      <w:r w:rsidRPr="00F07779">
        <w:t>to 2030.</w:t>
      </w:r>
    </w:p>
    <w:p w14:paraId="00DC89D8" w14:textId="77777777" w:rsidR="009B1A89" w:rsidRPr="00F07779" w:rsidRDefault="009B1A89" w:rsidP="00393348">
      <w:pPr>
        <w:jc w:val="both"/>
      </w:pPr>
    </w:p>
    <w:p w14:paraId="0DD3743A" w14:textId="5996AAA0" w:rsidR="009B1A89" w:rsidRPr="00F07779" w:rsidRDefault="009B1A89" w:rsidP="00393348">
      <w:pPr>
        <w:jc w:val="both"/>
      </w:pPr>
      <w:r w:rsidRPr="00F07779">
        <w:t>In addition, considering that both the INECP and the Strategy define goals in the field of energy and climate in accordance with the Sofia Declaration on the Green Agenda for the Western Balkans, the Paris Agreement (“Official Gazette of the Republic of Serbia – International Treaties,” No. 4/17), and the Decision of the Ministerial Council of the Energy Community D/2021/14/MC-</w:t>
      </w:r>
      <w:proofErr w:type="spellStart"/>
      <w:r w:rsidRPr="00F07779">
        <w:t>EnC</w:t>
      </w:r>
      <w:proofErr w:type="spellEnd"/>
      <w:r w:rsidRPr="00F07779">
        <w:t>, and that these goals align with the Sustainable Development Goals, the Program is also a document that determines measures and policies consistent with the Green Agenda and the Sustainable Development Goals.</w:t>
      </w:r>
    </w:p>
    <w:p w14:paraId="18747713" w14:textId="6C31CFF7" w:rsidR="000B21E8" w:rsidRPr="00F07779" w:rsidRDefault="00021F83" w:rsidP="004B2AB5">
      <w:pPr>
        <w:pStyle w:val="Heading1"/>
        <w:numPr>
          <w:ilvl w:val="0"/>
          <w:numId w:val="7"/>
        </w:numPr>
        <w:rPr>
          <w:rFonts w:ascii="Times New Roman" w:hAnsi="Times New Roman" w:cs="Times New Roman"/>
          <w:sz w:val="28"/>
          <w:szCs w:val="28"/>
        </w:rPr>
      </w:pPr>
      <w:r w:rsidRPr="00F07779">
        <w:rPr>
          <w:rFonts w:ascii="Times New Roman" w:hAnsi="Times New Roman" w:cs="Times New Roman"/>
          <w:sz w:val="28"/>
          <w:szCs w:val="28"/>
        </w:rPr>
        <w:t>DESCRIPTION OF THE CURRENT SITUATION</w:t>
      </w:r>
      <w:r w:rsidR="00D94BC2" w:rsidRPr="00F07779">
        <w:rPr>
          <w:rFonts w:ascii="Times New Roman" w:hAnsi="Times New Roman" w:cs="Times New Roman"/>
          <w:sz w:val="28"/>
          <w:szCs w:val="28"/>
        </w:rPr>
        <w:t xml:space="preserve"> </w:t>
      </w:r>
    </w:p>
    <w:p w14:paraId="5DB1CAD9" w14:textId="77777777" w:rsidR="00156489" w:rsidRPr="00F07779" w:rsidRDefault="00156489" w:rsidP="00156489">
      <w:pPr>
        <w:snapToGrid w:val="0"/>
        <w:jc w:val="both"/>
      </w:pPr>
      <w:bookmarkStart w:id="2" w:name="_Toc147035978"/>
      <w:bookmarkStart w:id="3" w:name="_Toc189652233"/>
      <w:bookmarkStart w:id="4" w:name="_Toc189652573"/>
      <w:bookmarkStart w:id="5" w:name="_Toc189732492"/>
    </w:p>
    <w:bookmarkEnd w:id="2"/>
    <w:bookmarkEnd w:id="3"/>
    <w:bookmarkEnd w:id="4"/>
    <w:bookmarkEnd w:id="5"/>
    <w:p w14:paraId="4F548407" w14:textId="42F4D44D" w:rsidR="00021F83" w:rsidRPr="00F07779" w:rsidRDefault="00021F83" w:rsidP="003C7320">
      <w:pPr>
        <w:snapToGrid w:val="0"/>
        <w:jc w:val="both"/>
      </w:pPr>
      <w:r w:rsidRPr="00F07779">
        <w:t>A detailed description and analysis of the current situation, as well as an analysis of the effects of the implementation of measures and activities in the energy sector, were carried out in detail in the process of drafting the INECP and the Strategy, and an ex-ante analysis of the effects was carried out for these documents. These documents also set out the goals of the energy policy and the vision for the development of the energy sector of the Republic of Serbia. Both strategic documents were the subject of the work of the Working Groups, and a full public consultation process was carried out. From the point of view of the current situation and ex-ante analysis of the effects, the Program is a public policy document that is exclusively aligned with the Strategy and INECP.</w:t>
      </w:r>
    </w:p>
    <w:p w14:paraId="749B02E8" w14:textId="0B27EBE0" w:rsidR="000B21E8" w:rsidRPr="00F07779" w:rsidRDefault="00021F83" w:rsidP="004B2AB5">
      <w:pPr>
        <w:pStyle w:val="Heading1"/>
        <w:numPr>
          <w:ilvl w:val="0"/>
          <w:numId w:val="7"/>
        </w:numPr>
        <w:rPr>
          <w:rFonts w:ascii="Times New Roman" w:hAnsi="Times New Roman" w:cs="Times New Roman"/>
          <w:sz w:val="28"/>
          <w:szCs w:val="28"/>
        </w:rPr>
      </w:pPr>
      <w:r w:rsidRPr="00F07779">
        <w:rPr>
          <w:rFonts w:ascii="Times New Roman" w:hAnsi="Times New Roman" w:cs="Times New Roman"/>
          <w:sz w:val="28"/>
          <w:szCs w:val="28"/>
        </w:rPr>
        <w:t>PROGRAM CONTENT</w:t>
      </w:r>
    </w:p>
    <w:p w14:paraId="497A4076" w14:textId="77777777" w:rsidR="00066855" w:rsidRPr="00F07779" w:rsidRDefault="00066855" w:rsidP="000B21E8">
      <w:pPr>
        <w:jc w:val="both"/>
      </w:pPr>
    </w:p>
    <w:p w14:paraId="2EFFC777" w14:textId="4FC2F626" w:rsidR="0064428F" w:rsidRPr="00F07779" w:rsidRDefault="00FF4070" w:rsidP="00F853C1">
      <w:pPr>
        <w:jc w:val="both"/>
      </w:pPr>
      <w:r w:rsidRPr="00F07779">
        <w:t xml:space="preserve">In line with the general principles of energy development (energy security, decarbonization, and economic competitiveness of the energy sector), the general and sectoral </w:t>
      </w:r>
      <w:r w:rsidRPr="00FA3F57">
        <w:t>objectives</w:t>
      </w:r>
      <w:r w:rsidRPr="00F07779">
        <w:t xml:space="preserve">, the adopted priorities, as well as the measures set out in the Strategy, the Program defines the activities necessary for the achievement of objectives and the implementation of measures. The Program elaborates measures and activities aimed at achieving both the general and specific </w:t>
      </w:r>
      <w:r w:rsidRPr="00FA3F57">
        <w:t>goals</w:t>
      </w:r>
      <w:r w:rsidRPr="00F07779">
        <w:t xml:space="preserve"> of energy development.</w:t>
      </w:r>
      <w:r w:rsidR="00B5503D" w:rsidRPr="00F07779">
        <w:t xml:space="preserve"> </w:t>
      </w:r>
    </w:p>
    <w:p w14:paraId="7E84EBA0" w14:textId="77777777" w:rsidR="0064428F" w:rsidRPr="00F07779" w:rsidRDefault="0064428F" w:rsidP="00F853C1">
      <w:pPr>
        <w:jc w:val="both"/>
      </w:pPr>
    </w:p>
    <w:p w14:paraId="4D473AD6" w14:textId="1E48D8FF" w:rsidR="00287FB4" w:rsidRPr="00F07779" w:rsidRDefault="00FF4070" w:rsidP="00F853C1">
      <w:pPr>
        <w:jc w:val="both"/>
      </w:pPr>
      <w:r w:rsidRPr="00F07779">
        <w:t>The Program does not require additional elaboration of activities implemented within the framework of the prescribed measures; therefore, no separate Action Plan is adopted alongside it.</w:t>
      </w:r>
    </w:p>
    <w:p w14:paraId="72106FE5" w14:textId="77777777" w:rsidR="00287FB4" w:rsidRPr="00F07779" w:rsidRDefault="00287FB4" w:rsidP="00F853C1">
      <w:pPr>
        <w:jc w:val="both"/>
      </w:pPr>
    </w:p>
    <w:p w14:paraId="5362A8ED" w14:textId="05FCC7A9" w:rsidR="00FF4070" w:rsidRPr="00F07779" w:rsidRDefault="00FF4070" w:rsidP="006134C2">
      <w:pPr>
        <w:jc w:val="both"/>
      </w:pPr>
      <w:r w:rsidRPr="00F07779">
        <w:t xml:space="preserve">The Program contains all elements envisaged under Article 6 of the Energy Law, presented by energy subsectors. It outlines the energy facilities that need to be constructed or reconstructed to ensure security of supply, improve energy efficiency, and reduce environmental impacts, with an emphasis on the use of modern technologies for energy and energy carrier production. In the section on the </w:t>
      </w:r>
      <w:r w:rsidR="001876FB" w:rsidRPr="00F07779">
        <w:t>electric</w:t>
      </w:r>
      <w:r w:rsidR="0094644B" w:rsidRPr="00F07779">
        <w:t>ity sector</w:t>
      </w:r>
      <w:r w:rsidRPr="00F07779">
        <w:t>, special attention is given to the application of advanced technologies for system management</w:t>
      </w:r>
      <w:r w:rsidR="001876FB" w:rsidRPr="00F07779">
        <w:t xml:space="preserve"> and control</w:t>
      </w:r>
      <w:r w:rsidRPr="00F07779">
        <w:t xml:space="preserve">. The scope of renewable energy use, </w:t>
      </w:r>
      <w:proofErr w:type="gramStart"/>
      <w:r w:rsidRPr="00F07779">
        <w:t>as a result of</w:t>
      </w:r>
      <w:proofErr w:type="gramEnd"/>
      <w:r w:rsidRPr="00F07779">
        <w:t xml:space="preserve"> the foreseen measures and </w:t>
      </w:r>
      <w:r w:rsidRPr="00F07779">
        <w:lastRenderedPageBreak/>
        <w:t>activities, is presented in Chapters 5.1–5.4. For each measure, an estimate of financial resources is provided, along with the identified sources of financing.</w:t>
      </w:r>
    </w:p>
    <w:p w14:paraId="0F5206BE" w14:textId="77777777" w:rsidR="005C6AD0" w:rsidRPr="00F07779" w:rsidRDefault="005C6AD0" w:rsidP="005C6AD0">
      <w:pPr>
        <w:jc w:val="both"/>
      </w:pPr>
    </w:p>
    <w:p w14:paraId="71CCE21B" w14:textId="23946777" w:rsidR="005C6AD0" w:rsidRPr="00F07779" w:rsidRDefault="005C6AD0" w:rsidP="005C6AD0">
      <w:pPr>
        <w:jc w:val="both"/>
      </w:pPr>
      <w:r w:rsidRPr="00F07779">
        <w:t>The structure of the Program is such that, for each sectoral measure, activity, or project, the following elements are presented:</w:t>
      </w:r>
    </w:p>
    <w:p w14:paraId="5C0B1D18" w14:textId="77777777" w:rsidR="005C6AD0" w:rsidRPr="00F07779" w:rsidRDefault="005C6AD0" w:rsidP="005C6AD0">
      <w:pPr>
        <w:pStyle w:val="ListParagraph"/>
        <w:numPr>
          <w:ilvl w:val="0"/>
          <w:numId w:val="2"/>
        </w:numPr>
        <w:snapToGrid w:val="0"/>
        <w:spacing w:before="120"/>
        <w:ind w:left="714" w:hanging="357"/>
        <w:contextualSpacing w:val="0"/>
        <w:rPr>
          <w:rFonts w:ascii="Times New Roman" w:eastAsia="Calibri" w:hAnsi="Times New Roman" w:cs="Times New Roman"/>
          <w:noProof w:val="0"/>
          <w:color w:val="001132"/>
        </w:rPr>
      </w:pPr>
      <w:r w:rsidRPr="00F07779">
        <w:rPr>
          <w:rFonts w:ascii="Times New Roman" w:eastAsia="Calibri" w:hAnsi="Times New Roman" w:cs="Times New Roman"/>
          <w:noProof w:val="0"/>
          <w:color w:val="001132"/>
        </w:rPr>
        <w:t>Title</w:t>
      </w:r>
    </w:p>
    <w:p w14:paraId="31680227" w14:textId="6BA6095D" w:rsidR="005C6AD0" w:rsidRPr="00F07779" w:rsidRDefault="005C6AD0" w:rsidP="005C6AD0">
      <w:pPr>
        <w:pStyle w:val="ListParagraph"/>
        <w:numPr>
          <w:ilvl w:val="0"/>
          <w:numId w:val="2"/>
        </w:numPr>
        <w:snapToGrid w:val="0"/>
        <w:spacing w:before="120"/>
        <w:ind w:left="714" w:hanging="357"/>
        <w:contextualSpacing w:val="0"/>
        <w:rPr>
          <w:rFonts w:ascii="Times New Roman" w:eastAsia="Calibri" w:hAnsi="Times New Roman" w:cs="Times New Roman"/>
          <w:noProof w:val="0"/>
          <w:color w:val="001132"/>
        </w:rPr>
      </w:pPr>
      <w:r w:rsidRPr="00F07779">
        <w:rPr>
          <w:rFonts w:ascii="Times New Roman" w:eastAsia="Calibri" w:hAnsi="Times New Roman" w:cs="Times New Roman"/>
          <w:noProof w:val="0"/>
          <w:color w:val="001132"/>
        </w:rPr>
        <w:t xml:space="preserve">Type (regulatory, incentive, </w:t>
      </w:r>
      <w:r w:rsidR="00E74FA3" w:rsidRPr="00F07779">
        <w:rPr>
          <w:rFonts w:ascii="Times New Roman" w:eastAsia="Calibri" w:hAnsi="Times New Roman" w:cs="Times New Roman"/>
          <w:noProof w:val="0"/>
          <w:color w:val="001132"/>
        </w:rPr>
        <w:t>informati</w:t>
      </w:r>
      <w:r w:rsidR="00E74FA3" w:rsidRPr="00F07779">
        <w:rPr>
          <w:rFonts w:eastAsia="Calibri"/>
          <w:noProof w:val="0"/>
          <w:color w:val="001132"/>
        </w:rPr>
        <w:t>ve</w:t>
      </w:r>
      <w:r w:rsidRPr="00F07779">
        <w:rPr>
          <w:rFonts w:ascii="Times New Roman" w:eastAsia="Calibri" w:hAnsi="Times New Roman" w:cs="Times New Roman"/>
          <w:noProof w:val="0"/>
          <w:color w:val="001132"/>
        </w:rPr>
        <w:t>, institutional/</w:t>
      </w:r>
      <w:r w:rsidR="00E74FA3" w:rsidRPr="00F07779">
        <w:rPr>
          <w:rFonts w:ascii="Times New Roman" w:eastAsia="Calibri" w:hAnsi="Times New Roman" w:cs="Times New Roman"/>
          <w:noProof w:val="0"/>
          <w:color w:val="001132"/>
        </w:rPr>
        <w:t>governance</w:t>
      </w:r>
      <w:r w:rsidRPr="00F07779">
        <w:rPr>
          <w:rFonts w:ascii="Times New Roman" w:eastAsia="Calibri" w:hAnsi="Times New Roman" w:cs="Times New Roman"/>
          <w:noProof w:val="0"/>
          <w:color w:val="001132"/>
        </w:rPr>
        <w:t>, financial, investment, etc.)</w:t>
      </w:r>
    </w:p>
    <w:p w14:paraId="7E27633D" w14:textId="77777777" w:rsidR="005C6AD0" w:rsidRPr="00F07779" w:rsidRDefault="005C6AD0" w:rsidP="005C6AD0">
      <w:pPr>
        <w:pStyle w:val="ListParagraph"/>
        <w:numPr>
          <w:ilvl w:val="0"/>
          <w:numId w:val="2"/>
        </w:numPr>
        <w:snapToGrid w:val="0"/>
        <w:spacing w:before="120"/>
        <w:ind w:left="714" w:hanging="357"/>
        <w:contextualSpacing w:val="0"/>
        <w:rPr>
          <w:rFonts w:ascii="Times New Roman" w:eastAsia="Calibri" w:hAnsi="Times New Roman" w:cs="Times New Roman"/>
          <w:noProof w:val="0"/>
          <w:color w:val="001132"/>
        </w:rPr>
      </w:pPr>
      <w:r w:rsidRPr="00F07779">
        <w:rPr>
          <w:rFonts w:ascii="Times New Roman" w:eastAsia="Calibri" w:hAnsi="Times New Roman" w:cs="Times New Roman"/>
          <w:noProof w:val="0"/>
          <w:color w:val="001132"/>
        </w:rPr>
        <w:t>Brief description</w:t>
      </w:r>
    </w:p>
    <w:p w14:paraId="48170988" w14:textId="77FFC830" w:rsidR="005C6AD0" w:rsidRPr="00F07779" w:rsidRDefault="005C6AD0" w:rsidP="005C6AD0">
      <w:pPr>
        <w:pStyle w:val="ListParagraph"/>
        <w:numPr>
          <w:ilvl w:val="0"/>
          <w:numId w:val="2"/>
        </w:numPr>
        <w:snapToGrid w:val="0"/>
        <w:spacing w:before="120"/>
        <w:ind w:left="714" w:hanging="357"/>
        <w:contextualSpacing w:val="0"/>
        <w:rPr>
          <w:rFonts w:ascii="Times New Roman" w:eastAsia="Calibri" w:hAnsi="Times New Roman" w:cs="Times New Roman"/>
          <w:noProof w:val="0"/>
          <w:color w:val="001132"/>
        </w:rPr>
      </w:pPr>
      <w:r w:rsidRPr="00F07779">
        <w:rPr>
          <w:rFonts w:ascii="Times New Roman" w:eastAsia="Calibri" w:hAnsi="Times New Roman" w:cs="Times New Roman"/>
          <w:noProof w:val="0"/>
          <w:color w:val="001132"/>
        </w:rPr>
        <w:t>Institution(s) responsible for the implementation of measures and activities</w:t>
      </w:r>
    </w:p>
    <w:p w14:paraId="36D56F50" w14:textId="3E69C3AB" w:rsidR="005C6AD0" w:rsidRPr="00F07779" w:rsidRDefault="005C6AD0" w:rsidP="005C6AD0">
      <w:pPr>
        <w:pStyle w:val="ListParagraph"/>
        <w:numPr>
          <w:ilvl w:val="0"/>
          <w:numId w:val="2"/>
        </w:numPr>
        <w:snapToGrid w:val="0"/>
        <w:spacing w:before="120"/>
        <w:ind w:left="714" w:hanging="357"/>
        <w:contextualSpacing w:val="0"/>
        <w:rPr>
          <w:rFonts w:ascii="Times New Roman" w:eastAsia="Calibri" w:hAnsi="Times New Roman" w:cs="Times New Roman"/>
          <w:noProof w:val="0"/>
          <w:color w:val="001132"/>
        </w:rPr>
      </w:pPr>
      <w:r w:rsidRPr="00F07779">
        <w:rPr>
          <w:rFonts w:ascii="Times New Roman" w:eastAsia="Calibri" w:hAnsi="Times New Roman" w:cs="Times New Roman"/>
          <w:noProof w:val="0"/>
          <w:color w:val="001132"/>
        </w:rPr>
        <w:t>The institution responsible for monitoring implementation and reporting on the realization</w:t>
      </w:r>
    </w:p>
    <w:p w14:paraId="351C1FCA" w14:textId="77777777" w:rsidR="005C6AD0" w:rsidRPr="00F07779" w:rsidRDefault="005C6AD0" w:rsidP="005C6AD0">
      <w:pPr>
        <w:pStyle w:val="ListParagraph"/>
        <w:numPr>
          <w:ilvl w:val="0"/>
          <w:numId w:val="2"/>
        </w:numPr>
        <w:snapToGrid w:val="0"/>
        <w:spacing w:before="120"/>
        <w:ind w:left="714" w:hanging="357"/>
        <w:contextualSpacing w:val="0"/>
        <w:rPr>
          <w:rFonts w:ascii="Times New Roman" w:eastAsia="Calibri" w:hAnsi="Times New Roman" w:cs="Times New Roman"/>
          <w:noProof w:val="0"/>
          <w:color w:val="001132"/>
        </w:rPr>
      </w:pPr>
      <w:r w:rsidRPr="00F07779">
        <w:rPr>
          <w:rFonts w:ascii="Times New Roman" w:eastAsia="Calibri" w:hAnsi="Times New Roman" w:cs="Times New Roman"/>
          <w:noProof w:val="0"/>
          <w:color w:val="001132"/>
        </w:rPr>
        <w:t>Deadline for implementation</w:t>
      </w:r>
    </w:p>
    <w:p w14:paraId="12FC460D" w14:textId="77777777" w:rsidR="005C6AD0" w:rsidRPr="00F07779" w:rsidRDefault="005C6AD0" w:rsidP="005C6AD0">
      <w:pPr>
        <w:pStyle w:val="ListParagraph"/>
        <w:numPr>
          <w:ilvl w:val="0"/>
          <w:numId w:val="2"/>
        </w:numPr>
        <w:snapToGrid w:val="0"/>
        <w:spacing w:before="120"/>
        <w:ind w:left="714" w:hanging="357"/>
        <w:contextualSpacing w:val="0"/>
        <w:rPr>
          <w:rFonts w:ascii="Times New Roman" w:eastAsia="Calibri" w:hAnsi="Times New Roman" w:cs="Times New Roman"/>
          <w:noProof w:val="0"/>
          <w:color w:val="001132"/>
        </w:rPr>
      </w:pPr>
      <w:r w:rsidRPr="00F07779">
        <w:rPr>
          <w:rFonts w:ascii="Times New Roman" w:eastAsia="Calibri" w:hAnsi="Times New Roman" w:cs="Times New Roman"/>
          <w:noProof w:val="0"/>
          <w:color w:val="001132"/>
        </w:rPr>
        <w:t>Required funds and source of financing</w:t>
      </w:r>
    </w:p>
    <w:p w14:paraId="73182701" w14:textId="77777777" w:rsidR="005C6AD0" w:rsidRPr="00F07779" w:rsidRDefault="005C6AD0" w:rsidP="005C6AD0">
      <w:pPr>
        <w:pStyle w:val="ListParagraph"/>
        <w:numPr>
          <w:ilvl w:val="0"/>
          <w:numId w:val="2"/>
        </w:numPr>
        <w:snapToGrid w:val="0"/>
        <w:spacing w:before="120"/>
        <w:ind w:left="714" w:hanging="357"/>
        <w:contextualSpacing w:val="0"/>
        <w:rPr>
          <w:rFonts w:ascii="Times New Roman" w:eastAsia="Calibri" w:hAnsi="Times New Roman" w:cs="Times New Roman"/>
          <w:noProof w:val="0"/>
          <w:color w:val="001132"/>
        </w:rPr>
      </w:pPr>
      <w:r w:rsidRPr="00F07779">
        <w:rPr>
          <w:rFonts w:ascii="Times New Roman" w:eastAsia="Calibri" w:hAnsi="Times New Roman" w:cs="Times New Roman"/>
          <w:noProof w:val="0"/>
          <w:color w:val="001132"/>
        </w:rPr>
        <w:t>Implementation indicator (used to monitor the realization of the measure, activity, or project)</w:t>
      </w:r>
    </w:p>
    <w:p w14:paraId="009D39BE" w14:textId="63CFED97" w:rsidR="005C6AD0" w:rsidRPr="00F07779" w:rsidRDefault="005C6AD0" w:rsidP="005C6AD0">
      <w:pPr>
        <w:pStyle w:val="ListParagraph"/>
        <w:numPr>
          <w:ilvl w:val="0"/>
          <w:numId w:val="2"/>
        </w:numPr>
        <w:snapToGrid w:val="0"/>
        <w:spacing w:before="120"/>
        <w:ind w:left="714" w:hanging="357"/>
        <w:contextualSpacing w:val="0"/>
        <w:rPr>
          <w:rFonts w:ascii="Times New Roman" w:eastAsia="Calibri" w:hAnsi="Times New Roman" w:cs="Times New Roman"/>
          <w:noProof w:val="0"/>
          <w:color w:val="001132"/>
        </w:rPr>
      </w:pPr>
      <w:r w:rsidRPr="00F07779">
        <w:rPr>
          <w:rFonts w:ascii="Times New Roman" w:eastAsia="Calibri" w:hAnsi="Times New Roman" w:cs="Times New Roman"/>
          <w:noProof w:val="0"/>
          <w:color w:val="001132"/>
        </w:rPr>
        <w:t>Impact of the measure/activity/project on the achievement of objectives (linked to the relevant strategic objective indicator</w:t>
      </w:r>
      <w:bookmarkStart w:id="6" w:name="_Ref207101655"/>
      <w:r w:rsidRPr="00F07779">
        <w:rPr>
          <w:rStyle w:val="FootnoteReference"/>
          <w:rFonts w:ascii="Times New Roman" w:eastAsia="Calibri" w:hAnsi="Times New Roman" w:cs="Times New Roman"/>
          <w:noProof w:val="0"/>
          <w:color w:val="001132"/>
        </w:rPr>
        <w:footnoteReference w:id="2"/>
      </w:r>
      <w:bookmarkEnd w:id="6"/>
      <w:r w:rsidRPr="00F07779">
        <w:rPr>
          <w:rFonts w:ascii="Times New Roman" w:eastAsia="Calibri" w:hAnsi="Times New Roman" w:cs="Times New Roman"/>
          <w:noProof w:val="0"/>
          <w:color w:val="001132"/>
        </w:rPr>
        <w:t>)</w:t>
      </w:r>
    </w:p>
    <w:p w14:paraId="3AF59160" w14:textId="75EE911A" w:rsidR="00021F83" w:rsidRPr="00F07779" w:rsidRDefault="005C6AD0" w:rsidP="005C6AD0">
      <w:pPr>
        <w:pStyle w:val="ListParagraph"/>
        <w:numPr>
          <w:ilvl w:val="0"/>
          <w:numId w:val="2"/>
        </w:numPr>
        <w:snapToGrid w:val="0"/>
        <w:spacing w:before="120"/>
        <w:ind w:left="714" w:hanging="357"/>
        <w:contextualSpacing w:val="0"/>
        <w:rPr>
          <w:rFonts w:ascii="Times New Roman" w:eastAsia="Calibri" w:hAnsi="Times New Roman" w:cs="Times New Roman"/>
          <w:noProof w:val="0"/>
          <w:color w:val="001132"/>
        </w:rPr>
      </w:pPr>
      <w:r w:rsidRPr="00F07779">
        <w:rPr>
          <w:rFonts w:ascii="Times New Roman" w:eastAsia="Calibri" w:hAnsi="Times New Roman" w:cs="Times New Roman"/>
          <w:noProof w:val="0"/>
          <w:color w:val="001132"/>
        </w:rPr>
        <w:t>Impact on energy efficiency, climate, and environmental protection.</w:t>
      </w:r>
    </w:p>
    <w:p w14:paraId="767B22D9" w14:textId="77777777" w:rsidR="005C6AD0" w:rsidRPr="00F07779" w:rsidRDefault="005C6AD0" w:rsidP="005C6AD0">
      <w:pPr>
        <w:pStyle w:val="ListParagraph"/>
        <w:snapToGrid w:val="0"/>
        <w:spacing w:before="120"/>
        <w:ind w:left="714"/>
        <w:contextualSpacing w:val="0"/>
        <w:rPr>
          <w:rFonts w:ascii="Times New Roman" w:eastAsia="Calibri" w:hAnsi="Times New Roman" w:cs="Times New Roman"/>
          <w:noProof w:val="0"/>
          <w:color w:val="001132"/>
        </w:rPr>
      </w:pPr>
    </w:p>
    <w:p w14:paraId="3C4C38E7" w14:textId="692B0C8A" w:rsidR="001E3033" w:rsidRPr="00F07779" w:rsidRDefault="005C6AD0" w:rsidP="00555340">
      <w:pPr>
        <w:pStyle w:val="Heading1"/>
        <w:numPr>
          <w:ilvl w:val="0"/>
          <w:numId w:val="7"/>
        </w:numPr>
        <w:rPr>
          <w:rFonts w:ascii="Times New Roman" w:hAnsi="Times New Roman" w:cs="Times New Roman"/>
          <w:sz w:val="28"/>
          <w:szCs w:val="28"/>
        </w:rPr>
      </w:pPr>
      <w:r w:rsidRPr="00F07779">
        <w:rPr>
          <w:rFonts w:ascii="Times New Roman" w:hAnsi="Times New Roman" w:cs="Times New Roman"/>
          <w:sz w:val="28"/>
          <w:szCs w:val="28"/>
        </w:rPr>
        <w:t>OVERVIEW OF OBJECTIVES, MEASURES, ACTIVITIES, AND PROJECTS BY ENERGY SECTORS</w:t>
      </w:r>
    </w:p>
    <w:p w14:paraId="0DD275EC" w14:textId="77777777" w:rsidR="00067674" w:rsidRPr="00F07779" w:rsidRDefault="00067674" w:rsidP="002275BA">
      <w:pPr>
        <w:shd w:val="clear" w:color="auto" w:fill="FFFFFF"/>
        <w:spacing w:after="150"/>
        <w:rPr>
          <w:color w:val="333333"/>
          <w:sz w:val="19"/>
          <w:szCs w:val="19"/>
        </w:rPr>
      </w:pPr>
    </w:p>
    <w:p w14:paraId="6E0A8B0C" w14:textId="77777777" w:rsidR="0094644B" w:rsidRPr="00FA3F57" w:rsidRDefault="0094644B" w:rsidP="0094644B">
      <w:pPr>
        <w:pStyle w:val="Heading2"/>
        <w:numPr>
          <w:ilvl w:val="1"/>
          <w:numId w:val="7"/>
        </w:numPr>
        <w:rPr>
          <w:rFonts w:ascii="Times New Roman" w:hAnsi="Times New Roman" w:cs="Times New Roman"/>
        </w:rPr>
      </w:pPr>
      <w:r w:rsidRPr="00F07779">
        <w:rPr>
          <w:rFonts w:ascii="Times New Roman" w:hAnsi="Times New Roman" w:cs="Times New Roman"/>
        </w:rPr>
        <w:t>Electricity Sector</w:t>
      </w:r>
      <w:r w:rsidRPr="00FA3F57" w:rsidDel="00BC6A1F">
        <w:rPr>
          <w:rFonts w:ascii="Times New Roman" w:hAnsi="Times New Roman" w:cs="Times New Roman"/>
        </w:rPr>
        <w:t xml:space="preserve"> </w:t>
      </w:r>
    </w:p>
    <w:p w14:paraId="258545F2" w14:textId="77777777" w:rsidR="0094644B" w:rsidRPr="00FA3F57" w:rsidRDefault="0094644B" w:rsidP="0094644B"/>
    <w:p w14:paraId="04D90EB0" w14:textId="77777777" w:rsidR="0094644B" w:rsidRPr="00FA3F57" w:rsidRDefault="0094644B" w:rsidP="0094644B">
      <w:pPr>
        <w:jc w:val="both"/>
      </w:pPr>
      <w:r w:rsidRPr="00F07779">
        <w:t>The strategic objectives within the electricity sector include</w:t>
      </w:r>
      <w:r w:rsidRPr="00FA3F57">
        <w:t>:</w:t>
      </w:r>
    </w:p>
    <w:p w14:paraId="16152B24" w14:textId="77777777" w:rsidR="0094644B" w:rsidRPr="00FA3F57" w:rsidRDefault="0094644B" w:rsidP="0094644B">
      <w:pPr>
        <w:pStyle w:val="ListParagraph"/>
        <w:numPr>
          <w:ilvl w:val="0"/>
          <w:numId w:val="16"/>
        </w:numPr>
        <w:spacing w:before="120" w:after="60"/>
        <w:jc w:val="both"/>
        <w:rPr>
          <w:noProof w:val="0"/>
        </w:rPr>
      </w:pPr>
      <w:r w:rsidRPr="00FA3F57">
        <w:rPr>
          <w:rFonts w:ascii="Times New Roman" w:hAnsi="Times New Roman" w:cs="Times New Roman"/>
          <w:noProof w:val="0"/>
        </w:rPr>
        <w:t xml:space="preserve">Ensuring a stable electricity supply for the domestic </w:t>
      </w:r>
      <w:proofErr w:type="gramStart"/>
      <w:r w:rsidRPr="00FA3F57">
        <w:rPr>
          <w:rFonts w:ascii="Times New Roman" w:hAnsi="Times New Roman" w:cs="Times New Roman"/>
          <w:noProof w:val="0"/>
        </w:rPr>
        <w:t>market;</w:t>
      </w:r>
      <w:proofErr w:type="gramEnd"/>
    </w:p>
    <w:p w14:paraId="4524B635" w14:textId="77777777" w:rsidR="0094644B" w:rsidRPr="00FA3F57" w:rsidRDefault="0094644B" w:rsidP="0094644B">
      <w:pPr>
        <w:pStyle w:val="ListParagraph"/>
        <w:numPr>
          <w:ilvl w:val="0"/>
          <w:numId w:val="16"/>
        </w:numPr>
        <w:spacing w:before="120" w:after="60"/>
        <w:jc w:val="both"/>
        <w:rPr>
          <w:rFonts w:ascii="Times New Roman" w:hAnsi="Times New Roman" w:cs="Times New Roman"/>
          <w:noProof w:val="0"/>
        </w:rPr>
      </w:pPr>
      <w:r w:rsidRPr="00FA3F57">
        <w:rPr>
          <w:rFonts w:ascii="Times New Roman" w:hAnsi="Times New Roman" w:cs="Times New Roman"/>
          <w:noProof w:val="0"/>
        </w:rPr>
        <w:t xml:space="preserve">Continuous reduction of greenhouse gas </w:t>
      </w:r>
      <w:proofErr w:type="gramStart"/>
      <w:r w:rsidRPr="00FA3F57">
        <w:rPr>
          <w:rFonts w:ascii="Times New Roman" w:hAnsi="Times New Roman" w:cs="Times New Roman"/>
          <w:noProof w:val="0"/>
        </w:rPr>
        <w:t>emissions;</w:t>
      </w:r>
      <w:proofErr w:type="gramEnd"/>
    </w:p>
    <w:p w14:paraId="2C6ED696" w14:textId="77777777" w:rsidR="0094644B" w:rsidRPr="00FA3F57" w:rsidRDefault="0094644B" w:rsidP="0094644B">
      <w:pPr>
        <w:pStyle w:val="ListParagraph"/>
        <w:numPr>
          <w:ilvl w:val="0"/>
          <w:numId w:val="16"/>
        </w:numPr>
        <w:spacing w:before="120" w:after="60"/>
        <w:jc w:val="both"/>
        <w:rPr>
          <w:noProof w:val="0"/>
        </w:rPr>
      </w:pPr>
      <w:r w:rsidRPr="00FA3F57">
        <w:rPr>
          <w:rFonts w:ascii="Times New Roman" w:hAnsi="Times New Roman" w:cs="Times New Roman"/>
          <w:noProof w:val="0"/>
        </w:rPr>
        <w:t xml:space="preserve">Enhancing the utilization of renewable energy </w:t>
      </w:r>
      <w:proofErr w:type="gramStart"/>
      <w:r w:rsidRPr="00FA3F57">
        <w:rPr>
          <w:rFonts w:ascii="Times New Roman" w:hAnsi="Times New Roman" w:cs="Times New Roman"/>
          <w:noProof w:val="0"/>
        </w:rPr>
        <w:t>sources;</w:t>
      </w:r>
      <w:proofErr w:type="gramEnd"/>
    </w:p>
    <w:p w14:paraId="332B0F56" w14:textId="77777777" w:rsidR="0094644B" w:rsidRPr="00FA3F57" w:rsidRDefault="0094644B" w:rsidP="0094644B">
      <w:pPr>
        <w:pStyle w:val="ListParagraph"/>
        <w:numPr>
          <w:ilvl w:val="0"/>
          <w:numId w:val="16"/>
        </w:numPr>
        <w:spacing w:before="120" w:after="60"/>
        <w:jc w:val="both"/>
        <w:rPr>
          <w:noProof w:val="0"/>
        </w:rPr>
      </w:pPr>
      <w:r w:rsidRPr="00FA3F57">
        <w:rPr>
          <w:rFonts w:ascii="Times New Roman" w:hAnsi="Times New Roman" w:cs="Times New Roman"/>
          <w:noProof w:val="0"/>
        </w:rPr>
        <w:t xml:space="preserve">Preserving energy </w:t>
      </w:r>
      <w:proofErr w:type="gramStart"/>
      <w:r w:rsidRPr="00FA3F57">
        <w:rPr>
          <w:rFonts w:ascii="Times New Roman" w:hAnsi="Times New Roman" w:cs="Times New Roman"/>
          <w:noProof w:val="0"/>
        </w:rPr>
        <w:t>independence;</w:t>
      </w:r>
      <w:proofErr w:type="gramEnd"/>
    </w:p>
    <w:p w14:paraId="15F81DBA" w14:textId="77777777" w:rsidR="0094644B" w:rsidRPr="00FA3F57" w:rsidRDefault="0094644B" w:rsidP="0094644B">
      <w:pPr>
        <w:pStyle w:val="ListParagraph"/>
        <w:numPr>
          <w:ilvl w:val="0"/>
          <w:numId w:val="16"/>
        </w:numPr>
        <w:spacing w:before="120" w:after="60"/>
        <w:jc w:val="both"/>
        <w:rPr>
          <w:noProof w:val="0"/>
        </w:rPr>
      </w:pPr>
      <w:r w:rsidRPr="00FA3F57">
        <w:rPr>
          <w:rFonts w:ascii="Times New Roman" w:hAnsi="Times New Roman" w:cs="Times New Roman"/>
          <w:noProof w:val="0"/>
        </w:rPr>
        <w:t>Increasing energy efficiency in electricity production, transmission, and distribution.</w:t>
      </w:r>
    </w:p>
    <w:p w14:paraId="6A9926FC" w14:textId="77777777" w:rsidR="0094644B" w:rsidRPr="00FA3F57" w:rsidRDefault="0094644B" w:rsidP="0094644B">
      <w:pPr>
        <w:jc w:val="both"/>
      </w:pPr>
      <w:r w:rsidRPr="00F07779">
        <w:t>In terms of overall energy objectives, energy security is attained by ensuring a reliable electricity supply, enhancing the utilization of renewable energy sources, and aiming for energy independence. A beneficial effect on decarbonization results from the ongoing decrease in greenhouse gas emissions and improvements in energy efficiency throughout the production, transmission, and distribution of electricity.</w:t>
      </w:r>
    </w:p>
    <w:p w14:paraId="10797727" w14:textId="77777777" w:rsidR="0094644B" w:rsidRPr="00FA3F57" w:rsidRDefault="0094644B" w:rsidP="0094644B">
      <w:pPr>
        <w:jc w:val="both"/>
      </w:pPr>
      <w:proofErr w:type="gramStart"/>
      <w:r w:rsidRPr="00FA3F57">
        <w:t>In order to</w:t>
      </w:r>
      <w:proofErr w:type="gramEnd"/>
      <w:r w:rsidRPr="00FA3F57">
        <w:t xml:space="preserve"> meet the strategic objectives, the Strategy defines seven sectoral measures:</w:t>
      </w:r>
    </w:p>
    <w:p w14:paraId="1EDCD256" w14:textId="77777777" w:rsidR="0094644B" w:rsidRPr="00FA3F57" w:rsidRDefault="0094644B" w:rsidP="0094644B">
      <w:pPr>
        <w:pStyle w:val="ListParagraph"/>
        <w:numPr>
          <w:ilvl w:val="0"/>
          <w:numId w:val="16"/>
        </w:numPr>
        <w:tabs>
          <w:tab w:val="left" w:pos="1276"/>
        </w:tabs>
        <w:spacing w:before="120" w:after="60"/>
        <w:jc w:val="both"/>
        <w:rPr>
          <w:rFonts w:ascii="Times New Roman" w:hAnsi="Times New Roman" w:cs="Times New Roman"/>
          <w:noProof w:val="0"/>
        </w:rPr>
      </w:pPr>
      <w:r w:rsidRPr="00FA3F57">
        <w:rPr>
          <w:rFonts w:ascii="Times New Roman" w:hAnsi="Times New Roman" w:cs="Times New Roman"/>
          <w:noProof w:val="0"/>
        </w:rPr>
        <w:t xml:space="preserve">EL1 Preventive maintenance, revitalization (reconstruction), and modernization of power plants, transmission and distribution </w:t>
      </w:r>
      <w:proofErr w:type="gramStart"/>
      <w:r w:rsidRPr="00FA3F57">
        <w:rPr>
          <w:rFonts w:ascii="Times New Roman" w:hAnsi="Times New Roman" w:cs="Times New Roman"/>
          <w:noProof w:val="0"/>
        </w:rPr>
        <w:t>networks;</w:t>
      </w:r>
      <w:proofErr w:type="gramEnd"/>
    </w:p>
    <w:p w14:paraId="187DE571" w14:textId="77777777" w:rsidR="0094644B" w:rsidRPr="00FA3F57" w:rsidRDefault="0094644B" w:rsidP="0094644B">
      <w:pPr>
        <w:pStyle w:val="ListParagraph"/>
        <w:numPr>
          <w:ilvl w:val="0"/>
          <w:numId w:val="16"/>
        </w:numPr>
        <w:tabs>
          <w:tab w:val="left" w:pos="1276"/>
        </w:tabs>
        <w:spacing w:before="120" w:after="60"/>
        <w:jc w:val="both"/>
        <w:rPr>
          <w:rFonts w:ascii="Times New Roman" w:hAnsi="Times New Roman" w:cs="Times New Roman"/>
          <w:noProof w:val="0"/>
        </w:rPr>
      </w:pPr>
      <w:r w:rsidRPr="00FA3F57">
        <w:rPr>
          <w:rFonts w:ascii="Times New Roman" w:hAnsi="Times New Roman" w:cs="Times New Roman"/>
          <w:noProof w:val="0"/>
        </w:rPr>
        <w:t xml:space="preserve">EL2 Use of high-quality coal in accordance with the designed parameters of </w:t>
      </w:r>
      <w:proofErr w:type="gramStart"/>
      <w:r w:rsidRPr="00FA3F57">
        <w:rPr>
          <w:rFonts w:ascii="Times New Roman" w:hAnsi="Times New Roman" w:cs="Times New Roman"/>
          <w:noProof w:val="0"/>
        </w:rPr>
        <w:t>boilers;</w:t>
      </w:r>
      <w:proofErr w:type="gramEnd"/>
    </w:p>
    <w:p w14:paraId="30D7DC5F" w14:textId="77777777" w:rsidR="0094644B" w:rsidRPr="00FA3F57" w:rsidRDefault="0094644B" w:rsidP="0094644B">
      <w:pPr>
        <w:pStyle w:val="ListParagraph"/>
        <w:numPr>
          <w:ilvl w:val="0"/>
          <w:numId w:val="16"/>
        </w:numPr>
        <w:tabs>
          <w:tab w:val="left" w:pos="1276"/>
        </w:tabs>
        <w:spacing w:before="120" w:after="60"/>
        <w:jc w:val="both"/>
        <w:rPr>
          <w:rFonts w:ascii="Times New Roman" w:hAnsi="Times New Roman" w:cs="Times New Roman"/>
          <w:noProof w:val="0"/>
        </w:rPr>
      </w:pPr>
      <w:r w:rsidRPr="00FA3F57">
        <w:rPr>
          <w:rFonts w:ascii="Times New Roman" w:hAnsi="Times New Roman" w:cs="Times New Roman"/>
          <w:noProof w:val="0"/>
        </w:rPr>
        <w:t xml:space="preserve">EL3 Reduction of electricity production in coal-fired thermal power </w:t>
      </w:r>
      <w:proofErr w:type="gramStart"/>
      <w:r w:rsidRPr="00FA3F57">
        <w:rPr>
          <w:rFonts w:ascii="Times New Roman" w:hAnsi="Times New Roman" w:cs="Times New Roman"/>
          <w:noProof w:val="0"/>
        </w:rPr>
        <w:t>plants;</w:t>
      </w:r>
      <w:proofErr w:type="gramEnd"/>
    </w:p>
    <w:p w14:paraId="642DE474" w14:textId="77777777" w:rsidR="0094644B" w:rsidRPr="00FA3F57" w:rsidRDefault="0094644B" w:rsidP="0094644B">
      <w:pPr>
        <w:pStyle w:val="ListParagraph"/>
        <w:numPr>
          <w:ilvl w:val="0"/>
          <w:numId w:val="16"/>
        </w:numPr>
        <w:tabs>
          <w:tab w:val="left" w:pos="1276"/>
        </w:tabs>
        <w:spacing w:before="120" w:after="60"/>
        <w:jc w:val="both"/>
        <w:rPr>
          <w:rFonts w:ascii="Times New Roman" w:hAnsi="Times New Roman" w:cs="Times New Roman"/>
          <w:noProof w:val="0"/>
        </w:rPr>
      </w:pPr>
      <w:r w:rsidRPr="00FA3F57">
        <w:rPr>
          <w:rFonts w:ascii="Times New Roman" w:hAnsi="Times New Roman" w:cs="Times New Roman"/>
          <w:noProof w:val="0"/>
        </w:rPr>
        <w:t xml:space="preserve">EL4 Change of production </w:t>
      </w:r>
      <w:proofErr w:type="gramStart"/>
      <w:r w:rsidRPr="00FA3F57">
        <w:rPr>
          <w:rFonts w:ascii="Times New Roman" w:hAnsi="Times New Roman" w:cs="Times New Roman"/>
          <w:noProof w:val="0"/>
        </w:rPr>
        <w:t>portfolio;</w:t>
      </w:r>
      <w:proofErr w:type="gramEnd"/>
    </w:p>
    <w:p w14:paraId="4FA21BF8" w14:textId="77777777" w:rsidR="0094644B" w:rsidRPr="00FA3F57" w:rsidRDefault="0094644B" w:rsidP="0094644B">
      <w:pPr>
        <w:pStyle w:val="ListParagraph"/>
        <w:numPr>
          <w:ilvl w:val="0"/>
          <w:numId w:val="16"/>
        </w:numPr>
        <w:tabs>
          <w:tab w:val="left" w:pos="1276"/>
        </w:tabs>
        <w:spacing w:before="120" w:after="60"/>
        <w:jc w:val="both"/>
        <w:rPr>
          <w:rFonts w:ascii="Times New Roman" w:hAnsi="Times New Roman" w:cs="Times New Roman"/>
          <w:noProof w:val="0"/>
        </w:rPr>
      </w:pPr>
      <w:r w:rsidRPr="00FA3F57">
        <w:rPr>
          <w:rFonts w:ascii="Times New Roman" w:hAnsi="Times New Roman" w:cs="Times New Roman"/>
          <w:noProof w:val="0"/>
        </w:rPr>
        <w:t xml:space="preserve">EL5 Development of transmission and distribution networks to enable the greatest possible integration of </w:t>
      </w:r>
      <w:proofErr w:type="gramStart"/>
      <w:r w:rsidRPr="00FA3F57">
        <w:rPr>
          <w:rFonts w:ascii="Times New Roman" w:hAnsi="Times New Roman" w:cs="Times New Roman"/>
          <w:noProof w:val="0"/>
        </w:rPr>
        <w:t>RES;</w:t>
      </w:r>
      <w:proofErr w:type="gramEnd"/>
    </w:p>
    <w:p w14:paraId="1917CD2A" w14:textId="77777777" w:rsidR="0094644B" w:rsidRPr="00FA3F57" w:rsidRDefault="0094644B" w:rsidP="0094644B">
      <w:pPr>
        <w:pStyle w:val="ListParagraph"/>
        <w:numPr>
          <w:ilvl w:val="0"/>
          <w:numId w:val="16"/>
        </w:numPr>
        <w:tabs>
          <w:tab w:val="left" w:pos="1276"/>
        </w:tabs>
        <w:spacing w:before="120" w:after="60"/>
        <w:jc w:val="both"/>
        <w:rPr>
          <w:rFonts w:ascii="Times New Roman" w:hAnsi="Times New Roman" w:cs="Times New Roman"/>
          <w:noProof w:val="0"/>
        </w:rPr>
      </w:pPr>
      <w:r w:rsidRPr="00FA3F57">
        <w:rPr>
          <w:rFonts w:ascii="Times New Roman" w:hAnsi="Times New Roman" w:cs="Times New Roman"/>
          <w:noProof w:val="0"/>
        </w:rPr>
        <w:t xml:space="preserve">EL6 Increase in electricity production from domestic power </w:t>
      </w:r>
      <w:proofErr w:type="gramStart"/>
      <w:r w:rsidRPr="00FA3F57">
        <w:rPr>
          <w:rFonts w:ascii="Times New Roman" w:hAnsi="Times New Roman" w:cs="Times New Roman"/>
          <w:noProof w:val="0"/>
        </w:rPr>
        <w:t>plants;</w:t>
      </w:r>
      <w:proofErr w:type="gramEnd"/>
    </w:p>
    <w:p w14:paraId="41269674" w14:textId="77777777" w:rsidR="0094644B" w:rsidRPr="00FA3F57" w:rsidRDefault="0094644B" w:rsidP="0094644B">
      <w:pPr>
        <w:pStyle w:val="ListParagraph"/>
        <w:numPr>
          <w:ilvl w:val="0"/>
          <w:numId w:val="16"/>
        </w:numPr>
        <w:tabs>
          <w:tab w:val="left" w:pos="1276"/>
        </w:tabs>
        <w:spacing w:before="120" w:after="60"/>
        <w:jc w:val="both"/>
        <w:rPr>
          <w:noProof w:val="0"/>
        </w:rPr>
      </w:pPr>
      <w:r w:rsidRPr="00FA3F57">
        <w:rPr>
          <w:rFonts w:ascii="Times New Roman" w:hAnsi="Times New Roman" w:cs="Times New Roman"/>
          <w:noProof w:val="0"/>
        </w:rPr>
        <w:lastRenderedPageBreak/>
        <w:t>EL7 Reconstruction, construction, and modernization of electricity production, transmission, and distribution.</w:t>
      </w:r>
    </w:p>
    <w:p w14:paraId="0066C3F3" w14:textId="77777777" w:rsidR="0094644B" w:rsidRPr="00FA3F57" w:rsidRDefault="0094644B" w:rsidP="0094644B">
      <w:pPr>
        <w:jc w:val="both"/>
      </w:pPr>
    </w:p>
    <w:p w14:paraId="0177F2A9" w14:textId="77777777" w:rsidR="0094644B" w:rsidRPr="00FA3F57" w:rsidRDefault="0094644B" w:rsidP="0094644B">
      <w:pPr>
        <w:jc w:val="both"/>
      </w:pPr>
      <w:r w:rsidRPr="00FA3F57">
        <w:t xml:space="preserve">The objective of the </w:t>
      </w:r>
      <w:r w:rsidRPr="00FA3F57">
        <w:rPr>
          <w:b/>
          <w:bCs/>
        </w:rPr>
        <w:t>EL1 measure</w:t>
      </w:r>
      <w:r w:rsidRPr="00FA3F57">
        <w:t xml:space="preserve"> is to </w:t>
      </w:r>
      <w:r w:rsidRPr="00F07779">
        <w:t xml:space="preserve">ensure and enhance </w:t>
      </w:r>
      <w:r w:rsidRPr="00FA3F57">
        <w:t xml:space="preserve">the security of the electricity supply. Numerous projects for the reconstruction and construction of new transmission lines and substations in the transmission and distribution network should contribute to this objective, </w:t>
      </w:r>
      <w:r w:rsidRPr="00F07779">
        <w:t>along with</w:t>
      </w:r>
      <w:r w:rsidRPr="00FA3F57">
        <w:t xml:space="preserve"> the revitalization and construction of new production capacities. </w:t>
      </w:r>
      <w:r w:rsidRPr="00F07779">
        <w:t>Given the extensive number of separate investments, they have been categorized into several activities</w:t>
      </w:r>
      <w:r w:rsidRPr="00FA3F57">
        <w:t xml:space="preserve">: </w:t>
      </w:r>
    </w:p>
    <w:p w14:paraId="71A4E568" w14:textId="77777777" w:rsidR="0094644B" w:rsidRPr="00FA3F57" w:rsidRDefault="0094644B" w:rsidP="0094644B">
      <w:pPr>
        <w:keepNext/>
        <w:ind w:left="709" w:hanging="709"/>
        <w:jc w:val="both"/>
      </w:pPr>
      <w:r w:rsidRPr="00FA3F57">
        <w:t>Е</w:t>
      </w:r>
      <w:r w:rsidRPr="00F07779">
        <w:t>L</w:t>
      </w:r>
      <w:r w:rsidRPr="00FA3F57">
        <w:t>1.1</w:t>
      </w:r>
      <w:r w:rsidRPr="00FA3F57">
        <w:tab/>
        <w:t>Investment projects of revitalization (reconstruction) and modernization of power plants</w:t>
      </w:r>
    </w:p>
    <w:p w14:paraId="5E01AED8" w14:textId="77777777" w:rsidR="0094644B" w:rsidRPr="00FA3F57" w:rsidRDefault="0094644B" w:rsidP="0094644B">
      <w:pPr>
        <w:ind w:left="709" w:firstLine="11"/>
        <w:jc w:val="both"/>
      </w:pPr>
      <w:r w:rsidRPr="00F07779">
        <w:t>R</w:t>
      </w:r>
      <w:r w:rsidRPr="00FA3F57">
        <w:t>evitalization of existing hydro and thermal power plants</w:t>
      </w:r>
      <w:r w:rsidRPr="00F07779">
        <w:t xml:space="preserve"> is the </w:t>
      </w:r>
      <w:proofErr w:type="gramStart"/>
      <w:r w:rsidRPr="00F07779">
        <w:t>main focus</w:t>
      </w:r>
      <w:proofErr w:type="gramEnd"/>
      <w:r w:rsidRPr="00F07779">
        <w:t xml:space="preserve"> of this activity</w:t>
      </w:r>
      <w:r w:rsidRPr="00FA3F57">
        <w:t>. The total value of the revitalization of hydropower plants, along with the construction of one new unit at HPP</w:t>
      </w:r>
      <w:r w:rsidRPr="00F07779">
        <w:t xml:space="preserve"> </w:t>
      </w:r>
      <w:proofErr w:type="spellStart"/>
      <w:r w:rsidRPr="00FA3F57">
        <w:t>Potpeć</w:t>
      </w:r>
      <w:proofErr w:type="spellEnd"/>
      <w:r w:rsidRPr="00FA3F57">
        <w:t xml:space="preserve">, is approximately 52.8 </w:t>
      </w:r>
      <w:r w:rsidRPr="00F07779">
        <w:t>billion RSD</w:t>
      </w:r>
      <w:r w:rsidRPr="00FA3F57">
        <w:t xml:space="preserve">. In the thermal sector, capital repairs of individual units and further construction of desulfurization plants are planned. The value of these investments is 119,2 </w:t>
      </w:r>
      <w:r w:rsidRPr="00F07779">
        <w:t>billion RSD</w:t>
      </w:r>
      <w:r w:rsidRPr="00FA3F57">
        <w:t xml:space="preserve">. The holder of this activity is </w:t>
      </w:r>
      <w:r w:rsidRPr="00F07779">
        <w:t>EPS JSC Belgrade</w:t>
      </w:r>
      <w:r w:rsidRPr="00FA3F57">
        <w:t>.</w:t>
      </w:r>
    </w:p>
    <w:p w14:paraId="019D6E76" w14:textId="77777777" w:rsidR="0094644B" w:rsidRPr="00FA3F57" w:rsidRDefault="0094644B" w:rsidP="0094644B">
      <w:pPr>
        <w:keepNext/>
        <w:ind w:left="709" w:hanging="709"/>
        <w:jc w:val="both"/>
      </w:pPr>
      <w:r w:rsidRPr="00FA3F57">
        <w:t>Е</w:t>
      </w:r>
      <w:r w:rsidRPr="00F07779">
        <w:t>L</w:t>
      </w:r>
      <w:r w:rsidRPr="00FA3F57">
        <w:t>1.2</w:t>
      </w:r>
      <w:r w:rsidRPr="00FA3F57">
        <w:tab/>
        <w:t>Investment projects focused on the reconstruction and construction of the transmission network</w:t>
      </w:r>
    </w:p>
    <w:p w14:paraId="0FA35E1E" w14:textId="77777777" w:rsidR="0094644B" w:rsidRPr="00F07779" w:rsidRDefault="0094644B" w:rsidP="0094644B">
      <w:pPr>
        <w:ind w:left="709" w:firstLine="11"/>
        <w:jc w:val="both"/>
      </w:pPr>
      <w:r w:rsidRPr="00F07779">
        <w:t>In this activity, old transformers and other equipment in transmission substations are being replaced, new interconnecting transmission lines are being built, and existing internal network transmission lines with voltage levels ranging from 110 kV to 400 kV are being reconstructed.</w:t>
      </w:r>
    </w:p>
    <w:p w14:paraId="095E4FB0" w14:textId="77777777" w:rsidR="0094644B" w:rsidRPr="00FA3F57" w:rsidRDefault="0094644B" w:rsidP="0094644B">
      <w:pPr>
        <w:ind w:left="709" w:firstLine="11"/>
        <w:jc w:val="both"/>
      </w:pPr>
      <w:r w:rsidRPr="00FA3F57">
        <w:t xml:space="preserve">The holder of this activity is EMS JSC Belgrade, </w:t>
      </w:r>
      <w:proofErr w:type="spellStart"/>
      <w:r w:rsidRPr="00FA3F57">
        <w:t>а</w:t>
      </w:r>
      <w:r w:rsidRPr="00F07779">
        <w:t>nd</w:t>
      </w:r>
      <w:proofErr w:type="spellEnd"/>
      <w:r w:rsidRPr="00FA3F57">
        <w:t xml:space="preserve"> </w:t>
      </w:r>
      <w:r w:rsidRPr="00F07779">
        <w:t>t</w:t>
      </w:r>
      <w:r w:rsidRPr="00FA3F57">
        <w:t>he total value of all investments is</w:t>
      </w:r>
      <w:r w:rsidRPr="00F07779">
        <w:t xml:space="preserve"> 94 billion RSD</w:t>
      </w:r>
      <w:r w:rsidRPr="00FA3F57">
        <w:t>.</w:t>
      </w:r>
    </w:p>
    <w:p w14:paraId="0223C70E" w14:textId="77777777" w:rsidR="0094644B" w:rsidRPr="00FA3F57" w:rsidRDefault="0094644B" w:rsidP="0094644B">
      <w:pPr>
        <w:keepNext/>
        <w:ind w:left="709" w:hanging="709"/>
        <w:jc w:val="both"/>
      </w:pPr>
      <w:r w:rsidRPr="00FA3F57">
        <w:t>Е</w:t>
      </w:r>
      <w:r w:rsidRPr="00F07779">
        <w:t>L</w:t>
      </w:r>
      <w:r w:rsidRPr="00FA3F57">
        <w:t>1.3</w:t>
      </w:r>
      <w:r w:rsidRPr="00FA3F57">
        <w:tab/>
        <w:t>Investment projects focused on the reconstruction and construction of the distribution network</w:t>
      </w:r>
    </w:p>
    <w:p w14:paraId="31981115" w14:textId="77777777" w:rsidR="0094644B" w:rsidRPr="00F07779" w:rsidRDefault="0094644B" w:rsidP="0094644B">
      <w:pPr>
        <w:ind w:left="709" w:firstLine="11"/>
        <w:jc w:val="both"/>
      </w:pPr>
      <w:r w:rsidRPr="00F07779">
        <w:t xml:space="preserve">Among the projects covered by this activity are the automation of the medium-voltage network, the installation of optical infrastructure, and the replacement </w:t>
      </w:r>
      <w:r w:rsidRPr="00FA3F57">
        <w:t>of electromechanical meters with smart meters</w:t>
      </w:r>
      <w:r w:rsidRPr="00F07779">
        <w:t xml:space="preserve">. </w:t>
      </w:r>
      <w:r w:rsidRPr="00FA3F57">
        <w:t>In addition, new distribution lines and substations</w:t>
      </w:r>
      <w:r w:rsidRPr="00F07779">
        <w:t xml:space="preserve"> are being built</w:t>
      </w:r>
      <w:r w:rsidRPr="00FA3F57">
        <w:t xml:space="preserve">, </w:t>
      </w:r>
      <w:r w:rsidRPr="00F07779">
        <w:t>existing distribution network components are being rebuilt, and outdated equipment is being replaced.</w:t>
      </w:r>
    </w:p>
    <w:p w14:paraId="31D41C2D" w14:textId="77777777" w:rsidR="0094644B" w:rsidRPr="00FA3F57" w:rsidRDefault="0094644B" w:rsidP="0094644B">
      <w:pPr>
        <w:ind w:left="709" w:firstLine="11"/>
        <w:jc w:val="both"/>
      </w:pPr>
      <w:r w:rsidRPr="00FA3F57">
        <w:t xml:space="preserve">The carrier of this activity is </w:t>
      </w:r>
      <w:r w:rsidRPr="00F07779">
        <w:t>Elektrodistribucija Srbije Ltd. Belgrade</w:t>
      </w:r>
      <w:r w:rsidRPr="00FA3F57">
        <w:t xml:space="preserve">, and the total value of all investments is approximately 93 billion </w:t>
      </w:r>
      <w:r w:rsidRPr="00F07779">
        <w:t>RSD</w:t>
      </w:r>
      <w:r w:rsidRPr="00FA3F57">
        <w:t>.</w:t>
      </w:r>
    </w:p>
    <w:p w14:paraId="3149AC66" w14:textId="77777777" w:rsidR="0094644B" w:rsidRPr="00FA3F57" w:rsidRDefault="0094644B" w:rsidP="0094644B">
      <w:pPr>
        <w:jc w:val="both"/>
      </w:pPr>
      <w:r w:rsidRPr="00FA3F57">
        <w:t xml:space="preserve">The objective of the </w:t>
      </w:r>
      <w:r w:rsidRPr="00FA3F57">
        <w:rPr>
          <w:b/>
          <w:bCs/>
        </w:rPr>
        <w:t>EL4 measure</w:t>
      </w:r>
      <w:r w:rsidRPr="00FA3F57">
        <w:t xml:space="preserve"> is to change the production portfolio in the electricity sector. This </w:t>
      </w:r>
      <w:r w:rsidRPr="00F07779">
        <w:t>requires</w:t>
      </w:r>
      <w:r w:rsidRPr="00FA3F57">
        <w:t xml:space="preserve"> the construction of new production capacities, </w:t>
      </w:r>
      <w:r w:rsidRPr="00F07779">
        <w:t>mainly from</w:t>
      </w:r>
      <w:r w:rsidRPr="00FA3F57">
        <w:t xml:space="preserve"> renewable energy sources, to increase their share in the production and consumption of electricity. As part of this measure, the construction of new gas-fired power plants is also planned. </w:t>
      </w:r>
      <w:r w:rsidRPr="00F07779">
        <w:t>These power plants are intended to enhance domestic production capabilities and could also play a significant role in</w:t>
      </w:r>
      <w:r w:rsidRPr="00FA3F57">
        <w:t xml:space="preserve"> balancing the electricity system. The EL4 measure consists of the following activities: </w:t>
      </w:r>
    </w:p>
    <w:p w14:paraId="7267902B" w14:textId="77777777" w:rsidR="0094644B" w:rsidRPr="00FA3F57" w:rsidRDefault="0094644B" w:rsidP="0094644B">
      <w:pPr>
        <w:keepNext/>
        <w:ind w:left="709" w:hanging="709"/>
        <w:jc w:val="both"/>
      </w:pPr>
      <w:r w:rsidRPr="00FA3F57">
        <w:t>ЕЛ4.1</w:t>
      </w:r>
      <w:r w:rsidRPr="00FA3F57">
        <w:tab/>
        <w:t xml:space="preserve">Construction of RES </w:t>
      </w:r>
      <w:r w:rsidRPr="00F07779">
        <w:t>within</w:t>
      </w:r>
      <w:r w:rsidRPr="00FA3F57">
        <w:t xml:space="preserve"> </w:t>
      </w:r>
      <w:r w:rsidRPr="00F07779">
        <w:t>EPS JSC Belgrade</w:t>
      </w:r>
    </w:p>
    <w:p w14:paraId="0A12B248" w14:textId="77777777" w:rsidR="0094644B" w:rsidRPr="00FA3F57" w:rsidRDefault="0094644B" w:rsidP="0094644B">
      <w:pPr>
        <w:ind w:left="709" w:firstLine="11"/>
        <w:jc w:val="both"/>
      </w:pPr>
      <w:r w:rsidRPr="00FA3F57">
        <w:t xml:space="preserve">In the coming period, </w:t>
      </w:r>
      <w:r w:rsidRPr="00F07779">
        <w:t>EPS JSC Belgrade</w:t>
      </w:r>
      <w:r w:rsidRPr="00FA3F57">
        <w:t xml:space="preserve"> plans to build more </w:t>
      </w:r>
      <w:r w:rsidRPr="00F07779">
        <w:t>hydropower plants</w:t>
      </w:r>
      <w:r w:rsidRPr="00FA3F57">
        <w:t>, as well as wind and solar power plants.</w:t>
      </w:r>
      <w:r w:rsidRPr="00F07779">
        <w:t xml:space="preserve"> Several of these projects are expected to be finalized in the upcoming years, specifically by 2028, thereby aiding in the transformation of the electricity production portfolio and enhancing the supply security for all electricity consumers.</w:t>
      </w:r>
      <w:r w:rsidRPr="00FA3F57">
        <w:t xml:space="preserve"> The total value of these investments is around</w:t>
      </w:r>
      <w:r w:rsidRPr="00F07779">
        <w:t xml:space="preserve"> 210 billion RSD.</w:t>
      </w:r>
    </w:p>
    <w:p w14:paraId="0A4E1833" w14:textId="77777777" w:rsidR="0094644B" w:rsidRPr="00FA3F57" w:rsidRDefault="0094644B" w:rsidP="0094644B">
      <w:pPr>
        <w:keepNext/>
        <w:ind w:left="709" w:hanging="709"/>
        <w:jc w:val="both"/>
      </w:pPr>
      <w:r w:rsidRPr="00FA3F57">
        <w:t>Е</w:t>
      </w:r>
      <w:r w:rsidRPr="00F07779">
        <w:t>L</w:t>
      </w:r>
      <w:r w:rsidRPr="00FA3F57">
        <w:t>4.2</w:t>
      </w:r>
      <w:r w:rsidRPr="00FA3F57">
        <w:tab/>
        <w:t xml:space="preserve">Construction of RES </w:t>
      </w:r>
      <w:r w:rsidRPr="00F07779">
        <w:t>held by individual investors</w:t>
      </w:r>
    </w:p>
    <w:p w14:paraId="71031E29" w14:textId="77777777" w:rsidR="0094644B" w:rsidRPr="00FA3F57" w:rsidRDefault="0094644B" w:rsidP="0094644B">
      <w:pPr>
        <w:ind w:left="709" w:firstLine="11"/>
        <w:jc w:val="both"/>
      </w:pPr>
      <w:r w:rsidRPr="00F07779">
        <w:t xml:space="preserve">By the year 2028, the Republic of Serbia's electricity network will feature an increased number of </w:t>
      </w:r>
      <w:r w:rsidRPr="00FA3F57">
        <w:t xml:space="preserve">wind farms and solar power plants. The capacities that the </w:t>
      </w:r>
      <w:r w:rsidRPr="00F07779">
        <w:t>country</w:t>
      </w:r>
      <w:r w:rsidRPr="00FA3F57">
        <w:t xml:space="preserve"> can almost </w:t>
      </w:r>
      <w:r w:rsidRPr="00F07779">
        <w:t xml:space="preserve">definitively rely on come from the projects </w:t>
      </w:r>
      <w:r w:rsidRPr="00FA3F57">
        <w:t xml:space="preserve">that won the public auctions in 2023 and 2025. </w:t>
      </w:r>
      <w:r w:rsidRPr="00F07779">
        <w:t xml:space="preserve">The aggregate worth of projects exceeding 10 MW </w:t>
      </w:r>
      <w:r w:rsidRPr="00FA3F57">
        <w:t>is around</w:t>
      </w:r>
      <w:r w:rsidRPr="00FA3F57" w:rsidDel="00EA0231">
        <w:t xml:space="preserve"> </w:t>
      </w:r>
      <w:r w:rsidRPr="00FA3F57">
        <w:t xml:space="preserve">180.43 </w:t>
      </w:r>
      <w:r w:rsidRPr="00F07779">
        <w:t>billion RSD</w:t>
      </w:r>
      <w:r w:rsidRPr="00FA3F57">
        <w:t>.</w:t>
      </w:r>
    </w:p>
    <w:p w14:paraId="1FA90F98" w14:textId="77777777" w:rsidR="0094644B" w:rsidRPr="00FA3F57" w:rsidRDefault="0094644B" w:rsidP="0094644B">
      <w:pPr>
        <w:keepNext/>
        <w:ind w:left="709" w:hanging="709"/>
        <w:jc w:val="both"/>
      </w:pPr>
      <w:r w:rsidRPr="00FA3F57">
        <w:t>Е</w:t>
      </w:r>
      <w:r w:rsidRPr="00F07779">
        <w:t>L</w:t>
      </w:r>
      <w:r w:rsidRPr="00FA3F57">
        <w:t>4.3</w:t>
      </w:r>
      <w:r w:rsidRPr="00FA3F57">
        <w:tab/>
        <w:t>Construction of pumped storage hydropower plants</w:t>
      </w:r>
    </w:p>
    <w:p w14:paraId="33C80812" w14:textId="77777777" w:rsidR="0094644B" w:rsidRPr="00FA3F57" w:rsidRDefault="0094644B" w:rsidP="0094644B">
      <w:pPr>
        <w:ind w:left="709" w:firstLine="11"/>
        <w:jc w:val="both"/>
      </w:pPr>
      <w:r w:rsidRPr="00FA3F57">
        <w:t>The construction of the PSHPP Bistrica is planned for the coming period. The implementation of this project will increase the available capacities for ensuring reserves and balancing production capacities in the electricity sector. The value of this project is approximately 1</w:t>
      </w:r>
      <w:r w:rsidRPr="00F07779">
        <w:t>12.85</w:t>
      </w:r>
      <w:r w:rsidRPr="00FA3F57">
        <w:t xml:space="preserve"> billion </w:t>
      </w:r>
      <w:r w:rsidRPr="00F07779">
        <w:t>RSD</w:t>
      </w:r>
      <w:r w:rsidRPr="00FA3F57">
        <w:t xml:space="preserve">. The analyses are in progress for the PSHPP </w:t>
      </w:r>
      <w:proofErr w:type="spellStart"/>
      <w:r w:rsidRPr="00FA3F57">
        <w:t>Djerdap</w:t>
      </w:r>
      <w:proofErr w:type="spellEnd"/>
      <w:r w:rsidRPr="00FA3F57">
        <w:t xml:space="preserve"> 3 intending to prepare the project.</w:t>
      </w:r>
    </w:p>
    <w:p w14:paraId="1BEA69D1" w14:textId="77777777" w:rsidR="0094644B" w:rsidRPr="00FA3F57" w:rsidRDefault="0094644B" w:rsidP="0094644B">
      <w:pPr>
        <w:keepNext/>
        <w:ind w:left="709" w:hanging="709"/>
        <w:jc w:val="both"/>
      </w:pPr>
      <w:r w:rsidRPr="00FA3F57">
        <w:lastRenderedPageBreak/>
        <w:t>EL4.4</w:t>
      </w:r>
      <w:r w:rsidRPr="00FA3F57">
        <w:tab/>
        <w:t>Construction of gas-fired power plants</w:t>
      </w:r>
    </w:p>
    <w:p w14:paraId="0AEA3126" w14:textId="77777777" w:rsidR="0094644B" w:rsidRPr="00FA3F57" w:rsidRDefault="0094644B" w:rsidP="0094644B">
      <w:pPr>
        <w:ind w:left="709" w:firstLine="11"/>
        <w:jc w:val="both"/>
      </w:pPr>
      <w:r w:rsidRPr="00FA3F57">
        <w:t>The construction of two gas-fired power plants is planned, as combined heat and power plants, which means that in addition to electricity, they will also produce thermal energy. Both projects are in preparation.</w:t>
      </w:r>
    </w:p>
    <w:p w14:paraId="556C3773" w14:textId="77777777" w:rsidR="0094644B" w:rsidRPr="00FA3F57" w:rsidRDefault="0094644B" w:rsidP="0094644B">
      <w:pPr>
        <w:jc w:val="both"/>
      </w:pPr>
      <w:r w:rsidRPr="00FA3F57">
        <w:t xml:space="preserve">The change in the production portfolio should be enabled by </w:t>
      </w:r>
      <w:r w:rsidRPr="00FA3F57">
        <w:rPr>
          <w:b/>
          <w:bCs/>
        </w:rPr>
        <w:t>measure EL5</w:t>
      </w:r>
      <w:r w:rsidRPr="00FA3F57">
        <w:t>. This measure contains two activities for the further development of the transmission and distribution system, intending to create favorable conditions for the fastest and easiest integration of RES:</w:t>
      </w:r>
    </w:p>
    <w:p w14:paraId="33981CE8" w14:textId="77777777" w:rsidR="0094644B" w:rsidRPr="00FA3F57" w:rsidRDefault="0094644B" w:rsidP="0094644B">
      <w:pPr>
        <w:ind w:left="720" w:hanging="720"/>
        <w:jc w:val="both"/>
      </w:pPr>
      <w:r w:rsidRPr="00FA3F57">
        <w:t>EL5.1</w:t>
      </w:r>
      <w:r w:rsidRPr="00FA3F57">
        <w:tab/>
        <w:t>Investment projects focused on the integration of renewable energy sources into the transmission system</w:t>
      </w:r>
    </w:p>
    <w:p w14:paraId="6D99B9DC" w14:textId="77777777" w:rsidR="0094644B" w:rsidRPr="00FA3F57" w:rsidRDefault="0094644B" w:rsidP="0094644B">
      <w:pPr>
        <w:ind w:left="709" w:firstLine="11"/>
        <w:jc w:val="both"/>
      </w:pPr>
      <w:r w:rsidRPr="00FA3F57">
        <w:t xml:space="preserve">The change in the production portfolio, i.e., the construction of </w:t>
      </w:r>
      <w:proofErr w:type="gramStart"/>
      <w:r w:rsidRPr="00FA3F57">
        <w:t>more and more</w:t>
      </w:r>
      <w:proofErr w:type="gramEnd"/>
      <w:r w:rsidRPr="00FA3F57">
        <w:t xml:space="preserve"> RES capacities, leads to major changes in the power </w:t>
      </w:r>
      <w:proofErr w:type="gramStart"/>
      <w:r w:rsidRPr="00FA3F57">
        <w:t>flows</w:t>
      </w:r>
      <w:proofErr w:type="gramEnd"/>
      <w:r w:rsidRPr="00FA3F57">
        <w:t xml:space="preserve"> in the power system. As a result, there is a need for both new interconnections with neighboring systems and for strengthening the internal network, especially in those parts where previous network development plans did not expect significant changes. Given that investments in new interconnecting transmission lines are already classified as measure</w:t>
      </w:r>
      <w:r w:rsidRPr="00F07779">
        <w:t xml:space="preserve"> </w:t>
      </w:r>
      <w:r w:rsidRPr="00FA3F57">
        <w:t>EL1, as are most of the reconstructions and construction of new transmission lines of the internal network, which, in addition to the security of consumer supply, certainly contribute to easier integration of RES, there are not many investments in this activity that could be individually highlighted. There are only three of them, with a total value of 5.7 billion RSD. The holder of the activity is EMS JSC Belgrade.</w:t>
      </w:r>
    </w:p>
    <w:p w14:paraId="3D7C14FF" w14:textId="77777777" w:rsidR="0094644B" w:rsidRPr="00FA3F57" w:rsidRDefault="0094644B" w:rsidP="0094644B">
      <w:pPr>
        <w:ind w:left="720" w:hanging="720"/>
        <w:jc w:val="both"/>
      </w:pPr>
      <w:r w:rsidRPr="00FA3F57">
        <w:t>EL5.2</w:t>
      </w:r>
      <w:r w:rsidRPr="00FA3F57">
        <w:tab/>
        <w:t>Investment projects focused on the integration of renewable energy sources into the distribution system</w:t>
      </w:r>
    </w:p>
    <w:p w14:paraId="5C3E6003" w14:textId="77777777" w:rsidR="0094644B" w:rsidRPr="00FA3F57" w:rsidRDefault="0094644B" w:rsidP="0094644B">
      <w:pPr>
        <w:ind w:left="709" w:firstLine="11"/>
        <w:jc w:val="both"/>
      </w:pPr>
      <w:r w:rsidRPr="00FA3F57">
        <w:t xml:space="preserve">The integration of renewable energy sources also has a significant impact on the distribution network, where there is potential for the connection of </w:t>
      </w:r>
      <w:proofErr w:type="gramStart"/>
      <w:r w:rsidRPr="00FA3F57">
        <w:t>a large number of</w:t>
      </w:r>
      <w:proofErr w:type="gramEnd"/>
      <w:r w:rsidRPr="00FA3F57">
        <w:t xml:space="preserve"> small power plants, especially solar power plants, as well as the increasing expansion of prosumers. In addition to investments in the reconstruction and construction of distribution capacities, which are described in measure EL1 and the development of software tools for planning, analysis, and advanced management of the distribution network from measure EL7, a project that is particularly recognized in this activity is the digitalization of the process of obtaining a connection approval solution. The lead company for this activity is </w:t>
      </w:r>
      <w:r w:rsidRPr="00F07779">
        <w:t>Elektrodistribucija Srbije Ltd. Belgrade,</w:t>
      </w:r>
      <w:r w:rsidRPr="00FA3F57">
        <w:t xml:space="preserve"> and the value of this investment is 1.17 billion RSD.</w:t>
      </w:r>
    </w:p>
    <w:p w14:paraId="5FF64A13" w14:textId="77777777" w:rsidR="0094644B" w:rsidRPr="00FA3F57" w:rsidRDefault="0094644B" w:rsidP="0094644B">
      <w:pPr>
        <w:jc w:val="both"/>
      </w:pPr>
      <w:r w:rsidRPr="00FA3F57">
        <w:rPr>
          <w:b/>
          <w:bCs/>
        </w:rPr>
        <w:t>Measure EL6</w:t>
      </w:r>
      <w:r w:rsidRPr="00FA3F57">
        <w:t xml:space="preserve"> refers to maintaining energy independence, which can only be achieved by increasing electricity production from domestic power plants. This measure is </w:t>
      </w:r>
      <w:proofErr w:type="gramStart"/>
      <w:r w:rsidRPr="00FA3F57">
        <w:t>actually largely</w:t>
      </w:r>
      <w:proofErr w:type="gramEnd"/>
      <w:r w:rsidRPr="00FA3F57">
        <w:t xml:space="preserve"> intertwined with measures EL1 and EL4, which include activities to revitalize existing power plants (with an increase in installed capacity in some), as well as the construction of new production capacities using renewable energy sources and gas. This measure includes one activity:</w:t>
      </w:r>
    </w:p>
    <w:p w14:paraId="0684A5D4" w14:textId="77777777" w:rsidR="0094644B" w:rsidRPr="00FA3F57" w:rsidRDefault="0094644B" w:rsidP="0094644B">
      <w:pPr>
        <w:ind w:left="720" w:hanging="720"/>
        <w:jc w:val="both"/>
      </w:pPr>
      <w:r w:rsidRPr="00FA3F57">
        <w:t>EL6.1</w:t>
      </w:r>
      <w:r w:rsidRPr="00FA3F57">
        <w:tab/>
        <w:t>Increasing the reliability of the transmission system and the security of the consumer supply</w:t>
      </w:r>
    </w:p>
    <w:p w14:paraId="29DA7136" w14:textId="77777777" w:rsidR="0094644B" w:rsidRPr="00FA3F57" w:rsidRDefault="0094644B" w:rsidP="0094644B">
      <w:pPr>
        <w:ind w:left="709" w:firstLine="11"/>
        <w:jc w:val="both"/>
      </w:pPr>
      <w:r w:rsidRPr="00FA3F57">
        <w:t xml:space="preserve">The completion of the investment in CHP </w:t>
      </w:r>
      <w:proofErr w:type="spellStart"/>
      <w:r w:rsidRPr="00FA3F57">
        <w:t>Pančevo</w:t>
      </w:r>
      <w:proofErr w:type="spellEnd"/>
      <w:r w:rsidRPr="00FA3F57">
        <w:t xml:space="preserve"> is planned, as well as projects for the construction and connection of new transmission capacities. The holder of this activity is EMS JSC Belgrade, and the total value of all investments amounts to 15.1 billion RSD.</w:t>
      </w:r>
    </w:p>
    <w:p w14:paraId="3C35EB20" w14:textId="77777777" w:rsidR="0094644B" w:rsidRPr="00FA3F57" w:rsidRDefault="0094644B" w:rsidP="0094644B">
      <w:pPr>
        <w:jc w:val="both"/>
        <w:rPr>
          <w:bCs/>
        </w:rPr>
      </w:pPr>
      <w:r w:rsidRPr="00FA3F57">
        <w:rPr>
          <w:b/>
        </w:rPr>
        <w:t>Measure EL7</w:t>
      </w:r>
      <w:r w:rsidRPr="00FA3F57">
        <w:rPr>
          <w:bCs/>
        </w:rPr>
        <w:t xml:space="preserve"> includes activities for reconstruction, construction, and modernization in the production, transmission, and distribution of electricity. These activities are almost identical in their description to the activities belonging to measure EL1, with the difference that the ultimate objective of this measure is to increase energy efficiency in the production, transmission, and distribution of electricity, while improving the regulatory framework:</w:t>
      </w:r>
    </w:p>
    <w:p w14:paraId="7B8A018A" w14:textId="77777777" w:rsidR="0094644B" w:rsidRPr="00FA3F57" w:rsidRDefault="0094644B" w:rsidP="0094644B">
      <w:pPr>
        <w:jc w:val="both"/>
      </w:pPr>
      <w:r w:rsidRPr="00FA3F57">
        <w:t>EL7.1</w:t>
      </w:r>
      <w:r w:rsidRPr="00FA3F57">
        <w:tab/>
        <w:t>Investment projects for modernization in electricity production</w:t>
      </w:r>
    </w:p>
    <w:p w14:paraId="7869FFF1" w14:textId="77777777" w:rsidR="0094644B" w:rsidRPr="00FA3F57" w:rsidRDefault="0094644B" w:rsidP="0094644B">
      <w:pPr>
        <w:ind w:left="709" w:firstLine="11"/>
        <w:jc w:val="both"/>
      </w:pPr>
      <w:r w:rsidRPr="00FA3F57">
        <w:t xml:space="preserve">This activity involves one project: the revitalization of the aggregates at the </w:t>
      </w:r>
      <w:proofErr w:type="spellStart"/>
      <w:r w:rsidRPr="00FA3F57">
        <w:t>Bajina</w:t>
      </w:r>
      <w:proofErr w:type="spellEnd"/>
      <w:r w:rsidRPr="00FA3F57">
        <w:t xml:space="preserve"> </w:t>
      </w:r>
      <w:proofErr w:type="spellStart"/>
      <w:r w:rsidRPr="00FA3F57">
        <w:t>Bašta</w:t>
      </w:r>
      <w:proofErr w:type="spellEnd"/>
      <w:r w:rsidRPr="00FA3F57">
        <w:t xml:space="preserve"> hydroelectric power plant, a project that, among other things, aims to increase the efficiency of the turbine and generator. The entity responsible for this activity is </w:t>
      </w:r>
      <w:r w:rsidRPr="00F07779">
        <w:t>EPS JSC Belgrade</w:t>
      </w:r>
      <w:r w:rsidRPr="00FA3F57">
        <w:t xml:space="preserve">, and the value of the </w:t>
      </w:r>
      <w:proofErr w:type="gramStart"/>
      <w:r w:rsidRPr="00FA3F57">
        <w:t>aforementioned investment</w:t>
      </w:r>
      <w:proofErr w:type="gramEnd"/>
      <w:r w:rsidRPr="00FA3F57">
        <w:t xml:space="preserve"> is 4.7 billion dinars. </w:t>
      </w:r>
    </w:p>
    <w:p w14:paraId="158CC7A6" w14:textId="77777777" w:rsidR="0094644B" w:rsidRPr="00FA3F57" w:rsidRDefault="0094644B" w:rsidP="0094644B">
      <w:pPr>
        <w:jc w:val="both"/>
      </w:pPr>
      <w:r w:rsidRPr="00FA3F57">
        <w:t>EL7.2</w:t>
      </w:r>
      <w:r w:rsidRPr="00FA3F57">
        <w:tab/>
        <w:t>Investment projects for the modernization of the transmission system</w:t>
      </w:r>
    </w:p>
    <w:p w14:paraId="54D3F1F6" w14:textId="77777777" w:rsidR="0094644B" w:rsidRPr="00FA3F57" w:rsidRDefault="0094644B" w:rsidP="0094644B">
      <w:pPr>
        <w:ind w:left="709" w:firstLine="11"/>
        <w:jc w:val="both"/>
      </w:pPr>
      <w:r w:rsidRPr="00FA3F57">
        <w:t>This activity comprises several projects, including the installation of shunt reactors in the transmission network, which will represent a significant step forward in modernizing the power system. The lead company for this activity is EMS JSC Belgrade, and the total value of all investments is</w:t>
      </w:r>
      <w:r w:rsidRPr="00FA3F57" w:rsidDel="00A517E0">
        <w:t xml:space="preserve"> </w:t>
      </w:r>
      <w:r w:rsidRPr="00FA3F57">
        <w:t>16.4 billion RSD.</w:t>
      </w:r>
    </w:p>
    <w:p w14:paraId="61F64F38" w14:textId="77777777" w:rsidR="0094644B" w:rsidRPr="00FA3F57" w:rsidRDefault="0094644B" w:rsidP="0094644B">
      <w:pPr>
        <w:jc w:val="both"/>
      </w:pPr>
      <w:r w:rsidRPr="00FA3F57">
        <w:lastRenderedPageBreak/>
        <w:t>EL7.3</w:t>
      </w:r>
      <w:r w:rsidRPr="00FA3F57">
        <w:tab/>
        <w:t>Investment projects for the modernization of the distribution system</w:t>
      </w:r>
    </w:p>
    <w:p w14:paraId="414A03EA" w14:textId="77777777" w:rsidR="0094644B" w:rsidRPr="00FA3F57" w:rsidRDefault="0094644B" w:rsidP="0094644B">
      <w:pPr>
        <w:ind w:left="709" w:firstLine="11"/>
        <w:jc w:val="both"/>
      </w:pPr>
      <w:r w:rsidRPr="00FA3F57">
        <w:t xml:space="preserve">Replacing old power transformers with new ones with lower losses, developing and implementing software tools for planning, analysis, and advanced management of the distribution network, and implementing software tools for calculating losses, and implementing an integrated system for monitoring and managing the low-voltage distribution network are some of the very important projects that should be completed by 2028. The lead company for this activity is </w:t>
      </w:r>
      <w:r w:rsidRPr="00F07779">
        <w:t>Elektrodistribucija Srbije Ltd. Belgrade</w:t>
      </w:r>
      <w:r w:rsidRPr="00FA3F57">
        <w:t>, and the total value of all investments amounts to 13.8 billion RSD.</w:t>
      </w:r>
    </w:p>
    <w:p w14:paraId="4F85096A" w14:textId="77777777" w:rsidR="0094644B" w:rsidRPr="00FA3F57" w:rsidRDefault="0094644B" w:rsidP="0094644B">
      <w:pPr>
        <w:jc w:val="both"/>
      </w:pPr>
      <w:r w:rsidRPr="00FA3F57">
        <w:t>EL7.4</w:t>
      </w:r>
      <w:r w:rsidRPr="00FA3F57">
        <w:tab/>
      </w:r>
      <w:r w:rsidRPr="00F07779">
        <w:t>Adopting</w:t>
      </w:r>
      <w:r w:rsidRPr="00FA3F57">
        <w:t xml:space="preserve"> secondary legislation</w:t>
      </w:r>
    </w:p>
    <w:p w14:paraId="3DC70671" w14:textId="77777777" w:rsidR="0094644B" w:rsidRPr="00FA3F57" w:rsidRDefault="0094644B" w:rsidP="0094644B">
      <w:pPr>
        <w:ind w:left="709" w:firstLine="11"/>
        <w:jc w:val="both"/>
      </w:pPr>
      <w:r w:rsidRPr="00FA3F57">
        <w:t>To complete and improve the regulatory framework relating to the electricity sector, it is necessary to draft new or amend existing secondary legislation. It is also necessary to review and improve the current regulations that determine the technical requirements for the design, construction, testing, use, and maintenance of energy facilities. The Ministry of Mining and Energy is the party responsible for this activity, with no special financial resources required.</w:t>
      </w:r>
    </w:p>
    <w:p w14:paraId="174EFC36" w14:textId="77777777" w:rsidR="0094644B" w:rsidRPr="00FA3F57" w:rsidRDefault="0094644B" w:rsidP="0094644B">
      <w:pPr>
        <w:jc w:val="both"/>
      </w:pPr>
      <w:r w:rsidRPr="00FA3F57">
        <w:t>EL7.5</w:t>
      </w:r>
      <w:r w:rsidRPr="00FA3F57">
        <w:tab/>
        <w:t>Monitoring power system reliability standards</w:t>
      </w:r>
      <w:r w:rsidRPr="00FA3F57" w:rsidDel="00135970">
        <w:t xml:space="preserve"> </w:t>
      </w:r>
    </w:p>
    <w:p w14:paraId="4C2E7151" w14:textId="77777777" w:rsidR="0094644B" w:rsidRPr="00F07779" w:rsidRDefault="0094644B" w:rsidP="0094644B">
      <w:pPr>
        <w:ind w:left="709" w:firstLine="11"/>
        <w:jc w:val="both"/>
      </w:pPr>
      <w:r w:rsidRPr="00F07779">
        <w:t xml:space="preserve">The system reliability standard is defined as the necessary level of security of supply that should be provided through generation capacities, including a capacity assurance mechanism. To eliminate inadequacies in electricity generation and the transmission system, the Government, upon the proposal of the Ministry of Mining and Energy, may, as a last resort, introduce a capacity assurance mechanism, for which it is necessary to adopt </w:t>
      </w:r>
      <w:proofErr w:type="gramStart"/>
      <w:r w:rsidRPr="00F07779">
        <w:t>an appropriate</w:t>
      </w:r>
      <w:proofErr w:type="gramEnd"/>
      <w:r w:rsidRPr="00F07779">
        <w:t xml:space="preserve"> secondary legislation. The Ministry of Mining and Energy is responsible for this activity, and no special financial resources are foreseen for it.</w:t>
      </w:r>
    </w:p>
    <w:p w14:paraId="2CBE1821" w14:textId="77777777" w:rsidR="0094644B" w:rsidRPr="00FA3F57" w:rsidRDefault="0094644B" w:rsidP="0094644B">
      <w:pPr>
        <w:ind w:left="709" w:firstLine="11"/>
        <w:jc w:val="both"/>
      </w:pPr>
    </w:p>
    <w:p w14:paraId="13B06C74" w14:textId="77777777" w:rsidR="0094644B" w:rsidRPr="00FA3F57" w:rsidRDefault="0094644B" w:rsidP="0094644B">
      <w:pPr>
        <w:ind w:left="709" w:firstLine="11"/>
        <w:jc w:val="both"/>
      </w:pPr>
    </w:p>
    <w:p w14:paraId="723D5609" w14:textId="77777777" w:rsidR="0094644B" w:rsidRPr="00FA3F57" w:rsidRDefault="0094644B" w:rsidP="0094644B">
      <w:pPr>
        <w:jc w:val="both"/>
      </w:pPr>
      <w:r w:rsidRPr="00FA3F57">
        <w:t xml:space="preserve">Activities related to </w:t>
      </w:r>
      <w:proofErr w:type="gramStart"/>
      <w:r w:rsidRPr="00F07779">
        <w:t xml:space="preserve">the </w:t>
      </w:r>
      <w:r w:rsidRPr="00FA3F57">
        <w:t>measure</w:t>
      </w:r>
      <w:proofErr w:type="gramEnd"/>
      <w:r w:rsidRPr="00FA3F57">
        <w:t xml:space="preserve"> EL2 are presented in Chapter 5.7. Coal Sector, while activities related to </w:t>
      </w:r>
      <w:r w:rsidRPr="00F07779">
        <w:t xml:space="preserve">the </w:t>
      </w:r>
      <w:r w:rsidRPr="00FA3F57">
        <w:t>measure EL3 are presented within measures EL4, EL5, EL6, and EL7.</w:t>
      </w:r>
    </w:p>
    <w:p w14:paraId="361A8471" w14:textId="77777777" w:rsidR="0094644B" w:rsidRPr="00FA3F57" w:rsidRDefault="0094644B" w:rsidP="0094644B">
      <w:pPr>
        <w:ind w:left="709" w:firstLine="11"/>
        <w:jc w:val="both"/>
      </w:pPr>
    </w:p>
    <w:p w14:paraId="3257AF8E" w14:textId="77777777" w:rsidR="0094644B" w:rsidRPr="00FA3F57" w:rsidRDefault="0094644B" w:rsidP="0094644B">
      <w:pPr>
        <w:jc w:val="both"/>
      </w:pPr>
      <w:r w:rsidRPr="00F07779">
        <w:t>A concise summary</w:t>
      </w:r>
      <w:r w:rsidRPr="00FA3F57">
        <w:t xml:space="preserve"> of the above measures with investment values and sources of financing is presented in Table 5.1.1.</w:t>
      </w:r>
    </w:p>
    <w:p w14:paraId="68F69F85" w14:textId="77777777" w:rsidR="0094644B" w:rsidRPr="00FA3F57" w:rsidRDefault="0094644B" w:rsidP="0094644B">
      <w:pPr>
        <w:jc w:val="both"/>
      </w:pPr>
    </w:p>
    <w:p w14:paraId="58528F5A" w14:textId="77777777" w:rsidR="0094644B" w:rsidRPr="00FA3F57" w:rsidRDefault="0094644B" w:rsidP="0094644B">
      <w:pPr>
        <w:jc w:val="both"/>
      </w:pPr>
      <w:r w:rsidRPr="00FA3F57">
        <w:t>Table 5.1.1: Measures in the electricity sector</w:t>
      </w:r>
      <w:r w:rsidRPr="00FA3F57" w:rsidDel="003F3000">
        <w:t xml:space="preserve"> </w:t>
      </w:r>
      <w:r w:rsidRPr="00FA3F57">
        <w:rPr>
          <w:rStyle w:val="FootnoteReference"/>
        </w:rPr>
        <w:footnoteReference w:id="3"/>
      </w:r>
    </w:p>
    <w:tbl>
      <w:tblPr>
        <w:tblStyle w:val="TableGrid"/>
        <w:tblW w:w="5000" w:type="pct"/>
        <w:tblLayout w:type="fixed"/>
        <w:tblLook w:val="04A0" w:firstRow="1" w:lastRow="0" w:firstColumn="1" w:lastColumn="0" w:noHBand="0" w:noVBand="1"/>
      </w:tblPr>
      <w:tblGrid>
        <w:gridCol w:w="2423"/>
        <w:gridCol w:w="833"/>
        <w:gridCol w:w="830"/>
        <w:gridCol w:w="1889"/>
        <w:gridCol w:w="1889"/>
        <w:gridCol w:w="1812"/>
      </w:tblGrid>
      <w:tr w:rsidR="0094644B" w:rsidRPr="00F07779" w14:paraId="1DE6FEE4" w14:textId="77777777" w:rsidTr="00FB5086">
        <w:trPr>
          <w:cantSplit/>
        </w:trPr>
        <w:tc>
          <w:tcPr>
            <w:tcW w:w="2423" w:type="dxa"/>
            <w:vMerge w:val="restart"/>
          </w:tcPr>
          <w:p w14:paraId="725247F5" w14:textId="77777777" w:rsidR="0094644B" w:rsidRPr="00FA3F57" w:rsidRDefault="0094644B" w:rsidP="00FB5086">
            <w:pPr>
              <w:spacing w:after="120"/>
              <w:jc w:val="both"/>
              <w:rPr>
                <w:sz w:val="20"/>
                <w:szCs w:val="20"/>
              </w:rPr>
            </w:pPr>
            <w:r w:rsidRPr="00FA3F57">
              <w:rPr>
                <w:sz w:val="20"/>
                <w:szCs w:val="20"/>
              </w:rPr>
              <w:t xml:space="preserve">Name </w:t>
            </w:r>
          </w:p>
        </w:tc>
        <w:tc>
          <w:tcPr>
            <w:tcW w:w="833" w:type="dxa"/>
            <w:vMerge w:val="restart"/>
          </w:tcPr>
          <w:p w14:paraId="599F8128" w14:textId="77777777" w:rsidR="0094644B" w:rsidRPr="00FA3F57" w:rsidRDefault="0094644B" w:rsidP="00FB5086">
            <w:pPr>
              <w:spacing w:after="120"/>
              <w:jc w:val="both"/>
              <w:rPr>
                <w:sz w:val="20"/>
                <w:szCs w:val="20"/>
              </w:rPr>
            </w:pPr>
            <w:r w:rsidRPr="00FA3F57">
              <w:rPr>
                <w:sz w:val="20"/>
                <w:szCs w:val="20"/>
              </w:rPr>
              <w:t>Type*</w:t>
            </w:r>
          </w:p>
        </w:tc>
        <w:tc>
          <w:tcPr>
            <w:tcW w:w="6420" w:type="dxa"/>
            <w:gridSpan w:val="4"/>
          </w:tcPr>
          <w:p w14:paraId="572ABECF" w14:textId="77777777" w:rsidR="0094644B" w:rsidRPr="00FA3F57" w:rsidRDefault="0094644B" w:rsidP="00FB5086">
            <w:pPr>
              <w:spacing w:after="120"/>
              <w:jc w:val="both"/>
              <w:rPr>
                <w:sz w:val="20"/>
                <w:szCs w:val="20"/>
              </w:rPr>
            </w:pPr>
            <w:r w:rsidRPr="00FA3F57">
              <w:rPr>
                <w:sz w:val="20"/>
                <w:szCs w:val="20"/>
              </w:rPr>
              <w:t>Investment value</w:t>
            </w:r>
          </w:p>
        </w:tc>
      </w:tr>
      <w:tr w:rsidR="0094644B" w:rsidRPr="00F07779" w14:paraId="4744B1A9" w14:textId="77777777" w:rsidTr="00FB5086">
        <w:trPr>
          <w:cantSplit/>
        </w:trPr>
        <w:tc>
          <w:tcPr>
            <w:tcW w:w="2423" w:type="dxa"/>
            <w:vMerge/>
          </w:tcPr>
          <w:p w14:paraId="41CD35B0" w14:textId="77777777" w:rsidR="0094644B" w:rsidRPr="00FA3F57" w:rsidRDefault="0094644B" w:rsidP="00FB5086">
            <w:pPr>
              <w:spacing w:after="120"/>
              <w:jc w:val="both"/>
              <w:rPr>
                <w:sz w:val="20"/>
                <w:szCs w:val="20"/>
              </w:rPr>
            </w:pPr>
          </w:p>
        </w:tc>
        <w:tc>
          <w:tcPr>
            <w:tcW w:w="833" w:type="dxa"/>
            <w:vMerge/>
          </w:tcPr>
          <w:p w14:paraId="78917800" w14:textId="77777777" w:rsidR="0094644B" w:rsidRPr="00FA3F57" w:rsidRDefault="0094644B" w:rsidP="00FB5086">
            <w:pPr>
              <w:spacing w:after="120"/>
              <w:jc w:val="both"/>
              <w:rPr>
                <w:sz w:val="20"/>
                <w:szCs w:val="20"/>
              </w:rPr>
            </w:pPr>
          </w:p>
        </w:tc>
        <w:tc>
          <w:tcPr>
            <w:tcW w:w="830" w:type="dxa"/>
          </w:tcPr>
          <w:p w14:paraId="7FB59ABF" w14:textId="77777777" w:rsidR="0094644B" w:rsidRPr="00FA3F57" w:rsidRDefault="0094644B" w:rsidP="00FB5086">
            <w:pPr>
              <w:spacing w:after="120"/>
              <w:jc w:val="both"/>
              <w:rPr>
                <w:sz w:val="20"/>
                <w:szCs w:val="20"/>
              </w:rPr>
            </w:pPr>
            <w:r w:rsidRPr="00FA3F57">
              <w:rPr>
                <w:sz w:val="20"/>
                <w:szCs w:val="20"/>
              </w:rPr>
              <w:t>Year</w:t>
            </w:r>
          </w:p>
        </w:tc>
        <w:tc>
          <w:tcPr>
            <w:tcW w:w="1889" w:type="dxa"/>
          </w:tcPr>
          <w:p w14:paraId="74FE903D" w14:textId="77777777" w:rsidR="0094644B" w:rsidRPr="00FA3F57" w:rsidRDefault="0094644B" w:rsidP="00FB5086">
            <w:pPr>
              <w:spacing w:after="120"/>
              <w:jc w:val="both"/>
              <w:rPr>
                <w:sz w:val="20"/>
                <w:szCs w:val="20"/>
              </w:rPr>
            </w:pPr>
            <w:r w:rsidRPr="00FA3F57">
              <w:rPr>
                <w:sz w:val="20"/>
                <w:szCs w:val="20"/>
              </w:rPr>
              <w:t>Budget RS/LSGU</w:t>
            </w:r>
          </w:p>
        </w:tc>
        <w:tc>
          <w:tcPr>
            <w:tcW w:w="1889" w:type="dxa"/>
          </w:tcPr>
          <w:p w14:paraId="64F061EE" w14:textId="77777777" w:rsidR="0094644B" w:rsidRPr="00FA3F57" w:rsidRDefault="0094644B" w:rsidP="00FB5086">
            <w:pPr>
              <w:spacing w:after="120"/>
              <w:jc w:val="both"/>
              <w:rPr>
                <w:sz w:val="20"/>
                <w:szCs w:val="20"/>
              </w:rPr>
            </w:pPr>
            <w:r w:rsidRPr="00FA3F57">
              <w:rPr>
                <w:sz w:val="20"/>
                <w:szCs w:val="20"/>
              </w:rPr>
              <w:t>Own funds</w:t>
            </w:r>
          </w:p>
        </w:tc>
        <w:tc>
          <w:tcPr>
            <w:tcW w:w="1812" w:type="dxa"/>
          </w:tcPr>
          <w:p w14:paraId="74E9C558" w14:textId="77777777" w:rsidR="0094644B" w:rsidRPr="00FA3F57" w:rsidRDefault="0094644B" w:rsidP="00FB5086">
            <w:pPr>
              <w:spacing w:after="120"/>
              <w:jc w:val="both"/>
              <w:rPr>
                <w:sz w:val="20"/>
                <w:szCs w:val="20"/>
              </w:rPr>
            </w:pPr>
            <w:r w:rsidRPr="00FA3F57">
              <w:rPr>
                <w:sz w:val="20"/>
                <w:szCs w:val="20"/>
              </w:rPr>
              <w:t>Other sources</w:t>
            </w:r>
          </w:p>
        </w:tc>
      </w:tr>
      <w:tr w:rsidR="0094644B" w:rsidRPr="00F07779" w14:paraId="556F28FB" w14:textId="77777777" w:rsidTr="00FB5086">
        <w:trPr>
          <w:cantSplit/>
          <w:trHeight w:val="173"/>
        </w:trPr>
        <w:tc>
          <w:tcPr>
            <w:tcW w:w="2423" w:type="dxa"/>
            <w:vMerge w:val="restart"/>
          </w:tcPr>
          <w:p w14:paraId="3160816E" w14:textId="77777777" w:rsidR="0094644B" w:rsidRPr="00FA3F57" w:rsidRDefault="0094644B" w:rsidP="00FB5086">
            <w:pPr>
              <w:spacing w:after="60"/>
              <w:rPr>
                <w:sz w:val="20"/>
                <w:szCs w:val="20"/>
              </w:rPr>
            </w:pPr>
            <w:bookmarkStart w:id="7" w:name="_Hlk209180525"/>
            <w:r w:rsidRPr="00FA3F57">
              <w:rPr>
                <w:sz w:val="20"/>
                <w:szCs w:val="20"/>
              </w:rPr>
              <w:t>EL1 Preventive maintenance, revitalization (reconstruction), and modernization of power plants, transmission, and distribution networks</w:t>
            </w:r>
          </w:p>
        </w:tc>
        <w:tc>
          <w:tcPr>
            <w:tcW w:w="833" w:type="dxa"/>
            <w:vMerge w:val="restart"/>
          </w:tcPr>
          <w:p w14:paraId="5E52150D" w14:textId="77777777" w:rsidR="0094644B" w:rsidRPr="00FA3F57" w:rsidRDefault="0094644B" w:rsidP="00FB5086">
            <w:pPr>
              <w:spacing w:after="120"/>
              <w:jc w:val="center"/>
              <w:rPr>
                <w:sz w:val="20"/>
                <w:szCs w:val="20"/>
              </w:rPr>
            </w:pPr>
            <w:r w:rsidRPr="00FA3F57">
              <w:rPr>
                <w:sz w:val="20"/>
                <w:szCs w:val="20"/>
              </w:rPr>
              <w:t>Inv</w:t>
            </w:r>
          </w:p>
        </w:tc>
        <w:tc>
          <w:tcPr>
            <w:tcW w:w="830" w:type="dxa"/>
            <w:vAlign w:val="center"/>
          </w:tcPr>
          <w:p w14:paraId="0DFE877E" w14:textId="77777777" w:rsidR="0094644B" w:rsidRPr="00FA3F57" w:rsidRDefault="0094644B" w:rsidP="00FB5086">
            <w:pPr>
              <w:spacing w:after="120"/>
              <w:jc w:val="center"/>
              <w:rPr>
                <w:sz w:val="20"/>
                <w:szCs w:val="20"/>
              </w:rPr>
            </w:pPr>
            <w:r w:rsidRPr="00FA3F57">
              <w:rPr>
                <w:sz w:val="20"/>
                <w:szCs w:val="20"/>
              </w:rPr>
              <w:t>2026</w:t>
            </w:r>
          </w:p>
        </w:tc>
        <w:tc>
          <w:tcPr>
            <w:tcW w:w="1889" w:type="dxa"/>
          </w:tcPr>
          <w:p w14:paraId="78A0923C" w14:textId="77777777" w:rsidR="0094644B" w:rsidRPr="00FA3F57" w:rsidRDefault="0094644B" w:rsidP="00FB5086">
            <w:pPr>
              <w:spacing w:after="60"/>
              <w:jc w:val="right"/>
              <w:rPr>
                <w:sz w:val="18"/>
                <w:szCs w:val="18"/>
              </w:rPr>
            </w:pPr>
            <w:r w:rsidRPr="00FA3F57">
              <w:rPr>
                <w:sz w:val="18"/>
                <w:szCs w:val="18"/>
              </w:rPr>
              <w:t xml:space="preserve">10,033 </w:t>
            </w:r>
            <w:proofErr w:type="spellStart"/>
            <w:r w:rsidRPr="00FA3F57">
              <w:rPr>
                <w:sz w:val="18"/>
                <w:szCs w:val="18"/>
              </w:rPr>
              <w:t>mn</w:t>
            </w:r>
            <w:proofErr w:type="spellEnd"/>
            <w:r w:rsidRPr="00FA3F57">
              <w:rPr>
                <w:sz w:val="18"/>
                <w:szCs w:val="18"/>
              </w:rPr>
              <w:t xml:space="preserve"> RSD</w:t>
            </w:r>
          </w:p>
          <w:p w14:paraId="4317011B" w14:textId="77777777" w:rsidR="0094644B" w:rsidRPr="00FA3F57" w:rsidRDefault="0094644B" w:rsidP="00FB5086">
            <w:pPr>
              <w:spacing w:after="60"/>
              <w:jc w:val="right"/>
              <w:rPr>
                <w:sz w:val="18"/>
                <w:szCs w:val="18"/>
              </w:rPr>
            </w:pPr>
            <w:r w:rsidRPr="00FA3F57">
              <w:rPr>
                <w:sz w:val="18"/>
                <w:szCs w:val="18"/>
              </w:rPr>
              <w:t xml:space="preserve">85.6 </w:t>
            </w:r>
            <w:proofErr w:type="spellStart"/>
            <w:r w:rsidRPr="00FA3F57">
              <w:rPr>
                <w:sz w:val="18"/>
                <w:szCs w:val="18"/>
              </w:rPr>
              <w:t>mn</w:t>
            </w:r>
            <w:proofErr w:type="spellEnd"/>
            <w:r w:rsidRPr="00FA3F57">
              <w:rPr>
                <w:sz w:val="18"/>
                <w:szCs w:val="18"/>
              </w:rPr>
              <w:t xml:space="preserve"> EUR</w:t>
            </w:r>
          </w:p>
        </w:tc>
        <w:tc>
          <w:tcPr>
            <w:tcW w:w="1889" w:type="dxa"/>
          </w:tcPr>
          <w:p w14:paraId="649245A5" w14:textId="77777777" w:rsidR="0094644B" w:rsidRPr="00FA3F57" w:rsidRDefault="0094644B" w:rsidP="00FB5086">
            <w:pPr>
              <w:spacing w:after="60"/>
              <w:jc w:val="right"/>
              <w:rPr>
                <w:sz w:val="18"/>
                <w:szCs w:val="18"/>
              </w:rPr>
            </w:pPr>
            <w:r w:rsidRPr="00FA3F57">
              <w:rPr>
                <w:sz w:val="18"/>
                <w:szCs w:val="18"/>
              </w:rPr>
              <w:t xml:space="preserve">26,773 </w:t>
            </w:r>
            <w:proofErr w:type="spellStart"/>
            <w:r w:rsidRPr="00FA3F57">
              <w:rPr>
                <w:sz w:val="18"/>
                <w:szCs w:val="18"/>
              </w:rPr>
              <w:t>mn</w:t>
            </w:r>
            <w:proofErr w:type="spellEnd"/>
            <w:r w:rsidRPr="00FA3F57">
              <w:rPr>
                <w:sz w:val="18"/>
                <w:szCs w:val="18"/>
              </w:rPr>
              <w:t xml:space="preserve"> RSD</w:t>
            </w:r>
          </w:p>
          <w:p w14:paraId="5A86A6CD" w14:textId="77777777" w:rsidR="0094644B" w:rsidRPr="00FA3F57" w:rsidRDefault="0094644B" w:rsidP="00FB5086">
            <w:pPr>
              <w:spacing w:after="60"/>
              <w:jc w:val="right"/>
              <w:rPr>
                <w:sz w:val="18"/>
                <w:szCs w:val="18"/>
              </w:rPr>
            </w:pPr>
            <w:r w:rsidRPr="00FA3F57">
              <w:rPr>
                <w:sz w:val="18"/>
                <w:szCs w:val="18"/>
              </w:rPr>
              <w:t xml:space="preserve">228.3 </w:t>
            </w:r>
            <w:proofErr w:type="spellStart"/>
            <w:r w:rsidRPr="00FA3F57">
              <w:rPr>
                <w:sz w:val="18"/>
                <w:szCs w:val="18"/>
              </w:rPr>
              <w:t>mn</w:t>
            </w:r>
            <w:proofErr w:type="spellEnd"/>
            <w:r w:rsidRPr="00FA3F57">
              <w:rPr>
                <w:sz w:val="18"/>
                <w:szCs w:val="18"/>
              </w:rPr>
              <w:t xml:space="preserve"> EUR</w:t>
            </w:r>
          </w:p>
        </w:tc>
        <w:tc>
          <w:tcPr>
            <w:tcW w:w="1812" w:type="dxa"/>
          </w:tcPr>
          <w:p w14:paraId="7AB9FAD5" w14:textId="77777777" w:rsidR="0094644B" w:rsidRPr="00FA3F57" w:rsidRDefault="0094644B" w:rsidP="00FB5086">
            <w:pPr>
              <w:spacing w:after="60"/>
              <w:ind w:hanging="111"/>
              <w:jc w:val="right"/>
              <w:rPr>
                <w:sz w:val="18"/>
                <w:szCs w:val="18"/>
              </w:rPr>
            </w:pPr>
            <w:r w:rsidRPr="00FA3F57">
              <w:rPr>
                <w:sz w:val="18"/>
                <w:szCs w:val="18"/>
              </w:rPr>
              <w:t xml:space="preserve">29,962 </w:t>
            </w:r>
            <w:proofErr w:type="spellStart"/>
            <w:r w:rsidRPr="00FA3F57">
              <w:rPr>
                <w:sz w:val="18"/>
                <w:szCs w:val="18"/>
              </w:rPr>
              <w:t>mn</w:t>
            </w:r>
            <w:proofErr w:type="spellEnd"/>
            <w:r w:rsidRPr="00FA3F57">
              <w:rPr>
                <w:sz w:val="18"/>
                <w:szCs w:val="18"/>
              </w:rPr>
              <w:t xml:space="preserve"> RSD</w:t>
            </w:r>
          </w:p>
          <w:p w14:paraId="4BD8C0F4" w14:textId="77777777" w:rsidR="0094644B" w:rsidRPr="00FA3F57" w:rsidRDefault="0094644B" w:rsidP="00FB5086">
            <w:pPr>
              <w:spacing w:after="60"/>
              <w:jc w:val="right"/>
              <w:rPr>
                <w:sz w:val="18"/>
                <w:szCs w:val="18"/>
              </w:rPr>
            </w:pPr>
            <w:r w:rsidRPr="00FA3F57">
              <w:rPr>
                <w:sz w:val="18"/>
                <w:szCs w:val="18"/>
              </w:rPr>
              <w:t xml:space="preserve">255.5 </w:t>
            </w:r>
            <w:proofErr w:type="spellStart"/>
            <w:r w:rsidRPr="00FA3F57">
              <w:rPr>
                <w:sz w:val="18"/>
                <w:szCs w:val="18"/>
              </w:rPr>
              <w:t>mn</w:t>
            </w:r>
            <w:proofErr w:type="spellEnd"/>
            <w:r w:rsidRPr="00FA3F57">
              <w:rPr>
                <w:sz w:val="18"/>
                <w:szCs w:val="18"/>
              </w:rPr>
              <w:t xml:space="preserve"> EUR</w:t>
            </w:r>
          </w:p>
        </w:tc>
      </w:tr>
      <w:tr w:rsidR="0094644B" w:rsidRPr="00F07779" w14:paraId="0293842B" w14:textId="77777777" w:rsidTr="00FB5086">
        <w:trPr>
          <w:cantSplit/>
          <w:trHeight w:val="171"/>
        </w:trPr>
        <w:tc>
          <w:tcPr>
            <w:tcW w:w="2423" w:type="dxa"/>
            <w:vMerge/>
          </w:tcPr>
          <w:p w14:paraId="248404F2" w14:textId="77777777" w:rsidR="0094644B" w:rsidRPr="00FA3F57" w:rsidRDefault="0094644B" w:rsidP="00FB5086">
            <w:pPr>
              <w:spacing w:after="120"/>
              <w:rPr>
                <w:sz w:val="20"/>
                <w:szCs w:val="20"/>
              </w:rPr>
            </w:pPr>
          </w:p>
        </w:tc>
        <w:tc>
          <w:tcPr>
            <w:tcW w:w="833" w:type="dxa"/>
            <w:vMerge/>
          </w:tcPr>
          <w:p w14:paraId="77BE70A2" w14:textId="77777777" w:rsidR="0094644B" w:rsidRPr="00FA3F57" w:rsidRDefault="0094644B" w:rsidP="00FB5086">
            <w:pPr>
              <w:spacing w:after="120"/>
              <w:jc w:val="center"/>
              <w:rPr>
                <w:sz w:val="20"/>
                <w:szCs w:val="20"/>
              </w:rPr>
            </w:pPr>
          </w:p>
        </w:tc>
        <w:tc>
          <w:tcPr>
            <w:tcW w:w="830" w:type="dxa"/>
            <w:vAlign w:val="center"/>
          </w:tcPr>
          <w:p w14:paraId="5FF3E3F2" w14:textId="77777777" w:rsidR="0094644B" w:rsidRPr="00FA3F57" w:rsidRDefault="0094644B" w:rsidP="00FB5086">
            <w:pPr>
              <w:spacing w:after="120"/>
              <w:jc w:val="center"/>
              <w:rPr>
                <w:sz w:val="20"/>
                <w:szCs w:val="20"/>
              </w:rPr>
            </w:pPr>
            <w:r w:rsidRPr="00FA3F57">
              <w:rPr>
                <w:sz w:val="20"/>
                <w:szCs w:val="20"/>
              </w:rPr>
              <w:t>2027</w:t>
            </w:r>
          </w:p>
        </w:tc>
        <w:tc>
          <w:tcPr>
            <w:tcW w:w="1889" w:type="dxa"/>
          </w:tcPr>
          <w:p w14:paraId="2A7CA6BD" w14:textId="77777777" w:rsidR="0094644B" w:rsidRPr="00FA3F57" w:rsidRDefault="0094644B" w:rsidP="00FB5086">
            <w:pPr>
              <w:spacing w:after="60"/>
              <w:jc w:val="right"/>
              <w:rPr>
                <w:sz w:val="18"/>
                <w:szCs w:val="18"/>
              </w:rPr>
            </w:pPr>
            <w:r w:rsidRPr="00FA3F57">
              <w:rPr>
                <w:sz w:val="18"/>
                <w:szCs w:val="18"/>
              </w:rPr>
              <w:t xml:space="preserve">8,578 </w:t>
            </w:r>
            <w:proofErr w:type="spellStart"/>
            <w:r w:rsidRPr="00FA3F57">
              <w:rPr>
                <w:sz w:val="18"/>
                <w:szCs w:val="18"/>
              </w:rPr>
              <w:t>mn</w:t>
            </w:r>
            <w:proofErr w:type="spellEnd"/>
            <w:r w:rsidRPr="00FA3F57">
              <w:rPr>
                <w:sz w:val="18"/>
                <w:szCs w:val="18"/>
              </w:rPr>
              <w:t xml:space="preserve"> RSD</w:t>
            </w:r>
          </w:p>
          <w:p w14:paraId="0B1562C0" w14:textId="77777777" w:rsidR="0094644B" w:rsidRPr="00FA3F57" w:rsidRDefault="0094644B" w:rsidP="00FB5086">
            <w:pPr>
              <w:spacing w:after="60"/>
              <w:jc w:val="right"/>
              <w:rPr>
                <w:sz w:val="18"/>
                <w:szCs w:val="18"/>
              </w:rPr>
            </w:pPr>
            <w:r w:rsidRPr="00FA3F57">
              <w:rPr>
                <w:sz w:val="18"/>
                <w:szCs w:val="18"/>
              </w:rPr>
              <w:t xml:space="preserve">73.2 </w:t>
            </w:r>
            <w:proofErr w:type="spellStart"/>
            <w:r w:rsidRPr="00FA3F57">
              <w:rPr>
                <w:sz w:val="18"/>
                <w:szCs w:val="18"/>
              </w:rPr>
              <w:t>mn</w:t>
            </w:r>
            <w:proofErr w:type="spellEnd"/>
            <w:r w:rsidRPr="00FA3F57">
              <w:rPr>
                <w:sz w:val="18"/>
                <w:szCs w:val="18"/>
              </w:rPr>
              <w:t xml:space="preserve"> EUR</w:t>
            </w:r>
          </w:p>
        </w:tc>
        <w:tc>
          <w:tcPr>
            <w:tcW w:w="1889" w:type="dxa"/>
          </w:tcPr>
          <w:p w14:paraId="4E7A1B2B" w14:textId="77777777" w:rsidR="0094644B" w:rsidRPr="00FA3F57" w:rsidRDefault="0094644B" w:rsidP="00FB5086">
            <w:pPr>
              <w:spacing w:after="60"/>
              <w:jc w:val="right"/>
              <w:rPr>
                <w:sz w:val="18"/>
                <w:szCs w:val="18"/>
              </w:rPr>
            </w:pPr>
            <w:r w:rsidRPr="00FA3F57">
              <w:rPr>
                <w:sz w:val="18"/>
                <w:szCs w:val="18"/>
              </w:rPr>
              <w:t xml:space="preserve">38,133 </w:t>
            </w:r>
            <w:proofErr w:type="spellStart"/>
            <w:r w:rsidRPr="00FA3F57">
              <w:rPr>
                <w:sz w:val="18"/>
                <w:szCs w:val="18"/>
              </w:rPr>
              <w:t>mn</w:t>
            </w:r>
            <w:proofErr w:type="spellEnd"/>
            <w:r w:rsidRPr="00FA3F57">
              <w:rPr>
                <w:sz w:val="18"/>
                <w:szCs w:val="18"/>
              </w:rPr>
              <w:t xml:space="preserve"> RSD</w:t>
            </w:r>
          </w:p>
          <w:p w14:paraId="3D711C09" w14:textId="77777777" w:rsidR="0094644B" w:rsidRPr="00FA3F57" w:rsidRDefault="0094644B" w:rsidP="00FB5086">
            <w:pPr>
              <w:spacing w:after="60"/>
              <w:jc w:val="right"/>
              <w:rPr>
                <w:sz w:val="18"/>
                <w:szCs w:val="18"/>
              </w:rPr>
            </w:pPr>
            <w:r w:rsidRPr="00FA3F57">
              <w:rPr>
                <w:sz w:val="18"/>
                <w:szCs w:val="18"/>
              </w:rPr>
              <w:t xml:space="preserve">325.2 </w:t>
            </w:r>
            <w:proofErr w:type="spellStart"/>
            <w:r w:rsidRPr="00FA3F57">
              <w:rPr>
                <w:sz w:val="18"/>
                <w:szCs w:val="18"/>
              </w:rPr>
              <w:t>mn</w:t>
            </w:r>
            <w:proofErr w:type="spellEnd"/>
            <w:r w:rsidRPr="00FA3F57">
              <w:rPr>
                <w:sz w:val="18"/>
                <w:szCs w:val="18"/>
              </w:rPr>
              <w:t xml:space="preserve"> EUR</w:t>
            </w:r>
          </w:p>
        </w:tc>
        <w:tc>
          <w:tcPr>
            <w:tcW w:w="1812" w:type="dxa"/>
          </w:tcPr>
          <w:p w14:paraId="374D4FD3" w14:textId="77777777" w:rsidR="0094644B" w:rsidRPr="00FA3F57" w:rsidRDefault="0094644B" w:rsidP="00FB5086">
            <w:pPr>
              <w:spacing w:after="60"/>
              <w:jc w:val="right"/>
              <w:rPr>
                <w:sz w:val="18"/>
                <w:szCs w:val="18"/>
              </w:rPr>
            </w:pPr>
            <w:r w:rsidRPr="00FA3F57">
              <w:rPr>
                <w:sz w:val="18"/>
                <w:szCs w:val="18"/>
              </w:rPr>
              <w:t>27,33</w:t>
            </w:r>
            <w:r w:rsidRPr="00F07779">
              <w:rPr>
                <w:sz w:val="18"/>
                <w:szCs w:val="18"/>
              </w:rPr>
              <w:t>3</w:t>
            </w:r>
            <w:r w:rsidRPr="00FA3F57">
              <w:rPr>
                <w:sz w:val="18"/>
                <w:szCs w:val="18"/>
              </w:rPr>
              <w:t xml:space="preserve"> </w:t>
            </w:r>
            <w:proofErr w:type="spellStart"/>
            <w:r w:rsidRPr="00FA3F57">
              <w:rPr>
                <w:sz w:val="18"/>
                <w:szCs w:val="18"/>
              </w:rPr>
              <w:t>mn</w:t>
            </w:r>
            <w:proofErr w:type="spellEnd"/>
            <w:r w:rsidRPr="00FA3F57">
              <w:rPr>
                <w:sz w:val="18"/>
                <w:szCs w:val="18"/>
              </w:rPr>
              <w:t xml:space="preserve"> RSD</w:t>
            </w:r>
          </w:p>
          <w:p w14:paraId="2BFC213A" w14:textId="77777777" w:rsidR="0094644B" w:rsidRPr="00FA3F57" w:rsidRDefault="0094644B" w:rsidP="00FB5086">
            <w:pPr>
              <w:spacing w:after="60"/>
              <w:jc w:val="right"/>
              <w:rPr>
                <w:sz w:val="18"/>
                <w:szCs w:val="18"/>
              </w:rPr>
            </w:pPr>
            <w:r w:rsidRPr="00FA3F57">
              <w:rPr>
                <w:sz w:val="18"/>
                <w:szCs w:val="18"/>
              </w:rPr>
              <w:t xml:space="preserve">233.1 </w:t>
            </w:r>
            <w:proofErr w:type="spellStart"/>
            <w:r w:rsidRPr="00FA3F57">
              <w:rPr>
                <w:sz w:val="18"/>
                <w:szCs w:val="18"/>
              </w:rPr>
              <w:t>mn</w:t>
            </w:r>
            <w:proofErr w:type="spellEnd"/>
            <w:r w:rsidRPr="00FA3F57">
              <w:rPr>
                <w:sz w:val="18"/>
                <w:szCs w:val="18"/>
              </w:rPr>
              <w:t xml:space="preserve"> EUR</w:t>
            </w:r>
          </w:p>
        </w:tc>
      </w:tr>
      <w:tr w:rsidR="0094644B" w:rsidRPr="00F07779" w14:paraId="008B9B62" w14:textId="77777777" w:rsidTr="00FB5086">
        <w:trPr>
          <w:cantSplit/>
          <w:trHeight w:val="171"/>
        </w:trPr>
        <w:tc>
          <w:tcPr>
            <w:tcW w:w="2423" w:type="dxa"/>
            <w:vMerge/>
          </w:tcPr>
          <w:p w14:paraId="70420DC8" w14:textId="77777777" w:rsidR="0094644B" w:rsidRPr="00FA3F57" w:rsidRDefault="0094644B" w:rsidP="00FB5086">
            <w:pPr>
              <w:spacing w:after="120"/>
              <w:rPr>
                <w:sz w:val="20"/>
                <w:szCs w:val="20"/>
              </w:rPr>
            </w:pPr>
          </w:p>
        </w:tc>
        <w:tc>
          <w:tcPr>
            <w:tcW w:w="833" w:type="dxa"/>
            <w:vMerge/>
          </w:tcPr>
          <w:p w14:paraId="31179949" w14:textId="77777777" w:rsidR="0094644B" w:rsidRPr="00FA3F57" w:rsidRDefault="0094644B" w:rsidP="00FB5086">
            <w:pPr>
              <w:spacing w:after="120"/>
              <w:jc w:val="center"/>
              <w:rPr>
                <w:sz w:val="20"/>
                <w:szCs w:val="20"/>
              </w:rPr>
            </w:pPr>
          </w:p>
        </w:tc>
        <w:tc>
          <w:tcPr>
            <w:tcW w:w="830" w:type="dxa"/>
            <w:vAlign w:val="center"/>
          </w:tcPr>
          <w:p w14:paraId="71605803" w14:textId="77777777" w:rsidR="0094644B" w:rsidRPr="00FA3F57" w:rsidRDefault="0094644B" w:rsidP="00FB5086">
            <w:pPr>
              <w:spacing w:after="120"/>
              <w:jc w:val="center"/>
              <w:rPr>
                <w:sz w:val="20"/>
                <w:szCs w:val="20"/>
              </w:rPr>
            </w:pPr>
            <w:r w:rsidRPr="00FA3F57">
              <w:rPr>
                <w:sz w:val="20"/>
                <w:szCs w:val="20"/>
              </w:rPr>
              <w:t>2028</w:t>
            </w:r>
          </w:p>
        </w:tc>
        <w:tc>
          <w:tcPr>
            <w:tcW w:w="1889" w:type="dxa"/>
          </w:tcPr>
          <w:p w14:paraId="181D6AC5" w14:textId="77777777" w:rsidR="0094644B" w:rsidRPr="00FA3F57" w:rsidRDefault="0094644B" w:rsidP="00FB5086">
            <w:pPr>
              <w:spacing w:after="60"/>
              <w:jc w:val="right"/>
              <w:rPr>
                <w:sz w:val="18"/>
                <w:szCs w:val="18"/>
              </w:rPr>
            </w:pPr>
            <w:r w:rsidRPr="00FA3F57">
              <w:rPr>
                <w:sz w:val="18"/>
                <w:szCs w:val="18"/>
              </w:rPr>
              <w:t xml:space="preserve">13,563 </w:t>
            </w:r>
            <w:proofErr w:type="spellStart"/>
            <w:r w:rsidRPr="00FA3F57">
              <w:rPr>
                <w:sz w:val="18"/>
                <w:szCs w:val="18"/>
              </w:rPr>
              <w:t>mn</w:t>
            </w:r>
            <w:proofErr w:type="spellEnd"/>
            <w:r w:rsidRPr="00FA3F57">
              <w:rPr>
                <w:sz w:val="18"/>
                <w:szCs w:val="18"/>
              </w:rPr>
              <w:t xml:space="preserve"> RSD</w:t>
            </w:r>
          </w:p>
          <w:p w14:paraId="3B95CED3" w14:textId="77777777" w:rsidR="0094644B" w:rsidRPr="00FA3F57" w:rsidRDefault="0094644B" w:rsidP="00FB5086">
            <w:pPr>
              <w:spacing w:after="60"/>
              <w:jc w:val="right"/>
              <w:rPr>
                <w:sz w:val="18"/>
                <w:szCs w:val="18"/>
              </w:rPr>
            </w:pPr>
            <w:r w:rsidRPr="00FA3F57">
              <w:rPr>
                <w:sz w:val="18"/>
                <w:szCs w:val="18"/>
              </w:rPr>
              <w:t xml:space="preserve">115.7 </w:t>
            </w:r>
            <w:proofErr w:type="spellStart"/>
            <w:r w:rsidRPr="00FA3F57">
              <w:rPr>
                <w:sz w:val="18"/>
                <w:szCs w:val="18"/>
              </w:rPr>
              <w:t>mn</w:t>
            </w:r>
            <w:proofErr w:type="spellEnd"/>
            <w:r w:rsidRPr="00FA3F57">
              <w:rPr>
                <w:sz w:val="18"/>
                <w:szCs w:val="18"/>
              </w:rPr>
              <w:t xml:space="preserve"> EUR</w:t>
            </w:r>
          </w:p>
        </w:tc>
        <w:tc>
          <w:tcPr>
            <w:tcW w:w="1889" w:type="dxa"/>
          </w:tcPr>
          <w:p w14:paraId="7D2C4486" w14:textId="77777777" w:rsidR="0094644B" w:rsidRPr="00FA3F57" w:rsidRDefault="0094644B" w:rsidP="00FB5086">
            <w:pPr>
              <w:spacing w:after="60"/>
              <w:jc w:val="right"/>
              <w:rPr>
                <w:sz w:val="18"/>
                <w:szCs w:val="18"/>
              </w:rPr>
            </w:pPr>
            <w:r w:rsidRPr="00FA3F57">
              <w:rPr>
                <w:sz w:val="18"/>
                <w:szCs w:val="18"/>
              </w:rPr>
              <w:t xml:space="preserve">54,446 </w:t>
            </w:r>
            <w:proofErr w:type="spellStart"/>
            <w:r w:rsidRPr="00FA3F57">
              <w:rPr>
                <w:sz w:val="18"/>
                <w:szCs w:val="18"/>
              </w:rPr>
              <w:t>mn</w:t>
            </w:r>
            <w:proofErr w:type="spellEnd"/>
            <w:r w:rsidRPr="00FA3F57">
              <w:rPr>
                <w:sz w:val="18"/>
                <w:szCs w:val="18"/>
              </w:rPr>
              <w:t xml:space="preserve"> RSD</w:t>
            </w:r>
          </w:p>
          <w:p w14:paraId="264DBAA6" w14:textId="77777777" w:rsidR="0094644B" w:rsidRPr="00FA3F57" w:rsidRDefault="0094644B" w:rsidP="00FB5086">
            <w:pPr>
              <w:spacing w:after="60"/>
              <w:jc w:val="right"/>
              <w:rPr>
                <w:sz w:val="18"/>
                <w:szCs w:val="18"/>
              </w:rPr>
            </w:pPr>
            <w:r w:rsidRPr="00FA3F57">
              <w:rPr>
                <w:sz w:val="18"/>
                <w:szCs w:val="18"/>
              </w:rPr>
              <w:t xml:space="preserve">464.4 </w:t>
            </w:r>
            <w:proofErr w:type="spellStart"/>
            <w:r w:rsidRPr="00FA3F57">
              <w:rPr>
                <w:sz w:val="18"/>
                <w:szCs w:val="18"/>
              </w:rPr>
              <w:t>mn</w:t>
            </w:r>
            <w:proofErr w:type="spellEnd"/>
            <w:r w:rsidRPr="00FA3F57">
              <w:rPr>
                <w:sz w:val="18"/>
                <w:szCs w:val="18"/>
              </w:rPr>
              <w:t xml:space="preserve"> EUR</w:t>
            </w:r>
          </w:p>
        </w:tc>
        <w:tc>
          <w:tcPr>
            <w:tcW w:w="1812" w:type="dxa"/>
          </w:tcPr>
          <w:p w14:paraId="0EFE306C" w14:textId="77777777" w:rsidR="0094644B" w:rsidRPr="00FA3F57" w:rsidRDefault="0094644B" w:rsidP="00FB5086">
            <w:pPr>
              <w:spacing w:after="60"/>
              <w:jc w:val="right"/>
              <w:rPr>
                <w:sz w:val="18"/>
                <w:szCs w:val="18"/>
              </w:rPr>
            </w:pPr>
            <w:r w:rsidRPr="00FA3F57">
              <w:rPr>
                <w:sz w:val="18"/>
                <w:szCs w:val="18"/>
              </w:rPr>
              <w:t>23,</w:t>
            </w:r>
            <w:r w:rsidRPr="00F07779">
              <w:rPr>
                <w:sz w:val="18"/>
                <w:szCs w:val="18"/>
              </w:rPr>
              <w:t>409</w:t>
            </w:r>
            <w:r w:rsidRPr="00FA3F57">
              <w:rPr>
                <w:sz w:val="18"/>
                <w:szCs w:val="18"/>
              </w:rPr>
              <w:t xml:space="preserve"> </w:t>
            </w:r>
            <w:proofErr w:type="spellStart"/>
            <w:r w:rsidRPr="00FA3F57">
              <w:rPr>
                <w:sz w:val="18"/>
                <w:szCs w:val="18"/>
              </w:rPr>
              <w:t>mn</w:t>
            </w:r>
            <w:proofErr w:type="spellEnd"/>
            <w:r w:rsidRPr="00FA3F57">
              <w:rPr>
                <w:sz w:val="18"/>
                <w:szCs w:val="18"/>
              </w:rPr>
              <w:t xml:space="preserve"> RSD</w:t>
            </w:r>
          </w:p>
          <w:p w14:paraId="489468F7" w14:textId="77777777" w:rsidR="0094644B" w:rsidRPr="00FA3F57" w:rsidRDefault="0094644B" w:rsidP="00FB5086">
            <w:pPr>
              <w:spacing w:after="60"/>
              <w:jc w:val="right"/>
              <w:rPr>
                <w:sz w:val="18"/>
                <w:szCs w:val="18"/>
              </w:rPr>
            </w:pPr>
            <w:r w:rsidRPr="00FA3F57">
              <w:rPr>
                <w:sz w:val="18"/>
                <w:szCs w:val="18"/>
              </w:rPr>
              <w:t>199.</w:t>
            </w:r>
            <w:r w:rsidRPr="00F07779">
              <w:rPr>
                <w:sz w:val="18"/>
                <w:szCs w:val="18"/>
              </w:rPr>
              <w:t>6</w:t>
            </w:r>
            <w:r w:rsidRPr="00FA3F57">
              <w:rPr>
                <w:sz w:val="18"/>
                <w:szCs w:val="18"/>
              </w:rPr>
              <w:t xml:space="preserve"> </w:t>
            </w:r>
            <w:proofErr w:type="spellStart"/>
            <w:r w:rsidRPr="00FA3F57">
              <w:rPr>
                <w:sz w:val="18"/>
                <w:szCs w:val="18"/>
              </w:rPr>
              <w:t>mn</w:t>
            </w:r>
            <w:proofErr w:type="spellEnd"/>
            <w:r w:rsidRPr="00FA3F57">
              <w:rPr>
                <w:sz w:val="18"/>
                <w:szCs w:val="18"/>
              </w:rPr>
              <w:t xml:space="preserve"> EUR</w:t>
            </w:r>
          </w:p>
        </w:tc>
      </w:tr>
      <w:tr w:rsidR="0094644B" w:rsidRPr="00F07779" w14:paraId="23D18B25" w14:textId="77777777" w:rsidTr="00FB5086">
        <w:trPr>
          <w:cantSplit/>
          <w:trHeight w:val="54"/>
        </w:trPr>
        <w:tc>
          <w:tcPr>
            <w:tcW w:w="2423" w:type="dxa"/>
            <w:vMerge w:val="restart"/>
          </w:tcPr>
          <w:p w14:paraId="06D4B54E" w14:textId="77777777" w:rsidR="0094644B" w:rsidRPr="00FA3F57" w:rsidRDefault="0094644B" w:rsidP="00FB5086">
            <w:pPr>
              <w:spacing w:after="120"/>
              <w:rPr>
                <w:sz w:val="20"/>
                <w:szCs w:val="20"/>
              </w:rPr>
            </w:pPr>
            <w:r w:rsidRPr="00FA3F57">
              <w:rPr>
                <w:sz w:val="20"/>
                <w:szCs w:val="20"/>
              </w:rPr>
              <w:t>EL4 Change of production portfolio</w:t>
            </w:r>
          </w:p>
        </w:tc>
        <w:tc>
          <w:tcPr>
            <w:tcW w:w="833" w:type="dxa"/>
            <w:vMerge w:val="restart"/>
          </w:tcPr>
          <w:p w14:paraId="293C1561" w14:textId="77777777" w:rsidR="0094644B" w:rsidRPr="00FA3F57" w:rsidRDefault="0094644B" w:rsidP="00FB5086">
            <w:pPr>
              <w:spacing w:after="120"/>
              <w:jc w:val="center"/>
              <w:rPr>
                <w:sz w:val="20"/>
                <w:szCs w:val="20"/>
              </w:rPr>
            </w:pPr>
            <w:r w:rsidRPr="00FA3F57">
              <w:rPr>
                <w:sz w:val="20"/>
                <w:szCs w:val="20"/>
              </w:rPr>
              <w:t>Inv</w:t>
            </w:r>
          </w:p>
        </w:tc>
        <w:tc>
          <w:tcPr>
            <w:tcW w:w="830" w:type="dxa"/>
            <w:vAlign w:val="center"/>
          </w:tcPr>
          <w:p w14:paraId="010CF762" w14:textId="77777777" w:rsidR="0094644B" w:rsidRPr="00FA3F57" w:rsidRDefault="0094644B" w:rsidP="00FB5086">
            <w:pPr>
              <w:spacing w:after="120"/>
              <w:jc w:val="center"/>
              <w:rPr>
                <w:sz w:val="20"/>
                <w:szCs w:val="20"/>
              </w:rPr>
            </w:pPr>
            <w:r w:rsidRPr="00FA3F57">
              <w:rPr>
                <w:sz w:val="20"/>
                <w:szCs w:val="20"/>
              </w:rPr>
              <w:t>2026</w:t>
            </w:r>
          </w:p>
        </w:tc>
        <w:tc>
          <w:tcPr>
            <w:tcW w:w="1889" w:type="dxa"/>
            <w:vAlign w:val="center"/>
          </w:tcPr>
          <w:p w14:paraId="697B0ADB" w14:textId="77777777" w:rsidR="0094644B" w:rsidRPr="00F07779" w:rsidRDefault="0094644B" w:rsidP="00FB5086">
            <w:pPr>
              <w:jc w:val="center"/>
              <w:rPr>
                <w:color w:val="000000"/>
                <w:sz w:val="18"/>
                <w:szCs w:val="18"/>
                <w:lang w:eastAsia="en-US"/>
              </w:rPr>
            </w:pPr>
            <w:r w:rsidRPr="00F07779">
              <w:rPr>
                <w:color w:val="000000"/>
                <w:sz w:val="18"/>
                <w:szCs w:val="18"/>
              </w:rPr>
              <w:t>0</w:t>
            </w:r>
          </w:p>
        </w:tc>
        <w:tc>
          <w:tcPr>
            <w:tcW w:w="1889" w:type="dxa"/>
          </w:tcPr>
          <w:p w14:paraId="305C681D" w14:textId="77777777" w:rsidR="0094644B" w:rsidRPr="00FA3F57" w:rsidRDefault="0094644B" w:rsidP="00FB5086">
            <w:pPr>
              <w:spacing w:after="60"/>
              <w:jc w:val="right"/>
              <w:rPr>
                <w:sz w:val="18"/>
                <w:szCs w:val="18"/>
              </w:rPr>
            </w:pPr>
            <w:r w:rsidRPr="00FA3F57">
              <w:rPr>
                <w:sz w:val="18"/>
                <w:szCs w:val="18"/>
              </w:rPr>
              <w:t xml:space="preserve">1,173 </w:t>
            </w:r>
            <w:proofErr w:type="spellStart"/>
            <w:r w:rsidRPr="00FA3F57">
              <w:rPr>
                <w:sz w:val="18"/>
                <w:szCs w:val="18"/>
              </w:rPr>
              <w:t>mn</w:t>
            </w:r>
            <w:proofErr w:type="spellEnd"/>
            <w:r w:rsidRPr="00FA3F57">
              <w:rPr>
                <w:sz w:val="18"/>
                <w:szCs w:val="18"/>
              </w:rPr>
              <w:t xml:space="preserve"> RSD</w:t>
            </w:r>
          </w:p>
          <w:p w14:paraId="6412E11F" w14:textId="77777777" w:rsidR="0094644B" w:rsidRPr="00FA3F57" w:rsidRDefault="0094644B" w:rsidP="00FB5086">
            <w:pPr>
              <w:spacing w:after="120"/>
              <w:jc w:val="right"/>
              <w:rPr>
                <w:sz w:val="18"/>
                <w:szCs w:val="18"/>
              </w:rPr>
            </w:pPr>
            <w:r w:rsidRPr="00FA3F57">
              <w:rPr>
                <w:sz w:val="18"/>
                <w:szCs w:val="18"/>
              </w:rPr>
              <w:t xml:space="preserve">10.0 </w:t>
            </w:r>
            <w:proofErr w:type="spellStart"/>
            <w:r w:rsidRPr="00FA3F57">
              <w:rPr>
                <w:sz w:val="18"/>
                <w:szCs w:val="18"/>
              </w:rPr>
              <w:t>mn</w:t>
            </w:r>
            <w:proofErr w:type="spellEnd"/>
            <w:r w:rsidRPr="00FA3F57">
              <w:rPr>
                <w:sz w:val="18"/>
                <w:szCs w:val="18"/>
              </w:rPr>
              <w:t xml:space="preserve"> EUR</w:t>
            </w:r>
          </w:p>
        </w:tc>
        <w:tc>
          <w:tcPr>
            <w:tcW w:w="1812" w:type="dxa"/>
          </w:tcPr>
          <w:p w14:paraId="43535221" w14:textId="77777777" w:rsidR="0094644B" w:rsidRPr="00FA3F57" w:rsidRDefault="0094644B" w:rsidP="00FB5086">
            <w:pPr>
              <w:spacing w:after="60"/>
              <w:jc w:val="right"/>
              <w:rPr>
                <w:sz w:val="18"/>
                <w:szCs w:val="18"/>
              </w:rPr>
            </w:pPr>
            <w:r w:rsidRPr="00FA3F57">
              <w:rPr>
                <w:sz w:val="18"/>
                <w:szCs w:val="18"/>
              </w:rPr>
              <w:t xml:space="preserve">108,479 </w:t>
            </w:r>
            <w:proofErr w:type="spellStart"/>
            <w:r w:rsidRPr="00FA3F57">
              <w:rPr>
                <w:sz w:val="18"/>
                <w:szCs w:val="18"/>
              </w:rPr>
              <w:t>mn</w:t>
            </w:r>
            <w:proofErr w:type="spellEnd"/>
            <w:r w:rsidRPr="00FA3F57">
              <w:rPr>
                <w:sz w:val="18"/>
                <w:szCs w:val="18"/>
              </w:rPr>
              <w:t xml:space="preserve"> RSD</w:t>
            </w:r>
          </w:p>
          <w:p w14:paraId="6E829D18" w14:textId="77777777" w:rsidR="0094644B" w:rsidRPr="00F07779" w:rsidRDefault="0094644B" w:rsidP="00FB5086">
            <w:pPr>
              <w:jc w:val="right"/>
              <w:rPr>
                <w:rFonts w:ascii="Calibri" w:hAnsi="Calibri" w:cs="Calibri"/>
                <w:color w:val="000000"/>
                <w:sz w:val="18"/>
                <w:szCs w:val="18"/>
                <w:lang w:eastAsia="en-US"/>
              </w:rPr>
            </w:pPr>
            <w:r w:rsidRPr="00FA3F57">
              <w:rPr>
                <w:sz w:val="18"/>
                <w:szCs w:val="18"/>
              </w:rPr>
              <w:t xml:space="preserve">925.2 </w:t>
            </w:r>
            <w:proofErr w:type="spellStart"/>
            <w:r w:rsidRPr="00FA3F57">
              <w:rPr>
                <w:sz w:val="18"/>
                <w:szCs w:val="18"/>
              </w:rPr>
              <w:t>mn</w:t>
            </w:r>
            <w:proofErr w:type="spellEnd"/>
            <w:r w:rsidRPr="00FA3F57">
              <w:rPr>
                <w:sz w:val="18"/>
                <w:szCs w:val="18"/>
              </w:rPr>
              <w:t xml:space="preserve"> EUR</w:t>
            </w:r>
          </w:p>
        </w:tc>
      </w:tr>
      <w:tr w:rsidR="0094644B" w:rsidRPr="00F07779" w14:paraId="1AD46666" w14:textId="77777777" w:rsidTr="00FB5086">
        <w:trPr>
          <w:cantSplit/>
          <w:trHeight w:val="54"/>
        </w:trPr>
        <w:tc>
          <w:tcPr>
            <w:tcW w:w="2423" w:type="dxa"/>
            <w:vMerge/>
          </w:tcPr>
          <w:p w14:paraId="38D3D3CC" w14:textId="77777777" w:rsidR="0094644B" w:rsidRPr="00FA3F57" w:rsidRDefault="0094644B" w:rsidP="00FB5086">
            <w:pPr>
              <w:spacing w:after="120"/>
              <w:rPr>
                <w:sz w:val="20"/>
                <w:szCs w:val="20"/>
              </w:rPr>
            </w:pPr>
          </w:p>
        </w:tc>
        <w:tc>
          <w:tcPr>
            <w:tcW w:w="833" w:type="dxa"/>
            <w:vMerge/>
          </w:tcPr>
          <w:p w14:paraId="31710C48" w14:textId="77777777" w:rsidR="0094644B" w:rsidRPr="00FA3F57" w:rsidRDefault="0094644B" w:rsidP="00FB5086">
            <w:pPr>
              <w:spacing w:after="120"/>
              <w:jc w:val="center"/>
              <w:rPr>
                <w:sz w:val="20"/>
                <w:szCs w:val="20"/>
              </w:rPr>
            </w:pPr>
          </w:p>
        </w:tc>
        <w:tc>
          <w:tcPr>
            <w:tcW w:w="830" w:type="dxa"/>
            <w:vAlign w:val="center"/>
          </w:tcPr>
          <w:p w14:paraId="58F0F175" w14:textId="77777777" w:rsidR="0094644B" w:rsidRPr="00FA3F57" w:rsidRDefault="0094644B" w:rsidP="00FB5086">
            <w:pPr>
              <w:spacing w:after="120"/>
              <w:jc w:val="center"/>
              <w:rPr>
                <w:sz w:val="20"/>
                <w:szCs w:val="20"/>
              </w:rPr>
            </w:pPr>
            <w:r w:rsidRPr="00FA3F57">
              <w:rPr>
                <w:sz w:val="20"/>
                <w:szCs w:val="20"/>
              </w:rPr>
              <w:t>2027</w:t>
            </w:r>
          </w:p>
        </w:tc>
        <w:tc>
          <w:tcPr>
            <w:tcW w:w="1889" w:type="dxa"/>
            <w:vAlign w:val="center"/>
          </w:tcPr>
          <w:p w14:paraId="2E6C0466" w14:textId="77777777" w:rsidR="0094644B" w:rsidRPr="00FA3F57" w:rsidRDefault="0094644B" w:rsidP="00FB5086">
            <w:pPr>
              <w:spacing w:after="120"/>
              <w:jc w:val="center"/>
              <w:rPr>
                <w:sz w:val="18"/>
                <w:szCs w:val="18"/>
              </w:rPr>
            </w:pPr>
            <w:r w:rsidRPr="00F07779">
              <w:rPr>
                <w:color w:val="000000"/>
                <w:sz w:val="18"/>
                <w:szCs w:val="18"/>
              </w:rPr>
              <w:t>0</w:t>
            </w:r>
          </w:p>
        </w:tc>
        <w:tc>
          <w:tcPr>
            <w:tcW w:w="1889" w:type="dxa"/>
          </w:tcPr>
          <w:p w14:paraId="00F1904E" w14:textId="77777777" w:rsidR="0094644B" w:rsidRPr="00FA3F57" w:rsidRDefault="0094644B" w:rsidP="00FB5086">
            <w:pPr>
              <w:spacing w:after="60"/>
              <w:jc w:val="right"/>
              <w:rPr>
                <w:sz w:val="18"/>
                <w:szCs w:val="18"/>
              </w:rPr>
            </w:pPr>
            <w:r w:rsidRPr="00FA3F57">
              <w:rPr>
                <w:sz w:val="18"/>
                <w:szCs w:val="18"/>
              </w:rPr>
              <w:t xml:space="preserve">1,759 </w:t>
            </w:r>
            <w:proofErr w:type="spellStart"/>
            <w:r w:rsidRPr="00FA3F57">
              <w:rPr>
                <w:sz w:val="18"/>
                <w:szCs w:val="18"/>
              </w:rPr>
              <w:t>mn</w:t>
            </w:r>
            <w:proofErr w:type="spellEnd"/>
            <w:r w:rsidRPr="00FA3F57">
              <w:rPr>
                <w:sz w:val="18"/>
                <w:szCs w:val="18"/>
              </w:rPr>
              <w:t xml:space="preserve"> RSD</w:t>
            </w:r>
          </w:p>
          <w:p w14:paraId="4E39AC3E" w14:textId="77777777" w:rsidR="0094644B" w:rsidRPr="00FA3F57" w:rsidRDefault="0094644B" w:rsidP="00FB5086">
            <w:pPr>
              <w:spacing w:after="120"/>
              <w:jc w:val="right"/>
              <w:rPr>
                <w:sz w:val="18"/>
                <w:szCs w:val="18"/>
              </w:rPr>
            </w:pPr>
            <w:r w:rsidRPr="00FA3F57">
              <w:rPr>
                <w:sz w:val="18"/>
                <w:szCs w:val="18"/>
              </w:rPr>
              <w:t xml:space="preserve">15.0 </w:t>
            </w:r>
            <w:proofErr w:type="spellStart"/>
            <w:r w:rsidRPr="00FA3F57">
              <w:rPr>
                <w:sz w:val="18"/>
                <w:szCs w:val="18"/>
              </w:rPr>
              <w:t>mn</w:t>
            </w:r>
            <w:proofErr w:type="spellEnd"/>
            <w:r w:rsidRPr="00FA3F57">
              <w:rPr>
                <w:sz w:val="18"/>
                <w:szCs w:val="18"/>
              </w:rPr>
              <w:t xml:space="preserve"> EUR</w:t>
            </w:r>
          </w:p>
        </w:tc>
        <w:tc>
          <w:tcPr>
            <w:tcW w:w="1812" w:type="dxa"/>
          </w:tcPr>
          <w:p w14:paraId="1591B14D" w14:textId="77777777" w:rsidR="0094644B" w:rsidRPr="00FA3F57" w:rsidRDefault="0094644B" w:rsidP="00FB5086">
            <w:pPr>
              <w:spacing w:after="60"/>
              <w:jc w:val="right"/>
              <w:rPr>
                <w:sz w:val="18"/>
                <w:szCs w:val="18"/>
              </w:rPr>
            </w:pPr>
            <w:r w:rsidRPr="00FA3F57">
              <w:rPr>
                <w:sz w:val="18"/>
                <w:szCs w:val="18"/>
              </w:rPr>
              <w:t xml:space="preserve">158,545 </w:t>
            </w:r>
            <w:proofErr w:type="spellStart"/>
            <w:r w:rsidRPr="00FA3F57">
              <w:rPr>
                <w:sz w:val="18"/>
                <w:szCs w:val="18"/>
              </w:rPr>
              <w:t>mn</w:t>
            </w:r>
            <w:proofErr w:type="spellEnd"/>
            <w:r w:rsidRPr="00FA3F57">
              <w:rPr>
                <w:sz w:val="18"/>
                <w:szCs w:val="18"/>
              </w:rPr>
              <w:t xml:space="preserve"> RSD</w:t>
            </w:r>
          </w:p>
          <w:p w14:paraId="114B8FB2" w14:textId="77777777" w:rsidR="0094644B" w:rsidRPr="00FA3F57" w:rsidRDefault="0094644B" w:rsidP="00FB5086">
            <w:pPr>
              <w:spacing w:after="120"/>
              <w:jc w:val="right"/>
              <w:rPr>
                <w:sz w:val="18"/>
                <w:szCs w:val="18"/>
              </w:rPr>
            </w:pPr>
            <w:r w:rsidRPr="00FA3F57">
              <w:rPr>
                <w:sz w:val="18"/>
                <w:szCs w:val="18"/>
              </w:rPr>
              <w:t xml:space="preserve">1,352.2 </w:t>
            </w:r>
            <w:proofErr w:type="spellStart"/>
            <w:r w:rsidRPr="00FA3F57">
              <w:rPr>
                <w:sz w:val="18"/>
                <w:szCs w:val="18"/>
              </w:rPr>
              <w:t>mn</w:t>
            </w:r>
            <w:proofErr w:type="spellEnd"/>
            <w:r w:rsidRPr="00FA3F57">
              <w:rPr>
                <w:sz w:val="18"/>
                <w:szCs w:val="18"/>
              </w:rPr>
              <w:t xml:space="preserve"> EUR</w:t>
            </w:r>
          </w:p>
        </w:tc>
      </w:tr>
      <w:tr w:rsidR="0094644B" w:rsidRPr="00F07779" w14:paraId="3BEF4D87" w14:textId="77777777" w:rsidTr="00FB5086">
        <w:trPr>
          <w:cantSplit/>
          <w:trHeight w:val="54"/>
        </w:trPr>
        <w:tc>
          <w:tcPr>
            <w:tcW w:w="2423" w:type="dxa"/>
            <w:vMerge/>
          </w:tcPr>
          <w:p w14:paraId="61691C83" w14:textId="77777777" w:rsidR="0094644B" w:rsidRPr="00FA3F57" w:rsidRDefault="0094644B" w:rsidP="00FB5086">
            <w:pPr>
              <w:spacing w:after="120"/>
              <w:rPr>
                <w:sz w:val="20"/>
                <w:szCs w:val="20"/>
              </w:rPr>
            </w:pPr>
          </w:p>
        </w:tc>
        <w:tc>
          <w:tcPr>
            <w:tcW w:w="833" w:type="dxa"/>
            <w:vMerge/>
          </w:tcPr>
          <w:p w14:paraId="1877B60B" w14:textId="77777777" w:rsidR="0094644B" w:rsidRPr="00FA3F57" w:rsidRDefault="0094644B" w:rsidP="00FB5086">
            <w:pPr>
              <w:spacing w:after="120"/>
              <w:jc w:val="center"/>
              <w:rPr>
                <w:sz w:val="20"/>
                <w:szCs w:val="20"/>
              </w:rPr>
            </w:pPr>
          </w:p>
        </w:tc>
        <w:tc>
          <w:tcPr>
            <w:tcW w:w="830" w:type="dxa"/>
            <w:vAlign w:val="center"/>
          </w:tcPr>
          <w:p w14:paraId="438F7F6A" w14:textId="77777777" w:rsidR="0094644B" w:rsidRPr="00FA3F57" w:rsidRDefault="0094644B" w:rsidP="00FB5086">
            <w:pPr>
              <w:spacing w:after="120"/>
              <w:jc w:val="center"/>
              <w:rPr>
                <w:sz w:val="20"/>
                <w:szCs w:val="20"/>
              </w:rPr>
            </w:pPr>
            <w:r w:rsidRPr="00FA3F57">
              <w:rPr>
                <w:sz w:val="20"/>
                <w:szCs w:val="20"/>
              </w:rPr>
              <w:t>2028</w:t>
            </w:r>
          </w:p>
        </w:tc>
        <w:tc>
          <w:tcPr>
            <w:tcW w:w="1889" w:type="dxa"/>
            <w:vAlign w:val="center"/>
          </w:tcPr>
          <w:p w14:paraId="7317E0EB" w14:textId="77777777" w:rsidR="0094644B" w:rsidRPr="00FA3F57" w:rsidRDefault="0094644B" w:rsidP="00FB5086">
            <w:pPr>
              <w:spacing w:after="120"/>
              <w:jc w:val="center"/>
              <w:rPr>
                <w:sz w:val="18"/>
                <w:szCs w:val="18"/>
              </w:rPr>
            </w:pPr>
            <w:r w:rsidRPr="00F07779">
              <w:rPr>
                <w:color w:val="000000"/>
                <w:sz w:val="18"/>
                <w:szCs w:val="18"/>
              </w:rPr>
              <w:t>0</w:t>
            </w:r>
          </w:p>
        </w:tc>
        <w:tc>
          <w:tcPr>
            <w:tcW w:w="1889" w:type="dxa"/>
          </w:tcPr>
          <w:p w14:paraId="761C8849" w14:textId="77777777" w:rsidR="0094644B" w:rsidRPr="00FA3F57" w:rsidRDefault="0094644B" w:rsidP="00FB5086">
            <w:pPr>
              <w:spacing w:after="60"/>
              <w:jc w:val="right"/>
              <w:rPr>
                <w:sz w:val="18"/>
                <w:szCs w:val="18"/>
              </w:rPr>
            </w:pPr>
            <w:r w:rsidRPr="00FA3F57">
              <w:rPr>
                <w:sz w:val="18"/>
                <w:szCs w:val="18"/>
              </w:rPr>
              <w:t xml:space="preserve">1,173 </w:t>
            </w:r>
            <w:proofErr w:type="spellStart"/>
            <w:r w:rsidRPr="00FA3F57">
              <w:rPr>
                <w:sz w:val="18"/>
                <w:szCs w:val="18"/>
              </w:rPr>
              <w:t>mn</w:t>
            </w:r>
            <w:proofErr w:type="spellEnd"/>
            <w:r w:rsidRPr="00FA3F57">
              <w:rPr>
                <w:sz w:val="18"/>
                <w:szCs w:val="18"/>
              </w:rPr>
              <w:t xml:space="preserve"> RSD</w:t>
            </w:r>
          </w:p>
          <w:p w14:paraId="3FA54E88" w14:textId="77777777" w:rsidR="0094644B" w:rsidRPr="00FA3F57" w:rsidRDefault="0094644B" w:rsidP="00FB5086">
            <w:pPr>
              <w:spacing w:after="120"/>
              <w:jc w:val="right"/>
              <w:rPr>
                <w:sz w:val="18"/>
                <w:szCs w:val="18"/>
              </w:rPr>
            </w:pPr>
            <w:r w:rsidRPr="00FA3F57">
              <w:rPr>
                <w:sz w:val="18"/>
                <w:szCs w:val="18"/>
              </w:rPr>
              <w:t xml:space="preserve">10.0 </w:t>
            </w:r>
            <w:proofErr w:type="spellStart"/>
            <w:r w:rsidRPr="00FA3F57">
              <w:rPr>
                <w:sz w:val="18"/>
                <w:szCs w:val="18"/>
              </w:rPr>
              <w:t>mn</w:t>
            </w:r>
            <w:proofErr w:type="spellEnd"/>
            <w:r w:rsidRPr="00FA3F57">
              <w:rPr>
                <w:sz w:val="18"/>
                <w:szCs w:val="18"/>
              </w:rPr>
              <w:t xml:space="preserve"> EUR</w:t>
            </w:r>
          </w:p>
        </w:tc>
        <w:tc>
          <w:tcPr>
            <w:tcW w:w="1812" w:type="dxa"/>
          </w:tcPr>
          <w:p w14:paraId="43C2948B" w14:textId="77777777" w:rsidR="0094644B" w:rsidRPr="00FA3F57" w:rsidRDefault="0094644B" w:rsidP="00FB5086">
            <w:pPr>
              <w:spacing w:after="60"/>
              <w:jc w:val="right"/>
              <w:rPr>
                <w:sz w:val="18"/>
                <w:szCs w:val="18"/>
              </w:rPr>
            </w:pPr>
            <w:r w:rsidRPr="00F07779">
              <w:rPr>
                <w:color w:val="000000"/>
                <w:sz w:val="18"/>
                <w:szCs w:val="18"/>
              </w:rPr>
              <w:t xml:space="preserve">111,329 </w:t>
            </w:r>
            <w:proofErr w:type="spellStart"/>
            <w:r w:rsidRPr="00FA3F57">
              <w:rPr>
                <w:sz w:val="18"/>
                <w:szCs w:val="18"/>
              </w:rPr>
              <w:t>mn</w:t>
            </w:r>
            <w:proofErr w:type="spellEnd"/>
            <w:r w:rsidRPr="00FA3F57">
              <w:rPr>
                <w:sz w:val="18"/>
                <w:szCs w:val="18"/>
              </w:rPr>
              <w:t xml:space="preserve"> RSD</w:t>
            </w:r>
          </w:p>
          <w:p w14:paraId="1AC969DF" w14:textId="77777777" w:rsidR="0094644B" w:rsidRPr="00FA3F57" w:rsidRDefault="0094644B" w:rsidP="00FB5086">
            <w:pPr>
              <w:spacing w:after="120"/>
              <w:jc w:val="right"/>
              <w:rPr>
                <w:sz w:val="18"/>
                <w:szCs w:val="18"/>
              </w:rPr>
            </w:pPr>
            <w:r w:rsidRPr="00FA3F57">
              <w:rPr>
                <w:sz w:val="18"/>
                <w:szCs w:val="18"/>
              </w:rPr>
              <w:t xml:space="preserve">949.5 </w:t>
            </w:r>
            <w:proofErr w:type="spellStart"/>
            <w:r w:rsidRPr="00FA3F57">
              <w:rPr>
                <w:sz w:val="18"/>
                <w:szCs w:val="18"/>
              </w:rPr>
              <w:t>mn</w:t>
            </w:r>
            <w:proofErr w:type="spellEnd"/>
            <w:r w:rsidRPr="00FA3F57">
              <w:rPr>
                <w:sz w:val="18"/>
                <w:szCs w:val="18"/>
              </w:rPr>
              <w:t xml:space="preserve"> EUR</w:t>
            </w:r>
          </w:p>
        </w:tc>
      </w:tr>
      <w:tr w:rsidR="0094644B" w:rsidRPr="00F07779" w14:paraId="5A8AF6F2" w14:textId="77777777" w:rsidTr="00FB5086">
        <w:trPr>
          <w:cantSplit/>
          <w:trHeight w:val="93"/>
        </w:trPr>
        <w:tc>
          <w:tcPr>
            <w:tcW w:w="2423" w:type="dxa"/>
            <w:vMerge w:val="restart"/>
          </w:tcPr>
          <w:p w14:paraId="667E12C0" w14:textId="77777777" w:rsidR="0094644B" w:rsidRPr="00FA3F57" w:rsidRDefault="0094644B" w:rsidP="00FB5086">
            <w:pPr>
              <w:spacing w:after="120"/>
              <w:rPr>
                <w:sz w:val="20"/>
                <w:szCs w:val="20"/>
              </w:rPr>
            </w:pPr>
            <w:r w:rsidRPr="00FA3F57">
              <w:rPr>
                <w:sz w:val="20"/>
                <w:szCs w:val="20"/>
              </w:rPr>
              <w:t>EL5 Development of transmission and distribution networks to enable the greatest possible integration of RES</w:t>
            </w:r>
          </w:p>
        </w:tc>
        <w:tc>
          <w:tcPr>
            <w:tcW w:w="833" w:type="dxa"/>
            <w:vMerge w:val="restart"/>
          </w:tcPr>
          <w:p w14:paraId="0DA2405F" w14:textId="77777777" w:rsidR="0094644B" w:rsidRPr="00FA3F57" w:rsidRDefault="0094644B" w:rsidP="00FB5086">
            <w:pPr>
              <w:spacing w:after="120"/>
              <w:jc w:val="center"/>
              <w:rPr>
                <w:sz w:val="20"/>
                <w:szCs w:val="20"/>
              </w:rPr>
            </w:pPr>
            <w:r w:rsidRPr="00FA3F57">
              <w:rPr>
                <w:sz w:val="20"/>
                <w:szCs w:val="20"/>
              </w:rPr>
              <w:t>Inv</w:t>
            </w:r>
          </w:p>
        </w:tc>
        <w:tc>
          <w:tcPr>
            <w:tcW w:w="830" w:type="dxa"/>
            <w:vAlign w:val="center"/>
          </w:tcPr>
          <w:p w14:paraId="248C3037" w14:textId="77777777" w:rsidR="0094644B" w:rsidRPr="00FA3F57" w:rsidRDefault="0094644B" w:rsidP="00FB5086">
            <w:pPr>
              <w:spacing w:after="120"/>
              <w:jc w:val="center"/>
              <w:rPr>
                <w:sz w:val="20"/>
                <w:szCs w:val="20"/>
              </w:rPr>
            </w:pPr>
            <w:r w:rsidRPr="00FA3F57">
              <w:rPr>
                <w:sz w:val="20"/>
                <w:szCs w:val="20"/>
              </w:rPr>
              <w:t>2026</w:t>
            </w:r>
          </w:p>
        </w:tc>
        <w:tc>
          <w:tcPr>
            <w:tcW w:w="1889" w:type="dxa"/>
            <w:vAlign w:val="center"/>
          </w:tcPr>
          <w:p w14:paraId="31226E32" w14:textId="77777777" w:rsidR="0094644B" w:rsidRPr="00FA3F57" w:rsidRDefault="0094644B" w:rsidP="00FB5086">
            <w:pPr>
              <w:spacing w:after="60"/>
              <w:jc w:val="center"/>
              <w:rPr>
                <w:sz w:val="18"/>
                <w:szCs w:val="18"/>
              </w:rPr>
            </w:pPr>
            <w:r w:rsidRPr="00F07779">
              <w:rPr>
                <w:color w:val="000000"/>
                <w:sz w:val="18"/>
                <w:szCs w:val="18"/>
              </w:rPr>
              <w:t>0</w:t>
            </w:r>
          </w:p>
        </w:tc>
        <w:tc>
          <w:tcPr>
            <w:tcW w:w="1889" w:type="dxa"/>
          </w:tcPr>
          <w:p w14:paraId="10EA4132" w14:textId="77777777" w:rsidR="0094644B" w:rsidRPr="00FA3F57" w:rsidRDefault="0094644B" w:rsidP="00FB5086">
            <w:pPr>
              <w:spacing w:after="60"/>
              <w:jc w:val="right"/>
              <w:rPr>
                <w:sz w:val="18"/>
                <w:szCs w:val="18"/>
              </w:rPr>
            </w:pPr>
            <w:r w:rsidRPr="00FA3F57">
              <w:rPr>
                <w:sz w:val="18"/>
                <w:szCs w:val="18"/>
              </w:rPr>
              <w:t>2,382.7</w:t>
            </w:r>
            <w:r w:rsidRPr="00FA3F57" w:rsidDel="00982A28">
              <w:rPr>
                <w:sz w:val="18"/>
                <w:szCs w:val="18"/>
              </w:rPr>
              <w:t xml:space="preserve"> </w:t>
            </w:r>
            <w:proofErr w:type="spellStart"/>
            <w:r w:rsidRPr="00FA3F57">
              <w:rPr>
                <w:sz w:val="18"/>
                <w:szCs w:val="18"/>
              </w:rPr>
              <w:t>mn</w:t>
            </w:r>
            <w:proofErr w:type="spellEnd"/>
            <w:r w:rsidRPr="00FA3F57">
              <w:rPr>
                <w:sz w:val="18"/>
                <w:szCs w:val="18"/>
              </w:rPr>
              <w:t xml:space="preserve"> RSD</w:t>
            </w:r>
          </w:p>
          <w:p w14:paraId="05D3C427" w14:textId="77777777" w:rsidR="0094644B" w:rsidRPr="00FA3F57" w:rsidRDefault="0094644B" w:rsidP="00FB5086">
            <w:pPr>
              <w:spacing w:after="60"/>
              <w:jc w:val="right"/>
              <w:rPr>
                <w:sz w:val="18"/>
                <w:szCs w:val="18"/>
              </w:rPr>
            </w:pPr>
            <w:r w:rsidRPr="00FA3F57">
              <w:rPr>
                <w:sz w:val="18"/>
                <w:szCs w:val="18"/>
              </w:rPr>
              <w:t xml:space="preserve">20.32 </w:t>
            </w:r>
            <w:proofErr w:type="spellStart"/>
            <w:r w:rsidRPr="00FA3F57">
              <w:rPr>
                <w:sz w:val="18"/>
                <w:szCs w:val="18"/>
              </w:rPr>
              <w:t>mn</w:t>
            </w:r>
            <w:proofErr w:type="spellEnd"/>
            <w:r w:rsidRPr="00FA3F57">
              <w:rPr>
                <w:sz w:val="18"/>
                <w:szCs w:val="18"/>
              </w:rPr>
              <w:t xml:space="preserve"> EUR</w:t>
            </w:r>
          </w:p>
        </w:tc>
        <w:tc>
          <w:tcPr>
            <w:tcW w:w="1812" w:type="dxa"/>
            <w:vAlign w:val="center"/>
          </w:tcPr>
          <w:p w14:paraId="2818CD5B" w14:textId="77777777" w:rsidR="0094644B" w:rsidRPr="00FA3F57" w:rsidRDefault="0094644B" w:rsidP="00FB5086">
            <w:pPr>
              <w:spacing w:after="120"/>
              <w:jc w:val="center"/>
              <w:rPr>
                <w:sz w:val="18"/>
                <w:szCs w:val="18"/>
              </w:rPr>
            </w:pPr>
            <w:r w:rsidRPr="00FA3F57">
              <w:rPr>
                <w:sz w:val="18"/>
                <w:szCs w:val="18"/>
              </w:rPr>
              <w:t>0</w:t>
            </w:r>
          </w:p>
        </w:tc>
      </w:tr>
      <w:tr w:rsidR="0094644B" w:rsidRPr="00F07779" w14:paraId="438FFA44" w14:textId="77777777" w:rsidTr="00FB5086">
        <w:trPr>
          <w:cantSplit/>
          <w:trHeight w:val="92"/>
        </w:trPr>
        <w:tc>
          <w:tcPr>
            <w:tcW w:w="2423" w:type="dxa"/>
            <w:vMerge/>
          </w:tcPr>
          <w:p w14:paraId="2030886B" w14:textId="77777777" w:rsidR="0094644B" w:rsidRPr="00FA3F57" w:rsidRDefault="0094644B" w:rsidP="00FB5086">
            <w:pPr>
              <w:spacing w:after="120"/>
              <w:rPr>
                <w:sz w:val="20"/>
                <w:szCs w:val="20"/>
              </w:rPr>
            </w:pPr>
          </w:p>
        </w:tc>
        <w:tc>
          <w:tcPr>
            <w:tcW w:w="833" w:type="dxa"/>
            <w:vMerge/>
          </w:tcPr>
          <w:p w14:paraId="00EE36EF" w14:textId="77777777" w:rsidR="0094644B" w:rsidRPr="00FA3F57" w:rsidRDefault="0094644B" w:rsidP="00FB5086">
            <w:pPr>
              <w:spacing w:after="120"/>
              <w:jc w:val="center"/>
              <w:rPr>
                <w:sz w:val="20"/>
                <w:szCs w:val="20"/>
              </w:rPr>
            </w:pPr>
          </w:p>
        </w:tc>
        <w:tc>
          <w:tcPr>
            <w:tcW w:w="830" w:type="dxa"/>
            <w:vAlign w:val="center"/>
          </w:tcPr>
          <w:p w14:paraId="4DBE1BEE" w14:textId="77777777" w:rsidR="0094644B" w:rsidRPr="00FA3F57" w:rsidRDefault="0094644B" w:rsidP="00FB5086">
            <w:pPr>
              <w:spacing w:after="120"/>
              <w:jc w:val="center"/>
              <w:rPr>
                <w:sz w:val="20"/>
                <w:szCs w:val="20"/>
              </w:rPr>
            </w:pPr>
            <w:r w:rsidRPr="00FA3F57">
              <w:rPr>
                <w:sz w:val="20"/>
                <w:szCs w:val="20"/>
              </w:rPr>
              <w:t>2027</w:t>
            </w:r>
          </w:p>
        </w:tc>
        <w:tc>
          <w:tcPr>
            <w:tcW w:w="1889" w:type="dxa"/>
            <w:vAlign w:val="center"/>
          </w:tcPr>
          <w:p w14:paraId="114260A4" w14:textId="77777777" w:rsidR="0094644B" w:rsidRPr="00FA3F57" w:rsidRDefault="0094644B" w:rsidP="00FB5086">
            <w:pPr>
              <w:spacing w:after="60"/>
              <w:jc w:val="center"/>
              <w:rPr>
                <w:sz w:val="18"/>
                <w:szCs w:val="18"/>
              </w:rPr>
            </w:pPr>
            <w:r w:rsidRPr="00F07779">
              <w:rPr>
                <w:color w:val="000000"/>
                <w:sz w:val="18"/>
                <w:szCs w:val="18"/>
              </w:rPr>
              <w:t>0</w:t>
            </w:r>
          </w:p>
        </w:tc>
        <w:tc>
          <w:tcPr>
            <w:tcW w:w="1889" w:type="dxa"/>
          </w:tcPr>
          <w:p w14:paraId="3A823717" w14:textId="77777777" w:rsidR="0094644B" w:rsidRPr="00FA3F57" w:rsidRDefault="0094644B" w:rsidP="00FB5086">
            <w:pPr>
              <w:spacing w:after="60"/>
              <w:jc w:val="right"/>
              <w:rPr>
                <w:sz w:val="18"/>
                <w:szCs w:val="18"/>
              </w:rPr>
            </w:pPr>
            <w:r w:rsidRPr="00FA3F57">
              <w:rPr>
                <w:sz w:val="18"/>
                <w:szCs w:val="18"/>
              </w:rPr>
              <w:t xml:space="preserve">909.4 </w:t>
            </w:r>
            <w:proofErr w:type="spellStart"/>
            <w:r w:rsidRPr="00FA3F57">
              <w:rPr>
                <w:sz w:val="18"/>
                <w:szCs w:val="18"/>
              </w:rPr>
              <w:t>mn</w:t>
            </w:r>
            <w:proofErr w:type="spellEnd"/>
            <w:r w:rsidRPr="00FA3F57">
              <w:rPr>
                <w:sz w:val="18"/>
                <w:szCs w:val="18"/>
              </w:rPr>
              <w:t xml:space="preserve"> RSD</w:t>
            </w:r>
          </w:p>
          <w:p w14:paraId="30883A15" w14:textId="77777777" w:rsidR="0094644B" w:rsidRPr="00FA3F57" w:rsidRDefault="0094644B" w:rsidP="00FB5086">
            <w:pPr>
              <w:spacing w:after="60"/>
              <w:jc w:val="right"/>
              <w:rPr>
                <w:sz w:val="18"/>
                <w:szCs w:val="18"/>
              </w:rPr>
            </w:pPr>
            <w:r w:rsidRPr="00FA3F57">
              <w:rPr>
                <w:sz w:val="18"/>
                <w:szCs w:val="18"/>
              </w:rPr>
              <w:t xml:space="preserve">7.76 </w:t>
            </w:r>
            <w:proofErr w:type="spellStart"/>
            <w:r w:rsidRPr="00FA3F57">
              <w:rPr>
                <w:sz w:val="18"/>
                <w:szCs w:val="18"/>
              </w:rPr>
              <w:t>mn</w:t>
            </w:r>
            <w:proofErr w:type="spellEnd"/>
            <w:r w:rsidRPr="00FA3F57">
              <w:rPr>
                <w:sz w:val="18"/>
                <w:szCs w:val="18"/>
              </w:rPr>
              <w:t xml:space="preserve"> EUR</w:t>
            </w:r>
          </w:p>
        </w:tc>
        <w:tc>
          <w:tcPr>
            <w:tcW w:w="1812" w:type="dxa"/>
            <w:vAlign w:val="center"/>
          </w:tcPr>
          <w:p w14:paraId="75291177" w14:textId="77777777" w:rsidR="0094644B" w:rsidRPr="00FA3F57" w:rsidRDefault="0094644B" w:rsidP="00FB5086">
            <w:pPr>
              <w:spacing w:after="120"/>
              <w:jc w:val="center"/>
              <w:rPr>
                <w:sz w:val="18"/>
                <w:szCs w:val="18"/>
              </w:rPr>
            </w:pPr>
            <w:r w:rsidRPr="00FA3F57">
              <w:rPr>
                <w:sz w:val="18"/>
                <w:szCs w:val="18"/>
              </w:rPr>
              <w:t>0</w:t>
            </w:r>
          </w:p>
        </w:tc>
      </w:tr>
      <w:tr w:rsidR="0094644B" w:rsidRPr="00F07779" w14:paraId="6DD2761D" w14:textId="77777777" w:rsidTr="00FB5086">
        <w:trPr>
          <w:cantSplit/>
          <w:trHeight w:val="92"/>
        </w:trPr>
        <w:tc>
          <w:tcPr>
            <w:tcW w:w="2423" w:type="dxa"/>
            <w:vMerge/>
          </w:tcPr>
          <w:p w14:paraId="0580DC3F" w14:textId="77777777" w:rsidR="0094644B" w:rsidRPr="00FA3F57" w:rsidRDefault="0094644B" w:rsidP="00FB5086">
            <w:pPr>
              <w:spacing w:after="120"/>
              <w:rPr>
                <w:sz w:val="20"/>
                <w:szCs w:val="20"/>
              </w:rPr>
            </w:pPr>
          </w:p>
        </w:tc>
        <w:tc>
          <w:tcPr>
            <w:tcW w:w="833" w:type="dxa"/>
            <w:vMerge/>
          </w:tcPr>
          <w:p w14:paraId="3B8E12B0" w14:textId="77777777" w:rsidR="0094644B" w:rsidRPr="00FA3F57" w:rsidRDefault="0094644B" w:rsidP="00FB5086">
            <w:pPr>
              <w:spacing w:after="120"/>
              <w:jc w:val="center"/>
              <w:rPr>
                <w:sz w:val="20"/>
                <w:szCs w:val="20"/>
              </w:rPr>
            </w:pPr>
          </w:p>
        </w:tc>
        <w:tc>
          <w:tcPr>
            <w:tcW w:w="830" w:type="dxa"/>
            <w:vAlign w:val="center"/>
          </w:tcPr>
          <w:p w14:paraId="546FAD72" w14:textId="77777777" w:rsidR="0094644B" w:rsidRPr="00FA3F57" w:rsidRDefault="0094644B" w:rsidP="00FB5086">
            <w:pPr>
              <w:spacing w:after="120"/>
              <w:jc w:val="center"/>
              <w:rPr>
                <w:sz w:val="20"/>
                <w:szCs w:val="20"/>
              </w:rPr>
            </w:pPr>
            <w:r w:rsidRPr="00FA3F57">
              <w:rPr>
                <w:sz w:val="20"/>
                <w:szCs w:val="20"/>
              </w:rPr>
              <w:t>2028</w:t>
            </w:r>
          </w:p>
        </w:tc>
        <w:tc>
          <w:tcPr>
            <w:tcW w:w="1889" w:type="dxa"/>
            <w:vAlign w:val="center"/>
          </w:tcPr>
          <w:p w14:paraId="5B5DE181" w14:textId="77777777" w:rsidR="0094644B" w:rsidRPr="00FA3F57" w:rsidRDefault="0094644B" w:rsidP="00FB5086">
            <w:pPr>
              <w:spacing w:after="60"/>
              <w:jc w:val="center"/>
              <w:rPr>
                <w:sz w:val="18"/>
                <w:szCs w:val="18"/>
              </w:rPr>
            </w:pPr>
            <w:r w:rsidRPr="00F07779">
              <w:rPr>
                <w:color w:val="000000"/>
                <w:sz w:val="18"/>
                <w:szCs w:val="18"/>
              </w:rPr>
              <w:t>0</w:t>
            </w:r>
          </w:p>
        </w:tc>
        <w:tc>
          <w:tcPr>
            <w:tcW w:w="1889" w:type="dxa"/>
          </w:tcPr>
          <w:p w14:paraId="3BA0EBB4" w14:textId="77777777" w:rsidR="0094644B" w:rsidRPr="00FA3F57" w:rsidRDefault="0094644B" w:rsidP="00FB5086">
            <w:pPr>
              <w:spacing w:after="60"/>
              <w:jc w:val="right"/>
              <w:rPr>
                <w:sz w:val="18"/>
                <w:szCs w:val="18"/>
              </w:rPr>
            </w:pPr>
            <w:r w:rsidRPr="00FA3F57">
              <w:rPr>
                <w:sz w:val="18"/>
                <w:szCs w:val="18"/>
              </w:rPr>
              <w:t xml:space="preserve">1,293.7 </w:t>
            </w:r>
            <w:proofErr w:type="spellStart"/>
            <w:r w:rsidRPr="00FA3F57">
              <w:rPr>
                <w:sz w:val="18"/>
                <w:szCs w:val="18"/>
              </w:rPr>
              <w:t>mn</w:t>
            </w:r>
            <w:proofErr w:type="spellEnd"/>
            <w:r w:rsidRPr="00FA3F57">
              <w:rPr>
                <w:sz w:val="18"/>
                <w:szCs w:val="18"/>
              </w:rPr>
              <w:t xml:space="preserve"> RSD</w:t>
            </w:r>
          </w:p>
          <w:p w14:paraId="277F2A10" w14:textId="77777777" w:rsidR="0094644B" w:rsidRPr="00FA3F57" w:rsidRDefault="0094644B" w:rsidP="00FB5086">
            <w:pPr>
              <w:spacing w:after="60"/>
              <w:jc w:val="right"/>
              <w:rPr>
                <w:sz w:val="18"/>
                <w:szCs w:val="18"/>
              </w:rPr>
            </w:pPr>
            <w:r w:rsidRPr="00FA3F57">
              <w:rPr>
                <w:sz w:val="18"/>
                <w:szCs w:val="18"/>
              </w:rPr>
              <w:t xml:space="preserve">11.03 </w:t>
            </w:r>
            <w:proofErr w:type="spellStart"/>
            <w:r w:rsidRPr="00FA3F57">
              <w:rPr>
                <w:sz w:val="18"/>
                <w:szCs w:val="18"/>
              </w:rPr>
              <w:t>mn</w:t>
            </w:r>
            <w:proofErr w:type="spellEnd"/>
            <w:r w:rsidRPr="00FA3F57">
              <w:rPr>
                <w:sz w:val="18"/>
                <w:szCs w:val="18"/>
              </w:rPr>
              <w:t xml:space="preserve"> EUR</w:t>
            </w:r>
          </w:p>
        </w:tc>
        <w:tc>
          <w:tcPr>
            <w:tcW w:w="1812" w:type="dxa"/>
            <w:vAlign w:val="center"/>
          </w:tcPr>
          <w:p w14:paraId="547D8133" w14:textId="77777777" w:rsidR="0094644B" w:rsidRPr="00FA3F57" w:rsidRDefault="0094644B" w:rsidP="00FB5086">
            <w:pPr>
              <w:spacing w:after="120"/>
              <w:jc w:val="center"/>
              <w:rPr>
                <w:sz w:val="18"/>
                <w:szCs w:val="18"/>
              </w:rPr>
            </w:pPr>
            <w:r w:rsidRPr="00FA3F57">
              <w:rPr>
                <w:sz w:val="18"/>
                <w:szCs w:val="18"/>
              </w:rPr>
              <w:t>0</w:t>
            </w:r>
          </w:p>
        </w:tc>
      </w:tr>
      <w:tr w:rsidR="0094644B" w:rsidRPr="00F07779" w14:paraId="1A2F38D2" w14:textId="77777777" w:rsidTr="00FB5086">
        <w:trPr>
          <w:cantSplit/>
          <w:trHeight w:val="93"/>
        </w:trPr>
        <w:tc>
          <w:tcPr>
            <w:tcW w:w="2423" w:type="dxa"/>
            <w:vMerge w:val="restart"/>
          </w:tcPr>
          <w:p w14:paraId="3E0A28A7" w14:textId="77777777" w:rsidR="0094644B" w:rsidRPr="00FA3F57" w:rsidRDefault="0094644B" w:rsidP="00FB5086">
            <w:pPr>
              <w:spacing w:after="120"/>
              <w:rPr>
                <w:sz w:val="20"/>
                <w:szCs w:val="20"/>
              </w:rPr>
            </w:pPr>
            <w:r w:rsidRPr="00FA3F57">
              <w:rPr>
                <w:sz w:val="20"/>
                <w:szCs w:val="20"/>
              </w:rPr>
              <w:lastRenderedPageBreak/>
              <w:t>EL6 Increase in electricity production from domestic power plants</w:t>
            </w:r>
          </w:p>
        </w:tc>
        <w:tc>
          <w:tcPr>
            <w:tcW w:w="833" w:type="dxa"/>
            <w:vMerge w:val="restart"/>
          </w:tcPr>
          <w:p w14:paraId="26C65AB9" w14:textId="77777777" w:rsidR="0094644B" w:rsidRPr="00FA3F57" w:rsidRDefault="0094644B" w:rsidP="00FB5086">
            <w:pPr>
              <w:spacing w:after="120"/>
              <w:jc w:val="center"/>
              <w:rPr>
                <w:sz w:val="20"/>
                <w:szCs w:val="20"/>
              </w:rPr>
            </w:pPr>
            <w:r w:rsidRPr="00FA3F57">
              <w:rPr>
                <w:sz w:val="20"/>
                <w:szCs w:val="20"/>
              </w:rPr>
              <w:t>Inv</w:t>
            </w:r>
          </w:p>
        </w:tc>
        <w:tc>
          <w:tcPr>
            <w:tcW w:w="830" w:type="dxa"/>
            <w:vAlign w:val="center"/>
          </w:tcPr>
          <w:p w14:paraId="22932CB2" w14:textId="77777777" w:rsidR="0094644B" w:rsidRPr="00FA3F57" w:rsidRDefault="0094644B" w:rsidP="00FB5086">
            <w:pPr>
              <w:spacing w:after="120"/>
              <w:jc w:val="center"/>
              <w:rPr>
                <w:sz w:val="20"/>
                <w:szCs w:val="20"/>
              </w:rPr>
            </w:pPr>
            <w:r w:rsidRPr="00FA3F57">
              <w:rPr>
                <w:sz w:val="20"/>
                <w:szCs w:val="20"/>
              </w:rPr>
              <w:t>2026</w:t>
            </w:r>
          </w:p>
        </w:tc>
        <w:tc>
          <w:tcPr>
            <w:tcW w:w="1889" w:type="dxa"/>
            <w:vAlign w:val="center"/>
          </w:tcPr>
          <w:p w14:paraId="03267911" w14:textId="77777777" w:rsidR="0094644B" w:rsidRPr="00FA3F57" w:rsidRDefault="0094644B" w:rsidP="00FB5086">
            <w:pPr>
              <w:spacing w:after="120"/>
              <w:jc w:val="center"/>
              <w:rPr>
                <w:sz w:val="18"/>
                <w:szCs w:val="18"/>
              </w:rPr>
            </w:pPr>
            <w:r w:rsidRPr="00FA3F57">
              <w:rPr>
                <w:sz w:val="18"/>
                <w:szCs w:val="18"/>
              </w:rPr>
              <w:t>0</w:t>
            </w:r>
          </w:p>
        </w:tc>
        <w:tc>
          <w:tcPr>
            <w:tcW w:w="1889" w:type="dxa"/>
          </w:tcPr>
          <w:p w14:paraId="75FF30D4" w14:textId="77777777" w:rsidR="0094644B" w:rsidRPr="00FA3F57" w:rsidRDefault="0094644B" w:rsidP="00FB5086">
            <w:pPr>
              <w:spacing w:after="60"/>
              <w:jc w:val="right"/>
              <w:rPr>
                <w:sz w:val="18"/>
                <w:szCs w:val="18"/>
              </w:rPr>
            </w:pPr>
            <w:r w:rsidRPr="00FA3F57">
              <w:rPr>
                <w:sz w:val="18"/>
                <w:szCs w:val="18"/>
              </w:rPr>
              <w:t xml:space="preserve">1,236.9 </w:t>
            </w:r>
            <w:proofErr w:type="spellStart"/>
            <w:r w:rsidRPr="00FA3F57">
              <w:rPr>
                <w:sz w:val="18"/>
                <w:szCs w:val="18"/>
              </w:rPr>
              <w:t>mn</w:t>
            </w:r>
            <w:proofErr w:type="spellEnd"/>
            <w:r w:rsidRPr="00FA3F57">
              <w:rPr>
                <w:sz w:val="18"/>
                <w:szCs w:val="18"/>
              </w:rPr>
              <w:t xml:space="preserve"> RSD</w:t>
            </w:r>
          </w:p>
          <w:p w14:paraId="5A0122F0" w14:textId="77777777" w:rsidR="0094644B" w:rsidRPr="00FA3F57" w:rsidRDefault="0094644B" w:rsidP="00FB5086">
            <w:pPr>
              <w:spacing w:after="60"/>
              <w:jc w:val="right"/>
              <w:rPr>
                <w:sz w:val="18"/>
                <w:szCs w:val="18"/>
              </w:rPr>
            </w:pPr>
            <w:r w:rsidRPr="00FA3F57">
              <w:rPr>
                <w:sz w:val="18"/>
                <w:szCs w:val="18"/>
              </w:rPr>
              <w:t xml:space="preserve">10.55 </w:t>
            </w:r>
            <w:proofErr w:type="spellStart"/>
            <w:r w:rsidRPr="00FA3F57">
              <w:rPr>
                <w:sz w:val="18"/>
                <w:szCs w:val="18"/>
              </w:rPr>
              <w:t>mn</w:t>
            </w:r>
            <w:proofErr w:type="spellEnd"/>
            <w:r w:rsidRPr="00FA3F57">
              <w:rPr>
                <w:sz w:val="18"/>
                <w:szCs w:val="18"/>
              </w:rPr>
              <w:t xml:space="preserve"> EUR</w:t>
            </w:r>
          </w:p>
        </w:tc>
        <w:tc>
          <w:tcPr>
            <w:tcW w:w="1812" w:type="dxa"/>
            <w:vAlign w:val="center"/>
          </w:tcPr>
          <w:p w14:paraId="78A62D92" w14:textId="77777777" w:rsidR="0094644B" w:rsidRPr="00FA3F57" w:rsidRDefault="0094644B" w:rsidP="00FB5086">
            <w:pPr>
              <w:spacing w:after="120"/>
              <w:jc w:val="center"/>
              <w:rPr>
                <w:sz w:val="18"/>
                <w:szCs w:val="18"/>
              </w:rPr>
            </w:pPr>
            <w:r w:rsidRPr="00FA3F57">
              <w:rPr>
                <w:sz w:val="18"/>
                <w:szCs w:val="18"/>
              </w:rPr>
              <w:t>0</w:t>
            </w:r>
          </w:p>
        </w:tc>
      </w:tr>
      <w:tr w:rsidR="0094644B" w:rsidRPr="00F07779" w14:paraId="559C67EA" w14:textId="77777777" w:rsidTr="00FB5086">
        <w:trPr>
          <w:cantSplit/>
          <w:trHeight w:val="92"/>
        </w:trPr>
        <w:tc>
          <w:tcPr>
            <w:tcW w:w="2423" w:type="dxa"/>
            <w:vMerge/>
          </w:tcPr>
          <w:p w14:paraId="20A390A8" w14:textId="77777777" w:rsidR="0094644B" w:rsidRPr="00FA3F57" w:rsidRDefault="0094644B" w:rsidP="00FB5086">
            <w:pPr>
              <w:spacing w:after="120"/>
              <w:rPr>
                <w:sz w:val="20"/>
                <w:szCs w:val="20"/>
              </w:rPr>
            </w:pPr>
          </w:p>
        </w:tc>
        <w:tc>
          <w:tcPr>
            <w:tcW w:w="833" w:type="dxa"/>
            <w:vMerge/>
          </w:tcPr>
          <w:p w14:paraId="3DF131A2" w14:textId="77777777" w:rsidR="0094644B" w:rsidRPr="00FA3F57" w:rsidRDefault="0094644B" w:rsidP="00FB5086">
            <w:pPr>
              <w:spacing w:after="120"/>
              <w:jc w:val="center"/>
              <w:rPr>
                <w:sz w:val="20"/>
                <w:szCs w:val="20"/>
              </w:rPr>
            </w:pPr>
          </w:p>
        </w:tc>
        <w:tc>
          <w:tcPr>
            <w:tcW w:w="830" w:type="dxa"/>
            <w:vAlign w:val="center"/>
          </w:tcPr>
          <w:p w14:paraId="6909DAF5" w14:textId="77777777" w:rsidR="0094644B" w:rsidRPr="00FA3F57" w:rsidRDefault="0094644B" w:rsidP="00FB5086">
            <w:pPr>
              <w:spacing w:after="120"/>
              <w:jc w:val="center"/>
              <w:rPr>
                <w:sz w:val="20"/>
                <w:szCs w:val="20"/>
              </w:rPr>
            </w:pPr>
            <w:r w:rsidRPr="00FA3F57">
              <w:rPr>
                <w:sz w:val="20"/>
                <w:szCs w:val="20"/>
              </w:rPr>
              <w:t>2027</w:t>
            </w:r>
          </w:p>
        </w:tc>
        <w:tc>
          <w:tcPr>
            <w:tcW w:w="1889" w:type="dxa"/>
            <w:vAlign w:val="center"/>
          </w:tcPr>
          <w:p w14:paraId="3A21D14E" w14:textId="77777777" w:rsidR="0094644B" w:rsidRPr="00FA3F57" w:rsidRDefault="0094644B" w:rsidP="00FB5086">
            <w:pPr>
              <w:spacing w:after="120"/>
              <w:jc w:val="center"/>
              <w:rPr>
                <w:sz w:val="18"/>
                <w:szCs w:val="18"/>
              </w:rPr>
            </w:pPr>
            <w:r w:rsidRPr="00FA3F57">
              <w:rPr>
                <w:sz w:val="18"/>
                <w:szCs w:val="18"/>
              </w:rPr>
              <w:t>0</w:t>
            </w:r>
          </w:p>
        </w:tc>
        <w:tc>
          <w:tcPr>
            <w:tcW w:w="1889" w:type="dxa"/>
          </w:tcPr>
          <w:p w14:paraId="3E67712E" w14:textId="77777777" w:rsidR="0094644B" w:rsidRPr="00FA3F57" w:rsidRDefault="0094644B" w:rsidP="00FB5086">
            <w:pPr>
              <w:spacing w:after="60"/>
              <w:jc w:val="right"/>
              <w:rPr>
                <w:sz w:val="18"/>
                <w:szCs w:val="18"/>
              </w:rPr>
            </w:pPr>
            <w:r w:rsidRPr="00FA3F57">
              <w:rPr>
                <w:sz w:val="18"/>
                <w:szCs w:val="18"/>
              </w:rPr>
              <w:t xml:space="preserve">2,760.9 </w:t>
            </w:r>
            <w:proofErr w:type="spellStart"/>
            <w:r w:rsidRPr="00FA3F57">
              <w:rPr>
                <w:sz w:val="18"/>
                <w:szCs w:val="18"/>
              </w:rPr>
              <w:t>mn</w:t>
            </w:r>
            <w:proofErr w:type="spellEnd"/>
            <w:r w:rsidRPr="00FA3F57">
              <w:rPr>
                <w:sz w:val="18"/>
                <w:szCs w:val="18"/>
              </w:rPr>
              <w:t xml:space="preserve"> RSD</w:t>
            </w:r>
          </w:p>
          <w:p w14:paraId="216DD55E" w14:textId="77777777" w:rsidR="0094644B" w:rsidRPr="00FA3F57" w:rsidRDefault="0094644B" w:rsidP="00FB5086">
            <w:pPr>
              <w:spacing w:after="60"/>
              <w:jc w:val="right"/>
              <w:rPr>
                <w:sz w:val="18"/>
                <w:szCs w:val="18"/>
              </w:rPr>
            </w:pPr>
            <w:r w:rsidRPr="00FA3F57">
              <w:rPr>
                <w:sz w:val="18"/>
                <w:szCs w:val="18"/>
              </w:rPr>
              <w:t xml:space="preserve">23.55 </w:t>
            </w:r>
            <w:proofErr w:type="spellStart"/>
            <w:r w:rsidRPr="00FA3F57">
              <w:rPr>
                <w:sz w:val="18"/>
                <w:szCs w:val="18"/>
              </w:rPr>
              <w:t>mn</w:t>
            </w:r>
            <w:proofErr w:type="spellEnd"/>
            <w:r w:rsidRPr="00FA3F57">
              <w:rPr>
                <w:sz w:val="18"/>
                <w:szCs w:val="18"/>
              </w:rPr>
              <w:t xml:space="preserve"> EUR</w:t>
            </w:r>
          </w:p>
        </w:tc>
        <w:tc>
          <w:tcPr>
            <w:tcW w:w="1812" w:type="dxa"/>
          </w:tcPr>
          <w:p w14:paraId="0D9F40F5" w14:textId="77777777" w:rsidR="0094644B" w:rsidRPr="00FA3F57" w:rsidRDefault="0094644B" w:rsidP="00FB5086">
            <w:pPr>
              <w:spacing w:after="60"/>
              <w:jc w:val="right"/>
              <w:rPr>
                <w:sz w:val="18"/>
                <w:szCs w:val="18"/>
              </w:rPr>
            </w:pPr>
            <w:r w:rsidRPr="00FA3F57">
              <w:rPr>
                <w:sz w:val="18"/>
                <w:szCs w:val="18"/>
              </w:rPr>
              <w:t xml:space="preserve">9,450.4 </w:t>
            </w:r>
            <w:proofErr w:type="spellStart"/>
            <w:r w:rsidRPr="00FA3F57">
              <w:rPr>
                <w:sz w:val="18"/>
                <w:szCs w:val="18"/>
              </w:rPr>
              <w:t>mn</w:t>
            </w:r>
            <w:proofErr w:type="spellEnd"/>
            <w:r w:rsidRPr="00FA3F57">
              <w:rPr>
                <w:sz w:val="18"/>
                <w:szCs w:val="18"/>
              </w:rPr>
              <w:t xml:space="preserve"> RSD</w:t>
            </w:r>
          </w:p>
          <w:p w14:paraId="318BA742" w14:textId="77777777" w:rsidR="0094644B" w:rsidRPr="00FA3F57" w:rsidRDefault="0094644B" w:rsidP="00FB5086">
            <w:pPr>
              <w:spacing w:after="120"/>
              <w:jc w:val="right"/>
              <w:rPr>
                <w:sz w:val="18"/>
                <w:szCs w:val="18"/>
              </w:rPr>
            </w:pPr>
            <w:r w:rsidRPr="00FA3F57">
              <w:rPr>
                <w:sz w:val="18"/>
                <w:szCs w:val="18"/>
              </w:rPr>
              <w:t xml:space="preserve">80.60 </w:t>
            </w:r>
            <w:proofErr w:type="spellStart"/>
            <w:r w:rsidRPr="00FA3F57">
              <w:rPr>
                <w:sz w:val="18"/>
                <w:szCs w:val="18"/>
              </w:rPr>
              <w:t>mn</w:t>
            </w:r>
            <w:proofErr w:type="spellEnd"/>
            <w:r w:rsidRPr="00FA3F57">
              <w:rPr>
                <w:sz w:val="18"/>
                <w:szCs w:val="18"/>
              </w:rPr>
              <w:t xml:space="preserve"> EUR</w:t>
            </w:r>
          </w:p>
        </w:tc>
      </w:tr>
      <w:tr w:rsidR="0094644B" w:rsidRPr="00F07779" w14:paraId="218D8533" w14:textId="77777777" w:rsidTr="00FB5086">
        <w:trPr>
          <w:cantSplit/>
          <w:trHeight w:val="92"/>
        </w:trPr>
        <w:tc>
          <w:tcPr>
            <w:tcW w:w="2423" w:type="dxa"/>
            <w:vMerge/>
          </w:tcPr>
          <w:p w14:paraId="6C4B6D26" w14:textId="77777777" w:rsidR="0094644B" w:rsidRPr="00FA3F57" w:rsidRDefault="0094644B" w:rsidP="00FB5086">
            <w:pPr>
              <w:spacing w:after="120"/>
              <w:rPr>
                <w:sz w:val="20"/>
                <w:szCs w:val="20"/>
              </w:rPr>
            </w:pPr>
          </w:p>
        </w:tc>
        <w:tc>
          <w:tcPr>
            <w:tcW w:w="833" w:type="dxa"/>
            <w:vMerge/>
          </w:tcPr>
          <w:p w14:paraId="24A72F49" w14:textId="77777777" w:rsidR="0094644B" w:rsidRPr="00FA3F57" w:rsidRDefault="0094644B" w:rsidP="00FB5086">
            <w:pPr>
              <w:spacing w:after="120"/>
              <w:jc w:val="center"/>
              <w:rPr>
                <w:sz w:val="20"/>
                <w:szCs w:val="20"/>
              </w:rPr>
            </w:pPr>
          </w:p>
        </w:tc>
        <w:tc>
          <w:tcPr>
            <w:tcW w:w="830" w:type="dxa"/>
            <w:vAlign w:val="center"/>
          </w:tcPr>
          <w:p w14:paraId="3CCDCD53" w14:textId="77777777" w:rsidR="0094644B" w:rsidRPr="00FA3F57" w:rsidRDefault="0094644B" w:rsidP="00FB5086">
            <w:pPr>
              <w:spacing w:after="120"/>
              <w:jc w:val="center"/>
              <w:rPr>
                <w:sz w:val="20"/>
                <w:szCs w:val="20"/>
              </w:rPr>
            </w:pPr>
            <w:r w:rsidRPr="00FA3F57">
              <w:rPr>
                <w:sz w:val="20"/>
                <w:szCs w:val="20"/>
              </w:rPr>
              <w:t>2028</w:t>
            </w:r>
          </w:p>
        </w:tc>
        <w:tc>
          <w:tcPr>
            <w:tcW w:w="1889" w:type="dxa"/>
            <w:vAlign w:val="center"/>
          </w:tcPr>
          <w:p w14:paraId="3E4ABFC5" w14:textId="77777777" w:rsidR="0094644B" w:rsidRPr="00FA3F57" w:rsidRDefault="0094644B" w:rsidP="00FB5086">
            <w:pPr>
              <w:spacing w:after="120"/>
              <w:jc w:val="center"/>
              <w:rPr>
                <w:sz w:val="18"/>
                <w:szCs w:val="18"/>
              </w:rPr>
            </w:pPr>
            <w:r w:rsidRPr="00FA3F57">
              <w:rPr>
                <w:sz w:val="18"/>
                <w:szCs w:val="18"/>
              </w:rPr>
              <w:t>0</w:t>
            </w:r>
          </w:p>
        </w:tc>
        <w:tc>
          <w:tcPr>
            <w:tcW w:w="1889" w:type="dxa"/>
          </w:tcPr>
          <w:p w14:paraId="54ABC181" w14:textId="77777777" w:rsidR="0094644B" w:rsidRPr="00FA3F57" w:rsidRDefault="0094644B" w:rsidP="00FB5086">
            <w:pPr>
              <w:spacing w:after="60"/>
              <w:jc w:val="right"/>
              <w:rPr>
                <w:sz w:val="18"/>
                <w:szCs w:val="18"/>
              </w:rPr>
            </w:pPr>
            <w:r w:rsidRPr="00FA3F57">
              <w:rPr>
                <w:sz w:val="18"/>
                <w:szCs w:val="18"/>
              </w:rPr>
              <w:t xml:space="preserve">230.4 </w:t>
            </w:r>
            <w:proofErr w:type="spellStart"/>
            <w:r w:rsidRPr="00FA3F57">
              <w:rPr>
                <w:sz w:val="18"/>
                <w:szCs w:val="18"/>
              </w:rPr>
              <w:t>mn</w:t>
            </w:r>
            <w:proofErr w:type="spellEnd"/>
            <w:r w:rsidRPr="00FA3F57">
              <w:rPr>
                <w:sz w:val="18"/>
                <w:szCs w:val="18"/>
              </w:rPr>
              <w:t xml:space="preserve"> RSD</w:t>
            </w:r>
          </w:p>
          <w:p w14:paraId="5C2B6301" w14:textId="77777777" w:rsidR="0094644B" w:rsidRPr="00FA3F57" w:rsidRDefault="0094644B" w:rsidP="00FB5086">
            <w:pPr>
              <w:spacing w:after="60"/>
              <w:jc w:val="right"/>
              <w:rPr>
                <w:sz w:val="18"/>
                <w:szCs w:val="18"/>
              </w:rPr>
            </w:pPr>
            <w:r w:rsidRPr="00FA3F57">
              <w:rPr>
                <w:sz w:val="18"/>
                <w:szCs w:val="18"/>
              </w:rPr>
              <w:t xml:space="preserve">1.97 </w:t>
            </w:r>
            <w:proofErr w:type="spellStart"/>
            <w:r w:rsidRPr="00FA3F57">
              <w:rPr>
                <w:sz w:val="18"/>
                <w:szCs w:val="18"/>
              </w:rPr>
              <w:t>mn</w:t>
            </w:r>
            <w:proofErr w:type="spellEnd"/>
            <w:r w:rsidRPr="00FA3F57">
              <w:rPr>
                <w:sz w:val="18"/>
                <w:szCs w:val="18"/>
              </w:rPr>
              <w:t xml:space="preserve"> EUR</w:t>
            </w:r>
          </w:p>
        </w:tc>
        <w:tc>
          <w:tcPr>
            <w:tcW w:w="1812" w:type="dxa"/>
            <w:vAlign w:val="center"/>
          </w:tcPr>
          <w:p w14:paraId="078201D9" w14:textId="77777777" w:rsidR="0094644B" w:rsidRPr="00FA3F57" w:rsidRDefault="0094644B" w:rsidP="00FB5086">
            <w:pPr>
              <w:spacing w:after="120"/>
              <w:jc w:val="center"/>
              <w:rPr>
                <w:sz w:val="18"/>
                <w:szCs w:val="18"/>
              </w:rPr>
            </w:pPr>
            <w:r w:rsidRPr="00FA3F57">
              <w:rPr>
                <w:sz w:val="18"/>
                <w:szCs w:val="18"/>
              </w:rPr>
              <w:t>0</w:t>
            </w:r>
          </w:p>
        </w:tc>
      </w:tr>
      <w:tr w:rsidR="0094644B" w:rsidRPr="00F07779" w14:paraId="3837C4EC" w14:textId="77777777" w:rsidTr="00FB5086">
        <w:trPr>
          <w:cantSplit/>
          <w:trHeight w:val="93"/>
        </w:trPr>
        <w:tc>
          <w:tcPr>
            <w:tcW w:w="2423" w:type="dxa"/>
            <w:vMerge w:val="restart"/>
          </w:tcPr>
          <w:p w14:paraId="4D3BC52D" w14:textId="77777777" w:rsidR="0094644B" w:rsidRPr="00FA3F57" w:rsidRDefault="0094644B" w:rsidP="00FB5086">
            <w:pPr>
              <w:spacing w:after="120"/>
              <w:rPr>
                <w:sz w:val="20"/>
                <w:szCs w:val="20"/>
              </w:rPr>
            </w:pPr>
            <w:r w:rsidRPr="00FA3F57">
              <w:rPr>
                <w:sz w:val="20"/>
                <w:szCs w:val="20"/>
              </w:rPr>
              <w:t>EL7 Reconstruction, construction, and modernization of electricity production, transmission, and distribution</w:t>
            </w:r>
          </w:p>
        </w:tc>
        <w:tc>
          <w:tcPr>
            <w:tcW w:w="833" w:type="dxa"/>
            <w:vMerge w:val="restart"/>
          </w:tcPr>
          <w:p w14:paraId="09082C6A" w14:textId="77777777" w:rsidR="0094644B" w:rsidRPr="00FA3F57" w:rsidRDefault="0094644B" w:rsidP="00FB5086">
            <w:pPr>
              <w:spacing w:after="120"/>
              <w:jc w:val="center"/>
              <w:rPr>
                <w:sz w:val="20"/>
                <w:szCs w:val="20"/>
              </w:rPr>
            </w:pPr>
            <w:r w:rsidRPr="00FA3F57">
              <w:rPr>
                <w:sz w:val="20"/>
                <w:szCs w:val="20"/>
              </w:rPr>
              <w:t>Inv</w:t>
            </w:r>
          </w:p>
        </w:tc>
        <w:tc>
          <w:tcPr>
            <w:tcW w:w="830" w:type="dxa"/>
            <w:vAlign w:val="center"/>
          </w:tcPr>
          <w:p w14:paraId="199C828D" w14:textId="77777777" w:rsidR="0094644B" w:rsidRPr="00FA3F57" w:rsidRDefault="0094644B" w:rsidP="00FB5086">
            <w:pPr>
              <w:spacing w:after="120"/>
              <w:jc w:val="center"/>
              <w:rPr>
                <w:sz w:val="20"/>
                <w:szCs w:val="20"/>
              </w:rPr>
            </w:pPr>
            <w:r w:rsidRPr="00FA3F57">
              <w:rPr>
                <w:sz w:val="20"/>
                <w:szCs w:val="20"/>
              </w:rPr>
              <w:t>2026</w:t>
            </w:r>
          </w:p>
        </w:tc>
        <w:tc>
          <w:tcPr>
            <w:tcW w:w="1889" w:type="dxa"/>
          </w:tcPr>
          <w:p w14:paraId="24491CDD" w14:textId="77777777" w:rsidR="0094644B" w:rsidRPr="00FA3F57" w:rsidRDefault="0094644B" w:rsidP="00FB5086">
            <w:pPr>
              <w:spacing w:after="60"/>
              <w:jc w:val="right"/>
              <w:rPr>
                <w:sz w:val="18"/>
                <w:szCs w:val="18"/>
              </w:rPr>
            </w:pPr>
            <w:r w:rsidRPr="00F07779">
              <w:rPr>
                <w:sz w:val="18"/>
                <w:szCs w:val="18"/>
              </w:rPr>
              <w:t>542.0</w:t>
            </w:r>
            <w:r w:rsidRPr="00FA3F57">
              <w:rPr>
                <w:sz w:val="18"/>
                <w:szCs w:val="18"/>
              </w:rPr>
              <w:t xml:space="preserve"> </w:t>
            </w:r>
            <w:proofErr w:type="spellStart"/>
            <w:r w:rsidRPr="00FA3F57">
              <w:rPr>
                <w:sz w:val="18"/>
                <w:szCs w:val="18"/>
              </w:rPr>
              <w:t>mn</w:t>
            </w:r>
            <w:proofErr w:type="spellEnd"/>
            <w:r w:rsidRPr="00FA3F57">
              <w:rPr>
                <w:sz w:val="18"/>
                <w:szCs w:val="18"/>
              </w:rPr>
              <w:t xml:space="preserve"> RSD</w:t>
            </w:r>
          </w:p>
          <w:p w14:paraId="23E50242" w14:textId="77777777" w:rsidR="0094644B" w:rsidRPr="00F07779" w:rsidRDefault="0094644B" w:rsidP="00FB5086">
            <w:pPr>
              <w:spacing w:after="120"/>
              <w:jc w:val="right"/>
              <w:rPr>
                <w:sz w:val="18"/>
                <w:szCs w:val="18"/>
              </w:rPr>
            </w:pPr>
            <w:r w:rsidRPr="00F07779">
              <w:rPr>
                <w:sz w:val="18"/>
                <w:szCs w:val="18"/>
              </w:rPr>
              <w:t>4.62</w:t>
            </w:r>
            <w:r w:rsidRPr="00FA3F57">
              <w:rPr>
                <w:sz w:val="18"/>
                <w:szCs w:val="18"/>
              </w:rPr>
              <w:t xml:space="preserve"> </w:t>
            </w:r>
            <w:proofErr w:type="spellStart"/>
            <w:r w:rsidRPr="00FA3F57">
              <w:rPr>
                <w:sz w:val="18"/>
                <w:szCs w:val="18"/>
              </w:rPr>
              <w:t>mn</w:t>
            </w:r>
            <w:proofErr w:type="spellEnd"/>
            <w:r w:rsidRPr="00FA3F57">
              <w:rPr>
                <w:sz w:val="18"/>
                <w:szCs w:val="18"/>
              </w:rPr>
              <w:t xml:space="preserve"> EUR</w:t>
            </w:r>
          </w:p>
        </w:tc>
        <w:tc>
          <w:tcPr>
            <w:tcW w:w="1889" w:type="dxa"/>
          </w:tcPr>
          <w:p w14:paraId="23946BC1" w14:textId="77777777" w:rsidR="0094644B" w:rsidRPr="00FA3F57" w:rsidRDefault="0094644B" w:rsidP="00FB5086">
            <w:pPr>
              <w:spacing w:after="60"/>
              <w:jc w:val="right"/>
              <w:rPr>
                <w:sz w:val="18"/>
                <w:szCs w:val="18"/>
              </w:rPr>
            </w:pPr>
            <w:r w:rsidRPr="00F07779">
              <w:rPr>
                <w:sz w:val="18"/>
                <w:szCs w:val="18"/>
              </w:rPr>
              <w:t>2,878.1</w:t>
            </w:r>
            <w:r w:rsidRPr="00FA3F57">
              <w:rPr>
                <w:sz w:val="18"/>
                <w:szCs w:val="18"/>
              </w:rPr>
              <w:t xml:space="preserve"> </w:t>
            </w:r>
            <w:proofErr w:type="spellStart"/>
            <w:r w:rsidRPr="00FA3F57">
              <w:rPr>
                <w:sz w:val="18"/>
                <w:szCs w:val="18"/>
              </w:rPr>
              <w:t>mn</w:t>
            </w:r>
            <w:proofErr w:type="spellEnd"/>
            <w:r w:rsidRPr="00FA3F57">
              <w:rPr>
                <w:sz w:val="18"/>
                <w:szCs w:val="18"/>
              </w:rPr>
              <w:t xml:space="preserve"> RSD</w:t>
            </w:r>
          </w:p>
          <w:p w14:paraId="0FF6936C" w14:textId="77777777" w:rsidR="0094644B" w:rsidRPr="00FA3F57" w:rsidRDefault="0094644B" w:rsidP="00FB5086">
            <w:pPr>
              <w:spacing w:after="60"/>
              <w:jc w:val="right"/>
              <w:rPr>
                <w:sz w:val="18"/>
                <w:szCs w:val="18"/>
              </w:rPr>
            </w:pPr>
            <w:r w:rsidRPr="00F07779">
              <w:rPr>
                <w:sz w:val="18"/>
                <w:szCs w:val="18"/>
              </w:rPr>
              <w:t>24.55</w:t>
            </w:r>
            <w:r w:rsidRPr="00FA3F57">
              <w:rPr>
                <w:sz w:val="18"/>
                <w:szCs w:val="18"/>
              </w:rPr>
              <w:t xml:space="preserve"> </w:t>
            </w:r>
            <w:proofErr w:type="spellStart"/>
            <w:r w:rsidRPr="00FA3F57">
              <w:rPr>
                <w:sz w:val="18"/>
                <w:szCs w:val="18"/>
              </w:rPr>
              <w:t>mn</w:t>
            </w:r>
            <w:proofErr w:type="spellEnd"/>
            <w:r w:rsidRPr="00FA3F57">
              <w:rPr>
                <w:sz w:val="18"/>
                <w:szCs w:val="18"/>
              </w:rPr>
              <w:t xml:space="preserve"> EUR</w:t>
            </w:r>
          </w:p>
        </w:tc>
        <w:tc>
          <w:tcPr>
            <w:tcW w:w="1812" w:type="dxa"/>
          </w:tcPr>
          <w:p w14:paraId="01825494" w14:textId="77777777" w:rsidR="0094644B" w:rsidRPr="00FA3F57" w:rsidRDefault="0094644B" w:rsidP="00FB5086">
            <w:pPr>
              <w:spacing w:after="60"/>
              <w:jc w:val="right"/>
              <w:rPr>
                <w:sz w:val="18"/>
                <w:szCs w:val="18"/>
              </w:rPr>
            </w:pPr>
            <w:r w:rsidRPr="00F07779">
              <w:rPr>
                <w:sz w:val="18"/>
                <w:szCs w:val="18"/>
              </w:rPr>
              <w:t>1,907.9</w:t>
            </w:r>
            <w:r w:rsidRPr="00FA3F57">
              <w:rPr>
                <w:sz w:val="18"/>
                <w:szCs w:val="18"/>
              </w:rPr>
              <w:t xml:space="preserve"> </w:t>
            </w:r>
            <w:proofErr w:type="spellStart"/>
            <w:r w:rsidRPr="00FA3F57">
              <w:rPr>
                <w:sz w:val="18"/>
                <w:szCs w:val="18"/>
              </w:rPr>
              <w:t>mn</w:t>
            </w:r>
            <w:proofErr w:type="spellEnd"/>
            <w:r w:rsidRPr="00FA3F57">
              <w:rPr>
                <w:sz w:val="18"/>
                <w:szCs w:val="18"/>
              </w:rPr>
              <w:t xml:space="preserve"> RSD</w:t>
            </w:r>
          </w:p>
          <w:p w14:paraId="7FF36A08" w14:textId="77777777" w:rsidR="0094644B" w:rsidRPr="00FA3F57" w:rsidRDefault="0094644B" w:rsidP="00FB5086">
            <w:pPr>
              <w:spacing w:after="60"/>
              <w:jc w:val="right"/>
              <w:rPr>
                <w:sz w:val="18"/>
                <w:szCs w:val="18"/>
              </w:rPr>
            </w:pPr>
            <w:r w:rsidRPr="00F07779">
              <w:rPr>
                <w:sz w:val="18"/>
                <w:szCs w:val="18"/>
              </w:rPr>
              <w:t>16.27</w:t>
            </w:r>
            <w:r w:rsidRPr="00FA3F57">
              <w:rPr>
                <w:sz w:val="18"/>
                <w:szCs w:val="18"/>
              </w:rPr>
              <w:t xml:space="preserve"> </w:t>
            </w:r>
            <w:proofErr w:type="spellStart"/>
            <w:r w:rsidRPr="00FA3F57">
              <w:rPr>
                <w:sz w:val="18"/>
                <w:szCs w:val="18"/>
              </w:rPr>
              <w:t>mn</w:t>
            </w:r>
            <w:proofErr w:type="spellEnd"/>
            <w:r w:rsidRPr="00FA3F57">
              <w:rPr>
                <w:sz w:val="18"/>
                <w:szCs w:val="18"/>
              </w:rPr>
              <w:t xml:space="preserve"> EUR</w:t>
            </w:r>
          </w:p>
        </w:tc>
      </w:tr>
      <w:tr w:rsidR="0094644B" w:rsidRPr="00F07779" w14:paraId="3A9184D5" w14:textId="77777777" w:rsidTr="00FB5086">
        <w:trPr>
          <w:cantSplit/>
          <w:trHeight w:val="92"/>
        </w:trPr>
        <w:tc>
          <w:tcPr>
            <w:tcW w:w="2423" w:type="dxa"/>
            <w:vMerge/>
          </w:tcPr>
          <w:p w14:paraId="4E8A5518" w14:textId="77777777" w:rsidR="0094644B" w:rsidRPr="00FA3F57" w:rsidRDefault="0094644B" w:rsidP="00FB5086">
            <w:pPr>
              <w:spacing w:after="120"/>
              <w:rPr>
                <w:sz w:val="20"/>
                <w:szCs w:val="20"/>
              </w:rPr>
            </w:pPr>
          </w:p>
        </w:tc>
        <w:tc>
          <w:tcPr>
            <w:tcW w:w="833" w:type="dxa"/>
            <w:vMerge/>
          </w:tcPr>
          <w:p w14:paraId="2BEF5EE0" w14:textId="77777777" w:rsidR="0094644B" w:rsidRPr="00FA3F57" w:rsidRDefault="0094644B" w:rsidP="00FB5086">
            <w:pPr>
              <w:spacing w:after="120"/>
              <w:jc w:val="center"/>
              <w:rPr>
                <w:sz w:val="20"/>
                <w:szCs w:val="20"/>
              </w:rPr>
            </w:pPr>
          </w:p>
        </w:tc>
        <w:tc>
          <w:tcPr>
            <w:tcW w:w="830" w:type="dxa"/>
            <w:vAlign w:val="center"/>
          </w:tcPr>
          <w:p w14:paraId="19177318" w14:textId="77777777" w:rsidR="0094644B" w:rsidRPr="00FA3F57" w:rsidRDefault="0094644B" w:rsidP="00FB5086">
            <w:pPr>
              <w:spacing w:after="120"/>
              <w:jc w:val="center"/>
              <w:rPr>
                <w:sz w:val="20"/>
                <w:szCs w:val="20"/>
              </w:rPr>
            </w:pPr>
            <w:r w:rsidRPr="00FA3F57">
              <w:rPr>
                <w:sz w:val="20"/>
                <w:szCs w:val="20"/>
              </w:rPr>
              <w:t>2027</w:t>
            </w:r>
          </w:p>
        </w:tc>
        <w:tc>
          <w:tcPr>
            <w:tcW w:w="1889" w:type="dxa"/>
          </w:tcPr>
          <w:p w14:paraId="33A730A4" w14:textId="77777777" w:rsidR="0094644B" w:rsidRPr="00FA3F57" w:rsidRDefault="0094644B" w:rsidP="00FB5086">
            <w:pPr>
              <w:spacing w:after="60"/>
              <w:jc w:val="right"/>
              <w:rPr>
                <w:sz w:val="18"/>
                <w:szCs w:val="18"/>
              </w:rPr>
            </w:pPr>
            <w:r w:rsidRPr="00F07779">
              <w:rPr>
                <w:sz w:val="18"/>
                <w:szCs w:val="18"/>
              </w:rPr>
              <w:t>409.0</w:t>
            </w:r>
            <w:r w:rsidRPr="00FA3F57">
              <w:rPr>
                <w:sz w:val="18"/>
                <w:szCs w:val="18"/>
              </w:rPr>
              <w:t xml:space="preserve"> </w:t>
            </w:r>
            <w:proofErr w:type="spellStart"/>
            <w:r w:rsidRPr="00FA3F57">
              <w:rPr>
                <w:sz w:val="18"/>
                <w:szCs w:val="18"/>
              </w:rPr>
              <w:t>mn</w:t>
            </w:r>
            <w:proofErr w:type="spellEnd"/>
            <w:r w:rsidRPr="00FA3F57">
              <w:rPr>
                <w:sz w:val="18"/>
                <w:szCs w:val="18"/>
              </w:rPr>
              <w:t xml:space="preserve"> RSD</w:t>
            </w:r>
          </w:p>
          <w:p w14:paraId="3001E403" w14:textId="77777777" w:rsidR="0094644B" w:rsidRPr="00F07779" w:rsidRDefault="0094644B" w:rsidP="00FB5086">
            <w:pPr>
              <w:spacing w:after="120"/>
              <w:jc w:val="right"/>
              <w:rPr>
                <w:sz w:val="18"/>
                <w:szCs w:val="18"/>
              </w:rPr>
            </w:pPr>
            <w:r w:rsidRPr="00F07779">
              <w:rPr>
                <w:sz w:val="18"/>
                <w:szCs w:val="18"/>
              </w:rPr>
              <w:t>3.49</w:t>
            </w:r>
            <w:r w:rsidRPr="00FA3F57">
              <w:rPr>
                <w:sz w:val="18"/>
                <w:szCs w:val="18"/>
              </w:rPr>
              <w:t xml:space="preserve"> </w:t>
            </w:r>
            <w:proofErr w:type="spellStart"/>
            <w:r w:rsidRPr="00FA3F57">
              <w:rPr>
                <w:sz w:val="18"/>
                <w:szCs w:val="18"/>
              </w:rPr>
              <w:t>mn</w:t>
            </w:r>
            <w:proofErr w:type="spellEnd"/>
            <w:r w:rsidRPr="00FA3F57">
              <w:rPr>
                <w:sz w:val="18"/>
                <w:szCs w:val="18"/>
              </w:rPr>
              <w:t xml:space="preserve"> EUR</w:t>
            </w:r>
          </w:p>
        </w:tc>
        <w:tc>
          <w:tcPr>
            <w:tcW w:w="1889" w:type="dxa"/>
          </w:tcPr>
          <w:p w14:paraId="53951829" w14:textId="77777777" w:rsidR="0094644B" w:rsidRPr="00FA3F57" w:rsidRDefault="0094644B" w:rsidP="00FB5086">
            <w:pPr>
              <w:spacing w:after="60"/>
              <w:jc w:val="right"/>
              <w:rPr>
                <w:sz w:val="18"/>
                <w:szCs w:val="18"/>
              </w:rPr>
            </w:pPr>
            <w:r w:rsidRPr="00FA3F57">
              <w:rPr>
                <w:sz w:val="18"/>
                <w:szCs w:val="18"/>
              </w:rPr>
              <w:t xml:space="preserve">1,695.0 </w:t>
            </w:r>
            <w:proofErr w:type="spellStart"/>
            <w:r w:rsidRPr="00FA3F57">
              <w:rPr>
                <w:sz w:val="18"/>
                <w:szCs w:val="18"/>
              </w:rPr>
              <w:t>mn</w:t>
            </w:r>
            <w:proofErr w:type="spellEnd"/>
            <w:r w:rsidRPr="00FA3F57">
              <w:rPr>
                <w:sz w:val="18"/>
                <w:szCs w:val="18"/>
              </w:rPr>
              <w:t xml:space="preserve"> RSD</w:t>
            </w:r>
          </w:p>
          <w:p w14:paraId="19CCCB44" w14:textId="77777777" w:rsidR="0094644B" w:rsidRPr="00FA3F57" w:rsidRDefault="0094644B" w:rsidP="00FB5086">
            <w:pPr>
              <w:spacing w:after="60"/>
              <w:jc w:val="right"/>
              <w:rPr>
                <w:sz w:val="18"/>
                <w:szCs w:val="18"/>
              </w:rPr>
            </w:pPr>
            <w:r w:rsidRPr="00FA3F57">
              <w:rPr>
                <w:sz w:val="18"/>
                <w:szCs w:val="18"/>
              </w:rPr>
              <w:t xml:space="preserve">14.46 </w:t>
            </w:r>
            <w:proofErr w:type="spellStart"/>
            <w:r w:rsidRPr="00FA3F57">
              <w:rPr>
                <w:sz w:val="18"/>
                <w:szCs w:val="18"/>
              </w:rPr>
              <w:t>mn</w:t>
            </w:r>
            <w:proofErr w:type="spellEnd"/>
            <w:r w:rsidRPr="00FA3F57">
              <w:rPr>
                <w:sz w:val="18"/>
                <w:szCs w:val="18"/>
              </w:rPr>
              <w:t xml:space="preserve"> EUR</w:t>
            </w:r>
          </w:p>
        </w:tc>
        <w:tc>
          <w:tcPr>
            <w:tcW w:w="1812" w:type="dxa"/>
          </w:tcPr>
          <w:p w14:paraId="609EB888" w14:textId="77777777" w:rsidR="0094644B" w:rsidRPr="00FA3F57" w:rsidRDefault="0094644B" w:rsidP="00FB5086">
            <w:pPr>
              <w:spacing w:after="60"/>
              <w:jc w:val="right"/>
              <w:rPr>
                <w:sz w:val="18"/>
                <w:szCs w:val="18"/>
              </w:rPr>
            </w:pPr>
            <w:r w:rsidRPr="00F07779">
              <w:rPr>
                <w:sz w:val="18"/>
                <w:szCs w:val="18"/>
              </w:rPr>
              <w:t>4,402.3</w:t>
            </w:r>
            <w:r w:rsidRPr="00FA3F57">
              <w:rPr>
                <w:sz w:val="18"/>
                <w:szCs w:val="18"/>
              </w:rPr>
              <w:t xml:space="preserve"> </w:t>
            </w:r>
            <w:proofErr w:type="spellStart"/>
            <w:r w:rsidRPr="00FA3F57">
              <w:rPr>
                <w:sz w:val="18"/>
                <w:szCs w:val="18"/>
              </w:rPr>
              <w:t>mn</w:t>
            </w:r>
            <w:proofErr w:type="spellEnd"/>
            <w:r w:rsidRPr="00FA3F57">
              <w:rPr>
                <w:sz w:val="18"/>
                <w:szCs w:val="18"/>
              </w:rPr>
              <w:t xml:space="preserve"> RSD</w:t>
            </w:r>
          </w:p>
          <w:p w14:paraId="441A2886" w14:textId="77777777" w:rsidR="0094644B" w:rsidRPr="00FA3F57" w:rsidRDefault="0094644B" w:rsidP="00FB5086">
            <w:pPr>
              <w:spacing w:after="60"/>
              <w:jc w:val="right"/>
              <w:rPr>
                <w:sz w:val="18"/>
                <w:szCs w:val="18"/>
              </w:rPr>
            </w:pPr>
            <w:r w:rsidRPr="00F07779">
              <w:rPr>
                <w:sz w:val="18"/>
                <w:szCs w:val="18"/>
              </w:rPr>
              <w:t>37.55</w:t>
            </w:r>
            <w:r w:rsidRPr="00FA3F57">
              <w:rPr>
                <w:sz w:val="18"/>
                <w:szCs w:val="18"/>
              </w:rPr>
              <w:t xml:space="preserve"> </w:t>
            </w:r>
            <w:proofErr w:type="spellStart"/>
            <w:r w:rsidRPr="00FA3F57">
              <w:rPr>
                <w:sz w:val="18"/>
                <w:szCs w:val="18"/>
              </w:rPr>
              <w:t>mn</w:t>
            </w:r>
            <w:proofErr w:type="spellEnd"/>
            <w:r w:rsidRPr="00FA3F57">
              <w:rPr>
                <w:sz w:val="18"/>
                <w:szCs w:val="18"/>
              </w:rPr>
              <w:t xml:space="preserve"> EUR</w:t>
            </w:r>
          </w:p>
        </w:tc>
      </w:tr>
      <w:tr w:rsidR="0094644B" w:rsidRPr="00F07779" w14:paraId="13830563" w14:textId="77777777" w:rsidTr="00FB5086">
        <w:trPr>
          <w:cantSplit/>
          <w:trHeight w:val="92"/>
        </w:trPr>
        <w:tc>
          <w:tcPr>
            <w:tcW w:w="2423" w:type="dxa"/>
            <w:vMerge/>
          </w:tcPr>
          <w:p w14:paraId="7BA1A549" w14:textId="77777777" w:rsidR="0094644B" w:rsidRPr="00FA3F57" w:rsidRDefault="0094644B" w:rsidP="00FB5086">
            <w:pPr>
              <w:spacing w:after="120"/>
              <w:rPr>
                <w:sz w:val="20"/>
                <w:szCs w:val="20"/>
              </w:rPr>
            </w:pPr>
          </w:p>
        </w:tc>
        <w:tc>
          <w:tcPr>
            <w:tcW w:w="833" w:type="dxa"/>
            <w:vMerge/>
          </w:tcPr>
          <w:p w14:paraId="034ECD6C" w14:textId="77777777" w:rsidR="0094644B" w:rsidRPr="00FA3F57" w:rsidRDefault="0094644B" w:rsidP="00FB5086">
            <w:pPr>
              <w:spacing w:after="120"/>
              <w:jc w:val="center"/>
              <w:rPr>
                <w:sz w:val="20"/>
                <w:szCs w:val="20"/>
              </w:rPr>
            </w:pPr>
          </w:p>
        </w:tc>
        <w:tc>
          <w:tcPr>
            <w:tcW w:w="830" w:type="dxa"/>
            <w:vAlign w:val="center"/>
          </w:tcPr>
          <w:p w14:paraId="012B4AEE" w14:textId="77777777" w:rsidR="0094644B" w:rsidRPr="00FA3F57" w:rsidRDefault="0094644B" w:rsidP="00FB5086">
            <w:pPr>
              <w:spacing w:after="120"/>
              <w:jc w:val="center"/>
              <w:rPr>
                <w:sz w:val="20"/>
                <w:szCs w:val="20"/>
              </w:rPr>
            </w:pPr>
            <w:r w:rsidRPr="00FA3F57">
              <w:rPr>
                <w:sz w:val="20"/>
                <w:szCs w:val="20"/>
              </w:rPr>
              <w:t>2028</w:t>
            </w:r>
          </w:p>
        </w:tc>
        <w:tc>
          <w:tcPr>
            <w:tcW w:w="1889" w:type="dxa"/>
            <w:vAlign w:val="center"/>
          </w:tcPr>
          <w:p w14:paraId="74E643C2" w14:textId="77777777" w:rsidR="0094644B" w:rsidRPr="00F07779" w:rsidRDefault="0094644B" w:rsidP="00FB5086">
            <w:pPr>
              <w:spacing w:after="120"/>
              <w:jc w:val="center"/>
              <w:rPr>
                <w:sz w:val="18"/>
                <w:szCs w:val="18"/>
              </w:rPr>
            </w:pPr>
            <w:r w:rsidRPr="00F07779">
              <w:rPr>
                <w:sz w:val="18"/>
                <w:szCs w:val="18"/>
              </w:rPr>
              <w:t>0</w:t>
            </w:r>
          </w:p>
        </w:tc>
        <w:tc>
          <w:tcPr>
            <w:tcW w:w="1889" w:type="dxa"/>
          </w:tcPr>
          <w:p w14:paraId="40C25C43" w14:textId="77777777" w:rsidR="0094644B" w:rsidRPr="00FA3F57" w:rsidRDefault="0094644B" w:rsidP="00FB5086">
            <w:pPr>
              <w:spacing w:after="60"/>
              <w:jc w:val="right"/>
              <w:rPr>
                <w:sz w:val="18"/>
                <w:szCs w:val="18"/>
              </w:rPr>
            </w:pPr>
            <w:r w:rsidRPr="00FA3F57">
              <w:rPr>
                <w:sz w:val="18"/>
                <w:szCs w:val="18"/>
              </w:rPr>
              <w:t xml:space="preserve">4,974.4 </w:t>
            </w:r>
            <w:proofErr w:type="spellStart"/>
            <w:r w:rsidRPr="00FA3F57">
              <w:rPr>
                <w:sz w:val="18"/>
                <w:szCs w:val="18"/>
              </w:rPr>
              <w:t>mn</w:t>
            </w:r>
            <w:proofErr w:type="spellEnd"/>
            <w:r w:rsidRPr="00FA3F57">
              <w:rPr>
                <w:sz w:val="18"/>
                <w:szCs w:val="18"/>
              </w:rPr>
              <w:t xml:space="preserve"> RSD</w:t>
            </w:r>
          </w:p>
          <w:p w14:paraId="7B5A47A2" w14:textId="77777777" w:rsidR="0094644B" w:rsidRPr="00FA3F57" w:rsidRDefault="0094644B" w:rsidP="00FB5086">
            <w:pPr>
              <w:spacing w:after="60"/>
              <w:jc w:val="right"/>
              <w:rPr>
                <w:sz w:val="18"/>
                <w:szCs w:val="18"/>
              </w:rPr>
            </w:pPr>
            <w:r w:rsidRPr="00FA3F57">
              <w:rPr>
                <w:sz w:val="18"/>
                <w:szCs w:val="18"/>
              </w:rPr>
              <w:t xml:space="preserve">42.43 </w:t>
            </w:r>
            <w:proofErr w:type="spellStart"/>
            <w:r w:rsidRPr="00FA3F57">
              <w:rPr>
                <w:sz w:val="18"/>
                <w:szCs w:val="18"/>
              </w:rPr>
              <w:t>mn</w:t>
            </w:r>
            <w:proofErr w:type="spellEnd"/>
            <w:r w:rsidRPr="00FA3F57">
              <w:rPr>
                <w:sz w:val="18"/>
                <w:szCs w:val="18"/>
              </w:rPr>
              <w:t xml:space="preserve"> EUR</w:t>
            </w:r>
          </w:p>
        </w:tc>
        <w:tc>
          <w:tcPr>
            <w:tcW w:w="1812" w:type="dxa"/>
          </w:tcPr>
          <w:p w14:paraId="517B1520" w14:textId="77777777" w:rsidR="0094644B" w:rsidRPr="00FA3F57" w:rsidRDefault="0094644B" w:rsidP="00FB5086">
            <w:pPr>
              <w:spacing w:after="60"/>
              <w:jc w:val="right"/>
              <w:rPr>
                <w:sz w:val="18"/>
                <w:szCs w:val="18"/>
              </w:rPr>
            </w:pPr>
            <w:r w:rsidRPr="00F07779">
              <w:rPr>
                <w:sz w:val="18"/>
                <w:szCs w:val="18"/>
              </w:rPr>
              <w:t>2,976.6</w:t>
            </w:r>
            <w:r w:rsidRPr="00FA3F57">
              <w:rPr>
                <w:sz w:val="18"/>
                <w:szCs w:val="18"/>
              </w:rPr>
              <w:t xml:space="preserve"> </w:t>
            </w:r>
            <w:proofErr w:type="spellStart"/>
            <w:r w:rsidRPr="00FA3F57">
              <w:rPr>
                <w:sz w:val="18"/>
                <w:szCs w:val="18"/>
              </w:rPr>
              <w:t>mn</w:t>
            </w:r>
            <w:proofErr w:type="spellEnd"/>
            <w:r w:rsidRPr="00FA3F57">
              <w:rPr>
                <w:sz w:val="18"/>
                <w:szCs w:val="18"/>
              </w:rPr>
              <w:t xml:space="preserve"> RSD</w:t>
            </w:r>
          </w:p>
          <w:p w14:paraId="79E64F74" w14:textId="77777777" w:rsidR="0094644B" w:rsidRPr="00FA3F57" w:rsidRDefault="0094644B" w:rsidP="00FB5086">
            <w:pPr>
              <w:spacing w:after="60"/>
              <w:jc w:val="right"/>
              <w:rPr>
                <w:sz w:val="18"/>
                <w:szCs w:val="18"/>
              </w:rPr>
            </w:pPr>
            <w:r w:rsidRPr="00F07779">
              <w:rPr>
                <w:sz w:val="18"/>
                <w:szCs w:val="18"/>
              </w:rPr>
              <w:t>25.39</w:t>
            </w:r>
            <w:r w:rsidRPr="00FA3F57">
              <w:rPr>
                <w:sz w:val="18"/>
                <w:szCs w:val="18"/>
              </w:rPr>
              <w:t xml:space="preserve"> </w:t>
            </w:r>
            <w:proofErr w:type="spellStart"/>
            <w:r w:rsidRPr="00FA3F57">
              <w:rPr>
                <w:sz w:val="18"/>
                <w:szCs w:val="18"/>
              </w:rPr>
              <w:t>mn</w:t>
            </w:r>
            <w:proofErr w:type="spellEnd"/>
            <w:r w:rsidRPr="00FA3F57">
              <w:rPr>
                <w:sz w:val="18"/>
                <w:szCs w:val="18"/>
              </w:rPr>
              <w:t xml:space="preserve"> EUR</w:t>
            </w:r>
          </w:p>
        </w:tc>
      </w:tr>
      <w:tr w:rsidR="0094644B" w:rsidRPr="00F07779" w14:paraId="2D65B550" w14:textId="77777777" w:rsidTr="00FB5086">
        <w:trPr>
          <w:cantSplit/>
          <w:trHeight w:val="92"/>
        </w:trPr>
        <w:tc>
          <w:tcPr>
            <w:tcW w:w="2423" w:type="dxa"/>
            <w:vMerge/>
          </w:tcPr>
          <w:p w14:paraId="24725E57" w14:textId="77777777" w:rsidR="0094644B" w:rsidRPr="00FA3F57" w:rsidRDefault="0094644B" w:rsidP="00FB5086">
            <w:pPr>
              <w:spacing w:after="120"/>
              <w:rPr>
                <w:sz w:val="20"/>
                <w:szCs w:val="20"/>
              </w:rPr>
            </w:pPr>
          </w:p>
        </w:tc>
        <w:tc>
          <w:tcPr>
            <w:tcW w:w="833" w:type="dxa"/>
            <w:vMerge w:val="restart"/>
          </w:tcPr>
          <w:p w14:paraId="5299EBFF" w14:textId="77777777" w:rsidR="0094644B" w:rsidRPr="00FA3F57" w:rsidRDefault="0094644B" w:rsidP="00FB5086">
            <w:pPr>
              <w:spacing w:after="120"/>
              <w:jc w:val="center"/>
              <w:rPr>
                <w:sz w:val="20"/>
                <w:szCs w:val="20"/>
              </w:rPr>
            </w:pPr>
            <w:r w:rsidRPr="00FA3F57">
              <w:rPr>
                <w:sz w:val="20"/>
                <w:szCs w:val="20"/>
              </w:rPr>
              <w:t>R</w:t>
            </w:r>
          </w:p>
        </w:tc>
        <w:tc>
          <w:tcPr>
            <w:tcW w:w="830" w:type="dxa"/>
            <w:vAlign w:val="center"/>
          </w:tcPr>
          <w:p w14:paraId="75FF7EE8" w14:textId="77777777" w:rsidR="0094644B" w:rsidRPr="00FA3F57" w:rsidRDefault="0094644B" w:rsidP="00FB5086">
            <w:pPr>
              <w:spacing w:before="60" w:after="60"/>
              <w:jc w:val="center"/>
              <w:rPr>
                <w:sz w:val="20"/>
                <w:szCs w:val="20"/>
              </w:rPr>
            </w:pPr>
            <w:r w:rsidRPr="00FA3F57">
              <w:rPr>
                <w:sz w:val="20"/>
                <w:szCs w:val="20"/>
              </w:rPr>
              <w:t>2026</w:t>
            </w:r>
          </w:p>
        </w:tc>
        <w:tc>
          <w:tcPr>
            <w:tcW w:w="1889" w:type="dxa"/>
            <w:vAlign w:val="center"/>
          </w:tcPr>
          <w:p w14:paraId="65B49259" w14:textId="77777777" w:rsidR="0094644B" w:rsidRPr="00FA3F57" w:rsidRDefault="0094644B" w:rsidP="00FB5086">
            <w:pPr>
              <w:spacing w:before="60" w:after="60"/>
              <w:jc w:val="center"/>
              <w:rPr>
                <w:sz w:val="18"/>
                <w:szCs w:val="18"/>
              </w:rPr>
            </w:pPr>
            <w:r w:rsidRPr="00FA3F57">
              <w:rPr>
                <w:sz w:val="18"/>
                <w:szCs w:val="18"/>
              </w:rPr>
              <w:t>0</w:t>
            </w:r>
          </w:p>
        </w:tc>
        <w:tc>
          <w:tcPr>
            <w:tcW w:w="1889" w:type="dxa"/>
            <w:vAlign w:val="center"/>
          </w:tcPr>
          <w:p w14:paraId="5B5F5B23" w14:textId="77777777" w:rsidR="0094644B" w:rsidRPr="00FA3F57" w:rsidRDefault="0094644B" w:rsidP="00FB5086">
            <w:pPr>
              <w:spacing w:before="60" w:after="60"/>
              <w:jc w:val="center"/>
              <w:rPr>
                <w:sz w:val="18"/>
                <w:szCs w:val="18"/>
              </w:rPr>
            </w:pPr>
            <w:r w:rsidRPr="00FA3F57">
              <w:rPr>
                <w:sz w:val="18"/>
                <w:szCs w:val="18"/>
              </w:rPr>
              <w:t>0</w:t>
            </w:r>
          </w:p>
        </w:tc>
        <w:tc>
          <w:tcPr>
            <w:tcW w:w="1812" w:type="dxa"/>
            <w:vAlign w:val="center"/>
          </w:tcPr>
          <w:p w14:paraId="743842C0" w14:textId="77777777" w:rsidR="0094644B" w:rsidRPr="00FA3F57" w:rsidRDefault="0094644B" w:rsidP="00FB5086">
            <w:pPr>
              <w:spacing w:before="60" w:after="60"/>
              <w:jc w:val="center"/>
              <w:rPr>
                <w:sz w:val="18"/>
                <w:szCs w:val="18"/>
              </w:rPr>
            </w:pPr>
            <w:r w:rsidRPr="00FA3F57">
              <w:rPr>
                <w:sz w:val="18"/>
                <w:szCs w:val="18"/>
              </w:rPr>
              <w:t>0</w:t>
            </w:r>
          </w:p>
        </w:tc>
      </w:tr>
      <w:tr w:rsidR="0094644B" w:rsidRPr="00F07779" w14:paraId="3C74E147" w14:textId="77777777" w:rsidTr="00FB5086">
        <w:trPr>
          <w:cantSplit/>
          <w:trHeight w:val="92"/>
        </w:trPr>
        <w:tc>
          <w:tcPr>
            <w:tcW w:w="2423" w:type="dxa"/>
            <w:vMerge/>
          </w:tcPr>
          <w:p w14:paraId="31E997C1" w14:textId="77777777" w:rsidR="0094644B" w:rsidRPr="00FA3F57" w:rsidRDefault="0094644B" w:rsidP="00FB5086">
            <w:pPr>
              <w:spacing w:after="120"/>
              <w:jc w:val="both"/>
              <w:rPr>
                <w:sz w:val="20"/>
                <w:szCs w:val="20"/>
              </w:rPr>
            </w:pPr>
          </w:p>
        </w:tc>
        <w:tc>
          <w:tcPr>
            <w:tcW w:w="833" w:type="dxa"/>
            <w:vMerge/>
          </w:tcPr>
          <w:p w14:paraId="696F8AD9" w14:textId="77777777" w:rsidR="0094644B" w:rsidRPr="00FA3F57" w:rsidRDefault="0094644B" w:rsidP="00FB5086">
            <w:pPr>
              <w:spacing w:after="120"/>
              <w:jc w:val="both"/>
              <w:rPr>
                <w:sz w:val="20"/>
                <w:szCs w:val="20"/>
              </w:rPr>
            </w:pPr>
          </w:p>
        </w:tc>
        <w:tc>
          <w:tcPr>
            <w:tcW w:w="830" w:type="dxa"/>
            <w:vAlign w:val="center"/>
          </w:tcPr>
          <w:p w14:paraId="772E8876" w14:textId="77777777" w:rsidR="0094644B" w:rsidRPr="00FA3F57" w:rsidRDefault="0094644B" w:rsidP="00FB5086">
            <w:pPr>
              <w:spacing w:before="60" w:after="60"/>
              <w:jc w:val="center"/>
              <w:rPr>
                <w:sz w:val="20"/>
                <w:szCs w:val="20"/>
              </w:rPr>
            </w:pPr>
            <w:r w:rsidRPr="00FA3F57">
              <w:rPr>
                <w:sz w:val="20"/>
                <w:szCs w:val="20"/>
              </w:rPr>
              <w:t>2027</w:t>
            </w:r>
          </w:p>
        </w:tc>
        <w:tc>
          <w:tcPr>
            <w:tcW w:w="1889" w:type="dxa"/>
            <w:vAlign w:val="center"/>
          </w:tcPr>
          <w:p w14:paraId="4F360AB5" w14:textId="77777777" w:rsidR="0094644B" w:rsidRPr="00F07779" w:rsidRDefault="0094644B" w:rsidP="00FB5086">
            <w:pPr>
              <w:spacing w:before="60" w:after="60"/>
              <w:jc w:val="center"/>
              <w:rPr>
                <w:color w:val="000000"/>
                <w:sz w:val="18"/>
                <w:szCs w:val="18"/>
              </w:rPr>
            </w:pPr>
            <w:r w:rsidRPr="00FA3F57">
              <w:rPr>
                <w:sz w:val="18"/>
                <w:szCs w:val="18"/>
              </w:rPr>
              <w:t>0</w:t>
            </w:r>
          </w:p>
        </w:tc>
        <w:tc>
          <w:tcPr>
            <w:tcW w:w="1889" w:type="dxa"/>
            <w:vAlign w:val="center"/>
          </w:tcPr>
          <w:p w14:paraId="674594B3" w14:textId="77777777" w:rsidR="0094644B" w:rsidRPr="00FA3F57" w:rsidRDefault="0094644B" w:rsidP="00FB5086">
            <w:pPr>
              <w:spacing w:before="60" w:after="60"/>
              <w:jc w:val="center"/>
              <w:rPr>
                <w:sz w:val="18"/>
                <w:szCs w:val="18"/>
              </w:rPr>
            </w:pPr>
            <w:r w:rsidRPr="00FA3F57">
              <w:rPr>
                <w:sz w:val="18"/>
                <w:szCs w:val="18"/>
              </w:rPr>
              <w:t>0</w:t>
            </w:r>
          </w:p>
        </w:tc>
        <w:tc>
          <w:tcPr>
            <w:tcW w:w="1812" w:type="dxa"/>
            <w:vAlign w:val="center"/>
          </w:tcPr>
          <w:p w14:paraId="736673C9" w14:textId="77777777" w:rsidR="0094644B" w:rsidRPr="00F07779" w:rsidRDefault="0094644B" w:rsidP="00FB5086">
            <w:pPr>
              <w:spacing w:before="60" w:after="60"/>
              <w:jc w:val="center"/>
              <w:rPr>
                <w:sz w:val="18"/>
                <w:szCs w:val="18"/>
              </w:rPr>
            </w:pPr>
            <w:r w:rsidRPr="00FA3F57">
              <w:rPr>
                <w:sz w:val="18"/>
                <w:szCs w:val="18"/>
              </w:rPr>
              <w:t>0</w:t>
            </w:r>
          </w:p>
        </w:tc>
      </w:tr>
      <w:tr w:rsidR="0094644B" w:rsidRPr="00F07779" w14:paraId="411CD250" w14:textId="77777777" w:rsidTr="00FB5086">
        <w:trPr>
          <w:cantSplit/>
          <w:trHeight w:val="92"/>
        </w:trPr>
        <w:tc>
          <w:tcPr>
            <w:tcW w:w="2423" w:type="dxa"/>
            <w:vMerge/>
          </w:tcPr>
          <w:p w14:paraId="6AF332FD" w14:textId="77777777" w:rsidR="0094644B" w:rsidRPr="00FA3F57" w:rsidRDefault="0094644B" w:rsidP="00FB5086">
            <w:pPr>
              <w:spacing w:after="120"/>
              <w:jc w:val="both"/>
              <w:rPr>
                <w:sz w:val="20"/>
                <w:szCs w:val="20"/>
              </w:rPr>
            </w:pPr>
          </w:p>
        </w:tc>
        <w:tc>
          <w:tcPr>
            <w:tcW w:w="833" w:type="dxa"/>
            <w:vMerge/>
          </w:tcPr>
          <w:p w14:paraId="0EF7F7B8" w14:textId="77777777" w:rsidR="0094644B" w:rsidRPr="00FA3F57" w:rsidRDefault="0094644B" w:rsidP="00FB5086">
            <w:pPr>
              <w:spacing w:after="120"/>
              <w:jc w:val="both"/>
              <w:rPr>
                <w:sz w:val="20"/>
                <w:szCs w:val="20"/>
              </w:rPr>
            </w:pPr>
          </w:p>
        </w:tc>
        <w:tc>
          <w:tcPr>
            <w:tcW w:w="830" w:type="dxa"/>
            <w:vAlign w:val="center"/>
          </w:tcPr>
          <w:p w14:paraId="59E6FF38" w14:textId="77777777" w:rsidR="0094644B" w:rsidRPr="00FA3F57" w:rsidRDefault="0094644B" w:rsidP="00FB5086">
            <w:pPr>
              <w:spacing w:before="60" w:after="60"/>
              <w:jc w:val="center"/>
              <w:rPr>
                <w:sz w:val="20"/>
                <w:szCs w:val="20"/>
              </w:rPr>
            </w:pPr>
            <w:r w:rsidRPr="00FA3F57">
              <w:rPr>
                <w:sz w:val="20"/>
                <w:szCs w:val="20"/>
              </w:rPr>
              <w:t>2028</w:t>
            </w:r>
          </w:p>
        </w:tc>
        <w:tc>
          <w:tcPr>
            <w:tcW w:w="1889" w:type="dxa"/>
          </w:tcPr>
          <w:p w14:paraId="0DD9FC16" w14:textId="77777777" w:rsidR="0094644B" w:rsidRPr="00FA3F57" w:rsidRDefault="0094644B" w:rsidP="00FB5086">
            <w:pPr>
              <w:spacing w:before="60" w:after="60"/>
              <w:jc w:val="center"/>
              <w:rPr>
                <w:sz w:val="18"/>
                <w:szCs w:val="18"/>
              </w:rPr>
            </w:pPr>
            <w:r w:rsidRPr="00FA3F57">
              <w:rPr>
                <w:sz w:val="18"/>
                <w:szCs w:val="18"/>
              </w:rPr>
              <w:t>0</w:t>
            </w:r>
          </w:p>
        </w:tc>
        <w:tc>
          <w:tcPr>
            <w:tcW w:w="1889" w:type="dxa"/>
          </w:tcPr>
          <w:p w14:paraId="7EA88B51" w14:textId="77777777" w:rsidR="0094644B" w:rsidRPr="00FA3F57" w:rsidRDefault="0094644B" w:rsidP="00FB5086">
            <w:pPr>
              <w:spacing w:before="60" w:after="60"/>
              <w:jc w:val="center"/>
              <w:rPr>
                <w:sz w:val="18"/>
                <w:szCs w:val="18"/>
              </w:rPr>
            </w:pPr>
            <w:r w:rsidRPr="00FA3F57">
              <w:rPr>
                <w:sz w:val="18"/>
                <w:szCs w:val="18"/>
              </w:rPr>
              <w:t>0</w:t>
            </w:r>
          </w:p>
        </w:tc>
        <w:tc>
          <w:tcPr>
            <w:tcW w:w="1812" w:type="dxa"/>
          </w:tcPr>
          <w:p w14:paraId="22F58C87" w14:textId="77777777" w:rsidR="0094644B" w:rsidRPr="00F07779" w:rsidRDefault="0094644B" w:rsidP="00FB5086">
            <w:pPr>
              <w:spacing w:before="60" w:after="60"/>
              <w:jc w:val="center"/>
              <w:rPr>
                <w:sz w:val="18"/>
                <w:szCs w:val="18"/>
              </w:rPr>
            </w:pPr>
            <w:r w:rsidRPr="00FA3F57">
              <w:rPr>
                <w:sz w:val="18"/>
                <w:szCs w:val="18"/>
              </w:rPr>
              <w:t>0</w:t>
            </w:r>
          </w:p>
        </w:tc>
      </w:tr>
      <w:tr w:rsidR="0094644B" w:rsidRPr="00F07779" w14:paraId="1500B50C" w14:textId="77777777" w:rsidTr="00FB5086">
        <w:trPr>
          <w:cantSplit/>
          <w:trHeight w:val="92"/>
        </w:trPr>
        <w:tc>
          <w:tcPr>
            <w:tcW w:w="4086" w:type="dxa"/>
            <w:gridSpan w:val="3"/>
            <w:vMerge w:val="restart"/>
            <w:vAlign w:val="center"/>
          </w:tcPr>
          <w:p w14:paraId="09BD148B" w14:textId="77777777" w:rsidR="0094644B" w:rsidRPr="00FA3F57" w:rsidRDefault="0094644B" w:rsidP="00FB5086">
            <w:pPr>
              <w:spacing w:after="120"/>
              <w:jc w:val="right"/>
              <w:rPr>
                <w:sz w:val="20"/>
                <w:szCs w:val="20"/>
              </w:rPr>
            </w:pPr>
            <w:r w:rsidRPr="00FA3F57">
              <w:rPr>
                <w:sz w:val="20"/>
                <w:szCs w:val="20"/>
              </w:rPr>
              <w:t>In total</w:t>
            </w:r>
          </w:p>
        </w:tc>
        <w:tc>
          <w:tcPr>
            <w:tcW w:w="1889" w:type="dxa"/>
            <w:vAlign w:val="center"/>
          </w:tcPr>
          <w:p w14:paraId="35C9C4EE" w14:textId="77777777" w:rsidR="0094644B" w:rsidRPr="00FA3F57" w:rsidRDefault="0094644B" w:rsidP="00FB5086">
            <w:pPr>
              <w:spacing w:after="60"/>
              <w:ind w:hanging="110"/>
              <w:jc w:val="right"/>
              <w:rPr>
                <w:sz w:val="20"/>
                <w:szCs w:val="20"/>
              </w:rPr>
            </w:pPr>
            <w:r w:rsidRPr="00FA3F57">
              <w:rPr>
                <w:sz w:val="20"/>
                <w:szCs w:val="20"/>
              </w:rPr>
              <w:t>33.1</w:t>
            </w:r>
            <w:r w:rsidRPr="00F07779">
              <w:rPr>
                <w:sz w:val="20"/>
                <w:szCs w:val="20"/>
              </w:rPr>
              <w:t>25</w:t>
            </w:r>
            <w:r w:rsidRPr="00FA3F57">
              <w:rPr>
                <w:sz w:val="20"/>
                <w:szCs w:val="20"/>
              </w:rPr>
              <w:t xml:space="preserve"> </w:t>
            </w:r>
            <w:proofErr w:type="spellStart"/>
            <w:r w:rsidRPr="00FA3F57">
              <w:rPr>
                <w:sz w:val="20"/>
                <w:szCs w:val="20"/>
              </w:rPr>
              <w:t>mn</w:t>
            </w:r>
            <w:proofErr w:type="spellEnd"/>
            <w:r w:rsidRPr="00FA3F57">
              <w:rPr>
                <w:sz w:val="20"/>
                <w:szCs w:val="20"/>
              </w:rPr>
              <w:t xml:space="preserve"> RSD</w:t>
            </w:r>
          </w:p>
          <w:p w14:paraId="1894AD4A" w14:textId="77777777" w:rsidR="0094644B" w:rsidRPr="00FA3F57" w:rsidRDefault="0094644B" w:rsidP="00FB5086">
            <w:pPr>
              <w:spacing w:after="60"/>
              <w:ind w:hanging="110"/>
              <w:jc w:val="right"/>
              <w:rPr>
                <w:sz w:val="20"/>
                <w:szCs w:val="20"/>
              </w:rPr>
            </w:pPr>
            <w:r w:rsidRPr="00FA3F57">
              <w:rPr>
                <w:sz w:val="20"/>
                <w:szCs w:val="20"/>
              </w:rPr>
              <w:t>282,</w:t>
            </w:r>
            <w:r w:rsidRPr="00F07779">
              <w:rPr>
                <w:sz w:val="20"/>
                <w:szCs w:val="20"/>
              </w:rPr>
              <w:t>5</w:t>
            </w:r>
            <w:r w:rsidRPr="00FA3F57">
              <w:rPr>
                <w:sz w:val="20"/>
                <w:szCs w:val="20"/>
              </w:rPr>
              <w:t xml:space="preserve"> </w:t>
            </w:r>
            <w:proofErr w:type="spellStart"/>
            <w:r w:rsidRPr="00FA3F57">
              <w:rPr>
                <w:sz w:val="20"/>
                <w:szCs w:val="20"/>
              </w:rPr>
              <w:t>mn</w:t>
            </w:r>
            <w:proofErr w:type="spellEnd"/>
            <w:r w:rsidRPr="00FA3F57">
              <w:rPr>
                <w:sz w:val="20"/>
                <w:szCs w:val="20"/>
              </w:rPr>
              <w:t xml:space="preserve"> EUR</w:t>
            </w:r>
          </w:p>
        </w:tc>
        <w:tc>
          <w:tcPr>
            <w:tcW w:w="1889" w:type="dxa"/>
            <w:vAlign w:val="center"/>
          </w:tcPr>
          <w:p w14:paraId="1AC8A6A8" w14:textId="77777777" w:rsidR="0094644B" w:rsidRPr="00FA3F57" w:rsidRDefault="0094644B" w:rsidP="00FB5086">
            <w:pPr>
              <w:spacing w:after="60"/>
              <w:ind w:hanging="110"/>
              <w:jc w:val="right"/>
              <w:rPr>
                <w:sz w:val="20"/>
                <w:szCs w:val="20"/>
              </w:rPr>
            </w:pPr>
            <w:r w:rsidRPr="00FA3F57">
              <w:rPr>
                <w:sz w:val="20"/>
                <w:szCs w:val="20"/>
              </w:rPr>
              <w:t xml:space="preserve">141.818 </w:t>
            </w:r>
            <w:proofErr w:type="spellStart"/>
            <w:r w:rsidRPr="00FA3F57">
              <w:rPr>
                <w:sz w:val="20"/>
                <w:szCs w:val="20"/>
              </w:rPr>
              <w:t>mn</w:t>
            </w:r>
            <w:proofErr w:type="spellEnd"/>
            <w:r w:rsidRPr="00FA3F57">
              <w:rPr>
                <w:sz w:val="20"/>
                <w:szCs w:val="20"/>
              </w:rPr>
              <w:t xml:space="preserve"> RSD</w:t>
            </w:r>
          </w:p>
          <w:p w14:paraId="1EAE4C68" w14:textId="77777777" w:rsidR="0094644B" w:rsidRPr="00FA3F57" w:rsidRDefault="0094644B" w:rsidP="00FB5086">
            <w:pPr>
              <w:spacing w:after="60"/>
              <w:ind w:hanging="110"/>
              <w:jc w:val="right"/>
              <w:rPr>
                <w:sz w:val="20"/>
                <w:szCs w:val="20"/>
              </w:rPr>
            </w:pPr>
            <w:r w:rsidRPr="00FA3F57">
              <w:rPr>
                <w:sz w:val="20"/>
                <w:szCs w:val="20"/>
              </w:rPr>
              <w:t xml:space="preserve">1.209,5 </w:t>
            </w:r>
            <w:proofErr w:type="spellStart"/>
            <w:r w:rsidRPr="00FA3F57">
              <w:rPr>
                <w:sz w:val="20"/>
                <w:szCs w:val="20"/>
              </w:rPr>
              <w:t>mn</w:t>
            </w:r>
            <w:proofErr w:type="spellEnd"/>
            <w:r w:rsidRPr="00FA3F57">
              <w:rPr>
                <w:sz w:val="20"/>
                <w:szCs w:val="20"/>
              </w:rPr>
              <w:t xml:space="preserve"> EUR</w:t>
            </w:r>
          </w:p>
        </w:tc>
        <w:tc>
          <w:tcPr>
            <w:tcW w:w="1812" w:type="dxa"/>
            <w:vAlign w:val="center"/>
          </w:tcPr>
          <w:p w14:paraId="1FB5EF4D" w14:textId="77777777" w:rsidR="0094644B" w:rsidRPr="00FA3F57" w:rsidRDefault="0094644B" w:rsidP="00FB5086">
            <w:pPr>
              <w:spacing w:after="60"/>
              <w:ind w:hanging="110"/>
              <w:jc w:val="right"/>
              <w:rPr>
                <w:sz w:val="20"/>
                <w:szCs w:val="20"/>
              </w:rPr>
            </w:pPr>
            <w:r w:rsidRPr="00FA3F57">
              <w:rPr>
                <w:sz w:val="20"/>
                <w:szCs w:val="20"/>
              </w:rPr>
              <w:t>33,1</w:t>
            </w:r>
            <w:r w:rsidRPr="00F07779">
              <w:rPr>
                <w:sz w:val="20"/>
                <w:szCs w:val="20"/>
              </w:rPr>
              <w:t>25</w:t>
            </w:r>
            <w:r w:rsidRPr="00FA3F57">
              <w:rPr>
                <w:sz w:val="20"/>
                <w:szCs w:val="20"/>
              </w:rPr>
              <w:t xml:space="preserve"> </w:t>
            </w:r>
            <w:proofErr w:type="spellStart"/>
            <w:r w:rsidRPr="00FA3F57">
              <w:rPr>
                <w:sz w:val="20"/>
                <w:szCs w:val="20"/>
              </w:rPr>
              <w:t>mn</w:t>
            </w:r>
            <w:proofErr w:type="spellEnd"/>
            <w:r w:rsidRPr="00FA3F57">
              <w:rPr>
                <w:sz w:val="20"/>
                <w:szCs w:val="20"/>
              </w:rPr>
              <w:t xml:space="preserve"> RSD</w:t>
            </w:r>
          </w:p>
          <w:p w14:paraId="21AA1552" w14:textId="77777777" w:rsidR="0094644B" w:rsidRPr="00FA3F57" w:rsidRDefault="0094644B" w:rsidP="00FB5086">
            <w:pPr>
              <w:spacing w:after="60"/>
              <w:ind w:hanging="110"/>
              <w:jc w:val="right"/>
              <w:rPr>
                <w:sz w:val="20"/>
                <w:szCs w:val="20"/>
              </w:rPr>
            </w:pPr>
            <w:r w:rsidRPr="00FA3F57">
              <w:rPr>
                <w:sz w:val="20"/>
                <w:szCs w:val="20"/>
              </w:rPr>
              <w:t>282.</w:t>
            </w:r>
            <w:r w:rsidRPr="00F07779">
              <w:rPr>
                <w:sz w:val="20"/>
                <w:szCs w:val="20"/>
              </w:rPr>
              <w:t>5</w:t>
            </w:r>
            <w:r w:rsidRPr="00FA3F57">
              <w:rPr>
                <w:sz w:val="20"/>
                <w:szCs w:val="20"/>
              </w:rPr>
              <w:t xml:space="preserve"> </w:t>
            </w:r>
            <w:proofErr w:type="spellStart"/>
            <w:r w:rsidRPr="00FA3F57">
              <w:rPr>
                <w:sz w:val="20"/>
                <w:szCs w:val="20"/>
              </w:rPr>
              <w:t>mn</w:t>
            </w:r>
            <w:proofErr w:type="spellEnd"/>
            <w:r w:rsidRPr="00FA3F57">
              <w:rPr>
                <w:sz w:val="20"/>
                <w:szCs w:val="20"/>
              </w:rPr>
              <w:t xml:space="preserve"> EUR</w:t>
            </w:r>
          </w:p>
        </w:tc>
      </w:tr>
      <w:tr w:rsidR="0094644B" w:rsidRPr="00F07779" w14:paraId="2F02A064" w14:textId="77777777" w:rsidTr="00FB5086">
        <w:trPr>
          <w:cantSplit/>
          <w:trHeight w:val="92"/>
        </w:trPr>
        <w:tc>
          <w:tcPr>
            <w:tcW w:w="4086" w:type="dxa"/>
            <w:gridSpan w:val="3"/>
            <w:vMerge/>
            <w:vAlign w:val="center"/>
          </w:tcPr>
          <w:p w14:paraId="572E410F" w14:textId="77777777" w:rsidR="0094644B" w:rsidRPr="00FA3F57" w:rsidRDefault="0094644B" w:rsidP="00FB5086">
            <w:pPr>
              <w:spacing w:after="120"/>
              <w:jc w:val="both"/>
              <w:rPr>
                <w:sz w:val="20"/>
                <w:szCs w:val="20"/>
              </w:rPr>
            </w:pPr>
          </w:p>
        </w:tc>
        <w:tc>
          <w:tcPr>
            <w:tcW w:w="5590" w:type="dxa"/>
            <w:gridSpan w:val="3"/>
            <w:vAlign w:val="center"/>
          </w:tcPr>
          <w:p w14:paraId="2482C307" w14:textId="77777777" w:rsidR="0094644B" w:rsidRPr="00FA3F57" w:rsidRDefault="0094644B" w:rsidP="00FB5086">
            <w:pPr>
              <w:jc w:val="center"/>
              <w:rPr>
                <w:sz w:val="20"/>
                <w:szCs w:val="20"/>
              </w:rPr>
            </w:pPr>
            <w:r w:rsidRPr="00FA3F57">
              <w:rPr>
                <w:sz w:val="20"/>
                <w:szCs w:val="20"/>
              </w:rPr>
              <w:t>652,7</w:t>
            </w:r>
            <w:r w:rsidRPr="00F07779">
              <w:rPr>
                <w:sz w:val="20"/>
                <w:szCs w:val="20"/>
              </w:rPr>
              <w:t>37</w:t>
            </w:r>
            <w:r w:rsidRPr="00FA3F57">
              <w:rPr>
                <w:sz w:val="20"/>
                <w:szCs w:val="20"/>
              </w:rPr>
              <w:t xml:space="preserve"> </w:t>
            </w:r>
            <w:proofErr w:type="spellStart"/>
            <w:r w:rsidRPr="00FA3F57">
              <w:rPr>
                <w:sz w:val="20"/>
                <w:szCs w:val="20"/>
              </w:rPr>
              <w:t>mn</w:t>
            </w:r>
            <w:proofErr w:type="spellEnd"/>
            <w:r w:rsidRPr="00FA3F57">
              <w:rPr>
                <w:sz w:val="20"/>
                <w:szCs w:val="20"/>
              </w:rPr>
              <w:t xml:space="preserve"> RSD</w:t>
            </w:r>
          </w:p>
          <w:p w14:paraId="4780B092" w14:textId="77777777" w:rsidR="0094644B" w:rsidRPr="00F07779" w:rsidRDefault="0094644B" w:rsidP="00FB5086">
            <w:pPr>
              <w:spacing w:after="60"/>
              <w:jc w:val="center"/>
              <w:rPr>
                <w:sz w:val="20"/>
                <w:szCs w:val="20"/>
              </w:rPr>
            </w:pPr>
            <w:r w:rsidRPr="00FA3F57">
              <w:rPr>
                <w:sz w:val="20"/>
                <w:szCs w:val="20"/>
              </w:rPr>
              <w:t xml:space="preserve">5,567 </w:t>
            </w:r>
            <w:proofErr w:type="spellStart"/>
            <w:r w:rsidRPr="00FA3F57">
              <w:rPr>
                <w:sz w:val="20"/>
                <w:szCs w:val="20"/>
              </w:rPr>
              <w:t>mn</w:t>
            </w:r>
            <w:proofErr w:type="spellEnd"/>
            <w:r w:rsidRPr="00FA3F57">
              <w:rPr>
                <w:sz w:val="20"/>
                <w:szCs w:val="20"/>
              </w:rPr>
              <w:t xml:space="preserve"> EUR</w:t>
            </w:r>
          </w:p>
        </w:tc>
      </w:tr>
    </w:tbl>
    <w:bookmarkEnd w:id="7"/>
    <w:p w14:paraId="12CFDD85" w14:textId="77777777" w:rsidR="0094644B" w:rsidRPr="00F07779" w:rsidRDefault="0094644B" w:rsidP="0094644B">
      <w:pPr>
        <w:jc w:val="both"/>
        <w:rPr>
          <w:sz w:val="16"/>
          <w:szCs w:val="16"/>
        </w:rPr>
      </w:pPr>
      <w:r w:rsidRPr="00F07779">
        <w:rPr>
          <w:sz w:val="16"/>
          <w:szCs w:val="16"/>
        </w:rPr>
        <w:t>* Inv-Investment, R-Regulatory, S – Supportive (Incentive), Inf-Informative, IG – Institutional/governance, F-Financial</w:t>
      </w:r>
      <w:r w:rsidRPr="00F07779" w:rsidDel="009C5893">
        <w:rPr>
          <w:sz w:val="16"/>
          <w:szCs w:val="16"/>
        </w:rPr>
        <w:t xml:space="preserve"> </w:t>
      </w:r>
    </w:p>
    <w:p w14:paraId="4B71EBD7" w14:textId="77777777" w:rsidR="0094644B" w:rsidRPr="00FA3F57" w:rsidRDefault="0094644B" w:rsidP="0094644B">
      <w:pPr>
        <w:jc w:val="both"/>
      </w:pPr>
    </w:p>
    <w:p w14:paraId="6C717D9B" w14:textId="77777777" w:rsidR="0094644B" w:rsidRPr="00FA3F57" w:rsidRDefault="0094644B" w:rsidP="0094644B">
      <w:pPr>
        <w:jc w:val="both"/>
      </w:pPr>
      <w:r w:rsidRPr="00FA3F57">
        <w:t>Table 5.1.2 presents the adopted development objectives of the electricity sector, measures to achieve the stated objectives, indicators for monitoring implementation, the value of the indicator in 2023, and projected values in 2026-2028. Tables 5.1.3-5.1.7 present in detail the activities required for their implementation for each of the measures.</w:t>
      </w:r>
    </w:p>
    <w:p w14:paraId="58EC8FBB" w14:textId="77777777" w:rsidR="0094644B" w:rsidRPr="00FA3F57" w:rsidRDefault="0094644B" w:rsidP="0094644B">
      <w:pPr>
        <w:jc w:val="both"/>
      </w:pPr>
    </w:p>
    <w:p w14:paraId="0652CC7C" w14:textId="77777777" w:rsidR="0094644B" w:rsidRPr="00FA3F57" w:rsidRDefault="0094644B" w:rsidP="0094644B">
      <w:pPr>
        <w:jc w:val="both"/>
        <w:sectPr w:rsidR="0094644B" w:rsidRPr="00FA3F57" w:rsidSect="0094644B">
          <w:footerReference w:type="even" r:id="rId11"/>
          <w:footerReference w:type="default" r:id="rId12"/>
          <w:pgSz w:w="11900" w:h="16840"/>
          <w:pgMar w:top="810" w:right="1134" w:bottom="810" w:left="173" w:header="709" w:footer="709" w:gutter="907"/>
          <w:cols w:space="708"/>
          <w:titlePg/>
          <w:docGrid w:linePitch="360"/>
        </w:sectPr>
      </w:pPr>
    </w:p>
    <w:p w14:paraId="317B5277" w14:textId="77777777" w:rsidR="0094644B" w:rsidRPr="00FA3F57" w:rsidRDefault="0094644B" w:rsidP="0094644B">
      <w:r w:rsidRPr="00FA3F57">
        <w:lastRenderedPageBreak/>
        <w:t>Table 5.1.2: Objectives, measures, and indicators in the electricity sector</w:t>
      </w:r>
      <w:r w:rsidRPr="00FA3F57" w:rsidDel="00F25917">
        <w:t xml:space="preserve"> </w:t>
      </w:r>
    </w:p>
    <w:tbl>
      <w:tblPr>
        <w:tblStyle w:val="TableGrid1"/>
        <w:tblW w:w="14572" w:type="dxa"/>
        <w:tblLayout w:type="fixed"/>
        <w:tblLook w:val="04A0" w:firstRow="1" w:lastRow="0" w:firstColumn="1" w:lastColumn="0" w:noHBand="0" w:noVBand="1"/>
      </w:tblPr>
      <w:tblGrid>
        <w:gridCol w:w="1040"/>
        <w:gridCol w:w="957"/>
        <w:gridCol w:w="4198"/>
        <w:gridCol w:w="2070"/>
        <w:gridCol w:w="1800"/>
        <w:gridCol w:w="1992"/>
        <w:gridCol w:w="2515"/>
      </w:tblGrid>
      <w:tr w:rsidR="0094644B" w:rsidRPr="00F07779" w14:paraId="0C52FBEF" w14:textId="77777777" w:rsidTr="00FB5086">
        <w:tc>
          <w:tcPr>
            <w:tcW w:w="1997" w:type="dxa"/>
            <w:gridSpan w:val="2"/>
            <w:hideMark/>
          </w:tcPr>
          <w:p w14:paraId="63177984" w14:textId="77777777" w:rsidR="0094644B" w:rsidRPr="00FA3F57" w:rsidRDefault="0094644B" w:rsidP="00FB5086">
            <w:pPr>
              <w:snapToGrid w:val="0"/>
              <w:ind w:firstLine="15"/>
              <w:rPr>
                <w:rFonts w:eastAsia="Calibri"/>
                <w:b/>
                <w:bCs/>
                <w:color w:val="2F5496"/>
                <w:sz w:val="18"/>
                <w:szCs w:val="18"/>
                <w:lang w:val="en-US"/>
              </w:rPr>
            </w:pPr>
            <w:r w:rsidRPr="00FA3F57">
              <w:rPr>
                <w:rFonts w:eastAsia="Calibri"/>
                <w:b/>
                <w:bCs/>
                <w:color w:val="2F5496"/>
                <w:sz w:val="18"/>
                <w:szCs w:val="18"/>
                <w:lang w:val="en-US"/>
              </w:rPr>
              <w:t>Objectives</w:t>
            </w:r>
          </w:p>
        </w:tc>
        <w:tc>
          <w:tcPr>
            <w:tcW w:w="4198" w:type="dxa"/>
            <w:hideMark/>
          </w:tcPr>
          <w:p w14:paraId="169DB870" w14:textId="77777777" w:rsidR="0094644B" w:rsidRPr="00FA3F57" w:rsidRDefault="0094644B" w:rsidP="00FB5086">
            <w:pPr>
              <w:pStyle w:val="ListParagraph"/>
              <w:numPr>
                <w:ilvl w:val="0"/>
                <w:numId w:val="1"/>
              </w:numPr>
              <w:snapToGrid w:val="0"/>
              <w:ind w:left="130" w:hanging="187"/>
              <w:contextualSpacing w:val="0"/>
              <w:rPr>
                <w:rFonts w:ascii="Times New Roman" w:eastAsia="Calibri" w:hAnsi="Times New Roman" w:cs="Times New Roman"/>
                <w:noProof w:val="0"/>
                <w:color w:val="2F5496"/>
                <w:sz w:val="18"/>
                <w:szCs w:val="18"/>
                <w:lang w:val="en-US"/>
              </w:rPr>
            </w:pPr>
            <w:r w:rsidRPr="00FA3F57">
              <w:rPr>
                <w:rFonts w:ascii="Times New Roman" w:eastAsia="Calibri" w:hAnsi="Times New Roman" w:cs="Times New Roman"/>
                <w:noProof w:val="0"/>
                <w:color w:val="2F5496"/>
                <w:sz w:val="18"/>
                <w:szCs w:val="18"/>
                <w:lang w:val="en-US"/>
              </w:rPr>
              <w:t>Secure electricity supply to the domestic market</w:t>
            </w:r>
          </w:p>
        </w:tc>
        <w:tc>
          <w:tcPr>
            <w:tcW w:w="2070" w:type="dxa"/>
          </w:tcPr>
          <w:p w14:paraId="3BB9615A" w14:textId="77777777" w:rsidR="0094644B" w:rsidRPr="00FA3F57" w:rsidRDefault="0094644B" w:rsidP="00FB5086">
            <w:pPr>
              <w:pStyle w:val="ListParagraph"/>
              <w:numPr>
                <w:ilvl w:val="0"/>
                <w:numId w:val="1"/>
              </w:numPr>
              <w:snapToGrid w:val="0"/>
              <w:ind w:left="129" w:hanging="187"/>
              <w:contextualSpacing w:val="0"/>
              <w:rPr>
                <w:rFonts w:ascii="Times New Roman" w:eastAsia="Calibri" w:hAnsi="Times New Roman" w:cs="Times New Roman"/>
                <w:noProof w:val="0"/>
                <w:color w:val="2F5496"/>
                <w:sz w:val="18"/>
                <w:szCs w:val="18"/>
                <w:lang w:val="en-US"/>
              </w:rPr>
            </w:pPr>
            <w:r w:rsidRPr="00F07779">
              <w:rPr>
                <w:rFonts w:ascii="Times New Roman" w:eastAsia="Calibri" w:hAnsi="Times New Roman" w:cs="Times New Roman"/>
                <w:noProof w:val="0"/>
                <w:color w:val="2F5496"/>
                <w:sz w:val="18"/>
                <w:szCs w:val="18"/>
                <w:lang w:val="en-US"/>
              </w:rPr>
              <w:t>Continuous reduction of greenhouse gas emissions</w:t>
            </w:r>
          </w:p>
        </w:tc>
        <w:tc>
          <w:tcPr>
            <w:tcW w:w="1800" w:type="dxa"/>
          </w:tcPr>
          <w:p w14:paraId="51D88A2B" w14:textId="77777777" w:rsidR="0094644B" w:rsidRPr="00FA3F57" w:rsidRDefault="0094644B" w:rsidP="00FB5086">
            <w:pPr>
              <w:pStyle w:val="ListParagraph"/>
              <w:numPr>
                <w:ilvl w:val="0"/>
                <w:numId w:val="1"/>
              </w:numPr>
              <w:snapToGrid w:val="0"/>
              <w:ind w:left="129" w:hanging="187"/>
              <w:contextualSpacing w:val="0"/>
              <w:rPr>
                <w:rFonts w:ascii="Times New Roman" w:eastAsia="Calibri" w:hAnsi="Times New Roman" w:cs="Times New Roman"/>
                <w:noProof w:val="0"/>
                <w:color w:val="2F5496"/>
                <w:sz w:val="18"/>
                <w:szCs w:val="18"/>
                <w:lang w:val="en-US"/>
              </w:rPr>
            </w:pPr>
            <w:r w:rsidRPr="00F07779">
              <w:rPr>
                <w:rFonts w:ascii="Times New Roman" w:eastAsia="Calibri" w:hAnsi="Times New Roman" w:cs="Times New Roman"/>
                <w:noProof w:val="0"/>
                <w:color w:val="2F5496"/>
                <w:sz w:val="18"/>
                <w:szCs w:val="18"/>
                <w:lang w:val="en-US"/>
              </w:rPr>
              <w:t>Increasing the use of RES</w:t>
            </w:r>
          </w:p>
        </w:tc>
        <w:tc>
          <w:tcPr>
            <w:tcW w:w="1992" w:type="dxa"/>
          </w:tcPr>
          <w:p w14:paraId="7B39709B" w14:textId="77777777" w:rsidR="0094644B" w:rsidRPr="00FA3F57" w:rsidRDefault="0094644B" w:rsidP="00FB5086">
            <w:pPr>
              <w:pStyle w:val="ListParagraph"/>
              <w:numPr>
                <w:ilvl w:val="0"/>
                <w:numId w:val="1"/>
              </w:numPr>
              <w:snapToGrid w:val="0"/>
              <w:ind w:left="129" w:hanging="187"/>
              <w:contextualSpacing w:val="0"/>
              <w:rPr>
                <w:rFonts w:ascii="Times New Roman" w:eastAsia="Calibri" w:hAnsi="Times New Roman" w:cs="Times New Roman"/>
                <w:noProof w:val="0"/>
                <w:color w:val="2F5496"/>
                <w:sz w:val="18"/>
                <w:szCs w:val="18"/>
                <w:lang w:val="en-US"/>
              </w:rPr>
            </w:pPr>
            <w:r w:rsidRPr="00F07779">
              <w:rPr>
                <w:rFonts w:ascii="Times New Roman" w:eastAsia="Calibri" w:hAnsi="Times New Roman" w:cs="Times New Roman"/>
                <w:noProof w:val="0"/>
                <w:color w:val="2F5496"/>
                <w:sz w:val="18"/>
                <w:szCs w:val="18"/>
                <w:lang w:val="en-US"/>
              </w:rPr>
              <w:t>Maintaining energy independence</w:t>
            </w:r>
          </w:p>
        </w:tc>
        <w:tc>
          <w:tcPr>
            <w:tcW w:w="2515" w:type="dxa"/>
          </w:tcPr>
          <w:p w14:paraId="65A1D41B" w14:textId="77777777" w:rsidR="0094644B" w:rsidRPr="00FA3F57" w:rsidRDefault="0094644B" w:rsidP="00FB5086">
            <w:pPr>
              <w:pStyle w:val="ListParagraph"/>
              <w:numPr>
                <w:ilvl w:val="0"/>
                <w:numId w:val="1"/>
              </w:numPr>
              <w:snapToGrid w:val="0"/>
              <w:ind w:left="129" w:hanging="187"/>
              <w:contextualSpacing w:val="0"/>
              <w:rPr>
                <w:rFonts w:ascii="Times New Roman" w:eastAsia="Calibri" w:hAnsi="Times New Roman" w:cs="Times New Roman"/>
                <w:noProof w:val="0"/>
                <w:color w:val="2F5496"/>
                <w:sz w:val="18"/>
                <w:szCs w:val="18"/>
                <w:lang w:val="en-US"/>
              </w:rPr>
            </w:pPr>
            <w:r w:rsidRPr="00F07779">
              <w:rPr>
                <w:rFonts w:ascii="Times New Roman" w:eastAsia="Calibri" w:hAnsi="Times New Roman" w:cs="Times New Roman"/>
                <w:noProof w:val="0"/>
                <w:color w:val="2F5496"/>
                <w:sz w:val="18"/>
                <w:szCs w:val="18"/>
                <w:lang w:val="en-US"/>
              </w:rPr>
              <w:t xml:space="preserve">Increasing energy efficiency in </w:t>
            </w:r>
            <w:proofErr w:type="gramStart"/>
            <w:r w:rsidRPr="00F07779">
              <w:rPr>
                <w:rFonts w:ascii="Times New Roman" w:eastAsia="Calibri" w:hAnsi="Times New Roman" w:cs="Times New Roman"/>
                <w:noProof w:val="0"/>
                <w:color w:val="2F5496"/>
                <w:sz w:val="18"/>
                <w:szCs w:val="18"/>
                <w:lang w:val="en-US"/>
              </w:rPr>
              <w:t>the production</w:t>
            </w:r>
            <w:proofErr w:type="gramEnd"/>
            <w:r w:rsidRPr="00F07779">
              <w:rPr>
                <w:rFonts w:ascii="Times New Roman" w:eastAsia="Calibri" w:hAnsi="Times New Roman" w:cs="Times New Roman"/>
                <w:noProof w:val="0"/>
                <w:color w:val="2F5496"/>
                <w:sz w:val="18"/>
                <w:szCs w:val="18"/>
                <w:lang w:val="en-US"/>
              </w:rPr>
              <w:t>, transmission and distribution of electricity</w:t>
            </w:r>
          </w:p>
        </w:tc>
      </w:tr>
      <w:tr w:rsidR="0094644B" w:rsidRPr="00F07779" w14:paraId="66CE2300" w14:textId="77777777" w:rsidTr="00FB5086">
        <w:tc>
          <w:tcPr>
            <w:tcW w:w="1997" w:type="dxa"/>
            <w:gridSpan w:val="2"/>
            <w:hideMark/>
          </w:tcPr>
          <w:p w14:paraId="6697B76B" w14:textId="77777777" w:rsidR="0094644B" w:rsidRPr="00F07779" w:rsidRDefault="0094644B" w:rsidP="00FB5086">
            <w:pPr>
              <w:snapToGrid w:val="0"/>
              <w:ind w:firstLine="15"/>
              <w:rPr>
                <w:rFonts w:eastAsia="Calibri"/>
                <w:b/>
                <w:bCs/>
                <w:color w:val="2F5496"/>
                <w:sz w:val="18"/>
                <w:szCs w:val="18"/>
                <w:lang w:val="en-US"/>
              </w:rPr>
            </w:pPr>
            <w:r w:rsidRPr="00F07779">
              <w:rPr>
                <w:rFonts w:eastAsia="Calibri"/>
                <w:b/>
                <w:bCs/>
                <w:color w:val="2F5496"/>
                <w:sz w:val="18"/>
                <w:szCs w:val="18"/>
                <w:lang w:val="en-US"/>
              </w:rPr>
              <w:t>Measures</w:t>
            </w:r>
          </w:p>
        </w:tc>
        <w:tc>
          <w:tcPr>
            <w:tcW w:w="4198" w:type="dxa"/>
            <w:hideMark/>
          </w:tcPr>
          <w:p w14:paraId="65647B88" w14:textId="77777777" w:rsidR="0094644B" w:rsidRPr="00FA3F57" w:rsidRDefault="0094644B" w:rsidP="00FB5086">
            <w:pPr>
              <w:snapToGrid w:val="0"/>
              <w:ind w:left="130" w:firstLine="0"/>
              <w:rPr>
                <w:rFonts w:eastAsia="Calibri"/>
                <w:color w:val="2F5496"/>
                <w:sz w:val="18"/>
                <w:szCs w:val="18"/>
                <w:lang w:val="en-US"/>
              </w:rPr>
            </w:pPr>
            <w:r w:rsidRPr="00F07779">
              <w:rPr>
                <w:rFonts w:eastAsia="Calibri"/>
                <w:color w:val="2F5496"/>
                <w:sz w:val="18"/>
                <w:szCs w:val="18"/>
                <w:lang w:val="en-US"/>
              </w:rPr>
              <w:t>EL</w:t>
            </w:r>
            <w:r w:rsidRPr="00FA3F57">
              <w:rPr>
                <w:rFonts w:eastAsia="Calibri"/>
                <w:color w:val="2F5496"/>
                <w:sz w:val="18"/>
                <w:szCs w:val="18"/>
                <w:lang w:val="en-US"/>
              </w:rPr>
              <w:t xml:space="preserve">1, </w:t>
            </w:r>
            <w:r w:rsidRPr="00F07779">
              <w:rPr>
                <w:rFonts w:eastAsia="Calibri"/>
                <w:color w:val="2F5496"/>
                <w:sz w:val="18"/>
                <w:szCs w:val="18"/>
                <w:lang w:val="en-US"/>
              </w:rPr>
              <w:t>EL</w:t>
            </w:r>
            <w:r w:rsidRPr="00FA3F57">
              <w:rPr>
                <w:rFonts w:eastAsia="Calibri"/>
                <w:color w:val="2F5496"/>
                <w:sz w:val="18"/>
                <w:szCs w:val="18"/>
                <w:lang w:val="en-US"/>
              </w:rPr>
              <w:t xml:space="preserve">2, </w:t>
            </w:r>
            <w:r w:rsidRPr="00F07779">
              <w:rPr>
                <w:rFonts w:eastAsia="Calibri"/>
                <w:color w:val="2F5496"/>
                <w:sz w:val="18"/>
                <w:szCs w:val="18"/>
                <w:lang w:val="en-US"/>
              </w:rPr>
              <w:t>EL</w:t>
            </w:r>
            <w:r w:rsidRPr="00FA3F57">
              <w:rPr>
                <w:rFonts w:eastAsia="Calibri"/>
                <w:color w:val="2F5496"/>
                <w:sz w:val="18"/>
                <w:szCs w:val="18"/>
                <w:lang w:val="en-US"/>
              </w:rPr>
              <w:t xml:space="preserve">8 </w:t>
            </w:r>
          </w:p>
        </w:tc>
        <w:tc>
          <w:tcPr>
            <w:tcW w:w="2070" w:type="dxa"/>
            <w:hideMark/>
          </w:tcPr>
          <w:p w14:paraId="5AE3ED51" w14:textId="77777777" w:rsidR="0094644B" w:rsidRPr="00FA3F57" w:rsidRDefault="0094644B" w:rsidP="00FB5086">
            <w:pPr>
              <w:snapToGrid w:val="0"/>
              <w:ind w:left="130" w:firstLine="0"/>
              <w:rPr>
                <w:rFonts w:eastAsia="Calibri"/>
                <w:color w:val="2F5496"/>
                <w:sz w:val="18"/>
                <w:szCs w:val="18"/>
                <w:lang w:val="en-US"/>
              </w:rPr>
            </w:pPr>
            <w:r w:rsidRPr="00F07779">
              <w:rPr>
                <w:rFonts w:eastAsia="Calibri"/>
                <w:color w:val="2F5496"/>
                <w:sz w:val="18"/>
                <w:szCs w:val="18"/>
                <w:lang w:val="en-US"/>
              </w:rPr>
              <w:t>EL</w:t>
            </w:r>
            <w:r w:rsidRPr="00FA3F57">
              <w:rPr>
                <w:rFonts w:eastAsia="Calibri"/>
                <w:color w:val="2F5496"/>
                <w:sz w:val="18"/>
                <w:szCs w:val="18"/>
                <w:lang w:val="en-US"/>
              </w:rPr>
              <w:t xml:space="preserve">3 </w:t>
            </w:r>
          </w:p>
        </w:tc>
        <w:tc>
          <w:tcPr>
            <w:tcW w:w="1800" w:type="dxa"/>
            <w:hideMark/>
          </w:tcPr>
          <w:p w14:paraId="75141F41" w14:textId="77777777" w:rsidR="0094644B" w:rsidRPr="00FA3F57" w:rsidRDefault="0094644B" w:rsidP="00FB5086">
            <w:pPr>
              <w:snapToGrid w:val="0"/>
              <w:ind w:left="130" w:firstLine="0"/>
              <w:rPr>
                <w:rFonts w:eastAsia="Calibri"/>
                <w:color w:val="2F5496"/>
                <w:sz w:val="18"/>
                <w:szCs w:val="18"/>
                <w:lang w:val="en-US"/>
              </w:rPr>
            </w:pPr>
            <w:r w:rsidRPr="00F07779">
              <w:rPr>
                <w:rFonts w:eastAsia="Calibri"/>
                <w:color w:val="2F5496"/>
                <w:sz w:val="18"/>
                <w:szCs w:val="18"/>
                <w:lang w:val="en-US"/>
              </w:rPr>
              <w:t>EL</w:t>
            </w:r>
            <w:r w:rsidRPr="00FA3F57">
              <w:rPr>
                <w:rFonts w:eastAsia="Calibri"/>
                <w:color w:val="2F5496"/>
                <w:sz w:val="18"/>
                <w:szCs w:val="18"/>
                <w:lang w:val="en-US"/>
              </w:rPr>
              <w:t xml:space="preserve">4, </w:t>
            </w:r>
            <w:r w:rsidRPr="00F07779">
              <w:rPr>
                <w:rFonts w:eastAsia="Calibri"/>
                <w:color w:val="2F5496"/>
                <w:sz w:val="18"/>
                <w:szCs w:val="18"/>
                <w:lang w:val="en-US"/>
              </w:rPr>
              <w:t>EL</w:t>
            </w:r>
            <w:r w:rsidRPr="00FA3F57">
              <w:rPr>
                <w:rFonts w:eastAsia="Calibri"/>
                <w:color w:val="2F5496"/>
                <w:sz w:val="18"/>
                <w:szCs w:val="18"/>
                <w:lang w:val="en-US"/>
              </w:rPr>
              <w:t>5</w:t>
            </w:r>
          </w:p>
        </w:tc>
        <w:tc>
          <w:tcPr>
            <w:tcW w:w="1992" w:type="dxa"/>
          </w:tcPr>
          <w:p w14:paraId="1FFFF0DC" w14:textId="77777777" w:rsidR="0094644B" w:rsidRPr="00FA3F57" w:rsidRDefault="0094644B" w:rsidP="00FB5086">
            <w:pPr>
              <w:snapToGrid w:val="0"/>
              <w:ind w:left="130" w:firstLine="0"/>
              <w:rPr>
                <w:rFonts w:eastAsia="Calibri"/>
                <w:color w:val="2F5496"/>
                <w:sz w:val="18"/>
                <w:szCs w:val="18"/>
                <w:lang w:val="en-US"/>
              </w:rPr>
            </w:pPr>
            <w:r w:rsidRPr="00F07779">
              <w:rPr>
                <w:rFonts w:eastAsia="Calibri"/>
                <w:color w:val="2F5496"/>
                <w:sz w:val="18"/>
                <w:szCs w:val="18"/>
                <w:lang w:val="en-US"/>
              </w:rPr>
              <w:t>EL</w:t>
            </w:r>
            <w:r w:rsidRPr="00FA3F57">
              <w:rPr>
                <w:rFonts w:eastAsia="Calibri"/>
                <w:color w:val="2F5496"/>
                <w:sz w:val="18"/>
                <w:szCs w:val="18"/>
                <w:lang w:val="en-US"/>
              </w:rPr>
              <w:t xml:space="preserve">6 </w:t>
            </w:r>
          </w:p>
        </w:tc>
        <w:tc>
          <w:tcPr>
            <w:tcW w:w="2515" w:type="dxa"/>
          </w:tcPr>
          <w:p w14:paraId="38C7DF4B" w14:textId="77777777" w:rsidR="0094644B" w:rsidRPr="00FA3F57" w:rsidRDefault="0094644B" w:rsidP="00FB5086">
            <w:pPr>
              <w:snapToGrid w:val="0"/>
              <w:ind w:left="130" w:firstLine="0"/>
              <w:rPr>
                <w:rFonts w:eastAsia="Calibri"/>
                <w:color w:val="2F5496"/>
                <w:sz w:val="18"/>
                <w:szCs w:val="18"/>
                <w:lang w:val="en-US"/>
              </w:rPr>
            </w:pPr>
            <w:r w:rsidRPr="00F07779">
              <w:rPr>
                <w:rFonts w:eastAsia="Calibri"/>
                <w:color w:val="2F5496"/>
                <w:sz w:val="18"/>
                <w:szCs w:val="18"/>
                <w:lang w:val="en-US"/>
              </w:rPr>
              <w:t>EL</w:t>
            </w:r>
            <w:r w:rsidRPr="00FA3F57">
              <w:rPr>
                <w:rFonts w:eastAsia="Calibri"/>
                <w:color w:val="2F5496"/>
                <w:sz w:val="18"/>
                <w:szCs w:val="18"/>
                <w:lang w:val="en-US"/>
              </w:rPr>
              <w:t xml:space="preserve">7 </w:t>
            </w:r>
          </w:p>
        </w:tc>
      </w:tr>
      <w:tr w:rsidR="0094644B" w:rsidRPr="00F07779" w14:paraId="116FECAD" w14:textId="77777777" w:rsidTr="00FB5086">
        <w:tc>
          <w:tcPr>
            <w:tcW w:w="1997" w:type="dxa"/>
            <w:gridSpan w:val="2"/>
            <w:hideMark/>
          </w:tcPr>
          <w:p w14:paraId="0D21A047" w14:textId="77777777" w:rsidR="0094644B" w:rsidRPr="00F07779" w:rsidRDefault="0094644B" w:rsidP="00FB5086">
            <w:pPr>
              <w:snapToGrid w:val="0"/>
              <w:ind w:firstLine="15"/>
              <w:rPr>
                <w:rFonts w:eastAsia="Calibri"/>
                <w:b/>
                <w:bCs/>
                <w:color w:val="2F5496"/>
                <w:sz w:val="18"/>
                <w:szCs w:val="18"/>
                <w:lang w:val="en-US"/>
              </w:rPr>
            </w:pPr>
            <w:r w:rsidRPr="00F07779">
              <w:rPr>
                <w:rFonts w:eastAsia="Calibri"/>
                <w:b/>
                <w:bCs/>
                <w:color w:val="2F5496"/>
                <w:sz w:val="18"/>
                <w:szCs w:val="18"/>
                <w:lang w:val="en-US"/>
              </w:rPr>
              <w:t>Indicators</w:t>
            </w:r>
          </w:p>
        </w:tc>
        <w:tc>
          <w:tcPr>
            <w:tcW w:w="4198" w:type="dxa"/>
            <w:hideMark/>
          </w:tcPr>
          <w:p w14:paraId="5E0E7F22" w14:textId="77777777" w:rsidR="0094644B" w:rsidRPr="00F07779" w:rsidRDefault="0094644B" w:rsidP="00FB5086">
            <w:pPr>
              <w:snapToGrid w:val="0"/>
              <w:ind w:left="130" w:firstLine="0"/>
              <w:rPr>
                <w:rFonts w:eastAsia="Calibri"/>
                <w:color w:val="2F5496"/>
                <w:sz w:val="18"/>
                <w:szCs w:val="18"/>
                <w:lang w:val="en-US"/>
              </w:rPr>
            </w:pPr>
            <w:r w:rsidRPr="00F07779">
              <w:rPr>
                <w:rFonts w:eastAsia="Calibri"/>
                <w:color w:val="2F5496"/>
                <w:sz w:val="18"/>
                <w:szCs w:val="18"/>
                <w:lang w:val="en-US"/>
              </w:rPr>
              <w:t>Indicators of technical efficiency in power plants</w:t>
            </w:r>
          </w:p>
          <w:p w14:paraId="6D303628" w14:textId="77777777" w:rsidR="0094644B" w:rsidRPr="00FA3F57" w:rsidRDefault="0094644B" w:rsidP="00FB5086">
            <w:pPr>
              <w:snapToGrid w:val="0"/>
              <w:ind w:left="130" w:firstLine="0"/>
              <w:rPr>
                <w:rFonts w:eastAsia="Calibri"/>
                <w:color w:val="2F5496"/>
                <w:sz w:val="18"/>
                <w:szCs w:val="18"/>
                <w:lang w:val="en-US"/>
              </w:rPr>
            </w:pPr>
            <w:r w:rsidRPr="00F07779">
              <w:rPr>
                <w:rFonts w:eastAsia="Calibri"/>
                <w:color w:val="2F5496"/>
                <w:sz w:val="18"/>
                <w:szCs w:val="18"/>
                <w:lang w:val="en-US"/>
              </w:rPr>
              <w:t>Losses in the distribution system</w:t>
            </w:r>
          </w:p>
          <w:p w14:paraId="6D9A9191" w14:textId="77777777" w:rsidR="0094644B" w:rsidRPr="00FA3F57" w:rsidRDefault="0094644B" w:rsidP="00FB5086">
            <w:pPr>
              <w:snapToGrid w:val="0"/>
              <w:ind w:left="130" w:firstLine="0"/>
              <w:rPr>
                <w:rFonts w:eastAsia="Calibri"/>
                <w:color w:val="2F5496"/>
                <w:sz w:val="18"/>
                <w:szCs w:val="18"/>
                <w:lang w:val="en-US"/>
              </w:rPr>
            </w:pPr>
            <w:r w:rsidRPr="00F07779">
              <w:rPr>
                <w:rFonts w:eastAsia="Calibri"/>
                <w:color w:val="2F5496"/>
                <w:sz w:val="18"/>
                <w:szCs w:val="18"/>
                <w:lang w:val="en-US"/>
              </w:rPr>
              <w:t xml:space="preserve">Number and duration of interruptions in the transmission and distribution network </w:t>
            </w:r>
          </w:p>
        </w:tc>
        <w:tc>
          <w:tcPr>
            <w:tcW w:w="2070" w:type="dxa"/>
            <w:hideMark/>
          </w:tcPr>
          <w:p w14:paraId="5DCF5D63" w14:textId="77777777" w:rsidR="0094644B" w:rsidRPr="00FA3F57" w:rsidRDefault="0094644B" w:rsidP="00FB5086">
            <w:pPr>
              <w:snapToGrid w:val="0"/>
              <w:ind w:left="130" w:firstLine="0"/>
              <w:rPr>
                <w:rFonts w:eastAsia="Calibri"/>
                <w:color w:val="2F5496"/>
                <w:sz w:val="18"/>
                <w:szCs w:val="18"/>
                <w:lang w:val="en-US"/>
              </w:rPr>
            </w:pPr>
            <w:r w:rsidRPr="00F07779">
              <w:rPr>
                <w:rFonts w:eastAsia="Calibri"/>
                <w:color w:val="2F5496"/>
                <w:sz w:val="18"/>
                <w:szCs w:val="18"/>
                <w:lang w:val="en-US"/>
              </w:rPr>
              <w:t>Annual reduction of greenhouse gas emissions</w:t>
            </w:r>
            <w:r w:rsidRPr="00FA3F57">
              <w:rPr>
                <w:rStyle w:val="FootnoteReference"/>
                <w:rFonts w:eastAsia="Calibri"/>
                <w:color w:val="2F5496"/>
                <w:sz w:val="18"/>
                <w:szCs w:val="18"/>
                <w:lang w:val="en-US"/>
              </w:rPr>
              <w:footnoteReference w:id="4"/>
            </w:r>
          </w:p>
        </w:tc>
        <w:tc>
          <w:tcPr>
            <w:tcW w:w="1800" w:type="dxa"/>
            <w:hideMark/>
          </w:tcPr>
          <w:p w14:paraId="773E8696" w14:textId="77777777" w:rsidR="0094644B" w:rsidRPr="00FA3F57" w:rsidRDefault="0094644B" w:rsidP="00FB5086">
            <w:pPr>
              <w:snapToGrid w:val="0"/>
              <w:ind w:left="130" w:firstLine="0"/>
              <w:rPr>
                <w:rFonts w:eastAsia="Calibri"/>
                <w:color w:val="2F5496"/>
                <w:sz w:val="18"/>
                <w:szCs w:val="18"/>
                <w:lang w:val="en-US"/>
              </w:rPr>
            </w:pPr>
            <w:r w:rsidRPr="00F07779">
              <w:rPr>
                <w:rFonts w:eastAsia="Calibri"/>
                <w:color w:val="2F5496"/>
                <w:sz w:val="18"/>
                <w:szCs w:val="18"/>
                <w:lang w:val="en-US"/>
              </w:rPr>
              <w:t>Share of electricity produced from RES</w:t>
            </w:r>
            <w:r w:rsidRPr="00FA3F57">
              <w:rPr>
                <w:rStyle w:val="FootnoteReference"/>
                <w:rFonts w:eastAsia="Calibri"/>
                <w:color w:val="2F5496"/>
                <w:sz w:val="18"/>
                <w:szCs w:val="18"/>
                <w:lang w:val="en-US"/>
              </w:rPr>
              <w:footnoteReference w:id="5"/>
            </w:r>
          </w:p>
        </w:tc>
        <w:tc>
          <w:tcPr>
            <w:tcW w:w="1992" w:type="dxa"/>
          </w:tcPr>
          <w:p w14:paraId="34BE30B6" w14:textId="77777777" w:rsidR="0094644B" w:rsidRPr="00FA3F57" w:rsidRDefault="0094644B" w:rsidP="00FB5086">
            <w:pPr>
              <w:snapToGrid w:val="0"/>
              <w:ind w:left="130" w:firstLine="0"/>
              <w:rPr>
                <w:rFonts w:eastAsia="Calibri"/>
                <w:color w:val="2F5496"/>
                <w:sz w:val="18"/>
                <w:szCs w:val="18"/>
                <w:lang w:val="en-US"/>
              </w:rPr>
            </w:pPr>
            <w:r w:rsidRPr="00FA3F57">
              <w:rPr>
                <w:rFonts w:eastAsia="Calibri"/>
                <w:color w:val="2F5496"/>
                <w:sz w:val="18"/>
                <w:szCs w:val="18"/>
                <w:lang w:val="en-US"/>
              </w:rPr>
              <w:t>Net energy import dependence</w:t>
            </w:r>
            <w:r w:rsidRPr="00FA3F57" w:rsidDel="003A49EF">
              <w:rPr>
                <w:rFonts w:eastAsia="Calibri"/>
                <w:color w:val="2F5496"/>
                <w:sz w:val="18"/>
                <w:szCs w:val="18"/>
                <w:lang w:val="en-US"/>
              </w:rPr>
              <w:t xml:space="preserve"> </w:t>
            </w:r>
            <w:r w:rsidRPr="00FA3F57">
              <w:rPr>
                <w:rStyle w:val="FootnoteReference"/>
                <w:rFonts w:eastAsia="Calibri"/>
                <w:color w:val="2F5496"/>
                <w:sz w:val="18"/>
                <w:szCs w:val="18"/>
                <w:lang w:val="en-US"/>
              </w:rPr>
              <w:footnoteReference w:id="6"/>
            </w:r>
          </w:p>
        </w:tc>
        <w:tc>
          <w:tcPr>
            <w:tcW w:w="2515" w:type="dxa"/>
          </w:tcPr>
          <w:p w14:paraId="7F5F98A5" w14:textId="77777777" w:rsidR="0094644B" w:rsidRPr="00FA3F57" w:rsidRDefault="0094644B" w:rsidP="00FB5086">
            <w:pPr>
              <w:snapToGrid w:val="0"/>
              <w:ind w:left="130" w:firstLine="0"/>
              <w:rPr>
                <w:rFonts w:eastAsia="Calibri"/>
                <w:color w:val="2F5496"/>
                <w:sz w:val="18"/>
                <w:szCs w:val="18"/>
                <w:lang w:val="en-US"/>
              </w:rPr>
            </w:pPr>
            <w:r w:rsidRPr="00F07779">
              <w:rPr>
                <w:rFonts w:eastAsia="Calibri"/>
                <w:color w:val="2F5496"/>
                <w:sz w:val="18"/>
                <w:szCs w:val="18"/>
                <w:lang w:val="en-US"/>
              </w:rPr>
              <w:t>Technical losses of electricity in the distribution network</w:t>
            </w:r>
            <w:r w:rsidRPr="00FA3F57">
              <w:rPr>
                <w:rStyle w:val="FootnoteReference"/>
                <w:rFonts w:eastAsia="Calibri"/>
                <w:color w:val="2F5496"/>
                <w:sz w:val="18"/>
                <w:szCs w:val="18"/>
                <w:lang w:val="en-US"/>
              </w:rPr>
              <w:footnoteReference w:id="7"/>
            </w:r>
          </w:p>
        </w:tc>
      </w:tr>
      <w:tr w:rsidR="0094644B" w:rsidRPr="00F07779" w14:paraId="74D08AA4" w14:textId="77777777" w:rsidTr="00FB5086">
        <w:tc>
          <w:tcPr>
            <w:tcW w:w="1997" w:type="dxa"/>
            <w:gridSpan w:val="2"/>
          </w:tcPr>
          <w:p w14:paraId="0DD770B5" w14:textId="77777777" w:rsidR="0094644B" w:rsidRPr="00FA3F57" w:rsidRDefault="0094644B" w:rsidP="00FB5086">
            <w:pPr>
              <w:snapToGrid w:val="0"/>
              <w:ind w:firstLine="15"/>
              <w:rPr>
                <w:rFonts w:eastAsia="Calibri"/>
                <w:color w:val="2F5496"/>
                <w:sz w:val="18"/>
                <w:szCs w:val="18"/>
                <w:lang w:val="en-US"/>
              </w:rPr>
            </w:pPr>
            <w:r w:rsidRPr="00F07779">
              <w:rPr>
                <w:rFonts w:eastAsia="Calibri"/>
                <w:b/>
                <w:bCs/>
                <w:color w:val="2F5496"/>
                <w:sz w:val="18"/>
                <w:szCs w:val="18"/>
                <w:lang w:val="en-US"/>
              </w:rPr>
              <w:t>Indicator value</w:t>
            </w:r>
            <w:r w:rsidRPr="00FA3F57">
              <w:rPr>
                <w:rFonts w:eastAsia="Calibri"/>
                <w:b/>
                <w:bCs/>
                <w:color w:val="2F5496"/>
                <w:sz w:val="18"/>
                <w:szCs w:val="18"/>
                <w:lang w:val="en-US"/>
              </w:rPr>
              <w:t xml:space="preserve"> </w:t>
            </w:r>
            <w:r w:rsidRPr="00F07779">
              <w:rPr>
                <w:rFonts w:eastAsia="Calibri"/>
                <w:b/>
                <w:bCs/>
                <w:color w:val="2F5496"/>
                <w:sz w:val="18"/>
                <w:szCs w:val="18"/>
                <w:lang w:val="en-US"/>
              </w:rPr>
              <w:t xml:space="preserve">in </w:t>
            </w:r>
            <w:r w:rsidRPr="00FA3F57">
              <w:rPr>
                <w:rFonts w:eastAsia="Calibri"/>
                <w:b/>
                <w:bCs/>
                <w:color w:val="2F5496"/>
                <w:sz w:val="18"/>
                <w:szCs w:val="18"/>
                <w:lang w:val="en-US"/>
              </w:rPr>
              <w:t>2023</w:t>
            </w:r>
          </w:p>
        </w:tc>
        <w:tc>
          <w:tcPr>
            <w:tcW w:w="4198" w:type="dxa"/>
          </w:tcPr>
          <w:p w14:paraId="1D0B8AA6" w14:textId="77777777" w:rsidR="0094644B" w:rsidRPr="00FA3F57" w:rsidRDefault="0094644B" w:rsidP="00FB5086">
            <w:pPr>
              <w:snapToGrid w:val="0"/>
              <w:ind w:left="130" w:firstLine="0"/>
              <w:rPr>
                <w:rFonts w:eastAsia="Calibri"/>
                <w:color w:val="2F5496"/>
                <w:sz w:val="18"/>
                <w:szCs w:val="18"/>
                <w:lang w:val="en-US"/>
              </w:rPr>
            </w:pPr>
            <w:r w:rsidRPr="00F07779">
              <w:rPr>
                <w:rFonts w:eastAsia="Calibri"/>
                <w:color w:val="2F5496"/>
                <w:sz w:val="18"/>
                <w:szCs w:val="18"/>
                <w:lang w:val="en-US"/>
              </w:rPr>
              <w:t>Losses in the distribution system</w:t>
            </w:r>
            <w:r w:rsidRPr="00FA3F57" w:rsidDel="001B014B">
              <w:rPr>
                <w:rFonts w:eastAsia="Calibri"/>
                <w:color w:val="2F5496"/>
                <w:sz w:val="18"/>
                <w:szCs w:val="18"/>
                <w:lang w:val="en-US"/>
              </w:rPr>
              <w:t xml:space="preserve"> </w:t>
            </w:r>
            <w:r w:rsidRPr="00FA3F57">
              <w:rPr>
                <w:rFonts w:eastAsia="Calibri"/>
                <w:color w:val="2F5496"/>
                <w:sz w:val="18"/>
                <w:szCs w:val="18"/>
                <w:lang w:val="en-US"/>
              </w:rPr>
              <w:t>10</w:t>
            </w:r>
            <w:r w:rsidRPr="00F07779">
              <w:rPr>
                <w:rFonts w:eastAsia="Calibri"/>
                <w:color w:val="2F5496"/>
                <w:sz w:val="18"/>
                <w:szCs w:val="18"/>
                <w:lang w:val="en-US"/>
              </w:rPr>
              <w:t>.</w:t>
            </w:r>
            <w:r w:rsidRPr="00FA3F57">
              <w:rPr>
                <w:rFonts w:eastAsia="Calibri"/>
                <w:color w:val="2F5496"/>
                <w:sz w:val="18"/>
                <w:szCs w:val="18"/>
                <w:lang w:val="en-US"/>
              </w:rPr>
              <w:t>85%</w:t>
            </w:r>
          </w:p>
          <w:p w14:paraId="5ED2D34D" w14:textId="77777777" w:rsidR="0094644B" w:rsidRPr="00FA3F57" w:rsidRDefault="0094644B" w:rsidP="00FB5086">
            <w:pPr>
              <w:snapToGrid w:val="0"/>
              <w:ind w:left="130" w:firstLine="0"/>
              <w:rPr>
                <w:rFonts w:eastAsia="Calibri"/>
                <w:color w:val="2F5496"/>
                <w:sz w:val="18"/>
                <w:szCs w:val="18"/>
                <w:lang w:val="en-US"/>
              </w:rPr>
            </w:pPr>
            <w:r w:rsidRPr="00FA3F57">
              <w:rPr>
                <w:rFonts w:eastAsia="Calibri"/>
                <w:color w:val="2F5496"/>
                <w:sz w:val="18"/>
                <w:szCs w:val="18"/>
                <w:lang w:val="en-US"/>
              </w:rPr>
              <w:t xml:space="preserve">SAIFI </w:t>
            </w:r>
            <w:r w:rsidRPr="00F07779">
              <w:rPr>
                <w:rFonts w:eastAsia="Calibri"/>
                <w:color w:val="2F5496"/>
                <w:sz w:val="18"/>
                <w:szCs w:val="18"/>
                <w:lang w:val="en-US"/>
              </w:rPr>
              <w:t>in the distribution system</w:t>
            </w:r>
            <w:r w:rsidRPr="00FA3F57" w:rsidDel="001B014B">
              <w:rPr>
                <w:rFonts w:eastAsia="Calibri"/>
                <w:color w:val="2F5496"/>
                <w:sz w:val="18"/>
                <w:szCs w:val="18"/>
                <w:lang w:val="en-US"/>
              </w:rPr>
              <w:t xml:space="preserve"> </w:t>
            </w:r>
            <w:r w:rsidRPr="00FA3F57">
              <w:rPr>
                <w:rFonts w:eastAsia="Calibri"/>
                <w:color w:val="2F5496"/>
                <w:sz w:val="18"/>
                <w:szCs w:val="18"/>
                <w:lang w:val="en-US"/>
              </w:rPr>
              <w:t xml:space="preserve">7.92 </w:t>
            </w:r>
            <w:proofErr w:type="spellStart"/>
            <w:r w:rsidRPr="00FA3F57">
              <w:rPr>
                <w:rFonts w:eastAsia="Calibri"/>
                <w:color w:val="2F5496"/>
                <w:sz w:val="18"/>
                <w:szCs w:val="18"/>
                <w:lang w:val="en-US"/>
              </w:rPr>
              <w:t>interr</w:t>
            </w:r>
            <w:proofErr w:type="spellEnd"/>
            <w:r w:rsidRPr="00FA3F57">
              <w:rPr>
                <w:rFonts w:eastAsia="Calibri"/>
                <w:color w:val="2F5496"/>
                <w:sz w:val="18"/>
                <w:szCs w:val="18"/>
                <w:lang w:val="en-US"/>
              </w:rPr>
              <w:t>/user</w:t>
            </w:r>
            <w:r w:rsidRPr="00FA3F57">
              <w:rPr>
                <w:rStyle w:val="FootnoteReference"/>
                <w:rFonts w:eastAsia="Calibri"/>
                <w:color w:val="2F5496"/>
                <w:sz w:val="18"/>
                <w:szCs w:val="18"/>
                <w:lang w:val="en-US"/>
              </w:rPr>
              <w:footnoteReference w:id="8"/>
            </w:r>
          </w:p>
          <w:p w14:paraId="5901185F" w14:textId="77777777" w:rsidR="0094644B" w:rsidRPr="00FA3F57" w:rsidRDefault="0094644B" w:rsidP="00FB5086">
            <w:pPr>
              <w:snapToGrid w:val="0"/>
              <w:ind w:left="130" w:firstLine="0"/>
              <w:rPr>
                <w:rFonts w:eastAsia="Calibri"/>
                <w:color w:val="2F5496"/>
                <w:sz w:val="18"/>
                <w:szCs w:val="18"/>
                <w:lang w:val="en-US"/>
              </w:rPr>
            </w:pPr>
            <w:r w:rsidRPr="00FA3F57">
              <w:rPr>
                <w:rFonts w:eastAsia="Calibri"/>
                <w:color w:val="2F5496"/>
                <w:sz w:val="18"/>
                <w:szCs w:val="18"/>
                <w:lang w:val="en-US"/>
              </w:rPr>
              <w:t xml:space="preserve">SAIDI </w:t>
            </w:r>
            <w:r w:rsidRPr="00F07779">
              <w:rPr>
                <w:rFonts w:eastAsia="Calibri"/>
                <w:color w:val="2F5496"/>
                <w:sz w:val="18"/>
                <w:szCs w:val="18"/>
                <w:lang w:val="en-US"/>
              </w:rPr>
              <w:t>in the distribution system</w:t>
            </w:r>
            <w:r w:rsidRPr="00FA3F57" w:rsidDel="001B014B">
              <w:rPr>
                <w:rFonts w:eastAsia="Calibri"/>
                <w:color w:val="2F5496"/>
                <w:sz w:val="18"/>
                <w:szCs w:val="18"/>
                <w:lang w:val="en-US"/>
              </w:rPr>
              <w:t xml:space="preserve"> </w:t>
            </w:r>
            <w:r w:rsidRPr="00FA3F57">
              <w:rPr>
                <w:rFonts w:eastAsia="Calibri"/>
                <w:color w:val="2F5496"/>
                <w:sz w:val="18"/>
                <w:szCs w:val="18"/>
                <w:lang w:val="en-US"/>
              </w:rPr>
              <w:t>851 min/user</w:t>
            </w:r>
            <w:r w:rsidRPr="00FA3F57">
              <w:rPr>
                <w:rStyle w:val="FootnoteReference"/>
                <w:rFonts w:eastAsia="Calibri"/>
                <w:color w:val="2F5496"/>
                <w:sz w:val="18"/>
                <w:szCs w:val="18"/>
                <w:lang w:val="en-US"/>
              </w:rPr>
              <w:footnoteReference w:id="9"/>
            </w:r>
          </w:p>
          <w:p w14:paraId="1A10E7D4" w14:textId="77777777" w:rsidR="0094644B" w:rsidRPr="00FA3F57" w:rsidRDefault="0094644B" w:rsidP="00FB5086">
            <w:pPr>
              <w:snapToGrid w:val="0"/>
              <w:ind w:left="130" w:firstLine="0"/>
              <w:rPr>
                <w:rFonts w:eastAsia="Calibri"/>
                <w:color w:val="2F5496"/>
                <w:sz w:val="18"/>
                <w:szCs w:val="18"/>
                <w:lang w:val="en-US"/>
              </w:rPr>
            </w:pPr>
            <w:r w:rsidRPr="00FA3F57">
              <w:rPr>
                <w:rFonts w:eastAsia="Calibri"/>
                <w:color w:val="2F5496"/>
                <w:sz w:val="18"/>
                <w:szCs w:val="18"/>
                <w:lang w:val="en-US"/>
              </w:rPr>
              <w:t>Power outage in the transmission system</w:t>
            </w:r>
            <w:r w:rsidRPr="00FA3F57" w:rsidDel="00CB601C">
              <w:rPr>
                <w:rFonts w:eastAsia="Calibri"/>
                <w:color w:val="2F5496"/>
                <w:sz w:val="18"/>
                <w:szCs w:val="18"/>
                <w:lang w:val="en-US"/>
              </w:rPr>
              <w:t xml:space="preserve"> </w:t>
            </w:r>
            <w:r w:rsidRPr="00FA3F57">
              <w:rPr>
                <w:rFonts w:eastAsia="Calibri"/>
                <w:color w:val="2F5496"/>
                <w:sz w:val="18"/>
                <w:szCs w:val="18"/>
                <w:lang w:val="en-US"/>
              </w:rPr>
              <w:t>26,813 MW</w:t>
            </w:r>
            <w:r w:rsidRPr="00FA3F57">
              <w:rPr>
                <w:rStyle w:val="FootnoteReference"/>
                <w:rFonts w:eastAsia="Calibri"/>
                <w:color w:val="2F5496"/>
                <w:sz w:val="18"/>
                <w:szCs w:val="18"/>
                <w:lang w:val="en-US"/>
              </w:rPr>
              <w:footnoteReference w:id="10"/>
            </w:r>
          </w:p>
          <w:p w14:paraId="159A7866" w14:textId="77777777" w:rsidR="0094644B" w:rsidRPr="00FA3F57" w:rsidRDefault="0094644B" w:rsidP="00FB5086">
            <w:pPr>
              <w:snapToGrid w:val="0"/>
              <w:ind w:left="130" w:firstLine="0"/>
              <w:rPr>
                <w:rFonts w:eastAsia="Calibri"/>
                <w:color w:val="2F5496"/>
                <w:sz w:val="18"/>
                <w:szCs w:val="18"/>
                <w:lang w:val="en-US"/>
              </w:rPr>
            </w:pPr>
            <w:r w:rsidRPr="00FA3F57">
              <w:rPr>
                <w:rFonts w:eastAsia="Calibri"/>
                <w:color w:val="2F5496"/>
                <w:sz w:val="18"/>
                <w:szCs w:val="18"/>
                <w:lang w:val="en-US"/>
              </w:rPr>
              <w:t xml:space="preserve">ENS in </w:t>
            </w:r>
            <w:r w:rsidRPr="00F07779">
              <w:rPr>
                <w:rFonts w:eastAsia="Calibri"/>
                <w:color w:val="2F5496"/>
                <w:sz w:val="18"/>
                <w:szCs w:val="18"/>
                <w:lang w:val="en-US"/>
              </w:rPr>
              <w:t xml:space="preserve">the </w:t>
            </w:r>
            <w:r w:rsidRPr="00FA3F57">
              <w:rPr>
                <w:rFonts w:eastAsia="Calibri"/>
                <w:color w:val="2F5496"/>
                <w:sz w:val="18"/>
                <w:szCs w:val="18"/>
                <w:lang w:val="en-US"/>
              </w:rPr>
              <w:t>transmission system</w:t>
            </w:r>
            <w:r w:rsidRPr="00FA3F57" w:rsidDel="00CB601C">
              <w:rPr>
                <w:rFonts w:eastAsia="Calibri"/>
                <w:color w:val="2F5496"/>
                <w:sz w:val="18"/>
                <w:szCs w:val="18"/>
                <w:lang w:val="en-US"/>
              </w:rPr>
              <w:t xml:space="preserve"> </w:t>
            </w:r>
            <w:r w:rsidRPr="00FA3F57">
              <w:rPr>
                <w:rFonts w:eastAsia="Calibri"/>
                <w:color w:val="2F5496"/>
                <w:sz w:val="18"/>
                <w:szCs w:val="18"/>
                <w:lang w:val="en-US"/>
              </w:rPr>
              <w:t>3,443 MWh</w:t>
            </w:r>
            <w:r w:rsidRPr="00FA3F57">
              <w:rPr>
                <w:rStyle w:val="FootnoteReference"/>
                <w:rFonts w:eastAsia="Calibri"/>
                <w:color w:val="2F5496"/>
                <w:sz w:val="18"/>
                <w:szCs w:val="18"/>
                <w:lang w:val="en-US"/>
              </w:rPr>
              <w:footnoteReference w:id="11"/>
            </w:r>
            <w:r w:rsidRPr="00FA3F57">
              <w:rPr>
                <w:rFonts w:eastAsia="Calibri"/>
                <w:color w:val="2F5496"/>
                <w:sz w:val="18"/>
                <w:szCs w:val="18"/>
                <w:lang w:val="en-US"/>
              </w:rPr>
              <w:br/>
              <w:t>ENS in the</w:t>
            </w:r>
            <w:r w:rsidRPr="00F07779">
              <w:rPr>
                <w:rFonts w:eastAsia="Calibri"/>
                <w:color w:val="2F5496"/>
                <w:sz w:val="18"/>
                <w:szCs w:val="18"/>
                <w:lang w:val="en-US"/>
              </w:rPr>
              <w:t xml:space="preserve"> </w:t>
            </w:r>
            <w:r w:rsidRPr="00FA3F57">
              <w:rPr>
                <w:rFonts w:eastAsia="Calibri"/>
                <w:color w:val="2F5496"/>
                <w:sz w:val="18"/>
                <w:szCs w:val="18"/>
                <w:lang w:val="en-US"/>
              </w:rPr>
              <w:t>transmission system</w:t>
            </w:r>
            <w:r w:rsidRPr="00FA3F57" w:rsidDel="00CB601C">
              <w:rPr>
                <w:rFonts w:eastAsia="Calibri"/>
                <w:color w:val="2F5496"/>
                <w:sz w:val="18"/>
                <w:szCs w:val="18"/>
                <w:lang w:val="en-US"/>
              </w:rPr>
              <w:t xml:space="preserve"> </w:t>
            </w:r>
            <w:r w:rsidRPr="00FA3F57">
              <w:rPr>
                <w:rFonts w:eastAsia="Calibri"/>
                <w:color w:val="2F5496"/>
                <w:sz w:val="18"/>
                <w:szCs w:val="18"/>
                <w:lang w:val="en-US"/>
              </w:rPr>
              <w:t>0</w:t>
            </w:r>
            <w:r w:rsidRPr="00F07779">
              <w:rPr>
                <w:rFonts w:eastAsia="Calibri"/>
                <w:color w:val="2F5496"/>
                <w:sz w:val="18"/>
                <w:szCs w:val="18"/>
                <w:lang w:val="en-US"/>
              </w:rPr>
              <w:t>.</w:t>
            </w:r>
            <w:r w:rsidRPr="00FA3F57">
              <w:rPr>
                <w:rFonts w:eastAsia="Calibri"/>
                <w:color w:val="2F5496"/>
                <w:sz w:val="18"/>
                <w:szCs w:val="18"/>
                <w:lang w:val="en-US"/>
              </w:rPr>
              <w:t>0103%</w:t>
            </w:r>
            <w:r w:rsidRPr="00FA3F57">
              <w:rPr>
                <w:rStyle w:val="FootnoteReference"/>
                <w:rFonts w:eastAsia="Calibri"/>
                <w:color w:val="2F5496"/>
                <w:sz w:val="18"/>
                <w:szCs w:val="18"/>
                <w:lang w:val="en-US"/>
              </w:rPr>
              <w:footnoteReference w:id="12"/>
            </w:r>
          </w:p>
          <w:p w14:paraId="6209A65D" w14:textId="77777777" w:rsidR="0094644B" w:rsidRPr="00FA3F57" w:rsidRDefault="0094644B" w:rsidP="00FB5086">
            <w:pPr>
              <w:snapToGrid w:val="0"/>
              <w:ind w:left="130" w:firstLine="0"/>
              <w:rPr>
                <w:rFonts w:eastAsia="Calibri"/>
                <w:color w:val="2F5496"/>
                <w:sz w:val="18"/>
                <w:szCs w:val="18"/>
                <w:lang w:val="en-US"/>
              </w:rPr>
            </w:pPr>
            <w:r w:rsidRPr="00FA3F57">
              <w:rPr>
                <w:rFonts w:eastAsia="Calibri"/>
                <w:color w:val="2F5496"/>
                <w:sz w:val="18"/>
                <w:szCs w:val="18"/>
                <w:lang w:val="en-US"/>
              </w:rPr>
              <w:t>АIT in the transmission system</w:t>
            </w:r>
            <w:r w:rsidRPr="00FA3F57">
              <w:rPr>
                <w:rFonts w:eastAsia="Calibri"/>
                <w:color w:val="2F5496"/>
                <w:sz w:val="18"/>
                <w:szCs w:val="18"/>
                <w:lang w:val="en-US"/>
              </w:rPr>
              <w:br/>
              <w:t>55,71 min</w:t>
            </w:r>
            <w:r w:rsidRPr="00FA3F57">
              <w:rPr>
                <w:rStyle w:val="FootnoteReference"/>
                <w:rFonts w:eastAsia="Calibri"/>
                <w:color w:val="2F5496"/>
                <w:sz w:val="18"/>
                <w:szCs w:val="18"/>
                <w:lang w:val="en-US"/>
              </w:rPr>
              <w:footnoteReference w:id="13"/>
            </w:r>
          </w:p>
        </w:tc>
        <w:tc>
          <w:tcPr>
            <w:tcW w:w="2070" w:type="dxa"/>
          </w:tcPr>
          <w:p w14:paraId="2740184D" w14:textId="77777777" w:rsidR="0094644B" w:rsidRPr="00FA3F57" w:rsidRDefault="0094644B" w:rsidP="00FB5086">
            <w:pPr>
              <w:snapToGrid w:val="0"/>
              <w:ind w:firstLine="0"/>
              <w:jc w:val="center"/>
              <w:rPr>
                <w:rFonts w:eastAsia="Calibri"/>
                <w:color w:val="2F5496"/>
                <w:sz w:val="18"/>
                <w:szCs w:val="18"/>
                <w:lang w:val="en-US"/>
              </w:rPr>
            </w:pPr>
            <w:r w:rsidRPr="00FA3F57">
              <w:rPr>
                <w:rFonts w:eastAsia="Calibri"/>
                <w:color w:val="2F5496"/>
                <w:sz w:val="18"/>
                <w:szCs w:val="18"/>
                <w:lang w:val="en-US"/>
              </w:rPr>
              <w:t>0</w:t>
            </w:r>
            <w:r w:rsidRPr="00F07779">
              <w:rPr>
                <w:rFonts w:eastAsia="Calibri"/>
                <w:color w:val="2F5496"/>
                <w:sz w:val="18"/>
                <w:szCs w:val="18"/>
                <w:lang w:val="en-US"/>
              </w:rPr>
              <w:t>.</w:t>
            </w:r>
            <w:r w:rsidRPr="00FA3F57">
              <w:rPr>
                <w:rFonts w:eastAsia="Calibri"/>
                <w:color w:val="2F5496"/>
                <w:sz w:val="18"/>
                <w:szCs w:val="18"/>
                <w:lang w:val="en-US"/>
              </w:rPr>
              <w:t>657 kg CO</w:t>
            </w:r>
            <w:r w:rsidRPr="00FA3F57">
              <w:rPr>
                <w:rFonts w:eastAsia="Calibri"/>
                <w:color w:val="2F5496"/>
                <w:sz w:val="18"/>
                <w:szCs w:val="18"/>
                <w:vertAlign w:val="subscript"/>
                <w:lang w:val="en-US"/>
              </w:rPr>
              <w:t>2</w:t>
            </w:r>
            <w:r w:rsidRPr="00FA3F57">
              <w:rPr>
                <w:rFonts w:eastAsia="Calibri"/>
                <w:color w:val="2F5496"/>
                <w:sz w:val="18"/>
                <w:szCs w:val="18"/>
                <w:lang w:val="en-US"/>
              </w:rPr>
              <w:t>eq/kWh</w:t>
            </w:r>
            <w:r w:rsidRPr="00FA3F57">
              <w:rPr>
                <w:rStyle w:val="FootnoteReference"/>
                <w:rFonts w:eastAsia="Calibri"/>
                <w:color w:val="2F5496"/>
                <w:sz w:val="18"/>
                <w:szCs w:val="18"/>
                <w:lang w:val="en-US"/>
              </w:rPr>
              <w:footnoteReference w:id="14"/>
            </w:r>
          </w:p>
        </w:tc>
        <w:tc>
          <w:tcPr>
            <w:tcW w:w="1800" w:type="dxa"/>
          </w:tcPr>
          <w:p w14:paraId="60F105A2" w14:textId="77777777" w:rsidR="0094644B" w:rsidRPr="00FA3F57" w:rsidRDefault="0094644B" w:rsidP="00FB5086">
            <w:pPr>
              <w:snapToGrid w:val="0"/>
              <w:ind w:firstLine="9"/>
              <w:jc w:val="center"/>
              <w:rPr>
                <w:rFonts w:eastAsia="Calibri"/>
                <w:color w:val="2F5496"/>
                <w:sz w:val="18"/>
                <w:szCs w:val="18"/>
                <w:lang w:val="en-US"/>
              </w:rPr>
            </w:pPr>
            <w:r w:rsidRPr="00FA3F57">
              <w:rPr>
                <w:rFonts w:eastAsia="Calibri"/>
                <w:color w:val="2F5496"/>
                <w:sz w:val="18"/>
                <w:szCs w:val="18"/>
                <w:lang w:val="en-US"/>
              </w:rPr>
              <w:t>31,75%</w:t>
            </w:r>
          </w:p>
        </w:tc>
        <w:tc>
          <w:tcPr>
            <w:tcW w:w="1992" w:type="dxa"/>
          </w:tcPr>
          <w:p w14:paraId="1971F284" w14:textId="77777777" w:rsidR="0094644B" w:rsidRPr="00FA3F57" w:rsidRDefault="0094644B" w:rsidP="00FB5086">
            <w:pPr>
              <w:snapToGrid w:val="0"/>
              <w:ind w:firstLine="0"/>
              <w:jc w:val="center"/>
              <w:rPr>
                <w:rFonts w:eastAsia="Calibri"/>
                <w:color w:val="2F5496"/>
                <w:sz w:val="18"/>
                <w:szCs w:val="18"/>
                <w:lang w:val="en-US"/>
              </w:rPr>
            </w:pPr>
            <w:r w:rsidRPr="00FA3F57">
              <w:rPr>
                <w:rFonts w:eastAsia="Calibri"/>
                <w:color w:val="2F5496"/>
                <w:sz w:val="18"/>
                <w:szCs w:val="18"/>
                <w:lang w:val="en-US"/>
              </w:rPr>
              <w:t>-5</w:t>
            </w:r>
            <w:r w:rsidRPr="00F07779">
              <w:rPr>
                <w:rFonts w:eastAsia="Calibri"/>
                <w:color w:val="2F5496"/>
                <w:sz w:val="18"/>
                <w:szCs w:val="18"/>
                <w:lang w:val="en-US"/>
              </w:rPr>
              <w:t>.</w:t>
            </w:r>
            <w:r w:rsidRPr="00FA3F57">
              <w:rPr>
                <w:rFonts w:eastAsia="Calibri"/>
                <w:color w:val="2F5496"/>
                <w:sz w:val="18"/>
                <w:szCs w:val="18"/>
                <w:lang w:val="en-US"/>
              </w:rPr>
              <w:t>78%</w:t>
            </w:r>
          </w:p>
        </w:tc>
        <w:tc>
          <w:tcPr>
            <w:tcW w:w="2515" w:type="dxa"/>
          </w:tcPr>
          <w:p w14:paraId="4371838D" w14:textId="77777777" w:rsidR="0094644B" w:rsidRPr="00FA3F57" w:rsidRDefault="0094644B" w:rsidP="00FB5086">
            <w:pPr>
              <w:snapToGrid w:val="0"/>
              <w:ind w:firstLine="0"/>
              <w:jc w:val="center"/>
              <w:rPr>
                <w:rFonts w:eastAsia="Calibri"/>
                <w:color w:val="2F5496"/>
                <w:sz w:val="18"/>
                <w:szCs w:val="18"/>
                <w:lang w:val="en-US"/>
              </w:rPr>
            </w:pPr>
            <w:r w:rsidRPr="00FA3F57">
              <w:rPr>
                <w:rFonts w:eastAsia="Calibri"/>
                <w:color w:val="2F5496"/>
                <w:sz w:val="18"/>
                <w:szCs w:val="18"/>
                <w:lang w:val="en-US"/>
              </w:rPr>
              <w:t>7</w:t>
            </w:r>
            <w:r w:rsidRPr="00F07779">
              <w:rPr>
                <w:rFonts w:eastAsia="Calibri"/>
                <w:color w:val="2F5496"/>
                <w:sz w:val="18"/>
                <w:szCs w:val="18"/>
                <w:lang w:val="en-US"/>
              </w:rPr>
              <w:t>.</w:t>
            </w:r>
            <w:r w:rsidRPr="00FA3F57">
              <w:rPr>
                <w:rFonts w:eastAsia="Calibri"/>
                <w:color w:val="2F5496"/>
                <w:sz w:val="18"/>
                <w:szCs w:val="18"/>
                <w:lang w:val="en-US"/>
              </w:rPr>
              <w:t>6</w:t>
            </w:r>
            <w:r w:rsidRPr="00FA3F57">
              <w:rPr>
                <w:rStyle w:val="FootnoteReference"/>
                <w:rFonts w:eastAsia="Calibri"/>
                <w:color w:val="2F5496"/>
                <w:sz w:val="18"/>
                <w:szCs w:val="18"/>
                <w:lang w:val="en-US"/>
              </w:rPr>
              <w:footnoteReference w:id="15"/>
            </w:r>
            <w:r w:rsidRPr="00FA3F57">
              <w:rPr>
                <w:rFonts w:eastAsia="Calibri"/>
                <w:color w:val="2F5496"/>
                <w:sz w:val="18"/>
                <w:szCs w:val="18"/>
                <w:lang w:val="en-US"/>
              </w:rPr>
              <w:t>%</w:t>
            </w:r>
          </w:p>
        </w:tc>
      </w:tr>
      <w:tr w:rsidR="0094644B" w:rsidRPr="00F07779" w14:paraId="7630A5B5" w14:textId="77777777" w:rsidTr="00FB5086">
        <w:trPr>
          <w:trHeight w:val="237"/>
        </w:trPr>
        <w:tc>
          <w:tcPr>
            <w:tcW w:w="1040" w:type="dxa"/>
            <w:vMerge w:val="restart"/>
            <w:textDirection w:val="btLr"/>
            <w:vAlign w:val="center"/>
          </w:tcPr>
          <w:p w14:paraId="7F63AE49" w14:textId="77777777" w:rsidR="0094644B" w:rsidRPr="00FA3F57" w:rsidRDefault="0094644B" w:rsidP="00FB5086">
            <w:pPr>
              <w:keepNext/>
              <w:snapToGrid w:val="0"/>
              <w:ind w:firstLine="0"/>
              <w:jc w:val="both"/>
              <w:rPr>
                <w:rFonts w:eastAsia="Calibri"/>
                <w:color w:val="2F5496"/>
                <w:sz w:val="18"/>
                <w:szCs w:val="18"/>
                <w:lang w:val="en-US"/>
              </w:rPr>
            </w:pPr>
            <w:r w:rsidRPr="00F07779">
              <w:rPr>
                <w:rFonts w:eastAsia="Calibri"/>
                <w:b/>
                <w:color w:val="2F5496"/>
                <w:sz w:val="18"/>
                <w:szCs w:val="18"/>
                <w:lang w:val="en-US"/>
              </w:rPr>
              <w:t>Projected</w:t>
            </w:r>
            <w:r w:rsidRPr="00FA3F57">
              <w:rPr>
                <w:rFonts w:eastAsia="Calibri"/>
                <w:b/>
                <w:color w:val="2F5496"/>
                <w:sz w:val="18"/>
                <w:szCs w:val="18"/>
                <w:lang w:val="en-US"/>
              </w:rPr>
              <w:br/>
              <w:t xml:space="preserve">indicator </w:t>
            </w:r>
            <w:r w:rsidRPr="00F07779">
              <w:rPr>
                <w:rFonts w:eastAsia="Calibri"/>
                <w:b/>
                <w:color w:val="2F5496"/>
                <w:sz w:val="18"/>
                <w:szCs w:val="18"/>
                <w:lang w:val="en-US"/>
              </w:rPr>
              <w:t>value</w:t>
            </w:r>
            <w:r w:rsidRPr="00FA3F57">
              <w:rPr>
                <w:rFonts w:eastAsia="Calibri"/>
                <w:b/>
                <w:color w:val="2F5496"/>
                <w:sz w:val="18"/>
                <w:szCs w:val="18"/>
                <w:lang w:val="en-US"/>
              </w:rPr>
              <w:t xml:space="preserve"> </w:t>
            </w:r>
          </w:p>
        </w:tc>
        <w:tc>
          <w:tcPr>
            <w:tcW w:w="957" w:type="dxa"/>
            <w:vAlign w:val="center"/>
          </w:tcPr>
          <w:p w14:paraId="2E221856" w14:textId="77777777" w:rsidR="0094644B" w:rsidRPr="00FA3F57" w:rsidRDefault="0094644B" w:rsidP="00FB5086">
            <w:pPr>
              <w:keepNext/>
              <w:snapToGrid w:val="0"/>
              <w:ind w:left="-74"/>
              <w:jc w:val="center"/>
              <w:rPr>
                <w:rFonts w:eastAsia="Calibri"/>
                <w:color w:val="2F5496"/>
                <w:sz w:val="18"/>
                <w:szCs w:val="18"/>
                <w:lang w:val="en-US"/>
              </w:rPr>
            </w:pPr>
            <w:r w:rsidRPr="00FA3F57">
              <w:rPr>
                <w:rFonts w:eastAsia="Calibri"/>
                <w:b/>
                <w:color w:val="2F5496"/>
                <w:sz w:val="18"/>
                <w:szCs w:val="18"/>
                <w:lang w:val="en-US"/>
              </w:rPr>
              <w:t>2026</w:t>
            </w:r>
          </w:p>
        </w:tc>
        <w:tc>
          <w:tcPr>
            <w:tcW w:w="4198" w:type="dxa"/>
            <w:vAlign w:val="center"/>
          </w:tcPr>
          <w:p w14:paraId="6D0C71C8" w14:textId="77777777" w:rsidR="0094644B" w:rsidRPr="00FA3F57" w:rsidRDefault="0094644B" w:rsidP="00FB5086">
            <w:pPr>
              <w:snapToGrid w:val="0"/>
              <w:ind w:left="130" w:firstLine="0"/>
              <w:rPr>
                <w:rFonts w:eastAsia="Calibri"/>
                <w:color w:val="2F5496"/>
                <w:sz w:val="18"/>
                <w:szCs w:val="18"/>
                <w:lang w:val="en-US"/>
              </w:rPr>
            </w:pPr>
            <w:r w:rsidRPr="00F07779">
              <w:rPr>
                <w:rFonts w:eastAsia="Calibri"/>
                <w:color w:val="2F5496"/>
                <w:sz w:val="18"/>
                <w:szCs w:val="18"/>
                <w:lang w:val="en-US"/>
              </w:rPr>
              <w:t>Losses in the distribution system</w:t>
            </w:r>
            <w:r w:rsidRPr="00FA3F57">
              <w:rPr>
                <w:rFonts w:eastAsia="Calibri"/>
                <w:color w:val="2F5496"/>
                <w:sz w:val="18"/>
                <w:szCs w:val="18"/>
                <w:lang w:val="en-US"/>
              </w:rPr>
              <w:br/>
              <w:t>8</w:t>
            </w:r>
            <w:r w:rsidRPr="00F07779">
              <w:rPr>
                <w:rFonts w:eastAsia="Calibri"/>
                <w:color w:val="2F5496"/>
                <w:sz w:val="18"/>
                <w:szCs w:val="18"/>
                <w:lang w:val="en-US"/>
              </w:rPr>
              <w:t>.</w:t>
            </w:r>
            <w:r w:rsidRPr="00FA3F57">
              <w:rPr>
                <w:rFonts w:eastAsia="Calibri"/>
                <w:color w:val="2F5496"/>
                <w:sz w:val="18"/>
                <w:szCs w:val="18"/>
                <w:lang w:val="en-US"/>
              </w:rPr>
              <w:t>80%</w:t>
            </w:r>
          </w:p>
        </w:tc>
        <w:tc>
          <w:tcPr>
            <w:tcW w:w="2070" w:type="dxa"/>
            <w:vAlign w:val="center"/>
          </w:tcPr>
          <w:p w14:paraId="1175FDFF" w14:textId="77777777" w:rsidR="0094644B" w:rsidRPr="00FA3F57" w:rsidRDefault="0094644B" w:rsidP="00FB5086">
            <w:pPr>
              <w:keepNext/>
              <w:snapToGrid w:val="0"/>
              <w:ind w:firstLine="0"/>
              <w:jc w:val="center"/>
              <w:rPr>
                <w:rFonts w:eastAsia="Calibri"/>
                <w:color w:val="2F5496"/>
                <w:sz w:val="18"/>
                <w:szCs w:val="18"/>
                <w:lang w:val="en-US"/>
              </w:rPr>
            </w:pPr>
            <w:r w:rsidRPr="00FA3F57">
              <w:rPr>
                <w:rFonts w:eastAsia="Calibri"/>
                <w:color w:val="2F5496"/>
                <w:sz w:val="18"/>
                <w:szCs w:val="18"/>
                <w:lang w:val="en-US"/>
              </w:rPr>
              <w:t>0</w:t>
            </w:r>
            <w:r w:rsidRPr="00F07779">
              <w:rPr>
                <w:rFonts w:eastAsia="Calibri"/>
                <w:color w:val="2F5496"/>
                <w:sz w:val="18"/>
                <w:szCs w:val="18"/>
                <w:lang w:val="en-US"/>
              </w:rPr>
              <w:t>.</w:t>
            </w:r>
            <w:r w:rsidRPr="00FA3F57">
              <w:rPr>
                <w:rFonts w:eastAsia="Calibri"/>
                <w:color w:val="2F5496"/>
                <w:sz w:val="18"/>
                <w:szCs w:val="18"/>
                <w:lang w:val="en-US"/>
              </w:rPr>
              <w:t>677 kg CO</w:t>
            </w:r>
            <w:r w:rsidRPr="00FA3F57">
              <w:rPr>
                <w:rFonts w:eastAsia="Calibri"/>
                <w:color w:val="2F5496"/>
                <w:sz w:val="18"/>
                <w:szCs w:val="18"/>
                <w:vertAlign w:val="subscript"/>
                <w:lang w:val="en-US"/>
              </w:rPr>
              <w:t>2</w:t>
            </w:r>
            <w:r w:rsidRPr="00FA3F57">
              <w:rPr>
                <w:rFonts w:eastAsia="Calibri"/>
                <w:color w:val="2F5496"/>
                <w:sz w:val="18"/>
                <w:szCs w:val="18"/>
                <w:lang w:val="en-US"/>
              </w:rPr>
              <w:t>eq/kWh</w:t>
            </w:r>
          </w:p>
        </w:tc>
        <w:tc>
          <w:tcPr>
            <w:tcW w:w="1800" w:type="dxa"/>
            <w:vAlign w:val="center"/>
          </w:tcPr>
          <w:p w14:paraId="769DC852" w14:textId="77777777" w:rsidR="0094644B" w:rsidRPr="00FA3F57" w:rsidRDefault="0094644B" w:rsidP="00FB5086">
            <w:pPr>
              <w:keepNext/>
              <w:snapToGrid w:val="0"/>
              <w:ind w:firstLine="0"/>
              <w:jc w:val="center"/>
              <w:rPr>
                <w:rFonts w:eastAsia="Calibri"/>
                <w:color w:val="2F5496"/>
                <w:sz w:val="18"/>
                <w:szCs w:val="18"/>
                <w:lang w:val="en-US"/>
              </w:rPr>
            </w:pPr>
            <w:r w:rsidRPr="00FA3F57">
              <w:rPr>
                <w:rFonts w:eastAsia="Calibri"/>
                <w:color w:val="2F5496"/>
                <w:sz w:val="18"/>
                <w:szCs w:val="18"/>
                <w:lang w:val="en-US"/>
              </w:rPr>
              <w:t>36</w:t>
            </w:r>
            <w:r w:rsidRPr="00F07779">
              <w:rPr>
                <w:rFonts w:eastAsia="Calibri"/>
                <w:color w:val="2F5496"/>
                <w:sz w:val="18"/>
                <w:szCs w:val="18"/>
                <w:lang w:val="en-US"/>
              </w:rPr>
              <w:t>.</w:t>
            </w:r>
            <w:r w:rsidRPr="00FA3F57">
              <w:rPr>
                <w:rFonts w:eastAsia="Calibri"/>
                <w:color w:val="2F5496"/>
                <w:sz w:val="18"/>
                <w:szCs w:val="18"/>
                <w:lang w:val="en-US"/>
              </w:rPr>
              <w:t>7%</w:t>
            </w:r>
          </w:p>
        </w:tc>
        <w:tc>
          <w:tcPr>
            <w:tcW w:w="1992" w:type="dxa"/>
            <w:vAlign w:val="center"/>
          </w:tcPr>
          <w:p w14:paraId="1E1AE3D5" w14:textId="77777777" w:rsidR="0094644B" w:rsidRPr="00FA3F57" w:rsidRDefault="0094644B" w:rsidP="00FB5086">
            <w:pPr>
              <w:keepNext/>
              <w:snapToGrid w:val="0"/>
              <w:ind w:firstLine="0"/>
              <w:jc w:val="center"/>
              <w:rPr>
                <w:rFonts w:eastAsia="Calibri"/>
                <w:color w:val="2F5496"/>
                <w:sz w:val="18"/>
                <w:szCs w:val="18"/>
                <w:lang w:val="en-US"/>
              </w:rPr>
            </w:pPr>
            <w:r w:rsidRPr="00FA3F57">
              <w:rPr>
                <w:rFonts w:eastAsia="Calibri"/>
                <w:color w:val="2F5496"/>
                <w:sz w:val="18"/>
                <w:szCs w:val="18"/>
                <w:lang w:val="en-US"/>
              </w:rPr>
              <w:t>-3</w:t>
            </w:r>
            <w:r w:rsidRPr="00F07779">
              <w:rPr>
                <w:rFonts w:eastAsia="Calibri"/>
                <w:color w:val="2F5496"/>
                <w:sz w:val="18"/>
                <w:szCs w:val="18"/>
                <w:lang w:val="en-US"/>
              </w:rPr>
              <w:t>.</w:t>
            </w:r>
            <w:r w:rsidRPr="00FA3F57">
              <w:rPr>
                <w:rFonts w:eastAsia="Calibri"/>
                <w:color w:val="2F5496"/>
                <w:sz w:val="18"/>
                <w:szCs w:val="18"/>
                <w:lang w:val="en-US"/>
              </w:rPr>
              <w:t>7%</w:t>
            </w:r>
          </w:p>
        </w:tc>
        <w:tc>
          <w:tcPr>
            <w:tcW w:w="2515" w:type="dxa"/>
            <w:vAlign w:val="center"/>
          </w:tcPr>
          <w:p w14:paraId="08A3278B" w14:textId="77777777" w:rsidR="0094644B" w:rsidRPr="00FA3F57" w:rsidRDefault="0094644B" w:rsidP="00FB5086">
            <w:pPr>
              <w:keepNext/>
              <w:snapToGrid w:val="0"/>
              <w:ind w:firstLine="0"/>
              <w:jc w:val="center"/>
              <w:rPr>
                <w:rFonts w:eastAsia="Calibri"/>
                <w:color w:val="2F5496"/>
                <w:sz w:val="18"/>
                <w:szCs w:val="18"/>
                <w:lang w:val="en-US"/>
              </w:rPr>
            </w:pPr>
            <w:r w:rsidRPr="00FA3F57">
              <w:rPr>
                <w:rFonts w:eastAsia="Calibri"/>
                <w:color w:val="2F5496"/>
                <w:sz w:val="18"/>
                <w:szCs w:val="18"/>
                <w:lang w:val="en-US"/>
              </w:rPr>
              <w:t>7</w:t>
            </w:r>
            <w:r w:rsidRPr="00F07779">
              <w:rPr>
                <w:rFonts w:eastAsia="Calibri"/>
                <w:color w:val="2F5496"/>
                <w:sz w:val="18"/>
                <w:szCs w:val="18"/>
                <w:lang w:val="en-US"/>
              </w:rPr>
              <w:t>.</w:t>
            </w:r>
            <w:r w:rsidRPr="00FA3F57">
              <w:rPr>
                <w:rFonts w:eastAsia="Calibri"/>
                <w:color w:val="2F5496"/>
                <w:sz w:val="18"/>
                <w:szCs w:val="18"/>
                <w:lang w:val="en-US"/>
              </w:rPr>
              <w:t>0</w:t>
            </w:r>
            <w:r w:rsidRPr="00FA3F57">
              <w:rPr>
                <w:rStyle w:val="FootnoteReference"/>
                <w:rFonts w:eastAsia="Calibri"/>
                <w:color w:val="2F5496"/>
                <w:sz w:val="18"/>
                <w:szCs w:val="18"/>
                <w:lang w:val="en-US"/>
              </w:rPr>
              <w:footnoteReference w:id="16"/>
            </w:r>
            <w:r w:rsidRPr="00FA3F57">
              <w:rPr>
                <w:rFonts w:eastAsia="Calibri"/>
                <w:color w:val="2F5496"/>
                <w:sz w:val="18"/>
                <w:szCs w:val="18"/>
                <w:lang w:val="en-US"/>
              </w:rPr>
              <w:t>%</w:t>
            </w:r>
          </w:p>
        </w:tc>
      </w:tr>
      <w:tr w:rsidR="0094644B" w:rsidRPr="00F07779" w14:paraId="5C1848F6" w14:textId="77777777" w:rsidTr="00FB5086">
        <w:tc>
          <w:tcPr>
            <w:tcW w:w="1040" w:type="dxa"/>
            <w:vMerge/>
          </w:tcPr>
          <w:p w14:paraId="43520305" w14:textId="77777777" w:rsidR="0094644B" w:rsidRPr="00FA3F57" w:rsidRDefault="0094644B" w:rsidP="00FB5086">
            <w:pPr>
              <w:keepNext/>
              <w:snapToGrid w:val="0"/>
              <w:rPr>
                <w:rFonts w:eastAsia="Calibri"/>
                <w:color w:val="2F5496"/>
                <w:sz w:val="18"/>
                <w:szCs w:val="18"/>
                <w:lang w:val="en-US"/>
              </w:rPr>
            </w:pPr>
          </w:p>
        </w:tc>
        <w:tc>
          <w:tcPr>
            <w:tcW w:w="957" w:type="dxa"/>
            <w:vAlign w:val="center"/>
          </w:tcPr>
          <w:p w14:paraId="3C4AB0CE" w14:textId="77777777" w:rsidR="0094644B" w:rsidRPr="00FA3F57" w:rsidRDefault="0094644B" w:rsidP="00FB5086">
            <w:pPr>
              <w:keepNext/>
              <w:snapToGrid w:val="0"/>
              <w:ind w:left="-74"/>
              <w:jc w:val="center"/>
              <w:rPr>
                <w:rFonts w:eastAsia="Calibri"/>
                <w:b/>
                <w:color w:val="2F5496"/>
                <w:sz w:val="18"/>
                <w:szCs w:val="18"/>
                <w:lang w:val="en-US"/>
              </w:rPr>
            </w:pPr>
            <w:r w:rsidRPr="00FA3F57">
              <w:rPr>
                <w:rFonts w:eastAsia="Calibri"/>
                <w:b/>
                <w:color w:val="2F5496"/>
                <w:sz w:val="18"/>
                <w:szCs w:val="18"/>
                <w:lang w:val="en-US"/>
              </w:rPr>
              <w:t>2027</w:t>
            </w:r>
          </w:p>
        </w:tc>
        <w:tc>
          <w:tcPr>
            <w:tcW w:w="4198" w:type="dxa"/>
            <w:vAlign w:val="center"/>
          </w:tcPr>
          <w:p w14:paraId="186DAE72" w14:textId="77777777" w:rsidR="0094644B" w:rsidRPr="00FA3F57" w:rsidRDefault="0094644B" w:rsidP="00FB5086">
            <w:pPr>
              <w:snapToGrid w:val="0"/>
              <w:ind w:left="130" w:firstLine="0"/>
              <w:rPr>
                <w:rFonts w:eastAsia="Calibri"/>
                <w:color w:val="2F5496"/>
                <w:sz w:val="18"/>
                <w:szCs w:val="18"/>
                <w:lang w:val="en-US"/>
              </w:rPr>
            </w:pPr>
            <w:r w:rsidRPr="00F07779">
              <w:rPr>
                <w:rFonts w:eastAsia="Calibri"/>
                <w:color w:val="2F5496"/>
                <w:sz w:val="18"/>
                <w:szCs w:val="18"/>
                <w:lang w:val="en-US"/>
              </w:rPr>
              <w:t>Losses in the distribution system</w:t>
            </w:r>
            <w:r w:rsidRPr="00FA3F57">
              <w:rPr>
                <w:rFonts w:eastAsia="Calibri"/>
                <w:color w:val="2F5496"/>
                <w:sz w:val="18"/>
                <w:szCs w:val="18"/>
                <w:lang w:val="en-US"/>
              </w:rPr>
              <w:br/>
              <w:t>8</w:t>
            </w:r>
            <w:r w:rsidRPr="00F07779">
              <w:rPr>
                <w:rFonts w:eastAsia="Calibri"/>
                <w:color w:val="2F5496"/>
                <w:sz w:val="18"/>
                <w:szCs w:val="18"/>
                <w:lang w:val="en-US"/>
              </w:rPr>
              <w:t>.</w:t>
            </w:r>
            <w:r w:rsidRPr="00FA3F57">
              <w:rPr>
                <w:rFonts w:eastAsia="Calibri"/>
                <w:color w:val="2F5496"/>
                <w:sz w:val="18"/>
                <w:szCs w:val="18"/>
                <w:lang w:val="en-US"/>
              </w:rPr>
              <w:t>50%</w:t>
            </w:r>
          </w:p>
        </w:tc>
        <w:tc>
          <w:tcPr>
            <w:tcW w:w="2070" w:type="dxa"/>
            <w:vAlign w:val="center"/>
          </w:tcPr>
          <w:p w14:paraId="42CA1C90" w14:textId="77777777" w:rsidR="0094644B" w:rsidRPr="00FA3F57" w:rsidRDefault="0094644B" w:rsidP="00FB5086">
            <w:pPr>
              <w:keepNext/>
              <w:snapToGrid w:val="0"/>
              <w:ind w:firstLine="0"/>
              <w:jc w:val="center"/>
              <w:rPr>
                <w:rFonts w:eastAsia="Calibri"/>
                <w:color w:val="2F5496"/>
                <w:sz w:val="18"/>
                <w:szCs w:val="18"/>
                <w:lang w:val="en-US"/>
              </w:rPr>
            </w:pPr>
            <w:r w:rsidRPr="00FA3F57">
              <w:rPr>
                <w:rFonts w:eastAsia="Calibri"/>
                <w:color w:val="2F5496"/>
                <w:sz w:val="18"/>
                <w:szCs w:val="18"/>
                <w:lang w:val="en-US"/>
              </w:rPr>
              <w:t>0</w:t>
            </w:r>
            <w:r w:rsidRPr="00F07779">
              <w:rPr>
                <w:rFonts w:eastAsia="Calibri"/>
                <w:color w:val="2F5496"/>
                <w:sz w:val="18"/>
                <w:szCs w:val="18"/>
                <w:lang w:val="en-US"/>
              </w:rPr>
              <w:t>.</w:t>
            </w:r>
            <w:r w:rsidRPr="00FA3F57">
              <w:rPr>
                <w:rFonts w:eastAsia="Calibri"/>
                <w:color w:val="2F5496"/>
                <w:sz w:val="18"/>
                <w:szCs w:val="18"/>
                <w:lang w:val="en-US"/>
              </w:rPr>
              <w:t>670 kg CO</w:t>
            </w:r>
            <w:r w:rsidRPr="00FA3F57">
              <w:rPr>
                <w:rFonts w:eastAsia="Calibri"/>
                <w:color w:val="2F5496"/>
                <w:sz w:val="18"/>
                <w:szCs w:val="18"/>
                <w:vertAlign w:val="subscript"/>
                <w:lang w:val="en-US"/>
              </w:rPr>
              <w:t>2</w:t>
            </w:r>
            <w:r w:rsidRPr="00FA3F57">
              <w:rPr>
                <w:rFonts w:eastAsia="Calibri"/>
                <w:color w:val="2F5496"/>
                <w:sz w:val="18"/>
                <w:szCs w:val="18"/>
                <w:lang w:val="en-US"/>
              </w:rPr>
              <w:t>eq/kWh</w:t>
            </w:r>
          </w:p>
        </w:tc>
        <w:tc>
          <w:tcPr>
            <w:tcW w:w="1800" w:type="dxa"/>
            <w:vAlign w:val="center"/>
          </w:tcPr>
          <w:p w14:paraId="5EB68F49" w14:textId="77777777" w:rsidR="0094644B" w:rsidRPr="00FA3F57" w:rsidRDefault="0094644B" w:rsidP="00FB5086">
            <w:pPr>
              <w:keepNext/>
              <w:snapToGrid w:val="0"/>
              <w:ind w:firstLine="0"/>
              <w:jc w:val="center"/>
              <w:rPr>
                <w:rFonts w:eastAsia="Calibri"/>
                <w:color w:val="2F5496"/>
                <w:sz w:val="18"/>
                <w:szCs w:val="18"/>
                <w:lang w:val="en-US"/>
              </w:rPr>
            </w:pPr>
            <w:r w:rsidRPr="00FA3F57">
              <w:rPr>
                <w:rFonts w:eastAsia="Calibri"/>
                <w:color w:val="2F5496"/>
                <w:sz w:val="18"/>
                <w:szCs w:val="18"/>
                <w:lang w:val="en-US"/>
              </w:rPr>
              <w:t>38%</w:t>
            </w:r>
          </w:p>
        </w:tc>
        <w:tc>
          <w:tcPr>
            <w:tcW w:w="1992" w:type="dxa"/>
            <w:vAlign w:val="center"/>
          </w:tcPr>
          <w:p w14:paraId="1CA3CE98" w14:textId="77777777" w:rsidR="0094644B" w:rsidRPr="00FA3F57" w:rsidRDefault="0094644B" w:rsidP="00FB5086">
            <w:pPr>
              <w:keepNext/>
              <w:snapToGrid w:val="0"/>
              <w:ind w:firstLine="0"/>
              <w:jc w:val="center"/>
              <w:rPr>
                <w:rFonts w:eastAsia="Calibri"/>
                <w:color w:val="2F5496"/>
                <w:sz w:val="18"/>
                <w:szCs w:val="18"/>
                <w:lang w:val="en-US"/>
              </w:rPr>
            </w:pPr>
            <w:r w:rsidRPr="00FA3F57">
              <w:rPr>
                <w:rFonts w:eastAsia="Calibri"/>
                <w:color w:val="2F5496"/>
                <w:sz w:val="18"/>
                <w:szCs w:val="18"/>
                <w:lang w:val="en-US"/>
              </w:rPr>
              <w:t>-3</w:t>
            </w:r>
            <w:r w:rsidRPr="00F07779">
              <w:rPr>
                <w:rFonts w:eastAsia="Calibri"/>
                <w:color w:val="2F5496"/>
                <w:sz w:val="18"/>
                <w:szCs w:val="18"/>
                <w:lang w:val="en-US"/>
              </w:rPr>
              <w:t>.</w:t>
            </w:r>
            <w:r w:rsidRPr="00FA3F57">
              <w:rPr>
                <w:rFonts w:eastAsia="Calibri"/>
                <w:color w:val="2F5496"/>
                <w:sz w:val="18"/>
                <w:szCs w:val="18"/>
                <w:lang w:val="en-US"/>
              </w:rPr>
              <w:t>7%</w:t>
            </w:r>
          </w:p>
        </w:tc>
        <w:tc>
          <w:tcPr>
            <w:tcW w:w="2515" w:type="dxa"/>
            <w:vAlign w:val="center"/>
          </w:tcPr>
          <w:p w14:paraId="53396659" w14:textId="77777777" w:rsidR="0094644B" w:rsidRPr="00FA3F57" w:rsidRDefault="0094644B" w:rsidP="00FB5086">
            <w:pPr>
              <w:keepNext/>
              <w:snapToGrid w:val="0"/>
              <w:ind w:firstLine="0"/>
              <w:jc w:val="center"/>
              <w:rPr>
                <w:rFonts w:eastAsia="Calibri"/>
                <w:color w:val="2F5496"/>
                <w:sz w:val="18"/>
                <w:szCs w:val="18"/>
                <w:lang w:val="en-US"/>
              </w:rPr>
            </w:pPr>
            <w:r w:rsidRPr="00FA3F57">
              <w:rPr>
                <w:rFonts w:eastAsia="Calibri"/>
                <w:color w:val="2F5496"/>
                <w:sz w:val="18"/>
                <w:szCs w:val="18"/>
                <w:lang w:val="en-US"/>
              </w:rPr>
              <w:t>6</w:t>
            </w:r>
            <w:r w:rsidRPr="00F07779">
              <w:rPr>
                <w:rFonts w:eastAsia="Calibri"/>
                <w:color w:val="2F5496"/>
                <w:sz w:val="18"/>
                <w:szCs w:val="18"/>
                <w:lang w:val="en-US"/>
              </w:rPr>
              <w:t>.</w:t>
            </w:r>
            <w:r w:rsidRPr="00FA3F57">
              <w:rPr>
                <w:rFonts w:eastAsia="Calibri"/>
                <w:color w:val="2F5496"/>
                <w:sz w:val="18"/>
                <w:szCs w:val="18"/>
                <w:lang w:val="en-US"/>
              </w:rPr>
              <w:t>8</w:t>
            </w:r>
            <w:r w:rsidRPr="00FA3F57">
              <w:rPr>
                <w:rStyle w:val="FootnoteReference"/>
                <w:rFonts w:eastAsia="Calibri"/>
                <w:color w:val="2F5496"/>
                <w:sz w:val="18"/>
                <w:szCs w:val="18"/>
                <w:lang w:val="en-US"/>
              </w:rPr>
              <w:footnoteReference w:id="17"/>
            </w:r>
            <w:r w:rsidRPr="00FA3F57">
              <w:rPr>
                <w:rFonts w:eastAsia="Calibri"/>
                <w:color w:val="2F5496"/>
                <w:sz w:val="18"/>
                <w:szCs w:val="18"/>
                <w:lang w:val="en-US"/>
              </w:rPr>
              <w:t>%</w:t>
            </w:r>
          </w:p>
        </w:tc>
      </w:tr>
      <w:tr w:rsidR="0094644B" w:rsidRPr="00F07779" w14:paraId="734C40FB" w14:textId="77777777" w:rsidTr="00FB5086">
        <w:tc>
          <w:tcPr>
            <w:tcW w:w="1040" w:type="dxa"/>
            <w:vMerge/>
          </w:tcPr>
          <w:p w14:paraId="2AB3DD09" w14:textId="77777777" w:rsidR="0094644B" w:rsidRPr="00FA3F57" w:rsidRDefault="0094644B" w:rsidP="00FB5086">
            <w:pPr>
              <w:snapToGrid w:val="0"/>
              <w:rPr>
                <w:rFonts w:eastAsia="Calibri"/>
                <w:color w:val="2F5496"/>
                <w:sz w:val="18"/>
                <w:szCs w:val="18"/>
                <w:lang w:val="en-US"/>
              </w:rPr>
            </w:pPr>
          </w:p>
        </w:tc>
        <w:tc>
          <w:tcPr>
            <w:tcW w:w="957" w:type="dxa"/>
            <w:vAlign w:val="center"/>
          </w:tcPr>
          <w:p w14:paraId="513369AD" w14:textId="77777777" w:rsidR="0094644B" w:rsidRPr="00FA3F57" w:rsidRDefault="0094644B" w:rsidP="00FB5086">
            <w:pPr>
              <w:snapToGrid w:val="0"/>
              <w:ind w:left="-74"/>
              <w:jc w:val="center"/>
              <w:rPr>
                <w:rFonts w:eastAsia="Calibri"/>
                <w:b/>
                <w:color w:val="2F5496"/>
                <w:sz w:val="18"/>
                <w:szCs w:val="18"/>
                <w:lang w:val="en-US"/>
              </w:rPr>
            </w:pPr>
            <w:r w:rsidRPr="00FA3F57">
              <w:rPr>
                <w:rFonts w:eastAsia="Calibri"/>
                <w:b/>
                <w:color w:val="2F5496"/>
                <w:sz w:val="18"/>
                <w:szCs w:val="18"/>
                <w:lang w:val="en-US"/>
              </w:rPr>
              <w:t>2028</w:t>
            </w:r>
          </w:p>
        </w:tc>
        <w:tc>
          <w:tcPr>
            <w:tcW w:w="4198" w:type="dxa"/>
            <w:vAlign w:val="center"/>
          </w:tcPr>
          <w:p w14:paraId="3C69EFA9" w14:textId="77777777" w:rsidR="0094644B" w:rsidRPr="00FA3F57" w:rsidRDefault="0094644B" w:rsidP="00FB5086">
            <w:pPr>
              <w:snapToGrid w:val="0"/>
              <w:ind w:firstLine="152"/>
              <w:jc w:val="both"/>
              <w:rPr>
                <w:rFonts w:eastAsia="Calibri"/>
                <w:color w:val="2F5496"/>
                <w:sz w:val="18"/>
                <w:szCs w:val="18"/>
                <w:lang w:val="en-US"/>
              </w:rPr>
            </w:pPr>
            <w:r w:rsidRPr="00F07779">
              <w:rPr>
                <w:rFonts w:eastAsia="Calibri"/>
                <w:color w:val="2F5496"/>
                <w:sz w:val="18"/>
                <w:szCs w:val="18"/>
                <w:lang w:val="en-US"/>
              </w:rPr>
              <w:t>Data not available.</w:t>
            </w:r>
          </w:p>
        </w:tc>
        <w:tc>
          <w:tcPr>
            <w:tcW w:w="2070" w:type="dxa"/>
            <w:vAlign w:val="center"/>
          </w:tcPr>
          <w:p w14:paraId="471BE9C1" w14:textId="77777777" w:rsidR="0094644B" w:rsidRPr="00FA3F57" w:rsidRDefault="0094644B" w:rsidP="00FB5086">
            <w:pPr>
              <w:snapToGrid w:val="0"/>
              <w:ind w:firstLine="0"/>
              <w:jc w:val="center"/>
              <w:rPr>
                <w:rFonts w:eastAsia="Calibri"/>
                <w:color w:val="2F5496"/>
                <w:sz w:val="18"/>
                <w:szCs w:val="18"/>
                <w:lang w:val="en-US"/>
              </w:rPr>
            </w:pPr>
            <w:r w:rsidRPr="00FA3F57">
              <w:rPr>
                <w:rFonts w:eastAsia="Calibri"/>
                <w:color w:val="2F5496"/>
                <w:sz w:val="18"/>
                <w:szCs w:val="18"/>
                <w:lang w:val="en-US"/>
              </w:rPr>
              <w:t>0</w:t>
            </w:r>
            <w:r w:rsidRPr="00F07779">
              <w:rPr>
                <w:rFonts w:eastAsia="Calibri"/>
                <w:color w:val="2F5496"/>
                <w:sz w:val="18"/>
                <w:szCs w:val="18"/>
                <w:lang w:val="en-US"/>
              </w:rPr>
              <w:t>.</w:t>
            </w:r>
            <w:r w:rsidRPr="00FA3F57">
              <w:rPr>
                <w:rFonts w:eastAsia="Calibri"/>
                <w:color w:val="2F5496"/>
                <w:sz w:val="18"/>
                <w:szCs w:val="18"/>
                <w:lang w:val="en-US"/>
              </w:rPr>
              <w:t>661 kg CO</w:t>
            </w:r>
            <w:r w:rsidRPr="00FA3F57">
              <w:rPr>
                <w:rFonts w:eastAsia="Calibri"/>
                <w:color w:val="2F5496"/>
                <w:sz w:val="18"/>
                <w:szCs w:val="18"/>
                <w:vertAlign w:val="subscript"/>
                <w:lang w:val="en-US"/>
              </w:rPr>
              <w:t>2</w:t>
            </w:r>
            <w:r w:rsidRPr="00FA3F57">
              <w:rPr>
                <w:rFonts w:eastAsia="Calibri"/>
                <w:color w:val="2F5496"/>
                <w:sz w:val="18"/>
                <w:szCs w:val="18"/>
                <w:lang w:val="en-US"/>
              </w:rPr>
              <w:t>eq/kWh</w:t>
            </w:r>
          </w:p>
        </w:tc>
        <w:tc>
          <w:tcPr>
            <w:tcW w:w="1800" w:type="dxa"/>
            <w:vAlign w:val="center"/>
          </w:tcPr>
          <w:p w14:paraId="14E37645" w14:textId="77777777" w:rsidR="0094644B" w:rsidRPr="00FA3F57" w:rsidRDefault="0094644B" w:rsidP="00FB5086">
            <w:pPr>
              <w:snapToGrid w:val="0"/>
              <w:ind w:firstLine="0"/>
              <w:jc w:val="center"/>
              <w:rPr>
                <w:rFonts w:eastAsia="Calibri"/>
                <w:color w:val="2F5496"/>
                <w:sz w:val="18"/>
                <w:szCs w:val="18"/>
                <w:lang w:val="en-US"/>
              </w:rPr>
            </w:pPr>
            <w:r w:rsidRPr="00FA3F57">
              <w:rPr>
                <w:rFonts w:eastAsia="Calibri"/>
                <w:color w:val="2F5496"/>
                <w:sz w:val="18"/>
                <w:szCs w:val="18"/>
                <w:lang w:val="en-US"/>
              </w:rPr>
              <w:t>39</w:t>
            </w:r>
            <w:r w:rsidRPr="00F07779">
              <w:rPr>
                <w:rFonts w:eastAsia="Calibri"/>
                <w:color w:val="2F5496"/>
                <w:sz w:val="18"/>
                <w:szCs w:val="18"/>
                <w:lang w:val="en-US"/>
              </w:rPr>
              <w:t>.</w:t>
            </w:r>
            <w:r w:rsidRPr="00FA3F57">
              <w:rPr>
                <w:rFonts w:eastAsia="Calibri"/>
                <w:color w:val="2F5496"/>
                <w:sz w:val="18"/>
                <w:szCs w:val="18"/>
                <w:lang w:val="en-US"/>
              </w:rPr>
              <w:t>8%</w:t>
            </w:r>
          </w:p>
        </w:tc>
        <w:tc>
          <w:tcPr>
            <w:tcW w:w="1992" w:type="dxa"/>
            <w:vAlign w:val="center"/>
          </w:tcPr>
          <w:p w14:paraId="753CF0C8" w14:textId="77777777" w:rsidR="0094644B" w:rsidRPr="00FA3F57" w:rsidRDefault="0094644B" w:rsidP="00FB5086">
            <w:pPr>
              <w:snapToGrid w:val="0"/>
              <w:ind w:firstLine="0"/>
              <w:jc w:val="center"/>
              <w:rPr>
                <w:rFonts w:eastAsia="Calibri"/>
                <w:color w:val="2F5496"/>
                <w:sz w:val="18"/>
                <w:szCs w:val="18"/>
                <w:lang w:val="en-US"/>
              </w:rPr>
            </w:pPr>
            <w:r w:rsidRPr="00FA3F57">
              <w:rPr>
                <w:rFonts w:eastAsia="Calibri"/>
                <w:color w:val="2F5496"/>
                <w:sz w:val="18"/>
                <w:szCs w:val="18"/>
                <w:lang w:val="en-US"/>
              </w:rPr>
              <w:t>-3</w:t>
            </w:r>
            <w:r w:rsidRPr="00F07779">
              <w:rPr>
                <w:rFonts w:eastAsia="Calibri"/>
                <w:color w:val="2F5496"/>
                <w:sz w:val="18"/>
                <w:szCs w:val="18"/>
                <w:lang w:val="en-US"/>
              </w:rPr>
              <w:t>.</w:t>
            </w:r>
            <w:r w:rsidRPr="00FA3F57">
              <w:rPr>
                <w:rFonts w:eastAsia="Calibri"/>
                <w:color w:val="2F5496"/>
                <w:sz w:val="18"/>
                <w:szCs w:val="18"/>
                <w:lang w:val="en-US"/>
              </w:rPr>
              <w:t>9%</w:t>
            </w:r>
          </w:p>
        </w:tc>
        <w:tc>
          <w:tcPr>
            <w:tcW w:w="2515" w:type="dxa"/>
            <w:vAlign w:val="center"/>
          </w:tcPr>
          <w:p w14:paraId="3DEE1FF1" w14:textId="77777777" w:rsidR="0094644B" w:rsidRPr="00F07779" w:rsidRDefault="0094644B" w:rsidP="00FB5086">
            <w:pPr>
              <w:snapToGrid w:val="0"/>
              <w:ind w:firstLine="0"/>
              <w:jc w:val="both"/>
              <w:rPr>
                <w:rFonts w:eastAsia="Calibri"/>
                <w:color w:val="2F5496"/>
                <w:sz w:val="18"/>
                <w:szCs w:val="18"/>
                <w:lang w:val="en-US"/>
              </w:rPr>
            </w:pPr>
            <w:r w:rsidRPr="00F07779">
              <w:rPr>
                <w:rFonts w:eastAsia="Calibri"/>
                <w:color w:val="2F5496"/>
                <w:sz w:val="18"/>
                <w:szCs w:val="18"/>
                <w:lang w:val="en-US"/>
              </w:rPr>
              <w:t>Data not available.</w:t>
            </w:r>
          </w:p>
        </w:tc>
      </w:tr>
    </w:tbl>
    <w:p w14:paraId="4F65D49E" w14:textId="77777777" w:rsidR="0094644B" w:rsidRPr="00FA3F57" w:rsidRDefault="0094644B" w:rsidP="0094644B">
      <w:pPr>
        <w:sectPr w:rsidR="0094644B" w:rsidRPr="00FA3F57" w:rsidSect="0094644B">
          <w:pgSz w:w="16840" w:h="11900" w:orient="landscape"/>
          <w:pgMar w:top="1134" w:right="1134" w:bottom="1134" w:left="1134" w:header="709" w:footer="709" w:gutter="907"/>
          <w:cols w:space="708"/>
          <w:titlePg/>
          <w:docGrid w:linePitch="360"/>
        </w:sectPr>
      </w:pPr>
    </w:p>
    <w:p w14:paraId="109A9FEC" w14:textId="77777777" w:rsidR="0094644B" w:rsidRPr="00FA3F57" w:rsidRDefault="0094644B" w:rsidP="0094644B">
      <w:pPr>
        <w:tabs>
          <w:tab w:val="left" w:pos="1276"/>
          <w:tab w:val="left" w:pos="1560"/>
        </w:tabs>
        <w:ind w:left="1440" w:hanging="1440"/>
      </w:pPr>
      <w:r w:rsidRPr="00FA3F57">
        <w:lastRenderedPageBreak/>
        <w:t>Table 5.1.3-1:</w:t>
      </w:r>
      <w:r w:rsidRPr="00FA3F57">
        <w:tab/>
        <w:t xml:space="preserve">Activities for the implementation of </w:t>
      </w:r>
      <w:r w:rsidRPr="00F07779">
        <w:t xml:space="preserve">the </w:t>
      </w:r>
      <w:r w:rsidRPr="00FA3F57">
        <w:t>measure EL1- Activity EL1.1</w:t>
      </w:r>
    </w:p>
    <w:tbl>
      <w:tblPr>
        <w:tblStyle w:val="TableGrid"/>
        <w:tblW w:w="0" w:type="auto"/>
        <w:tblLook w:val="04A0" w:firstRow="1" w:lastRow="0" w:firstColumn="1" w:lastColumn="0" w:noHBand="0" w:noVBand="1"/>
      </w:tblPr>
      <w:tblGrid>
        <w:gridCol w:w="2973"/>
        <w:gridCol w:w="5667"/>
      </w:tblGrid>
      <w:tr w:rsidR="0094644B" w:rsidRPr="00F07779" w14:paraId="138713C2" w14:textId="77777777" w:rsidTr="00FB5086">
        <w:tc>
          <w:tcPr>
            <w:tcW w:w="2973" w:type="dxa"/>
            <w:shd w:val="clear" w:color="auto" w:fill="D9D9D9" w:themeFill="background1" w:themeFillShade="D9"/>
          </w:tcPr>
          <w:p w14:paraId="16F5D124" w14:textId="77777777" w:rsidR="0094644B" w:rsidRPr="00FA3F57" w:rsidRDefault="0094644B" w:rsidP="00FB5086">
            <w:pPr>
              <w:rPr>
                <w:sz w:val="20"/>
                <w:szCs w:val="20"/>
              </w:rPr>
            </w:pPr>
            <w:r w:rsidRPr="00FA3F57">
              <w:rPr>
                <w:sz w:val="20"/>
                <w:szCs w:val="20"/>
              </w:rPr>
              <w:t>Activity EL1.1</w:t>
            </w:r>
          </w:p>
        </w:tc>
        <w:tc>
          <w:tcPr>
            <w:tcW w:w="5667" w:type="dxa"/>
            <w:shd w:val="clear" w:color="auto" w:fill="D9D9D9" w:themeFill="background1" w:themeFillShade="D9"/>
          </w:tcPr>
          <w:p w14:paraId="6F651297" w14:textId="77777777" w:rsidR="0094644B" w:rsidRPr="00FA3F57" w:rsidRDefault="0094644B" w:rsidP="00FB5086">
            <w:pPr>
              <w:rPr>
                <w:sz w:val="20"/>
                <w:szCs w:val="20"/>
              </w:rPr>
            </w:pPr>
            <w:r w:rsidRPr="00FA3F57">
              <w:rPr>
                <w:sz w:val="20"/>
                <w:szCs w:val="20"/>
              </w:rPr>
              <w:t>Investment projects</w:t>
            </w:r>
            <w:r w:rsidRPr="00F07779">
              <w:rPr>
                <w:sz w:val="20"/>
                <w:szCs w:val="20"/>
              </w:rPr>
              <w:t xml:space="preserve"> of</w:t>
            </w:r>
            <w:r w:rsidRPr="00FA3F57">
              <w:rPr>
                <w:sz w:val="20"/>
                <w:szCs w:val="20"/>
              </w:rPr>
              <w:t xml:space="preserve"> revitalization (reconstruction) and modernization of power plants</w:t>
            </w:r>
          </w:p>
        </w:tc>
      </w:tr>
      <w:tr w:rsidR="0094644B" w:rsidRPr="00F07779" w14:paraId="011C5BD6" w14:textId="77777777" w:rsidTr="00FB5086">
        <w:tc>
          <w:tcPr>
            <w:tcW w:w="2973" w:type="dxa"/>
            <w:shd w:val="clear" w:color="auto" w:fill="D9E2F3" w:themeFill="accent1" w:themeFillTint="33"/>
          </w:tcPr>
          <w:p w14:paraId="400DB857" w14:textId="77777777" w:rsidR="0094644B" w:rsidRPr="00FA3F57" w:rsidRDefault="0094644B" w:rsidP="00FB5086">
            <w:pPr>
              <w:rPr>
                <w:sz w:val="20"/>
                <w:szCs w:val="20"/>
              </w:rPr>
            </w:pPr>
            <w:r w:rsidRPr="00FA3F57">
              <w:rPr>
                <w:sz w:val="20"/>
                <w:szCs w:val="20"/>
              </w:rPr>
              <w:t>Name of the project</w:t>
            </w:r>
          </w:p>
        </w:tc>
        <w:tc>
          <w:tcPr>
            <w:tcW w:w="5667" w:type="dxa"/>
            <w:shd w:val="clear" w:color="auto" w:fill="D9E2F3" w:themeFill="accent1" w:themeFillTint="33"/>
          </w:tcPr>
          <w:p w14:paraId="6965CAA7" w14:textId="77777777" w:rsidR="0094644B" w:rsidRPr="00FA3F57" w:rsidRDefault="0094644B" w:rsidP="00FB5086">
            <w:pPr>
              <w:rPr>
                <w:sz w:val="20"/>
                <w:szCs w:val="20"/>
              </w:rPr>
            </w:pPr>
            <w:r w:rsidRPr="00F07779">
              <w:rPr>
                <w:sz w:val="20"/>
                <w:szCs w:val="20"/>
              </w:rPr>
              <w:t>TEKO A1– Adaptation of unit A1</w:t>
            </w:r>
            <w:r w:rsidRPr="00FA3F57">
              <w:rPr>
                <w:rStyle w:val="FootnoteReference"/>
                <w:sz w:val="20"/>
                <w:szCs w:val="20"/>
              </w:rPr>
              <w:footnoteReference w:id="18"/>
            </w:r>
          </w:p>
        </w:tc>
      </w:tr>
      <w:tr w:rsidR="0094644B" w:rsidRPr="00F07779" w14:paraId="5AD29F01" w14:textId="77777777" w:rsidTr="00FB5086">
        <w:tc>
          <w:tcPr>
            <w:tcW w:w="2973" w:type="dxa"/>
          </w:tcPr>
          <w:p w14:paraId="37FBDB30" w14:textId="77777777" w:rsidR="0094644B" w:rsidRPr="00FA3F57" w:rsidRDefault="0094644B" w:rsidP="00FB5086">
            <w:pPr>
              <w:rPr>
                <w:sz w:val="20"/>
                <w:szCs w:val="20"/>
              </w:rPr>
            </w:pPr>
            <w:r w:rsidRPr="00FA3F57">
              <w:rPr>
                <w:sz w:val="20"/>
                <w:szCs w:val="20"/>
              </w:rPr>
              <w:t>Short description of the investment</w:t>
            </w:r>
          </w:p>
        </w:tc>
        <w:tc>
          <w:tcPr>
            <w:tcW w:w="5667" w:type="dxa"/>
          </w:tcPr>
          <w:p w14:paraId="54148DFD" w14:textId="77777777" w:rsidR="0094644B" w:rsidRPr="00F07779" w:rsidRDefault="0094644B" w:rsidP="00FB5086">
            <w:pPr>
              <w:rPr>
                <w:sz w:val="20"/>
                <w:szCs w:val="20"/>
              </w:rPr>
            </w:pPr>
            <w:r w:rsidRPr="00F07779">
              <w:rPr>
                <w:sz w:val="20"/>
                <w:szCs w:val="20"/>
              </w:rPr>
              <w:t xml:space="preserve">The adaptation would enable reliable system operation to ensure capacity to support supply security in the Republic of Serbia, as well as the uninterrupted delivery of thermal energy during the winter period for the district heating of </w:t>
            </w:r>
            <w:proofErr w:type="spellStart"/>
            <w:r w:rsidRPr="00F07779">
              <w:rPr>
                <w:sz w:val="20"/>
                <w:szCs w:val="20"/>
              </w:rPr>
              <w:t>Požarevac</w:t>
            </w:r>
            <w:proofErr w:type="spellEnd"/>
            <w:r w:rsidRPr="00F07779">
              <w:rPr>
                <w:sz w:val="20"/>
                <w:szCs w:val="20"/>
              </w:rPr>
              <w:t xml:space="preserve"> </w:t>
            </w:r>
            <w:bookmarkStart w:id="8" w:name="_Hlk211336616"/>
            <w:r w:rsidRPr="00F07779">
              <w:rPr>
                <w:sz w:val="20"/>
                <w:szCs w:val="20"/>
              </w:rPr>
              <w:t>(city)</w:t>
            </w:r>
            <w:bookmarkEnd w:id="8"/>
            <w:r w:rsidRPr="00F07779">
              <w:rPr>
                <w:sz w:val="20"/>
                <w:szCs w:val="20"/>
              </w:rPr>
              <w:t>. The scope of investment maintenance will be applied depending on the condition of the production capacity components and the availability of financial resources, considering that the project financing is carried out from EPS’s own funds. Alternatively, depending on available funds, the revitalization of unit A1 can be planned instead of adaptation.</w:t>
            </w:r>
          </w:p>
          <w:p w14:paraId="33980824" w14:textId="77777777" w:rsidR="0094644B" w:rsidRPr="00FA3F57" w:rsidRDefault="0094644B" w:rsidP="00FB5086">
            <w:pPr>
              <w:rPr>
                <w:sz w:val="20"/>
                <w:szCs w:val="20"/>
              </w:rPr>
            </w:pPr>
            <w:r w:rsidRPr="00FA3F57">
              <w:rPr>
                <w:sz w:val="20"/>
                <w:szCs w:val="20"/>
              </w:rPr>
              <w:t>Expected dynamics of project implementation:</w:t>
            </w:r>
          </w:p>
          <w:p w14:paraId="6A7D0FC3" w14:textId="77777777" w:rsidR="0094644B" w:rsidRPr="00FA3F57" w:rsidRDefault="0094644B" w:rsidP="00FB5086">
            <w:pPr>
              <w:rPr>
                <w:sz w:val="20"/>
                <w:szCs w:val="20"/>
              </w:rPr>
            </w:pPr>
            <w:r w:rsidRPr="00FA3F57">
              <w:rPr>
                <w:sz w:val="20"/>
                <w:szCs w:val="20"/>
              </w:rPr>
              <w:t>2028. The beginning of the project</w:t>
            </w:r>
          </w:p>
        </w:tc>
      </w:tr>
      <w:tr w:rsidR="0094644B" w:rsidRPr="00F07779" w14:paraId="45E5AC89" w14:textId="77777777" w:rsidTr="00FB5086">
        <w:tc>
          <w:tcPr>
            <w:tcW w:w="2973" w:type="dxa"/>
          </w:tcPr>
          <w:p w14:paraId="5D2ACA2B" w14:textId="77777777" w:rsidR="0094644B" w:rsidRPr="00FA3F57" w:rsidRDefault="0094644B" w:rsidP="00FB5086">
            <w:pPr>
              <w:rPr>
                <w:sz w:val="20"/>
                <w:szCs w:val="20"/>
              </w:rPr>
            </w:pPr>
            <w:r w:rsidRPr="00FA3F57">
              <w:rPr>
                <w:sz w:val="20"/>
                <w:szCs w:val="20"/>
              </w:rPr>
              <w:t>Institutions responsible for the implementation of measures and activities</w:t>
            </w:r>
          </w:p>
        </w:tc>
        <w:tc>
          <w:tcPr>
            <w:tcW w:w="5667" w:type="dxa"/>
          </w:tcPr>
          <w:p w14:paraId="4D9AC789" w14:textId="77777777" w:rsidR="0094644B" w:rsidRPr="00FA3F57" w:rsidRDefault="0094644B" w:rsidP="00FB5086">
            <w:pPr>
              <w:rPr>
                <w:sz w:val="20"/>
                <w:szCs w:val="20"/>
              </w:rPr>
            </w:pPr>
            <w:r w:rsidRPr="00FA3F57">
              <w:rPr>
                <w:sz w:val="20"/>
                <w:szCs w:val="20"/>
              </w:rPr>
              <w:t>EPS JSC Belgrade</w:t>
            </w:r>
          </w:p>
        </w:tc>
      </w:tr>
      <w:tr w:rsidR="0094644B" w:rsidRPr="00F07779" w14:paraId="142826B1" w14:textId="77777777" w:rsidTr="00FB5086">
        <w:tc>
          <w:tcPr>
            <w:tcW w:w="2973" w:type="dxa"/>
          </w:tcPr>
          <w:p w14:paraId="1718CE7A" w14:textId="77777777" w:rsidR="0094644B" w:rsidRPr="00FA3F57" w:rsidRDefault="0094644B" w:rsidP="00FB5086">
            <w:pPr>
              <w:rPr>
                <w:sz w:val="20"/>
                <w:szCs w:val="20"/>
              </w:rPr>
            </w:pPr>
            <w:r w:rsidRPr="00FA3F57">
              <w:rPr>
                <w:sz w:val="20"/>
                <w:szCs w:val="20"/>
              </w:rPr>
              <w:t>Institutions responsible for monitoring implementation and reporting on the realization</w:t>
            </w:r>
          </w:p>
        </w:tc>
        <w:tc>
          <w:tcPr>
            <w:tcW w:w="5667" w:type="dxa"/>
          </w:tcPr>
          <w:p w14:paraId="2DB5D578" w14:textId="77777777" w:rsidR="0094644B" w:rsidRPr="00FA3F57" w:rsidRDefault="0094644B" w:rsidP="00FB5086">
            <w:pPr>
              <w:rPr>
                <w:sz w:val="20"/>
                <w:szCs w:val="20"/>
              </w:rPr>
            </w:pPr>
            <w:r w:rsidRPr="00FA3F57">
              <w:rPr>
                <w:sz w:val="20"/>
                <w:szCs w:val="20"/>
              </w:rPr>
              <w:t>EPS JSC Belgrade</w:t>
            </w:r>
          </w:p>
          <w:p w14:paraId="33CB2A72" w14:textId="77777777" w:rsidR="0094644B" w:rsidRPr="00FA3F57" w:rsidRDefault="0094644B" w:rsidP="00FB5086">
            <w:pPr>
              <w:rPr>
                <w:sz w:val="20"/>
                <w:szCs w:val="20"/>
              </w:rPr>
            </w:pPr>
            <w:r w:rsidRPr="00FA3F57">
              <w:rPr>
                <w:sz w:val="20"/>
                <w:szCs w:val="20"/>
              </w:rPr>
              <w:t>Ministry of Mining and Energy</w:t>
            </w:r>
          </w:p>
        </w:tc>
      </w:tr>
      <w:tr w:rsidR="0094644B" w:rsidRPr="00F07779" w14:paraId="74FBCD47" w14:textId="77777777" w:rsidTr="00FB5086">
        <w:tc>
          <w:tcPr>
            <w:tcW w:w="2973" w:type="dxa"/>
          </w:tcPr>
          <w:p w14:paraId="63610E85" w14:textId="77777777" w:rsidR="0094644B" w:rsidRPr="00FA3F57" w:rsidRDefault="0094644B" w:rsidP="00FB5086">
            <w:pPr>
              <w:rPr>
                <w:sz w:val="20"/>
                <w:szCs w:val="20"/>
              </w:rPr>
            </w:pPr>
            <w:r w:rsidRPr="00FA3F57">
              <w:rPr>
                <w:sz w:val="20"/>
                <w:szCs w:val="20"/>
              </w:rPr>
              <w:t>Year of project funding start</w:t>
            </w:r>
          </w:p>
        </w:tc>
        <w:tc>
          <w:tcPr>
            <w:tcW w:w="5667" w:type="dxa"/>
          </w:tcPr>
          <w:p w14:paraId="1D76E354" w14:textId="77777777" w:rsidR="0094644B" w:rsidRPr="00FA3F57" w:rsidRDefault="0094644B" w:rsidP="00FB5086">
            <w:pPr>
              <w:rPr>
                <w:sz w:val="20"/>
                <w:szCs w:val="20"/>
              </w:rPr>
            </w:pPr>
            <w:r w:rsidRPr="00FA3F57">
              <w:rPr>
                <w:sz w:val="20"/>
                <w:szCs w:val="20"/>
              </w:rPr>
              <w:t>2027.</w:t>
            </w:r>
          </w:p>
        </w:tc>
      </w:tr>
      <w:tr w:rsidR="0094644B" w:rsidRPr="00F07779" w14:paraId="642191A1" w14:textId="77777777" w:rsidTr="00FB5086">
        <w:tc>
          <w:tcPr>
            <w:tcW w:w="2973" w:type="dxa"/>
          </w:tcPr>
          <w:p w14:paraId="7AFF0CBC" w14:textId="77777777" w:rsidR="0094644B" w:rsidRPr="00FA3F57" w:rsidRDefault="0094644B" w:rsidP="00FB5086">
            <w:pPr>
              <w:rPr>
                <w:sz w:val="20"/>
                <w:szCs w:val="20"/>
              </w:rPr>
            </w:pPr>
            <w:r w:rsidRPr="00FA3F57">
              <w:rPr>
                <w:sz w:val="20"/>
                <w:szCs w:val="20"/>
              </w:rPr>
              <w:t>Year of completion of project funding</w:t>
            </w:r>
          </w:p>
        </w:tc>
        <w:tc>
          <w:tcPr>
            <w:tcW w:w="5667" w:type="dxa"/>
          </w:tcPr>
          <w:p w14:paraId="25987086" w14:textId="77777777" w:rsidR="0094644B" w:rsidRPr="00FA3F57" w:rsidRDefault="0094644B" w:rsidP="00FB5086">
            <w:pPr>
              <w:rPr>
                <w:sz w:val="20"/>
                <w:szCs w:val="20"/>
              </w:rPr>
            </w:pPr>
            <w:r w:rsidRPr="00FA3F57">
              <w:rPr>
                <w:sz w:val="20"/>
                <w:szCs w:val="20"/>
              </w:rPr>
              <w:t>2029.</w:t>
            </w:r>
          </w:p>
        </w:tc>
      </w:tr>
      <w:tr w:rsidR="0094644B" w:rsidRPr="00F07779" w14:paraId="3B065966" w14:textId="77777777" w:rsidTr="00FB5086">
        <w:tc>
          <w:tcPr>
            <w:tcW w:w="2973" w:type="dxa"/>
          </w:tcPr>
          <w:p w14:paraId="76DCBC3B" w14:textId="77777777" w:rsidR="0094644B" w:rsidRPr="00FA3F57" w:rsidRDefault="0094644B" w:rsidP="00FB5086">
            <w:pPr>
              <w:rPr>
                <w:sz w:val="20"/>
                <w:szCs w:val="20"/>
              </w:rPr>
            </w:pPr>
            <w:r w:rsidRPr="00FA3F57">
              <w:rPr>
                <w:sz w:val="20"/>
                <w:szCs w:val="20"/>
              </w:rPr>
              <w:t>Total project value</w:t>
            </w:r>
            <w:r w:rsidRPr="00FA3F57">
              <w:rPr>
                <w:sz w:val="20"/>
                <w:szCs w:val="20"/>
              </w:rPr>
              <w:br/>
              <w:t>(in thousands of RSD)</w:t>
            </w:r>
          </w:p>
        </w:tc>
        <w:tc>
          <w:tcPr>
            <w:tcW w:w="5667" w:type="dxa"/>
          </w:tcPr>
          <w:p w14:paraId="0D2E0F1C" w14:textId="77777777" w:rsidR="0094644B" w:rsidRPr="00FA3F57" w:rsidRDefault="0094644B" w:rsidP="00FB5086">
            <w:pPr>
              <w:rPr>
                <w:sz w:val="20"/>
                <w:szCs w:val="20"/>
              </w:rPr>
            </w:pPr>
            <w:r w:rsidRPr="00FA3F57">
              <w:rPr>
                <w:sz w:val="20"/>
                <w:szCs w:val="20"/>
              </w:rPr>
              <w:t>5,334,875 (45.5 million EUR)</w:t>
            </w:r>
          </w:p>
        </w:tc>
      </w:tr>
      <w:tr w:rsidR="0094644B" w:rsidRPr="00F07779" w14:paraId="6C5BC8F1" w14:textId="77777777" w:rsidTr="00FB5086">
        <w:tc>
          <w:tcPr>
            <w:tcW w:w="2973" w:type="dxa"/>
          </w:tcPr>
          <w:p w14:paraId="7DA068AE" w14:textId="77777777" w:rsidR="0094644B" w:rsidRPr="00FA3F57" w:rsidRDefault="0094644B" w:rsidP="00FB5086">
            <w:pPr>
              <w:rPr>
                <w:sz w:val="20"/>
                <w:szCs w:val="20"/>
              </w:rPr>
            </w:pPr>
            <w:r w:rsidRPr="00FA3F57">
              <w:rPr>
                <w:sz w:val="20"/>
                <w:szCs w:val="20"/>
              </w:rPr>
              <w:t>Planned investments for 2026.</w:t>
            </w:r>
            <w:r w:rsidRPr="00FA3F57">
              <w:rPr>
                <w:sz w:val="20"/>
                <w:szCs w:val="20"/>
              </w:rPr>
              <w:br/>
              <w:t>(in thousands of RSD)</w:t>
            </w:r>
          </w:p>
        </w:tc>
        <w:tc>
          <w:tcPr>
            <w:tcW w:w="5667" w:type="dxa"/>
          </w:tcPr>
          <w:p w14:paraId="0DDCD81F" w14:textId="77777777" w:rsidR="0094644B" w:rsidRPr="00FA3F57" w:rsidRDefault="0094644B" w:rsidP="00FB5086">
            <w:pPr>
              <w:rPr>
                <w:sz w:val="20"/>
                <w:szCs w:val="20"/>
              </w:rPr>
            </w:pPr>
            <w:r w:rsidRPr="00FA3F57">
              <w:rPr>
                <w:sz w:val="20"/>
                <w:szCs w:val="20"/>
              </w:rPr>
              <w:t>0</w:t>
            </w:r>
          </w:p>
        </w:tc>
      </w:tr>
      <w:tr w:rsidR="0094644B" w:rsidRPr="00F07779" w14:paraId="3FD821F2" w14:textId="77777777" w:rsidTr="00FB5086">
        <w:tc>
          <w:tcPr>
            <w:tcW w:w="2973" w:type="dxa"/>
          </w:tcPr>
          <w:p w14:paraId="1838C1C9" w14:textId="77777777" w:rsidR="0094644B" w:rsidRPr="00FA3F57" w:rsidRDefault="0094644B" w:rsidP="00FB5086">
            <w:pPr>
              <w:rPr>
                <w:sz w:val="20"/>
                <w:szCs w:val="20"/>
              </w:rPr>
            </w:pPr>
            <w:r w:rsidRPr="00FA3F57">
              <w:rPr>
                <w:sz w:val="20"/>
                <w:szCs w:val="20"/>
              </w:rPr>
              <w:t>Planned investments for 2027.</w:t>
            </w:r>
            <w:r w:rsidRPr="00FA3F57">
              <w:rPr>
                <w:sz w:val="20"/>
                <w:szCs w:val="20"/>
              </w:rPr>
              <w:br/>
              <w:t>(in thousands of RSD)</w:t>
            </w:r>
          </w:p>
        </w:tc>
        <w:tc>
          <w:tcPr>
            <w:tcW w:w="5667" w:type="dxa"/>
          </w:tcPr>
          <w:p w14:paraId="546EF5CA" w14:textId="77777777" w:rsidR="0094644B" w:rsidRPr="00FA3F57" w:rsidRDefault="0094644B" w:rsidP="00FB5086">
            <w:pPr>
              <w:rPr>
                <w:sz w:val="20"/>
                <w:szCs w:val="20"/>
              </w:rPr>
            </w:pPr>
            <w:r w:rsidRPr="00F07779">
              <w:rPr>
                <w:sz w:val="20"/>
                <w:szCs w:val="20"/>
              </w:rPr>
              <w:t>504,175 (own funds of EPS JSC)</w:t>
            </w:r>
          </w:p>
        </w:tc>
      </w:tr>
      <w:tr w:rsidR="0094644B" w:rsidRPr="00F07779" w14:paraId="75689960" w14:textId="77777777" w:rsidTr="00FB5086">
        <w:tc>
          <w:tcPr>
            <w:tcW w:w="2973" w:type="dxa"/>
          </w:tcPr>
          <w:p w14:paraId="619B1967" w14:textId="77777777" w:rsidR="0094644B" w:rsidRPr="00FA3F57" w:rsidRDefault="0094644B" w:rsidP="00FB5086">
            <w:pPr>
              <w:rPr>
                <w:sz w:val="20"/>
                <w:szCs w:val="20"/>
              </w:rPr>
            </w:pPr>
            <w:r w:rsidRPr="00FA3F57">
              <w:rPr>
                <w:sz w:val="20"/>
                <w:szCs w:val="20"/>
              </w:rPr>
              <w:t>Planned investments for 2028.</w:t>
            </w:r>
            <w:r w:rsidRPr="00FA3F57">
              <w:rPr>
                <w:sz w:val="20"/>
                <w:szCs w:val="20"/>
              </w:rPr>
              <w:br/>
              <w:t>(in thousands of RSD)</w:t>
            </w:r>
          </w:p>
        </w:tc>
        <w:tc>
          <w:tcPr>
            <w:tcW w:w="5667" w:type="dxa"/>
          </w:tcPr>
          <w:p w14:paraId="162A721E" w14:textId="77777777" w:rsidR="0094644B" w:rsidRPr="00FA3F57" w:rsidRDefault="0094644B" w:rsidP="00FB5086">
            <w:pPr>
              <w:rPr>
                <w:sz w:val="20"/>
                <w:szCs w:val="20"/>
              </w:rPr>
            </w:pPr>
            <w:r w:rsidRPr="00FA3F57">
              <w:rPr>
                <w:sz w:val="20"/>
                <w:szCs w:val="20"/>
              </w:rPr>
              <w:t xml:space="preserve">4,690,000 </w:t>
            </w:r>
            <w:r w:rsidRPr="00F07779">
              <w:rPr>
                <w:sz w:val="20"/>
                <w:szCs w:val="20"/>
              </w:rPr>
              <w:t>(own funds of EPS JSC)</w:t>
            </w:r>
          </w:p>
        </w:tc>
      </w:tr>
    </w:tbl>
    <w:p w14:paraId="48D0E5B8" w14:textId="77777777" w:rsidR="0094644B" w:rsidRPr="00FA3F57" w:rsidRDefault="0094644B" w:rsidP="0094644B">
      <w:pPr>
        <w:tabs>
          <w:tab w:val="left" w:pos="1276"/>
          <w:tab w:val="left" w:pos="1560"/>
        </w:tabs>
        <w:ind w:left="1440" w:hanging="1440"/>
      </w:pPr>
    </w:p>
    <w:tbl>
      <w:tblPr>
        <w:tblStyle w:val="TableGrid"/>
        <w:tblW w:w="0" w:type="auto"/>
        <w:tblLook w:val="04A0" w:firstRow="1" w:lastRow="0" w:firstColumn="1" w:lastColumn="0" w:noHBand="0" w:noVBand="1"/>
      </w:tblPr>
      <w:tblGrid>
        <w:gridCol w:w="2973"/>
        <w:gridCol w:w="5667"/>
      </w:tblGrid>
      <w:tr w:rsidR="0094644B" w:rsidRPr="00F07779" w14:paraId="2111C619" w14:textId="77777777" w:rsidTr="00FB5086">
        <w:tc>
          <w:tcPr>
            <w:tcW w:w="2973" w:type="dxa"/>
            <w:shd w:val="clear" w:color="auto" w:fill="D9D9D9" w:themeFill="background1" w:themeFillShade="D9"/>
          </w:tcPr>
          <w:p w14:paraId="1109A8C6" w14:textId="77777777" w:rsidR="0094644B" w:rsidRPr="00FA3F57" w:rsidRDefault="0094644B" w:rsidP="00FB5086">
            <w:pPr>
              <w:rPr>
                <w:sz w:val="20"/>
                <w:szCs w:val="20"/>
              </w:rPr>
            </w:pPr>
            <w:r w:rsidRPr="00FA3F57">
              <w:rPr>
                <w:sz w:val="20"/>
                <w:szCs w:val="20"/>
              </w:rPr>
              <w:t>Activity EL1.1</w:t>
            </w:r>
          </w:p>
        </w:tc>
        <w:tc>
          <w:tcPr>
            <w:tcW w:w="5667" w:type="dxa"/>
            <w:shd w:val="clear" w:color="auto" w:fill="D9D9D9" w:themeFill="background1" w:themeFillShade="D9"/>
          </w:tcPr>
          <w:p w14:paraId="3A9C811B" w14:textId="77777777" w:rsidR="0094644B" w:rsidRPr="00FA3F57" w:rsidRDefault="0094644B" w:rsidP="00FB5086">
            <w:pPr>
              <w:rPr>
                <w:sz w:val="20"/>
                <w:szCs w:val="20"/>
              </w:rPr>
            </w:pPr>
            <w:r w:rsidRPr="00FA3F57">
              <w:rPr>
                <w:sz w:val="20"/>
                <w:szCs w:val="20"/>
              </w:rPr>
              <w:t xml:space="preserve">Investment projects </w:t>
            </w:r>
            <w:r w:rsidRPr="00F07779">
              <w:rPr>
                <w:sz w:val="20"/>
                <w:szCs w:val="20"/>
              </w:rPr>
              <w:t xml:space="preserve">of </w:t>
            </w:r>
            <w:r w:rsidRPr="00FA3F57">
              <w:rPr>
                <w:sz w:val="20"/>
                <w:szCs w:val="20"/>
              </w:rPr>
              <w:t>revitalization (reconstruction) and modernization of power plants</w:t>
            </w:r>
          </w:p>
        </w:tc>
      </w:tr>
      <w:tr w:rsidR="0094644B" w:rsidRPr="00F07779" w14:paraId="2A20222C" w14:textId="77777777" w:rsidTr="00FB5086">
        <w:tc>
          <w:tcPr>
            <w:tcW w:w="2973" w:type="dxa"/>
            <w:shd w:val="clear" w:color="auto" w:fill="D9E2F3" w:themeFill="accent1" w:themeFillTint="33"/>
          </w:tcPr>
          <w:p w14:paraId="41E96607" w14:textId="77777777" w:rsidR="0094644B" w:rsidRPr="00FA3F57" w:rsidRDefault="0094644B" w:rsidP="00FB5086">
            <w:pPr>
              <w:rPr>
                <w:sz w:val="20"/>
                <w:szCs w:val="20"/>
              </w:rPr>
            </w:pPr>
            <w:r w:rsidRPr="00FA3F57">
              <w:rPr>
                <w:sz w:val="20"/>
                <w:szCs w:val="20"/>
              </w:rPr>
              <w:t>Name of the project</w:t>
            </w:r>
          </w:p>
        </w:tc>
        <w:tc>
          <w:tcPr>
            <w:tcW w:w="5667" w:type="dxa"/>
            <w:shd w:val="clear" w:color="auto" w:fill="D9E2F3" w:themeFill="accent1" w:themeFillTint="33"/>
          </w:tcPr>
          <w:p w14:paraId="31FBF62E" w14:textId="77777777" w:rsidR="0094644B" w:rsidRPr="00FA3F57" w:rsidRDefault="0094644B" w:rsidP="00FB5086">
            <w:pPr>
              <w:rPr>
                <w:sz w:val="20"/>
                <w:szCs w:val="20"/>
              </w:rPr>
            </w:pPr>
            <w:r w:rsidRPr="00F07779">
              <w:rPr>
                <w:sz w:val="20"/>
                <w:szCs w:val="20"/>
              </w:rPr>
              <w:t xml:space="preserve">TEKO A2– Adaptation of unit </w:t>
            </w:r>
            <w:r w:rsidRPr="00FA3F57">
              <w:rPr>
                <w:sz w:val="20"/>
                <w:szCs w:val="20"/>
              </w:rPr>
              <w:t>А2</w:t>
            </w:r>
            <w:r w:rsidRPr="00FA3F57">
              <w:rPr>
                <w:rStyle w:val="FootnoteReference"/>
                <w:sz w:val="20"/>
                <w:szCs w:val="20"/>
              </w:rPr>
              <w:footnoteReference w:id="19"/>
            </w:r>
          </w:p>
        </w:tc>
      </w:tr>
      <w:tr w:rsidR="0094644B" w:rsidRPr="00F07779" w14:paraId="5CDC6964" w14:textId="77777777" w:rsidTr="00FB5086">
        <w:tc>
          <w:tcPr>
            <w:tcW w:w="2973" w:type="dxa"/>
          </w:tcPr>
          <w:p w14:paraId="2DCBB532" w14:textId="77777777" w:rsidR="0094644B" w:rsidRPr="00FA3F57" w:rsidRDefault="0094644B" w:rsidP="00FB5086">
            <w:pPr>
              <w:rPr>
                <w:sz w:val="20"/>
                <w:szCs w:val="20"/>
              </w:rPr>
            </w:pPr>
            <w:r w:rsidRPr="00FA3F57">
              <w:rPr>
                <w:sz w:val="20"/>
                <w:szCs w:val="20"/>
              </w:rPr>
              <w:t>Short description of the investment</w:t>
            </w:r>
          </w:p>
        </w:tc>
        <w:tc>
          <w:tcPr>
            <w:tcW w:w="5667" w:type="dxa"/>
          </w:tcPr>
          <w:p w14:paraId="7AF31661" w14:textId="77777777" w:rsidR="0094644B" w:rsidRPr="00F07779" w:rsidRDefault="0094644B" w:rsidP="00FB5086">
            <w:pPr>
              <w:rPr>
                <w:sz w:val="20"/>
                <w:szCs w:val="20"/>
              </w:rPr>
            </w:pPr>
            <w:r w:rsidRPr="00F07779">
              <w:rPr>
                <w:sz w:val="20"/>
                <w:szCs w:val="20"/>
              </w:rPr>
              <w:t xml:space="preserve">The adaptation would enable reliable system operation to ensure capacity to support supply security in the Republic of Serbia, as well as the uninterrupted delivery of thermal energy during the winter period for the district heating of </w:t>
            </w:r>
            <w:proofErr w:type="spellStart"/>
            <w:r w:rsidRPr="00F07779">
              <w:rPr>
                <w:sz w:val="20"/>
                <w:szCs w:val="20"/>
              </w:rPr>
              <w:t>Požarevac</w:t>
            </w:r>
            <w:proofErr w:type="spellEnd"/>
            <w:r w:rsidRPr="00F07779">
              <w:rPr>
                <w:sz w:val="20"/>
                <w:szCs w:val="20"/>
              </w:rPr>
              <w:t xml:space="preserve"> (city). The scope of investment maintenance will be applied depending on the condition of the production capacity components and the availability of financial resources, considering that the project financing is carried out from EPS’s own funds. Alternatively, depending on available funds, the revitalization of Unit A2 can be planned instead of adaptation.</w:t>
            </w:r>
          </w:p>
          <w:p w14:paraId="5AAE718F" w14:textId="77777777" w:rsidR="0094644B" w:rsidRPr="00FA3F57" w:rsidRDefault="0094644B" w:rsidP="00FB5086">
            <w:pPr>
              <w:rPr>
                <w:sz w:val="20"/>
                <w:szCs w:val="20"/>
              </w:rPr>
            </w:pPr>
            <w:r w:rsidRPr="00FA3F57">
              <w:rPr>
                <w:sz w:val="20"/>
                <w:szCs w:val="20"/>
              </w:rPr>
              <w:t>Expected dynamics of project implementation:</w:t>
            </w:r>
          </w:p>
          <w:p w14:paraId="7147718F" w14:textId="77777777" w:rsidR="0094644B" w:rsidRPr="00FA3F57" w:rsidRDefault="0094644B" w:rsidP="00FB5086">
            <w:pPr>
              <w:rPr>
                <w:sz w:val="20"/>
                <w:szCs w:val="20"/>
              </w:rPr>
            </w:pPr>
            <w:r w:rsidRPr="00FA3F57">
              <w:rPr>
                <w:sz w:val="20"/>
                <w:szCs w:val="20"/>
              </w:rPr>
              <w:t>2028. The beginning of the project</w:t>
            </w:r>
          </w:p>
        </w:tc>
      </w:tr>
      <w:tr w:rsidR="0094644B" w:rsidRPr="00F07779" w14:paraId="0ABDAF17" w14:textId="77777777" w:rsidTr="00FB5086">
        <w:tc>
          <w:tcPr>
            <w:tcW w:w="2973" w:type="dxa"/>
          </w:tcPr>
          <w:p w14:paraId="0EC417A5" w14:textId="77777777" w:rsidR="0094644B" w:rsidRPr="00FA3F57" w:rsidRDefault="0094644B" w:rsidP="00FB5086">
            <w:pPr>
              <w:rPr>
                <w:sz w:val="20"/>
                <w:szCs w:val="20"/>
              </w:rPr>
            </w:pPr>
            <w:r w:rsidRPr="00FA3F57">
              <w:rPr>
                <w:sz w:val="20"/>
                <w:szCs w:val="20"/>
              </w:rPr>
              <w:t>Institutions responsible for the implementation of measures and activities</w:t>
            </w:r>
          </w:p>
        </w:tc>
        <w:tc>
          <w:tcPr>
            <w:tcW w:w="5667" w:type="dxa"/>
          </w:tcPr>
          <w:p w14:paraId="13CBC127" w14:textId="77777777" w:rsidR="0094644B" w:rsidRPr="00FA3F57" w:rsidRDefault="0094644B" w:rsidP="00FB5086">
            <w:pPr>
              <w:rPr>
                <w:sz w:val="20"/>
                <w:szCs w:val="20"/>
              </w:rPr>
            </w:pPr>
            <w:r w:rsidRPr="00FA3F57">
              <w:rPr>
                <w:sz w:val="20"/>
                <w:szCs w:val="20"/>
              </w:rPr>
              <w:t>EPS JSC Belgrade</w:t>
            </w:r>
          </w:p>
        </w:tc>
      </w:tr>
      <w:tr w:rsidR="0094644B" w:rsidRPr="00F07779" w14:paraId="4D2DBA23" w14:textId="77777777" w:rsidTr="00FB5086">
        <w:tc>
          <w:tcPr>
            <w:tcW w:w="2973" w:type="dxa"/>
          </w:tcPr>
          <w:p w14:paraId="29F2C87E" w14:textId="77777777" w:rsidR="0094644B" w:rsidRPr="00FA3F57" w:rsidRDefault="0094644B" w:rsidP="00FB5086">
            <w:pPr>
              <w:rPr>
                <w:sz w:val="20"/>
                <w:szCs w:val="20"/>
              </w:rPr>
            </w:pPr>
            <w:r w:rsidRPr="00FA3F57">
              <w:rPr>
                <w:sz w:val="20"/>
                <w:szCs w:val="20"/>
              </w:rPr>
              <w:t>Institutions responsible for monitoring implementation and reporting on the realization</w:t>
            </w:r>
          </w:p>
        </w:tc>
        <w:tc>
          <w:tcPr>
            <w:tcW w:w="5667" w:type="dxa"/>
          </w:tcPr>
          <w:p w14:paraId="62025A05" w14:textId="77777777" w:rsidR="0094644B" w:rsidRPr="00FA3F57" w:rsidRDefault="0094644B" w:rsidP="00FB5086">
            <w:pPr>
              <w:rPr>
                <w:sz w:val="20"/>
                <w:szCs w:val="20"/>
              </w:rPr>
            </w:pPr>
            <w:r w:rsidRPr="00FA3F57">
              <w:rPr>
                <w:sz w:val="20"/>
                <w:szCs w:val="20"/>
              </w:rPr>
              <w:t>EPS JSC Belgrade</w:t>
            </w:r>
          </w:p>
          <w:p w14:paraId="0F446044" w14:textId="77777777" w:rsidR="0094644B" w:rsidRPr="00FA3F57" w:rsidRDefault="0094644B" w:rsidP="00FB5086">
            <w:pPr>
              <w:rPr>
                <w:sz w:val="20"/>
                <w:szCs w:val="20"/>
              </w:rPr>
            </w:pPr>
            <w:r w:rsidRPr="00FA3F57">
              <w:rPr>
                <w:sz w:val="20"/>
                <w:szCs w:val="20"/>
              </w:rPr>
              <w:t>Ministry of Mining and Energy</w:t>
            </w:r>
          </w:p>
        </w:tc>
      </w:tr>
      <w:tr w:rsidR="0094644B" w:rsidRPr="00F07779" w14:paraId="394E0567" w14:textId="77777777" w:rsidTr="00FB5086">
        <w:tc>
          <w:tcPr>
            <w:tcW w:w="2973" w:type="dxa"/>
          </w:tcPr>
          <w:p w14:paraId="6E4ABBB6" w14:textId="77777777" w:rsidR="0094644B" w:rsidRPr="00FA3F57" w:rsidRDefault="0094644B" w:rsidP="00FB5086">
            <w:pPr>
              <w:rPr>
                <w:sz w:val="20"/>
                <w:szCs w:val="20"/>
              </w:rPr>
            </w:pPr>
            <w:r w:rsidRPr="00FA3F57">
              <w:rPr>
                <w:sz w:val="20"/>
                <w:szCs w:val="20"/>
              </w:rPr>
              <w:t>Year of project funding start</w:t>
            </w:r>
          </w:p>
        </w:tc>
        <w:tc>
          <w:tcPr>
            <w:tcW w:w="5667" w:type="dxa"/>
          </w:tcPr>
          <w:p w14:paraId="44101DA4" w14:textId="77777777" w:rsidR="0094644B" w:rsidRPr="00FA3F57" w:rsidRDefault="0094644B" w:rsidP="00FB5086">
            <w:pPr>
              <w:rPr>
                <w:sz w:val="20"/>
                <w:szCs w:val="20"/>
              </w:rPr>
            </w:pPr>
            <w:r w:rsidRPr="00FA3F57">
              <w:rPr>
                <w:sz w:val="20"/>
                <w:szCs w:val="20"/>
              </w:rPr>
              <w:t>2026.</w:t>
            </w:r>
          </w:p>
        </w:tc>
      </w:tr>
      <w:tr w:rsidR="0094644B" w:rsidRPr="00F07779" w14:paraId="0F064C3F" w14:textId="77777777" w:rsidTr="00FB5086">
        <w:tc>
          <w:tcPr>
            <w:tcW w:w="2973" w:type="dxa"/>
          </w:tcPr>
          <w:p w14:paraId="01321EAF" w14:textId="77777777" w:rsidR="0094644B" w:rsidRPr="00FA3F57" w:rsidRDefault="0094644B" w:rsidP="00FB5086">
            <w:pPr>
              <w:rPr>
                <w:sz w:val="20"/>
                <w:szCs w:val="20"/>
              </w:rPr>
            </w:pPr>
            <w:r w:rsidRPr="00FA3F57">
              <w:rPr>
                <w:sz w:val="20"/>
                <w:szCs w:val="20"/>
              </w:rPr>
              <w:lastRenderedPageBreak/>
              <w:t>Year of completion of project funding</w:t>
            </w:r>
          </w:p>
        </w:tc>
        <w:tc>
          <w:tcPr>
            <w:tcW w:w="5667" w:type="dxa"/>
          </w:tcPr>
          <w:p w14:paraId="7ACFC004" w14:textId="77777777" w:rsidR="0094644B" w:rsidRPr="00FA3F57" w:rsidRDefault="0094644B" w:rsidP="00FB5086">
            <w:pPr>
              <w:rPr>
                <w:sz w:val="20"/>
                <w:szCs w:val="20"/>
              </w:rPr>
            </w:pPr>
            <w:r w:rsidRPr="00FA3F57">
              <w:rPr>
                <w:sz w:val="20"/>
                <w:szCs w:val="20"/>
              </w:rPr>
              <w:t>2028.</w:t>
            </w:r>
          </w:p>
        </w:tc>
      </w:tr>
      <w:tr w:rsidR="0094644B" w:rsidRPr="00F07779" w14:paraId="64CFDABF" w14:textId="77777777" w:rsidTr="00FB5086">
        <w:tc>
          <w:tcPr>
            <w:tcW w:w="2973" w:type="dxa"/>
          </w:tcPr>
          <w:p w14:paraId="7FA7D663" w14:textId="77777777" w:rsidR="0094644B" w:rsidRPr="00FA3F57" w:rsidRDefault="0094644B" w:rsidP="00FB5086">
            <w:pPr>
              <w:rPr>
                <w:sz w:val="20"/>
                <w:szCs w:val="20"/>
              </w:rPr>
            </w:pPr>
            <w:r w:rsidRPr="00FA3F57">
              <w:rPr>
                <w:sz w:val="20"/>
                <w:szCs w:val="20"/>
              </w:rPr>
              <w:t>Total project value</w:t>
            </w:r>
            <w:r w:rsidRPr="00FA3F57">
              <w:rPr>
                <w:sz w:val="20"/>
                <w:szCs w:val="20"/>
              </w:rPr>
              <w:br/>
              <w:t>(in thousands of RSD)</w:t>
            </w:r>
          </w:p>
        </w:tc>
        <w:tc>
          <w:tcPr>
            <w:tcW w:w="5667" w:type="dxa"/>
          </w:tcPr>
          <w:p w14:paraId="64D89B6F" w14:textId="77777777" w:rsidR="0094644B" w:rsidRPr="00FA3F57" w:rsidRDefault="0094644B" w:rsidP="00FB5086">
            <w:pPr>
              <w:rPr>
                <w:sz w:val="20"/>
                <w:szCs w:val="20"/>
              </w:rPr>
            </w:pPr>
            <w:r w:rsidRPr="00FA3F57">
              <w:rPr>
                <w:sz w:val="20"/>
                <w:szCs w:val="20"/>
              </w:rPr>
              <w:t>6,366,675 (54.3 million</w:t>
            </w:r>
            <w:r w:rsidRPr="00FA3F57" w:rsidDel="007019E9">
              <w:rPr>
                <w:sz w:val="20"/>
                <w:szCs w:val="20"/>
              </w:rPr>
              <w:t xml:space="preserve"> </w:t>
            </w:r>
            <w:r w:rsidRPr="00FA3F57">
              <w:rPr>
                <w:sz w:val="20"/>
                <w:szCs w:val="20"/>
              </w:rPr>
              <w:t xml:space="preserve">EUR) </w:t>
            </w:r>
          </w:p>
        </w:tc>
      </w:tr>
      <w:tr w:rsidR="0094644B" w:rsidRPr="00F07779" w14:paraId="3E942D99" w14:textId="77777777" w:rsidTr="00FB5086">
        <w:tc>
          <w:tcPr>
            <w:tcW w:w="2973" w:type="dxa"/>
          </w:tcPr>
          <w:p w14:paraId="1507C108" w14:textId="77777777" w:rsidR="0094644B" w:rsidRPr="00FA3F57" w:rsidRDefault="0094644B" w:rsidP="00FB5086">
            <w:pPr>
              <w:rPr>
                <w:sz w:val="20"/>
                <w:szCs w:val="20"/>
              </w:rPr>
            </w:pPr>
            <w:r w:rsidRPr="00FA3F57">
              <w:rPr>
                <w:sz w:val="20"/>
                <w:szCs w:val="20"/>
              </w:rPr>
              <w:t>Planned investments for 2026.</w:t>
            </w:r>
            <w:r w:rsidRPr="00FA3F57">
              <w:rPr>
                <w:sz w:val="20"/>
                <w:szCs w:val="20"/>
              </w:rPr>
              <w:br/>
              <w:t>(in thousands of RSD)</w:t>
            </w:r>
          </w:p>
        </w:tc>
        <w:tc>
          <w:tcPr>
            <w:tcW w:w="5667" w:type="dxa"/>
          </w:tcPr>
          <w:p w14:paraId="65851C1B" w14:textId="77777777" w:rsidR="0094644B" w:rsidRPr="00FA3F57" w:rsidRDefault="0094644B" w:rsidP="00FB5086">
            <w:pPr>
              <w:rPr>
                <w:sz w:val="20"/>
                <w:szCs w:val="20"/>
              </w:rPr>
            </w:pPr>
            <w:r w:rsidRPr="00FA3F57">
              <w:rPr>
                <w:sz w:val="20"/>
                <w:szCs w:val="20"/>
              </w:rPr>
              <w:t xml:space="preserve">597,975 </w:t>
            </w:r>
            <w:r w:rsidRPr="00F07779">
              <w:rPr>
                <w:sz w:val="20"/>
                <w:szCs w:val="20"/>
              </w:rPr>
              <w:t>(own funds of EPS JSC)</w:t>
            </w:r>
          </w:p>
        </w:tc>
      </w:tr>
      <w:tr w:rsidR="0094644B" w:rsidRPr="00F07779" w14:paraId="5EDE1F79" w14:textId="77777777" w:rsidTr="00FB5086">
        <w:tc>
          <w:tcPr>
            <w:tcW w:w="2973" w:type="dxa"/>
          </w:tcPr>
          <w:p w14:paraId="55A60EBD" w14:textId="77777777" w:rsidR="0094644B" w:rsidRPr="00FA3F57" w:rsidRDefault="0094644B" w:rsidP="00FB5086">
            <w:pPr>
              <w:rPr>
                <w:sz w:val="20"/>
                <w:szCs w:val="20"/>
              </w:rPr>
            </w:pPr>
            <w:r w:rsidRPr="00FA3F57">
              <w:rPr>
                <w:sz w:val="20"/>
                <w:szCs w:val="20"/>
              </w:rPr>
              <w:t>Planned investments for 2027.</w:t>
            </w:r>
            <w:r w:rsidRPr="00FA3F57">
              <w:rPr>
                <w:sz w:val="20"/>
                <w:szCs w:val="20"/>
              </w:rPr>
              <w:br/>
              <w:t>(in thousands of RSD)</w:t>
            </w:r>
          </w:p>
        </w:tc>
        <w:tc>
          <w:tcPr>
            <w:tcW w:w="5667" w:type="dxa"/>
          </w:tcPr>
          <w:p w14:paraId="5E903F6D" w14:textId="77777777" w:rsidR="0094644B" w:rsidRPr="00FA3F57" w:rsidRDefault="0094644B" w:rsidP="00FB5086">
            <w:pPr>
              <w:rPr>
                <w:sz w:val="20"/>
                <w:szCs w:val="20"/>
              </w:rPr>
            </w:pPr>
            <w:r w:rsidRPr="00FA3F57">
              <w:rPr>
                <w:sz w:val="20"/>
                <w:szCs w:val="20"/>
              </w:rPr>
              <w:t xml:space="preserve">5,370,050 </w:t>
            </w:r>
            <w:r w:rsidRPr="00F07779">
              <w:rPr>
                <w:sz w:val="20"/>
                <w:szCs w:val="20"/>
              </w:rPr>
              <w:t>(own funds of EPS JSC)</w:t>
            </w:r>
          </w:p>
        </w:tc>
      </w:tr>
      <w:tr w:rsidR="0094644B" w:rsidRPr="00F07779" w14:paraId="5F199B11" w14:textId="77777777" w:rsidTr="00FB5086">
        <w:tc>
          <w:tcPr>
            <w:tcW w:w="2973" w:type="dxa"/>
          </w:tcPr>
          <w:p w14:paraId="0A6A4DDC" w14:textId="77777777" w:rsidR="0094644B" w:rsidRPr="00FA3F57" w:rsidRDefault="0094644B" w:rsidP="00FB5086">
            <w:pPr>
              <w:rPr>
                <w:sz w:val="20"/>
                <w:szCs w:val="20"/>
              </w:rPr>
            </w:pPr>
            <w:r w:rsidRPr="00FA3F57">
              <w:rPr>
                <w:sz w:val="20"/>
                <w:szCs w:val="20"/>
              </w:rPr>
              <w:t>Planned investments for 2028.</w:t>
            </w:r>
            <w:r w:rsidRPr="00FA3F57">
              <w:rPr>
                <w:sz w:val="20"/>
                <w:szCs w:val="20"/>
              </w:rPr>
              <w:br/>
              <w:t>(in thousands of RSD)</w:t>
            </w:r>
          </w:p>
        </w:tc>
        <w:tc>
          <w:tcPr>
            <w:tcW w:w="5667" w:type="dxa"/>
          </w:tcPr>
          <w:p w14:paraId="2B39AFCA" w14:textId="77777777" w:rsidR="0094644B" w:rsidRPr="00FA3F57" w:rsidRDefault="0094644B" w:rsidP="00FB5086">
            <w:pPr>
              <w:rPr>
                <w:sz w:val="20"/>
                <w:szCs w:val="20"/>
              </w:rPr>
            </w:pPr>
            <w:r w:rsidRPr="00FA3F57">
              <w:rPr>
                <w:sz w:val="20"/>
                <w:szCs w:val="20"/>
              </w:rPr>
              <w:t xml:space="preserve">398,650 </w:t>
            </w:r>
            <w:r w:rsidRPr="00F07779">
              <w:rPr>
                <w:sz w:val="20"/>
                <w:szCs w:val="20"/>
              </w:rPr>
              <w:t>(own funds of EPS JSC)</w:t>
            </w:r>
          </w:p>
        </w:tc>
      </w:tr>
    </w:tbl>
    <w:p w14:paraId="745ECE56" w14:textId="77777777" w:rsidR="0094644B" w:rsidRPr="00FA3F57" w:rsidRDefault="0094644B" w:rsidP="0094644B">
      <w:pPr>
        <w:tabs>
          <w:tab w:val="left" w:pos="1276"/>
          <w:tab w:val="left" w:pos="1560"/>
        </w:tabs>
      </w:pPr>
    </w:p>
    <w:tbl>
      <w:tblPr>
        <w:tblStyle w:val="TableGrid"/>
        <w:tblW w:w="0" w:type="auto"/>
        <w:tblLook w:val="04A0" w:firstRow="1" w:lastRow="0" w:firstColumn="1" w:lastColumn="0" w:noHBand="0" w:noVBand="1"/>
      </w:tblPr>
      <w:tblGrid>
        <w:gridCol w:w="2973"/>
        <w:gridCol w:w="5667"/>
      </w:tblGrid>
      <w:tr w:rsidR="0094644B" w:rsidRPr="00F07779" w14:paraId="567FC94A" w14:textId="77777777" w:rsidTr="00FB5086">
        <w:tc>
          <w:tcPr>
            <w:tcW w:w="2973" w:type="dxa"/>
            <w:shd w:val="clear" w:color="auto" w:fill="D9D9D9" w:themeFill="background1" w:themeFillShade="D9"/>
          </w:tcPr>
          <w:p w14:paraId="741EC069" w14:textId="77777777" w:rsidR="0094644B" w:rsidRPr="00FA3F57" w:rsidRDefault="0094644B" w:rsidP="00FB5086">
            <w:pPr>
              <w:rPr>
                <w:sz w:val="20"/>
                <w:szCs w:val="20"/>
              </w:rPr>
            </w:pPr>
            <w:r w:rsidRPr="00FA3F57">
              <w:rPr>
                <w:sz w:val="20"/>
                <w:szCs w:val="20"/>
              </w:rPr>
              <w:t>Activity EL1.1</w:t>
            </w:r>
          </w:p>
        </w:tc>
        <w:tc>
          <w:tcPr>
            <w:tcW w:w="5667" w:type="dxa"/>
            <w:shd w:val="clear" w:color="auto" w:fill="D9D9D9" w:themeFill="background1" w:themeFillShade="D9"/>
          </w:tcPr>
          <w:p w14:paraId="5AC8700F" w14:textId="77777777" w:rsidR="0094644B" w:rsidRPr="00FA3F57" w:rsidRDefault="0094644B" w:rsidP="00FB5086">
            <w:pPr>
              <w:rPr>
                <w:sz w:val="20"/>
                <w:szCs w:val="20"/>
              </w:rPr>
            </w:pPr>
            <w:r w:rsidRPr="00FA3F57">
              <w:rPr>
                <w:sz w:val="20"/>
                <w:szCs w:val="20"/>
              </w:rPr>
              <w:t>Investment projects of revitalization (reconstruction) and modernization of power plants</w:t>
            </w:r>
          </w:p>
        </w:tc>
      </w:tr>
      <w:tr w:rsidR="0094644B" w:rsidRPr="00F07779" w14:paraId="3BEBFA1F" w14:textId="77777777" w:rsidTr="00FB5086">
        <w:tc>
          <w:tcPr>
            <w:tcW w:w="2973" w:type="dxa"/>
            <w:shd w:val="clear" w:color="auto" w:fill="D9E2F3" w:themeFill="accent1" w:themeFillTint="33"/>
          </w:tcPr>
          <w:p w14:paraId="7F59ED8D" w14:textId="77777777" w:rsidR="0094644B" w:rsidRPr="00FA3F57" w:rsidRDefault="0094644B" w:rsidP="00FB5086">
            <w:pPr>
              <w:rPr>
                <w:sz w:val="20"/>
                <w:szCs w:val="20"/>
              </w:rPr>
            </w:pPr>
            <w:r w:rsidRPr="00FA3F57">
              <w:rPr>
                <w:sz w:val="20"/>
                <w:szCs w:val="20"/>
              </w:rPr>
              <w:t>Name of the project</w:t>
            </w:r>
          </w:p>
        </w:tc>
        <w:tc>
          <w:tcPr>
            <w:tcW w:w="5667" w:type="dxa"/>
            <w:shd w:val="clear" w:color="auto" w:fill="D9E2F3" w:themeFill="accent1" w:themeFillTint="33"/>
          </w:tcPr>
          <w:p w14:paraId="37FB39FA" w14:textId="77777777" w:rsidR="0094644B" w:rsidRPr="00F07779" w:rsidRDefault="0094644B" w:rsidP="00FB5086">
            <w:pPr>
              <w:rPr>
                <w:sz w:val="20"/>
                <w:szCs w:val="20"/>
              </w:rPr>
            </w:pPr>
            <w:r w:rsidRPr="00F07779">
              <w:rPr>
                <w:sz w:val="20"/>
                <w:szCs w:val="20"/>
              </w:rPr>
              <w:t>Replacement of the ash and slag transport system at TENT A</w:t>
            </w:r>
          </w:p>
        </w:tc>
      </w:tr>
      <w:tr w:rsidR="0094644B" w:rsidRPr="00F07779" w14:paraId="59D59153" w14:textId="77777777" w:rsidTr="00FB5086">
        <w:tc>
          <w:tcPr>
            <w:tcW w:w="2973" w:type="dxa"/>
          </w:tcPr>
          <w:p w14:paraId="66E749FB" w14:textId="77777777" w:rsidR="0094644B" w:rsidRPr="00FA3F57" w:rsidRDefault="0094644B" w:rsidP="00FB5086">
            <w:pPr>
              <w:rPr>
                <w:sz w:val="20"/>
                <w:szCs w:val="20"/>
              </w:rPr>
            </w:pPr>
            <w:r w:rsidRPr="00FA3F57">
              <w:rPr>
                <w:sz w:val="20"/>
                <w:szCs w:val="20"/>
              </w:rPr>
              <w:t>Short description of the investment</w:t>
            </w:r>
          </w:p>
        </w:tc>
        <w:tc>
          <w:tcPr>
            <w:tcW w:w="5667" w:type="dxa"/>
          </w:tcPr>
          <w:p w14:paraId="520E1067" w14:textId="77777777" w:rsidR="0094644B" w:rsidRPr="00F07779" w:rsidRDefault="0094644B" w:rsidP="00FB5086">
            <w:pPr>
              <w:rPr>
                <w:sz w:val="20"/>
                <w:szCs w:val="20"/>
              </w:rPr>
            </w:pPr>
            <w:r w:rsidRPr="00F07779">
              <w:rPr>
                <w:sz w:val="20"/>
                <w:szCs w:val="20"/>
              </w:rPr>
              <w:t>The project involves the implementation of a technology for transporting dilute ash and slag slurry, which reduces soil and groundwater pollution. The joint disposal of slag, ash, and gypsum enables the recirculation of the total amount of wastewater separated from the landfills, which will be used for the preparation and transport of dense slurry to the landfill.</w:t>
            </w:r>
          </w:p>
          <w:p w14:paraId="009820AE" w14:textId="77777777" w:rsidR="0094644B" w:rsidRPr="00FA3F57" w:rsidRDefault="0094644B" w:rsidP="00FB5086">
            <w:pPr>
              <w:rPr>
                <w:sz w:val="20"/>
                <w:szCs w:val="20"/>
              </w:rPr>
            </w:pPr>
            <w:r w:rsidRPr="00FA3F57">
              <w:rPr>
                <w:sz w:val="20"/>
                <w:szCs w:val="20"/>
              </w:rPr>
              <w:t>Expected dynamics of project implementation:</w:t>
            </w:r>
          </w:p>
          <w:p w14:paraId="672A5DD8" w14:textId="77777777" w:rsidR="0094644B" w:rsidRPr="00FA3F57" w:rsidRDefault="0094644B" w:rsidP="00FB5086">
            <w:pPr>
              <w:rPr>
                <w:sz w:val="20"/>
                <w:szCs w:val="20"/>
              </w:rPr>
            </w:pPr>
            <w:r w:rsidRPr="00FA3F57">
              <w:rPr>
                <w:sz w:val="20"/>
                <w:szCs w:val="20"/>
              </w:rPr>
              <w:t>2026. Building permit</w:t>
            </w:r>
          </w:p>
          <w:p w14:paraId="5F5F0EDF" w14:textId="77777777" w:rsidR="0094644B" w:rsidRPr="00FA3F57" w:rsidRDefault="0094644B" w:rsidP="00FB5086">
            <w:pPr>
              <w:rPr>
                <w:sz w:val="20"/>
                <w:szCs w:val="20"/>
              </w:rPr>
            </w:pPr>
            <w:r w:rsidRPr="00FA3F57">
              <w:rPr>
                <w:sz w:val="20"/>
                <w:szCs w:val="20"/>
              </w:rPr>
              <w:t>2027. Construction</w:t>
            </w:r>
          </w:p>
          <w:p w14:paraId="5CCA596D" w14:textId="77777777" w:rsidR="0094644B" w:rsidRPr="00FA3F57" w:rsidRDefault="0094644B" w:rsidP="00FB5086">
            <w:pPr>
              <w:rPr>
                <w:sz w:val="20"/>
                <w:szCs w:val="20"/>
              </w:rPr>
            </w:pPr>
            <w:r w:rsidRPr="00FA3F57">
              <w:rPr>
                <w:sz w:val="20"/>
                <w:szCs w:val="20"/>
              </w:rPr>
              <w:t>2028. Construction</w:t>
            </w:r>
          </w:p>
        </w:tc>
      </w:tr>
      <w:tr w:rsidR="0094644B" w:rsidRPr="00F07779" w14:paraId="066634BE" w14:textId="77777777" w:rsidTr="00FB5086">
        <w:tc>
          <w:tcPr>
            <w:tcW w:w="2973" w:type="dxa"/>
          </w:tcPr>
          <w:p w14:paraId="7134F81D" w14:textId="77777777" w:rsidR="0094644B" w:rsidRPr="00FA3F57" w:rsidRDefault="0094644B" w:rsidP="00FB5086">
            <w:pPr>
              <w:rPr>
                <w:sz w:val="20"/>
                <w:szCs w:val="20"/>
              </w:rPr>
            </w:pPr>
            <w:r w:rsidRPr="00FA3F57">
              <w:rPr>
                <w:sz w:val="20"/>
                <w:szCs w:val="20"/>
              </w:rPr>
              <w:t>Institutions responsible for the implementation of measures and activities</w:t>
            </w:r>
          </w:p>
        </w:tc>
        <w:tc>
          <w:tcPr>
            <w:tcW w:w="5667" w:type="dxa"/>
          </w:tcPr>
          <w:p w14:paraId="181F5E02" w14:textId="77777777" w:rsidR="0094644B" w:rsidRPr="00FA3F57" w:rsidRDefault="0094644B" w:rsidP="00FB5086">
            <w:pPr>
              <w:rPr>
                <w:sz w:val="20"/>
                <w:szCs w:val="20"/>
              </w:rPr>
            </w:pPr>
            <w:r w:rsidRPr="00FA3F57">
              <w:rPr>
                <w:sz w:val="20"/>
                <w:szCs w:val="20"/>
              </w:rPr>
              <w:t>EPS JSC Belgrade</w:t>
            </w:r>
          </w:p>
        </w:tc>
      </w:tr>
      <w:tr w:rsidR="0094644B" w:rsidRPr="00F07779" w14:paraId="397BA0BD" w14:textId="77777777" w:rsidTr="00FB5086">
        <w:tc>
          <w:tcPr>
            <w:tcW w:w="2973" w:type="dxa"/>
          </w:tcPr>
          <w:p w14:paraId="1A02117A" w14:textId="77777777" w:rsidR="0094644B" w:rsidRPr="00FA3F57" w:rsidRDefault="0094644B" w:rsidP="00FB5086">
            <w:pPr>
              <w:rPr>
                <w:sz w:val="20"/>
                <w:szCs w:val="20"/>
              </w:rPr>
            </w:pPr>
            <w:r w:rsidRPr="00FA3F57">
              <w:rPr>
                <w:sz w:val="20"/>
                <w:szCs w:val="20"/>
              </w:rPr>
              <w:t>Institutions responsible for monitoring implementation and reporting on the realization</w:t>
            </w:r>
          </w:p>
        </w:tc>
        <w:tc>
          <w:tcPr>
            <w:tcW w:w="5667" w:type="dxa"/>
          </w:tcPr>
          <w:p w14:paraId="5C652E7D" w14:textId="77777777" w:rsidR="0094644B" w:rsidRPr="00FA3F57" w:rsidRDefault="0094644B" w:rsidP="00FB5086">
            <w:pPr>
              <w:rPr>
                <w:sz w:val="20"/>
                <w:szCs w:val="20"/>
              </w:rPr>
            </w:pPr>
            <w:r w:rsidRPr="00FA3F57">
              <w:rPr>
                <w:sz w:val="20"/>
                <w:szCs w:val="20"/>
              </w:rPr>
              <w:t>EPS JSC Belgrade</w:t>
            </w:r>
          </w:p>
          <w:p w14:paraId="30B561F4" w14:textId="77777777" w:rsidR="0094644B" w:rsidRPr="00FA3F57" w:rsidRDefault="0094644B" w:rsidP="00FB5086">
            <w:pPr>
              <w:rPr>
                <w:sz w:val="20"/>
                <w:szCs w:val="20"/>
              </w:rPr>
            </w:pPr>
            <w:r w:rsidRPr="00FA3F57">
              <w:rPr>
                <w:sz w:val="20"/>
                <w:szCs w:val="20"/>
              </w:rPr>
              <w:t>Ministry of Mining and Energy</w:t>
            </w:r>
          </w:p>
        </w:tc>
      </w:tr>
      <w:tr w:rsidR="0094644B" w:rsidRPr="00F07779" w14:paraId="35FC66C1" w14:textId="77777777" w:rsidTr="00FB5086">
        <w:tc>
          <w:tcPr>
            <w:tcW w:w="2973" w:type="dxa"/>
          </w:tcPr>
          <w:p w14:paraId="56D236FE" w14:textId="77777777" w:rsidR="0094644B" w:rsidRPr="00FA3F57" w:rsidRDefault="0094644B" w:rsidP="00FB5086">
            <w:pPr>
              <w:rPr>
                <w:sz w:val="20"/>
                <w:szCs w:val="20"/>
              </w:rPr>
            </w:pPr>
            <w:r w:rsidRPr="00FA3F57">
              <w:rPr>
                <w:sz w:val="20"/>
                <w:szCs w:val="20"/>
              </w:rPr>
              <w:t>Year of project funding start</w:t>
            </w:r>
          </w:p>
        </w:tc>
        <w:tc>
          <w:tcPr>
            <w:tcW w:w="5667" w:type="dxa"/>
          </w:tcPr>
          <w:p w14:paraId="5994A14A" w14:textId="77777777" w:rsidR="0094644B" w:rsidRPr="00FA3F57" w:rsidRDefault="0094644B" w:rsidP="00FB5086">
            <w:pPr>
              <w:rPr>
                <w:sz w:val="20"/>
                <w:szCs w:val="20"/>
              </w:rPr>
            </w:pPr>
            <w:r w:rsidRPr="00FA3F57">
              <w:rPr>
                <w:sz w:val="20"/>
                <w:szCs w:val="20"/>
              </w:rPr>
              <w:t>2023.</w:t>
            </w:r>
          </w:p>
        </w:tc>
      </w:tr>
      <w:tr w:rsidR="0094644B" w:rsidRPr="00F07779" w14:paraId="0295C55C" w14:textId="77777777" w:rsidTr="00FB5086">
        <w:tc>
          <w:tcPr>
            <w:tcW w:w="2973" w:type="dxa"/>
          </w:tcPr>
          <w:p w14:paraId="2EFECFE8" w14:textId="77777777" w:rsidR="0094644B" w:rsidRPr="00FA3F57" w:rsidRDefault="0094644B" w:rsidP="00FB5086">
            <w:pPr>
              <w:rPr>
                <w:sz w:val="20"/>
                <w:szCs w:val="20"/>
              </w:rPr>
            </w:pPr>
            <w:r w:rsidRPr="00FA3F57">
              <w:rPr>
                <w:sz w:val="20"/>
                <w:szCs w:val="20"/>
              </w:rPr>
              <w:t>Year of completion of project funding</w:t>
            </w:r>
          </w:p>
        </w:tc>
        <w:tc>
          <w:tcPr>
            <w:tcW w:w="5667" w:type="dxa"/>
          </w:tcPr>
          <w:p w14:paraId="007AD04D" w14:textId="77777777" w:rsidR="0094644B" w:rsidRPr="00FA3F57" w:rsidRDefault="0094644B" w:rsidP="00FB5086">
            <w:pPr>
              <w:rPr>
                <w:sz w:val="20"/>
                <w:szCs w:val="20"/>
              </w:rPr>
            </w:pPr>
            <w:r w:rsidRPr="00FA3F57">
              <w:rPr>
                <w:sz w:val="20"/>
                <w:szCs w:val="20"/>
              </w:rPr>
              <w:t>2029.</w:t>
            </w:r>
          </w:p>
        </w:tc>
      </w:tr>
      <w:tr w:rsidR="0094644B" w:rsidRPr="00F07779" w14:paraId="42EC6621" w14:textId="77777777" w:rsidTr="00FB5086">
        <w:tc>
          <w:tcPr>
            <w:tcW w:w="2973" w:type="dxa"/>
          </w:tcPr>
          <w:p w14:paraId="46C1146B" w14:textId="77777777" w:rsidR="0094644B" w:rsidRPr="00FA3F57" w:rsidRDefault="0094644B" w:rsidP="00FB5086">
            <w:pPr>
              <w:rPr>
                <w:sz w:val="20"/>
                <w:szCs w:val="20"/>
              </w:rPr>
            </w:pPr>
            <w:r w:rsidRPr="00FA3F57">
              <w:rPr>
                <w:sz w:val="20"/>
                <w:szCs w:val="20"/>
              </w:rPr>
              <w:t>Total project value</w:t>
            </w:r>
            <w:r w:rsidRPr="00FA3F57">
              <w:rPr>
                <w:sz w:val="20"/>
                <w:szCs w:val="20"/>
              </w:rPr>
              <w:br/>
              <w:t>(in thousands of RSD)</w:t>
            </w:r>
          </w:p>
        </w:tc>
        <w:tc>
          <w:tcPr>
            <w:tcW w:w="5667" w:type="dxa"/>
          </w:tcPr>
          <w:p w14:paraId="78392279" w14:textId="77777777" w:rsidR="0094644B" w:rsidRPr="00FA3F57" w:rsidRDefault="0094644B" w:rsidP="00FB5086">
            <w:pPr>
              <w:rPr>
                <w:sz w:val="20"/>
                <w:szCs w:val="20"/>
              </w:rPr>
            </w:pPr>
            <w:r w:rsidRPr="00FA3F57">
              <w:rPr>
                <w:color w:val="000000"/>
                <w:sz w:val="20"/>
                <w:szCs w:val="20"/>
              </w:rPr>
              <w:t xml:space="preserve">19,698,000 </w:t>
            </w:r>
            <w:r w:rsidRPr="00FA3F57">
              <w:rPr>
                <w:sz w:val="20"/>
                <w:szCs w:val="20"/>
              </w:rPr>
              <w:t>(168 million EUR)</w:t>
            </w:r>
          </w:p>
        </w:tc>
      </w:tr>
      <w:tr w:rsidR="0094644B" w:rsidRPr="00F07779" w14:paraId="4C38FEAE" w14:textId="77777777" w:rsidTr="00FB5086">
        <w:tc>
          <w:tcPr>
            <w:tcW w:w="2973" w:type="dxa"/>
          </w:tcPr>
          <w:p w14:paraId="0216E8AB" w14:textId="77777777" w:rsidR="0094644B" w:rsidRPr="00FA3F57" w:rsidRDefault="0094644B" w:rsidP="00FB5086">
            <w:pPr>
              <w:rPr>
                <w:sz w:val="20"/>
                <w:szCs w:val="20"/>
              </w:rPr>
            </w:pPr>
            <w:r w:rsidRPr="00FA3F57">
              <w:rPr>
                <w:sz w:val="20"/>
                <w:szCs w:val="20"/>
              </w:rPr>
              <w:t>Planned investments for 2026.</w:t>
            </w:r>
            <w:r w:rsidRPr="00FA3F57">
              <w:rPr>
                <w:sz w:val="20"/>
                <w:szCs w:val="20"/>
              </w:rPr>
              <w:br/>
              <w:t>(in thousands of RSD)</w:t>
            </w:r>
          </w:p>
        </w:tc>
        <w:tc>
          <w:tcPr>
            <w:tcW w:w="5667" w:type="dxa"/>
          </w:tcPr>
          <w:p w14:paraId="43E89215" w14:textId="77777777" w:rsidR="0094644B" w:rsidRPr="00FA3F57" w:rsidRDefault="0094644B" w:rsidP="00FB5086">
            <w:pPr>
              <w:rPr>
                <w:sz w:val="20"/>
                <w:szCs w:val="20"/>
              </w:rPr>
            </w:pPr>
            <w:r w:rsidRPr="00FA3F57">
              <w:rPr>
                <w:sz w:val="20"/>
                <w:szCs w:val="20"/>
              </w:rPr>
              <w:t xml:space="preserve">997,797.5 </w:t>
            </w:r>
            <w:r w:rsidRPr="00F07779">
              <w:rPr>
                <w:sz w:val="20"/>
                <w:szCs w:val="20"/>
              </w:rPr>
              <w:t>(own funds of EPS JSC)</w:t>
            </w:r>
          </w:p>
        </w:tc>
      </w:tr>
      <w:tr w:rsidR="0094644B" w:rsidRPr="00F07779" w14:paraId="341C0A2E" w14:textId="77777777" w:rsidTr="00FB5086">
        <w:tc>
          <w:tcPr>
            <w:tcW w:w="2973" w:type="dxa"/>
          </w:tcPr>
          <w:p w14:paraId="418F3BE4" w14:textId="77777777" w:rsidR="0094644B" w:rsidRPr="00FA3F57" w:rsidRDefault="0094644B" w:rsidP="00FB5086">
            <w:pPr>
              <w:rPr>
                <w:sz w:val="20"/>
                <w:szCs w:val="20"/>
              </w:rPr>
            </w:pPr>
            <w:r w:rsidRPr="00FA3F57">
              <w:rPr>
                <w:sz w:val="20"/>
                <w:szCs w:val="20"/>
              </w:rPr>
              <w:t>Planned investments for 2027.</w:t>
            </w:r>
            <w:r w:rsidRPr="00FA3F57">
              <w:rPr>
                <w:sz w:val="20"/>
                <w:szCs w:val="20"/>
              </w:rPr>
              <w:br/>
              <w:t>(in thousands of RSD)</w:t>
            </w:r>
          </w:p>
        </w:tc>
        <w:tc>
          <w:tcPr>
            <w:tcW w:w="5667" w:type="dxa"/>
          </w:tcPr>
          <w:p w14:paraId="2EF97C23" w14:textId="77777777" w:rsidR="0094644B" w:rsidRPr="00FA3F57" w:rsidRDefault="0094644B" w:rsidP="00FB5086">
            <w:pPr>
              <w:rPr>
                <w:sz w:val="20"/>
                <w:szCs w:val="20"/>
              </w:rPr>
            </w:pPr>
            <w:r w:rsidRPr="00FA3F57">
              <w:rPr>
                <w:sz w:val="20"/>
                <w:szCs w:val="20"/>
              </w:rPr>
              <w:t xml:space="preserve">4,748,625 </w:t>
            </w:r>
            <w:r w:rsidRPr="00F07779">
              <w:rPr>
                <w:sz w:val="20"/>
                <w:szCs w:val="20"/>
              </w:rPr>
              <w:t>(own funds of EPS JSC)</w:t>
            </w:r>
          </w:p>
        </w:tc>
      </w:tr>
      <w:tr w:rsidR="0094644B" w:rsidRPr="00F07779" w14:paraId="17649B01" w14:textId="77777777" w:rsidTr="00FB5086">
        <w:tc>
          <w:tcPr>
            <w:tcW w:w="2973" w:type="dxa"/>
          </w:tcPr>
          <w:p w14:paraId="32BF5AC8" w14:textId="77777777" w:rsidR="0094644B" w:rsidRPr="00FA3F57" w:rsidRDefault="0094644B" w:rsidP="00FB5086">
            <w:pPr>
              <w:rPr>
                <w:sz w:val="20"/>
                <w:szCs w:val="20"/>
              </w:rPr>
            </w:pPr>
            <w:r w:rsidRPr="00FA3F57">
              <w:rPr>
                <w:sz w:val="20"/>
                <w:szCs w:val="20"/>
              </w:rPr>
              <w:t>Planned investments for 2028.</w:t>
            </w:r>
            <w:r w:rsidRPr="00FA3F57">
              <w:rPr>
                <w:sz w:val="20"/>
                <w:szCs w:val="20"/>
              </w:rPr>
              <w:br/>
              <w:t>(in thousands of RSD)</w:t>
            </w:r>
          </w:p>
        </w:tc>
        <w:tc>
          <w:tcPr>
            <w:tcW w:w="5667" w:type="dxa"/>
          </w:tcPr>
          <w:p w14:paraId="720A7CDA" w14:textId="77777777" w:rsidR="0094644B" w:rsidRPr="00FA3F57" w:rsidRDefault="0094644B" w:rsidP="00FB5086">
            <w:pPr>
              <w:rPr>
                <w:sz w:val="20"/>
                <w:szCs w:val="20"/>
              </w:rPr>
            </w:pPr>
            <w:r w:rsidRPr="00FA3F57">
              <w:rPr>
                <w:sz w:val="20"/>
                <w:szCs w:val="20"/>
              </w:rPr>
              <w:t xml:space="preserve">6,764,152.5 </w:t>
            </w:r>
            <w:r w:rsidRPr="00F07779">
              <w:rPr>
                <w:sz w:val="20"/>
                <w:szCs w:val="20"/>
              </w:rPr>
              <w:t>(own funds of EPS JSC)</w:t>
            </w:r>
          </w:p>
        </w:tc>
      </w:tr>
    </w:tbl>
    <w:p w14:paraId="099B26BF" w14:textId="77777777" w:rsidR="0094644B" w:rsidRPr="00FA3F57" w:rsidRDefault="0094644B" w:rsidP="0094644B">
      <w:pPr>
        <w:tabs>
          <w:tab w:val="left" w:pos="1276"/>
          <w:tab w:val="left" w:pos="1560"/>
        </w:tabs>
        <w:ind w:left="1440" w:hanging="1440"/>
      </w:pPr>
    </w:p>
    <w:tbl>
      <w:tblPr>
        <w:tblStyle w:val="TableGrid"/>
        <w:tblW w:w="0" w:type="auto"/>
        <w:tblLook w:val="04A0" w:firstRow="1" w:lastRow="0" w:firstColumn="1" w:lastColumn="0" w:noHBand="0" w:noVBand="1"/>
      </w:tblPr>
      <w:tblGrid>
        <w:gridCol w:w="2973"/>
        <w:gridCol w:w="5667"/>
      </w:tblGrid>
      <w:tr w:rsidR="0094644B" w:rsidRPr="00F07779" w14:paraId="1EF93A20" w14:textId="77777777" w:rsidTr="00FB5086">
        <w:tc>
          <w:tcPr>
            <w:tcW w:w="2973" w:type="dxa"/>
            <w:shd w:val="clear" w:color="auto" w:fill="D9D9D9" w:themeFill="background1" w:themeFillShade="D9"/>
          </w:tcPr>
          <w:p w14:paraId="202A1567" w14:textId="77777777" w:rsidR="0094644B" w:rsidRPr="00FA3F57" w:rsidRDefault="0094644B" w:rsidP="00FB5086">
            <w:pPr>
              <w:keepNext/>
              <w:rPr>
                <w:sz w:val="20"/>
                <w:szCs w:val="20"/>
              </w:rPr>
            </w:pPr>
            <w:r w:rsidRPr="00FA3F57">
              <w:rPr>
                <w:sz w:val="20"/>
                <w:szCs w:val="20"/>
              </w:rPr>
              <w:t>Activity EL1.1</w:t>
            </w:r>
          </w:p>
        </w:tc>
        <w:tc>
          <w:tcPr>
            <w:tcW w:w="5667" w:type="dxa"/>
            <w:shd w:val="clear" w:color="auto" w:fill="D9D9D9" w:themeFill="background1" w:themeFillShade="D9"/>
          </w:tcPr>
          <w:p w14:paraId="0983C3BF" w14:textId="77777777" w:rsidR="0094644B" w:rsidRPr="00FA3F57" w:rsidRDefault="0094644B" w:rsidP="00FB5086">
            <w:pPr>
              <w:keepNext/>
              <w:rPr>
                <w:sz w:val="20"/>
                <w:szCs w:val="20"/>
              </w:rPr>
            </w:pPr>
            <w:r w:rsidRPr="00FA3F57">
              <w:rPr>
                <w:sz w:val="20"/>
                <w:szCs w:val="20"/>
              </w:rPr>
              <w:t>Investment projects of revitalization (reconstruction) and modernization of power plants</w:t>
            </w:r>
          </w:p>
        </w:tc>
      </w:tr>
      <w:tr w:rsidR="0094644B" w:rsidRPr="00F07779" w14:paraId="4296B0EB" w14:textId="77777777" w:rsidTr="00FB5086">
        <w:tc>
          <w:tcPr>
            <w:tcW w:w="2973" w:type="dxa"/>
            <w:shd w:val="clear" w:color="auto" w:fill="D9E2F3" w:themeFill="accent1" w:themeFillTint="33"/>
          </w:tcPr>
          <w:p w14:paraId="5A3798E4" w14:textId="77777777" w:rsidR="0094644B" w:rsidRPr="00FA3F57" w:rsidRDefault="0094644B" w:rsidP="00FB5086">
            <w:pPr>
              <w:keepNext/>
              <w:rPr>
                <w:sz w:val="20"/>
                <w:szCs w:val="20"/>
              </w:rPr>
            </w:pPr>
            <w:r w:rsidRPr="00FA3F57">
              <w:rPr>
                <w:sz w:val="20"/>
                <w:szCs w:val="20"/>
              </w:rPr>
              <w:t>Name of the project</w:t>
            </w:r>
          </w:p>
        </w:tc>
        <w:tc>
          <w:tcPr>
            <w:tcW w:w="5667" w:type="dxa"/>
            <w:shd w:val="clear" w:color="auto" w:fill="D9E2F3" w:themeFill="accent1" w:themeFillTint="33"/>
          </w:tcPr>
          <w:p w14:paraId="21F156AB" w14:textId="77777777" w:rsidR="0094644B" w:rsidRPr="00FA3F57" w:rsidRDefault="0094644B" w:rsidP="00FB5086">
            <w:pPr>
              <w:keepNext/>
              <w:rPr>
                <w:sz w:val="20"/>
                <w:szCs w:val="20"/>
              </w:rPr>
            </w:pPr>
            <w:r w:rsidRPr="00F07779">
              <w:rPr>
                <w:sz w:val="20"/>
                <w:szCs w:val="20"/>
              </w:rPr>
              <w:t>Capital overhaul of TENT A6 and primary measures for nitrogen oxide reduction</w:t>
            </w:r>
          </w:p>
        </w:tc>
      </w:tr>
      <w:tr w:rsidR="0094644B" w:rsidRPr="00F07779" w14:paraId="67BF2487" w14:textId="77777777" w:rsidTr="00FB5086">
        <w:tc>
          <w:tcPr>
            <w:tcW w:w="2973" w:type="dxa"/>
          </w:tcPr>
          <w:p w14:paraId="2A0DF633" w14:textId="77777777" w:rsidR="0094644B" w:rsidRPr="00FA3F57" w:rsidRDefault="0094644B" w:rsidP="00FB5086">
            <w:pPr>
              <w:rPr>
                <w:sz w:val="20"/>
                <w:szCs w:val="20"/>
              </w:rPr>
            </w:pPr>
            <w:r w:rsidRPr="00FA3F57">
              <w:rPr>
                <w:sz w:val="20"/>
                <w:szCs w:val="20"/>
              </w:rPr>
              <w:t>Short description of the investment</w:t>
            </w:r>
          </w:p>
        </w:tc>
        <w:tc>
          <w:tcPr>
            <w:tcW w:w="5667" w:type="dxa"/>
          </w:tcPr>
          <w:p w14:paraId="74AAB94C" w14:textId="77777777" w:rsidR="0094644B" w:rsidRPr="00F07779" w:rsidRDefault="0094644B" w:rsidP="00FB5086">
            <w:pPr>
              <w:rPr>
                <w:sz w:val="20"/>
                <w:szCs w:val="20"/>
              </w:rPr>
            </w:pPr>
            <w:r w:rsidRPr="00F07779">
              <w:rPr>
                <w:sz w:val="20"/>
                <w:szCs w:val="20"/>
              </w:rPr>
              <w:t>The project scope includes design, equipment supply, and design supervision of dismantling and installation activities related to the overhaul of existing boiler heating surfaces, implementation of primary measures to reduce nitrogen oxide emissions, optimization, and trial operation with guaranteed required parameters.</w:t>
            </w:r>
          </w:p>
          <w:p w14:paraId="54939058" w14:textId="77777777" w:rsidR="0094644B" w:rsidRPr="00FA3F57" w:rsidRDefault="0094644B" w:rsidP="00FB5086">
            <w:pPr>
              <w:rPr>
                <w:sz w:val="20"/>
                <w:szCs w:val="20"/>
              </w:rPr>
            </w:pPr>
            <w:r w:rsidRPr="00FA3F57">
              <w:rPr>
                <w:sz w:val="20"/>
                <w:szCs w:val="20"/>
              </w:rPr>
              <w:t>Expected dynamics of project implementation:</w:t>
            </w:r>
          </w:p>
          <w:p w14:paraId="3C156400" w14:textId="77777777" w:rsidR="0094644B" w:rsidRPr="00FA3F57" w:rsidRDefault="0094644B" w:rsidP="00FB5086">
            <w:pPr>
              <w:rPr>
                <w:sz w:val="20"/>
                <w:szCs w:val="20"/>
              </w:rPr>
            </w:pPr>
            <w:r w:rsidRPr="00FA3F57">
              <w:rPr>
                <w:sz w:val="20"/>
                <w:szCs w:val="20"/>
              </w:rPr>
              <w:t xml:space="preserve">2026. </w:t>
            </w:r>
            <w:r w:rsidRPr="00F07779">
              <w:rPr>
                <w:sz w:val="20"/>
                <w:szCs w:val="20"/>
              </w:rPr>
              <w:t>Building permit</w:t>
            </w:r>
          </w:p>
          <w:p w14:paraId="1BAA1A49" w14:textId="77777777" w:rsidR="0094644B" w:rsidRPr="00FA3F57" w:rsidRDefault="0094644B" w:rsidP="00FB5086">
            <w:pPr>
              <w:rPr>
                <w:sz w:val="20"/>
                <w:szCs w:val="20"/>
              </w:rPr>
            </w:pPr>
            <w:r w:rsidRPr="00FA3F57">
              <w:rPr>
                <w:sz w:val="20"/>
                <w:szCs w:val="20"/>
              </w:rPr>
              <w:t xml:space="preserve">2027. </w:t>
            </w:r>
            <w:r w:rsidRPr="00F07779">
              <w:rPr>
                <w:sz w:val="20"/>
                <w:szCs w:val="20"/>
              </w:rPr>
              <w:t>Construction</w:t>
            </w:r>
          </w:p>
        </w:tc>
      </w:tr>
      <w:tr w:rsidR="0094644B" w:rsidRPr="00F07779" w14:paraId="3B19A8EB" w14:textId="77777777" w:rsidTr="00FB5086">
        <w:tc>
          <w:tcPr>
            <w:tcW w:w="2973" w:type="dxa"/>
          </w:tcPr>
          <w:p w14:paraId="2AE95039" w14:textId="77777777" w:rsidR="0094644B" w:rsidRPr="00FA3F57" w:rsidRDefault="0094644B" w:rsidP="00FB5086">
            <w:pPr>
              <w:rPr>
                <w:sz w:val="20"/>
                <w:szCs w:val="20"/>
              </w:rPr>
            </w:pPr>
            <w:r w:rsidRPr="00FA3F57">
              <w:rPr>
                <w:sz w:val="20"/>
                <w:szCs w:val="20"/>
              </w:rPr>
              <w:t>Institutions responsible for the implementation of measures and activities</w:t>
            </w:r>
          </w:p>
        </w:tc>
        <w:tc>
          <w:tcPr>
            <w:tcW w:w="5667" w:type="dxa"/>
          </w:tcPr>
          <w:p w14:paraId="53B753E0" w14:textId="77777777" w:rsidR="0094644B" w:rsidRPr="00FA3F57" w:rsidRDefault="0094644B" w:rsidP="00FB5086">
            <w:pPr>
              <w:rPr>
                <w:sz w:val="20"/>
                <w:szCs w:val="20"/>
              </w:rPr>
            </w:pPr>
            <w:r w:rsidRPr="00FA3F57">
              <w:rPr>
                <w:sz w:val="20"/>
                <w:szCs w:val="20"/>
              </w:rPr>
              <w:t>EPS JSC Belgrade</w:t>
            </w:r>
          </w:p>
        </w:tc>
      </w:tr>
      <w:tr w:rsidR="0094644B" w:rsidRPr="00F07779" w14:paraId="0CC7B769" w14:textId="77777777" w:rsidTr="00FB5086">
        <w:tc>
          <w:tcPr>
            <w:tcW w:w="2973" w:type="dxa"/>
          </w:tcPr>
          <w:p w14:paraId="62721277" w14:textId="77777777" w:rsidR="0094644B" w:rsidRPr="00FA3F57" w:rsidRDefault="0094644B" w:rsidP="00FB5086">
            <w:pPr>
              <w:rPr>
                <w:sz w:val="20"/>
                <w:szCs w:val="20"/>
              </w:rPr>
            </w:pPr>
            <w:r w:rsidRPr="00FA3F57">
              <w:rPr>
                <w:sz w:val="20"/>
                <w:szCs w:val="20"/>
              </w:rPr>
              <w:t>Institutions responsible for monitoring implementation and reporting on the realization</w:t>
            </w:r>
          </w:p>
        </w:tc>
        <w:tc>
          <w:tcPr>
            <w:tcW w:w="5667" w:type="dxa"/>
          </w:tcPr>
          <w:p w14:paraId="4D3B49EE" w14:textId="77777777" w:rsidR="0094644B" w:rsidRPr="00F07779" w:rsidRDefault="0094644B" w:rsidP="00FB5086">
            <w:pPr>
              <w:rPr>
                <w:sz w:val="20"/>
                <w:szCs w:val="20"/>
              </w:rPr>
            </w:pPr>
            <w:r w:rsidRPr="00FA3F57">
              <w:rPr>
                <w:sz w:val="20"/>
                <w:szCs w:val="20"/>
              </w:rPr>
              <w:t>EPS JSC Belgrade</w:t>
            </w:r>
          </w:p>
          <w:p w14:paraId="768FFC1C" w14:textId="77777777" w:rsidR="0094644B" w:rsidRPr="00FA3F57" w:rsidRDefault="0094644B" w:rsidP="00FB5086">
            <w:pPr>
              <w:rPr>
                <w:sz w:val="20"/>
                <w:szCs w:val="20"/>
              </w:rPr>
            </w:pPr>
            <w:r w:rsidRPr="00F07779">
              <w:rPr>
                <w:sz w:val="20"/>
                <w:szCs w:val="20"/>
              </w:rPr>
              <w:t>Ministry of Mining and Energy</w:t>
            </w:r>
          </w:p>
        </w:tc>
      </w:tr>
      <w:tr w:rsidR="0094644B" w:rsidRPr="00F07779" w14:paraId="35C2A466" w14:textId="77777777" w:rsidTr="00FB5086">
        <w:tc>
          <w:tcPr>
            <w:tcW w:w="2973" w:type="dxa"/>
          </w:tcPr>
          <w:p w14:paraId="64D3E6B9" w14:textId="77777777" w:rsidR="0094644B" w:rsidRPr="00FA3F57" w:rsidRDefault="0094644B" w:rsidP="00FB5086">
            <w:pPr>
              <w:rPr>
                <w:sz w:val="20"/>
                <w:szCs w:val="20"/>
              </w:rPr>
            </w:pPr>
            <w:r w:rsidRPr="00FA3F57">
              <w:rPr>
                <w:sz w:val="20"/>
                <w:szCs w:val="20"/>
              </w:rPr>
              <w:t>Year of project funding start</w:t>
            </w:r>
          </w:p>
        </w:tc>
        <w:tc>
          <w:tcPr>
            <w:tcW w:w="5667" w:type="dxa"/>
          </w:tcPr>
          <w:p w14:paraId="30472E29" w14:textId="77777777" w:rsidR="0094644B" w:rsidRPr="00FA3F57" w:rsidRDefault="0094644B" w:rsidP="00FB5086">
            <w:pPr>
              <w:rPr>
                <w:sz w:val="20"/>
                <w:szCs w:val="20"/>
              </w:rPr>
            </w:pPr>
            <w:r w:rsidRPr="00FA3F57">
              <w:rPr>
                <w:sz w:val="20"/>
                <w:szCs w:val="20"/>
              </w:rPr>
              <w:t>2023.</w:t>
            </w:r>
          </w:p>
        </w:tc>
      </w:tr>
      <w:tr w:rsidR="0094644B" w:rsidRPr="00F07779" w14:paraId="78255711" w14:textId="77777777" w:rsidTr="00FB5086">
        <w:tc>
          <w:tcPr>
            <w:tcW w:w="2973" w:type="dxa"/>
          </w:tcPr>
          <w:p w14:paraId="0729BE2A" w14:textId="77777777" w:rsidR="0094644B" w:rsidRPr="00FA3F57" w:rsidRDefault="0094644B" w:rsidP="00FB5086">
            <w:pPr>
              <w:rPr>
                <w:sz w:val="20"/>
                <w:szCs w:val="20"/>
              </w:rPr>
            </w:pPr>
            <w:r w:rsidRPr="00FA3F57">
              <w:rPr>
                <w:sz w:val="20"/>
                <w:szCs w:val="20"/>
              </w:rPr>
              <w:lastRenderedPageBreak/>
              <w:t>Year of completion of project funding</w:t>
            </w:r>
          </w:p>
        </w:tc>
        <w:tc>
          <w:tcPr>
            <w:tcW w:w="5667" w:type="dxa"/>
          </w:tcPr>
          <w:p w14:paraId="67711451" w14:textId="77777777" w:rsidR="0094644B" w:rsidRPr="00FA3F57" w:rsidRDefault="0094644B" w:rsidP="00FB5086">
            <w:pPr>
              <w:rPr>
                <w:sz w:val="20"/>
                <w:szCs w:val="20"/>
              </w:rPr>
            </w:pPr>
            <w:r w:rsidRPr="00FA3F57">
              <w:rPr>
                <w:sz w:val="20"/>
                <w:szCs w:val="20"/>
              </w:rPr>
              <w:t>2028.</w:t>
            </w:r>
          </w:p>
        </w:tc>
      </w:tr>
      <w:tr w:rsidR="0094644B" w:rsidRPr="00F07779" w14:paraId="04B2ACCF" w14:textId="77777777" w:rsidTr="00FB5086">
        <w:tc>
          <w:tcPr>
            <w:tcW w:w="2973" w:type="dxa"/>
          </w:tcPr>
          <w:p w14:paraId="4B8A19BE" w14:textId="77777777" w:rsidR="0094644B" w:rsidRPr="00FA3F57" w:rsidRDefault="0094644B" w:rsidP="00FB5086">
            <w:pPr>
              <w:rPr>
                <w:sz w:val="20"/>
                <w:szCs w:val="20"/>
              </w:rPr>
            </w:pPr>
            <w:r w:rsidRPr="00FA3F57">
              <w:rPr>
                <w:sz w:val="20"/>
                <w:szCs w:val="20"/>
              </w:rPr>
              <w:t>Total project value</w:t>
            </w:r>
            <w:r w:rsidRPr="00FA3F57">
              <w:rPr>
                <w:sz w:val="20"/>
                <w:szCs w:val="20"/>
              </w:rPr>
              <w:br/>
              <w:t>(in thousands of RSD)</w:t>
            </w:r>
          </w:p>
        </w:tc>
        <w:tc>
          <w:tcPr>
            <w:tcW w:w="5667" w:type="dxa"/>
          </w:tcPr>
          <w:p w14:paraId="0C0A5D87" w14:textId="77777777" w:rsidR="0094644B" w:rsidRPr="00FA3F57" w:rsidRDefault="0094644B" w:rsidP="00FB5086">
            <w:pPr>
              <w:rPr>
                <w:sz w:val="20"/>
                <w:szCs w:val="20"/>
              </w:rPr>
            </w:pPr>
            <w:r w:rsidRPr="00F07779">
              <w:rPr>
                <w:color w:val="000000"/>
                <w:sz w:val="20"/>
                <w:szCs w:val="20"/>
              </w:rPr>
              <w:t>6,782</w:t>
            </w:r>
            <w:r w:rsidRPr="00FA3F57">
              <w:rPr>
                <w:color w:val="000000"/>
                <w:sz w:val="20"/>
                <w:szCs w:val="20"/>
              </w:rPr>
              <w:t>,</w:t>
            </w:r>
            <w:r w:rsidRPr="00F07779">
              <w:rPr>
                <w:color w:val="000000"/>
                <w:sz w:val="20"/>
                <w:szCs w:val="20"/>
              </w:rPr>
              <w:t>912</w:t>
            </w:r>
            <w:r w:rsidRPr="00FA3F57">
              <w:rPr>
                <w:color w:val="000000"/>
                <w:sz w:val="20"/>
                <w:szCs w:val="20"/>
              </w:rPr>
              <w:t>.</w:t>
            </w:r>
            <w:r w:rsidRPr="00F07779">
              <w:rPr>
                <w:color w:val="000000"/>
                <w:sz w:val="20"/>
                <w:szCs w:val="20"/>
              </w:rPr>
              <w:t>5</w:t>
            </w:r>
            <w:r w:rsidRPr="00F07779" w:rsidDel="00414B0A">
              <w:rPr>
                <w:color w:val="000000"/>
                <w:sz w:val="20"/>
                <w:szCs w:val="20"/>
              </w:rPr>
              <w:t xml:space="preserve"> </w:t>
            </w:r>
            <w:r w:rsidRPr="00FA3F57">
              <w:rPr>
                <w:sz w:val="20"/>
                <w:szCs w:val="20"/>
              </w:rPr>
              <w:t>(57.85 million EUR)</w:t>
            </w:r>
          </w:p>
        </w:tc>
      </w:tr>
      <w:tr w:rsidR="0094644B" w:rsidRPr="00F07779" w14:paraId="3408EC34" w14:textId="77777777" w:rsidTr="00FB5086">
        <w:tc>
          <w:tcPr>
            <w:tcW w:w="2973" w:type="dxa"/>
          </w:tcPr>
          <w:p w14:paraId="559C2D7B" w14:textId="77777777" w:rsidR="0094644B" w:rsidRPr="00FA3F57" w:rsidRDefault="0094644B" w:rsidP="00FB5086">
            <w:pPr>
              <w:rPr>
                <w:sz w:val="20"/>
                <w:szCs w:val="20"/>
              </w:rPr>
            </w:pPr>
            <w:r w:rsidRPr="00FA3F57">
              <w:rPr>
                <w:sz w:val="20"/>
                <w:szCs w:val="20"/>
              </w:rPr>
              <w:t>Planned investments for 2026.</w:t>
            </w:r>
            <w:r w:rsidRPr="00FA3F57">
              <w:rPr>
                <w:sz w:val="20"/>
                <w:szCs w:val="20"/>
              </w:rPr>
              <w:br/>
              <w:t>(in thousands of RSD)</w:t>
            </w:r>
          </w:p>
        </w:tc>
        <w:tc>
          <w:tcPr>
            <w:tcW w:w="5667" w:type="dxa"/>
          </w:tcPr>
          <w:p w14:paraId="6389AEEF" w14:textId="77777777" w:rsidR="0094644B" w:rsidRPr="00FA3F57" w:rsidRDefault="0094644B" w:rsidP="00FB5086">
            <w:pPr>
              <w:rPr>
                <w:sz w:val="20"/>
                <w:szCs w:val="20"/>
              </w:rPr>
            </w:pPr>
            <w:r w:rsidRPr="00FA3F57">
              <w:rPr>
                <w:sz w:val="20"/>
                <w:szCs w:val="20"/>
              </w:rPr>
              <w:t xml:space="preserve">29,312.5 </w:t>
            </w:r>
            <w:r w:rsidRPr="00F07779">
              <w:rPr>
                <w:sz w:val="20"/>
                <w:szCs w:val="20"/>
              </w:rPr>
              <w:t>(own funds of EPS JSC)</w:t>
            </w:r>
          </w:p>
        </w:tc>
      </w:tr>
      <w:tr w:rsidR="0094644B" w:rsidRPr="00F07779" w14:paraId="69E4AE25" w14:textId="77777777" w:rsidTr="00FB5086">
        <w:tc>
          <w:tcPr>
            <w:tcW w:w="2973" w:type="dxa"/>
          </w:tcPr>
          <w:p w14:paraId="555A5783" w14:textId="77777777" w:rsidR="0094644B" w:rsidRPr="00FA3F57" w:rsidRDefault="0094644B" w:rsidP="00FB5086">
            <w:pPr>
              <w:rPr>
                <w:sz w:val="20"/>
                <w:szCs w:val="20"/>
              </w:rPr>
            </w:pPr>
            <w:r w:rsidRPr="00FA3F57">
              <w:rPr>
                <w:sz w:val="20"/>
                <w:szCs w:val="20"/>
              </w:rPr>
              <w:t>Planned investments for 2027.</w:t>
            </w:r>
            <w:r w:rsidRPr="00FA3F57">
              <w:rPr>
                <w:sz w:val="20"/>
                <w:szCs w:val="20"/>
              </w:rPr>
              <w:br/>
              <w:t>(in thousands of RSD)</w:t>
            </w:r>
          </w:p>
        </w:tc>
        <w:tc>
          <w:tcPr>
            <w:tcW w:w="5667" w:type="dxa"/>
          </w:tcPr>
          <w:p w14:paraId="05DC2784" w14:textId="77777777" w:rsidR="0094644B" w:rsidRPr="00FA3F57" w:rsidRDefault="0094644B" w:rsidP="00FB5086">
            <w:pPr>
              <w:rPr>
                <w:sz w:val="20"/>
                <w:szCs w:val="20"/>
              </w:rPr>
            </w:pPr>
            <w:r w:rsidRPr="00FA3F57">
              <w:rPr>
                <w:sz w:val="20"/>
                <w:szCs w:val="20"/>
              </w:rPr>
              <w:t xml:space="preserve">585,077.5 </w:t>
            </w:r>
            <w:r w:rsidRPr="00F07779">
              <w:rPr>
                <w:sz w:val="20"/>
                <w:szCs w:val="20"/>
              </w:rPr>
              <w:t>(own funds of EPS JSC)</w:t>
            </w:r>
          </w:p>
        </w:tc>
      </w:tr>
      <w:tr w:rsidR="0094644B" w:rsidRPr="00F07779" w14:paraId="3208B0A2" w14:textId="77777777" w:rsidTr="00FB5086">
        <w:tc>
          <w:tcPr>
            <w:tcW w:w="2973" w:type="dxa"/>
          </w:tcPr>
          <w:p w14:paraId="04F9AE51" w14:textId="77777777" w:rsidR="0094644B" w:rsidRPr="00FA3F57" w:rsidRDefault="0094644B" w:rsidP="00FB5086">
            <w:pPr>
              <w:rPr>
                <w:sz w:val="20"/>
                <w:szCs w:val="20"/>
              </w:rPr>
            </w:pPr>
            <w:r w:rsidRPr="00FA3F57">
              <w:rPr>
                <w:sz w:val="20"/>
                <w:szCs w:val="20"/>
              </w:rPr>
              <w:t>Planned investments for 2028.</w:t>
            </w:r>
            <w:r w:rsidRPr="00FA3F57">
              <w:rPr>
                <w:sz w:val="20"/>
                <w:szCs w:val="20"/>
              </w:rPr>
              <w:br/>
              <w:t>(in thousands of RSD)</w:t>
            </w:r>
          </w:p>
        </w:tc>
        <w:tc>
          <w:tcPr>
            <w:tcW w:w="5667" w:type="dxa"/>
          </w:tcPr>
          <w:p w14:paraId="79A109FA" w14:textId="77777777" w:rsidR="0094644B" w:rsidRPr="00FA3F57" w:rsidRDefault="0094644B" w:rsidP="00FB5086">
            <w:pPr>
              <w:rPr>
                <w:sz w:val="20"/>
                <w:szCs w:val="20"/>
              </w:rPr>
            </w:pPr>
            <w:r w:rsidRPr="00FA3F57">
              <w:rPr>
                <w:sz w:val="20"/>
                <w:szCs w:val="20"/>
              </w:rPr>
              <w:t xml:space="preserve">150,080 </w:t>
            </w:r>
            <w:r w:rsidRPr="00F07779">
              <w:rPr>
                <w:sz w:val="20"/>
                <w:szCs w:val="20"/>
              </w:rPr>
              <w:t>(own funds of EPS JSC)</w:t>
            </w:r>
          </w:p>
        </w:tc>
      </w:tr>
    </w:tbl>
    <w:p w14:paraId="126D1796" w14:textId="77777777" w:rsidR="0094644B" w:rsidRPr="00FA3F57" w:rsidRDefault="0094644B" w:rsidP="0094644B">
      <w:pPr>
        <w:tabs>
          <w:tab w:val="left" w:pos="1276"/>
          <w:tab w:val="left" w:pos="1560"/>
        </w:tabs>
        <w:ind w:left="1440" w:hanging="1440"/>
      </w:pPr>
    </w:p>
    <w:tbl>
      <w:tblPr>
        <w:tblStyle w:val="TableGrid"/>
        <w:tblW w:w="0" w:type="auto"/>
        <w:tblLook w:val="04A0" w:firstRow="1" w:lastRow="0" w:firstColumn="1" w:lastColumn="0" w:noHBand="0" w:noVBand="1"/>
      </w:tblPr>
      <w:tblGrid>
        <w:gridCol w:w="2973"/>
        <w:gridCol w:w="5667"/>
      </w:tblGrid>
      <w:tr w:rsidR="0094644B" w:rsidRPr="00F07779" w14:paraId="24A8A9CA" w14:textId="77777777" w:rsidTr="00FB5086">
        <w:tc>
          <w:tcPr>
            <w:tcW w:w="2973" w:type="dxa"/>
            <w:shd w:val="clear" w:color="auto" w:fill="D9D9D9" w:themeFill="background1" w:themeFillShade="D9"/>
          </w:tcPr>
          <w:p w14:paraId="7E2E9C12" w14:textId="77777777" w:rsidR="0094644B" w:rsidRPr="00FA3F57" w:rsidRDefault="0094644B" w:rsidP="00FB5086">
            <w:pPr>
              <w:rPr>
                <w:sz w:val="20"/>
                <w:szCs w:val="20"/>
              </w:rPr>
            </w:pPr>
            <w:r w:rsidRPr="00FA3F57">
              <w:rPr>
                <w:sz w:val="20"/>
                <w:szCs w:val="20"/>
              </w:rPr>
              <w:t>Activity EL1.1</w:t>
            </w:r>
          </w:p>
        </w:tc>
        <w:tc>
          <w:tcPr>
            <w:tcW w:w="5667" w:type="dxa"/>
            <w:shd w:val="clear" w:color="auto" w:fill="D9D9D9" w:themeFill="background1" w:themeFillShade="D9"/>
          </w:tcPr>
          <w:p w14:paraId="5D2662C9" w14:textId="77777777" w:rsidR="0094644B" w:rsidRPr="00FA3F57" w:rsidRDefault="0094644B" w:rsidP="00FB5086">
            <w:pPr>
              <w:rPr>
                <w:sz w:val="20"/>
                <w:szCs w:val="20"/>
              </w:rPr>
            </w:pPr>
            <w:r w:rsidRPr="00FA3F57">
              <w:rPr>
                <w:sz w:val="20"/>
                <w:szCs w:val="20"/>
              </w:rPr>
              <w:t>Investment projects of revitalization (reconstruction) and modernization of power plants</w:t>
            </w:r>
          </w:p>
        </w:tc>
      </w:tr>
      <w:tr w:rsidR="0094644B" w:rsidRPr="00F07779" w14:paraId="0CBFD806" w14:textId="77777777" w:rsidTr="00FB5086">
        <w:tc>
          <w:tcPr>
            <w:tcW w:w="2973" w:type="dxa"/>
            <w:shd w:val="clear" w:color="auto" w:fill="D9E2F3" w:themeFill="accent1" w:themeFillTint="33"/>
          </w:tcPr>
          <w:p w14:paraId="75866C04" w14:textId="77777777" w:rsidR="0094644B" w:rsidRPr="00FA3F57" w:rsidRDefault="0094644B" w:rsidP="00FB5086">
            <w:pPr>
              <w:rPr>
                <w:sz w:val="20"/>
                <w:szCs w:val="20"/>
              </w:rPr>
            </w:pPr>
            <w:r w:rsidRPr="00FA3F57">
              <w:rPr>
                <w:sz w:val="20"/>
                <w:szCs w:val="20"/>
              </w:rPr>
              <w:t>Name of the project</w:t>
            </w:r>
          </w:p>
        </w:tc>
        <w:tc>
          <w:tcPr>
            <w:tcW w:w="5667" w:type="dxa"/>
            <w:shd w:val="clear" w:color="auto" w:fill="D9E2F3" w:themeFill="accent1" w:themeFillTint="33"/>
          </w:tcPr>
          <w:p w14:paraId="40EADA27" w14:textId="77777777" w:rsidR="0094644B" w:rsidRPr="00FA3F57" w:rsidRDefault="0094644B" w:rsidP="00FB5086">
            <w:pPr>
              <w:rPr>
                <w:sz w:val="20"/>
                <w:szCs w:val="20"/>
              </w:rPr>
            </w:pPr>
            <w:r w:rsidRPr="00F07779">
              <w:rPr>
                <w:sz w:val="20"/>
                <w:szCs w:val="20"/>
              </w:rPr>
              <w:t>TENT B2 capital overhaul (second phase of revitalization)</w:t>
            </w:r>
          </w:p>
        </w:tc>
      </w:tr>
      <w:tr w:rsidR="0094644B" w:rsidRPr="00F07779" w14:paraId="73E6B398" w14:textId="77777777" w:rsidTr="00FB5086">
        <w:tc>
          <w:tcPr>
            <w:tcW w:w="2973" w:type="dxa"/>
          </w:tcPr>
          <w:p w14:paraId="36CF0717" w14:textId="77777777" w:rsidR="0094644B" w:rsidRPr="00FA3F57" w:rsidRDefault="0094644B" w:rsidP="00FB5086">
            <w:pPr>
              <w:rPr>
                <w:sz w:val="20"/>
                <w:szCs w:val="20"/>
              </w:rPr>
            </w:pPr>
            <w:r w:rsidRPr="00FA3F57">
              <w:rPr>
                <w:sz w:val="20"/>
                <w:szCs w:val="20"/>
              </w:rPr>
              <w:t>Short description of the investment</w:t>
            </w:r>
          </w:p>
        </w:tc>
        <w:tc>
          <w:tcPr>
            <w:tcW w:w="5667" w:type="dxa"/>
          </w:tcPr>
          <w:p w14:paraId="3F4FDDF0" w14:textId="77777777" w:rsidR="0094644B" w:rsidRPr="00F07779" w:rsidRDefault="0094644B" w:rsidP="00FB5086">
            <w:pPr>
              <w:rPr>
                <w:sz w:val="20"/>
                <w:szCs w:val="20"/>
              </w:rPr>
            </w:pPr>
            <w:r w:rsidRPr="00F07779">
              <w:rPr>
                <w:sz w:val="20"/>
                <w:szCs w:val="20"/>
              </w:rPr>
              <w:t>The project scope includes the design, equipment supply, and design supervision of dismantling and installation activities related to the overhaul of existing boiler heating surfaces, implementation of primary measures to reduce nitrogen oxide emissions, optimization, and trial operation with guaranteed required parameters.</w:t>
            </w:r>
          </w:p>
          <w:p w14:paraId="76021F32" w14:textId="77777777" w:rsidR="0094644B" w:rsidRPr="00FA3F57" w:rsidRDefault="0094644B" w:rsidP="00FB5086">
            <w:pPr>
              <w:rPr>
                <w:sz w:val="20"/>
                <w:szCs w:val="20"/>
              </w:rPr>
            </w:pPr>
            <w:r w:rsidRPr="00FA3F57">
              <w:rPr>
                <w:sz w:val="20"/>
                <w:szCs w:val="20"/>
              </w:rPr>
              <w:t>Expected dynamics of project implementation:</w:t>
            </w:r>
          </w:p>
          <w:p w14:paraId="4A73A74B" w14:textId="77777777" w:rsidR="0094644B" w:rsidRPr="00FA3F57" w:rsidRDefault="0094644B" w:rsidP="00FB5086">
            <w:pPr>
              <w:rPr>
                <w:sz w:val="20"/>
                <w:szCs w:val="20"/>
              </w:rPr>
            </w:pPr>
            <w:r w:rsidRPr="00FA3F57">
              <w:rPr>
                <w:sz w:val="20"/>
                <w:szCs w:val="20"/>
              </w:rPr>
              <w:t xml:space="preserve">2026. </w:t>
            </w:r>
            <w:r w:rsidRPr="00F07779">
              <w:rPr>
                <w:sz w:val="20"/>
                <w:szCs w:val="20"/>
              </w:rPr>
              <w:t>Construction</w:t>
            </w:r>
          </w:p>
          <w:p w14:paraId="51E5B1E6" w14:textId="77777777" w:rsidR="0094644B" w:rsidRPr="00FA3F57" w:rsidRDefault="0094644B" w:rsidP="00FB5086">
            <w:pPr>
              <w:rPr>
                <w:sz w:val="20"/>
                <w:szCs w:val="20"/>
              </w:rPr>
            </w:pPr>
            <w:r w:rsidRPr="00FA3F57">
              <w:rPr>
                <w:sz w:val="20"/>
                <w:szCs w:val="20"/>
              </w:rPr>
              <w:t xml:space="preserve">2027. </w:t>
            </w:r>
            <w:r w:rsidRPr="00F07779">
              <w:rPr>
                <w:sz w:val="20"/>
                <w:szCs w:val="20"/>
              </w:rPr>
              <w:t>Construction</w:t>
            </w:r>
          </w:p>
        </w:tc>
      </w:tr>
      <w:tr w:rsidR="0094644B" w:rsidRPr="00F07779" w14:paraId="340BC4E7" w14:textId="77777777" w:rsidTr="00FB5086">
        <w:tc>
          <w:tcPr>
            <w:tcW w:w="2973" w:type="dxa"/>
          </w:tcPr>
          <w:p w14:paraId="7484D5C3" w14:textId="77777777" w:rsidR="0094644B" w:rsidRPr="00FA3F57" w:rsidRDefault="0094644B" w:rsidP="00FB5086">
            <w:pPr>
              <w:rPr>
                <w:sz w:val="20"/>
                <w:szCs w:val="20"/>
              </w:rPr>
            </w:pPr>
            <w:r w:rsidRPr="00FA3F57">
              <w:rPr>
                <w:sz w:val="20"/>
                <w:szCs w:val="20"/>
              </w:rPr>
              <w:t>Institutions responsible for the implementation of measures and activities</w:t>
            </w:r>
          </w:p>
        </w:tc>
        <w:tc>
          <w:tcPr>
            <w:tcW w:w="5667" w:type="dxa"/>
          </w:tcPr>
          <w:p w14:paraId="27098A4F" w14:textId="77777777" w:rsidR="0094644B" w:rsidRPr="00FA3F57" w:rsidRDefault="0094644B" w:rsidP="00FB5086">
            <w:pPr>
              <w:rPr>
                <w:sz w:val="20"/>
                <w:szCs w:val="20"/>
              </w:rPr>
            </w:pPr>
            <w:r w:rsidRPr="00FA3F57">
              <w:rPr>
                <w:sz w:val="20"/>
                <w:szCs w:val="20"/>
              </w:rPr>
              <w:t>EPS JSC Belgrade</w:t>
            </w:r>
          </w:p>
        </w:tc>
      </w:tr>
      <w:tr w:rsidR="0094644B" w:rsidRPr="00F07779" w14:paraId="2F979A35" w14:textId="77777777" w:rsidTr="00FB5086">
        <w:tc>
          <w:tcPr>
            <w:tcW w:w="2973" w:type="dxa"/>
          </w:tcPr>
          <w:p w14:paraId="428DA158" w14:textId="77777777" w:rsidR="0094644B" w:rsidRPr="00FA3F57" w:rsidRDefault="0094644B" w:rsidP="00FB5086">
            <w:pPr>
              <w:rPr>
                <w:sz w:val="20"/>
                <w:szCs w:val="20"/>
              </w:rPr>
            </w:pPr>
            <w:r w:rsidRPr="00FA3F57">
              <w:rPr>
                <w:sz w:val="20"/>
                <w:szCs w:val="20"/>
              </w:rPr>
              <w:t>Institutions responsible for monitoring implementation and reporting on the realization</w:t>
            </w:r>
          </w:p>
        </w:tc>
        <w:tc>
          <w:tcPr>
            <w:tcW w:w="5667" w:type="dxa"/>
          </w:tcPr>
          <w:p w14:paraId="4E737520" w14:textId="77777777" w:rsidR="0094644B" w:rsidRPr="00F07779" w:rsidRDefault="0094644B" w:rsidP="00FB5086">
            <w:pPr>
              <w:rPr>
                <w:sz w:val="20"/>
                <w:szCs w:val="20"/>
              </w:rPr>
            </w:pPr>
            <w:r w:rsidRPr="00FA3F57">
              <w:rPr>
                <w:sz w:val="20"/>
                <w:szCs w:val="20"/>
              </w:rPr>
              <w:t>EPS JSC Belgrade</w:t>
            </w:r>
          </w:p>
          <w:p w14:paraId="3E612364" w14:textId="77777777" w:rsidR="0094644B" w:rsidRPr="00FA3F57" w:rsidRDefault="0094644B" w:rsidP="00FB5086">
            <w:pPr>
              <w:rPr>
                <w:sz w:val="20"/>
                <w:szCs w:val="20"/>
              </w:rPr>
            </w:pPr>
            <w:r w:rsidRPr="00F07779">
              <w:rPr>
                <w:sz w:val="20"/>
                <w:szCs w:val="20"/>
              </w:rPr>
              <w:t>Ministry of Mining and Energy</w:t>
            </w:r>
          </w:p>
        </w:tc>
      </w:tr>
      <w:tr w:rsidR="0094644B" w:rsidRPr="00F07779" w14:paraId="46BC18B9" w14:textId="77777777" w:rsidTr="00FB5086">
        <w:tc>
          <w:tcPr>
            <w:tcW w:w="2973" w:type="dxa"/>
          </w:tcPr>
          <w:p w14:paraId="6603A5CA" w14:textId="77777777" w:rsidR="0094644B" w:rsidRPr="00FA3F57" w:rsidRDefault="0094644B" w:rsidP="00FB5086">
            <w:pPr>
              <w:rPr>
                <w:sz w:val="20"/>
                <w:szCs w:val="20"/>
              </w:rPr>
            </w:pPr>
            <w:r w:rsidRPr="00FA3F57">
              <w:rPr>
                <w:sz w:val="20"/>
                <w:szCs w:val="20"/>
              </w:rPr>
              <w:t>Year of project funding start</w:t>
            </w:r>
          </w:p>
        </w:tc>
        <w:tc>
          <w:tcPr>
            <w:tcW w:w="5667" w:type="dxa"/>
          </w:tcPr>
          <w:p w14:paraId="34FC1B9D" w14:textId="77777777" w:rsidR="0094644B" w:rsidRPr="00FA3F57" w:rsidRDefault="0094644B" w:rsidP="00FB5086">
            <w:pPr>
              <w:rPr>
                <w:sz w:val="20"/>
                <w:szCs w:val="20"/>
              </w:rPr>
            </w:pPr>
            <w:r w:rsidRPr="00FA3F57">
              <w:rPr>
                <w:sz w:val="20"/>
                <w:szCs w:val="20"/>
              </w:rPr>
              <w:t>2024.</w:t>
            </w:r>
          </w:p>
        </w:tc>
      </w:tr>
      <w:tr w:rsidR="0094644B" w:rsidRPr="00F07779" w14:paraId="37C45C52" w14:textId="77777777" w:rsidTr="00FB5086">
        <w:tc>
          <w:tcPr>
            <w:tcW w:w="2973" w:type="dxa"/>
          </w:tcPr>
          <w:p w14:paraId="390D3E02" w14:textId="77777777" w:rsidR="0094644B" w:rsidRPr="00FA3F57" w:rsidRDefault="0094644B" w:rsidP="00FB5086">
            <w:pPr>
              <w:rPr>
                <w:sz w:val="20"/>
                <w:szCs w:val="20"/>
              </w:rPr>
            </w:pPr>
            <w:r w:rsidRPr="00FA3F57">
              <w:rPr>
                <w:sz w:val="20"/>
                <w:szCs w:val="20"/>
              </w:rPr>
              <w:t>Year of completion of project funding</w:t>
            </w:r>
          </w:p>
        </w:tc>
        <w:tc>
          <w:tcPr>
            <w:tcW w:w="5667" w:type="dxa"/>
          </w:tcPr>
          <w:p w14:paraId="4C10B389" w14:textId="77777777" w:rsidR="0094644B" w:rsidRPr="00FA3F57" w:rsidRDefault="0094644B" w:rsidP="00FB5086">
            <w:pPr>
              <w:rPr>
                <w:sz w:val="20"/>
                <w:szCs w:val="20"/>
              </w:rPr>
            </w:pPr>
            <w:r w:rsidRPr="00FA3F57">
              <w:rPr>
                <w:sz w:val="20"/>
                <w:szCs w:val="20"/>
              </w:rPr>
              <w:t>2028.</w:t>
            </w:r>
          </w:p>
        </w:tc>
      </w:tr>
      <w:tr w:rsidR="0094644B" w:rsidRPr="00F07779" w14:paraId="4A6DC565" w14:textId="77777777" w:rsidTr="00FB5086">
        <w:tc>
          <w:tcPr>
            <w:tcW w:w="2973" w:type="dxa"/>
          </w:tcPr>
          <w:p w14:paraId="03168F8F" w14:textId="77777777" w:rsidR="0094644B" w:rsidRPr="00FA3F57" w:rsidRDefault="0094644B" w:rsidP="00FB5086">
            <w:pPr>
              <w:rPr>
                <w:sz w:val="20"/>
                <w:szCs w:val="20"/>
              </w:rPr>
            </w:pPr>
            <w:r w:rsidRPr="00FA3F57">
              <w:rPr>
                <w:sz w:val="20"/>
                <w:szCs w:val="20"/>
              </w:rPr>
              <w:t>Total project value</w:t>
            </w:r>
            <w:r w:rsidRPr="00FA3F57">
              <w:rPr>
                <w:sz w:val="20"/>
                <w:szCs w:val="20"/>
              </w:rPr>
              <w:br/>
              <w:t>(in thousands of RSD)</w:t>
            </w:r>
          </w:p>
        </w:tc>
        <w:tc>
          <w:tcPr>
            <w:tcW w:w="5667" w:type="dxa"/>
          </w:tcPr>
          <w:p w14:paraId="138E054B" w14:textId="77777777" w:rsidR="0094644B" w:rsidRPr="00FA3F57" w:rsidRDefault="0094644B" w:rsidP="00FB5086">
            <w:pPr>
              <w:rPr>
                <w:sz w:val="20"/>
                <w:szCs w:val="20"/>
              </w:rPr>
            </w:pPr>
            <w:r w:rsidRPr="00F07779">
              <w:rPr>
                <w:color w:val="000000"/>
                <w:sz w:val="20"/>
                <w:szCs w:val="20"/>
              </w:rPr>
              <w:t>16</w:t>
            </w:r>
            <w:r w:rsidRPr="00FA3F57">
              <w:rPr>
                <w:color w:val="000000"/>
                <w:sz w:val="20"/>
                <w:szCs w:val="20"/>
              </w:rPr>
              <w:t>,</w:t>
            </w:r>
            <w:r w:rsidRPr="00F07779">
              <w:rPr>
                <w:color w:val="000000"/>
                <w:sz w:val="20"/>
                <w:szCs w:val="20"/>
              </w:rPr>
              <w:t>884</w:t>
            </w:r>
            <w:r w:rsidRPr="00FA3F57">
              <w:rPr>
                <w:color w:val="000000"/>
                <w:sz w:val="20"/>
                <w:szCs w:val="20"/>
              </w:rPr>
              <w:t>,</w:t>
            </w:r>
            <w:r w:rsidRPr="00F07779">
              <w:rPr>
                <w:color w:val="000000"/>
                <w:sz w:val="20"/>
                <w:szCs w:val="20"/>
              </w:rPr>
              <w:t>000</w:t>
            </w:r>
            <w:r w:rsidRPr="00FA3F57">
              <w:rPr>
                <w:color w:val="000000"/>
                <w:sz w:val="20"/>
                <w:szCs w:val="20"/>
              </w:rPr>
              <w:t xml:space="preserve"> </w:t>
            </w:r>
            <w:r w:rsidRPr="00FA3F57">
              <w:rPr>
                <w:sz w:val="20"/>
                <w:szCs w:val="20"/>
              </w:rPr>
              <w:t>(144 million EUR)</w:t>
            </w:r>
          </w:p>
        </w:tc>
      </w:tr>
      <w:tr w:rsidR="0094644B" w:rsidRPr="00F07779" w14:paraId="4131E2A8" w14:textId="77777777" w:rsidTr="00FB5086">
        <w:tc>
          <w:tcPr>
            <w:tcW w:w="2973" w:type="dxa"/>
          </w:tcPr>
          <w:p w14:paraId="703A988B" w14:textId="77777777" w:rsidR="0094644B" w:rsidRPr="00FA3F57" w:rsidRDefault="0094644B" w:rsidP="00FB5086">
            <w:pPr>
              <w:rPr>
                <w:sz w:val="20"/>
                <w:szCs w:val="20"/>
              </w:rPr>
            </w:pPr>
            <w:r w:rsidRPr="00FA3F57">
              <w:rPr>
                <w:sz w:val="20"/>
                <w:szCs w:val="20"/>
              </w:rPr>
              <w:t>Planned investments for 2026.</w:t>
            </w:r>
            <w:r w:rsidRPr="00FA3F57">
              <w:rPr>
                <w:sz w:val="20"/>
                <w:szCs w:val="20"/>
              </w:rPr>
              <w:br/>
              <w:t>(in thousands of RSD)</w:t>
            </w:r>
          </w:p>
        </w:tc>
        <w:tc>
          <w:tcPr>
            <w:tcW w:w="5667" w:type="dxa"/>
          </w:tcPr>
          <w:p w14:paraId="12FAF912" w14:textId="77777777" w:rsidR="0094644B" w:rsidRPr="00FA3F57" w:rsidRDefault="0094644B" w:rsidP="00FB5086">
            <w:pPr>
              <w:rPr>
                <w:sz w:val="20"/>
                <w:szCs w:val="20"/>
              </w:rPr>
            </w:pPr>
            <w:r w:rsidRPr="00FA3F57">
              <w:rPr>
                <w:sz w:val="20"/>
                <w:szCs w:val="20"/>
              </w:rPr>
              <w:t xml:space="preserve">10,801,070 </w:t>
            </w:r>
            <w:r w:rsidRPr="00F07779">
              <w:rPr>
                <w:sz w:val="20"/>
                <w:szCs w:val="20"/>
              </w:rPr>
              <w:t>(own funds of EPS JSC)</w:t>
            </w:r>
          </w:p>
        </w:tc>
      </w:tr>
      <w:tr w:rsidR="0094644B" w:rsidRPr="00F07779" w14:paraId="13F5975D" w14:textId="77777777" w:rsidTr="00FB5086">
        <w:tc>
          <w:tcPr>
            <w:tcW w:w="2973" w:type="dxa"/>
          </w:tcPr>
          <w:p w14:paraId="31D12CEF" w14:textId="77777777" w:rsidR="0094644B" w:rsidRPr="00FA3F57" w:rsidRDefault="0094644B" w:rsidP="00FB5086">
            <w:pPr>
              <w:rPr>
                <w:sz w:val="20"/>
                <w:szCs w:val="20"/>
              </w:rPr>
            </w:pPr>
            <w:r w:rsidRPr="00FA3F57">
              <w:rPr>
                <w:sz w:val="20"/>
                <w:szCs w:val="20"/>
              </w:rPr>
              <w:t>Planned investments for 2027.</w:t>
            </w:r>
            <w:r w:rsidRPr="00FA3F57">
              <w:rPr>
                <w:sz w:val="20"/>
                <w:szCs w:val="20"/>
              </w:rPr>
              <w:br/>
              <w:t>(in thousands of RSD)</w:t>
            </w:r>
          </w:p>
        </w:tc>
        <w:tc>
          <w:tcPr>
            <w:tcW w:w="5667" w:type="dxa"/>
          </w:tcPr>
          <w:p w14:paraId="40B5A7DD" w14:textId="77777777" w:rsidR="0094644B" w:rsidRPr="00FA3F57" w:rsidRDefault="0094644B" w:rsidP="00FB5086">
            <w:pPr>
              <w:rPr>
                <w:sz w:val="20"/>
                <w:szCs w:val="20"/>
              </w:rPr>
            </w:pPr>
            <w:r w:rsidRPr="00FA3F57">
              <w:rPr>
                <w:sz w:val="20"/>
                <w:szCs w:val="20"/>
              </w:rPr>
              <w:t xml:space="preserve">656,600 </w:t>
            </w:r>
            <w:r w:rsidRPr="00F07779">
              <w:rPr>
                <w:sz w:val="20"/>
                <w:szCs w:val="20"/>
              </w:rPr>
              <w:t>(own funds of EPS JSC)</w:t>
            </w:r>
          </w:p>
        </w:tc>
      </w:tr>
      <w:tr w:rsidR="0094644B" w:rsidRPr="00F07779" w14:paraId="0EFD3B65" w14:textId="77777777" w:rsidTr="00FB5086">
        <w:trPr>
          <w:trHeight w:val="193"/>
        </w:trPr>
        <w:tc>
          <w:tcPr>
            <w:tcW w:w="2973" w:type="dxa"/>
          </w:tcPr>
          <w:p w14:paraId="4FBC889A" w14:textId="77777777" w:rsidR="0094644B" w:rsidRPr="00FA3F57" w:rsidRDefault="0094644B" w:rsidP="00FB5086">
            <w:pPr>
              <w:rPr>
                <w:sz w:val="20"/>
                <w:szCs w:val="20"/>
              </w:rPr>
            </w:pPr>
            <w:r w:rsidRPr="00FA3F57">
              <w:rPr>
                <w:sz w:val="20"/>
                <w:szCs w:val="20"/>
              </w:rPr>
              <w:t>Planned investments for 2028.</w:t>
            </w:r>
            <w:r w:rsidRPr="00FA3F57">
              <w:rPr>
                <w:sz w:val="20"/>
                <w:szCs w:val="20"/>
              </w:rPr>
              <w:br/>
              <w:t>(in thousands of RSD)</w:t>
            </w:r>
          </w:p>
        </w:tc>
        <w:tc>
          <w:tcPr>
            <w:tcW w:w="5667" w:type="dxa"/>
          </w:tcPr>
          <w:p w14:paraId="0ED1502B" w14:textId="77777777" w:rsidR="0094644B" w:rsidRPr="00FA3F57" w:rsidRDefault="0094644B" w:rsidP="00FB5086">
            <w:pPr>
              <w:rPr>
                <w:sz w:val="20"/>
                <w:szCs w:val="20"/>
              </w:rPr>
            </w:pPr>
            <w:r w:rsidRPr="00FA3F57">
              <w:rPr>
                <w:sz w:val="20"/>
                <w:szCs w:val="20"/>
              </w:rPr>
              <w:t>/</w:t>
            </w:r>
          </w:p>
        </w:tc>
      </w:tr>
    </w:tbl>
    <w:p w14:paraId="23DC46E4" w14:textId="77777777" w:rsidR="0094644B" w:rsidRPr="00FA3F57" w:rsidRDefault="0094644B" w:rsidP="0094644B">
      <w:pPr>
        <w:tabs>
          <w:tab w:val="left" w:pos="1276"/>
          <w:tab w:val="left" w:pos="1560"/>
        </w:tabs>
      </w:pPr>
    </w:p>
    <w:tbl>
      <w:tblPr>
        <w:tblStyle w:val="TableGrid"/>
        <w:tblW w:w="0" w:type="auto"/>
        <w:tblLook w:val="04A0" w:firstRow="1" w:lastRow="0" w:firstColumn="1" w:lastColumn="0" w:noHBand="0" w:noVBand="1"/>
      </w:tblPr>
      <w:tblGrid>
        <w:gridCol w:w="2973"/>
        <w:gridCol w:w="5667"/>
      </w:tblGrid>
      <w:tr w:rsidR="0094644B" w:rsidRPr="00F07779" w14:paraId="71D0621A"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987151" w14:textId="77777777" w:rsidR="0094644B" w:rsidRPr="00FA3F57" w:rsidRDefault="0094644B" w:rsidP="00FB5086">
            <w:pPr>
              <w:rPr>
                <w:kern w:val="2"/>
                <w:sz w:val="20"/>
                <w:szCs w:val="20"/>
                <w:lang w:eastAsia="en-US"/>
              </w:rPr>
            </w:pPr>
            <w:r w:rsidRPr="00FA3F57">
              <w:rPr>
                <w:sz w:val="20"/>
                <w:szCs w:val="20"/>
              </w:rPr>
              <w:t>Activity EL1.1</w:t>
            </w:r>
          </w:p>
        </w:tc>
        <w:tc>
          <w:tcPr>
            <w:tcW w:w="566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401E1E" w14:textId="77777777" w:rsidR="0094644B" w:rsidRPr="00FA3F57" w:rsidRDefault="0094644B" w:rsidP="00FB5086">
            <w:pPr>
              <w:rPr>
                <w:rFonts w:ascii="Aptos" w:eastAsiaTheme="minorHAnsi" w:hAnsi="Aptos" w:cs="Calibri"/>
                <w:kern w:val="2"/>
                <w:sz w:val="20"/>
                <w:szCs w:val="20"/>
              </w:rPr>
            </w:pPr>
            <w:r w:rsidRPr="00FA3F57">
              <w:rPr>
                <w:sz w:val="20"/>
                <w:szCs w:val="20"/>
              </w:rPr>
              <w:t>Investment projects of revitalization (reconstruction) and modernization of power plants</w:t>
            </w:r>
          </w:p>
        </w:tc>
      </w:tr>
      <w:tr w:rsidR="0094644B" w:rsidRPr="00F07779" w14:paraId="550646C2"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2506D5D" w14:textId="77777777" w:rsidR="0094644B" w:rsidRPr="00FA3F57" w:rsidRDefault="0094644B" w:rsidP="00FB5086">
            <w:pPr>
              <w:rPr>
                <w:kern w:val="2"/>
                <w:sz w:val="20"/>
                <w:szCs w:val="20"/>
              </w:rPr>
            </w:pPr>
            <w:r w:rsidRPr="00FA3F57">
              <w:rPr>
                <w:sz w:val="20"/>
                <w:szCs w:val="20"/>
              </w:rPr>
              <w:t>Name of the project</w:t>
            </w:r>
          </w:p>
        </w:tc>
        <w:tc>
          <w:tcPr>
            <w:tcW w:w="566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280749B" w14:textId="77777777" w:rsidR="0094644B" w:rsidRPr="00FA3F57" w:rsidRDefault="0094644B" w:rsidP="00FB5086">
            <w:pPr>
              <w:rPr>
                <w:kern w:val="2"/>
                <w:sz w:val="20"/>
                <w:szCs w:val="20"/>
              </w:rPr>
            </w:pPr>
            <w:r w:rsidRPr="00F07779">
              <w:rPr>
                <w:sz w:val="20"/>
                <w:szCs w:val="20"/>
              </w:rPr>
              <w:t>Construction of a new coal landfill and transport system from the port to the landfill at TENT B</w:t>
            </w:r>
          </w:p>
        </w:tc>
      </w:tr>
      <w:tr w:rsidR="0094644B" w:rsidRPr="00F07779" w14:paraId="6D9D1BE1"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6CD56241" w14:textId="77777777" w:rsidR="0094644B" w:rsidRPr="00FA3F57" w:rsidRDefault="0094644B" w:rsidP="00FB5086">
            <w:pPr>
              <w:rPr>
                <w:kern w:val="2"/>
                <w:sz w:val="20"/>
                <w:szCs w:val="20"/>
              </w:rPr>
            </w:pPr>
            <w:r w:rsidRPr="00FA3F57">
              <w:rPr>
                <w:sz w:val="20"/>
                <w:szCs w:val="20"/>
              </w:rPr>
              <w:t>Short description of the investment</w:t>
            </w:r>
          </w:p>
        </w:tc>
        <w:tc>
          <w:tcPr>
            <w:tcW w:w="5667" w:type="dxa"/>
            <w:tcBorders>
              <w:top w:val="single" w:sz="4" w:space="0" w:color="auto"/>
              <w:left w:val="single" w:sz="4" w:space="0" w:color="auto"/>
              <w:bottom w:val="single" w:sz="4" w:space="0" w:color="auto"/>
              <w:right w:val="single" w:sz="4" w:space="0" w:color="auto"/>
            </w:tcBorders>
            <w:hideMark/>
          </w:tcPr>
          <w:p w14:paraId="51275963" w14:textId="77777777" w:rsidR="0094644B" w:rsidRPr="00FA3F57" w:rsidRDefault="0094644B" w:rsidP="00FB5086">
            <w:pPr>
              <w:rPr>
                <w:kern w:val="2"/>
                <w:sz w:val="20"/>
                <w:szCs w:val="20"/>
              </w:rPr>
            </w:pPr>
            <w:r w:rsidRPr="00F07779">
              <w:rPr>
                <w:sz w:val="20"/>
                <w:szCs w:val="20"/>
              </w:rPr>
              <w:t xml:space="preserve">This project involves the construction of additional storage capacities for external coal, which will enable more efficient blending of external coals with coal from the </w:t>
            </w:r>
            <w:proofErr w:type="spellStart"/>
            <w:r w:rsidRPr="00FA3F57">
              <w:rPr>
                <w:sz w:val="20"/>
                <w:szCs w:val="20"/>
              </w:rPr>
              <w:t>Kolubara</w:t>
            </w:r>
            <w:proofErr w:type="spellEnd"/>
            <w:r w:rsidRPr="00FA3F57">
              <w:rPr>
                <w:sz w:val="20"/>
                <w:szCs w:val="20"/>
              </w:rPr>
              <w:t xml:space="preserve"> Mining Basin</w:t>
            </w:r>
            <w:r w:rsidRPr="00F07779">
              <w:rPr>
                <w:sz w:val="20"/>
                <w:szCs w:val="20"/>
              </w:rPr>
              <w:t>, thus maintaining consistent coal quality and ensuring more reliable operation of TENT B units.</w:t>
            </w:r>
          </w:p>
        </w:tc>
      </w:tr>
      <w:tr w:rsidR="0094644B" w:rsidRPr="00F07779" w14:paraId="3B9F81D1"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3F437CAD" w14:textId="77777777" w:rsidR="0094644B" w:rsidRPr="00FA3F57" w:rsidRDefault="0094644B" w:rsidP="00FB5086">
            <w:pPr>
              <w:rPr>
                <w:kern w:val="2"/>
                <w:sz w:val="20"/>
                <w:szCs w:val="20"/>
              </w:rPr>
            </w:pPr>
            <w:r w:rsidRPr="00FA3F57">
              <w:rPr>
                <w:sz w:val="20"/>
                <w:szCs w:val="20"/>
              </w:rPr>
              <w:t>Institutions responsible for the implementation of measures and activities</w:t>
            </w:r>
          </w:p>
        </w:tc>
        <w:tc>
          <w:tcPr>
            <w:tcW w:w="5667" w:type="dxa"/>
            <w:tcBorders>
              <w:top w:val="single" w:sz="4" w:space="0" w:color="auto"/>
              <w:left w:val="single" w:sz="4" w:space="0" w:color="auto"/>
              <w:bottom w:val="single" w:sz="4" w:space="0" w:color="auto"/>
              <w:right w:val="single" w:sz="4" w:space="0" w:color="auto"/>
            </w:tcBorders>
            <w:hideMark/>
          </w:tcPr>
          <w:p w14:paraId="1B12CF18" w14:textId="77777777" w:rsidR="0094644B" w:rsidRPr="00FA3F57" w:rsidRDefault="0094644B" w:rsidP="00FB5086">
            <w:pPr>
              <w:rPr>
                <w:kern w:val="2"/>
                <w:sz w:val="20"/>
                <w:szCs w:val="20"/>
              </w:rPr>
            </w:pPr>
            <w:r w:rsidRPr="00FA3F57">
              <w:rPr>
                <w:sz w:val="20"/>
                <w:szCs w:val="20"/>
              </w:rPr>
              <w:t>EPS JSC Belgrade</w:t>
            </w:r>
          </w:p>
        </w:tc>
      </w:tr>
      <w:tr w:rsidR="0094644B" w:rsidRPr="00F07779" w14:paraId="10F5B670"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71440E4F" w14:textId="77777777" w:rsidR="0094644B" w:rsidRPr="00FA3F57" w:rsidRDefault="0094644B" w:rsidP="00FB5086">
            <w:pPr>
              <w:rPr>
                <w:sz w:val="20"/>
                <w:szCs w:val="20"/>
              </w:rPr>
            </w:pPr>
            <w:r w:rsidRPr="00FA3F57">
              <w:rPr>
                <w:sz w:val="20"/>
                <w:szCs w:val="20"/>
              </w:rPr>
              <w:t>Institutions responsible for monitoring implementation and reporting on the realization</w:t>
            </w:r>
          </w:p>
        </w:tc>
        <w:tc>
          <w:tcPr>
            <w:tcW w:w="5667" w:type="dxa"/>
            <w:tcBorders>
              <w:top w:val="single" w:sz="4" w:space="0" w:color="auto"/>
              <w:left w:val="single" w:sz="4" w:space="0" w:color="auto"/>
              <w:bottom w:val="single" w:sz="4" w:space="0" w:color="auto"/>
              <w:right w:val="single" w:sz="4" w:space="0" w:color="auto"/>
            </w:tcBorders>
            <w:hideMark/>
          </w:tcPr>
          <w:p w14:paraId="5AE5CF4E" w14:textId="77777777" w:rsidR="0094644B" w:rsidRPr="00F07779" w:rsidRDefault="0094644B" w:rsidP="00FB5086">
            <w:pPr>
              <w:rPr>
                <w:sz w:val="20"/>
                <w:szCs w:val="20"/>
              </w:rPr>
            </w:pPr>
            <w:r w:rsidRPr="00FA3F57">
              <w:rPr>
                <w:sz w:val="20"/>
                <w:szCs w:val="20"/>
              </w:rPr>
              <w:t>EPS JSC Belgrade</w:t>
            </w:r>
          </w:p>
          <w:p w14:paraId="3D4EBEAD" w14:textId="77777777" w:rsidR="0094644B" w:rsidRPr="00FA3F57" w:rsidRDefault="0094644B" w:rsidP="00FB5086">
            <w:pPr>
              <w:rPr>
                <w:kern w:val="2"/>
                <w:sz w:val="20"/>
                <w:szCs w:val="20"/>
              </w:rPr>
            </w:pPr>
            <w:r w:rsidRPr="00F07779">
              <w:rPr>
                <w:sz w:val="20"/>
                <w:szCs w:val="20"/>
              </w:rPr>
              <w:t>Ministry of Mining and Energy</w:t>
            </w:r>
          </w:p>
        </w:tc>
      </w:tr>
      <w:tr w:rsidR="0094644B" w:rsidRPr="00F07779" w14:paraId="546AAED1"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3D649405" w14:textId="77777777" w:rsidR="0094644B" w:rsidRPr="00FA3F57" w:rsidRDefault="0094644B" w:rsidP="00FB5086">
            <w:pPr>
              <w:rPr>
                <w:kern w:val="2"/>
                <w:sz w:val="20"/>
                <w:szCs w:val="20"/>
              </w:rPr>
            </w:pPr>
            <w:r w:rsidRPr="00FA3F57">
              <w:rPr>
                <w:sz w:val="20"/>
                <w:szCs w:val="20"/>
              </w:rPr>
              <w:t>Year of project funding start</w:t>
            </w:r>
          </w:p>
        </w:tc>
        <w:tc>
          <w:tcPr>
            <w:tcW w:w="5667" w:type="dxa"/>
            <w:tcBorders>
              <w:top w:val="single" w:sz="4" w:space="0" w:color="auto"/>
              <w:left w:val="single" w:sz="4" w:space="0" w:color="auto"/>
              <w:bottom w:val="single" w:sz="4" w:space="0" w:color="auto"/>
              <w:right w:val="single" w:sz="4" w:space="0" w:color="auto"/>
            </w:tcBorders>
            <w:hideMark/>
          </w:tcPr>
          <w:p w14:paraId="568F5989" w14:textId="77777777" w:rsidR="0094644B" w:rsidRPr="00FA3F57" w:rsidRDefault="0094644B" w:rsidP="00FB5086">
            <w:pPr>
              <w:rPr>
                <w:kern w:val="2"/>
                <w:sz w:val="20"/>
                <w:szCs w:val="20"/>
              </w:rPr>
            </w:pPr>
            <w:r w:rsidRPr="00FA3F57">
              <w:rPr>
                <w:sz w:val="20"/>
                <w:szCs w:val="20"/>
              </w:rPr>
              <w:t>2026.</w:t>
            </w:r>
          </w:p>
        </w:tc>
      </w:tr>
      <w:tr w:rsidR="0094644B" w:rsidRPr="00F07779" w14:paraId="5680178F"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1BC15DCC" w14:textId="77777777" w:rsidR="0094644B" w:rsidRPr="00FA3F57" w:rsidRDefault="0094644B" w:rsidP="00FB5086">
            <w:pPr>
              <w:rPr>
                <w:kern w:val="2"/>
                <w:sz w:val="20"/>
                <w:szCs w:val="20"/>
              </w:rPr>
            </w:pPr>
            <w:r w:rsidRPr="00FA3F57">
              <w:rPr>
                <w:sz w:val="20"/>
                <w:szCs w:val="20"/>
              </w:rPr>
              <w:t>Year of completion of project funding</w:t>
            </w:r>
          </w:p>
        </w:tc>
        <w:tc>
          <w:tcPr>
            <w:tcW w:w="5667" w:type="dxa"/>
            <w:tcBorders>
              <w:top w:val="single" w:sz="4" w:space="0" w:color="auto"/>
              <w:left w:val="single" w:sz="4" w:space="0" w:color="auto"/>
              <w:bottom w:val="single" w:sz="4" w:space="0" w:color="auto"/>
              <w:right w:val="single" w:sz="4" w:space="0" w:color="auto"/>
            </w:tcBorders>
            <w:hideMark/>
          </w:tcPr>
          <w:p w14:paraId="643814BA" w14:textId="77777777" w:rsidR="0094644B" w:rsidRPr="00FA3F57" w:rsidRDefault="0094644B" w:rsidP="00FB5086">
            <w:pPr>
              <w:rPr>
                <w:kern w:val="2"/>
                <w:sz w:val="20"/>
                <w:szCs w:val="20"/>
              </w:rPr>
            </w:pPr>
            <w:r w:rsidRPr="00FA3F57">
              <w:rPr>
                <w:sz w:val="20"/>
                <w:szCs w:val="20"/>
              </w:rPr>
              <w:t>2028.</w:t>
            </w:r>
          </w:p>
        </w:tc>
      </w:tr>
      <w:tr w:rsidR="0094644B" w:rsidRPr="00F07779" w14:paraId="4D3B8D6A"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0B14A9AF" w14:textId="77777777" w:rsidR="0094644B" w:rsidRPr="00FA3F57" w:rsidRDefault="0094644B" w:rsidP="00FB5086">
            <w:pPr>
              <w:rPr>
                <w:kern w:val="2"/>
                <w:sz w:val="20"/>
                <w:szCs w:val="20"/>
              </w:rPr>
            </w:pPr>
            <w:r w:rsidRPr="00FA3F57">
              <w:rPr>
                <w:sz w:val="20"/>
                <w:szCs w:val="20"/>
              </w:rPr>
              <w:t>Total project value</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32BE6528" w14:textId="77777777" w:rsidR="0094644B" w:rsidRPr="00FA3F57" w:rsidRDefault="0094644B" w:rsidP="00FB5086">
            <w:pPr>
              <w:rPr>
                <w:kern w:val="2"/>
                <w:sz w:val="20"/>
                <w:szCs w:val="20"/>
              </w:rPr>
            </w:pPr>
            <w:r w:rsidRPr="00FA3F57">
              <w:rPr>
                <w:sz w:val="20"/>
                <w:szCs w:val="20"/>
              </w:rPr>
              <w:t>5,276,250 (45 million EUR)</w:t>
            </w:r>
          </w:p>
        </w:tc>
      </w:tr>
      <w:tr w:rsidR="0094644B" w:rsidRPr="00F07779" w14:paraId="3B0F0D68"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00AD0C34" w14:textId="77777777" w:rsidR="0094644B" w:rsidRPr="00FA3F57" w:rsidRDefault="0094644B" w:rsidP="00FB5086">
            <w:pPr>
              <w:rPr>
                <w:kern w:val="2"/>
                <w:sz w:val="20"/>
                <w:szCs w:val="20"/>
              </w:rPr>
            </w:pPr>
            <w:r w:rsidRPr="00FA3F57">
              <w:rPr>
                <w:sz w:val="20"/>
                <w:szCs w:val="20"/>
              </w:rPr>
              <w:lastRenderedPageBreak/>
              <w:t>Planned investments for 2026.</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09B9E190" w14:textId="77777777" w:rsidR="0094644B" w:rsidRPr="00FA3F57" w:rsidRDefault="0094644B" w:rsidP="00FB5086">
            <w:pPr>
              <w:rPr>
                <w:kern w:val="2"/>
                <w:sz w:val="20"/>
                <w:szCs w:val="20"/>
              </w:rPr>
            </w:pPr>
            <w:r w:rsidRPr="00FA3F57">
              <w:rPr>
                <w:sz w:val="20"/>
                <w:szCs w:val="20"/>
              </w:rPr>
              <w:t xml:space="preserve">500,000 </w:t>
            </w:r>
            <w:r w:rsidRPr="00F07779">
              <w:rPr>
                <w:sz w:val="20"/>
                <w:szCs w:val="20"/>
              </w:rPr>
              <w:t>(own funds of EPS JSC)</w:t>
            </w:r>
          </w:p>
        </w:tc>
      </w:tr>
      <w:tr w:rsidR="0094644B" w:rsidRPr="00F07779" w14:paraId="3E361904"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4B8227AF" w14:textId="77777777" w:rsidR="0094644B" w:rsidRPr="00FA3F57" w:rsidRDefault="0094644B" w:rsidP="00FB5086">
            <w:pPr>
              <w:rPr>
                <w:kern w:val="2"/>
                <w:sz w:val="20"/>
                <w:szCs w:val="20"/>
              </w:rPr>
            </w:pPr>
            <w:r w:rsidRPr="00FA3F57">
              <w:rPr>
                <w:sz w:val="20"/>
                <w:szCs w:val="20"/>
              </w:rPr>
              <w:t>Planned investments for 2027.</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5B393F16" w14:textId="77777777" w:rsidR="0094644B" w:rsidRPr="00FA3F57" w:rsidRDefault="0094644B" w:rsidP="00FB5086">
            <w:pPr>
              <w:rPr>
                <w:kern w:val="2"/>
                <w:sz w:val="20"/>
                <w:szCs w:val="20"/>
              </w:rPr>
            </w:pPr>
            <w:r w:rsidRPr="00FA3F57">
              <w:rPr>
                <w:sz w:val="20"/>
                <w:szCs w:val="20"/>
              </w:rPr>
              <w:t xml:space="preserve">500,000 </w:t>
            </w:r>
            <w:r w:rsidRPr="00F07779">
              <w:rPr>
                <w:sz w:val="20"/>
                <w:szCs w:val="20"/>
              </w:rPr>
              <w:t>(own funds of EPS JSC)</w:t>
            </w:r>
          </w:p>
        </w:tc>
      </w:tr>
      <w:tr w:rsidR="0094644B" w:rsidRPr="00F07779" w14:paraId="50147B8F" w14:textId="77777777" w:rsidTr="00FB5086">
        <w:trPr>
          <w:trHeight w:val="193"/>
        </w:trPr>
        <w:tc>
          <w:tcPr>
            <w:tcW w:w="2973" w:type="dxa"/>
            <w:tcBorders>
              <w:top w:val="single" w:sz="4" w:space="0" w:color="auto"/>
              <w:left w:val="single" w:sz="4" w:space="0" w:color="auto"/>
              <w:bottom w:val="single" w:sz="4" w:space="0" w:color="auto"/>
              <w:right w:val="single" w:sz="4" w:space="0" w:color="auto"/>
            </w:tcBorders>
            <w:hideMark/>
          </w:tcPr>
          <w:p w14:paraId="3C6A891E" w14:textId="77777777" w:rsidR="0094644B" w:rsidRPr="00FA3F57" w:rsidRDefault="0094644B" w:rsidP="00FB5086">
            <w:pPr>
              <w:rPr>
                <w:kern w:val="2"/>
                <w:sz w:val="20"/>
                <w:szCs w:val="20"/>
              </w:rPr>
            </w:pPr>
            <w:r w:rsidRPr="00FA3F57">
              <w:rPr>
                <w:sz w:val="20"/>
                <w:szCs w:val="20"/>
              </w:rPr>
              <w:t>Planned investments for 2028.</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5E1B157E" w14:textId="77777777" w:rsidR="0094644B" w:rsidRPr="00FA3F57" w:rsidRDefault="0094644B" w:rsidP="00FB5086">
            <w:pPr>
              <w:rPr>
                <w:kern w:val="2"/>
                <w:sz w:val="20"/>
                <w:szCs w:val="20"/>
              </w:rPr>
            </w:pPr>
            <w:r w:rsidRPr="00FA3F57">
              <w:rPr>
                <w:sz w:val="20"/>
                <w:szCs w:val="20"/>
              </w:rPr>
              <w:t xml:space="preserve">4,276,250 </w:t>
            </w:r>
            <w:r w:rsidRPr="00F07779">
              <w:rPr>
                <w:sz w:val="20"/>
                <w:szCs w:val="20"/>
              </w:rPr>
              <w:t>(own funds of EPS JSC)</w:t>
            </w:r>
          </w:p>
        </w:tc>
      </w:tr>
    </w:tbl>
    <w:p w14:paraId="3CD4EF4C" w14:textId="77777777" w:rsidR="0094644B" w:rsidRPr="00FA3F57" w:rsidRDefault="0094644B" w:rsidP="0094644B">
      <w:pPr>
        <w:tabs>
          <w:tab w:val="left" w:pos="1276"/>
          <w:tab w:val="left" w:pos="1560"/>
        </w:tabs>
      </w:pPr>
    </w:p>
    <w:tbl>
      <w:tblPr>
        <w:tblStyle w:val="TableGrid"/>
        <w:tblW w:w="0" w:type="auto"/>
        <w:tblLook w:val="04A0" w:firstRow="1" w:lastRow="0" w:firstColumn="1" w:lastColumn="0" w:noHBand="0" w:noVBand="1"/>
      </w:tblPr>
      <w:tblGrid>
        <w:gridCol w:w="2973"/>
        <w:gridCol w:w="5667"/>
      </w:tblGrid>
      <w:tr w:rsidR="0094644B" w:rsidRPr="00F07779" w14:paraId="7DD28944" w14:textId="77777777" w:rsidTr="00FB5086">
        <w:tc>
          <w:tcPr>
            <w:tcW w:w="2973" w:type="dxa"/>
            <w:shd w:val="clear" w:color="auto" w:fill="D9D9D9" w:themeFill="background1" w:themeFillShade="D9"/>
          </w:tcPr>
          <w:p w14:paraId="4FED01FD" w14:textId="77777777" w:rsidR="0094644B" w:rsidRPr="00FA3F57" w:rsidRDefault="0094644B" w:rsidP="00FB5086">
            <w:pPr>
              <w:rPr>
                <w:sz w:val="20"/>
                <w:szCs w:val="20"/>
              </w:rPr>
            </w:pPr>
            <w:r w:rsidRPr="00FA3F57">
              <w:rPr>
                <w:sz w:val="20"/>
                <w:szCs w:val="20"/>
              </w:rPr>
              <w:t>Activity EL1.1</w:t>
            </w:r>
          </w:p>
        </w:tc>
        <w:tc>
          <w:tcPr>
            <w:tcW w:w="5667" w:type="dxa"/>
            <w:shd w:val="clear" w:color="auto" w:fill="D9D9D9" w:themeFill="background1" w:themeFillShade="D9"/>
          </w:tcPr>
          <w:p w14:paraId="52721669" w14:textId="77777777" w:rsidR="0094644B" w:rsidRPr="00FA3F57" w:rsidRDefault="0094644B" w:rsidP="00FB5086">
            <w:pPr>
              <w:rPr>
                <w:sz w:val="20"/>
                <w:szCs w:val="20"/>
              </w:rPr>
            </w:pPr>
            <w:r w:rsidRPr="00FA3F57">
              <w:rPr>
                <w:sz w:val="20"/>
                <w:szCs w:val="20"/>
              </w:rPr>
              <w:t>Investment projects of revitalization (reconstruction) and modernization of power plants</w:t>
            </w:r>
          </w:p>
        </w:tc>
      </w:tr>
      <w:tr w:rsidR="0094644B" w:rsidRPr="00F07779" w14:paraId="3FFD1266" w14:textId="77777777" w:rsidTr="00FB5086">
        <w:tc>
          <w:tcPr>
            <w:tcW w:w="2973" w:type="dxa"/>
            <w:shd w:val="clear" w:color="auto" w:fill="D9E2F3" w:themeFill="accent1" w:themeFillTint="33"/>
          </w:tcPr>
          <w:p w14:paraId="10E8EEB7" w14:textId="77777777" w:rsidR="0094644B" w:rsidRPr="00FA3F57" w:rsidRDefault="0094644B" w:rsidP="00FB5086">
            <w:pPr>
              <w:rPr>
                <w:sz w:val="20"/>
                <w:szCs w:val="20"/>
              </w:rPr>
            </w:pPr>
            <w:r w:rsidRPr="00FA3F57">
              <w:rPr>
                <w:sz w:val="20"/>
                <w:szCs w:val="20"/>
              </w:rPr>
              <w:t>Name of the project</w:t>
            </w:r>
          </w:p>
        </w:tc>
        <w:tc>
          <w:tcPr>
            <w:tcW w:w="5667" w:type="dxa"/>
            <w:shd w:val="clear" w:color="auto" w:fill="D9E2F3" w:themeFill="accent1" w:themeFillTint="33"/>
          </w:tcPr>
          <w:p w14:paraId="531AA371" w14:textId="77777777" w:rsidR="0094644B" w:rsidRPr="00FA3F57" w:rsidRDefault="0094644B" w:rsidP="00FB5086">
            <w:pPr>
              <w:rPr>
                <w:sz w:val="20"/>
                <w:szCs w:val="20"/>
              </w:rPr>
            </w:pPr>
            <w:r w:rsidRPr="00FA3F57">
              <w:rPr>
                <w:sz w:val="20"/>
                <w:szCs w:val="20"/>
              </w:rPr>
              <w:t>Project for the construction of a desulfurization plant for TENT B</w:t>
            </w:r>
          </w:p>
        </w:tc>
      </w:tr>
      <w:tr w:rsidR="0094644B" w:rsidRPr="00F07779" w14:paraId="1222D8FA" w14:textId="77777777" w:rsidTr="00FB5086">
        <w:tc>
          <w:tcPr>
            <w:tcW w:w="2973" w:type="dxa"/>
          </w:tcPr>
          <w:p w14:paraId="6AB79F8E" w14:textId="77777777" w:rsidR="0094644B" w:rsidRPr="00FA3F57" w:rsidRDefault="0094644B" w:rsidP="00FB5086">
            <w:pPr>
              <w:rPr>
                <w:sz w:val="20"/>
                <w:szCs w:val="20"/>
              </w:rPr>
            </w:pPr>
            <w:r w:rsidRPr="00FA3F57">
              <w:rPr>
                <w:sz w:val="20"/>
                <w:szCs w:val="20"/>
              </w:rPr>
              <w:t>Short description of the investment</w:t>
            </w:r>
          </w:p>
        </w:tc>
        <w:tc>
          <w:tcPr>
            <w:tcW w:w="5667" w:type="dxa"/>
          </w:tcPr>
          <w:p w14:paraId="2170F5E3" w14:textId="77777777" w:rsidR="0094644B" w:rsidRPr="00F07779" w:rsidRDefault="0094644B" w:rsidP="00FB5086">
            <w:pPr>
              <w:rPr>
                <w:sz w:val="20"/>
                <w:szCs w:val="20"/>
              </w:rPr>
            </w:pPr>
            <w:r w:rsidRPr="00F07779">
              <w:rPr>
                <w:sz w:val="20"/>
                <w:szCs w:val="20"/>
              </w:rPr>
              <w:t>The construction of flue gas desulfurization plants for both units of TENT B is expected to reduce the total amount of sulfur dioxide emissions and bring them down to a level of 130 mg/Nm³, as well as reduce particulate matter emissions below 20 mg/Nm³.</w:t>
            </w:r>
          </w:p>
          <w:p w14:paraId="0595BD24" w14:textId="77777777" w:rsidR="0094644B" w:rsidRPr="00FA3F57" w:rsidRDefault="0094644B" w:rsidP="00FB5086">
            <w:pPr>
              <w:rPr>
                <w:sz w:val="20"/>
                <w:szCs w:val="20"/>
              </w:rPr>
            </w:pPr>
            <w:r w:rsidRPr="00FA3F57">
              <w:rPr>
                <w:sz w:val="20"/>
                <w:szCs w:val="20"/>
              </w:rPr>
              <w:t>Expected dynamics of project implementation:</w:t>
            </w:r>
          </w:p>
          <w:p w14:paraId="5C85BFFB" w14:textId="77777777" w:rsidR="0094644B" w:rsidRPr="00FA3F57" w:rsidRDefault="0094644B" w:rsidP="00FB5086">
            <w:pPr>
              <w:rPr>
                <w:sz w:val="20"/>
                <w:szCs w:val="20"/>
              </w:rPr>
            </w:pPr>
            <w:r w:rsidRPr="00FA3F57">
              <w:rPr>
                <w:sz w:val="20"/>
                <w:szCs w:val="20"/>
              </w:rPr>
              <w:t>2026. Use permit; end of the project</w:t>
            </w:r>
          </w:p>
        </w:tc>
      </w:tr>
      <w:tr w:rsidR="0094644B" w:rsidRPr="00F07779" w14:paraId="37F5CAE1" w14:textId="77777777" w:rsidTr="00FB5086">
        <w:tc>
          <w:tcPr>
            <w:tcW w:w="2973" w:type="dxa"/>
          </w:tcPr>
          <w:p w14:paraId="5DEAABA9" w14:textId="77777777" w:rsidR="0094644B" w:rsidRPr="00FA3F57" w:rsidRDefault="0094644B" w:rsidP="00FB5086">
            <w:pPr>
              <w:rPr>
                <w:sz w:val="20"/>
                <w:szCs w:val="20"/>
              </w:rPr>
            </w:pPr>
            <w:r w:rsidRPr="00FA3F57">
              <w:rPr>
                <w:sz w:val="20"/>
                <w:szCs w:val="20"/>
              </w:rPr>
              <w:t>Institutions responsible for the implementation of measures and activities</w:t>
            </w:r>
          </w:p>
        </w:tc>
        <w:tc>
          <w:tcPr>
            <w:tcW w:w="5667" w:type="dxa"/>
          </w:tcPr>
          <w:p w14:paraId="0EC85F1E" w14:textId="77777777" w:rsidR="0094644B" w:rsidRPr="00FA3F57" w:rsidRDefault="0094644B" w:rsidP="00FB5086">
            <w:pPr>
              <w:rPr>
                <w:sz w:val="20"/>
                <w:szCs w:val="20"/>
              </w:rPr>
            </w:pPr>
            <w:r w:rsidRPr="00FA3F57">
              <w:rPr>
                <w:sz w:val="20"/>
                <w:szCs w:val="20"/>
              </w:rPr>
              <w:t>EPS JSC Belgrade</w:t>
            </w:r>
          </w:p>
        </w:tc>
      </w:tr>
      <w:tr w:rsidR="0094644B" w:rsidRPr="00F07779" w14:paraId="763874F9" w14:textId="77777777" w:rsidTr="00FB5086">
        <w:tc>
          <w:tcPr>
            <w:tcW w:w="2973" w:type="dxa"/>
          </w:tcPr>
          <w:p w14:paraId="6B74F06E" w14:textId="77777777" w:rsidR="0094644B" w:rsidRPr="00FA3F57" w:rsidRDefault="0094644B" w:rsidP="00FB5086">
            <w:pPr>
              <w:rPr>
                <w:sz w:val="20"/>
                <w:szCs w:val="20"/>
              </w:rPr>
            </w:pPr>
            <w:r w:rsidRPr="00FA3F57">
              <w:rPr>
                <w:sz w:val="20"/>
                <w:szCs w:val="20"/>
              </w:rPr>
              <w:t>Institutions responsible for monitoring implementation and reporting on the realization</w:t>
            </w:r>
          </w:p>
        </w:tc>
        <w:tc>
          <w:tcPr>
            <w:tcW w:w="5667" w:type="dxa"/>
          </w:tcPr>
          <w:p w14:paraId="00388BE0" w14:textId="77777777" w:rsidR="0094644B" w:rsidRPr="00F07779" w:rsidRDefault="0094644B" w:rsidP="00FB5086">
            <w:pPr>
              <w:rPr>
                <w:sz w:val="20"/>
                <w:szCs w:val="20"/>
              </w:rPr>
            </w:pPr>
            <w:r w:rsidRPr="00FA3F57">
              <w:rPr>
                <w:sz w:val="20"/>
                <w:szCs w:val="20"/>
              </w:rPr>
              <w:t>EPS JSC Belgrade</w:t>
            </w:r>
          </w:p>
          <w:p w14:paraId="145AB0AC" w14:textId="77777777" w:rsidR="0094644B" w:rsidRPr="00FA3F57" w:rsidRDefault="0094644B" w:rsidP="00FB5086">
            <w:pPr>
              <w:rPr>
                <w:sz w:val="20"/>
                <w:szCs w:val="20"/>
              </w:rPr>
            </w:pPr>
            <w:r w:rsidRPr="00F07779">
              <w:rPr>
                <w:sz w:val="20"/>
                <w:szCs w:val="20"/>
              </w:rPr>
              <w:t>Ministry of Mining and Energy</w:t>
            </w:r>
          </w:p>
        </w:tc>
      </w:tr>
      <w:tr w:rsidR="0094644B" w:rsidRPr="00F07779" w14:paraId="13E213CB" w14:textId="77777777" w:rsidTr="00FB5086">
        <w:tc>
          <w:tcPr>
            <w:tcW w:w="2973" w:type="dxa"/>
          </w:tcPr>
          <w:p w14:paraId="6EEC6F65" w14:textId="77777777" w:rsidR="0094644B" w:rsidRPr="00FA3F57" w:rsidRDefault="0094644B" w:rsidP="00FB5086">
            <w:pPr>
              <w:rPr>
                <w:sz w:val="20"/>
                <w:szCs w:val="20"/>
              </w:rPr>
            </w:pPr>
            <w:r w:rsidRPr="00FA3F57">
              <w:rPr>
                <w:sz w:val="20"/>
                <w:szCs w:val="20"/>
              </w:rPr>
              <w:t>Year of project funding start</w:t>
            </w:r>
          </w:p>
        </w:tc>
        <w:tc>
          <w:tcPr>
            <w:tcW w:w="5667" w:type="dxa"/>
          </w:tcPr>
          <w:p w14:paraId="7F7A5A2B" w14:textId="77777777" w:rsidR="0094644B" w:rsidRPr="00FA3F57" w:rsidRDefault="0094644B" w:rsidP="00FB5086">
            <w:pPr>
              <w:rPr>
                <w:sz w:val="20"/>
                <w:szCs w:val="20"/>
              </w:rPr>
            </w:pPr>
            <w:r w:rsidRPr="00FA3F57">
              <w:rPr>
                <w:sz w:val="20"/>
                <w:szCs w:val="20"/>
              </w:rPr>
              <w:t>2020.</w:t>
            </w:r>
          </w:p>
        </w:tc>
      </w:tr>
      <w:tr w:rsidR="0094644B" w:rsidRPr="00F07779" w14:paraId="7CF92537" w14:textId="77777777" w:rsidTr="00FB5086">
        <w:tc>
          <w:tcPr>
            <w:tcW w:w="2973" w:type="dxa"/>
          </w:tcPr>
          <w:p w14:paraId="631E0313" w14:textId="77777777" w:rsidR="0094644B" w:rsidRPr="00FA3F57" w:rsidRDefault="0094644B" w:rsidP="00FB5086">
            <w:pPr>
              <w:rPr>
                <w:sz w:val="20"/>
                <w:szCs w:val="20"/>
              </w:rPr>
            </w:pPr>
            <w:r w:rsidRPr="00FA3F57">
              <w:rPr>
                <w:sz w:val="20"/>
                <w:szCs w:val="20"/>
              </w:rPr>
              <w:t>Year of completion of project funding</w:t>
            </w:r>
          </w:p>
        </w:tc>
        <w:tc>
          <w:tcPr>
            <w:tcW w:w="5667" w:type="dxa"/>
          </w:tcPr>
          <w:p w14:paraId="1168CFD0" w14:textId="77777777" w:rsidR="0094644B" w:rsidRPr="00FA3F57" w:rsidRDefault="0094644B" w:rsidP="00FB5086">
            <w:pPr>
              <w:rPr>
                <w:sz w:val="20"/>
                <w:szCs w:val="20"/>
              </w:rPr>
            </w:pPr>
            <w:r w:rsidRPr="00FA3F57">
              <w:rPr>
                <w:sz w:val="20"/>
                <w:szCs w:val="20"/>
              </w:rPr>
              <w:t>2026.</w:t>
            </w:r>
          </w:p>
        </w:tc>
      </w:tr>
      <w:tr w:rsidR="0094644B" w:rsidRPr="00F07779" w14:paraId="7FB65984" w14:textId="77777777" w:rsidTr="00FB5086">
        <w:tc>
          <w:tcPr>
            <w:tcW w:w="2973" w:type="dxa"/>
          </w:tcPr>
          <w:p w14:paraId="7D15BA32" w14:textId="77777777" w:rsidR="0094644B" w:rsidRPr="00FA3F57" w:rsidRDefault="0094644B" w:rsidP="00FB5086">
            <w:pPr>
              <w:rPr>
                <w:sz w:val="20"/>
                <w:szCs w:val="20"/>
              </w:rPr>
            </w:pPr>
            <w:r w:rsidRPr="00FA3F57">
              <w:rPr>
                <w:sz w:val="20"/>
                <w:szCs w:val="20"/>
              </w:rPr>
              <w:t>Total project value</w:t>
            </w:r>
            <w:r w:rsidRPr="00FA3F57">
              <w:rPr>
                <w:sz w:val="20"/>
                <w:szCs w:val="20"/>
              </w:rPr>
              <w:br/>
              <w:t>(in thousands of RSD)</w:t>
            </w:r>
          </w:p>
        </w:tc>
        <w:tc>
          <w:tcPr>
            <w:tcW w:w="5667" w:type="dxa"/>
          </w:tcPr>
          <w:p w14:paraId="4594FCE3" w14:textId="77777777" w:rsidR="0094644B" w:rsidRPr="00FA3F57" w:rsidRDefault="0094644B" w:rsidP="00FB5086">
            <w:pPr>
              <w:rPr>
                <w:sz w:val="20"/>
                <w:szCs w:val="20"/>
              </w:rPr>
            </w:pPr>
            <w:r w:rsidRPr="00F07779">
              <w:rPr>
                <w:color w:val="000000"/>
                <w:sz w:val="20"/>
                <w:szCs w:val="20"/>
              </w:rPr>
              <w:t xml:space="preserve">26,517,260 </w:t>
            </w:r>
            <w:r w:rsidRPr="00FA3F57">
              <w:rPr>
                <w:color w:val="000000"/>
                <w:sz w:val="20"/>
                <w:szCs w:val="20"/>
              </w:rPr>
              <w:t>(</w:t>
            </w:r>
            <w:r w:rsidRPr="00FA3F57">
              <w:rPr>
                <w:sz w:val="20"/>
                <w:szCs w:val="20"/>
              </w:rPr>
              <w:t>226.14 million EUR)</w:t>
            </w:r>
          </w:p>
        </w:tc>
      </w:tr>
      <w:tr w:rsidR="0094644B" w:rsidRPr="00F07779" w14:paraId="3B53D172" w14:textId="77777777" w:rsidTr="00FB5086">
        <w:tc>
          <w:tcPr>
            <w:tcW w:w="2973" w:type="dxa"/>
          </w:tcPr>
          <w:p w14:paraId="119520FB" w14:textId="77777777" w:rsidR="0094644B" w:rsidRPr="00FA3F57" w:rsidRDefault="0094644B" w:rsidP="00FB5086">
            <w:pPr>
              <w:rPr>
                <w:sz w:val="20"/>
                <w:szCs w:val="20"/>
              </w:rPr>
            </w:pPr>
            <w:r w:rsidRPr="00FA3F57">
              <w:rPr>
                <w:sz w:val="20"/>
                <w:szCs w:val="20"/>
              </w:rPr>
              <w:t>Planned investments for 2026.</w:t>
            </w:r>
            <w:r w:rsidRPr="00FA3F57">
              <w:rPr>
                <w:sz w:val="20"/>
                <w:szCs w:val="20"/>
              </w:rPr>
              <w:br/>
              <w:t>(in thousands of RSD)</w:t>
            </w:r>
          </w:p>
        </w:tc>
        <w:tc>
          <w:tcPr>
            <w:tcW w:w="5667" w:type="dxa"/>
          </w:tcPr>
          <w:p w14:paraId="211EF2C2" w14:textId="77777777" w:rsidR="0094644B" w:rsidRPr="00FA3F57" w:rsidRDefault="0094644B" w:rsidP="00FB5086">
            <w:pPr>
              <w:rPr>
                <w:sz w:val="20"/>
                <w:szCs w:val="20"/>
              </w:rPr>
            </w:pPr>
            <w:r w:rsidRPr="00FA3F57">
              <w:rPr>
                <w:sz w:val="20"/>
                <w:szCs w:val="20"/>
              </w:rPr>
              <w:t xml:space="preserve">3,189,200 </w:t>
            </w:r>
            <w:r w:rsidRPr="00F07779">
              <w:rPr>
                <w:sz w:val="20"/>
                <w:szCs w:val="20"/>
              </w:rPr>
              <w:t>(own funds of EPS JSC)</w:t>
            </w:r>
          </w:p>
        </w:tc>
      </w:tr>
      <w:tr w:rsidR="0094644B" w:rsidRPr="00F07779" w14:paraId="18A25601" w14:textId="77777777" w:rsidTr="00FB5086">
        <w:tc>
          <w:tcPr>
            <w:tcW w:w="2973" w:type="dxa"/>
          </w:tcPr>
          <w:p w14:paraId="1996DB82" w14:textId="77777777" w:rsidR="0094644B" w:rsidRPr="00FA3F57" w:rsidRDefault="0094644B" w:rsidP="00FB5086">
            <w:pPr>
              <w:rPr>
                <w:sz w:val="20"/>
                <w:szCs w:val="20"/>
              </w:rPr>
            </w:pPr>
            <w:r w:rsidRPr="00FA3F57">
              <w:rPr>
                <w:sz w:val="20"/>
                <w:szCs w:val="20"/>
              </w:rPr>
              <w:t>Planned investments for 2027.</w:t>
            </w:r>
            <w:r w:rsidRPr="00FA3F57">
              <w:rPr>
                <w:sz w:val="20"/>
                <w:szCs w:val="20"/>
              </w:rPr>
              <w:br/>
              <w:t>(in thousands of RSD)</w:t>
            </w:r>
          </w:p>
        </w:tc>
        <w:tc>
          <w:tcPr>
            <w:tcW w:w="5667" w:type="dxa"/>
          </w:tcPr>
          <w:p w14:paraId="4B6FBC94" w14:textId="77777777" w:rsidR="0094644B" w:rsidRPr="00FA3F57" w:rsidRDefault="0094644B" w:rsidP="00FB5086">
            <w:pPr>
              <w:rPr>
                <w:sz w:val="20"/>
                <w:szCs w:val="20"/>
              </w:rPr>
            </w:pPr>
            <w:r w:rsidRPr="00FA3F57">
              <w:rPr>
                <w:sz w:val="20"/>
                <w:szCs w:val="20"/>
              </w:rPr>
              <w:t>/</w:t>
            </w:r>
          </w:p>
        </w:tc>
      </w:tr>
      <w:tr w:rsidR="0094644B" w:rsidRPr="00F07779" w14:paraId="38F4FC1E" w14:textId="77777777" w:rsidTr="00FB5086">
        <w:trPr>
          <w:trHeight w:val="193"/>
        </w:trPr>
        <w:tc>
          <w:tcPr>
            <w:tcW w:w="2973" w:type="dxa"/>
          </w:tcPr>
          <w:p w14:paraId="26CA2ED8" w14:textId="77777777" w:rsidR="0094644B" w:rsidRPr="00FA3F57" w:rsidRDefault="0094644B" w:rsidP="00FB5086">
            <w:pPr>
              <w:rPr>
                <w:sz w:val="20"/>
                <w:szCs w:val="20"/>
              </w:rPr>
            </w:pPr>
            <w:r w:rsidRPr="00FA3F57">
              <w:rPr>
                <w:sz w:val="20"/>
                <w:szCs w:val="20"/>
              </w:rPr>
              <w:t>Planned investments for 2028.</w:t>
            </w:r>
            <w:r w:rsidRPr="00FA3F57">
              <w:rPr>
                <w:sz w:val="20"/>
                <w:szCs w:val="20"/>
              </w:rPr>
              <w:br/>
              <w:t>(in thousands of RSD)</w:t>
            </w:r>
          </w:p>
        </w:tc>
        <w:tc>
          <w:tcPr>
            <w:tcW w:w="5667" w:type="dxa"/>
          </w:tcPr>
          <w:p w14:paraId="3573DD13" w14:textId="77777777" w:rsidR="0094644B" w:rsidRPr="00FA3F57" w:rsidRDefault="0094644B" w:rsidP="00FB5086">
            <w:pPr>
              <w:rPr>
                <w:sz w:val="20"/>
                <w:szCs w:val="20"/>
              </w:rPr>
            </w:pPr>
            <w:r w:rsidRPr="00FA3F57">
              <w:rPr>
                <w:sz w:val="20"/>
                <w:szCs w:val="20"/>
              </w:rPr>
              <w:t>/</w:t>
            </w:r>
          </w:p>
        </w:tc>
      </w:tr>
    </w:tbl>
    <w:p w14:paraId="2978D90D" w14:textId="77777777" w:rsidR="0094644B" w:rsidRPr="00FA3F57" w:rsidRDefault="0094644B" w:rsidP="0094644B">
      <w:pPr>
        <w:tabs>
          <w:tab w:val="left" w:pos="1276"/>
          <w:tab w:val="left" w:pos="1560"/>
        </w:tabs>
      </w:pPr>
    </w:p>
    <w:tbl>
      <w:tblPr>
        <w:tblStyle w:val="TableGrid"/>
        <w:tblW w:w="0" w:type="auto"/>
        <w:tblLook w:val="04A0" w:firstRow="1" w:lastRow="0" w:firstColumn="1" w:lastColumn="0" w:noHBand="0" w:noVBand="1"/>
      </w:tblPr>
      <w:tblGrid>
        <w:gridCol w:w="2973"/>
        <w:gridCol w:w="5667"/>
      </w:tblGrid>
      <w:tr w:rsidR="0094644B" w:rsidRPr="00F07779" w14:paraId="79837BA8" w14:textId="77777777" w:rsidTr="00FB5086">
        <w:tc>
          <w:tcPr>
            <w:tcW w:w="2973" w:type="dxa"/>
            <w:shd w:val="clear" w:color="auto" w:fill="D9D9D9" w:themeFill="background1" w:themeFillShade="D9"/>
          </w:tcPr>
          <w:p w14:paraId="1C2B8C82" w14:textId="77777777" w:rsidR="0094644B" w:rsidRPr="00FA3F57" w:rsidRDefault="0094644B" w:rsidP="00FB5086">
            <w:pPr>
              <w:rPr>
                <w:sz w:val="20"/>
                <w:szCs w:val="20"/>
              </w:rPr>
            </w:pPr>
            <w:r w:rsidRPr="00FA3F57">
              <w:rPr>
                <w:sz w:val="20"/>
                <w:szCs w:val="20"/>
              </w:rPr>
              <w:t>Activity EL1.1</w:t>
            </w:r>
          </w:p>
        </w:tc>
        <w:tc>
          <w:tcPr>
            <w:tcW w:w="5667" w:type="dxa"/>
            <w:shd w:val="clear" w:color="auto" w:fill="D9D9D9" w:themeFill="background1" w:themeFillShade="D9"/>
          </w:tcPr>
          <w:p w14:paraId="4DBA2753" w14:textId="77777777" w:rsidR="0094644B" w:rsidRPr="00FA3F57" w:rsidRDefault="0094644B" w:rsidP="00FB5086">
            <w:pPr>
              <w:rPr>
                <w:sz w:val="20"/>
                <w:szCs w:val="20"/>
              </w:rPr>
            </w:pPr>
            <w:r w:rsidRPr="00FA3F57">
              <w:rPr>
                <w:sz w:val="20"/>
                <w:szCs w:val="20"/>
              </w:rPr>
              <w:t>Investment projects of revitalization (reconstruction) and modernization of power plants</w:t>
            </w:r>
          </w:p>
        </w:tc>
      </w:tr>
      <w:tr w:rsidR="0094644B" w:rsidRPr="00F07779" w14:paraId="6409B67A" w14:textId="77777777" w:rsidTr="00FB5086">
        <w:tc>
          <w:tcPr>
            <w:tcW w:w="2973" w:type="dxa"/>
            <w:shd w:val="clear" w:color="auto" w:fill="D9E2F3" w:themeFill="accent1" w:themeFillTint="33"/>
          </w:tcPr>
          <w:p w14:paraId="442BDA6F" w14:textId="77777777" w:rsidR="0094644B" w:rsidRPr="00FA3F57" w:rsidRDefault="0094644B" w:rsidP="00FB5086">
            <w:pPr>
              <w:rPr>
                <w:sz w:val="20"/>
                <w:szCs w:val="20"/>
              </w:rPr>
            </w:pPr>
            <w:r w:rsidRPr="00FA3F57">
              <w:rPr>
                <w:sz w:val="20"/>
                <w:szCs w:val="20"/>
              </w:rPr>
              <w:t>Name of the project</w:t>
            </w:r>
          </w:p>
        </w:tc>
        <w:tc>
          <w:tcPr>
            <w:tcW w:w="5667" w:type="dxa"/>
            <w:shd w:val="clear" w:color="auto" w:fill="D9E2F3" w:themeFill="accent1" w:themeFillTint="33"/>
          </w:tcPr>
          <w:p w14:paraId="6167BEA5" w14:textId="77777777" w:rsidR="0094644B" w:rsidRPr="00FA3F57" w:rsidRDefault="0094644B" w:rsidP="00FB5086">
            <w:pPr>
              <w:rPr>
                <w:sz w:val="20"/>
                <w:szCs w:val="20"/>
              </w:rPr>
            </w:pPr>
            <w:r w:rsidRPr="00F07779">
              <w:rPr>
                <w:sz w:val="20"/>
                <w:szCs w:val="20"/>
              </w:rPr>
              <w:t>Project for the construction of the TENT B port</w:t>
            </w:r>
          </w:p>
        </w:tc>
      </w:tr>
      <w:tr w:rsidR="0094644B" w:rsidRPr="00F07779" w14:paraId="3DA5183B" w14:textId="77777777" w:rsidTr="00FB5086">
        <w:tc>
          <w:tcPr>
            <w:tcW w:w="2973" w:type="dxa"/>
          </w:tcPr>
          <w:p w14:paraId="63AA4DCB" w14:textId="77777777" w:rsidR="0094644B" w:rsidRPr="00FA3F57" w:rsidRDefault="0094644B" w:rsidP="00FB5086">
            <w:pPr>
              <w:rPr>
                <w:sz w:val="20"/>
                <w:szCs w:val="20"/>
              </w:rPr>
            </w:pPr>
            <w:r w:rsidRPr="00FA3F57">
              <w:rPr>
                <w:sz w:val="20"/>
                <w:szCs w:val="20"/>
              </w:rPr>
              <w:t>Short description of the investment</w:t>
            </w:r>
          </w:p>
        </w:tc>
        <w:tc>
          <w:tcPr>
            <w:tcW w:w="5667" w:type="dxa"/>
          </w:tcPr>
          <w:p w14:paraId="17775F08" w14:textId="77777777" w:rsidR="0094644B" w:rsidRPr="00FA3F57" w:rsidRDefault="0094644B" w:rsidP="00FB5086">
            <w:pPr>
              <w:rPr>
                <w:sz w:val="20"/>
                <w:szCs w:val="20"/>
              </w:rPr>
            </w:pPr>
            <w:r w:rsidRPr="00F07779">
              <w:rPr>
                <w:sz w:val="20"/>
                <w:szCs w:val="20"/>
              </w:rPr>
              <w:t>The project includes building a cargo port, which will enable river transport of coal for the thermal power plant, transportation of limestone for desulfurization, as well as the commercial distribution of ash and gypsum. Construction of a port for the import of external coal and the removal of ash and gypsum.</w:t>
            </w:r>
          </w:p>
          <w:p w14:paraId="59857A2A" w14:textId="77777777" w:rsidR="0094644B" w:rsidRPr="00FA3F57" w:rsidRDefault="0094644B" w:rsidP="00FB5086">
            <w:pPr>
              <w:rPr>
                <w:sz w:val="20"/>
                <w:szCs w:val="20"/>
              </w:rPr>
            </w:pPr>
            <w:r w:rsidRPr="00FA3F57">
              <w:rPr>
                <w:sz w:val="20"/>
                <w:szCs w:val="20"/>
              </w:rPr>
              <w:t>Expected dynamics of project implementation:</w:t>
            </w:r>
          </w:p>
          <w:p w14:paraId="70AC894D" w14:textId="77777777" w:rsidR="0094644B" w:rsidRPr="00FA3F57" w:rsidRDefault="0094644B" w:rsidP="00FB5086">
            <w:pPr>
              <w:rPr>
                <w:sz w:val="20"/>
                <w:szCs w:val="20"/>
              </w:rPr>
            </w:pPr>
            <w:r w:rsidRPr="00FA3F57">
              <w:rPr>
                <w:sz w:val="20"/>
                <w:szCs w:val="20"/>
              </w:rPr>
              <w:t xml:space="preserve">2026. </w:t>
            </w:r>
            <w:r w:rsidRPr="00F07779">
              <w:rPr>
                <w:sz w:val="20"/>
                <w:szCs w:val="20"/>
              </w:rPr>
              <w:t>Building permit</w:t>
            </w:r>
          </w:p>
          <w:p w14:paraId="261C4C54" w14:textId="77777777" w:rsidR="0094644B" w:rsidRPr="00FA3F57" w:rsidRDefault="0094644B" w:rsidP="00FB5086">
            <w:pPr>
              <w:rPr>
                <w:sz w:val="20"/>
                <w:szCs w:val="20"/>
              </w:rPr>
            </w:pPr>
            <w:r w:rsidRPr="00FA3F57">
              <w:rPr>
                <w:sz w:val="20"/>
                <w:szCs w:val="20"/>
              </w:rPr>
              <w:t xml:space="preserve">2027. </w:t>
            </w:r>
            <w:r w:rsidRPr="00F07779">
              <w:rPr>
                <w:sz w:val="20"/>
                <w:szCs w:val="20"/>
              </w:rPr>
              <w:t>Construction</w:t>
            </w:r>
          </w:p>
          <w:p w14:paraId="26A90803" w14:textId="77777777" w:rsidR="0094644B" w:rsidRPr="00FA3F57" w:rsidRDefault="0094644B" w:rsidP="00FB5086">
            <w:pPr>
              <w:rPr>
                <w:sz w:val="20"/>
                <w:szCs w:val="20"/>
              </w:rPr>
            </w:pPr>
            <w:r w:rsidRPr="00FA3F57">
              <w:rPr>
                <w:sz w:val="20"/>
                <w:szCs w:val="20"/>
              </w:rPr>
              <w:t xml:space="preserve">2028. </w:t>
            </w:r>
            <w:r w:rsidRPr="00F07779">
              <w:rPr>
                <w:sz w:val="20"/>
                <w:szCs w:val="20"/>
              </w:rPr>
              <w:t>Construction</w:t>
            </w:r>
          </w:p>
        </w:tc>
      </w:tr>
      <w:tr w:rsidR="0094644B" w:rsidRPr="00F07779" w14:paraId="74BF3696" w14:textId="77777777" w:rsidTr="00FB5086">
        <w:tc>
          <w:tcPr>
            <w:tcW w:w="2973" w:type="dxa"/>
          </w:tcPr>
          <w:p w14:paraId="019F71AB" w14:textId="77777777" w:rsidR="0094644B" w:rsidRPr="00FA3F57" w:rsidRDefault="0094644B" w:rsidP="00FB5086">
            <w:pPr>
              <w:rPr>
                <w:sz w:val="20"/>
                <w:szCs w:val="20"/>
              </w:rPr>
            </w:pPr>
            <w:r w:rsidRPr="00FA3F57">
              <w:rPr>
                <w:sz w:val="20"/>
                <w:szCs w:val="20"/>
              </w:rPr>
              <w:t>Institutions responsible for the implementation of measures and activities</w:t>
            </w:r>
          </w:p>
        </w:tc>
        <w:tc>
          <w:tcPr>
            <w:tcW w:w="5667" w:type="dxa"/>
          </w:tcPr>
          <w:p w14:paraId="5CD8659E" w14:textId="77777777" w:rsidR="0094644B" w:rsidRPr="00FA3F57" w:rsidRDefault="0094644B" w:rsidP="00FB5086">
            <w:pPr>
              <w:rPr>
                <w:sz w:val="20"/>
                <w:szCs w:val="20"/>
              </w:rPr>
            </w:pPr>
            <w:r w:rsidRPr="00FA3F57">
              <w:rPr>
                <w:sz w:val="20"/>
                <w:szCs w:val="20"/>
              </w:rPr>
              <w:t>EPS JSC Belgrade</w:t>
            </w:r>
          </w:p>
        </w:tc>
      </w:tr>
      <w:tr w:rsidR="0094644B" w:rsidRPr="00F07779" w14:paraId="13419A4C" w14:textId="77777777" w:rsidTr="00FB5086">
        <w:tc>
          <w:tcPr>
            <w:tcW w:w="2973" w:type="dxa"/>
          </w:tcPr>
          <w:p w14:paraId="669E1C24" w14:textId="77777777" w:rsidR="0094644B" w:rsidRPr="00FA3F57" w:rsidRDefault="0094644B" w:rsidP="00FB5086">
            <w:pPr>
              <w:rPr>
                <w:sz w:val="20"/>
                <w:szCs w:val="20"/>
              </w:rPr>
            </w:pPr>
            <w:r w:rsidRPr="00FA3F57">
              <w:rPr>
                <w:sz w:val="20"/>
                <w:szCs w:val="20"/>
              </w:rPr>
              <w:t>Institutions responsible for monitoring implementation and reporting on the realization</w:t>
            </w:r>
          </w:p>
        </w:tc>
        <w:tc>
          <w:tcPr>
            <w:tcW w:w="5667" w:type="dxa"/>
          </w:tcPr>
          <w:p w14:paraId="5AAA7076" w14:textId="77777777" w:rsidR="0094644B" w:rsidRPr="00F07779" w:rsidRDefault="0094644B" w:rsidP="00FB5086">
            <w:pPr>
              <w:rPr>
                <w:sz w:val="20"/>
                <w:szCs w:val="20"/>
              </w:rPr>
            </w:pPr>
            <w:r w:rsidRPr="00FA3F57">
              <w:rPr>
                <w:sz w:val="20"/>
                <w:szCs w:val="20"/>
              </w:rPr>
              <w:t>EPS JSC Belgrade</w:t>
            </w:r>
          </w:p>
          <w:p w14:paraId="57A94179" w14:textId="77777777" w:rsidR="0094644B" w:rsidRPr="00FA3F57" w:rsidRDefault="0094644B" w:rsidP="00FB5086">
            <w:pPr>
              <w:rPr>
                <w:sz w:val="20"/>
                <w:szCs w:val="20"/>
              </w:rPr>
            </w:pPr>
            <w:r w:rsidRPr="00F07779">
              <w:rPr>
                <w:sz w:val="20"/>
                <w:szCs w:val="20"/>
              </w:rPr>
              <w:t>Ministry of Mining and Energy</w:t>
            </w:r>
          </w:p>
        </w:tc>
      </w:tr>
      <w:tr w:rsidR="0094644B" w:rsidRPr="00F07779" w14:paraId="37EEDBA4" w14:textId="77777777" w:rsidTr="00FB5086">
        <w:tc>
          <w:tcPr>
            <w:tcW w:w="2973" w:type="dxa"/>
          </w:tcPr>
          <w:p w14:paraId="56C91932" w14:textId="77777777" w:rsidR="0094644B" w:rsidRPr="00FA3F57" w:rsidRDefault="0094644B" w:rsidP="00FB5086">
            <w:pPr>
              <w:rPr>
                <w:sz w:val="20"/>
                <w:szCs w:val="20"/>
              </w:rPr>
            </w:pPr>
            <w:r w:rsidRPr="00FA3F57">
              <w:rPr>
                <w:sz w:val="20"/>
                <w:szCs w:val="20"/>
              </w:rPr>
              <w:t>Year of project funding start</w:t>
            </w:r>
          </w:p>
        </w:tc>
        <w:tc>
          <w:tcPr>
            <w:tcW w:w="5667" w:type="dxa"/>
          </w:tcPr>
          <w:p w14:paraId="7BD866DB" w14:textId="77777777" w:rsidR="0094644B" w:rsidRPr="00FA3F57" w:rsidRDefault="0094644B" w:rsidP="00FB5086">
            <w:pPr>
              <w:rPr>
                <w:sz w:val="20"/>
                <w:szCs w:val="20"/>
              </w:rPr>
            </w:pPr>
            <w:r w:rsidRPr="00FA3F57">
              <w:rPr>
                <w:sz w:val="20"/>
                <w:szCs w:val="20"/>
              </w:rPr>
              <w:t>2026.</w:t>
            </w:r>
          </w:p>
        </w:tc>
      </w:tr>
      <w:tr w:rsidR="0094644B" w:rsidRPr="00F07779" w14:paraId="68FBB741" w14:textId="77777777" w:rsidTr="00FB5086">
        <w:tc>
          <w:tcPr>
            <w:tcW w:w="2973" w:type="dxa"/>
          </w:tcPr>
          <w:p w14:paraId="616CF49F" w14:textId="77777777" w:rsidR="0094644B" w:rsidRPr="00FA3F57" w:rsidRDefault="0094644B" w:rsidP="00FB5086">
            <w:pPr>
              <w:rPr>
                <w:sz w:val="20"/>
                <w:szCs w:val="20"/>
              </w:rPr>
            </w:pPr>
            <w:r w:rsidRPr="00FA3F57">
              <w:rPr>
                <w:sz w:val="20"/>
                <w:szCs w:val="20"/>
              </w:rPr>
              <w:t>Year of completion of project funding</w:t>
            </w:r>
          </w:p>
        </w:tc>
        <w:tc>
          <w:tcPr>
            <w:tcW w:w="5667" w:type="dxa"/>
          </w:tcPr>
          <w:p w14:paraId="2BF173FF" w14:textId="77777777" w:rsidR="0094644B" w:rsidRPr="00FA3F57" w:rsidRDefault="0094644B" w:rsidP="00FB5086">
            <w:pPr>
              <w:rPr>
                <w:sz w:val="20"/>
                <w:szCs w:val="20"/>
              </w:rPr>
            </w:pPr>
            <w:r w:rsidRPr="00FA3F57">
              <w:rPr>
                <w:sz w:val="20"/>
                <w:szCs w:val="20"/>
              </w:rPr>
              <w:t>2029.</w:t>
            </w:r>
          </w:p>
        </w:tc>
      </w:tr>
      <w:tr w:rsidR="0094644B" w:rsidRPr="00F07779" w14:paraId="6ACF09CB" w14:textId="77777777" w:rsidTr="00FB5086">
        <w:tc>
          <w:tcPr>
            <w:tcW w:w="2973" w:type="dxa"/>
          </w:tcPr>
          <w:p w14:paraId="1BB22C9B" w14:textId="77777777" w:rsidR="0094644B" w:rsidRPr="00FA3F57" w:rsidRDefault="0094644B" w:rsidP="00FB5086">
            <w:pPr>
              <w:rPr>
                <w:sz w:val="20"/>
                <w:szCs w:val="20"/>
              </w:rPr>
            </w:pPr>
            <w:r w:rsidRPr="00FA3F57">
              <w:rPr>
                <w:sz w:val="20"/>
                <w:szCs w:val="20"/>
              </w:rPr>
              <w:t>Total project value</w:t>
            </w:r>
            <w:r w:rsidRPr="00FA3F57">
              <w:rPr>
                <w:sz w:val="20"/>
                <w:szCs w:val="20"/>
              </w:rPr>
              <w:br/>
              <w:t>(in thousands of RSD)</w:t>
            </w:r>
          </w:p>
        </w:tc>
        <w:tc>
          <w:tcPr>
            <w:tcW w:w="5667" w:type="dxa"/>
          </w:tcPr>
          <w:p w14:paraId="1D65F0AE" w14:textId="77777777" w:rsidR="0094644B" w:rsidRPr="00F07779" w:rsidRDefault="0094644B" w:rsidP="00FB5086">
            <w:pPr>
              <w:rPr>
                <w:color w:val="000000"/>
                <w:sz w:val="20"/>
                <w:szCs w:val="20"/>
                <w:lang w:eastAsia="sr-Latn-RS"/>
              </w:rPr>
            </w:pPr>
            <w:r w:rsidRPr="00F07779">
              <w:rPr>
                <w:color w:val="000000"/>
                <w:sz w:val="20"/>
                <w:szCs w:val="20"/>
              </w:rPr>
              <w:t>8,704</w:t>
            </w:r>
            <w:r w:rsidRPr="00FA3F57">
              <w:rPr>
                <w:color w:val="000000"/>
                <w:sz w:val="20"/>
                <w:szCs w:val="20"/>
              </w:rPr>
              <w:t>,</w:t>
            </w:r>
            <w:r w:rsidRPr="00F07779">
              <w:rPr>
                <w:color w:val="000000"/>
                <w:sz w:val="20"/>
                <w:szCs w:val="20"/>
              </w:rPr>
              <w:t>64</w:t>
            </w:r>
            <w:r w:rsidRPr="00FA3F57">
              <w:rPr>
                <w:color w:val="000000"/>
                <w:sz w:val="20"/>
                <w:szCs w:val="20"/>
              </w:rPr>
              <w:t>0</w:t>
            </w:r>
            <w:r w:rsidRPr="00F07779" w:rsidDel="00E912CF">
              <w:rPr>
                <w:color w:val="000000"/>
                <w:sz w:val="20"/>
                <w:szCs w:val="20"/>
              </w:rPr>
              <w:t xml:space="preserve"> </w:t>
            </w:r>
            <w:r w:rsidRPr="00FA3F57">
              <w:rPr>
                <w:sz w:val="20"/>
                <w:szCs w:val="20"/>
              </w:rPr>
              <w:t>(74,24</w:t>
            </w:r>
            <w:r w:rsidRPr="00F07779">
              <w:rPr>
                <w:sz w:val="20"/>
                <w:szCs w:val="20"/>
              </w:rPr>
              <w:t xml:space="preserve"> </w:t>
            </w:r>
            <w:r w:rsidRPr="00FA3F57">
              <w:rPr>
                <w:sz w:val="20"/>
                <w:szCs w:val="20"/>
              </w:rPr>
              <w:t>million EUR)</w:t>
            </w:r>
          </w:p>
        </w:tc>
      </w:tr>
      <w:tr w:rsidR="0094644B" w:rsidRPr="00F07779" w14:paraId="7908509C" w14:textId="77777777" w:rsidTr="00FB5086">
        <w:tc>
          <w:tcPr>
            <w:tcW w:w="2973" w:type="dxa"/>
          </w:tcPr>
          <w:p w14:paraId="23B78EA2" w14:textId="77777777" w:rsidR="0094644B" w:rsidRPr="00FA3F57" w:rsidRDefault="0094644B" w:rsidP="00FB5086">
            <w:pPr>
              <w:rPr>
                <w:sz w:val="20"/>
                <w:szCs w:val="20"/>
              </w:rPr>
            </w:pPr>
            <w:r w:rsidRPr="00FA3F57">
              <w:rPr>
                <w:sz w:val="20"/>
                <w:szCs w:val="20"/>
              </w:rPr>
              <w:t>Planned investments for 2026.</w:t>
            </w:r>
            <w:r w:rsidRPr="00FA3F57">
              <w:rPr>
                <w:sz w:val="20"/>
                <w:szCs w:val="20"/>
              </w:rPr>
              <w:br/>
              <w:t>(in thousands of RSD)</w:t>
            </w:r>
          </w:p>
        </w:tc>
        <w:tc>
          <w:tcPr>
            <w:tcW w:w="5667" w:type="dxa"/>
          </w:tcPr>
          <w:p w14:paraId="53E7A741" w14:textId="77777777" w:rsidR="0094644B" w:rsidRPr="00FA3F57" w:rsidRDefault="0094644B" w:rsidP="00FB5086">
            <w:pPr>
              <w:rPr>
                <w:sz w:val="20"/>
                <w:szCs w:val="20"/>
              </w:rPr>
            </w:pPr>
            <w:r w:rsidRPr="00FA3F57">
              <w:rPr>
                <w:sz w:val="20"/>
                <w:szCs w:val="20"/>
              </w:rPr>
              <w:t xml:space="preserve">99,662.5 </w:t>
            </w:r>
            <w:r w:rsidRPr="00F07779">
              <w:rPr>
                <w:sz w:val="20"/>
                <w:szCs w:val="20"/>
              </w:rPr>
              <w:t>(own funds of EPS JSC)</w:t>
            </w:r>
          </w:p>
        </w:tc>
      </w:tr>
      <w:tr w:rsidR="0094644B" w:rsidRPr="00F07779" w14:paraId="4C373E0F" w14:textId="77777777" w:rsidTr="00FB5086">
        <w:tc>
          <w:tcPr>
            <w:tcW w:w="2973" w:type="dxa"/>
          </w:tcPr>
          <w:p w14:paraId="4F09755F" w14:textId="77777777" w:rsidR="0094644B" w:rsidRPr="00FA3F57" w:rsidRDefault="0094644B" w:rsidP="00FB5086">
            <w:pPr>
              <w:rPr>
                <w:sz w:val="20"/>
                <w:szCs w:val="20"/>
              </w:rPr>
            </w:pPr>
            <w:r w:rsidRPr="00FA3F57">
              <w:rPr>
                <w:sz w:val="20"/>
                <w:szCs w:val="20"/>
              </w:rPr>
              <w:t>Planned investments for 2027.</w:t>
            </w:r>
            <w:r w:rsidRPr="00FA3F57">
              <w:rPr>
                <w:sz w:val="20"/>
                <w:szCs w:val="20"/>
              </w:rPr>
              <w:br/>
              <w:t>(in thousands of RSD)</w:t>
            </w:r>
          </w:p>
        </w:tc>
        <w:tc>
          <w:tcPr>
            <w:tcW w:w="5667" w:type="dxa"/>
          </w:tcPr>
          <w:p w14:paraId="38E88B5D" w14:textId="77777777" w:rsidR="0094644B" w:rsidRPr="00FA3F57" w:rsidRDefault="0094644B" w:rsidP="00FB5086">
            <w:pPr>
              <w:rPr>
                <w:sz w:val="20"/>
                <w:szCs w:val="20"/>
              </w:rPr>
            </w:pPr>
            <w:r w:rsidRPr="00FA3F57">
              <w:rPr>
                <w:sz w:val="20"/>
                <w:szCs w:val="20"/>
              </w:rPr>
              <w:t xml:space="preserve">8,500,625 </w:t>
            </w:r>
            <w:r w:rsidRPr="00F07779">
              <w:rPr>
                <w:sz w:val="20"/>
                <w:szCs w:val="20"/>
              </w:rPr>
              <w:t>(own funds of EPS JSC)</w:t>
            </w:r>
          </w:p>
        </w:tc>
      </w:tr>
      <w:tr w:rsidR="0094644B" w:rsidRPr="00F07779" w14:paraId="0ED67A23" w14:textId="77777777" w:rsidTr="00FB5086">
        <w:trPr>
          <w:trHeight w:val="193"/>
        </w:trPr>
        <w:tc>
          <w:tcPr>
            <w:tcW w:w="2973" w:type="dxa"/>
          </w:tcPr>
          <w:p w14:paraId="7E54A607" w14:textId="77777777" w:rsidR="0094644B" w:rsidRPr="00FA3F57" w:rsidRDefault="0094644B" w:rsidP="00FB5086">
            <w:pPr>
              <w:rPr>
                <w:sz w:val="20"/>
                <w:szCs w:val="20"/>
              </w:rPr>
            </w:pPr>
            <w:r w:rsidRPr="00FA3F57">
              <w:rPr>
                <w:sz w:val="20"/>
                <w:szCs w:val="20"/>
              </w:rPr>
              <w:lastRenderedPageBreak/>
              <w:t>Planned investments for 2028.</w:t>
            </w:r>
            <w:r w:rsidRPr="00FA3F57">
              <w:rPr>
                <w:sz w:val="20"/>
                <w:szCs w:val="20"/>
              </w:rPr>
              <w:br/>
              <w:t>(in thousands of RSD)</w:t>
            </w:r>
          </w:p>
        </w:tc>
        <w:tc>
          <w:tcPr>
            <w:tcW w:w="5667" w:type="dxa"/>
          </w:tcPr>
          <w:p w14:paraId="10725FEB" w14:textId="77777777" w:rsidR="0094644B" w:rsidRPr="00FA3F57" w:rsidRDefault="0094644B" w:rsidP="00FB5086">
            <w:pPr>
              <w:rPr>
                <w:sz w:val="20"/>
                <w:szCs w:val="20"/>
              </w:rPr>
            </w:pPr>
            <w:r w:rsidRPr="00FA3F57">
              <w:rPr>
                <w:sz w:val="20"/>
                <w:szCs w:val="20"/>
              </w:rPr>
              <w:t>/</w:t>
            </w:r>
          </w:p>
        </w:tc>
      </w:tr>
    </w:tbl>
    <w:p w14:paraId="55185A4B" w14:textId="77777777" w:rsidR="0094644B" w:rsidRPr="00FA3F57" w:rsidRDefault="0094644B" w:rsidP="0094644B">
      <w:pPr>
        <w:tabs>
          <w:tab w:val="left" w:pos="1276"/>
          <w:tab w:val="left" w:pos="1560"/>
        </w:tabs>
      </w:pPr>
    </w:p>
    <w:tbl>
      <w:tblPr>
        <w:tblStyle w:val="TableGrid"/>
        <w:tblW w:w="0" w:type="auto"/>
        <w:tblLook w:val="04A0" w:firstRow="1" w:lastRow="0" w:firstColumn="1" w:lastColumn="0" w:noHBand="0" w:noVBand="1"/>
      </w:tblPr>
      <w:tblGrid>
        <w:gridCol w:w="2973"/>
        <w:gridCol w:w="5667"/>
      </w:tblGrid>
      <w:tr w:rsidR="0094644B" w:rsidRPr="00F07779" w14:paraId="42404460" w14:textId="77777777" w:rsidTr="00FB5086">
        <w:tc>
          <w:tcPr>
            <w:tcW w:w="2973" w:type="dxa"/>
            <w:shd w:val="clear" w:color="auto" w:fill="D9D9D9" w:themeFill="background1" w:themeFillShade="D9"/>
          </w:tcPr>
          <w:p w14:paraId="224CD753" w14:textId="77777777" w:rsidR="0094644B" w:rsidRPr="00FA3F57" w:rsidRDefault="0094644B" w:rsidP="00FB5086">
            <w:pPr>
              <w:rPr>
                <w:sz w:val="20"/>
                <w:szCs w:val="20"/>
              </w:rPr>
            </w:pPr>
            <w:r w:rsidRPr="00FA3F57">
              <w:rPr>
                <w:sz w:val="20"/>
                <w:szCs w:val="20"/>
              </w:rPr>
              <w:t>Activity EL1.1</w:t>
            </w:r>
          </w:p>
        </w:tc>
        <w:tc>
          <w:tcPr>
            <w:tcW w:w="5667" w:type="dxa"/>
            <w:shd w:val="clear" w:color="auto" w:fill="D9D9D9" w:themeFill="background1" w:themeFillShade="D9"/>
          </w:tcPr>
          <w:p w14:paraId="78ED4A17" w14:textId="77777777" w:rsidR="0094644B" w:rsidRPr="00FA3F57" w:rsidRDefault="0094644B" w:rsidP="00FB5086">
            <w:pPr>
              <w:rPr>
                <w:sz w:val="20"/>
                <w:szCs w:val="20"/>
              </w:rPr>
            </w:pPr>
            <w:r w:rsidRPr="00FA3F57">
              <w:rPr>
                <w:sz w:val="20"/>
                <w:szCs w:val="20"/>
              </w:rPr>
              <w:t>Investment projects of revitalization (reconstruction) and modernization of power plants</w:t>
            </w:r>
          </w:p>
        </w:tc>
      </w:tr>
      <w:tr w:rsidR="0094644B" w:rsidRPr="00F07779" w14:paraId="6F3E587C" w14:textId="77777777" w:rsidTr="00FB5086">
        <w:tc>
          <w:tcPr>
            <w:tcW w:w="2973" w:type="dxa"/>
            <w:shd w:val="clear" w:color="auto" w:fill="D9E2F3" w:themeFill="accent1" w:themeFillTint="33"/>
          </w:tcPr>
          <w:p w14:paraId="368BDFA2" w14:textId="77777777" w:rsidR="0094644B" w:rsidRPr="00FA3F57" w:rsidRDefault="0094644B" w:rsidP="00FB5086">
            <w:pPr>
              <w:rPr>
                <w:sz w:val="20"/>
                <w:szCs w:val="20"/>
              </w:rPr>
            </w:pPr>
            <w:r w:rsidRPr="00FA3F57">
              <w:rPr>
                <w:sz w:val="20"/>
                <w:szCs w:val="20"/>
              </w:rPr>
              <w:t>Name of the project</w:t>
            </w:r>
          </w:p>
        </w:tc>
        <w:tc>
          <w:tcPr>
            <w:tcW w:w="5667" w:type="dxa"/>
            <w:shd w:val="clear" w:color="auto" w:fill="D9E2F3" w:themeFill="accent1" w:themeFillTint="33"/>
          </w:tcPr>
          <w:p w14:paraId="2F0F0BA4" w14:textId="77777777" w:rsidR="0094644B" w:rsidRPr="00FA3F57" w:rsidRDefault="0094644B" w:rsidP="00FB5086">
            <w:pPr>
              <w:rPr>
                <w:sz w:val="20"/>
                <w:szCs w:val="20"/>
              </w:rPr>
            </w:pPr>
            <w:r w:rsidRPr="00F07779">
              <w:rPr>
                <w:sz w:val="20"/>
                <w:szCs w:val="20"/>
              </w:rPr>
              <w:t>TEKO А1 and А2 – Implementation of primary and secondary NOx reduction systems, construction of a desulfurization plant, and a wastewater treatment facility</w:t>
            </w:r>
            <w:r w:rsidRPr="00F07779">
              <w:rPr>
                <w:rStyle w:val="FootnoteReference"/>
                <w:sz w:val="20"/>
                <w:szCs w:val="20"/>
              </w:rPr>
              <w:footnoteReference w:id="20"/>
            </w:r>
          </w:p>
        </w:tc>
      </w:tr>
      <w:tr w:rsidR="0094644B" w:rsidRPr="00F07779" w14:paraId="533D62F3" w14:textId="77777777" w:rsidTr="00FB5086">
        <w:tc>
          <w:tcPr>
            <w:tcW w:w="2973" w:type="dxa"/>
          </w:tcPr>
          <w:p w14:paraId="45D578F2" w14:textId="77777777" w:rsidR="0094644B" w:rsidRPr="00FA3F57" w:rsidRDefault="0094644B" w:rsidP="00FB5086">
            <w:pPr>
              <w:rPr>
                <w:sz w:val="20"/>
                <w:szCs w:val="20"/>
              </w:rPr>
            </w:pPr>
            <w:r w:rsidRPr="00FA3F57">
              <w:rPr>
                <w:sz w:val="20"/>
                <w:szCs w:val="20"/>
              </w:rPr>
              <w:t>Short description of the investment</w:t>
            </w:r>
          </w:p>
        </w:tc>
        <w:tc>
          <w:tcPr>
            <w:tcW w:w="5667" w:type="dxa"/>
          </w:tcPr>
          <w:p w14:paraId="298DA4F9" w14:textId="77777777" w:rsidR="0094644B" w:rsidRPr="00FA3F57" w:rsidRDefault="0094644B" w:rsidP="00FB5086">
            <w:pPr>
              <w:rPr>
                <w:sz w:val="20"/>
                <w:szCs w:val="20"/>
              </w:rPr>
            </w:pPr>
            <w:r w:rsidRPr="00F07779">
              <w:rPr>
                <w:sz w:val="20"/>
                <w:szCs w:val="20"/>
              </w:rPr>
              <w:t>An environmental project aimed at implementing primary and secondary NOx reduction systems, reducing sulfur dioxide emissions to approximately 150 mg/Nm³, and particulate matter emissions to less than 20 mg/Nm³. Additionally, the objective is to reduce emissions of HCl and HF gases. The project will cover units A1 and A2, with capacities of 100 MW and 210 MW, respectively. An environmental project that will enable the extended operation of the existing thermal power units.</w:t>
            </w:r>
          </w:p>
          <w:p w14:paraId="39FE9BC1" w14:textId="77777777" w:rsidR="0094644B" w:rsidRPr="00FA3F57" w:rsidRDefault="0094644B" w:rsidP="00FB5086">
            <w:pPr>
              <w:rPr>
                <w:sz w:val="20"/>
                <w:szCs w:val="20"/>
              </w:rPr>
            </w:pPr>
            <w:r w:rsidRPr="00FA3F57">
              <w:rPr>
                <w:sz w:val="20"/>
                <w:szCs w:val="20"/>
              </w:rPr>
              <w:t>Expected dynamics of project implementation:</w:t>
            </w:r>
          </w:p>
          <w:p w14:paraId="77AA16E6" w14:textId="77777777" w:rsidR="0094644B" w:rsidRPr="00FA3F57" w:rsidRDefault="0094644B" w:rsidP="00FB5086">
            <w:pPr>
              <w:rPr>
                <w:sz w:val="20"/>
                <w:szCs w:val="20"/>
              </w:rPr>
            </w:pPr>
            <w:r w:rsidRPr="00F07779">
              <w:rPr>
                <w:sz w:val="20"/>
                <w:szCs w:val="20"/>
              </w:rPr>
              <w:t>2028. Start of the project</w:t>
            </w:r>
          </w:p>
        </w:tc>
      </w:tr>
      <w:tr w:rsidR="0094644B" w:rsidRPr="00F07779" w14:paraId="657375A5" w14:textId="77777777" w:rsidTr="00FB5086">
        <w:tc>
          <w:tcPr>
            <w:tcW w:w="2973" w:type="dxa"/>
          </w:tcPr>
          <w:p w14:paraId="7509E59B" w14:textId="77777777" w:rsidR="0094644B" w:rsidRPr="00FA3F57" w:rsidRDefault="0094644B" w:rsidP="00FB5086">
            <w:pPr>
              <w:rPr>
                <w:sz w:val="20"/>
                <w:szCs w:val="20"/>
              </w:rPr>
            </w:pPr>
            <w:r w:rsidRPr="00FA3F57">
              <w:rPr>
                <w:sz w:val="20"/>
                <w:szCs w:val="20"/>
              </w:rPr>
              <w:t>Institutions responsible for the implementation of measures and activities</w:t>
            </w:r>
          </w:p>
        </w:tc>
        <w:tc>
          <w:tcPr>
            <w:tcW w:w="5667" w:type="dxa"/>
          </w:tcPr>
          <w:p w14:paraId="17BA69A4" w14:textId="77777777" w:rsidR="0094644B" w:rsidRPr="00FA3F57" w:rsidRDefault="0094644B" w:rsidP="00FB5086">
            <w:pPr>
              <w:rPr>
                <w:sz w:val="20"/>
                <w:szCs w:val="20"/>
              </w:rPr>
            </w:pPr>
            <w:r w:rsidRPr="00FA3F57">
              <w:rPr>
                <w:sz w:val="20"/>
                <w:szCs w:val="20"/>
              </w:rPr>
              <w:t>EPS JSC Belgrade</w:t>
            </w:r>
          </w:p>
        </w:tc>
      </w:tr>
      <w:tr w:rsidR="0094644B" w:rsidRPr="00F07779" w14:paraId="0D34D75D" w14:textId="77777777" w:rsidTr="00FB5086">
        <w:tc>
          <w:tcPr>
            <w:tcW w:w="2973" w:type="dxa"/>
          </w:tcPr>
          <w:p w14:paraId="19751635" w14:textId="77777777" w:rsidR="0094644B" w:rsidRPr="00FA3F57" w:rsidRDefault="0094644B" w:rsidP="00FB5086">
            <w:pPr>
              <w:rPr>
                <w:sz w:val="20"/>
                <w:szCs w:val="20"/>
              </w:rPr>
            </w:pPr>
            <w:r w:rsidRPr="00FA3F57">
              <w:rPr>
                <w:sz w:val="20"/>
                <w:szCs w:val="20"/>
              </w:rPr>
              <w:t>Institutions responsible for monitoring implementation and reporting on the realization</w:t>
            </w:r>
          </w:p>
        </w:tc>
        <w:tc>
          <w:tcPr>
            <w:tcW w:w="5667" w:type="dxa"/>
          </w:tcPr>
          <w:p w14:paraId="3BE1ABDF" w14:textId="77777777" w:rsidR="0094644B" w:rsidRPr="00F07779" w:rsidRDefault="0094644B" w:rsidP="00FB5086">
            <w:pPr>
              <w:rPr>
                <w:sz w:val="20"/>
                <w:szCs w:val="20"/>
              </w:rPr>
            </w:pPr>
            <w:r w:rsidRPr="00FA3F57">
              <w:rPr>
                <w:sz w:val="20"/>
                <w:szCs w:val="20"/>
              </w:rPr>
              <w:t>EPS JSC Belgrade</w:t>
            </w:r>
          </w:p>
          <w:p w14:paraId="5B8B61D4" w14:textId="77777777" w:rsidR="0094644B" w:rsidRPr="00FA3F57" w:rsidRDefault="0094644B" w:rsidP="00FB5086">
            <w:pPr>
              <w:rPr>
                <w:sz w:val="20"/>
                <w:szCs w:val="20"/>
              </w:rPr>
            </w:pPr>
            <w:r w:rsidRPr="00F07779">
              <w:rPr>
                <w:sz w:val="20"/>
                <w:szCs w:val="20"/>
              </w:rPr>
              <w:t>Ministry of Mining and Energy</w:t>
            </w:r>
          </w:p>
        </w:tc>
      </w:tr>
      <w:tr w:rsidR="0094644B" w:rsidRPr="00F07779" w14:paraId="1796D2B7" w14:textId="77777777" w:rsidTr="00FB5086">
        <w:tc>
          <w:tcPr>
            <w:tcW w:w="2973" w:type="dxa"/>
          </w:tcPr>
          <w:p w14:paraId="3F36B9FE" w14:textId="77777777" w:rsidR="0094644B" w:rsidRPr="00FA3F57" w:rsidRDefault="0094644B" w:rsidP="00FB5086">
            <w:pPr>
              <w:rPr>
                <w:sz w:val="20"/>
                <w:szCs w:val="20"/>
              </w:rPr>
            </w:pPr>
            <w:r w:rsidRPr="00FA3F57">
              <w:rPr>
                <w:sz w:val="20"/>
                <w:szCs w:val="20"/>
              </w:rPr>
              <w:t>Year of project funding start</w:t>
            </w:r>
          </w:p>
        </w:tc>
        <w:tc>
          <w:tcPr>
            <w:tcW w:w="5667" w:type="dxa"/>
          </w:tcPr>
          <w:p w14:paraId="318A0962" w14:textId="77777777" w:rsidR="0094644B" w:rsidRPr="00FA3F57" w:rsidRDefault="0094644B" w:rsidP="00FB5086">
            <w:pPr>
              <w:rPr>
                <w:sz w:val="20"/>
                <w:szCs w:val="20"/>
              </w:rPr>
            </w:pPr>
            <w:r w:rsidRPr="00FA3F57">
              <w:rPr>
                <w:sz w:val="20"/>
                <w:szCs w:val="20"/>
              </w:rPr>
              <w:t>2026.</w:t>
            </w:r>
          </w:p>
        </w:tc>
      </w:tr>
      <w:tr w:rsidR="0094644B" w:rsidRPr="00F07779" w14:paraId="4C88675D" w14:textId="77777777" w:rsidTr="00FB5086">
        <w:tc>
          <w:tcPr>
            <w:tcW w:w="2973" w:type="dxa"/>
          </w:tcPr>
          <w:p w14:paraId="101E6F5B" w14:textId="77777777" w:rsidR="0094644B" w:rsidRPr="00FA3F57" w:rsidRDefault="0094644B" w:rsidP="00FB5086">
            <w:pPr>
              <w:rPr>
                <w:sz w:val="20"/>
                <w:szCs w:val="20"/>
              </w:rPr>
            </w:pPr>
            <w:r w:rsidRPr="00FA3F57">
              <w:rPr>
                <w:sz w:val="20"/>
                <w:szCs w:val="20"/>
              </w:rPr>
              <w:t>Year of completion of project funding</w:t>
            </w:r>
          </w:p>
        </w:tc>
        <w:tc>
          <w:tcPr>
            <w:tcW w:w="5667" w:type="dxa"/>
          </w:tcPr>
          <w:p w14:paraId="7AA2A45C" w14:textId="77777777" w:rsidR="0094644B" w:rsidRPr="00FA3F57" w:rsidRDefault="0094644B" w:rsidP="00FB5086">
            <w:pPr>
              <w:rPr>
                <w:sz w:val="20"/>
                <w:szCs w:val="20"/>
              </w:rPr>
            </w:pPr>
            <w:r w:rsidRPr="00FA3F57">
              <w:rPr>
                <w:sz w:val="20"/>
                <w:szCs w:val="20"/>
              </w:rPr>
              <w:t>2029.</w:t>
            </w:r>
          </w:p>
        </w:tc>
      </w:tr>
      <w:tr w:rsidR="0094644B" w:rsidRPr="00F07779" w14:paraId="23E333FA" w14:textId="77777777" w:rsidTr="00FB5086">
        <w:tc>
          <w:tcPr>
            <w:tcW w:w="2973" w:type="dxa"/>
          </w:tcPr>
          <w:p w14:paraId="27F24410" w14:textId="77777777" w:rsidR="0094644B" w:rsidRPr="00FA3F57" w:rsidRDefault="0094644B" w:rsidP="00FB5086">
            <w:pPr>
              <w:rPr>
                <w:sz w:val="20"/>
                <w:szCs w:val="20"/>
              </w:rPr>
            </w:pPr>
            <w:r w:rsidRPr="00FA3F57">
              <w:rPr>
                <w:sz w:val="20"/>
                <w:szCs w:val="20"/>
              </w:rPr>
              <w:t>Total project value</w:t>
            </w:r>
            <w:r w:rsidRPr="00FA3F57">
              <w:rPr>
                <w:sz w:val="20"/>
                <w:szCs w:val="20"/>
              </w:rPr>
              <w:br/>
              <w:t>(in thousands of RSD)</w:t>
            </w:r>
          </w:p>
        </w:tc>
        <w:tc>
          <w:tcPr>
            <w:tcW w:w="5667" w:type="dxa"/>
          </w:tcPr>
          <w:p w14:paraId="1429D529" w14:textId="77777777" w:rsidR="0094644B" w:rsidRPr="00FA3F57" w:rsidRDefault="0094644B" w:rsidP="00FB5086">
            <w:pPr>
              <w:rPr>
                <w:sz w:val="20"/>
                <w:szCs w:val="20"/>
              </w:rPr>
            </w:pPr>
            <w:r w:rsidRPr="00F07779">
              <w:rPr>
                <w:sz w:val="20"/>
                <w:szCs w:val="20"/>
              </w:rPr>
              <w:t>23</w:t>
            </w:r>
            <w:r w:rsidRPr="00FA3F57">
              <w:rPr>
                <w:sz w:val="20"/>
                <w:szCs w:val="20"/>
              </w:rPr>
              <w:t>,</w:t>
            </w:r>
            <w:r w:rsidRPr="00F07779">
              <w:rPr>
                <w:sz w:val="20"/>
                <w:szCs w:val="20"/>
              </w:rPr>
              <w:t>596</w:t>
            </w:r>
            <w:r w:rsidRPr="00FA3F57">
              <w:rPr>
                <w:sz w:val="20"/>
                <w:szCs w:val="20"/>
              </w:rPr>
              <w:t>,</w:t>
            </w:r>
            <w:r w:rsidRPr="00F07779">
              <w:rPr>
                <w:sz w:val="20"/>
                <w:szCs w:val="20"/>
              </w:rPr>
              <w:t>562.5</w:t>
            </w:r>
            <w:r w:rsidRPr="00FA3F57">
              <w:rPr>
                <w:sz w:val="20"/>
                <w:szCs w:val="20"/>
              </w:rPr>
              <w:t xml:space="preserve"> (</w:t>
            </w:r>
            <w:r w:rsidRPr="00F07779">
              <w:rPr>
                <w:sz w:val="20"/>
                <w:szCs w:val="20"/>
              </w:rPr>
              <w:t xml:space="preserve">201.25 </w:t>
            </w:r>
            <w:r w:rsidRPr="00FA3F57">
              <w:rPr>
                <w:sz w:val="20"/>
                <w:szCs w:val="20"/>
              </w:rPr>
              <w:t>million EUR)</w:t>
            </w:r>
          </w:p>
        </w:tc>
      </w:tr>
      <w:tr w:rsidR="0094644B" w:rsidRPr="00F07779" w14:paraId="5E4603DB" w14:textId="77777777" w:rsidTr="00FB5086">
        <w:tc>
          <w:tcPr>
            <w:tcW w:w="2973" w:type="dxa"/>
          </w:tcPr>
          <w:p w14:paraId="5E4DCC7E" w14:textId="77777777" w:rsidR="0094644B" w:rsidRPr="00FA3F57" w:rsidRDefault="0094644B" w:rsidP="00FB5086">
            <w:pPr>
              <w:rPr>
                <w:sz w:val="20"/>
                <w:szCs w:val="20"/>
              </w:rPr>
            </w:pPr>
            <w:r w:rsidRPr="00FA3F57">
              <w:rPr>
                <w:sz w:val="20"/>
                <w:szCs w:val="20"/>
              </w:rPr>
              <w:t>Planned investments for 2026.</w:t>
            </w:r>
            <w:r w:rsidRPr="00FA3F57">
              <w:rPr>
                <w:sz w:val="20"/>
                <w:szCs w:val="20"/>
              </w:rPr>
              <w:br/>
              <w:t>(in thousands of RSD)</w:t>
            </w:r>
          </w:p>
        </w:tc>
        <w:tc>
          <w:tcPr>
            <w:tcW w:w="5667" w:type="dxa"/>
          </w:tcPr>
          <w:p w14:paraId="69AAF355" w14:textId="77777777" w:rsidR="0094644B" w:rsidRPr="00FA3F57" w:rsidRDefault="0094644B" w:rsidP="00FB5086">
            <w:pPr>
              <w:rPr>
                <w:sz w:val="20"/>
                <w:szCs w:val="20"/>
              </w:rPr>
            </w:pPr>
            <w:r w:rsidRPr="00FA3F57">
              <w:rPr>
                <w:sz w:val="20"/>
                <w:szCs w:val="20"/>
              </w:rPr>
              <w:t xml:space="preserve">597,975 </w:t>
            </w:r>
            <w:r w:rsidRPr="00F07779">
              <w:rPr>
                <w:sz w:val="20"/>
                <w:szCs w:val="20"/>
              </w:rPr>
              <w:t>(own funds of EPS JSC)</w:t>
            </w:r>
          </w:p>
        </w:tc>
      </w:tr>
      <w:tr w:rsidR="0094644B" w:rsidRPr="00F07779" w14:paraId="3025C767" w14:textId="77777777" w:rsidTr="00FB5086">
        <w:tc>
          <w:tcPr>
            <w:tcW w:w="2973" w:type="dxa"/>
          </w:tcPr>
          <w:p w14:paraId="3F0ECBB0" w14:textId="77777777" w:rsidR="0094644B" w:rsidRPr="00FA3F57" w:rsidRDefault="0094644B" w:rsidP="00FB5086">
            <w:pPr>
              <w:rPr>
                <w:sz w:val="20"/>
                <w:szCs w:val="20"/>
              </w:rPr>
            </w:pPr>
            <w:r w:rsidRPr="00FA3F57">
              <w:rPr>
                <w:sz w:val="20"/>
                <w:szCs w:val="20"/>
              </w:rPr>
              <w:t>Planned investments for 2027.</w:t>
            </w:r>
            <w:r w:rsidRPr="00FA3F57">
              <w:rPr>
                <w:sz w:val="20"/>
                <w:szCs w:val="20"/>
              </w:rPr>
              <w:br/>
              <w:t>(in thousands of RSD)</w:t>
            </w:r>
          </w:p>
        </w:tc>
        <w:tc>
          <w:tcPr>
            <w:tcW w:w="5667" w:type="dxa"/>
          </w:tcPr>
          <w:p w14:paraId="35A904B1" w14:textId="77777777" w:rsidR="0094644B" w:rsidRPr="00FA3F57" w:rsidRDefault="0094644B" w:rsidP="00FB5086">
            <w:pPr>
              <w:rPr>
                <w:sz w:val="20"/>
                <w:szCs w:val="20"/>
              </w:rPr>
            </w:pPr>
            <w:r w:rsidRPr="00FA3F57">
              <w:rPr>
                <w:sz w:val="20"/>
                <w:szCs w:val="20"/>
              </w:rPr>
              <w:t xml:space="preserve">5,862,500 </w:t>
            </w:r>
            <w:r w:rsidRPr="00F07779">
              <w:rPr>
                <w:sz w:val="20"/>
                <w:szCs w:val="20"/>
              </w:rPr>
              <w:t>(own funds of EPS JSC)</w:t>
            </w:r>
          </w:p>
        </w:tc>
      </w:tr>
      <w:tr w:rsidR="0094644B" w:rsidRPr="00F07779" w14:paraId="2DA53DD6" w14:textId="77777777" w:rsidTr="00FB5086">
        <w:trPr>
          <w:trHeight w:val="193"/>
        </w:trPr>
        <w:tc>
          <w:tcPr>
            <w:tcW w:w="2973" w:type="dxa"/>
          </w:tcPr>
          <w:p w14:paraId="345F90BD" w14:textId="77777777" w:rsidR="0094644B" w:rsidRPr="00FA3F57" w:rsidRDefault="0094644B" w:rsidP="00FB5086">
            <w:pPr>
              <w:rPr>
                <w:sz w:val="20"/>
                <w:szCs w:val="20"/>
              </w:rPr>
            </w:pPr>
            <w:r w:rsidRPr="00FA3F57">
              <w:rPr>
                <w:sz w:val="20"/>
                <w:szCs w:val="20"/>
              </w:rPr>
              <w:t>Planned investments for 2028.</w:t>
            </w:r>
            <w:r w:rsidRPr="00FA3F57">
              <w:rPr>
                <w:sz w:val="20"/>
                <w:szCs w:val="20"/>
              </w:rPr>
              <w:br/>
              <w:t>(in thousands of RSD)</w:t>
            </w:r>
          </w:p>
        </w:tc>
        <w:tc>
          <w:tcPr>
            <w:tcW w:w="5667" w:type="dxa"/>
          </w:tcPr>
          <w:p w14:paraId="51405FBA" w14:textId="77777777" w:rsidR="0094644B" w:rsidRPr="00FA3F57" w:rsidRDefault="0094644B" w:rsidP="00FB5086">
            <w:pPr>
              <w:rPr>
                <w:sz w:val="20"/>
                <w:szCs w:val="20"/>
              </w:rPr>
            </w:pPr>
            <w:r w:rsidRPr="00FA3F57">
              <w:rPr>
                <w:sz w:val="20"/>
                <w:szCs w:val="20"/>
              </w:rPr>
              <w:t xml:space="preserve">16,415,000 </w:t>
            </w:r>
            <w:r w:rsidRPr="00F07779">
              <w:rPr>
                <w:sz w:val="20"/>
                <w:szCs w:val="20"/>
              </w:rPr>
              <w:t>(own funds of EPS JSC)</w:t>
            </w:r>
          </w:p>
        </w:tc>
      </w:tr>
    </w:tbl>
    <w:p w14:paraId="3741F75C" w14:textId="77777777" w:rsidR="0094644B" w:rsidRPr="00FA3F57" w:rsidRDefault="0094644B" w:rsidP="0094644B">
      <w:pPr>
        <w:tabs>
          <w:tab w:val="left" w:pos="1276"/>
          <w:tab w:val="left" w:pos="1560"/>
        </w:tabs>
      </w:pPr>
    </w:p>
    <w:p w14:paraId="78BB5C3C" w14:textId="77777777" w:rsidR="0094644B" w:rsidRPr="00FA3F57" w:rsidRDefault="0094644B" w:rsidP="0094644B">
      <w:pPr>
        <w:tabs>
          <w:tab w:val="left" w:pos="1276"/>
          <w:tab w:val="left" w:pos="1560"/>
        </w:tabs>
      </w:pPr>
    </w:p>
    <w:tbl>
      <w:tblPr>
        <w:tblStyle w:val="TableGrid"/>
        <w:tblW w:w="0" w:type="auto"/>
        <w:tblLook w:val="04A0" w:firstRow="1" w:lastRow="0" w:firstColumn="1" w:lastColumn="0" w:noHBand="0" w:noVBand="1"/>
      </w:tblPr>
      <w:tblGrid>
        <w:gridCol w:w="2973"/>
        <w:gridCol w:w="5667"/>
      </w:tblGrid>
      <w:tr w:rsidR="0094644B" w:rsidRPr="00F07779" w14:paraId="0FA9D54F" w14:textId="77777777" w:rsidTr="00FB5086">
        <w:tc>
          <w:tcPr>
            <w:tcW w:w="2973" w:type="dxa"/>
            <w:shd w:val="clear" w:color="auto" w:fill="D9D9D9" w:themeFill="background1" w:themeFillShade="D9"/>
          </w:tcPr>
          <w:p w14:paraId="46CE6581" w14:textId="77777777" w:rsidR="0094644B" w:rsidRPr="00FA3F57" w:rsidRDefault="0094644B" w:rsidP="00FB5086">
            <w:pPr>
              <w:rPr>
                <w:sz w:val="20"/>
                <w:szCs w:val="20"/>
              </w:rPr>
            </w:pPr>
            <w:r w:rsidRPr="00FA3F57">
              <w:rPr>
                <w:sz w:val="20"/>
                <w:szCs w:val="20"/>
              </w:rPr>
              <w:t>Activity EL1.1</w:t>
            </w:r>
          </w:p>
        </w:tc>
        <w:tc>
          <w:tcPr>
            <w:tcW w:w="5667" w:type="dxa"/>
            <w:shd w:val="clear" w:color="auto" w:fill="D9D9D9" w:themeFill="background1" w:themeFillShade="D9"/>
          </w:tcPr>
          <w:p w14:paraId="7718DB81" w14:textId="77777777" w:rsidR="0094644B" w:rsidRPr="00FA3F57" w:rsidRDefault="0094644B" w:rsidP="00FB5086">
            <w:pPr>
              <w:rPr>
                <w:sz w:val="20"/>
                <w:szCs w:val="20"/>
              </w:rPr>
            </w:pPr>
            <w:r w:rsidRPr="00FA3F57">
              <w:rPr>
                <w:sz w:val="20"/>
                <w:szCs w:val="20"/>
              </w:rPr>
              <w:t>Investment projects of revitalization (reconstruction) and modernization of power plants</w:t>
            </w:r>
          </w:p>
        </w:tc>
      </w:tr>
      <w:tr w:rsidR="0094644B" w:rsidRPr="00F07779" w14:paraId="778213C4" w14:textId="77777777" w:rsidTr="00FB5086">
        <w:tc>
          <w:tcPr>
            <w:tcW w:w="2973" w:type="dxa"/>
            <w:shd w:val="clear" w:color="auto" w:fill="D9E2F3" w:themeFill="accent1" w:themeFillTint="33"/>
          </w:tcPr>
          <w:p w14:paraId="0168EB7B" w14:textId="77777777" w:rsidR="0094644B" w:rsidRPr="00FA3F57" w:rsidRDefault="0094644B" w:rsidP="00FB5086">
            <w:pPr>
              <w:rPr>
                <w:sz w:val="20"/>
                <w:szCs w:val="20"/>
              </w:rPr>
            </w:pPr>
            <w:r w:rsidRPr="00FA3F57">
              <w:rPr>
                <w:sz w:val="20"/>
                <w:szCs w:val="20"/>
              </w:rPr>
              <w:t>Name of the project</w:t>
            </w:r>
          </w:p>
        </w:tc>
        <w:tc>
          <w:tcPr>
            <w:tcW w:w="5667" w:type="dxa"/>
            <w:shd w:val="clear" w:color="auto" w:fill="D9E2F3" w:themeFill="accent1" w:themeFillTint="33"/>
          </w:tcPr>
          <w:p w14:paraId="311E6E81" w14:textId="77777777" w:rsidR="0094644B" w:rsidRPr="00FA3F57" w:rsidRDefault="0094644B" w:rsidP="00FB5086">
            <w:pPr>
              <w:rPr>
                <w:sz w:val="20"/>
                <w:szCs w:val="20"/>
              </w:rPr>
            </w:pPr>
            <w:r w:rsidRPr="00F07779">
              <w:rPr>
                <w:sz w:val="20"/>
                <w:szCs w:val="20"/>
              </w:rPr>
              <w:t xml:space="preserve">Revitalization and capacity increase of the HPP </w:t>
            </w:r>
            <w:proofErr w:type="spellStart"/>
            <w:r w:rsidRPr="00F07779">
              <w:rPr>
                <w:sz w:val="20"/>
                <w:szCs w:val="20"/>
              </w:rPr>
              <w:t>Đerdap</w:t>
            </w:r>
            <w:proofErr w:type="spellEnd"/>
            <w:r w:rsidRPr="00F07779">
              <w:rPr>
                <w:sz w:val="20"/>
                <w:szCs w:val="20"/>
              </w:rPr>
              <w:t xml:space="preserve"> 2 </w:t>
            </w:r>
          </w:p>
        </w:tc>
      </w:tr>
      <w:tr w:rsidR="0094644B" w:rsidRPr="00F07779" w14:paraId="0AF45A09" w14:textId="77777777" w:rsidTr="00FB5086">
        <w:tc>
          <w:tcPr>
            <w:tcW w:w="2973" w:type="dxa"/>
          </w:tcPr>
          <w:p w14:paraId="543D47CA" w14:textId="77777777" w:rsidR="0094644B" w:rsidRPr="00FA3F57" w:rsidRDefault="0094644B" w:rsidP="00FB5086">
            <w:pPr>
              <w:rPr>
                <w:sz w:val="20"/>
                <w:szCs w:val="20"/>
              </w:rPr>
            </w:pPr>
            <w:r w:rsidRPr="00FA3F57">
              <w:rPr>
                <w:sz w:val="20"/>
                <w:szCs w:val="20"/>
              </w:rPr>
              <w:t>Short description of the investment</w:t>
            </w:r>
          </w:p>
        </w:tc>
        <w:tc>
          <w:tcPr>
            <w:tcW w:w="5667" w:type="dxa"/>
          </w:tcPr>
          <w:p w14:paraId="4DF80319" w14:textId="77777777" w:rsidR="0094644B" w:rsidRPr="00FA3F57" w:rsidRDefault="0094644B" w:rsidP="00FB5086">
            <w:pPr>
              <w:rPr>
                <w:sz w:val="20"/>
                <w:szCs w:val="20"/>
              </w:rPr>
            </w:pPr>
            <w:r w:rsidRPr="00F07779">
              <w:rPr>
                <w:sz w:val="20"/>
                <w:szCs w:val="20"/>
              </w:rPr>
              <w:t xml:space="preserve">The revitalization plan involves modernizing one turbine unit per year, aiming to upgrade all ten units of the HPP </w:t>
            </w:r>
            <w:proofErr w:type="spellStart"/>
            <w:r w:rsidRPr="00F07779">
              <w:rPr>
                <w:sz w:val="20"/>
                <w:szCs w:val="20"/>
              </w:rPr>
              <w:t>Đerdap</w:t>
            </w:r>
            <w:proofErr w:type="spellEnd"/>
            <w:r w:rsidRPr="00F07779">
              <w:rPr>
                <w:sz w:val="20"/>
                <w:szCs w:val="20"/>
              </w:rPr>
              <w:t xml:space="preserve"> 2 over ten years. The capacity of each turbine unit would be increased from 27 MW to 32 MW, and the operational lifespan of the power plant would be extended by an additional 30 years.</w:t>
            </w:r>
          </w:p>
          <w:p w14:paraId="3E9BB371" w14:textId="77777777" w:rsidR="0094644B" w:rsidRPr="00FA3F57" w:rsidRDefault="0094644B" w:rsidP="00FB5086">
            <w:pPr>
              <w:rPr>
                <w:sz w:val="20"/>
                <w:szCs w:val="20"/>
              </w:rPr>
            </w:pPr>
            <w:r w:rsidRPr="00FA3F57">
              <w:rPr>
                <w:sz w:val="20"/>
                <w:szCs w:val="20"/>
              </w:rPr>
              <w:t>Expected dynamics of project implementation:</w:t>
            </w:r>
          </w:p>
          <w:p w14:paraId="763FDC53" w14:textId="77777777" w:rsidR="0094644B" w:rsidRPr="00FA3F57" w:rsidRDefault="0094644B" w:rsidP="00FB5086">
            <w:pPr>
              <w:rPr>
                <w:sz w:val="20"/>
                <w:szCs w:val="20"/>
              </w:rPr>
            </w:pPr>
            <w:r w:rsidRPr="00F07779">
              <w:rPr>
                <w:sz w:val="20"/>
                <w:szCs w:val="20"/>
              </w:rPr>
              <w:t xml:space="preserve">2028. Start of the </w:t>
            </w:r>
            <w:r w:rsidRPr="00FA3F57">
              <w:rPr>
                <w:sz w:val="20"/>
                <w:szCs w:val="20"/>
              </w:rPr>
              <w:t>p</w:t>
            </w:r>
            <w:r w:rsidRPr="00F07779">
              <w:rPr>
                <w:sz w:val="20"/>
                <w:szCs w:val="20"/>
              </w:rPr>
              <w:t>roject</w:t>
            </w:r>
          </w:p>
        </w:tc>
      </w:tr>
      <w:tr w:rsidR="0094644B" w:rsidRPr="00F07779" w14:paraId="71DD6B17" w14:textId="77777777" w:rsidTr="00FB5086">
        <w:tc>
          <w:tcPr>
            <w:tcW w:w="2973" w:type="dxa"/>
          </w:tcPr>
          <w:p w14:paraId="5B2EC4BD" w14:textId="77777777" w:rsidR="0094644B" w:rsidRPr="00FA3F57" w:rsidRDefault="0094644B" w:rsidP="00FB5086">
            <w:pPr>
              <w:rPr>
                <w:sz w:val="20"/>
                <w:szCs w:val="20"/>
              </w:rPr>
            </w:pPr>
            <w:r w:rsidRPr="00FA3F57">
              <w:rPr>
                <w:sz w:val="20"/>
                <w:szCs w:val="20"/>
              </w:rPr>
              <w:t>Institutions responsible for the implementation of measures and activities</w:t>
            </w:r>
          </w:p>
        </w:tc>
        <w:tc>
          <w:tcPr>
            <w:tcW w:w="5667" w:type="dxa"/>
          </w:tcPr>
          <w:p w14:paraId="2C3E6CB7" w14:textId="77777777" w:rsidR="0094644B" w:rsidRPr="00FA3F57" w:rsidRDefault="0094644B" w:rsidP="00FB5086">
            <w:pPr>
              <w:rPr>
                <w:sz w:val="20"/>
                <w:szCs w:val="20"/>
              </w:rPr>
            </w:pPr>
            <w:r w:rsidRPr="00FA3F57">
              <w:rPr>
                <w:sz w:val="20"/>
                <w:szCs w:val="20"/>
              </w:rPr>
              <w:t>EPS JSC Belgrade</w:t>
            </w:r>
          </w:p>
        </w:tc>
      </w:tr>
      <w:tr w:rsidR="0094644B" w:rsidRPr="00F07779" w14:paraId="5215E541" w14:textId="77777777" w:rsidTr="00FB5086">
        <w:tc>
          <w:tcPr>
            <w:tcW w:w="2973" w:type="dxa"/>
          </w:tcPr>
          <w:p w14:paraId="56623D8D" w14:textId="77777777" w:rsidR="0094644B" w:rsidRPr="00FA3F57" w:rsidRDefault="0094644B" w:rsidP="00FB5086">
            <w:pPr>
              <w:rPr>
                <w:sz w:val="20"/>
                <w:szCs w:val="20"/>
              </w:rPr>
            </w:pPr>
            <w:r w:rsidRPr="00FA3F57">
              <w:rPr>
                <w:sz w:val="20"/>
                <w:szCs w:val="20"/>
              </w:rPr>
              <w:t>Institutions responsible for monitoring implementation and reporting on the realization</w:t>
            </w:r>
          </w:p>
        </w:tc>
        <w:tc>
          <w:tcPr>
            <w:tcW w:w="5667" w:type="dxa"/>
          </w:tcPr>
          <w:p w14:paraId="11E02F27" w14:textId="77777777" w:rsidR="0094644B" w:rsidRPr="00F07779" w:rsidRDefault="0094644B" w:rsidP="00FB5086">
            <w:pPr>
              <w:rPr>
                <w:sz w:val="20"/>
                <w:szCs w:val="20"/>
              </w:rPr>
            </w:pPr>
            <w:r w:rsidRPr="00FA3F57">
              <w:rPr>
                <w:sz w:val="20"/>
                <w:szCs w:val="20"/>
              </w:rPr>
              <w:t>EPS JSC Belgrade</w:t>
            </w:r>
          </w:p>
          <w:p w14:paraId="607DB858" w14:textId="77777777" w:rsidR="0094644B" w:rsidRPr="00FA3F57" w:rsidRDefault="0094644B" w:rsidP="00FB5086">
            <w:pPr>
              <w:rPr>
                <w:sz w:val="20"/>
                <w:szCs w:val="20"/>
              </w:rPr>
            </w:pPr>
            <w:r w:rsidRPr="00F07779">
              <w:rPr>
                <w:sz w:val="20"/>
                <w:szCs w:val="20"/>
              </w:rPr>
              <w:t>Ministry of Mining and Energy</w:t>
            </w:r>
          </w:p>
        </w:tc>
      </w:tr>
      <w:tr w:rsidR="0094644B" w:rsidRPr="00F07779" w14:paraId="7257C5F8" w14:textId="77777777" w:rsidTr="00FB5086">
        <w:tc>
          <w:tcPr>
            <w:tcW w:w="2973" w:type="dxa"/>
          </w:tcPr>
          <w:p w14:paraId="2D08CDEC" w14:textId="77777777" w:rsidR="0094644B" w:rsidRPr="00FA3F57" w:rsidRDefault="0094644B" w:rsidP="00FB5086">
            <w:pPr>
              <w:rPr>
                <w:sz w:val="20"/>
                <w:szCs w:val="20"/>
              </w:rPr>
            </w:pPr>
            <w:r w:rsidRPr="00FA3F57">
              <w:rPr>
                <w:sz w:val="20"/>
                <w:szCs w:val="20"/>
              </w:rPr>
              <w:t>Year of project funding start</w:t>
            </w:r>
          </w:p>
        </w:tc>
        <w:tc>
          <w:tcPr>
            <w:tcW w:w="5667" w:type="dxa"/>
          </w:tcPr>
          <w:p w14:paraId="45D0B25F" w14:textId="77777777" w:rsidR="0094644B" w:rsidRPr="00FA3F57" w:rsidRDefault="0094644B" w:rsidP="00FB5086">
            <w:pPr>
              <w:rPr>
                <w:sz w:val="20"/>
                <w:szCs w:val="20"/>
              </w:rPr>
            </w:pPr>
            <w:r w:rsidRPr="00FA3F57">
              <w:rPr>
                <w:sz w:val="20"/>
                <w:szCs w:val="20"/>
              </w:rPr>
              <w:t>n/a</w:t>
            </w:r>
          </w:p>
        </w:tc>
      </w:tr>
      <w:tr w:rsidR="0094644B" w:rsidRPr="00F07779" w14:paraId="59B6AC6F" w14:textId="77777777" w:rsidTr="00FB5086">
        <w:tc>
          <w:tcPr>
            <w:tcW w:w="2973" w:type="dxa"/>
          </w:tcPr>
          <w:p w14:paraId="2C52A4AB" w14:textId="77777777" w:rsidR="0094644B" w:rsidRPr="00FA3F57" w:rsidRDefault="0094644B" w:rsidP="00FB5086">
            <w:pPr>
              <w:rPr>
                <w:sz w:val="20"/>
                <w:szCs w:val="20"/>
              </w:rPr>
            </w:pPr>
            <w:r w:rsidRPr="00FA3F57">
              <w:rPr>
                <w:sz w:val="20"/>
                <w:szCs w:val="20"/>
              </w:rPr>
              <w:t>Year of completion of project funding</w:t>
            </w:r>
          </w:p>
        </w:tc>
        <w:tc>
          <w:tcPr>
            <w:tcW w:w="5667" w:type="dxa"/>
          </w:tcPr>
          <w:p w14:paraId="79840B69" w14:textId="77777777" w:rsidR="0094644B" w:rsidRPr="00FA3F57" w:rsidRDefault="0094644B" w:rsidP="00FB5086">
            <w:pPr>
              <w:rPr>
                <w:sz w:val="20"/>
                <w:szCs w:val="20"/>
              </w:rPr>
            </w:pPr>
            <w:r w:rsidRPr="00FA3F57">
              <w:rPr>
                <w:sz w:val="20"/>
                <w:szCs w:val="20"/>
              </w:rPr>
              <w:t>2038.</w:t>
            </w:r>
          </w:p>
        </w:tc>
      </w:tr>
      <w:tr w:rsidR="0094644B" w:rsidRPr="00F07779" w14:paraId="5F2513FD" w14:textId="77777777" w:rsidTr="00FB5086">
        <w:tc>
          <w:tcPr>
            <w:tcW w:w="2973" w:type="dxa"/>
          </w:tcPr>
          <w:p w14:paraId="500210BD" w14:textId="77777777" w:rsidR="0094644B" w:rsidRPr="00FA3F57" w:rsidRDefault="0094644B" w:rsidP="00FB5086">
            <w:pPr>
              <w:rPr>
                <w:sz w:val="20"/>
                <w:szCs w:val="20"/>
              </w:rPr>
            </w:pPr>
            <w:r w:rsidRPr="00FA3F57">
              <w:rPr>
                <w:sz w:val="20"/>
                <w:szCs w:val="20"/>
              </w:rPr>
              <w:t>Total project value</w:t>
            </w:r>
            <w:r w:rsidRPr="00FA3F57">
              <w:rPr>
                <w:sz w:val="20"/>
                <w:szCs w:val="20"/>
              </w:rPr>
              <w:br/>
              <w:t>(in thousands of RSD)</w:t>
            </w:r>
          </w:p>
        </w:tc>
        <w:tc>
          <w:tcPr>
            <w:tcW w:w="5667" w:type="dxa"/>
          </w:tcPr>
          <w:p w14:paraId="7A490A82" w14:textId="77777777" w:rsidR="0094644B" w:rsidRPr="00FA3F57" w:rsidRDefault="0094644B" w:rsidP="00FB5086">
            <w:pPr>
              <w:rPr>
                <w:b/>
                <w:bCs/>
                <w:sz w:val="20"/>
                <w:szCs w:val="20"/>
              </w:rPr>
            </w:pPr>
            <w:r w:rsidRPr="00F07779">
              <w:rPr>
                <w:color w:val="000000"/>
                <w:sz w:val="20"/>
                <w:szCs w:val="20"/>
              </w:rPr>
              <w:t>26</w:t>
            </w:r>
            <w:r w:rsidRPr="00FA3F57">
              <w:rPr>
                <w:color w:val="000000"/>
                <w:sz w:val="20"/>
                <w:szCs w:val="20"/>
              </w:rPr>
              <w:t>,</w:t>
            </w:r>
            <w:r w:rsidRPr="00F07779">
              <w:rPr>
                <w:color w:val="000000"/>
                <w:sz w:val="20"/>
                <w:szCs w:val="20"/>
              </w:rPr>
              <w:t>967</w:t>
            </w:r>
            <w:r w:rsidRPr="00FA3F57">
              <w:rPr>
                <w:color w:val="000000"/>
                <w:sz w:val="20"/>
                <w:szCs w:val="20"/>
              </w:rPr>
              <w:t>,</w:t>
            </w:r>
            <w:r w:rsidRPr="00F07779">
              <w:rPr>
                <w:color w:val="000000"/>
                <w:sz w:val="20"/>
                <w:szCs w:val="20"/>
              </w:rPr>
              <w:t>500</w:t>
            </w:r>
            <w:r w:rsidRPr="00FA3F57">
              <w:rPr>
                <w:sz w:val="20"/>
                <w:szCs w:val="20"/>
              </w:rPr>
              <w:t xml:space="preserve"> (230 million EUR)</w:t>
            </w:r>
          </w:p>
        </w:tc>
      </w:tr>
      <w:tr w:rsidR="0094644B" w:rsidRPr="00F07779" w14:paraId="6945AF17" w14:textId="77777777" w:rsidTr="00FB5086">
        <w:tc>
          <w:tcPr>
            <w:tcW w:w="2973" w:type="dxa"/>
          </w:tcPr>
          <w:p w14:paraId="2C7CA701" w14:textId="77777777" w:rsidR="0094644B" w:rsidRPr="00FA3F57" w:rsidRDefault="0094644B" w:rsidP="00FB5086">
            <w:pPr>
              <w:rPr>
                <w:sz w:val="20"/>
                <w:szCs w:val="20"/>
              </w:rPr>
            </w:pPr>
            <w:r w:rsidRPr="00FA3F57">
              <w:rPr>
                <w:sz w:val="20"/>
                <w:szCs w:val="20"/>
              </w:rPr>
              <w:lastRenderedPageBreak/>
              <w:t>Planned investments for 2026.</w:t>
            </w:r>
            <w:r w:rsidRPr="00FA3F57">
              <w:rPr>
                <w:sz w:val="20"/>
                <w:szCs w:val="20"/>
              </w:rPr>
              <w:br/>
              <w:t>(in thousands of RSD)</w:t>
            </w:r>
          </w:p>
        </w:tc>
        <w:tc>
          <w:tcPr>
            <w:tcW w:w="5667" w:type="dxa"/>
          </w:tcPr>
          <w:p w14:paraId="451F9FE3" w14:textId="77777777" w:rsidR="0094644B" w:rsidRPr="00FA3F57" w:rsidRDefault="0094644B" w:rsidP="00FB5086">
            <w:pPr>
              <w:rPr>
                <w:sz w:val="20"/>
                <w:szCs w:val="20"/>
              </w:rPr>
            </w:pPr>
            <w:r w:rsidRPr="00FA3F57">
              <w:rPr>
                <w:sz w:val="20"/>
                <w:szCs w:val="20"/>
              </w:rPr>
              <w:t>0</w:t>
            </w:r>
          </w:p>
        </w:tc>
      </w:tr>
      <w:tr w:rsidR="0094644B" w:rsidRPr="00F07779" w14:paraId="44B1F76F" w14:textId="77777777" w:rsidTr="00FB5086">
        <w:tc>
          <w:tcPr>
            <w:tcW w:w="2973" w:type="dxa"/>
          </w:tcPr>
          <w:p w14:paraId="315AE737" w14:textId="77777777" w:rsidR="0094644B" w:rsidRPr="00FA3F57" w:rsidRDefault="0094644B" w:rsidP="00FB5086">
            <w:pPr>
              <w:rPr>
                <w:sz w:val="20"/>
                <w:szCs w:val="20"/>
              </w:rPr>
            </w:pPr>
            <w:r w:rsidRPr="00FA3F57">
              <w:rPr>
                <w:sz w:val="20"/>
                <w:szCs w:val="20"/>
              </w:rPr>
              <w:t>Planned investments for 2027.</w:t>
            </w:r>
            <w:r w:rsidRPr="00FA3F57">
              <w:rPr>
                <w:sz w:val="20"/>
                <w:szCs w:val="20"/>
              </w:rPr>
              <w:br/>
              <w:t>(in thousands of RSD)</w:t>
            </w:r>
          </w:p>
        </w:tc>
        <w:tc>
          <w:tcPr>
            <w:tcW w:w="5667" w:type="dxa"/>
          </w:tcPr>
          <w:p w14:paraId="0764E500" w14:textId="77777777" w:rsidR="0094644B" w:rsidRPr="00FA3F57" w:rsidRDefault="0094644B" w:rsidP="00FB5086">
            <w:pPr>
              <w:rPr>
                <w:sz w:val="20"/>
                <w:szCs w:val="20"/>
              </w:rPr>
            </w:pPr>
            <w:r w:rsidRPr="00FA3F57">
              <w:rPr>
                <w:sz w:val="20"/>
                <w:szCs w:val="20"/>
              </w:rPr>
              <w:t>0</w:t>
            </w:r>
          </w:p>
        </w:tc>
      </w:tr>
      <w:tr w:rsidR="0094644B" w:rsidRPr="00F07779" w14:paraId="731F456E" w14:textId="77777777" w:rsidTr="00FB5086">
        <w:tc>
          <w:tcPr>
            <w:tcW w:w="2973" w:type="dxa"/>
          </w:tcPr>
          <w:p w14:paraId="7A6E2D45" w14:textId="77777777" w:rsidR="0094644B" w:rsidRPr="00FA3F57" w:rsidRDefault="0094644B" w:rsidP="00FB5086">
            <w:pPr>
              <w:rPr>
                <w:sz w:val="20"/>
                <w:szCs w:val="20"/>
              </w:rPr>
            </w:pPr>
            <w:r w:rsidRPr="00FA3F57">
              <w:rPr>
                <w:sz w:val="20"/>
                <w:szCs w:val="20"/>
              </w:rPr>
              <w:t>Planned investments for 2028.</w:t>
            </w:r>
            <w:r w:rsidRPr="00FA3F57">
              <w:rPr>
                <w:sz w:val="20"/>
                <w:szCs w:val="20"/>
              </w:rPr>
              <w:br/>
              <w:t>(in thousands of RSD)</w:t>
            </w:r>
          </w:p>
        </w:tc>
        <w:tc>
          <w:tcPr>
            <w:tcW w:w="5667" w:type="dxa"/>
          </w:tcPr>
          <w:p w14:paraId="6FCBA900" w14:textId="77777777" w:rsidR="0094644B" w:rsidRPr="00FA3F57" w:rsidRDefault="0094644B" w:rsidP="00FB5086">
            <w:pPr>
              <w:rPr>
                <w:sz w:val="20"/>
                <w:szCs w:val="20"/>
              </w:rPr>
            </w:pPr>
            <w:r w:rsidRPr="00F07779">
              <w:rPr>
                <w:color w:val="000000"/>
                <w:sz w:val="20"/>
                <w:szCs w:val="20"/>
              </w:rPr>
              <w:t>5</w:t>
            </w:r>
            <w:r w:rsidRPr="00FA3F57">
              <w:rPr>
                <w:color w:val="000000"/>
                <w:sz w:val="20"/>
                <w:szCs w:val="20"/>
              </w:rPr>
              <w:t>,</w:t>
            </w:r>
            <w:r w:rsidRPr="00F07779">
              <w:rPr>
                <w:color w:val="000000"/>
                <w:sz w:val="20"/>
                <w:szCs w:val="20"/>
              </w:rPr>
              <w:t>276,25</w:t>
            </w:r>
            <w:r w:rsidRPr="00FA3F57">
              <w:rPr>
                <w:color w:val="000000"/>
                <w:sz w:val="20"/>
                <w:szCs w:val="20"/>
              </w:rPr>
              <w:t>0</w:t>
            </w:r>
            <w:r w:rsidRPr="00FA3F57">
              <w:rPr>
                <w:sz w:val="20"/>
                <w:szCs w:val="20"/>
              </w:rPr>
              <w:t xml:space="preserve"> </w:t>
            </w:r>
            <w:r w:rsidRPr="00F07779">
              <w:rPr>
                <w:sz w:val="20"/>
                <w:szCs w:val="20"/>
              </w:rPr>
              <w:t>(loan)</w:t>
            </w:r>
          </w:p>
        </w:tc>
      </w:tr>
    </w:tbl>
    <w:p w14:paraId="11B7847A" w14:textId="77777777" w:rsidR="0094644B" w:rsidRPr="00F07779" w:rsidRDefault="0094644B" w:rsidP="0094644B"/>
    <w:tbl>
      <w:tblPr>
        <w:tblStyle w:val="TableGrid"/>
        <w:tblW w:w="0" w:type="auto"/>
        <w:tblLook w:val="04A0" w:firstRow="1" w:lastRow="0" w:firstColumn="1" w:lastColumn="0" w:noHBand="0" w:noVBand="1"/>
      </w:tblPr>
      <w:tblGrid>
        <w:gridCol w:w="2973"/>
        <w:gridCol w:w="5667"/>
      </w:tblGrid>
      <w:tr w:rsidR="0094644B" w:rsidRPr="00F07779" w14:paraId="565BDFCA" w14:textId="77777777" w:rsidTr="00FB5086">
        <w:tc>
          <w:tcPr>
            <w:tcW w:w="2973" w:type="dxa"/>
            <w:shd w:val="clear" w:color="auto" w:fill="D0CECE" w:themeFill="background2" w:themeFillShade="E6"/>
          </w:tcPr>
          <w:p w14:paraId="4861E502" w14:textId="77777777" w:rsidR="0094644B" w:rsidRPr="00FA3F57" w:rsidRDefault="0094644B" w:rsidP="00FB5086">
            <w:pPr>
              <w:rPr>
                <w:sz w:val="20"/>
                <w:szCs w:val="20"/>
              </w:rPr>
            </w:pPr>
            <w:r w:rsidRPr="00FA3F57">
              <w:rPr>
                <w:sz w:val="20"/>
                <w:szCs w:val="20"/>
              </w:rPr>
              <w:t>Activity EL1.1</w:t>
            </w:r>
          </w:p>
        </w:tc>
        <w:tc>
          <w:tcPr>
            <w:tcW w:w="5667" w:type="dxa"/>
            <w:shd w:val="clear" w:color="auto" w:fill="D0CECE" w:themeFill="background2" w:themeFillShade="E6"/>
          </w:tcPr>
          <w:p w14:paraId="6E9B4967" w14:textId="77777777" w:rsidR="0094644B" w:rsidRPr="00FA3F57" w:rsidRDefault="0094644B" w:rsidP="00FB5086">
            <w:pPr>
              <w:rPr>
                <w:sz w:val="20"/>
                <w:szCs w:val="20"/>
              </w:rPr>
            </w:pPr>
            <w:r w:rsidRPr="00FA3F57">
              <w:rPr>
                <w:sz w:val="20"/>
                <w:szCs w:val="20"/>
              </w:rPr>
              <w:t>Investment projects of revitalization (reconstruction) and modernization of power plants</w:t>
            </w:r>
          </w:p>
        </w:tc>
      </w:tr>
      <w:tr w:rsidR="0094644B" w:rsidRPr="00F07779" w14:paraId="49898C3A" w14:textId="77777777" w:rsidTr="00FB5086">
        <w:tc>
          <w:tcPr>
            <w:tcW w:w="2973" w:type="dxa"/>
            <w:shd w:val="clear" w:color="auto" w:fill="D9E2F3" w:themeFill="accent1" w:themeFillTint="33"/>
          </w:tcPr>
          <w:p w14:paraId="1DA52D77" w14:textId="77777777" w:rsidR="0094644B" w:rsidRPr="00FA3F57" w:rsidRDefault="0094644B" w:rsidP="00FB5086">
            <w:pPr>
              <w:rPr>
                <w:sz w:val="20"/>
                <w:szCs w:val="20"/>
              </w:rPr>
            </w:pPr>
            <w:r w:rsidRPr="00FA3F57">
              <w:rPr>
                <w:sz w:val="20"/>
                <w:szCs w:val="20"/>
              </w:rPr>
              <w:t>Name of the project</w:t>
            </w:r>
          </w:p>
        </w:tc>
        <w:tc>
          <w:tcPr>
            <w:tcW w:w="5667" w:type="dxa"/>
            <w:shd w:val="clear" w:color="auto" w:fill="D9E2F3" w:themeFill="accent1" w:themeFillTint="33"/>
          </w:tcPr>
          <w:p w14:paraId="64CDE2FA" w14:textId="77777777" w:rsidR="0094644B" w:rsidRPr="00FA3F57" w:rsidRDefault="0094644B" w:rsidP="00FB5086">
            <w:pPr>
              <w:rPr>
                <w:sz w:val="20"/>
                <w:szCs w:val="20"/>
              </w:rPr>
            </w:pPr>
            <w:r w:rsidRPr="00F07779">
              <w:rPr>
                <w:sz w:val="20"/>
                <w:szCs w:val="20"/>
              </w:rPr>
              <w:t xml:space="preserve">Revitalization and capacity increase of HPP </w:t>
            </w:r>
            <w:proofErr w:type="spellStart"/>
            <w:r w:rsidRPr="00F07779">
              <w:rPr>
                <w:sz w:val="20"/>
                <w:szCs w:val="20"/>
              </w:rPr>
              <w:t>Vlasina</w:t>
            </w:r>
            <w:proofErr w:type="spellEnd"/>
            <w:r w:rsidRPr="00F07779">
              <w:rPr>
                <w:sz w:val="20"/>
                <w:szCs w:val="20"/>
              </w:rPr>
              <w:t xml:space="preserve"> </w:t>
            </w:r>
          </w:p>
        </w:tc>
      </w:tr>
      <w:tr w:rsidR="0094644B" w:rsidRPr="00F07779" w14:paraId="0B0EB1E6" w14:textId="77777777" w:rsidTr="00FB5086">
        <w:tc>
          <w:tcPr>
            <w:tcW w:w="2973" w:type="dxa"/>
          </w:tcPr>
          <w:p w14:paraId="3CD56D21" w14:textId="77777777" w:rsidR="0094644B" w:rsidRPr="00FA3F57" w:rsidRDefault="0094644B" w:rsidP="00FB5086">
            <w:pPr>
              <w:rPr>
                <w:sz w:val="20"/>
                <w:szCs w:val="20"/>
              </w:rPr>
            </w:pPr>
            <w:r w:rsidRPr="00FA3F57">
              <w:rPr>
                <w:sz w:val="20"/>
                <w:szCs w:val="20"/>
              </w:rPr>
              <w:t>Short description of the investment</w:t>
            </w:r>
          </w:p>
        </w:tc>
        <w:tc>
          <w:tcPr>
            <w:tcW w:w="5667" w:type="dxa"/>
          </w:tcPr>
          <w:p w14:paraId="62C85F95" w14:textId="77777777" w:rsidR="0094644B" w:rsidRPr="00FA3F57" w:rsidRDefault="0094644B" w:rsidP="00FB5086">
            <w:pPr>
              <w:rPr>
                <w:sz w:val="20"/>
                <w:szCs w:val="20"/>
              </w:rPr>
            </w:pPr>
            <w:r w:rsidRPr="00F07779">
              <w:rPr>
                <w:sz w:val="20"/>
                <w:szCs w:val="20"/>
              </w:rPr>
              <w:t xml:space="preserve">Based on the approved technical documentation (Conceptual Design and Feasibility Study), the project foresees the replacement of the complete mechanical and electrical equipment of the HPP </w:t>
            </w:r>
            <w:proofErr w:type="spellStart"/>
            <w:r w:rsidRPr="00F07779">
              <w:rPr>
                <w:sz w:val="20"/>
                <w:szCs w:val="20"/>
              </w:rPr>
              <w:t>Vlasina</w:t>
            </w:r>
            <w:proofErr w:type="spellEnd"/>
            <w:r w:rsidRPr="00F07779">
              <w:rPr>
                <w:sz w:val="20"/>
                <w:szCs w:val="20"/>
              </w:rPr>
              <w:t xml:space="preserve"> units (HPP Vrla 1 to HPP Vrla 4), as well as the associated auxiliary systems of the power plants, due to the expiration of the equipment’s operational life (obsolescence, wear and tear, and the impossibility of repairing or purchasing new parts for the existing equipment on the market). The new equipment for the units (turbines and generators) will feature a modern design with increased capacity and efficiency.</w:t>
            </w:r>
          </w:p>
          <w:p w14:paraId="3C07B3BE" w14:textId="77777777" w:rsidR="0094644B" w:rsidRPr="00FA3F57" w:rsidRDefault="0094644B" w:rsidP="00FB5086">
            <w:pPr>
              <w:rPr>
                <w:sz w:val="20"/>
                <w:szCs w:val="20"/>
              </w:rPr>
            </w:pPr>
            <w:r w:rsidRPr="00FA3F57">
              <w:rPr>
                <w:sz w:val="20"/>
                <w:szCs w:val="20"/>
              </w:rPr>
              <w:t>Expected dynamics of project implementation:</w:t>
            </w:r>
          </w:p>
          <w:p w14:paraId="0E8746FC" w14:textId="77777777" w:rsidR="0094644B" w:rsidRPr="00FA3F57" w:rsidRDefault="0094644B" w:rsidP="00FB5086">
            <w:pPr>
              <w:rPr>
                <w:sz w:val="20"/>
                <w:szCs w:val="20"/>
              </w:rPr>
            </w:pPr>
            <w:r w:rsidRPr="00FA3F57">
              <w:rPr>
                <w:sz w:val="20"/>
                <w:szCs w:val="20"/>
              </w:rPr>
              <w:t>2026. Construction</w:t>
            </w:r>
          </w:p>
          <w:p w14:paraId="76BAE58B" w14:textId="77777777" w:rsidR="0094644B" w:rsidRPr="00FA3F57" w:rsidRDefault="0094644B" w:rsidP="00FB5086">
            <w:pPr>
              <w:rPr>
                <w:sz w:val="20"/>
                <w:szCs w:val="20"/>
              </w:rPr>
            </w:pPr>
            <w:r w:rsidRPr="00FA3F57">
              <w:rPr>
                <w:sz w:val="20"/>
                <w:szCs w:val="20"/>
              </w:rPr>
              <w:t>2027. Construction</w:t>
            </w:r>
          </w:p>
          <w:p w14:paraId="7B0507F1" w14:textId="77777777" w:rsidR="0094644B" w:rsidRPr="00FA3F57" w:rsidRDefault="0094644B" w:rsidP="00FB5086">
            <w:pPr>
              <w:rPr>
                <w:sz w:val="20"/>
                <w:szCs w:val="20"/>
              </w:rPr>
            </w:pPr>
            <w:r w:rsidRPr="00FA3F57">
              <w:rPr>
                <w:sz w:val="20"/>
                <w:szCs w:val="20"/>
              </w:rPr>
              <w:t>2028. Commissioning; trial operation</w:t>
            </w:r>
          </w:p>
        </w:tc>
      </w:tr>
      <w:tr w:rsidR="0094644B" w:rsidRPr="00F07779" w14:paraId="2504F200" w14:textId="77777777" w:rsidTr="00FB5086">
        <w:tc>
          <w:tcPr>
            <w:tcW w:w="2973" w:type="dxa"/>
          </w:tcPr>
          <w:p w14:paraId="4DCB7615" w14:textId="77777777" w:rsidR="0094644B" w:rsidRPr="00FA3F57" w:rsidRDefault="0094644B" w:rsidP="00FB5086">
            <w:pPr>
              <w:rPr>
                <w:sz w:val="20"/>
                <w:szCs w:val="20"/>
              </w:rPr>
            </w:pPr>
            <w:r w:rsidRPr="00FA3F57">
              <w:rPr>
                <w:sz w:val="20"/>
                <w:szCs w:val="20"/>
              </w:rPr>
              <w:t>Institutions responsible for the implementation of measures and activities</w:t>
            </w:r>
          </w:p>
        </w:tc>
        <w:tc>
          <w:tcPr>
            <w:tcW w:w="5667" w:type="dxa"/>
          </w:tcPr>
          <w:p w14:paraId="117DDFF2" w14:textId="77777777" w:rsidR="0094644B" w:rsidRPr="00FA3F57" w:rsidRDefault="0094644B" w:rsidP="00FB5086">
            <w:pPr>
              <w:rPr>
                <w:sz w:val="20"/>
                <w:szCs w:val="20"/>
              </w:rPr>
            </w:pPr>
            <w:r w:rsidRPr="00FA3F57">
              <w:rPr>
                <w:sz w:val="20"/>
                <w:szCs w:val="20"/>
              </w:rPr>
              <w:t>EPS JSC Belgrade</w:t>
            </w:r>
          </w:p>
        </w:tc>
      </w:tr>
      <w:tr w:rsidR="0094644B" w:rsidRPr="00F07779" w14:paraId="5244BD03" w14:textId="77777777" w:rsidTr="00FB5086">
        <w:tc>
          <w:tcPr>
            <w:tcW w:w="2973" w:type="dxa"/>
          </w:tcPr>
          <w:p w14:paraId="49C4AE7C" w14:textId="77777777" w:rsidR="0094644B" w:rsidRPr="00FA3F57" w:rsidRDefault="0094644B" w:rsidP="00FB5086">
            <w:pPr>
              <w:rPr>
                <w:sz w:val="20"/>
                <w:szCs w:val="20"/>
              </w:rPr>
            </w:pPr>
            <w:r w:rsidRPr="00FA3F57">
              <w:rPr>
                <w:sz w:val="20"/>
                <w:szCs w:val="20"/>
              </w:rPr>
              <w:t>Institutions responsible for monitoring implementation and reporting on the realization</w:t>
            </w:r>
          </w:p>
        </w:tc>
        <w:tc>
          <w:tcPr>
            <w:tcW w:w="5667" w:type="dxa"/>
          </w:tcPr>
          <w:p w14:paraId="1966A5A3" w14:textId="77777777" w:rsidR="0094644B" w:rsidRPr="00F07779" w:rsidRDefault="0094644B" w:rsidP="00FB5086">
            <w:pPr>
              <w:rPr>
                <w:sz w:val="20"/>
                <w:szCs w:val="20"/>
              </w:rPr>
            </w:pPr>
            <w:r w:rsidRPr="00FA3F57">
              <w:rPr>
                <w:sz w:val="20"/>
                <w:szCs w:val="20"/>
              </w:rPr>
              <w:t>EPS JSC Belgrade</w:t>
            </w:r>
          </w:p>
          <w:p w14:paraId="11ED28D9" w14:textId="77777777" w:rsidR="0094644B" w:rsidRPr="00FA3F57" w:rsidRDefault="0094644B" w:rsidP="00FB5086">
            <w:pPr>
              <w:rPr>
                <w:sz w:val="20"/>
                <w:szCs w:val="20"/>
              </w:rPr>
            </w:pPr>
            <w:r w:rsidRPr="00F07779">
              <w:rPr>
                <w:sz w:val="20"/>
                <w:szCs w:val="20"/>
              </w:rPr>
              <w:t>Ministry of Mining and Energy</w:t>
            </w:r>
          </w:p>
        </w:tc>
      </w:tr>
      <w:tr w:rsidR="0094644B" w:rsidRPr="00F07779" w14:paraId="4BC1EC39" w14:textId="77777777" w:rsidTr="00FB5086">
        <w:tc>
          <w:tcPr>
            <w:tcW w:w="2973" w:type="dxa"/>
          </w:tcPr>
          <w:p w14:paraId="3213EE10" w14:textId="77777777" w:rsidR="0094644B" w:rsidRPr="00FA3F57" w:rsidRDefault="0094644B" w:rsidP="00FB5086">
            <w:pPr>
              <w:rPr>
                <w:sz w:val="20"/>
                <w:szCs w:val="20"/>
              </w:rPr>
            </w:pPr>
            <w:r w:rsidRPr="00FA3F57">
              <w:rPr>
                <w:sz w:val="20"/>
                <w:szCs w:val="20"/>
              </w:rPr>
              <w:t>Year of project funding start</w:t>
            </w:r>
          </w:p>
        </w:tc>
        <w:tc>
          <w:tcPr>
            <w:tcW w:w="5667" w:type="dxa"/>
          </w:tcPr>
          <w:p w14:paraId="41A0AAB6" w14:textId="77777777" w:rsidR="0094644B" w:rsidRPr="00FA3F57" w:rsidRDefault="0094644B" w:rsidP="00FB5086">
            <w:pPr>
              <w:rPr>
                <w:sz w:val="20"/>
                <w:szCs w:val="20"/>
              </w:rPr>
            </w:pPr>
            <w:r w:rsidRPr="00FA3F57">
              <w:rPr>
                <w:sz w:val="20"/>
                <w:szCs w:val="20"/>
              </w:rPr>
              <w:t>2025.</w:t>
            </w:r>
          </w:p>
        </w:tc>
      </w:tr>
      <w:tr w:rsidR="0094644B" w:rsidRPr="00F07779" w14:paraId="4643F92A" w14:textId="77777777" w:rsidTr="00FB5086">
        <w:tc>
          <w:tcPr>
            <w:tcW w:w="2973" w:type="dxa"/>
          </w:tcPr>
          <w:p w14:paraId="699013F5" w14:textId="77777777" w:rsidR="0094644B" w:rsidRPr="00FA3F57" w:rsidRDefault="0094644B" w:rsidP="00FB5086">
            <w:pPr>
              <w:rPr>
                <w:sz w:val="20"/>
                <w:szCs w:val="20"/>
              </w:rPr>
            </w:pPr>
            <w:r w:rsidRPr="00FA3F57">
              <w:rPr>
                <w:sz w:val="20"/>
                <w:szCs w:val="20"/>
              </w:rPr>
              <w:t>Year of completion of project funding</w:t>
            </w:r>
          </w:p>
        </w:tc>
        <w:tc>
          <w:tcPr>
            <w:tcW w:w="5667" w:type="dxa"/>
          </w:tcPr>
          <w:p w14:paraId="575A8242" w14:textId="77777777" w:rsidR="0094644B" w:rsidRPr="00FA3F57" w:rsidRDefault="0094644B" w:rsidP="00FB5086">
            <w:pPr>
              <w:rPr>
                <w:sz w:val="20"/>
                <w:szCs w:val="20"/>
              </w:rPr>
            </w:pPr>
            <w:r w:rsidRPr="00FA3F57">
              <w:rPr>
                <w:sz w:val="20"/>
                <w:szCs w:val="20"/>
              </w:rPr>
              <w:t>2029.</w:t>
            </w:r>
          </w:p>
        </w:tc>
      </w:tr>
      <w:tr w:rsidR="0094644B" w:rsidRPr="00F07779" w14:paraId="17BCFE56" w14:textId="77777777" w:rsidTr="00FB5086">
        <w:tc>
          <w:tcPr>
            <w:tcW w:w="2973" w:type="dxa"/>
          </w:tcPr>
          <w:p w14:paraId="38BA9C45" w14:textId="77777777" w:rsidR="0094644B" w:rsidRPr="00FA3F57" w:rsidRDefault="0094644B" w:rsidP="00FB5086">
            <w:pPr>
              <w:rPr>
                <w:sz w:val="20"/>
                <w:szCs w:val="20"/>
              </w:rPr>
            </w:pPr>
            <w:r w:rsidRPr="00FA3F57">
              <w:rPr>
                <w:sz w:val="20"/>
                <w:szCs w:val="20"/>
              </w:rPr>
              <w:t>Total project value</w:t>
            </w:r>
            <w:r w:rsidRPr="00FA3F57">
              <w:rPr>
                <w:sz w:val="20"/>
                <w:szCs w:val="20"/>
              </w:rPr>
              <w:br/>
              <w:t>(in thousands of RSD)</w:t>
            </w:r>
          </w:p>
        </w:tc>
        <w:tc>
          <w:tcPr>
            <w:tcW w:w="5667" w:type="dxa"/>
          </w:tcPr>
          <w:p w14:paraId="6A09DF00" w14:textId="77777777" w:rsidR="0094644B" w:rsidRPr="00FA3F57" w:rsidRDefault="0094644B" w:rsidP="00FB5086">
            <w:pPr>
              <w:rPr>
                <w:sz w:val="20"/>
                <w:szCs w:val="20"/>
              </w:rPr>
            </w:pPr>
            <w:r w:rsidRPr="00FA3F57">
              <w:rPr>
                <w:sz w:val="20"/>
                <w:szCs w:val="20"/>
              </w:rPr>
              <w:t>9,673,125</w:t>
            </w:r>
            <w:r w:rsidRPr="00FA3F57" w:rsidDel="00366825">
              <w:rPr>
                <w:sz w:val="20"/>
                <w:szCs w:val="20"/>
              </w:rPr>
              <w:t xml:space="preserve"> </w:t>
            </w:r>
            <w:r w:rsidRPr="00FA3F57">
              <w:rPr>
                <w:sz w:val="20"/>
                <w:szCs w:val="20"/>
              </w:rPr>
              <w:t>(82.50 million EUR)</w:t>
            </w:r>
          </w:p>
        </w:tc>
      </w:tr>
      <w:tr w:rsidR="0094644B" w:rsidRPr="00F07779" w14:paraId="34DA8E70" w14:textId="77777777" w:rsidTr="00FB5086">
        <w:tc>
          <w:tcPr>
            <w:tcW w:w="2973" w:type="dxa"/>
          </w:tcPr>
          <w:p w14:paraId="4875DBF8" w14:textId="77777777" w:rsidR="0094644B" w:rsidRPr="00FA3F57" w:rsidRDefault="0094644B" w:rsidP="00FB5086">
            <w:pPr>
              <w:rPr>
                <w:sz w:val="20"/>
                <w:szCs w:val="20"/>
              </w:rPr>
            </w:pPr>
            <w:r w:rsidRPr="00FA3F57">
              <w:rPr>
                <w:sz w:val="20"/>
                <w:szCs w:val="20"/>
              </w:rPr>
              <w:t>Planned investments for 2026.</w:t>
            </w:r>
            <w:r w:rsidRPr="00FA3F57">
              <w:rPr>
                <w:sz w:val="20"/>
                <w:szCs w:val="20"/>
              </w:rPr>
              <w:br/>
              <w:t>(in thousands of RSD)</w:t>
            </w:r>
          </w:p>
        </w:tc>
        <w:tc>
          <w:tcPr>
            <w:tcW w:w="5667" w:type="dxa"/>
          </w:tcPr>
          <w:p w14:paraId="6C8491CE" w14:textId="77777777" w:rsidR="0094644B" w:rsidRPr="00FA3F57" w:rsidRDefault="0094644B" w:rsidP="00FB5086">
            <w:pPr>
              <w:rPr>
                <w:sz w:val="20"/>
                <w:szCs w:val="20"/>
              </w:rPr>
            </w:pPr>
            <w:r w:rsidRPr="00FA3F57">
              <w:rPr>
                <w:sz w:val="20"/>
                <w:szCs w:val="20"/>
              </w:rPr>
              <w:t xml:space="preserve">1,993,250 </w:t>
            </w:r>
            <w:r w:rsidRPr="00F07779">
              <w:rPr>
                <w:sz w:val="20"/>
                <w:szCs w:val="20"/>
              </w:rPr>
              <w:t>(loan)</w:t>
            </w:r>
          </w:p>
        </w:tc>
      </w:tr>
      <w:tr w:rsidR="0094644B" w:rsidRPr="00F07779" w14:paraId="57E8382C" w14:textId="77777777" w:rsidTr="00FB5086">
        <w:tc>
          <w:tcPr>
            <w:tcW w:w="2973" w:type="dxa"/>
          </w:tcPr>
          <w:p w14:paraId="3F97293E" w14:textId="77777777" w:rsidR="0094644B" w:rsidRPr="00FA3F57" w:rsidRDefault="0094644B" w:rsidP="00FB5086">
            <w:pPr>
              <w:rPr>
                <w:sz w:val="20"/>
                <w:szCs w:val="20"/>
              </w:rPr>
            </w:pPr>
            <w:r w:rsidRPr="00FA3F57">
              <w:rPr>
                <w:sz w:val="20"/>
                <w:szCs w:val="20"/>
              </w:rPr>
              <w:t>Planned investments for 2027.</w:t>
            </w:r>
            <w:r w:rsidRPr="00FA3F57">
              <w:rPr>
                <w:sz w:val="20"/>
                <w:szCs w:val="20"/>
              </w:rPr>
              <w:br/>
              <w:t>(in thousands of RSD)</w:t>
            </w:r>
          </w:p>
        </w:tc>
        <w:tc>
          <w:tcPr>
            <w:tcW w:w="5667" w:type="dxa"/>
          </w:tcPr>
          <w:p w14:paraId="2515FF19" w14:textId="77777777" w:rsidR="0094644B" w:rsidRPr="00FA3F57" w:rsidRDefault="0094644B" w:rsidP="00FB5086">
            <w:pPr>
              <w:rPr>
                <w:sz w:val="20"/>
                <w:szCs w:val="20"/>
              </w:rPr>
            </w:pPr>
            <w:r w:rsidRPr="00FA3F57">
              <w:rPr>
                <w:sz w:val="20"/>
                <w:szCs w:val="20"/>
              </w:rPr>
              <w:t xml:space="preserve">2,814,000 </w:t>
            </w:r>
            <w:r w:rsidRPr="00F07779">
              <w:rPr>
                <w:sz w:val="20"/>
                <w:szCs w:val="20"/>
              </w:rPr>
              <w:t>(loan)</w:t>
            </w:r>
          </w:p>
        </w:tc>
      </w:tr>
      <w:tr w:rsidR="0094644B" w:rsidRPr="00F07779" w14:paraId="4B231D13" w14:textId="77777777" w:rsidTr="00FB5086">
        <w:tc>
          <w:tcPr>
            <w:tcW w:w="2973" w:type="dxa"/>
          </w:tcPr>
          <w:p w14:paraId="02BFE4E0" w14:textId="77777777" w:rsidR="0094644B" w:rsidRPr="00FA3F57" w:rsidRDefault="0094644B" w:rsidP="00FB5086">
            <w:pPr>
              <w:rPr>
                <w:sz w:val="20"/>
                <w:szCs w:val="20"/>
              </w:rPr>
            </w:pPr>
            <w:r w:rsidRPr="00FA3F57">
              <w:rPr>
                <w:sz w:val="20"/>
                <w:szCs w:val="20"/>
              </w:rPr>
              <w:t>Planned investments for 2028.</w:t>
            </w:r>
            <w:r w:rsidRPr="00FA3F57">
              <w:rPr>
                <w:sz w:val="20"/>
                <w:szCs w:val="20"/>
              </w:rPr>
              <w:br/>
              <w:t>(in thousands of RSD)</w:t>
            </w:r>
          </w:p>
        </w:tc>
        <w:tc>
          <w:tcPr>
            <w:tcW w:w="5667" w:type="dxa"/>
          </w:tcPr>
          <w:p w14:paraId="16BC26A4" w14:textId="77777777" w:rsidR="0094644B" w:rsidRPr="00FA3F57" w:rsidRDefault="0094644B" w:rsidP="00FB5086">
            <w:pPr>
              <w:rPr>
                <w:sz w:val="20"/>
                <w:szCs w:val="20"/>
              </w:rPr>
            </w:pPr>
            <w:r w:rsidRPr="00FA3F57">
              <w:rPr>
                <w:sz w:val="20"/>
                <w:szCs w:val="20"/>
              </w:rPr>
              <w:t xml:space="preserve">879,375 </w:t>
            </w:r>
            <w:r w:rsidRPr="00F07779">
              <w:rPr>
                <w:sz w:val="20"/>
                <w:szCs w:val="20"/>
              </w:rPr>
              <w:t>(funding partly from WBIF, partly from the loan)</w:t>
            </w:r>
          </w:p>
        </w:tc>
      </w:tr>
    </w:tbl>
    <w:p w14:paraId="1D1F34ED" w14:textId="77777777" w:rsidR="0094644B" w:rsidRPr="00F07779" w:rsidRDefault="0094644B" w:rsidP="0094644B"/>
    <w:tbl>
      <w:tblPr>
        <w:tblStyle w:val="TableGrid"/>
        <w:tblW w:w="0" w:type="auto"/>
        <w:tblLook w:val="04A0" w:firstRow="1" w:lastRow="0" w:firstColumn="1" w:lastColumn="0" w:noHBand="0" w:noVBand="1"/>
      </w:tblPr>
      <w:tblGrid>
        <w:gridCol w:w="2973"/>
        <w:gridCol w:w="5667"/>
      </w:tblGrid>
      <w:tr w:rsidR="0094644B" w:rsidRPr="00F07779" w14:paraId="47EF53DC" w14:textId="77777777" w:rsidTr="00FB5086">
        <w:tc>
          <w:tcPr>
            <w:tcW w:w="2973" w:type="dxa"/>
            <w:shd w:val="clear" w:color="auto" w:fill="D0CECE" w:themeFill="background2" w:themeFillShade="E6"/>
          </w:tcPr>
          <w:p w14:paraId="513E2577" w14:textId="77777777" w:rsidR="0094644B" w:rsidRPr="00FA3F57" w:rsidRDefault="0094644B" w:rsidP="00FB5086">
            <w:pPr>
              <w:rPr>
                <w:sz w:val="20"/>
                <w:szCs w:val="20"/>
              </w:rPr>
            </w:pPr>
            <w:r w:rsidRPr="00FA3F57">
              <w:rPr>
                <w:sz w:val="20"/>
                <w:szCs w:val="20"/>
              </w:rPr>
              <w:t>Activity EL1.1</w:t>
            </w:r>
          </w:p>
        </w:tc>
        <w:tc>
          <w:tcPr>
            <w:tcW w:w="5667" w:type="dxa"/>
            <w:shd w:val="clear" w:color="auto" w:fill="D0CECE" w:themeFill="background2" w:themeFillShade="E6"/>
          </w:tcPr>
          <w:p w14:paraId="58301701" w14:textId="77777777" w:rsidR="0094644B" w:rsidRPr="00FA3F57" w:rsidRDefault="0094644B" w:rsidP="00FB5086">
            <w:pPr>
              <w:rPr>
                <w:sz w:val="20"/>
                <w:szCs w:val="20"/>
              </w:rPr>
            </w:pPr>
            <w:r w:rsidRPr="00FA3F57">
              <w:rPr>
                <w:sz w:val="20"/>
                <w:szCs w:val="20"/>
              </w:rPr>
              <w:t>Investment projects of revitalization (reconstruction) and modernization of power plants</w:t>
            </w:r>
          </w:p>
        </w:tc>
      </w:tr>
      <w:tr w:rsidR="0094644B" w:rsidRPr="00F07779" w14:paraId="15BFEFBF" w14:textId="77777777" w:rsidTr="00FB5086">
        <w:tc>
          <w:tcPr>
            <w:tcW w:w="2973" w:type="dxa"/>
            <w:shd w:val="clear" w:color="auto" w:fill="D9E2F3" w:themeFill="accent1" w:themeFillTint="33"/>
          </w:tcPr>
          <w:p w14:paraId="4370F83D" w14:textId="77777777" w:rsidR="0094644B" w:rsidRPr="00FA3F57" w:rsidRDefault="0094644B" w:rsidP="00FB5086">
            <w:pPr>
              <w:rPr>
                <w:sz w:val="20"/>
                <w:szCs w:val="20"/>
              </w:rPr>
            </w:pPr>
            <w:r w:rsidRPr="00FA3F57">
              <w:rPr>
                <w:sz w:val="20"/>
                <w:szCs w:val="20"/>
              </w:rPr>
              <w:t>Name of the project</w:t>
            </w:r>
          </w:p>
        </w:tc>
        <w:tc>
          <w:tcPr>
            <w:tcW w:w="5667" w:type="dxa"/>
            <w:shd w:val="clear" w:color="auto" w:fill="D9E2F3" w:themeFill="accent1" w:themeFillTint="33"/>
          </w:tcPr>
          <w:p w14:paraId="5FF0036A" w14:textId="77777777" w:rsidR="0094644B" w:rsidRPr="00FA3F57" w:rsidRDefault="0094644B" w:rsidP="00FB5086">
            <w:pPr>
              <w:rPr>
                <w:sz w:val="20"/>
                <w:szCs w:val="20"/>
              </w:rPr>
            </w:pPr>
            <w:r w:rsidRPr="00F07779">
              <w:rPr>
                <w:sz w:val="20"/>
                <w:szCs w:val="20"/>
              </w:rPr>
              <w:t>Revitalization of the HPP Bistrica</w:t>
            </w:r>
          </w:p>
        </w:tc>
      </w:tr>
      <w:tr w:rsidR="0094644B" w:rsidRPr="00F07779" w14:paraId="6299FC90" w14:textId="77777777" w:rsidTr="00FB5086">
        <w:tc>
          <w:tcPr>
            <w:tcW w:w="2973" w:type="dxa"/>
          </w:tcPr>
          <w:p w14:paraId="7F5D3DFC" w14:textId="77777777" w:rsidR="0094644B" w:rsidRPr="00FA3F57" w:rsidRDefault="0094644B" w:rsidP="00FB5086">
            <w:pPr>
              <w:rPr>
                <w:sz w:val="20"/>
                <w:szCs w:val="20"/>
              </w:rPr>
            </w:pPr>
            <w:r w:rsidRPr="00FA3F57">
              <w:rPr>
                <w:sz w:val="20"/>
                <w:szCs w:val="20"/>
              </w:rPr>
              <w:t>Short description of the investment</w:t>
            </w:r>
          </w:p>
        </w:tc>
        <w:tc>
          <w:tcPr>
            <w:tcW w:w="5667" w:type="dxa"/>
          </w:tcPr>
          <w:p w14:paraId="371FF751" w14:textId="77777777" w:rsidR="0094644B" w:rsidRPr="00FA3F57" w:rsidRDefault="0094644B" w:rsidP="00FB5086">
            <w:pPr>
              <w:rPr>
                <w:sz w:val="20"/>
                <w:szCs w:val="20"/>
              </w:rPr>
            </w:pPr>
            <w:r w:rsidRPr="00F07779">
              <w:rPr>
                <w:sz w:val="20"/>
                <w:szCs w:val="20"/>
              </w:rPr>
              <w:t>Adaptation of the HPP Bistrica includes replacement or refurbishment of the main equipment of the units without increasing the installed capacity. Investment maintenance of auxiliary equipment (and its components) involves repair/replacement of systems that are in critical condition, while preserving the characteristics and modernizing the respective systems, with special attention to the compatibility of existing and newly designed parts.</w:t>
            </w:r>
          </w:p>
          <w:p w14:paraId="605FA12F" w14:textId="77777777" w:rsidR="0094644B" w:rsidRPr="00FA3F57" w:rsidRDefault="0094644B" w:rsidP="00FB5086">
            <w:pPr>
              <w:rPr>
                <w:sz w:val="20"/>
                <w:szCs w:val="20"/>
              </w:rPr>
            </w:pPr>
            <w:r w:rsidRPr="00FA3F57">
              <w:rPr>
                <w:sz w:val="20"/>
                <w:szCs w:val="20"/>
              </w:rPr>
              <w:t>Expected dynamics of project implementation:</w:t>
            </w:r>
          </w:p>
          <w:p w14:paraId="4FB78235" w14:textId="77777777" w:rsidR="0094644B" w:rsidRPr="00FA3F57" w:rsidRDefault="0094644B" w:rsidP="00FB5086">
            <w:pPr>
              <w:rPr>
                <w:sz w:val="20"/>
                <w:szCs w:val="20"/>
              </w:rPr>
            </w:pPr>
            <w:r w:rsidRPr="00FA3F57">
              <w:rPr>
                <w:sz w:val="20"/>
                <w:szCs w:val="20"/>
              </w:rPr>
              <w:t>2026. Construction</w:t>
            </w:r>
          </w:p>
          <w:p w14:paraId="4E0B07F1" w14:textId="77777777" w:rsidR="0094644B" w:rsidRPr="00FA3F57" w:rsidRDefault="0094644B" w:rsidP="00FB5086">
            <w:pPr>
              <w:rPr>
                <w:sz w:val="20"/>
                <w:szCs w:val="20"/>
              </w:rPr>
            </w:pPr>
            <w:r w:rsidRPr="00FA3F57">
              <w:rPr>
                <w:sz w:val="20"/>
                <w:szCs w:val="20"/>
              </w:rPr>
              <w:t>2027. Construction</w:t>
            </w:r>
          </w:p>
          <w:p w14:paraId="183C767B" w14:textId="77777777" w:rsidR="0094644B" w:rsidRPr="00FA3F57" w:rsidRDefault="0094644B" w:rsidP="00FB5086">
            <w:pPr>
              <w:rPr>
                <w:sz w:val="20"/>
                <w:szCs w:val="20"/>
              </w:rPr>
            </w:pPr>
            <w:r w:rsidRPr="00FA3F57">
              <w:rPr>
                <w:sz w:val="20"/>
                <w:szCs w:val="20"/>
              </w:rPr>
              <w:t>2028. Construction</w:t>
            </w:r>
          </w:p>
        </w:tc>
      </w:tr>
      <w:tr w:rsidR="0094644B" w:rsidRPr="00F07779" w14:paraId="02CB3AAC" w14:textId="77777777" w:rsidTr="00FB5086">
        <w:tc>
          <w:tcPr>
            <w:tcW w:w="2973" w:type="dxa"/>
          </w:tcPr>
          <w:p w14:paraId="487AFCC6" w14:textId="77777777" w:rsidR="0094644B" w:rsidRPr="00FA3F57" w:rsidRDefault="0094644B" w:rsidP="00FB5086">
            <w:pPr>
              <w:rPr>
                <w:sz w:val="20"/>
                <w:szCs w:val="20"/>
              </w:rPr>
            </w:pPr>
            <w:r w:rsidRPr="00FA3F57">
              <w:rPr>
                <w:sz w:val="20"/>
                <w:szCs w:val="20"/>
              </w:rPr>
              <w:t>Institutions responsible for the implementation of measures and activities</w:t>
            </w:r>
          </w:p>
        </w:tc>
        <w:tc>
          <w:tcPr>
            <w:tcW w:w="5667" w:type="dxa"/>
          </w:tcPr>
          <w:p w14:paraId="31401751" w14:textId="77777777" w:rsidR="0094644B" w:rsidRPr="00FA3F57" w:rsidRDefault="0094644B" w:rsidP="00FB5086">
            <w:pPr>
              <w:rPr>
                <w:sz w:val="20"/>
                <w:szCs w:val="20"/>
              </w:rPr>
            </w:pPr>
            <w:r w:rsidRPr="00FA3F57">
              <w:rPr>
                <w:sz w:val="20"/>
                <w:szCs w:val="20"/>
              </w:rPr>
              <w:t>EPS JSC Belgrade</w:t>
            </w:r>
          </w:p>
        </w:tc>
      </w:tr>
      <w:tr w:rsidR="0094644B" w:rsidRPr="00F07779" w14:paraId="0CA0E3C3" w14:textId="77777777" w:rsidTr="00FB5086">
        <w:tc>
          <w:tcPr>
            <w:tcW w:w="2973" w:type="dxa"/>
          </w:tcPr>
          <w:p w14:paraId="49968D75" w14:textId="77777777" w:rsidR="0094644B" w:rsidRPr="00FA3F57" w:rsidRDefault="0094644B" w:rsidP="00FB5086">
            <w:pPr>
              <w:rPr>
                <w:sz w:val="20"/>
                <w:szCs w:val="20"/>
              </w:rPr>
            </w:pPr>
            <w:r w:rsidRPr="00FA3F57">
              <w:rPr>
                <w:sz w:val="20"/>
                <w:szCs w:val="20"/>
              </w:rPr>
              <w:lastRenderedPageBreak/>
              <w:t>Institutions responsible for monitoring implementation and reporting on the realization</w:t>
            </w:r>
          </w:p>
        </w:tc>
        <w:tc>
          <w:tcPr>
            <w:tcW w:w="5667" w:type="dxa"/>
          </w:tcPr>
          <w:p w14:paraId="2FBDAB75" w14:textId="77777777" w:rsidR="0094644B" w:rsidRPr="00F07779" w:rsidRDefault="0094644B" w:rsidP="00FB5086">
            <w:pPr>
              <w:rPr>
                <w:sz w:val="20"/>
                <w:szCs w:val="20"/>
              </w:rPr>
            </w:pPr>
            <w:r w:rsidRPr="00FA3F57">
              <w:rPr>
                <w:sz w:val="20"/>
                <w:szCs w:val="20"/>
              </w:rPr>
              <w:t>EPS JSC Belgrade</w:t>
            </w:r>
          </w:p>
          <w:p w14:paraId="1A676BD7" w14:textId="77777777" w:rsidR="0094644B" w:rsidRPr="00FA3F57" w:rsidRDefault="0094644B" w:rsidP="00FB5086">
            <w:pPr>
              <w:rPr>
                <w:sz w:val="20"/>
                <w:szCs w:val="20"/>
              </w:rPr>
            </w:pPr>
            <w:r w:rsidRPr="00F07779">
              <w:rPr>
                <w:sz w:val="20"/>
                <w:szCs w:val="20"/>
              </w:rPr>
              <w:t>Ministry of Mining and Energy</w:t>
            </w:r>
          </w:p>
        </w:tc>
      </w:tr>
      <w:tr w:rsidR="0094644B" w:rsidRPr="00F07779" w14:paraId="7C8DDCA3" w14:textId="77777777" w:rsidTr="00FB5086">
        <w:tc>
          <w:tcPr>
            <w:tcW w:w="2973" w:type="dxa"/>
          </w:tcPr>
          <w:p w14:paraId="134E5C5A" w14:textId="77777777" w:rsidR="0094644B" w:rsidRPr="00FA3F57" w:rsidRDefault="0094644B" w:rsidP="00FB5086">
            <w:pPr>
              <w:rPr>
                <w:sz w:val="20"/>
                <w:szCs w:val="20"/>
              </w:rPr>
            </w:pPr>
            <w:r w:rsidRPr="00FA3F57">
              <w:rPr>
                <w:sz w:val="20"/>
                <w:szCs w:val="20"/>
              </w:rPr>
              <w:t>Year of project funding start</w:t>
            </w:r>
          </w:p>
        </w:tc>
        <w:tc>
          <w:tcPr>
            <w:tcW w:w="5667" w:type="dxa"/>
          </w:tcPr>
          <w:p w14:paraId="40399820" w14:textId="77777777" w:rsidR="0094644B" w:rsidRPr="00FA3F57" w:rsidRDefault="0094644B" w:rsidP="00FB5086">
            <w:pPr>
              <w:rPr>
                <w:sz w:val="20"/>
                <w:szCs w:val="20"/>
              </w:rPr>
            </w:pPr>
            <w:r w:rsidRPr="00FA3F57">
              <w:rPr>
                <w:sz w:val="20"/>
                <w:szCs w:val="20"/>
              </w:rPr>
              <w:t>2025.</w:t>
            </w:r>
          </w:p>
        </w:tc>
      </w:tr>
      <w:tr w:rsidR="0094644B" w:rsidRPr="00F07779" w14:paraId="12C7F491" w14:textId="77777777" w:rsidTr="00FB5086">
        <w:tc>
          <w:tcPr>
            <w:tcW w:w="2973" w:type="dxa"/>
          </w:tcPr>
          <w:p w14:paraId="69565153" w14:textId="77777777" w:rsidR="0094644B" w:rsidRPr="00FA3F57" w:rsidRDefault="0094644B" w:rsidP="00FB5086">
            <w:pPr>
              <w:rPr>
                <w:sz w:val="20"/>
                <w:szCs w:val="20"/>
              </w:rPr>
            </w:pPr>
            <w:r w:rsidRPr="00FA3F57">
              <w:rPr>
                <w:sz w:val="20"/>
                <w:szCs w:val="20"/>
              </w:rPr>
              <w:t>Year of completion of project funding</w:t>
            </w:r>
          </w:p>
        </w:tc>
        <w:tc>
          <w:tcPr>
            <w:tcW w:w="5667" w:type="dxa"/>
          </w:tcPr>
          <w:p w14:paraId="2F7ABD96" w14:textId="77777777" w:rsidR="0094644B" w:rsidRPr="00FA3F57" w:rsidRDefault="0094644B" w:rsidP="00FB5086">
            <w:pPr>
              <w:rPr>
                <w:sz w:val="20"/>
                <w:szCs w:val="20"/>
              </w:rPr>
            </w:pPr>
            <w:r w:rsidRPr="00FA3F57">
              <w:rPr>
                <w:sz w:val="20"/>
                <w:szCs w:val="20"/>
              </w:rPr>
              <w:t>2029.</w:t>
            </w:r>
          </w:p>
        </w:tc>
      </w:tr>
      <w:tr w:rsidR="0094644B" w:rsidRPr="00F07779" w14:paraId="392DEE8A" w14:textId="77777777" w:rsidTr="00FB5086">
        <w:tc>
          <w:tcPr>
            <w:tcW w:w="2973" w:type="dxa"/>
          </w:tcPr>
          <w:p w14:paraId="1BFE26AF" w14:textId="77777777" w:rsidR="0094644B" w:rsidRPr="00FA3F57" w:rsidRDefault="0094644B" w:rsidP="00FB5086">
            <w:pPr>
              <w:rPr>
                <w:sz w:val="20"/>
                <w:szCs w:val="20"/>
              </w:rPr>
            </w:pPr>
            <w:r w:rsidRPr="00FA3F57">
              <w:rPr>
                <w:sz w:val="20"/>
                <w:szCs w:val="20"/>
              </w:rPr>
              <w:t>Total project value</w:t>
            </w:r>
            <w:r w:rsidRPr="00FA3F57">
              <w:rPr>
                <w:sz w:val="20"/>
                <w:szCs w:val="20"/>
              </w:rPr>
              <w:br/>
              <w:t>(in thousands of RSD)</w:t>
            </w:r>
          </w:p>
        </w:tc>
        <w:tc>
          <w:tcPr>
            <w:tcW w:w="5667" w:type="dxa"/>
          </w:tcPr>
          <w:p w14:paraId="001ED069" w14:textId="77777777" w:rsidR="0094644B" w:rsidRPr="00FA3F57" w:rsidRDefault="0094644B" w:rsidP="00FB5086">
            <w:pPr>
              <w:rPr>
                <w:sz w:val="20"/>
                <w:szCs w:val="20"/>
              </w:rPr>
            </w:pPr>
            <w:r w:rsidRPr="00FA3F57">
              <w:rPr>
                <w:sz w:val="20"/>
                <w:szCs w:val="20"/>
              </w:rPr>
              <w:t>6,258,805 (53.38 million EUR)</w:t>
            </w:r>
          </w:p>
        </w:tc>
      </w:tr>
      <w:tr w:rsidR="0094644B" w:rsidRPr="00F07779" w14:paraId="1A04EAA6" w14:textId="77777777" w:rsidTr="00FB5086">
        <w:tc>
          <w:tcPr>
            <w:tcW w:w="2973" w:type="dxa"/>
          </w:tcPr>
          <w:p w14:paraId="3224E5EC" w14:textId="77777777" w:rsidR="0094644B" w:rsidRPr="00FA3F57" w:rsidRDefault="0094644B" w:rsidP="00FB5086">
            <w:pPr>
              <w:rPr>
                <w:sz w:val="20"/>
                <w:szCs w:val="20"/>
              </w:rPr>
            </w:pPr>
            <w:r w:rsidRPr="00FA3F57">
              <w:rPr>
                <w:sz w:val="20"/>
                <w:szCs w:val="20"/>
              </w:rPr>
              <w:t>Planned investments for 2026.</w:t>
            </w:r>
            <w:r w:rsidRPr="00FA3F57">
              <w:rPr>
                <w:sz w:val="20"/>
                <w:szCs w:val="20"/>
              </w:rPr>
              <w:br/>
              <w:t>(in thousands of RSD)</w:t>
            </w:r>
          </w:p>
        </w:tc>
        <w:tc>
          <w:tcPr>
            <w:tcW w:w="5667" w:type="dxa"/>
          </w:tcPr>
          <w:p w14:paraId="4C956307" w14:textId="77777777" w:rsidR="0094644B" w:rsidRPr="00FA3F57" w:rsidRDefault="0094644B" w:rsidP="00FB5086">
            <w:pPr>
              <w:rPr>
                <w:sz w:val="20"/>
                <w:szCs w:val="20"/>
              </w:rPr>
            </w:pPr>
            <w:r w:rsidRPr="00FA3F57">
              <w:rPr>
                <w:sz w:val="20"/>
                <w:szCs w:val="20"/>
              </w:rPr>
              <w:t xml:space="preserve">2,345,000 </w:t>
            </w:r>
            <w:r w:rsidRPr="00F07779">
              <w:rPr>
                <w:sz w:val="20"/>
                <w:szCs w:val="20"/>
              </w:rPr>
              <w:t>(loan)</w:t>
            </w:r>
          </w:p>
        </w:tc>
      </w:tr>
      <w:tr w:rsidR="0094644B" w:rsidRPr="00F07779" w14:paraId="7CC39267" w14:textId="77777777" w:rsidTr="00FB5086">
        <w:tc>
          <w:tcPr>
            <w:tcW w:w="2973" w:type="dxa"/>
          </w:tcPr>
          <w:p w14:paraId="49AA9362" w14:textId="77777777" w:rsidR="0094644B" w:rsidRPr="00FA3F57" w:rsidRDefault="0094644B" w:rsidP="00FB5086">
            <w:pPr>
              <w:rPr>
                <w:sz w:val="20"/>
                <w:szCs w:val="20"/>
              </w:rPr>
            </w:pPr>
            <w:r w:rsidRPr="00FA3F57">
              <w:rPr>
                <w:sz w:val="20"/>
                <w:szCs w:val="20"/>
              </w:rPr>
              <w:t>Planned investments for 2027.</w:t>
            </w:r>
            <w:r w:rsidRPr="00FA3F57">
              <w:rPr>
                <w:sz w:val="20"/>
                <w:szCs w:val="20"/>
              </w:rPr>
              <w:br/>
              <w:t>(in thousands of RSD)</w:t>
            </w:r>
          </w:p>
        </w:tc>
        <w:tc>
          <w:tcPr>
            <w:tcW w:w="5667" w:type="dxa"/>
          </w:tcPr>
          <w:p w14:paraId="2FE4EF78" w14:textId="77777777" w:rsidR="0094644B" w:rsidRPr="00FA3F57" w:rsidRDefault="0094644B" w:rsidP="00FB5086">
            <w:pPr>
              <w:rPr>
                <w:sz w:val="20"/>
                <w:szCs w:val="20"/>
              </w:rPr>
            </w:pPr>
            <w:r w:rsidRPr="00FA3F57">
              <w:rPr>
                <w:sz w:val="20"/>
                <w:szCs w:val="20"/>
              </w:rPr>
              <w:t xml:space="preserve">1,758,750 </w:t>
            </w:r>
            <w:r w:rsidRPr="00F07779">
              <w:rPr>
                <w:sz w:val="20"/>
                <w:szCs w:val="20"/>
              </w:rPr>
              <w:t>(loan)</w:t>
            </w:r>
          </w:p>
        </w:tc>
      </w:tr>
      <w:tr w:rsidR="0094644B" w:rsidRPr="00F07779" w14:paraId="5F6F223A" w14:textId="77777777" w:rsidTr="00FB5086">
        <w:tc>
          <w:tcPr>
            <w:tcW w:w="2973" w:type="dxa"/>
          </w:tcPr>
          <w:p w14:paraId="75D46204" w14:textId="77777777" w:rsidR="0094644B" w:rsidRPr="00FA3F57" w:rsidRDefault="0094644B" w:rsidP="00FB5086">
            <w:pPr>
              <w:rPr>
                <w:sz w:val="20"/>
                <w:szCs w:val="20"/>
              </w:rPr>
            </w:pPr>
            <w:r w:rsidRPr="00FA3F57">
              <w:rPr>
                <w:sz w:val="20"/>
                <w:szCs w:val="20"/>
              </w:rPr>
              <w:t>Planned investments for 2028.</w:t>
            </w:r>
            <w:r w:rsidRPr="00FA3F57">
              <w:rPr>
                <w:sz w:val="20"/>
                <w:szCs w:val="20"/>
              </w:rPr>
              <w:br/>
              <w:t>(in thousands of RSD)</w:t>
            </w:r>
          </w:p>
        </w:tc>
        <w:tc>
          <w:tcPr>
            <w:tcW w:w="5667" w:type="dxa"/>
          </w:tcPr>
          <w:p w14:paraId="6FC1232B" w14:textId="77777777" w:rsidR="0094644B" w:rsidRPr="00FA3F57" w:rsidRDefault="0094644B" w:rsidP="00FB5086">
            <w:pPr>
              <w:rPr>
                <w:sz w:val="20"/>
                <w:szCs w:val="20"/>
              </w:rPr>
            </w:pPr>
            <w:r w:rsidRPr="00FA3F57">
              <w:rPr>
                <w:sz w:val="20"/>
                <w:szCs w:val="20"/>
              </w:rPr>
              <w:t xml:space="preserve">1,172,500 </w:t>
            </w:r>
            <w:r w:rsidRPr="00F07779">
              <w:rPr>
                <w:sz w:val="20"/>
                <w:szCs w:val="20"/>
              </w:rPr>
              <w:t>(funding partly from WBIF, partly from the loan)</w:t>
            </w:r>
          </w:p>
        </w:tc>
      </w:tr>
    </w:tbl>
    <w:p w14:paraId="458103C8" w14:textId="77777777" w:rsidR="0094644B" w:rsidRPr="00F07779" w:rsidRDefault="0094644B" w:rsidP="0094644B"/>
    <w:tbl>
      <w:tblPr>
        <w:tblStyle w:val="TableGrid"/>
        <w:tblW w:w="0" w:type="auto"/>
        <w:tblLook w:val="04A0" w:firstRow="1" w:lastRow="0" w:firstColumn="1" w:lastColumn="0" w:noHBand="0" w:noVBand="1"/>
      </w:tblPr>
      <w:tblGrid>
        <w:gridCol w:w="2973"/>
        <w:gridCol w:w="5667"/>
      </w:tblGrid>
      <w:tr w:rsidR="0094644B" w:rsidRPr="00F07779" w14:paraId="4B63CFB1" w14:textId="77777777" w:rsidTr="00FB5086">
        <w:tc>
          <w:tcPr>
            <w:tcW w:w="2973" w:type="dxa"/>
            <w:shd w:val="clear" w:color="auto" w:fill="D0CECE" w:themeFill="background2" w:themeFillShade="E6"/>
          </w:tcPr>
          <w:p w14:paraId="017ADB0A" w14:textId="77777777" w:rsidR="0094644B" w:rsidRPr="00FA3F57" w:rsidRDefault="0094644B" w:rsidP="00FB5086">
            <w:pPr>
              <w:rPr>
                <w:sz w:val="20"/>
                <w:szCs w:val="20"/>
              </w:rPr>
            </w:pPr>
            <w:r w:rsidRPr="00FA3F57">
              <w:rPr>
                <w:sz w:val="20"/>
                <w:szCs w:val="20"/>
              </w:rPr>
              <w:t>Activity EL1.1</w:t>
            </w:r>
          </w:p>
        </w:tc>
        <w:tc>
          <w:tcPr>
            <w:tcW w:w="5667" w:type="dxa"/>
            <w:shd w:val="clear" w:color="auto" w:fill="D0CECE" w:themeFill="background2" w:themeFillShade="E6"/>
          </w:tcPr>
          <w:p w14:paraId="6131B7C4" w14:textId="77777777" w:rsidR="0094644B" w:rsidRPr="00FA3F57" w:rsidRDefault="0094644B" w:rsidP="00FB5086">
            <w:pPr>
              <w:rPr>
                <w:sz w:val="20"/>
                <w:szCs w:val="20"/>
              </w:rPr>
            </w:pPr>
            <w:r w:rsidRPr="00FA3F57">
              <w:rPr>
                <w:sz w:val="20"/>
                <w:szCs w:val="20"/>
              </w:rPr>
              <w:t>Investment projects of revitalization (reconstruction) and modernization of power plants</w:t>
            </w:r>
          </w:p>
        </w:tc>
      </w:tr>
      <w:tr w:rsidR="0094644B" w:rsidRPr="00F07779" w14:paraId="45EE3BE8" w14:textId="77777777" w:rsidTr="00FB5086">
        <w:tc>
          <w:tcPr>
            <w:tcW w:w="2973" w:type="dxa"/>
            <w:shd w:val="clear" w:color="auto" w:fill="D9E2F3" w:themeFill="accent1" w:themeFillTint="33"/>
          </w:tcPr>
          <w:p w14:paraId="4F239769" w14:textId="77777777" w:rsidR="0094644B" w:rsidRPr="00FA3F57" w:rsidRDefault="0094644B" w:rsidP="00FB5086">
            <w:pPr>
              <w:rPr>
                <w:sz w:val="20"/>
                <w:szCs w:val="20"/>
              </w:rPr>
            </w:pPr>
            <w:r w:rsidRPr="00FA3F57">
              <w:rPr>
                <w:sz w:val="20"/>
                <w:szCs w:val="20"/>
              </w:rPr>
              <w:t>Name of the project</w:t>
            </w:r>
          </w:p>
        </w:tc>
        <w:tc>
          <w:tcPr>
            <w:tcW w:w="5667" w:type="dxa"/>
            <w:shd w:val="clear" w:color="auto" w:fill="D9E2F3" w:themeFill="accent1" w:themeFillTint="33"/>
          </w:tcPr>
          <w:p w14:paraId="23747661" w14:textId="77777777" w:rsidR="0094644B" w:rsidRPr="00FA3F57" w:rsidRDefault="0094644B" w:rsidP="00FB5086">
            <w:pPr>
              <w:rPr>
                <w:sz w:val="20"/>
                <w:szCs w:val="20"/>
              </w:rPr>
            </w:pPr>
            <w:r w:rsidRPr="00F07779">
              <w:rPr>
                <w:sz w:val="20"/>
                <w:szCs w:val="20"/>
              </w:rPr>
              <w:t xml:space="preserve">Revitalization of HPP </w:t>
            </w:r>
            <w:proofErr w:type="spellStart"/>
            <w:r w:rsidRPr="00F07779">
              <w:rPr>
                <w:sz w:val="20"/>
                <w:szCs w:val="20"/>
              </w:rPr>
              <w:t>Potpeć</w:t>
            </w:r>
            <w:proofErr w:type="spellEnd"/>
            <w:r w:rsidRPr="00F07779">
              <w:rPr>
                <w:sz w:val="20"/>
                <w:szCs w:val="20"/>
              </w:rPr>
              <w:t xml:space="preserve"> with the construction of the 4th turbine unit.</w:t>
            </w:r>
          </w:p>
        </w:tc>
      </w:tr>
      <w:tr w:rsidR="0094644B" w:rsidRPr="00F07779" w14:paraId="6AB4A1F3" w14:textId="77777777" w:rsidTr="00FB5086">
        <w:tc>
          <w:tcPr>
            <w:tcW w:w="2973" w:type="dxa"/>
          </w:tcPr>
          <w:p w14:paraId="5F7D16DC" w14:textId="77777777" w:rsidR="0094644B" w:rsidRPr="00FA3F57" w:rsidRDefault="0094644B" w:rsidP="00FB5086">
            <w:pPr>
              <w:rPr>
                <w:sz w:val="20"/>
                <w:szCs w:val="20"/>
              </w:rPr>
            </w:pPr>
            <w:r w:rsidRPr="00FA3F57">
              <w:rPr>
                <w:sz w:val="20"/>
                <w:szCs w:val="20"/>
              </w:rPr>
              <w:t>Short description of the investment</w:t>
            </w:r>
          </w:p>
        </w:tc>
        <w:tc>
          <w:tcPr>
            <w:tcW w:w="5667" w:type="dxa"/>
          </w:tcPr>
          <w:p w14:paraId="5CE2DF1F" w14:textId="77777777" w:rsidR="0094644B" w:rsidRPr="00FA3F57" w:rsidRDefault="0094644B" w:rsidP="00FB5086">
            <w:pPr>
              <w:rPr>
                <w:sz w:val="20"/>
                <w:szCs w:val="20"/>
              </w:rPr>
            </w:pPr>
            <w:r w:rsidRPr="00FA3F57">
              <w:rPr>
                <w:sz w:val="20"/>
                <w:szCs w:val="20"/>
              </w:rPr>
              <w:t>The project envisages the construction of a new (fourth) unit and the revitalization of existing units.</w:t>
            </w:r>
          </w:p>
          <w:p w14:paraId="06968301" w14:textId="77777777" w:rsidR="0094644B" w:rsidRPr="00FA3F57" w:rsidRDefault="0094644B" w:rsidP="00FB5086">
            <w:pPr>
              <w:rPr>
                <w:sz w:val="20"/>
                <w:szCs w:val="20"/>
              </w:rPr>
            </w:pPr>
            <w:r w:rsidRPr="00F07779">
              <w:rPr>
                <w:sz w:val="20"/>
                <w:szCs w:val="20"/>
              </w:rPr>
              <w:t>The project foresees the replacement of the complete mechanical and electrical equipment of the existing units, as well as the associated auxiliary systems of the power plant, due to the expiration of the equipment's service life (obsolescence, wear and tear, and the impossibility of repairing or purchasing new parts for the existing equipment on the market). New equipment for the units (turbines and generators) will feature a modern design with increased capacity and efficiency.</w:t>
            </w:r>
          </w:p>
          <w:p w14:paraId="572C6F90" w14:textId="77777777" w:rsidR="0094644B" w:rsidRPr="00FA3F57" w:rsidRDefault="0094644B" w:rsidP="00FB5086">
            <w:pPr>
              <w:rPr>
                <w:sz w:val="20"/>
                <w:szCs w:val="20"/>
              </w:rPr>
            </w:pPr>
            <w:r w:rsidRPr="00FA3F57">
              <w:rPr>
                <w:sz w:val="20"/>
                <w:szCs w:val="20"/>
              </w:rPr>
              <w:t>Expected dynamics of project implementation:</w:t>
            </w:r>
          </w:p>
          <w:p w14:paraId="5EC0DBF9" w14:textId="77777777" w:rsidR="0094644B" w:rsidRPr="00FA3F57" w:rsidRDefault="0094644B" w:rsidP="00FB5086">
            <w:pPr>
              <w:rPr>
                <w:sz w:val="20"/>
                <w:szCs w:val="20"/>
              </w:rPr>
            </w:pPr>
            <w:r w:rsidRPr="00FA3F57">
              <w:rPr>
                <w:sz w:val="20"/>
                <w:szCs w:val="20"/>
              </w:rPr>
              <w:t>2026. Building permit</w:t>
            </w:r>
          </w:p>
          <w:p w14:paraId="27C3D88B" w14:textId="77777777" w:rsidR="0094644B" w:rsidRPr="00FA3F57" w:rsidRDefault="0094644B" w:rsidP="00FB5086">
            <w:pPr>
              <w:rPr>
                <w:sz w:val="20"/>
                <w:szCs w:val="20"/>
              </w:rPr>
            </w:pPr>
            <w:r w:rsidRPr="00FA3F57">
              <w:rPr>
                <w:sz w:val="20"/>
                <w:szCs w:val="20"/>
              </w:rPr>
              <w:t>2027. Construction</w:t>
            </w:r>
          </w:p>
          <w:p w14:paraId="1F57145B" w14:textId="77777777" w:rsidR="0094644B" w:rsidRPr="00FA3F57" w:rsidRDefault="0094644B" w:rsidP="00FB5086">
            <w:pPr>
              <w:rPr>
                <w:sz w:val="20"/>
                <w:szCs w:val="20"/>
              </w:rPr>
            </w:pPr>
            <w:r w:rsidRPr="00FA3F57">
              <w:rPr>
                <w:sz w:val="20"/>
                <w:szCs w:val="20"/>
              </w:rPr>
              <w:t>2028. Construction</w:t>
            </w:r>
          </w:p>
        </w:tc>
      </w:tr>
      <w:tr w:rsidR="0094644B" w:rsidRPr="00F07779" w14:paraId="15DD4C5A" w14:textId="77777777" w:rsidTr="00FB5086">
        <w:tc>
          <w:tcPr>
            <w:tcW w:w="2973" w:type="dxa"/>
          </w:tcPr>
          <w:p w14:paraId="2EB5DEA4" w14:textId="77777777" w:rsidR="0094644B" w:rsidRPr="00FA3F57" w:rsidRDefault="0094644B" w:rsidP="00FB5086">
            <w:pPr>
              <w:rPr>
                <w:sz w:val="20"/>
                <w:szCs w:val="20"/>
              </w:rPr>
            </w:pPr>
            <w:r w:rsidRPr="00FA3F57">
              <w:rPr>
                <w:sz w:val="20"/>
                <w:szCs w:val="20"/>
              </w:rPr>
              <w:t>Institutions responsible for the implementation of measures and activities</w:t>
            </w:r>
          </w:p>
        </w:tc>
        <w:tc>
          <w:tcPr>
            <w:tcW w:w="5667" w:type="dxa"/>
          </w:tcPr>
          <w:p w14:paraId="122AFA9E" w14:textId="77777777" w:rsidR="0094644B" w:rsidRPr="00FA3F57" w:rsidRDefault="0094644B" w:rsidP="00FB5086">
            <w:pPr>
              <w:rPr>
                <w:sz w:val="20"/>
                <w:szCs w:val="20"/>
              </w:rPr>
            </w:pPr>
            <w:r w:rsidRPr="00FA3F57">
              <w:rPr>
                <w:sz w:val="20"/>
                <w:szCs w:val="20"/>
              </w:rPr>
              <w:t>EPS JSC Belgrade</w:t>
            </w:r>
          </w:p>
        </w:tc>
      </w:tr>
      <w:tr w:rsidR="0094644B" w:rsidRPr="00F07779" w14:paraId="13010109" w14:textId="77777777" w:rsidTr="00FB5086">
        <w:tc>
          <w:tcPr>
            <w:tcW w:w="2973" w:type="dxa"/>
          </w:tcPr>
          <w:p w14:paraId="65C6E113" w14:textId="77777777" w:rsidR="0094644B" w:rsidRPr="00FA3F57" w:rsidRDefault="0094644B" w:rsidP="00FB5086">
            <w:pPr>
              <w:rPr>
                <w:sz w:val="20"/>
                <w:szCs w:val="20"/>
              </w:rPr>
            </w:pPr>
            <w:r w:rsidRPr="00FA3F57">
              <w:rPr>
                <w:sz w:val="20"/>
                <w:szCs w:val="20"/>
              </w:rPr>
              <w:t>Institutions responsible for monitoring implementation and reporting on the realization</w:t>
            </w:r>
          </w:p>
        </w:tc>
        <w:tc>
          <w:tcPr>
            <w:tcW w:w="5667" w:type="dxa"/>
          </w:tcPr>
          <w:p w14:paraId="19B58194" w14:textId="77777777" w:rsidR="0094644B" w:rsidRPr="00F07779" w:rsidRDefault="0094644B" w:rsidP="00FB5086">
            <w:pPr>
              <w:rPr>
                <w:sz w:val="20"/>
                <w:szCs w:val="20"/>
              </w:rPr>
            </w:pPr>
            <w:r w:rsidRPr="00FA3F57">
              <w:rPr>
                <w:sz w:val="20"/>
                <w:szCs w:val="20"/>
              </w:rPr>
              <w:t>EPS JSC Belgrade</w:t>
            </w:r>
          </w:p>
          <w:p w14:paraId="6338BEEA" w14:textId="77777777" w:rsidR="0094644B" w:rsidRPr="00FA3F57" w:rsidRDefault="0094644B" w:rsidP="00FB5086">
            <w:pPr>
              <w:rPr>
                <w:sz w:val="20"/>
                <w:szCs w:val="20"/>
              </w:rPr>
            </w:pPr>
            <w:r w:rsidRPr="00F07779">
              <w:rPr>
                <w:sz w:val="20"/>
                <w:szCs w:val="20"/>
              </w:rPr>
              <w:t>Ministry of Mining and Energy</w:t>
            </w:r>
          </w:p>
        </w:tc>
      </w:tr>
      <w:tr w:rsidR="0094644B" w:rsidRPr="00F07779" w14:paraId="689A23A2" w14:textId="77777777" w:rsidTr="00FB5086">
        <w:tc>
          <w:tcPr>
            <w:tcW w:w="2973" w:type="dxa"/>
          </w:tcPr>
          <w:p w14:paraId="28916A92" w14:textId="77777777" w:rsidR="0094644B" w:rsidRPr="00FA3F57" w:rsidRDefault="0094644B" w:rsidP="00FB5086">
            <w:pPr>
              <w:rPr>
                <w:sz w:val="20"/>
                <w:szCs w:val="20"/>
              </w:rPr>
            </w:pPr>
            <w:r w:rsidRPr="00FA3F57">
              <w:rPr>
                <w:sz w:val="20"/>
                <w:szCs w:val="20"/>
              </w:rPr>
              <w:t>Year of project funding start</w:t>
            </w:r>
          </w:p>
        </w:tc>
        <w:tc>
          <w:tcPr>
            <w:tcW w:w="5667" w:type="dxa"/>
          </w:tcPr>
          <w:p w14:paraId="6DB234A2" w14:textId="77777777" w:rsidR="0094644B" w:rsidRPr="00FA3F57" w:rsidRDefault="0094644B" w:rsidP="00FB5086">
            <w:pPr>
              <w:rPr>
                <w:sz w:val="20"/>
                <w:szCs w:val="20"/>
              </w:rPr>
            </w:pPr>
            <w:r w:rsidRPr="00FA3F57">
              <w:rPr>
                <w:sz w:val="20"/>
                <w:szCs w:val="20"/>
              </w:rPr>
              <w:t>2026.</w:t>
            </w:r>
          </w:p>
        </w:tc>
      </w:tr>
      <w:tr w:rsidR="0094644B" w:rsidRPr="00F07779" w14:paraId="30D9FEF3" w14:textId="77777777" w:rsidTr="00FB5086">
        <w:tc>
          <w:tcPr>
            <w:tcW w:w="2973" w:type="dxa"/>
          </w:tcPr>
          <w:p w14:paraId="7C55F68F" w14:textId="77777777" w:rsidR="0094644B" w:rsidRPr="00FA3F57" w:rsidRDefault="0094644B" w:rsidP="00FB5086">
            <w:pPr>
              <w:rPr>
                <w:sz w:val="20"/>
                <w:szCs w:val="20"/>
              </w:rPr>
            </w:pPr>
            <w:r w:rsidRPr="00FA3F57">
              <w:rPr>
                <w:sz w:val="20"/>
                <w:szCs w:val="20"/>
              </w:rPr>
              <w:t>Year of completion of project funding</w:t>
            </w:r>
          </w:p>
        </w:tc>
        <w:tc>
          <w:tcPr>
            <w:tcW w:w="5667" w:type="dxa"/>
          </w:tcPr>
          <w:p w14:paraId="08E0BDB2" w14:textId="77777777" w:rsidR="0094644B" w:rsidRPr="00FA3F57" w:rsidRDefault="0094644B" w:rsidP="00FB5086">
            <w:pPr>
              <w:rPr>
                <w:sz w:val="20"/>
                <w:szCs w:val="20"/>
              </w:rPr>
            </w:pPr>
            <w:r w:rsidRPr="00FA3F57">
              <w:rPr>
                <w:sz w:val="20"/>
                <w:szCs w:val="20"/>
              </w:rPr>
              <w:t>2031.</w:t>
            </w:r>
          </w:p>
        </w:tc>
      </w:tr>
      <w:tr w:rsidR="0094644B" w:rsidRPr="00F07779" w14:paraId="19B4EDBB" w14:textId="77777777" w:rsidTr="00FB5086">
        <w:tc>
          <w:tcPr>
            <w:tcW w:w="2973" w:type="dxa"/>
          </w:tcPr>
          <w:p w14:paraId="36168D57" w14:textId="77777777" w:rsidR="0094644B" w:rsidRPr="00FA3F57" w:rsidRDefault="0094644B" w:rsidP="00FB5086">
            <w:pPr>
              <w:rPr>
                <w:sz w:val="20"/>
                <w:szCs w:val="20"/>
              </w:rPr>
            </w:pPr>
            <w:r w:rsidRPr="00FA3F57">
              <w:rPr>
                <w:sz w:val="20"/>
                <w:szCs w:val="20"/>
              </w:rPr>
              <w:t>Total project value</w:t>
            </w:r>
            <w:r w:rsidRPr="00FA3F57">
              <w:rPr>
                <w:sz w:val="20"/>
                <w:szCs w:val="20"/>
              </w:rPr>
              <w:br/>
              <w:t>(in thousands of RSD)</w:t>
            </w:r>
          </w:p>
        </w:tc>
        <w:tc>
          <w:tcPr>
            <w:tcW w:w="5667" w:type="dxa"/>
          </w:tcPr>
          <w:p w14:paraId="1A390D03" w14:textId="77777777" w:rsidR="0094644B" w:rsidRPr="00FA3F57" w:rsidRDefault="0094644B" w:rsidP="00FB5086">
            <w:pPr>
              <w:rPr>
                <w:sz w:val="20"/>
                <w:szCs w:val="20"/>
              </w:rPr>
            </w:pPr>
            <w:r w:rsidRPr="00FA3F57">
              <w:rPr>
                <w:sz w:val="20"/>
                <w:szCs w:val="20"/>
              </w:rPr>
              <w:t>9,907,625 (84.5 million EUR)</w:t>
            </w:r>
          </w:p>
        </w:tc>
      </w:tr>
      <w:tr w:rsidR="0094644B" w:rsidRPr="00F07779" w14:paraId="253917C2" w14:textId="77777777" w:rsidTr="00FB5086">
        <w:tc>
          <w:tcPr>
            <w:tcW w:w="2973" w:type="dxa"/>
          </w:tcPr>
          <w:p w14:paraId="4D10D6E8" w14:textId="77777777" w:rsidR="0094644B" w:rsidRPr="00FA3F57" w:rsidRDefault="0094644B" w:rsidP="00FB5086">
            <w:pPr>
              <w:rPr>
                <w:sz w:val="20"/>
                <w:szCs w:val="20"/>
              </w:rPr>
            </w:pPr>
            <w:r w:rsidRPr="00FA3F57">
              <w:rPr>
                <w:sz w:val="20"/>
                <w:szCs w:val="20"/>
              </w:rPr>
              <w:t>Planned investments for 2026.</w:t>
            </w:r>
            <w:r w:rsidRPr="00FA3F57">
              <w:rPr>
                <w:sz w:val="20"/>
                <w:szCs w:val="20"/>
              </w:rPr>
              <w:br/>
              <w:t>(in thousands of RSD)</w:t>
            </w:r>
          </w:p>
        </w:tc>
        <w:tc>
          <w:tcPr>
            <w:tcW w:w="5667" w:type="dxa"/>
          </w:tcPr>
          <w:p w14:paraId="1A11500F" w14:textId="77777777" w:rsidR="0094644B" w:rsidRPr="00FA3F57" w:rsidRDefault="0094644B" w:rsidP="00FB5086">
            <w:pPr>
              <w:rPr>
                <w:sz w:val="20"/>
                <w:szCs w:val="20"/>
              </w:rPr>
            </w:pPr>
            <w:r w:rsidRPr="00FA3F57">
              <w:rPr>
                <w:sz w:val="20"/>
                <w:szCs w:val="20"/>
              </w:rPr>
              <w:t xml:space="preserve">2,345,000 </w:t>
            </w:r>
            <w:r w:rsidRPr="00F07779">
              <w:rPr>
                <w:sz w:val="20"/>
                <w:szCs w:val="20"/>
              </w:rPr>
              <w:t>(loan)</w:t>
            </w:r>
          </w:p>
        </w:tc>
      </w:tr>
      <w:tr w:rsidR="0094644B" w:rsidRPr="00F07779" w14:paraId="34C98A99" w14:textId="77777777" w:rsidTr="00FB5086">
        <w:tc>
          <w:tcPr>
            <w:tcW w:w="2973" w:type="dxa"/>
          </w:tcPr>
          <w:p w14:paraId="1A512BD2" w14:textId="77777777" w:rsidR="0094644B" w:rsidRPr="00FA3F57" w:rsidRDefault="0094644B" w:rsidP="00FB5086">
            <w:pPr>
              <w:rPr>
                <w:sz w:val="20"/>
                <w:szCs w:val="20"/>
              </w:rPr>
            </w:pPr>
            <w:r w:rsidRPr="00FA3F57">
              <w:rPr>
                <w:sz w:val="20"/>
                <w:szCs w:val="20"/>
              </w:rPr>
              <w:t>Planned investments for 2027.</w:t>
            </w:r>
            <w:r w:rsidRPr="00FA3F57">
              <w:rPr>
                <w:sz w:val="20"/>
                <w:szCs w:val="20"/>
              </w:rPr>
              <w:br/>
              <w:t>(in thousands of RSD)</w:t>
            </w:r>
          </w:p>
        </w:tc>
        <w:tc>
          <w:tcPr>
            <w:tcW w:w="5667" w:type="dxa"/>
          </w:tcPr>
          <w:p w14:paraId="370ACF90" w14:textId="77777777" w:rsidR="0094644B" w:rsidRPr="00FA3F57" w:rsidRDefault="0094644B" w:rsidP="00FB5086">
            <w:pPr>
              <w:rPr>
                <w:sz w:val="20"/>
                <w:szCs w:val="20"/>
              </w:rPr>
            </w:pPr>
            <w:r w:rsidRPr="00FA3F57">
              <w:rPr>
                <w:sz w:val="20"/>
                <w:szCs w:val="20"/>
              </w:rPr>
              <w:t xml:space="preserve">1,758,750 </w:t>
            </w:r>
            <w:r w:rsidRPr="00F07779">
              <w:rPr>
                <w:sz w:val="20"/>
                <w:szCs w:val="20"/>
              </w:rPr>
              <w:t>(loan)</w:t>
            </w:r>
          </w:p>
        </w:tc>
      </w:tr>
      <w:tr w:rsidR="0094644B" w:rsidRPr="00F07779" w14:paraId="2A6E8C55" w14:textId="77777777" w:rsidTr="00FB5086">
        <w:tc>
          <w:tcPr>
            <w:tcW w:w="2973" w:type="dxa"/>
          </w:tcPr>
          <w:p w14:paraId="32D6EDC5" w14:textId="77777777" w:rsidR="0094644B" w:rsidRPr="00FA3F57" w:rsidRDefault="0094644B" w:rsidP="00FB5086">
            <w:pPr>
              <w:rPr>
                <w:sz w:val="20"/>
                <w:szCs w:val="20"/>
              </w:rPr>
            </w:pPr>
            <w:r w:rsidRPr="00FA3F57">
              <w:rPr>
                <w:sz w:val="20"/>
                <w:szCs w:val="20"/>
              </w:rPr>
              <w:t>Planned investments for 2028.</w:t>
            </w:r>
            <w:r w:rsidRPr="00FA3F57">
              <w:rPr>
                <w:sz w:val="20"/>
                <w:szCs w:val="20"/>
              </w:rPr>
              <w:br/>
              <w:t>(in thousands of RSD)</w:t>
            </w:r>
          </w:p>
        </w:tc>
        <w:tc>
          <w:tcPr>
            <w:tcW w:w="5667" w:type="dxa"/>
          </w:tcPr>
          <w:p w14:paraId="7A6C5E67" w14:textId="77777777" w:rsidR="0094644B" w:rsidRPr="00FA3F57" w:rsidRDefault="0094644B" w:rsidP="00FB5086">
            <w:pPr>
              <w:rPr>
                <w:sz w:val="20"/>
                <w:szCs w:val="20"/>
              </w:rPr>
            </w:pPr>
            <w:r w:rsidRPr="00FA3F57">
              <w:rPr>
                <w:sz w:val="20"/>
                <w:szCs w:val="20"/>
              </w:rPr>
              <w:t xml:space="preserve">1,700,125 </w:t>
            </w:r>
            <w:r w:rsidRPr="00F07779">
              <w:rPr>
                <w:sz w:val="20"/>
                <w:szCs w:val="20"/>
              </w:rPr>
              <w:t>(funding partly from WBIF, partly from the loan)</w:t>
            </w:r>
          </w:p>
        </w:tc>
      </w:tr>
    </w:tbl>
    <w:p w14:paraId="6E0A568B" w14:textId="77777777" w:rsidR="0094644B" w:rsidRPr="00FA3F57" w:rsidRDefault="0094644B" w:rsidP="0094644B"/>
    <w:p w14:paraId="1DA6FF25" w14:textId="77777777" w:rsidR="0094644B" w:rsidRPr="00FA3F57" w:rsidRDefault="0094644B" w:rsidP="0094644B"/>
    <w:p w14:paraId="2A96F09B" w14:textId="77777777" w:rsidR="0094644B" w:rsidRPr="00FA3F57" w:rsidRDefault="0094644B" w:rsidP="0094644B">
      <w:pPr>
        <w:keepNext/>
        <w:tabs>
          <w:tab w:val="left" w:pos="1276"/>
          <w:tab w:val="left" w:pos="1560"/>
        </w:tabs>
        <w:ind w:left="1440" w:hanging="1440"/>
      </w:pPr>
      <w:r w:rsidRPr="00FA3F57">
        <w:t>Table 5.1.3-2:</w:t>
      </w:r>
      <w:r w:rsidRPr="00FA3F57">
        <w:tab/>
        <w:t xml:space="preserve">Activities for the implementation of </w:t>
      </w:r>
      <w:r w:rsidRPr="00F07779">
        <w:t xml:space="preserve">the </w:t>
      </w:r>
      <w:r w:rsidRPr="00FA3F57">
        <w:t>measure EL1 - Activity EL1.2</w:t>
      </w:r>
    </w:p>
    <w:tbl>
      <w:tblPr>
        <w:tblStyle w:val="TableGrid"/>
        <w:tblW w:w="0" w:type="auto"/>
        <w:tblLook w:val="04A0" w:firstRow="1" w:lastRow="0" w:firstColumn="1" w:lastColumn="0" w:noHBand="0" w:noVBand="1"/>
      </w:tblPr>
      <w:tblGrid>
        <w:gridCol w:w="2973"/>
        <w:gridCol w:w="5667"/>
      </w:tblGrid>
      <w:tr w:rsidR="0094644B" w:rsidRPr="00F07779" w14:paraId="4ABDA502"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992CB1" w14:textId="77777777" w:rsidR="0094644B" w:rsidRPr="00FA3F57" w:rsidRDefault="0094644B" w:rsidP="00FB5086">
            <w:pPr>
              <w:rPr>
                <w:sz w:val="20"/>
                <w:szCs w:val="20"/>
              </w:rPr>
            </w:pPr>
            <w:r w:rsidRPr="00FA3F57">
              <w:rPr>
                <w:sz w:val="20"/>
                <w:szCs w:val="20"/>
              </w:rPr>
              <w:t>Activity EL1.2</w:t>
            </w:r>
          </w:p>
        </w:tc>
        <w:tc>
          <w:tcPr>
            <w:tcW w:w="566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E547FF5" w14:textId="77777777" w:rsidR="0094644B" w:rsidRPr="00FA3F57" w:rsidRDefault="0094644B" w:rsidP="00FB5086">
            <w:pPr>
              <w:rPr>
                <w:sz w:val="20"/>
                <w:szCs w:val="20"/>
              </w:rPr>
            </w:pPr>
            <w:r w:rsidRPr="00FA3F57">
              <w:rPr>
                <w:sz w:val="20"/>
                <w:szCs w:val="20"/>
              </w:rPr>
              <w:t>Investment projects focused on the reconstruction and construction of the transmission network</w:t>
            </w:r>
          </w:p>
        </w:tc>
      </w:tr>
      <w:tr w:rsidR="0094644B" w:rsidRPr="00F07779" w14:paraId="4E6476AC"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687010BF" w14:textId="77777777" w:rsidR="0094644B" w:rsidRPr="00FA3F57" w:rsidRDefault="0094644B" w:rsidP="00FB5086">
            <w:pPr>
              <w:rPr>
                <w:sz w:val="20"/>
                <w:szCs w:val="20"/>
              </w:rPr>
            </w:pPr>
            <w:r w:rsidRPr="00FA3F57">
              <w:rPr>
                <w:sz w:val="20"/>
                <w:szCs w:val="20"/>
              </w:rPr>
              <w:t>Name of the project</w:t>
            </w:r>
          </w:p>
        </w:tc>
        <w:tc>
          <w:tcPr>
            <w:tcW w:w="5667"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2E3F531E" w14:textId="77777777" w:rsidR="0094644B" w:rsidRPr="00FA3F57" w:rsidRDefault="0094644B" w:rsidP="00FB5086">
            <w:pPr>
              <w:rPr>
                <w:sz w:val="20"/>
                <w:szCs w:val="20"/>
              </w:rPr>
            </w:pPr>
            <w:r w:rsidRPr="00F07779">
              <w:rPr>
                <w:sz w:val="20"/>
                <w:szCs w:val="20"/>
              </w:rPr>
              <w:t xml:space="preserve">OHL 110 kV TS </w:t>
            </w:r>
            <w:proofErr w:type="spellStart"/>
            <w:r w:rsidRPr="00F07779">
              <w:rPr>
                <w:sz w:val="20"/>
                <w:szCs w:val="20"/>
              </w:rPr>
              <w:t>Ljubovija</w:t>
            </w:r>
            <w:proofErr w:type="spellEnd"/>
            <w:r w:rsidRPr="00F07779">
              <w:rPr>
                <w:sz w:val="20"/>
                <w:szCs w:val="20"/>
              </w:rPr>
              <w:t xml:space="preserve"> – state border – TS Srebrenica (BiH)</w:t>
            </w:r>
          </w:p>
        </w:tc>
      </w:tr>
      <w:tr w:rsidR="0094644B" w:rsidRPr="00F07779" w14:paraId="77A479C1"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F2976FA" w14:textId="77777777" w:rsidR="0094644B" w:rsidRPr="00FA3F57" w:rsidRDefault="0094644B" w:rsidP="00FB5086">
            <w:pPr>
              <w:rPr>
                <w:sz w:val="20"/>
                <w:szCs w:val="20"/>
              </w:rPr>
            </w:pPr>
            <w:r w:rsidRPr="00FA3F57">
              <w:rPr>
                <w:sz w:val="20"/>
                <w:szCs w:val="20"/>
              </w:rPr>
              <w:t xml:space="preserve">Name of the </w:t>
            </w:r>
            <w:r w:rsidRPr="00F07779">
              <w:rPr>
                <w:sz w:val="20"/>
                <w:szCs w:val="20"/>
              </w:rPr>
              <w:t>investment</w:t>
            </w:r>
          </w:p>
        </w:tc>
        <w:tc>
          <w:tcPr>
            <w:tcW w:w="566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4C6547F" w14:textId="77777777" w:rsidR="0094644B" w:rsidRPr="00FA3F57" w:rsidRDefault="0094644B" w:rsidP="00FB5086">
            <w:pPr>
              <w:rPr>
                <w:sz w:val="20"/>
                <w:szCs w:val="20"/>
              </w:rPr>
            </w:pPr>
            <w:r w:rsidRPr="00F07779">
              <w:rPr>
                <w:sz w:val="20"/>
                <w:szCs w:val="20"/>
              </w:rPr>
              <w:t xml:space="preserve">OHL 110 kV </w:t>
            </w:r>
            <w:proofErr w:type="spellStart"/>
            <w:r w:rsidRPr="00F07779">
              <w:rPr>
                <w:sz w:val="20"/>
                <w:szCs w:val="20"/>
              </w:rPr>
              <w:t>Ljubovija</w:t>
            </w:r>
            <w:proofErr w:type="spellEnd"/>
            <w:r w:rsidRPr="00F07779">
              <w:rPr>
                <w:sz w:val="20"/>
                <w:szCs w:val="20"/>
              </w:rPr>
              <w:t xml:space="preserve"> – border / Srebrenica</w:t>
            </w:r>
          </w:p>
        </w:tc>
      </w:tr>
      <w:tr w:rsidR="0094644B" w:rsidRPr="00F07779" w14:paraId="6057B0EA"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BDFD76C" w14:textId="77777777" w:rsidR="0094644B" w:rsidRPr="00FA3F57" w:rsidRDefault="0094644B" w:rsidP="00FB5086">
            <w:pPr>
              <w:rPr>
                <w:sz w:val="20"/>
                <w:szCs w:val="20"/>
              </w:rPr>
            </w:pPr>
            <w:r w:rsidRPr="00FA3F57">
              <w:rPr>
                <w:sz w:val="20"/>
                <w:szCs w:val="20"/>
              </w:rPr>
              <w:t>Short description of the investment</w:t>
            </w:r>
          </w:p>
        </w:tc>
        <w:tc>
          <w:tcPr>
            <w:tcW w:w="56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558433E" w14:textId="77777777" w:rsidR="0094644B" w:rsidRPr="00FA3F57" w:rsidRDefault="0094644B" w:rsidP="00FB5086">
            <w:pPr>
              <w:rPr>
                <w:sz w:val="20"/>
                <w:szCs w:val="20"/>
              </w:rPr>
            </w:pPr>
            <w:r w:rsidRPr="00F07779">
              <w:rPr>
                <w:sz w:val="20"/>
                <w:szCs w:val="20"/>
              </w:rPr>
              <w:t xml:space="preserve">Construction of a single-circuit 110 kV transmission line from the TS </w:t>
            </w:r>
            <w:proofErr w:type="spellStart"/>
            <w:r w:rsidRPr="00F07779">
              <w:rPr>
                <w:sz w:val="20"/>
                <w:szCs w:val="20"/>
              </w:rPr>
              <w:t>Ljubovija</w:t>
            </w:r>
            <w:proofErr w:type="spellEnd"/>
            <w:r w:rsidRPr="00F07779">
              <w:rPr>
                <w:sz w:val="20"/>
                <w:szCs w:val="20"/>
              </w:rPr>
              <w:t xml:space="preserve"> to the TS Srebrenica (BiH), with a total length of approximately 2.6 km within the territory of the Republic of Serbia. </w:t>
            </w:r>
            <w:r w:rsidRPr="00FA3F57">
              <w:rPr>
                <w:sz w:val="20"/>
                <w:szCs w:val="20"/>
              </w:rPr>
              <w:t>Expected dynamics of project implementation:</w:t>
            </w:r>
          </w:p>
          <w:p w14:paraId="361888DA" w14:textId="77777777" w:rsidR="0094644B" w:rsidRPr="00FA3F57" w:rsidRDefault="0094644B" w:rsidP="00FB5086">
            <w:pPr>
              <w:rPr>
                <w:sz w:val="20"/>
                <w:szCs w:val="20"/>
              </w:rPr>
            </w:pPr>
            <w:r w:rsidRPr="00FA3F57">
              <w:rPr>
                <w:sz w:val="20"/>
                <w:szCs w:val="20"/>
              </w:rPr>
              <w:lastRenderedPageBreak/>
              <w:t>2026. Building permit</w:t>
            </w:r>
          </w:p>
          <w:p w14:paraId="6646D92D" w14:textId="77777777" w:rsidR="0094644B" w:rsidRPr="00FA3F57" w:rsidRDefault="0094644B" w:rsidP="00FB5086">
            <w:pPr>
              <w:rPr>
                <w:sz w:val="20"/>
                <w:szCs w:val="20"/>
              </w:rPr>
            </w:pPr>
            <w:r w:rsidRPr="00FA3F57">
              <w:rPr>
                <w:sz w:val="20"/>
                <w:szCs w:val="20"/>
              </w:rPr>
              <w:t>2027. Construction</w:t>
            </w:r>
          </w:p>
          <w:p w14:paraId="47068636" w14:textId="77777777" w:rsidR="0094644B" w:rsidRPr="00FA3F57" w:rsidRDefault="0094644B" w:rsidP="00FB5086">
            <w:pPr>
              <w:rPr>
                <w:sz w:val="20"/>
                <w:szCs w:val="20"/>
              </w:rPr>
            </w:pPr>
            <w:r w:rsidRPr="00FA3F57">
              <w:rPr>
                <w:sz w:val="20"/>
                <w:szCs w:val="20"/>
              </w:rPr>
              <w:t>2028. Commissioning; trial operation</w:t>
            </w:r>
          </w:p>
        </w:tc>
      </w:tr>
      <w:tr w:rsidR="0094644B" w:rsidRPr="00F07779" w14:paraId="165AC022"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F2ADF0C" w14:textId="77777777" w:rsidR="0094644B" w:rsidRPr="00FA3F57" w:rsidRDefault="0094644B" w:rsidP="00FB5086">
            <w:pPr>
              <w:rPr>
                <w:sz w:val="20"/>
                <w:szCs w:val="20"/>
              </w:rPr>
            </w:pPr>
            <w:r w:rsidRPr="00FA3F57">
              <w:rPr>
                <w:sz w:val="20"/>
                <w:szCs w:val="20"/>
              </w:rPr>
              <w:lastRenderedPageBreak/>
              <w:t>Institutions responsible for the implementation of measures and activities</w:t>
            </w:r>
          </w:p>
        </w:tc>
        <w:tc>
          <w:tcPr>
            <w:tcW w:w="56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ABB8143" w14:textId="77777777" w:rsidR="0094644B" w:rsidRPr="00FA3F57" w:rsidRDefault="0094644B" w:rsidP="00FB5086">
            <w:pPr>
              <w:rPr>
                <w:sz w:val="20"/>
                <w:szCs w:val="20"/>
              </w:rPr>
            </w:pPr>
            <w:r w:rsidRPr="00FA3F57">
              <w:rPr>
                <w:sz w:val="20"/>
                <w:szCs w:val="20"/>
              </w:rPr>
              <w:t>EMS JSC Belgrade</w:t>
            </w:r>
          </w:p>
        </w:tc>
      </w:tr>
      <w:tr w:rsidR="0094644B" w:rsidRPr="00F07779" w14:paraId="3AEAEBE7"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2899532" w14:textId="77777777" w:rsidR="0094644B" w:rsidRPr="00FA3F57" w:rsidRDefault="0094644B" w:rsidP="00FB5086">
            <w:pPr>
              <w:rPr>
                <w:sz w:val="20"/>
                <w:szCs w:val="20"/>
              </w:rPr>
            </w:pPr>
            <w:r w:rsidRPr="00FA3F57">
              <w:rPr>
                <w:sz w:val="20"/>
                <w:szCs w:val="20"/>
              </w:rPr>
              <w:t>Institutions responsible for monitoring implementation and reporting on the realization</w:t>
            </w:r>
          </w:p>
        </w:tc>
        <w:tc>
          <w:tcPr>
            <w:tcW w:w="56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32D6585" w14:textId="77777777" w:rsidR="0094644B" w:rsidRPr="00FA3F57" w:rsidRDefault="0094644B" w:rsidP="00FB5086">
            <w:pPr>
              <w:rPr>
                <w:sz w:val="20"/>
                <w:szCs w:val="20"/>
              </w:rPr>
            </w:pPr>
            <w:r w:rsidRPr="00FA3F57">
              <w:rPr>
                <w:sz w:val="20"/>
                <w:szCs w:val="20"/>
              </w:rPr>
              <w:t>EMS JSC Belgrade</w:t>
            </w:r>
          </w:p>
          <w:p w14:paraId="5F9C8EA9" w14:textId="77777777" w:rsidR="0094644B" w:rsidRPr="00FA3F57" w:rsidRDefault="0094644B" w:rsidP="00FB5086">
            <w:pPr>
              <w:rPr>
                <w:sz w:val="20"/>
                <w:szCs w:val="20"/>
              </w:rPr>
            </w:pPr>
            <w:r w:rsidRPr="00FA3F57">
              <w:rPr>
                <w:sz w:val="20"/>
                <w:szCs w:val="20"/>
              </w:rPr>
              <w:t>Republic Commission for Energy Networks</w:t>
            </w:r>
          </w:p>
          <w:p w14:paraId="1419C017" w14:textId="77777777" w:rsidR="0094644B" w:rsidRPr="00FA3F57" w:rsidRDefault="0094644B" w:rsidP="00FB5086">
            <w:pPr>
              <w:rPr>
                <w:sz w:val="20"/>
                <w:szCs w:val="20"/>
              </w:rPr>
            </w:pPr>
            <w:r w:rsidRPr="00FA3F57">
              <w:rPr>
                <w:sz w:val="20"/>
                <w:szCs w:val="20"/>
              </w:rPr>
              <w:t>Ministry of Mining and Energy</w:t>
            </w:r>
          </w:p>
        </w:tc>
      </w:tr>
      <w:tr w:rsidR="0094644B" w:rsidRPr="00F07779" w14:paraId="7606812E"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168C393" w14:textId="77777777" w:rsidR="0094644B" w:rsidRPr="00FA3F57" w:rsidRDefault="0094644B" w:rsidP="00FB5086">
            <w:pPr>
              <w:rPr>
                <w:sz w:val="20"/>
                <w:szCs w:val="20"/>
              </w:rPr>
            </w:pPr>
            <w:r w:rsidRPr="00FA3F57">
              <w:rPr>
                <w:sz w:val="20"/>
                <w:szCs w:val="20"/>
              </w:rPr>
              <w:t>Year of project funding start</w:t>
            </w:r>
          </w:p>
        </w:tc>
        <w:tc>
          <w:tcPr>
            <w:tcW w:w="56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B23C342" w14:textId="77777777" w:rsidR="0094644B" w:rsidRPr="00FA3F57" w:rsidRDefault="0094644B" w:rsidP="00FB5086">
            <w:pPr>
              <w:rPr>
                <w:sz w:val="20"/>
                <w:szCs w:val="20"/>
              </w:rPr>
            </w:pPr>
            <w:r w:rsidRPr="00FA3F57">
              <w:rPr>
                <w:sz w:val="20"/>
                <w:szCs w:val="20"/>
              </w:rPr>
              <w:t>2017.</w:t>
            </w:r>
          </w:p>
        </w:tc>
      </w:tr>
      <w:tr w:rsidR="0094644B" w:rsidRPr="00F07779" w14:paraId="5CBA56A2"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296C97A" w14:textId="77777777" w:rsidR="0094644B" w:rsidRPr="00FA3F57" w:rsidRDefault="0094644B" w:rsidP="00FB5086">
            <w:pPr>
              <w:rPr>
                <w:sz w:val="20"/>
                <w:szCs w:val="20"/>
              </w:rPr>
            </w:pPr>
            <w:r w:rsidRPr="00FA3F57">
              <w:rPr>
                <w:sz w:val="20"/>
                <w:szCs w:val="20"/>
              </w:rPr>
              <w:t>Year of completion of project funding</w:t>
            </w:r>
          </w:p>
        </w:tc>
        <w:tc>
          <w:tcPr>
            <w:tcW w:w="56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DBC529F" w14:textId="77777777" w:rsidR="0094644B" w:rsidRPr="00FA3F57" w:rsidRDefault="0094644B" w:rsidP="00FB5086">
            <w:pPr>
              <w:rPr>
                <w:sz w:val="20"/>
                <w:szCs w:val="20"/>
              </w:rPr>
            </w:pPr>
            <w:r w:rsidRPr="00FA3F57">
              <w:rPr>
                <w:sz w:val="20"/>
                <w:szCs w:val="20"/>
              </w:rPr>
              <w:t>2027.</w:t>
            </w:r>
          </w:p>
        </w:tc>
      </w:tr>
      <w:tr w:rsidR="0094644B" w:rsidRPr="00F07779" w14:paraId="74060876"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39A5985" w14:textId="77777777" w:rsidR="0094644B" w:rsidRPr="00FA3F57" w:rsidRDefault="0094644B" w:rsidP="00FB5086">
            <w:pPr>
              <w:rPr>
                <w:sz w:val="20"/>
                <w:szCs w:val="20"/>
              </w:rPr>
            </w:pPr>
            <w:r w:rsidRPr="00FA3F57">
              <w:rPr>
                <w:sz w:val="20"/>
                <w:szCs w:val="20"/>
              </w:rPr>
              <w:t>Total project value</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36926E6" w14:textId="77777777" w:rsidR="0094644B" w:rsidRPr="00FA3F57" w:rsidRDefault="0094644B" w:rsidP="00FB5086">
            <w:pPr>
              <w:rPr>
                <w:sz w:val="20"/>
                <w:szCs w:val="20"/>
              </w:rPr>
            </w:pPr>
            <w:r w:rsidRPr="00FA3F57">
              <w:rPr>
                <w:sz w:val="20"/>
                <w:szCs w:val="20"/>
              </w:rPr>
              <w:t>82,075 (0.7 million EUR)</w:t>
            </w:r>
          </w:p>
        </w:tc>
      </w:tr>
      <w:tr w:rsidR="0094644B" w:rsidRPr="00F07779" w14:paraId="0DD9E288"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67F9EF0" w14:textId="77777777" w:rsidR="0094644B" w:rsidRPr="00FA3F57" w:rsidRDefault="0094644B" w:rsidP="00FB5086">
            <w:pPr>
              <w:rPr>
                <w:sz w:val="20"/>
                <w:szCs w:val="20"/>
              </w:rPr>
            </w:pPr>
            <w:r w:rsidRPr="00FA3F57">
              <w:rPr>
                <w:sz w:val="20"/>
                <w:szCs w:val="20"/>
              </w:rPr>
              <w:t>Planned investments for 2026.</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90131A3" w14:textId="77777777" w:rsidR="0094644B" w:rsidRPr="00FA3F57" w:rsidRDefault="0094644B" w:rsidP="00FB5086">
            <w:pPr>
              <w:rPr>
                <w:sz w:val="20"/>
                <w:szCs w:val="20"/>
              </w:rPr>
            </w:pPr>
            <w:r w:rsidRPr="00FA3F57">
              <w:rPr>
                <w:sz w:val="20"/>
                <w:szCs w:val="20"/>
              </w:rPr>
              <w:t>38</w:t>
            </w:r>
            <w:r w:rsidRPr="00F07779">
              <w:rPr>
                <w:sz w:val="20"/>
                <w:szCs w:val="20"/>
              </w:rPr>
              <w:t>,</w:t>
            </w:r>
            <w:r w:rsidRPr="00FA3F57">
              <w:rPr>
                <w:sz w:val="20"/>
                <w:szCs w:val="20"/>
              </w:rPr>
              <w:t>769 (own funds of EМS JSC)</w:t>
            </w:r>
          </w:p>
        </w:tc>
      </w:tr>
      <w:tr w:rsidR="0094644B" w:rsidRPr="00F07779" w14:paraId="269979D9"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AD4243D" w14:textId="77777777" w:rsidR="0094644B" w:rsidRPr="00FA3F57" w:rsidRDefault="0094644B" w:rsidP="00FB5086">
            <w:pPr>
              <w:rPr>
                <w:sz w:val="20"/>
                <w:szCs w:val="20"/>
              </w:rPr>
            </w:pPr>
            <w:r w:rsidRPr="00FA3F57">
              <w:rPr>
                <w:sz w:val="20"/>
                <w:szCs w:val="20"/>
              </w:rPr>
              <w:t>Planned investments for 2027.</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77F3823" w14:textId="77777777" w:rsidR="0094644B" w:rsidRPr="00F07779" w:rsidRDefault="0094644B" w:rsidP="00FB5086">
            <w:pPr>
              <w:rPr>
                <w:color w:val="000000"/>
                <w:sz w:val="20"/>
                <w:szCs w:val="20"/>
                <w:lang w:eastAsia="en-US"/>
              </w:rPr>
            </w:pPr>
            <w:r w:rsidRPr="00F07779">
              <w:rPr>
                <w:color w:val="000000"/>
                <w:sz w:val="20"/>
                <w:szCs w:val="20"/>
              </w:rPr>
              <w:t xml:space="preserve">37,172 </w:t>
            </w:r>
            <w:r w:rsidRPr="00FA3F57">
              <w:rPr>
                <w:sz w:val="20"/>
                <w:szCs w:val="20"/>
              </w:rPr>
              <w:t>(own funds of EМS JSC)</w:t>
            </w:r>
          </w:p>
        </w:tc>
      </w:tr>
      <w:tr w:rsidR="0094644B" w:rsidRPr="00F07779" w14:paraId="7D1C3783"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8E43938" w14:textId="77777777" w:rsidR="0094644B" w:rsidRPr="00FA3F57" w:rsidRDefault="0094644B" w:rsidP="00FB5086">
            <w:pPr>
              <w:rPr>
                <w:sz w:val="20"/>
                <w:szCs w:val="20"/>
              </w:rPr>
            </w:pPr>
            <w:r w:rsidRPr="00FA3F57">
              <w:rPr>
                <w:sz w:val="20"/>
                <w:szCs w:val="20"/>
              </w:rPr>
              <w:t>Planned investments for 2028.</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6740CD0" w14:textId="77777777" w:rsidR="0094644B" w:rsidRPr="00FA3F57" w:rsidRDefault="0094644B" w:rsidP="00FB5086">
            <w:pPr>
              <w:rPr>
                <w:sz w:val="20"/>
                <w:szCs w:val="20"/>
              </w:rPr>
            </w:pPr>
            <w:r w:rsidRPr="00FA3F57">
              <w:rPr>
                <w:sz w:val="20"/>
                <w:szCs w:val="20"/>
              </w:rPr>
              <w:t>0</w:t>
            </w:r>
          </w:p>
        </w:tc>
      </w:tr>
    </w:tbl>
    <w:p w14:paraId="3E8AA662" w14:textId="77777777" w:rsidR="0094644B" w:rsidRPr="00F07779" w:rsidRDefault="0094644B" w:rsidP="0094644B">
      <w:pPr>
        <w:tabs>
          <w:tab w:val="left" w:pos="1276"/>
          <w:tab w:val="left" w:pos="1560"/>
        </w:tabs>
        <w:ind w:left="1440" w:hanging="1440"/>
      </w:pPr>
    </w:p>
    <w:tbl>
      <w:tblPr>
        <w:tblStyle w:val="TableGrid"/>
        <w:tblW w:w="0" w:type="auto"/>
        <w:tblLook w:val="04A0" w:firstRow="1" w:lastRow="0" w:firstColumn="1" w:lastColumn="0" w:noHBand="0" w:noVBand="1"/>
      </w:tblPr>
      <w:tblGrid>
        <w:gridCol w:w="2973"/>
        <w:gridCol w:w="5667"/>
      </w:tblGrid>
      <w:tr w:rsidR="0094644B" w:rsidRPr="00F07779" w14:paraId="2D206769"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81DD8F0" w14:textId="77777777" w:rsidR="0094644B" w:rsidRPr="00FA3F57" w:rsidRDefault="0094644B" w:rsidP="00FB5086">
            <w:pPr>
              <w:rPr>
                <w:sz w:val="20"/>
                <w:szCs w:val="20"/>
              </w:rPr>
            </w:pPr>
            <w:r w:rsidRPr="00FA3F57">
              <w:rPr>
                <w:sz w:val="20"/>
                <w:szCs w:val="20"/>
              </w:rPr>
              <w:t>Activity EL1.2</w:t>
            </w:r>
          </w:p>
        </w:tc>
        <w:tc>
          <w:tcPr>
            <w:tcW w:w="566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C185922" w14:textId="77777777" w:rsidR="0094644B" w:rsidRPr="00FA3F57" w:rsidRDefault="0094644B" w:rsidP="00FB5086">
            <w:pPr>
              <w:rPr>
                <w:sz w:val="20"/>
                <w:szCs w:val="20"/>
              </w:rPr>
            </w:pPr>
            <w:r w:rsidRPr="00FA3F57">
              <w:rPr>
                <w:sz w:val="20"/>
                <w:szCs w:val="20"/>
              </w:rPr>
              <w:t>Investment projects focused on the reconstruction and construction of the transmission network</w:t>
            </w:r>
          </w:p>
        </w:tc>
      </w:tr>
      <w:tr w:rsidR="0094644B" w:rsidRPr="00F07779" w14:paraId="72FE9EBE"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4F2BFCDD" w14:textId="77777777" w:rsidR="0094644B" w:rsidRPr="00FA3F57" w:rsidRDefault="0094644B" w:rsidP="00FB5086">
            <w:pPr>
              <w:rPr>
                <w:sz w:val="20"/>
                <w:szCs w:val="20"/>
              </w:rPr>
            </w:pPr>
            <w:r w:rsidRPr="00FA3F57">
              <w:rPr>
                <w:sz w:val="20"/>
                <w:szCs w:val="20"/>
              </w:rPr>
              <w:t>Name of the project</w:t>
            </w:r>
          </w:p>
        </w:tc>
        <w:tc>
          <w:tcPr>
            <w:tcW w:w="5667"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65907C54" w14:textId="77777777" w:rsidR="0094644B" w:rsidRPr="00FA3F57" w:rsidRDefault="0094644B" w:rsidP="00FB5086">
            <w:pPr>
              <w:rPr>
                <w:sz w:val="20"/>
                <w:szCs w:val="20"/>
              </w:rPr>
            </w:pPr>
            <w:r w:rsidRPr="00FA3F57">
              <w:rPr>
                <w:sz w:val="20"/>
                <w:szCs w:val="20"/>
              </w:rPr>
              <w:t>Pannonian Corridor</w:t>
            </w:r>
          </w:p>
        </w:tc>
      </w:tr>
      <w:tr w:rsidR="0094644B" w:rsidRPr="00F07779" w14:paraId="13246E52"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D1CE55F" w14:textId="77777777" w:rsidR="0094644B" w:rsidRPr="00FA3F57" w:rsidRDefault="0094644B" w:rsidP="00FB5086">
            <w:pPr>
              <w:rPr>
                <w:sz w:val="20"/>
                <w:szCs w:val="20"/>
              </w:rPr>
            </w:pPr>
            <w:r w:rsidRPr="00FA3F57">
              <w:rPr>
                <w:sz w:val="20"/>
                <w:szCs w:val="20"/>
              </w:rPr>
              <w:t xml:space="preserve">Name of the </w:t>
            </w:r>
            <w:r w:rsidRPr="00F07779">
              <w:rPr>
                <w:sz w:val="20"/>
                <w:szCs w:val="20"/>
              </w:rPr>
              <w:t>investment</w:t>
            </w:r>
          </w:p>
        </w:tc>
        <w:tc>
          <w:tcPr>
            <w:tcW w:w="566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8983B36" w14:textId="77777777" w:rsidR="0094644B" w:rsidRPr="00FA3F57" w:rsidRDefault="0094644B" w:rsidP="00FB5086">
            <w:pPr>
              <w:rPr>
                <w:sz w:val="20"/>
                <w:szCs w:val="20"/>
              </w:rPr>
            </w:pPr>
            <w:r w:rsidRPr="00F07779">
              <w:rPr>
                <w:sz w:val="20"/>
                <w:szCs w:val="20"/>
              </w:rPr>
              <w:t xml:space="preserve">OHL 2x400 kV TS Subotica 3 – TS </w:t>
            </w:r>
            <w:proofErr w:type="spellStart"/>
            <w:r w:rsidRPr="00F07779">
              <w:rPr>
                <w:sz w:val="20"/>
                <w:szCs w:val="20"/>
              </w:rPr>
              <w:t>Šandorfalva</w:t>
            </w:r>
            <w:proofErr w:type="spellEnd"/>
          </w:p>
        </w:tc>
      </w:tr>
      <w:tr w:rsidR="0094644B" w:rsidRPr="00F07779" w14:paraId="45558B2B"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7A9023F" w14:textId="77777777" w:rsidR="0094644B" w:rsidRPr="00FA3F57" w:rsidRDefault="0094644B" w:rsidP="00FB5086">
            <w:pPr>
              <w:rPr>
                <w:sz w:val="20"/>
                <w:szCs w:val="20"/>
              </w:rPr>
            </w:pPr>
            <w:r w:rsidRPr="00FA3F57">
              <w:rPr>
                <w:sz w:val="20"/>
                <w:szCs w:val="20"/>
              </w:rPr>
              <w:t>Short description of the investment</w:t>
            </w:r>
          </w:p>
        </w:tc>
        <w:tc>
          <w:tcPr>
            <w:tcW w:w="56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9C82F83" w14:textId="77777777" w:rsidR="0094644B" w:rsidRPr="00F07779" w:rsidRDefault="0094644B" w:rsidP="00FB5086">
            <w:pPr>
              <w:rPr>
                <w:sz w:val="20"/>
                <w:szCs w:val="20"/>
              </w:rPr>
            </w:pPr>
            <w:r w:rsidRPr="00F07779">
              <w:rPr>
                <w:sz w:val="20"/>
                <w:szCs w:val="20"/>
              </w:rPr>
              <w:t xml:space="preserve">Construction of a double-circuit overhead line with a total length of approximately 28 km, outfitted with one circuit, to connect the existing TS Subotica 3 and TS </w:t>
            </w:r>
            <w:proofErr w:type="spellStart"/>
            <w:r w:rsidRPr="00F07779">
              <w:rPr>
                <w:sz w:val="20"/>
                <w:szCs w:val="20"/>
              </w:rPr>
              <w:t>Šandorfalva</w:t>
            </w:r>
            <w:proofErr w:type="spellEnd"/>
            <w:r w:rsidRPr="00F07779">
              <w:rPr>
                <w:sz w:val="20"/>
                <w:szCs w:val="20"/>
              </w:rPr>
              <w:t xml:space="preserve"> (Hungary).</w:t>
            </w:r>
          </w:p>
          <w:p w14:paraId="7FD37B8B" w14:textId="77777777" w:rsidR="0094644B" w:rsidRPr="00FA3F57" w:rsidRDefault="0094644B" w:rsidP="00FB5086">
            <w:pPr>
              <w:rPr>
                <w:sz w:val="20"/>
                <w:szCs w:val="20"/>
              </w:rPr>
            </w:pPr>
            <w:r w:rsidRPr="00FA3F57">
              <w:rPr>
                <w:sz w:val="20"/>
                <w:szCs w:val="20"/>
              </w:rPr>
              <w:t>Expected dynamics of project implementation:</w:t>
            </w:r>
          </w:p>
          <w:p w14:paraId="6F378438" w14:textId="77777777" w:rsidR="0094644B" w:rsidRPr="00FA3F57" w:rsidRDefault="0094644B" w:rsidP="00FB5086">
            <w:pPr>
              <w:rPr>
                <w:sz w:val="20"/>
                <w:szCs w:val="20"/>
              </w:rPr>
            </w:pPr>
            <w:r w:rsidRPr="00FA3F57">
              <w:rPr>
                <w:sz w:val="20"/>
                <w:szCs w:val="20"/>
              </w:rPr>
              <w:t>2026. Preliminary design</w:t>
            </w:r>
          </w:p>
          <w:p w14:paraId="3FD85AF2" w14:textId="77777777" w:rsidR="0094644B" w:rsidRPr="00FA3F57" w:rsidRDefault="0094644B" w:rsidP="00FB5086">
            <w:pPr>
              <w:rPr>
                <w:sz w:val="20"/>
                <w:szCs w:val="20"/>
              </w:rPr>
            </w:pPr>
            <w:r w:rsidRPr="00FA3F57">
              <w:rPr>
                <w:sz w:val="20"/>
                <w:szCs w:val="20"/>
              </w:rPr>
              <w:t>2027. Building permit</w:t>
            </w:r>
          </w:p>
          <w:p w14:paraId="6A25C077" w14:textId="77777777" w:rsidR="0094644B" w:rsidRPr="00FA3F57" w:rsidRDefault="0094644B" w:rsidP="00FB5086">
            <w:pPr>
              <w:rPr>
                <w:sz w:val="20"/>
                <w:szCs w:val="20"/>
              </w:rPr>
            </w:pPr>
            <w:r w:rsidRPr="00FA3F57">
              <w:rPr>
                <w:sz w:val="20"/>
                <w:szCs w:val="20"/>
              </w:rPr>
              <w:t>2028.</w:t>
            </w:r>
            <w:r w:rsidRPr="00F07779">
              <w:rPr>
                <w:sz w:val="20"/>
                <w:szCs w:val="20"/>
              </w:rPr>
              <w:t xml:space="preserve"> </w:t>
            </w:r>
            <w:r w:rsidRPr="00FA3F57">
              <w:rPr>
                <w:sz w:val="20"/>
                <w:szCs w:val="20"/>
              </w:rPr>
              <w:t>Construction</w:t>
            </w:r>
          </w:p>
        </w:tc>
      </w:tr>
      <w:tr w:rsidR="0094644B" w:rsidRPr="00F07779" w14:paraId="283DF2FE"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DC8C6B6" w14:textId="77777777" w:rsidR="0094644B" w:rsidRPr="00FA3F57" w:rsidRDefault="0094644B" w:rsidP="00FB5086">
            <w:pPr>
              <w:rPr>
                <w:sz w:val="20"/>
                <w:szCs w:val="20"/>
              </w:rPr>
            </w:pPr>
            <w:r w:rsidRPr="00FA3F57">
              <w:rPr>
                <w:sz w:val="20"/>
                <w:szCs w:val="20"/>
              </w:rPr>
              <w:t>Institutions responsible for the implementation of measures and activities</w:t>
            </w:r>
          </w:p>
        </w:tc>
        <w:tc>
          <w:tcPr>
            <w:tcW w:w="56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A7C2902" w14:textId="77777777" w:rsidR="0094644B" w:rsidRPr="00FA3F57" w:rsidRDefault="0094644B" w:rsidP="00FB5086">
            <w:pPr>
              <w:rPr>
                <w:sz w:val="20"/>
                <w:szCs w:val="20"/>
              </w:rPr>
            </w:pPr>
            <w:r w:rsidRPr="00FA3F57">
              <w:rPr>
                <w:sz w:val="20"/>
                <w:szCs w:val="20"/>
              </w:rPr>
              <w:t>EMS JSC Belgrade</w:t>
            </w:r>
          </w:p>
        </w:tc>
      </w:tr>
      <w:tr w:rsidR="0094644B" w:rsidRPr="00F07779" w14:paraId="463205EB"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B9FB5C4" w14:textId="77777777" w:rsidR="0094644B" w:rsidRPr="00FA3F57" w:rsidRDefault="0094644B" w:rsidP="00FB5086">
            <w:pPr>
              <w:rPr>
                <w:sz w:val="20"/>
                <w:szCs w:val="20"/>
              </w:rPr>
            </w:pPr>
            <w:r w:rsidRPr="00FA3F57">
              <w:rPr>
                <w:sz w:val="20"/>
                <w:szCs w:val="20"/>
              </w:rPr>
              <w:t>Institutions responsible for monitoring implementation and reporting on the realization</w:t>
            </w:r>
          </w:p>
        </w:tc>
        <w:tc>
          <w:tcPr>
            <w:tcW w:w="56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90D0295" w14:textId="77777777" w:rsidR="0094644B" w:rsidRPr="00F07779" w:rsidRDefault="0094644B" w:rsidP="00FB5086">
            <w:pPr>
              <w:rPr>
                <w:sz w:val="20"/>
                <w:szCs w:val="20"/>
              </w:rPr>
            </w:pPr>
            <w:r w:rsidRPr="00FA3F57">
              <w:rPr>
                <w:sz w:val="20"/>
                <w:szCs w:val="20"/>
              </w:rPr>
              <w:t>EMS JSC Belgrade</w:t>
            </w:r>
          </w:p>
          <w:p w14:paraId="3328FB00" w14:textId="77777777" w:rsidR="0094644B" w:rsidRPr="00FA3F57" w:rsidRDefault="0094644B" w:rsidP="00FB5086">
            <w:pPr>
              <w:rPr>
                <w:sz w:val="20"/>
                <w:szCs w:val="20"/>
              </w:rPr>
            </w:pPr>
            <w:r w:rsidRPr="00FA3F57">
              <w:rPr>
                <w:sz w:val="20"/>
                <w:szCs w:val="20"/>
              </w:rPr>
              <w:t>Ministry of Mining and Energy</w:t>
            </w:r>
          </w:p>
        </w:tc>
      </w:tr>
      <w:tr w:rsidR="0094644B" w:rsidRPr="00F07779" w14:paraId="28A427E5"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819D6D3" w14:textId="77777777" w:rsidR="0094644B" w:rsidRPr="00FA3F57" w:rsidRDefault="0094644B" w:rsidP="00FB5086">
            <w:pPr>
              <w:rPr>
                <w:sz w:val="20"/>
                <w:szCs w:val="20"/>
              </w:rPr>
            </w:pPr>
            <w:r w:rsidRPr="00FA3F57">
              <w:rPr>
                <w:sz w:val="20"/>
                <w:szCs w:val="20"/>
              </w:rPr>
              <w:t>Year of project funding start</w:t>
            </w:r>
          </w:p>
        </w:tc>
        <w:tc>
          <w:tcPr>
            <w:tcW w:w="56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25316F2" w14:textId="77777777" w:rsidR="0094644B" w:rsidRPr="00FA3F57" w:rsidRDefault="0094644B" w:rsidP="00FB5086">
            <w:pPr>
              <w:rPr>
                <w:sz w:val="20"/>
                <w:szCs w:val="20"/>
              </w:rPr>
            </w:pPr>
            <w:r w:rsidRPr="00FA3F57">
              <w:rPr>
                <w:sz w:val="20"/>
                <w:szCs w:val="20"/>
              </w:rPr>
              <w:t>2023.</w:t>
            </w:r>
          </w:p>
        </w:tc>
      </w:tr>
      <w:tr w:rsidR="0094644B" w:rsidRPr="00F07779" w14:paraId="596E4F37"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C9B37D6" w14:textId="77777777" w:rsidR="0094644B" w:rsidRPr="00FA3F57" w:rsidRDefault="0094644B" w:rsidP="00FB5086">
            <w:pPr>
              <w:rPr>
                <w:sz w:val="20"/>
                <w:szCs w:val="20"/>
              </w:rPr>
            </w:pPr>
            <w:r w:rsidRPr="00FA3F57">
              <w:rPr>
                <w:sz w:val="20"/>
                <w:szCs w:val="20"/>
              </w:rPr>
              <w:t>Year of completion of project funding</w:t>
            </w:r>
          </w:p>
        </w:tc>
        <w:tc>
          <w:tcPr>
            <w:tcW w:w="56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9B9D6B3" w14:textId="77777777" w:rsidR="0094644B" w:rsidRPr="00FA3F57" w:rsidRDefault="0094644B" w:rsidP="00FB5086">
            <w:pPr>
              <w:rPr>
                <w:sz w:val="20"/>
                <w:szCs w:val="20"/>
              </w:rPr>
            </w:pPr>
            <w:r w:rsidRPr="00FA3F57">
              <w:rPr>
                <w:sz w:val="20"/>
                <w:szCs w:val="20"/>
              </w:rPr>
              <w:t>2028.</w:t>
            </w:r>
          </w:p>
        </w:tc>
      </w:tr>
      <w:tr w:rsidR="0094644B" w:rsidRPr="00F07779" w14:paraId="14CD271E"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7E1E80A" w14:textId="77777777" w:rsidR="0094644B" w:rsidRPr="00FA3F57" w:rsidRDefault="0094644B" w:rsidP="00FB5086">
            <w:pPr>
              <w:rPr>
                <w:sz w:val="20"/>
                <w:szCs w:val="20"/>
              </w:rPr>
            </w:pPr>
            <w:r w:rsidRPr="00FA3F57">
              <w:rPr>
                <w:sz w:val="20"/>
                <w:szCs w:val="20"/>
              </w:rPr>
              <w:t>Total project value</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08FB986" w14:textId="77777777" w:rsidR="0094644B" w:rsidRPr="00FA3F57" w:rsidRDefault="0094644B" w:rsidP="00FB5086">
            <w:pPr>
              <w:rPr>
                <w:sz w:val="20"/>
                <w:szCs w:val="20"/>
              </w:rPr>
            </w:pPr>
            <w:r w:rsidRPr="00FA3F57">
              <w:rPr>
                <w:sz w:val="20"/>
                <w:szCs w:val="20"/>
              </w:rPr>
              <w:t>1,534,802.5 (13.09 million EUR)</w:t>
            </w:r>
          </w:p>
        </w:tc>
      </w:tr>
      <w:tr w:rsidR="0094644B" w:rsidRPr="00F07779" w14:paraId="22DCDEEF"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D6270C8" w14:textId="77777777" w:rsidR="0094644B" w:rsidRPr="00FA3F57" w:rsidRDefault="0094644B" w:rsidP="00FB5086">
            <w:pPr>
              <w:rPr>
                <w:sz w:val="20"/>
                <w:szCs w:val="20"/>
              </w:rPr>
            </w:pPr>
            <w:r w:rsidRPr="00FA3F57">
              <w:rPr>
                <w:sz w:val="20"/>
                <w:szCs w:val="20"/>
              </w:rPr>
              <w:t>Planned investments for 2026.</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48D7C0D" w14:textId="77777777" w:rsidR="0094644B" w:rsidRPr="00FA3F57" w:rsidRDefault="0094644B" w:rsidP="00FB5086">
            <w:pPr>
              <w:rPr>
                <w:sz w:val="20"/>
                <w:szCs w:val="20"/>
              </w:rPr>
            </w:pPr>
            <w:r w:rsidRPr="00FA3F57">
              <w:rPr>
                <w:sz w:val="20"/>
                <w:szCs w:val="20"/>
              </w:rPr>
              <w:t>25,795 (budget RS)</w:t>
            </w:r>
          </w:p>
        </w:tc>
      </w:tr>
      <w:tr w:rsidR="0094644B" w:rsidRPr="00F07779" w14:paraId="64B497A5"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E6132FF" w14:textId="77777777" w:rsidR="0094644B" w:rsidRPr="00FA3F57" w:rsidRDefault="0094644B" w:rsidP="00FB5086">
            <w:pPr>
              <w:rPr>
                <w:sz w:val="20"/>
                <w:szCs w:val="20"/>
              </w:rPr>
            </w:pPr>
            <w:r w:rsidRPr="00FA3F57">
              <w:rPr>
                <w:sz w:val="20"/>
                <w:szCs w:val="20"/>
              </w:rPr>
              <w:t>Planned investments for 2027.</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1EE0EA5" w14:textId="77777777" w:rsidR="0094644B" w:rsidRPr="00FA3F57" w:rsidRDefault="0094644B" w:rsidP="00FB5086">
            <w:pPr>
              <w:rPr>
                <w:sz w:val="20"/>
                <w:szCs w:val="20"/>
              </w:rPr>
            </w:pPr>
            <w:r w:rsidRPr="00FA3F57">
              <w:rPr>
                <w:sz w:val="20"/>
                <w:szCs w:val="20"/>
              </w:rPr>
              <w:t>447,895 (budget RS)</w:t>
            </w:r>
          </w:p>
        </w:tc>
      </w:tr>
      <w:tr w:rsidR="0094644B" w:rsidRPr="00F07779" w14:paraId="240CFB84"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F2A8E9F" w14:textId="77777777" w:rsidR="0094644B" w:rsidRPr="00FA3F57" w:rsidRDefault="0094644B" w:rsidP="00FB5086">
            <w:pPr>
              <w:rPr>
                <w:sz w:val="20"/>
                <w:szCs w:val="20"/>
              </w:rPr>
            </w:pPr>
            <w:r w:rsidRPr="00FA3F57">
              <w:rPr>
                <w:sz w:val="20"/>
                <w:szCs w:val="20"/>
              </w:rPr>
              <w:t>Planned investments for 2028.</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EAE695E" w14:textId="77777777" w:rsidR="0094644B" w:rsidRPr="00FA3F57" w:rsidRDefault="0094644B" w:rsidP="00FB5086">
            <w:pPr>
              <w:rPr>
                <w:sz w:val="20"/>
                <w:szCs w:val="20"/>
              </w:rPr>
            </w:pPr>
            <w:r w:rsidRPr="00F07779">
              <w:rPr>
                <w:sz w:val="20"/>
                <w:szCs w:val="20"/>
              </w:rPr>
              <w:t>1,051,732.5 (budget RS)</w:t>
            </w:r>
          </w:p>
        </w:tc>
      </w:tr>
    </w:tbl>
    <w:p w14:paraId="2119AB8E" w14:textId="77777777" w:rsidR="0094644B" w:rsidRPr="00F07779" w:rsidRDefault="0094644B" w:rsidP="0094644B">
      <w:pPr>
        <w:tabs>
          <w:tab w:val="left" w:pos="1276"/>
          <w:tab w:val="left" w:pos="1560"/>
        </w:tabs>
        <w:ind w:left="1440" w:hanging="1440"/>
      </w:pPr>
    </w:p>
    <w:tbl>
      <w:tblPr>
        <w:tblStyle w:val="TableGrid"/>
        <w:tblW w:w="0" w:type="auto"/>
        <w:tblLook w:val="04A0" w:firstRow="1" w:lastRow="0" w:firstColumn="1" w:lastColumn="0" w:noHBand="0" w:noVBand="1"/>
      </w:tblPr>
      <w:tblGrid>
        <w:gridCol w:w="2973"/>
        <w:gridCol w:w="5667"/>
      </w:tblGrid>
      <w:tr w:rsidR="0094644B" w:rsidRPr="00F07779" w14:paraId="5AF632CA"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0D72DB1" w14:textId="77777777" w:rsidR="0094644B" w:rsidRPr="00FA3F57" w:rsidRDefault="0094644B" w:rsidP="00FB5086">
            <w:pPr>
              <w:rPr>
                <w:sz w:val="20"/>
                <w:szCs w:val="20"/>
              </w:rPr>
            </w:pPr>
            <w:r w:rsidRPr="00FA3F57">
              <w:rPr>
                <w:sz w:val="20"/>
                <w:szCs w:val="20"/>
              </w:rPr>
              <w:t>Activity EL1.2</w:t>
            </w:r>
          </w:p>
        </w:tc>
        <w:tc>
          <w:tcPr>
            <w:tcW w:w="566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A00C79B" w14:textId="77777777" w:rsidR="0094644B" w:rsidRPr="00FA3F57" w:rsidRDefault="0094644B" w:rsidP="00FB5086">
            <w:pPr>
              <w:rPr>
                <w:sz w:val="20"/>
                <w:szCs w:val="20"/>
              </w:rPr>
            </w:pPr>
            <w:r w:rsidRPr="00FA3F57">
              <w:rPr>
                <w:sz w:val="20"/>
                <w:szCs w:val="20"/>
              </w:rPr>
              <w:t>Investment projects focused on the reconstruction and construction of the transmission network</w:t>
            </w:r>
          </w:p>
        </w:tc>
      </w:tr>
      <w:tr w:rsidR="0094644B" w:rsidRPr="00F07779" w14:paraId="2B2B4F4E"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3207530A" w14:textId="77777777" w:rsidR="0094644B" w:rsidRPr="00FA3F57" w:rsidRDefault="0094644B" w:rsidP="00FB5086">
            <w:pPr>
              <w:rPr>
                <w:sz w:val="20"/>
                <w:szCs w:val="20"/>
              </w:rPr>
            </w:pPr>
            <w:r w:rsidRPr="00FA3F57">
              <w:rPr>
                <w:sz w:val="20"/>
                <w:szCs w:val="20"/>
              </w:rPr>
              <w:t>Name of the project</w:t>
            </w:r>
          </w:p>
        </w:tc>
        <w:tc>
          <w:tcPr>
            <w:tcW w:w="5667"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5E097070" w14:textId="77777777" w:rsidR="0094644B" w:rsidRPr="00FA3F57" w:rsidRDefault="0094644B" w:rsidP="00FB5086">
            <w:pPr>
              <w:rPr>
                <w:sz w:val="20"/>
                <w:szCs w:val="20"/>
              </w:rPr>
            </w:pPr>
            <w:r w:rsidRPr="00FA3F57">
              <w:rPr>
                <w:sz w:val="20"/>
                <w:szCs w:val="20"/>
              </w:rPr>
              <w:t>Pannonian Corridor</w:t>
            </w:r>
          </w:p>
        </w:tc>
      </w:tr>
      <w:tr w:rsidR="0094644B" w:rsidRPr="00F07779" w14:paraId="51F2D784"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78E3C47" w14:textId="77777777" w:rsidR="0094644B" w:rsidRPr="00FA3F57" w:rsidRDefault="0094644B" w:rsidP="00FB5086">
            <w:pPr>
              <w:rPr>
                <w:sz w:val="20"/>
                <w:szCs w:val="20"/>
              </w:rPr>
            </w:pPr>
            <w:r w:rsidRPr="00FA3F57">
              <w:rPr>
                <w:sz w:val="20"/>
                <w:szCs w:val="20"/>
              </w:rPr>
              <w:t xml:space="preserve">Name of the </w:t>
            </w:r>
            <w:r w:rsidRPr="00F07779">
              <w:rPr>
                <w:sz w:val="20"/>
                <w:szCs w:val="20"/>
              </w:rPr>
              <w:t>investment</w:t>
            </w:r>
          </w:p>
        </w:tc>
        <w:tc>
          <w:tcPr>
            <w:tcW w:w="566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6AB3A92" w14:textId="77777777" w:rsidR="0094644B" w:rsidRPr="00FA3F57" w:rsidRDefault="0094644B" w:rsidP="00FB5086">
            <w:pPr>
              <w:rPr>
                <w:sz w:val="20"/>
                <w:szCs w:val="20"/>
              </w:rPr>
            </w:pPr>
            <w:r w:rsidRPr="00F07779">
              <w:rPr>
                <w:sz w:val="20"/>
                <w:szCs w:val="20"/>
              </w:rPr>
              <w:t xml:space="preserve">OHL 2x400 kV TS </w:t>
            </w:r>
            <w:proofErr w:type="spellStart"/>
            <w:r w:rsidRPr="00F07779">
              <w:rPr>
                <w:sz w:val="20"/>
                <w:szCs w:val="20"/>
              </w:rPr>
              <w:t>Sombor</w:t>
            </w:r>
            <w:proofErr w:type="spellEnd"/>
            <w:r w:rsidRPr="00F07779">
              <w:rPr>
                <w:sz w:val="20"/>
                <w:szCs w:val="20"/>
              </w:rPr>
              <w:t xml:space="preserve"> 3 – TS Novi Sad 3, equipped with one circuit with conductor separation</w:t>
            </w:r>
          </w:p>
        </w:tc>
      </w:tr>
      <w:tr w:rsidR="0094644B" w:rsidRPr="00F07779" w14:paraId="22E72D51"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C42D30B" w14:textId="77777777" w:rsidR="0094644B" w:rsidRPr="00FA3F57" w:rsidRDefault="0094644B" w:rsidP="00FB5086">
            <w:pPr>
              <w:rPr>
                <w:sz w:val="20"/>
                <w:szCs w:val="20"/>
              </w:rPr>
            </w:pPr>
            <w:r w:rsidRPr="00FA3F57">
              <w:rPr>
                <w:sz w:val="20"/>
                <w:szCs w:val="20"/>
              </w:rPr>
              <w:t>Short description of the investment</w:t>
            </w:r>
          </w:p>
        </w:tc>
        <w:tc>
          <w:tcPr>
            <w:tcW w:w="5667" w:type="dxa"/>
            <w:tcBorders>
              <w:top w:val="single" w:sz="4" w:space="0" w:color="auto"/>
              <w:left w:val="single" w:sz="4" w:space="0" w:color="auto"/>
              <w:bottom w:val="single" w:sz="4" w:space="0" w:color="auto"/>
              <w:right w:val="single" w:sz="4" w:space="0" w:color="auto"/>
            </w:tcBorders>
            <w:shd w:val="clear" w:color="auto" w:fill="FFFFFF" w:themeFill="background1"/>
          </w:tcPr>
          <w:p w14:paraId="5AA74302" w14:textId="77777777" w:rsidR="0094644B" w:rsidRPr="00F07779" w:rsidRDefault="0094644B" w:rsidP="00FB5086">
            <w:pPr>
              <w:rPr>
                <w:sz w:val="20"/>
                <w:szCs w:val="20"/>
              </w:rPr>
            </w:pPr>
            <w:r w:rsidRPr="00F07779">
              <w:rPr>
                <w:sz w:val="20"/>
                <w:szCs w:val="20"/>
              </w:rPr>
              <w:t xml:space="preserve">Construction of a double-circuit overhead line approximately 80 km in length, equipped with one circuit, connecting the existing TS Novi Sad 3 and TS </w:t>
            </w:r>
            <w:proofErr w:type="spellStart"/>
            <w:r w:rsidRPr="00F07779">
              <w:rPr>
                <w:sz w:val="20"/>
                <w:szCs w:val="20"/>
              </w:rPr>
              <w:t>Sombor</w:t>
            </w:r>
            <w:proofErr w:type="spellEnd"/>
            <w:r w:rsidRPr="00F07779">
              <w:rPr>
                <w:sz w:val="20"/>
                <w:szCs w:val="20"/>
              </w:rPr>
              <w:t xml:space="preserve"> 3.</w:t>
            </w:r>
          </w:p>
          <w:p w14:paraId="5DC280DC" w14:textId="77777777" w:rsidR="0094644B" w:rsidRPr="00FA3F57" w:rsidRDefault="0094644B" w:rsidP="00FB5086">
            <w:pPr>
              <w:rPr>
                <w:sz w:val="20"/>
                <w:szCs w:val="20"/>
              </w:rPr>
            </w:pPr>
            <w:r w:rsidRPr="00FA3F57">
              <w:rPr>
                <w:sz w:val="20"/>
                <w:szCs w:val="20"/>
              </w:rPr>
              <w:t>Expected dynamics of project implementation:</w:t>
            </w:r>
          </w:p>
          <w:p w14:paraId="09D66FA9" w14:textId="77777777" w:rsidR="0094644B" w:rsidRPr="00FA3F57" w:rsidRDefault="0094644B" w:rsidP="00FB5086">
            <w:pPr>
              <w:rPr>
                <w:sz w:val="20"/>
                <w:szCs w:val="20"/>
              </w:rPr>
            </w:pPr>
            <w:r w:rsidRPr="00FA3F57">
              <w:rPr>
                <w:sz w:val="20"/>
                <w:szCs w:val="20"/>
              </w:rPr>
              <w:t>2026. Location conditions</w:t>
            </w:r>
          </w:p>
          <w:p w14:paraId="028663EA" w14:textId="77777777" w:rsidR="0094644B" w:rsidRPr="00FA3F57" w:rsidRDefault="0094644B" w:rsidP="00FB5086">
            <w:pPr>
              <w:rPr>
                <w:sz w:val="20"/>
                <w:szCs w:val="20"/>
              </w:rPr>
            </w:pPr>
            <w:r w:rsidRPr="00FA3F57">
              <w:rPr>
                <w:sz w:val="20"/>
                <w:szCs w:val="20"/>
              </w:rPr>
              <w:t>2027. Preliminary design</w:t>
            </w:r>
          </w:p>
          <w:p w14:paraId="78B3C05A" w14:textId="77777777" w:rsidR="0094644B" w:rsidRPr="00FA3F57" w:rsidRDefault="0094644B" w:rsidP="00FB5086">
            <w:pPr>
              <w:rPr>
                <w:sz w:val="20"/>
                <w:szCs w:val="20"/>
              </w:rPr>
            </w:pPr>
            <w:r w:rsidRPr="00FA3F57">
              <w:rPr>
                <w:sz w:val="20"/>
                <w:szCs w:val="20"/>
              </w:rPr>
              <w:lastRenderedPageBreak/>
              <w:t>2028. Building permit</w:t>
            </w:r>
          </w:p>
        </w:tc>
      </w:tr>
      <w:tr w:rsidR="0094644B" w:rsidRPr="00F07779" w14:paraId="3646EE5A"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9C24722" w14:textId="77777777" w:rsidR="0094644B" w:rsidRPr="00FA3F57" w:rsidRDefault="0094644B" w:rsidP="00FB5086">
            <w:pPr>
              <w:rPr>
                <w:sz w:val="20"/>
                <w:szCs w:val="20"/>
              </w:rPr>
            </w:pPr>
            <w:r w:rsidRPr="00FA3F57">
              <w:rPr>
                <w:sz w:val="20"/>
                <w:szCs w:val="20"/>
              </w:rPr>
              <w:lastRenderedPageBreak/>
              <w:t>Institutions responsible for the implementation of measures and activities</w:t>
            </w:r>
          </w:p>
        </w:tc>
        <w:tc>
          <w:tcPr>
            <w:tcW w:w="56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D2F9A80" w14:textId="77777777" w:rsidR="0094644B" w:rsidRPr="00FA3F57" w:rsidRDefault="0094644B" w:rsidP="00FB5086">
            <w:pPr>
              <w:rPr>
                <w:sz w:val="20"/>
                <w:szCs w:val="20"/>
              </w:rPr>
            </w:pPr>
            <w:r w:rsidRPr="00FA3F57">
              <w:rPr>
                <w:sz w:val="20"/>
                <w:szCs w:val="20"/>
              </w:rPr>
              <w:t>EMS JSC Belgrade</w:t>
            </w:r>
          </w:p>
        </w:tc>
      </w:tr>
      <w:tr w:rsidR="0094644B" w:rsidRPr="00F07779" w14:paraId="78D915AF"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A32C1F8" w14:textId="77777777" w:rsidR="0094644B" w:rsidRPr="00FA3F57" w:rsidRDefault="0094644B" w:rsidP="00FB5086">
            <w:pPr>
              <w:rPr>
                <w:sz w:val="20"/>
                <w:szCs w:val="20"/>
              </w:rPr>
            </w:pPr>
            <w:r w:rsidRPr="00FA3F57">
              <w:rPr>
                <w:sz w:val="20"/>
                <w:szCs w:val="20"/>
              </w:rPr>
              <w:t>Institutions responsible for monitoring implementation and reporting on the realization</w:t>
            </w:r>
          </w:p>
        </w:tc>
        <w:tc>
          <w:tcPr>
            <w:tcW w:w="56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84827AD" w14:textId="77777777" w:rsidR="0094644B" w:rsidRPr="00F07779" w:rsidRDefault="0094644B" w:rsidP="00FB5086">
            <w:pPr>
              <w:rPr>
                <w:sz w:val="20"/>
                <w:szCs w:val="20"/>
              </w:rPr>
            </w:pPr>
            <w:r w:rsidRPr="00FA3F57">
              <w:rPr>
                <w:sz w:val="20"/>
                <w:szCs w:val="20"/>
              </w:rPr>
              <w:t>EMS JSC Belgrade</w:t>
            </w:r>
          </w:p>
          <w:p w14:paraId="3326F6DC" w14:textId="77777777" w:rsidR="0094644B" w:rsidRPr="00FA3F57" w:rsidRDefault="0094644B" w:rsidP="00FB5086">
            <w:pPr>
              <w:rPr>
                <w:sz w:val="20"/>
                <w:szCs w:val="20"/>
              </w:rPr>
            </w:pPr>
            <w:r w:rsidRPr="00FA3F57">
              <w:rPr>
                <w:sz w:val="20"/>
                <w:szCs w:val="20"/>
              </w:rPr>
              <w:t>Ministry of Mining and Energy</w:t>
            </w:r>
          </w:p>
        </w:tc>
      </w:tr>
      <w:tr w:rsidR="0094644B" w:rsidRPr="00F07779" w14:paraId="65BD3B96"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B21CA85" w14:textId="77777777" w:rsidR="0094644B" w:rsidRPr="00FA3F57" w:rsidRDefault="0094644B" w:rsidP="00FB5086">
            <w:pPr>
              <w:rPr>
                <w:sz w:val="20"/>
                <w:szCs w:val="20"/>
              </w:rPr>
            </w:pPr>
            <w:r w:rsidRPr="00FA3F57">
              <w:rPr>
                <w:sz w:val="20"/>
                <w:szCs w:val="20"/>
              </w:rPr>
              <w:t>Year of project funding start</w:t>
            </w:r>
          </w:p>
        </w:tc>
        <w:tc>
          <w:tcPr>
            <w:tcW w:w="56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A63122E" w14:textId="77777777" w:rsidR="0094644B" w:rsidRPr="00FA3F57" w:rsidRDefault="0094644B" w:rsidP="00FB5086">
            <w:pPr>
              <w:rPr>
                <w:sz w:val="20"/>
                <w:szCs w:val="20"/>
              </w:rPr>
            </w:pPr>
            <w:r w:rsidRPr="00FA3F57">
              <w:rPr>
                <w:sz w:val="20"/>
                <w:szCs w:val="20"/>
              </w:rPr>
              <w:t>2023.</w:t>
            </w:r>
          </w:p>
        </w:tc>
      </w:tr>
      <w:tr w:rsidR="0094644B" w:rsidRPr="00F07779" w14:paraId="61329B46"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7A3D145" w14:textId="77777777" w:rsidR="0094644B" w:rsidRPr="00FA3F57" w:rsidRDefault="0094644B" w:rsidP="00FB5086">
            <w:pPr>
              <w:rPr>
                <w:sz w:val="20"/>
                <w:szCs w:val="20"/>
              </w:rPr>
            </w:pPr>
            <w:r w:rsidRPr="00FA3F57">
              <w:rPr>
                <w:sz w:val="20"/>
                <w:szCs w:val="20"/>
              </w:rPr>
              <w:t>Year of completion of project funding</w:t>
            </w:r>
          </w:p>
        </w:tc>
        <w:tc>
          <w:tcPr>
            <w:tcW w:w="56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2A00D7F" w14:textId="77777777" w:rsidR="0094644B" w:rsidRPr="00FA3F57" w:rsidRDefault="0094644B" w:rsidP="00FB5086">
            <w:pPr>
              <w:rPr>
                <w:sz w:val="20"/>
                <w:szCs w:val="20"/>
              </w:rPr>
            </w:pPr>
            <w:r w:rsidRPr="00FA3F57">
              <w:rPr>
                <w:sz w:val="20"/>
                <w:szCs w:val="20"/>
              </w:rPr>
              <w:t>2030.</w:t>
            </w:r>
          </w:p>
        </w:tc>
      </w:tr>
      <w:tr w:rsidR="0094644B" w:rsidRPr="00F07779" w14:paraId="467CD35E"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D7BB9F9" w14:textId="77777777" w:rsidR="0094644B" w:rsidRPr="00FA3F57" w:rsidRDefault="0094644B" w:rsidP="00FB5086">
            <w:pPr>
              <w:rPr>
                <w:sz w:val="20"/>
                <w:szCs w:val="20"/>
              </w:rPr>
            </w:pPr>
            <w:r w:rsidRPr="00FA3F57">
              <w:rPr>
                <w:sz w:val="20"/>
                <w:szCs w:val="20"/>
              </w:rPr>
              <w:t>Total project value</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E9A74BA" w14:textId="77777777" w:rsidR="0094644B" w:rsidRPr="00FA3F57" w:rsidRDefault="0094644B" w:rsidP="00FB5086">
            <w:pPr>
              <w:rPr>
                <w:sz w:val="20"/>
                <w:szCs w:val="20"/>
              </w:rPr>
            </w:pPr>
            <w:r w:rsidRPr="00FA3F57">
              <w:rPr>
                <w:sz w:val="20"/>
                <w:szCs w:val="20"/>
              </w:rPr>
              <w:t>4,373,425 (37.3 million EUR)</w:t>
            </w:r>
          </w:p>
        </w:tc>
      </w:tr>
      <w:tr w:rsidR="0094644B" w:rsidRPr="00F07779" w14:paraId="73309B7A"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DC5A826" w14:textId="77777777" w:rsidR="0094644B" w:rsidRPr="00FA3F57" w:rsidRDefault="0094644B" w:rsidP="00FB5086">
            <w:pPr>
              <w:rPr>
                <w:sz w:val="20"/>
                <w:szCs w:val="20"/>
              </w:rPr>
            </w:pPr>
            <w:r w:rsidRPr="00FA3F57">
              <w:rPr>
                <w:sz w:val="20"/>
                <w:szCs w:val="20"/>
              </w:rPr>
              <w:t>Planned investments for 2026.</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2D07BF7" w14:textId="77777777" w:rsidR="0094644B" w:rsidRPr="00FA3F57" w:rsidRDefault="0094644B" w:rsidP="00FB5086">
            <w:pPr>
              <w:rPr>
                <w:sz w:val="20"/>
                <w:szCs w:val="20"/>
              </w:rPr>
            </w:pPr>
            <w:r w:rsidRPr="00FA3F57">
              <w:rPr>
                <w:sz w:val="20"/>
                <w:szCs w:val="20"/>
              </w:rPr>
              <w:t>2,484 (budget RS)</w:t>
            </w:r>
          </w:p>
        </w:tc>
      </w:tr>
      <w:tr w:rsidR="0094644B" w:rsidRPr="00F07779" w14:paraId="489D42AC"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AC994FA" w14:textId="77777777" w:rsidR="0094644B" w:rsidRPr="00FA3F57" w:rsidRDefault="0094644B" w:rsidP="00FB5086">
            <w:pPr>
              <w:rPr>
                <w:sz w:val="20"/>
                <w:szCs w:val="20"/>
              </w:rPr>
            </w:pPr>
            <w:r w:rsidRPr="00FA3F57">
              <w:rPr>
                <w:sz w:val="20"/>
                <w:szCs w:val="20"/>
              </w:rPr>
              <w:t>Planned investments for 2027.</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26505D4" w14:textId="77777777" w:rsidR="0094644B" w:rsidRPr="00FA3F57" w:rsidRDefault="0094644B" w:rsidP="00FB5086">
            <w:pPr>
              <w:rPr>
                <w:sz w:val="20"/>
                <w:szCs w:val="20"/>
              </w:rPr>
            </w:pPr>
            <w:r w:rsidRPr="00FA3F57">
              <w:rPr>
                <w:sz w:val="20"/>
                <w:szCs w:val="20"/>
              </w:rPr>
              <w:t>14,905 (budget RS)</w:t>
            </w:r>
          </w:p>
        </w:tc>
      </w:tr>
      <w:tr w:rsidR="0094644B" w:rsidRPr="00F07779" w14:paraId="7163989B"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413A437" w14:textId="77777777" w:rsidR="0094644B" w:rsidRPr="00FA3F57" w:rsidRDefault="0094644B" w:rsidP="00FB5086">
            <w:pPr>
              <w:rPr>
                <w:sz w:val="20"/>
                <w:szCs w:val="20"/>
              </w:rPr>
            </w:pPr>
            <w:r w:rsidRPr="00FA3F57">
              <w:rPr>
                <w:sz w:val="20"/>
                <w:szCs w:val="20"/>
              </w:rPr>
              <w:t>Planned investments for 2028.</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08FA2C2" w14:textId="77777777" w:rsidR="0094644B" w:rsidRPr="00FA3F57" w:rsidRDefault="0094644B" w:rsidP="00FB5086">
            <w:pPr>
              <w:rPr>
                <w:sz w:val="20"/>
                <w:szCs w:val="20"/>
              </w:rPr>
            </w:pPr>
            <w:r w:rsidRPr="00FA3F57">
              <w:rPr>
                <w:sz w:val="20"/>
                <w:szCs w:val="20"/>
              </w:rPr>
              <w:t>29,781.5 (budget RS)</w:t>
            </w:r>
          </w:p>
        </w:tc>
      </w:tr>
    </w:tbl>
    <w:p w14:paraId="14E271FD" w14:textId="77777777" w:rsidR="0094644B" w:rsidRPr="00F07779" w:rsidRDefault="0094644B" w:rsidP="0094644B">
      <w:pPr>
        <w:tabs>
          <w:tab w:val="left" w:pos="1276"/>
          <w:tab w:val="left" w:pos="1560"/>
        </w:tabs>
        <w:ind w:left="1440" w:hanging="1440"/>
      </w:pPr>
    </w:p>
    <w:tbl>
      <w:tblPr>
        <w:tblStyle w:val="TableGrid"/>
        <w:tblW w:w="0" w:type="auto"/>
        <w:tblLook w:val="04A0" w:firstRow="1" w:lastRow="0" w:firstColumn="1" w:lastColumn="0" w:noHBand="0" w:noVBand="1"/>
      </w:tblPr>
      <w:tblGrid>
        <w:gridCol w:w="2973"/>
        <w:gridCol w:w="5667"/>
      </w:tblGrid>
      <w:tr w:rsidR="0094644B" w:rsidRPr="00F07779" w14:paraId="16F29EBE"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E3BBE2B" w14:textId="77777777" w:rsidR="0094644B" w:rsidRPr="00FA3F57" w:rsidRDefault="0094644B" w:rsidP="00FB5086">
            <w:pPr>
              <w:rPr>
                <w:sz w:val="20"/>
                <w:szCs w:val="20"/>
              </w:rPr>
            </w:pPr>
            <w:r w:rsidRPr="00FA3F57">
              <w:rPr>
                <w:sz w:val="20"/>
                <w:szCs w:val="20"/>
              </w:rPr>
              <w:t>Activity EL1.2</w:t>
            </w:r>
          </w:p>
        </w:tc>
        <w:tc>
          <w:tcPr>
            <w:tcW w:w="566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4FB477E" w14:textId="77777777" w:rsidR="0094644B" w:rsidRPr="00FA3F57" w:rsidRDefault="0094644B" w:rsidP="00FB5086">
            <w:pPr>
              <w:rPr>
                <w:sz w:val="20"/>
                <w:szCs w:val="20"/>
              </w:rPr>
            </w:pPr>
            <w:r w:rsidRPr="00FA3F57">
              <w:rPr>
                <w:sz w:val="20"/>
                <w:szCs w:val="20"/>
              </w:rPr>
              <w:t>Investment projects focused on the reconstruction and construction of the transmission network</w:t>
            </w:r>
          </w:p>
        </w:tc>
      </w:tr>
      <w:tr w:rsidR="0094644B" w:rsidRPr="00F07779" w14:paraId="37786608"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74C09D10" w14:textId="77777777" w:rsidR="0094644B" w:rsidRPr="00FA3F57" w:rsidRDefault="0094644B" w:rsidP="00FB5086">
            <w:pPr>
              <w:rPr>
                <w:sz w:val="20"/>
                <w:szCs w:val="20"/>
              </w:rPr>
            </w:pPr>
            <w:r w:rsidRPr="00FA3F57">
              <w:rPr>
                <w:sz w:val="20"/>
                <w:szCs w:val="20"/>
              </w:rPr>
              <w:t>Name of the project</w:t>
            </w:r>
          </w:p>
        </w:tc>
        <w:tc>
          <w:tcPr>
            <w:tcW w:w="5667"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1C5657F0" w14:textId="77777777" w:rsidR="0094644B" w:rsidRPr="00FA3F57" w:rsidRDefault="0094644B" w:rsidP="00FB5086">
            <w:pPr>
              <w:rPr>
                <w:sz w:val="20"/>
                <w:szCs w:val="20"/>
              </w:rPr>
            </w:pPr>
            <w:r w:rsidRPr="00FA3F57">
              <w:rPr>
                <w:sz w:val="20"/>
                <w:szCs w:val="20"/>
              </w:rPr>
              <w:t>Pannonian Corridor</w:t>
            </w:r>
          </w:p>
        </w:tc>
      </w:tr>
      <w:tr w:rsidR="0094644B" w:rsidRPr="00F07779" w14:paraId="55D8BF84"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0EF2490" w14:textId="77777777" w:rsidR="0094644B" w:rsidRPr="00FA3F57" w:rsidRDefault="0094644B" w:rsidP="00FB5086">
            <w:pPr>
              <w:rPr>
                <w:sz w:val="20"/>
                <w:szCs w:val="20"/>
              </w:rPr>
            </w:pPr>
            <w:r w:rsidRPr="00FA3F57">
              <w:rPr>
                <w:sz w:val="20"/>
                <w:szCs w:val="20"/>
              </w:rPr>
              <w:t xml:space="preserve">Name of the </w:t>
            </w:r>
            <w:r w:rsidRPr="00F07779">
              <w:rPr>
                <w:sz w:val="20"/>
                <w:szCs w:val="20"/>
              </w:rPr>
              <w:t>investment</w:t>
            </w:r>
          </w:p>
        </w:tc>
        <w:tc>
          <w:tcPr>
            <w:tcW w:w="566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15A721F" w14:textId="77777777" w:rsidR="0094644B" w:rsidRPr="00FA3F57" w:rsidRDefault="0094644B" w:rsidP="00FB5086">
            <w:pPr>
              <w:rPr>
                <w:sz w:val="20"/>
                <w:szCs w:val="20"/>
              </w:rPr>
            </w:pPr>
            <w:r w:rsidRPr="00F07779">
              <w:rPr>
                <w:sz w:val="20"/>
                <w:szCs w:val="20"/>
              </w:rPr>
              <w:t xml:space="preserve">OHL 2x400 kV TS S. Mitrovica 2 –TS Belgrade 50 </w:t>
            </w:r>
          </w:p>
        </w:tc>
      </w:tr>
      <w:tr w:rsidR="0094644B" w:rsidRPr="00F07779" w14:paraId="5DF01CF4"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73803E4" w14:textId="77777777" w:rsidR="0094644B" w:rsidRPr="00FA3F57" w:rsidRDefault="0094644B" w:rsidP="00FB5086">
            <w:pPr>
              <w:rPr>
                <w:sz w:val="20"/>
                <w:szCs w:val="20"/>
              </w:rPr>
            </w:pPr>
            <w:r w:rsidRPr="00FA3F57">
              <w:rPr>
                <w:sz w:val="20"/>
                <w:szCs w:val="20"/>
              </w:rPr>
              <w:t>Short description of the investment</w:t>
            </w:r>
          </w:p>
        </w:tc>
        <w:tc>
          <w:tcPr>
            <w:tcW w:w="56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AFA32F8" w14:textId="77777777" w:rsidR="0094644B" w:rsidRPr="00F07779" w:rsidRDefault="0094644B" w:rsidP="00FB5086">
            <w:pPr>
              <w:rPr>
                <w:sz w:val="20"/>
                <w:szCs w:val="20"/>
              </w:rPr>
            </w:pPr>
            <w:r w:rsidRPr="00F07779">
              <w:rPr>
                <w:sz w:val="20"/>
                <w:szCs w:val="20"/>
              </w:rPr>
              <w:t>Construction of a 2x400 kV double-circuit OHL from TS S. Mitrovica 2 to TS Belgrade 50, approximately 60 km long, equipped with conductors on both circuits.</w:t>
            </w:r>
          </w:p>
          <w:p w14:paraId="2B8238B9" w14:textId="77777777" w:rsidR="0094644B" w:rsidRPr="00FA3F57" w:rsidRDefault="0094644B" w:rsidP="00FB5086">
            <w:pPr>
              <w:rPr>
                <w:sz w:val="20"/>
                <w:szCs w:val="20"/>
              </w:rPr>
            </w:pPr>
            <w:r w:rsidRPr="00FA3F57">
              <w:rPr>
                <w:sz w:val="20"/>
                <w:szCs w:val="20"/>
              </w:rPr>
              <w:t>Expected dynamics of project implementation:</w:t>
            </w:r>
          </w:p>
          <w:p w14:paraId="3DC6E8E0" w14:textId="77777777" w:rsidR="0094644B" w:rsidRPr="00FA3F57" w:rsidRDefault="0094644B" w:rsidP="00FB5086">
            <w:pPr>
              <w:rPr>
                <w:sz w:val="20"/>
                <w:szCs w:val="20"/>
              </w:rPr>
            </w:pPr>
            <w:r w:rsidRPr="00FA3F57">
              <w:rPr>
                <w:sz w:val="20"/>
                <w:szCs w:val="20"/>
              </w:rPr>
              <w:t>2026. Location conditions</w:t>
            </w:r>
          </w:p>
          <w:p w14:paraId="12E0A0C9" w14:textId="77777777" w:rsidR="0094644B" w:rsidRPr="00FA3F57" w:rsidRDefault="0094644B" w:rsidP="00FB5086">
            <w:pPr>
              <w:rPr>
                <w:sz w:val="20"/>
                <w:szCs w:val="20"/>
              </w:rPr>
            </w:pPr>
            <w:r w:rsidRPr="00FA3F57">
              <w:rPr>
                <w:sz w:val="20"/>
                <w:szCs w:val="20"/>
              </w:rPr>
              <w:t>2027. Preliminary design</w:t>
            </w:r>
          </w:p>
          <w:p w14:paraId="4E84F677" w14:textId="77777777" w:rsidR="0094644B" w:rsidRPr="00FA3F57" w:rsidRDefault="0094644B" w:rsidP="00FB5086">
            <w:pPr>
              <w:rPr>
                <w:sz w:val="20"/>
                <w:szCs w:val="20"/>
              </w:rPr>
            </w:pPr>
            <w:r w:rsidRPr="00FA3F57">
              <w:rPr>
                <w:sz w:val="20"/>
                <w:szCs w:val="20"/>
              </w:rPr>
              <w:t>2028. Building permit</w:t>
            </w:r>
          </w:p>
        </w:tc>
      </w:tr>
      <w:tr w:rsidR="0094644B" w:rsidRPr="00F07779" w14:paraId="0F1BF7F1"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F93A1CB" w14:textId="77777777" w:rsidR="0094644B" w:rsidRPr="00FA3F57" w:rsidRDefault="0094644B" w:rsidP="00FB5086">
            <w:pPr>
              <w:rPr>
                <w:sz w:val="20"/>
                <w:szCs w:val="20"/>
              </w:rPr>
            </w:pPr>
            <w:r w:rsidRPr="00FA3F57">
              <w:rPr>
                <w:sz w:val="20"/>
                <w:szCs w:val="20"/>
              </w:rPr>
              <w:t>Institutions responsible for the implementation of measures and activities</w:t>
            </w:r>
          </w:p>
        </w:tc>
        <w:tc>
          <w:tcPr>
            <w:tcW w:w="56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DB2CAD4" w14:textId="77777777" w:rsidR="0094644B" w:rsidRPr="00FA3F57" w:rsidRDefault="0094644B" w:rsidP="00FB5086">
            <w:pPr>
              <w:rPr>
                <w:sz w:val="20"/>
                <w:szCs w:val="20"/>
              </w:rPr>
            </w:pPr>
            <w:r w:rsidRPr="00FA3F57">
              <w:rPr>
                <w:sz w:val="20"/>
                <w:szCs w:val="20"/>
              </w:rPr>
              <w:t>EMS JSC Belgrade</w:t>
            </w:r>
          </w:p>
        </w:tc>
      </w:tr>
      <w:tr w:rsidR="0094644B" w:rsidRPr="00F07779" w14:paraId="726C0FBF"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F03929F" w14:textId="77777777" w:rsidR="0094644B" w:rsidRPr="00FA3F57" w:rsidRDefault="0094644B" w:rsidP="00FB5086">
            <w:pPr>
              <w:rPr>
                <w:sz w:val="20"/>
                <w:szCs w:val="20"/>
              </w:rPr>
            </w:pPr>
            <w:r w:rsidRPr="00FA3F57">
              <w:rPr>
                <w:sz w:val="20"/>
                <w:szCs w:val="20"/>
              </w:rPr>
              <w:t>Institutions responsible for monitoring implementation and reporting on the realization</w:t>
            </w:r>
          </w:p>
        </w:tc>
        <w:tc>
          <w:tcPr>
            <w:tcW w:w="56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71CAED7" w14:textId="77777777" w:rsidR="0094644B" w:rsidRPr="00FA3F57" w:rsidRDefault="0094644B" w:rsidP="00FB5086">
            <w:pPr>
              <w:rPr>
                <w:sz w:val="20"/>
                <w:szCs w:val="20"/>
              </w:rPr>
            </w:pPr>
            <w:r w:rsidRPr="00FA3F57">
              <w:rPr>
                <w:sz w:val="20"/>
                <w:szCs w:val="20"/>
              </w:rPr>
              <w:t xml:space="preserve">EMS JSC </w:t>
            </w:r>
            <w:proofErr w:type="spellStart"/>
            <w:r w:rsidRPr="00FA3F57">
              <w:rPr>
                <w:sz w:val="20"/>
                <w:szCs w:val="20"/>
              </w:rPr>
              <w:t>BelgradeMinistry</w:t>
            </w:r>
            <w:proofErr w:type="spellEnd"/>
            <w:r w:rsidRPr="00FA3F57">
              <w:rPr>
                <w:sz w:val="20"/>
                <w:szCs w:val="20"/>
              </w:rPr>
              <w:t xml:space="preserve"> of Mining and Energy</w:t>
            </w:r>
          </w:p>
        </w:tc>
      </w:tr>
      <w:tr w:rsidR="0094644B" w:rsidRPr="00F07779" w14:paraId="2562BB41"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6A50195" w14:textId="77777777" w:rsidR="0094644B" w:rsidRPr="00FA3F57" w:rsidRDefault="0094644B" w:rsidP="00FB5086">
            <w:pPr>
              <w:rPr>
                <w:sz w:val="20"/>
                <w:szCs w:val="20"/>
              </w:rPr>
            </w:pPr>
            <w:r w:rsidRPr="00FA3F57">
              <w:rPr>
                <w:sz w:val="20"/>
                <w:szCs w:val="20"/>
              </w:rPr>
              <w:t>Year of project funding start</w:t>
            </w:r>
          </w:p>
        </w:tc>
        <w:tc>
          <w:tcPr>
            <w:tcW w:w="56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33A79E2" w14:textId="77777777" w:rsidR="0094644B" w:rsidRPr="00FA3F57" w:rsidRDefault="0094644B" w:rsidP="00FB5086">
            <w:pPr>
              <w:rPr>
                <w:sz w:val="20"/>
                <w:szCs w:val="20"/>
              </w:rPr>
            </w:pPr>
            <w:r w:rsidRPr="00FA3F57">
              <w:rPr>
                <w:sz w:val="20"/>
                <w:szCs w:val="20"/>
              </w:rPr>
              <w:t>2023.</w:t>
            </w:r>
          </w:p>
        </w:tc>
      </w:tr>
      <w:tr w:rsidR="0094644B" w:rsidRPr="00F07779" w14:paraId="51568ED1"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7B672AC" w14:textId="77777777" w:rsidR="0094644B" w:rsidRPr="00FA3F57" w:rsidRDefault="0094644B" w:rsidP="00FB5086">
            <w:pPr>
              <w:rPr>
                <w:sz w:val="20"/>
                <w:szCs w:val="20"/>
              </w:rPr>
            </w:pPr>
            <w:r w:rsidRPr="00FA3F57">
              <w:rPr>
                <w:sz w:val="20"/>
                <w:szCs w:val="20"/>
              </w:rPr>
              <w:t>Year of completion of project funding</w:t>
            </w:r>
          </w:p>
        </w:tc>
        <w:tc>
          <w:tcPr>
            <w:tcW w:w="56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D5A03F5" w14:textId="77777777" w:rsidR="0094644B" w:rsidRPr="00FA3F57" w:rsidRDefault="0094644B" w:rsidP="00FB5086">
            <w:pPr>
              <w:rPr>
                <w:sz w:val="20"/>
                <w:szCs w:val="20"/>
              </w:rPr>
            </w:pPr>
            <w:r w:rsidRPr="00FA3F57">
              <w:rPr>
                <w:sz w:val="20"/>
                <w:szCs w:val="20"/>
              </w:rPr>
              <w:t>2030.</w:t>
            </w:r>
          </w:p>
        </w:tc>
      </w:tr>
      <w:tr w:rsidR="0094644B" w:rsidRPr="00F07779" w14:paraId="49769F19"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0B1C657" w14:textId="77777777" w:rsidR="0094644B" w:rsidRPr="00FA3F57" w:rsidRDefault="0094644B" w:rsidP="00FB5086">
            <w:pPr>
              <w:rPr>
                <w:sz w:val="20"/>
                <w:szCs w:val="20"/>
              </w:rPr>
            </w:pPr>
            <w:r w:rsidRPr="00FA3F57">
              <w:rPr>
                <w:sz w:val="20"/>
                <w:szCs w:val="20"/>
              </w:rPr>
              <w:t>Total project value</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F12A5FD" w14:textId="77777777" w:rsidR="0094644B" w:rsidRPr="00FA3F57" w:rsidRDefault="0094644B" w:rsidP="00FB5086">
            <w:pPr>
              <w:rPr>
                <w:sz w:val="20"/>
                <w:szCs w:val="20"/>
              </w:rPr>
            </w:pPr>
            <w:r w:rsidRPr="00FA3F57">
              <w:rPr>
                <w:sz w:val="20"/>
                <w:szCs w:val="20"/>
              </w:rPr>
              <w:t>4,174,100 (35.6 million EUR)</w:t>
            </w:r>
          </w:p>
        </w:tc>
      </w:tr>
      <w:tr w:rsidR="0094644B" w:rsidRPr="00F07779" w14:paraId="2BE38206"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6C24C42" w14:textId="77777777" w:rsidR="0094644B" w:rsidRPr="00FA3F57" w:rsidRDefault="0094644B" w:rsidP="00FB5086">
            <w:pPr>
              <w:rPr>
                <w:sz w:val="20"/>
                <w:szCs w:val="20"/>
              </w:rPr>
            </w:pPr>
            <w:r w:rsidRPr="00FA3F57">
              <w:rPr>
                <w:sz w:val="20"/>
                <w:szCs w:val="20"/>
              </w:rPr>
              <w:t>Planned investments for 2026.</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6F4796F" w14:textId="77777777" w:rsidR="0094644B" w:rsidRPr="00FA3F57" w:rsidRDefault="0094644B" w:rsidP="00FB5086">
            <w:pPr>
              <w:rPr>
                <w:sz w:val="20"/>
                <w:szCs w:val="20"/>
              </w:rPr>
            </w:pPr>
            <w:r w:rsidRPr="00FA3F57">
              <w:rPr>
                <w:sz w:val="20"/>
                <w:szCs w:val="20"/>
              </w:rPr>
              <w:t>3,654.5 (budget RS)</w:t>
            </w:r>
          </w:p>
        </w:tc>
      </w:tr>
      <w:tr w:rsidR="0094644B" w:rsidRPr="00F07779" w14:paraId="05B7BF0C"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1FFECD5" w14:textId="77777777" w:rsidR="0094644B" w:rsidRPr="00FA3F57" w:rsidRDefault="0094644B" w:rsidP="00FB5086">
            <w:pPr>
              <w:rPr>
                <w:sz w:val="20"/>
                <w:szCs w:val="20"/>
              </w:rPr>
            </w:pPr>
            <w:r w:rsidRPr="00FA3F57">
              <w:rPr>
                <w:sz w:val="20"/>
                <w:szCs w:val="20"/>
              </w:rPr>
              <w:t>Planned investments for 2027.</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22D7A3F" w14:textId="77777777" w:rsidR="0094644B" w:rsidRPr="00FA3F57" w:rsidRDefault="0094644B" w:rsidP="00FB5086">
            <w:pPr>
              <w:rPr>
                <w:sz w:val="20"/>
                <w:szCs w:val="20"/>
              </w:rPr>
            </w:pPr>
            <w:r w:rsidRPr="00FA3F57">
              <w:rPr>
                <w:sz w:val="20"/>
                <w:szCs w:val="20"/>
              </w:rPr>
              <w:t>14,656 (budget RS)</w:t>
            </w:r>
          </w:p>
        </w:tc>
      </w:tr>
      <w:tr w:rsidR="0094644B" w:rsidRPr="00F07779" w14:paraId="310A182D"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528E202" w14:textId="77777777" w:rsidR="0094644B" w:rsidRPr="00FA3F57" w:rsidRDefault="0094644B" w:rsidP="00FB5086">
            <w:pPr>
              <w:rPr>
                <w:sz w:val="20"/>
                <w:szCs w:val="20"/>
              </w:rPr>
            </w:pPr>
            <w:r w:rsidRPr="00FA3F57">
              <w:rPr>
                <w:sz w:val="20"/>
                <w:szCs w:val="20"/>
              </w:rPr>
              <w:t>Planned investments for 2028.</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C735ED6" w14:textId="77777777" w:rsidR="0094644B" w:rsidRPr="00FA3F57" w:rsidRDefault="0094644B" w:rsidP="00FB5086">
            <w:pPr>
              <w:rPr>
                <w:sz w:val="20"/>
                <w:szCs w:val="20"/>
              </w:rPr>
            </w:pPr>
            <w:r w:rsidRPr="00FA3F57">
              <w:rPr>
                <w:sz w:val="20"/>
                <w:szCs w:val="20"/>
              </w:rPr>
              <w:t>42</w:t>
            </w:r>
            <w:r w:rsidRPr="00F07779">
              <w:rPr>
                <w:sz w:val="20"/>
                <w:szCs w:val="20"/>
              </w:rPr>
              <w:t>,</w:t>
            </w:r>
            <w:r w:rsidRPr="00FA3F57">
              <w:rPr>
                <w:sz w:val="20"/>
                <w:szCs w:val="20"/>
              </w:rPr>
              <w:t>210 (budget RS)</w:t>
            </w:r>
          </w:p>
        </w:tc>
      </w:tr>
    </w:tbl>
    <w:p w14:paraId="6B4E476B" w14:textId="77777777" w:rsidR="0094644B" w:rsidRPr="00F07779" w:rsidRDefault="0094644B" w:rsidP="0094644B">
      <w:pPr>
        <w:tabs>
          <w:tab w:val="left" w:pos="1276"/>
          <w:tab w:val="left" w:pos="1560"/>
        </w:tabs>
        <w:ind w:left="1440" w:hanging="1440"/>
      </w:pPr>
    </w:p>
    <w:tbl>
      <w:tblPr>
        <w:tblStyle w:val="TableGrid"/>
        <w:tblW w:w="0" w:type="auto"/>
        <w:tblLook w:val="04A0" w:firstRow="1" w:lastRow="0" w:firstColumn="1" w:lastColumn="0" w:noHBand="0" w:noVBand="1"/>
      </w:tblPr>
      <w:tblGrid>
        <w:gridCol w:w="2973"/>
        <w:gridCol w:w="5667"/>
      </w:tblGrid>
      <w:tr w:rsidR="0094644B" w:rsidRPr="00F07779" w14:paraId="730C84AF"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516C23E" w14:textId="77777777" w:rsidR="0094644B" w:rsidRPr="00FA3F57" w:rsidRDefault="0094644B" w:rsidP="00FB5086">
            <w:pPr>
              <w:rPr>
                <w:sz w:val="20"/>
                <w:szCs w:val="20"/>
              </w:rPr>
            </w:pPr>
            <w:r w:rsidRPr="00FA3F57">
              <w:rPr>
                <w:sz w:val="20"/>
                <w:szCs w:val="20"/>
              </w:rPr>
              <w:t>Activity EL1.2</w:t>
            </w:r>
          </w:p>
        </w:tc>
        <w:tc>
          <w:tcPr>
            <w:tcW w:w="566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5268D6E" w14:textId="77777777" w:rsidR="0094644B" w:rsidRPr="00FA3F57" w:rsidRDefault="0094644B" w:rsidP="00FB5086">
            <w:pPr>
              <w:tabs>
                <w:tab w:val="left" w:pos="1276"/>
                <w:tab w:val="left" w:pos="1560"/>
              </w:tabs>
              <w:ind w:left="1440" w:hanging="1440"/>
              <w:rPr>
                <w:sz w:val="20"/>
                <w:szCs w:val="20"/>
              </w:rPr>
            </w:pPr>
            <w:r w:rsidRPr="00FA3F57">
              <w:rPr>
                <w:sz w:val="20"/>
                <w:szCs w:val="20"/>
              </w:rPr>
              <w:t>Investment projects focused on the reconstruction and construction of the transmission network</w:t>
            </w:r>
          </w:p>
        </w:tc>
      </w:tr>
      <w:tr w:rsidR="0094644B" w:rsidRPr="00F07779" w14:paraId="76B7C219"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424B119B" w14:textId="77777777" w:rsidR="0094644B" w:rsidRPr="00FA3F57" w:rsidRDefault="0094644B" w:rsidP="00FB5086">
            <w:pPr>
              <w:rPr>
                <w:sz w:val="20"/>
                <w:szCs w:val="20"/>
              </w:rPr>
            </w:pPr>
            <w:r w:rsidRPr="00FA3F57">
              <w:rPr>
                <w:sz w:val="20"/>
                <w:szCs w:val="20"/>
              </w:rPr>
              <w:t>Name of the project</w:t>
            </w:r>
          </w:p>
        </w:tc>
        <w:tc>
          <w:tcPr>
            <w:tcW w:w="5667"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54EF2DAA" w14:textId="77777777" w:rsidR="0094644B" w:rsidRPr="00FA3F57" w:rsidRDefault="0094644B" w:rsidP="00FB5086">
            <w:pPr>
              <w:rPr>
                <w:sz w:val="20"/>
                <w:szCs w:val="20"/>
              </w:rPr>
            </w:pPr>
            <w:r w:rsidRPr="00FA3F57">
              <w:rPr>
                <w:sz w:val="20"/>
                <w:szCs w:val="20"/>
              </w:rPr>
              <w:t>Pannonian Corridor</w:t>
            </w:r>
          </w:p>
        </w:tc>
      </w:tr>
      <w:tr w:rsidR="0094644B" w:rsidRPr="00F07779" w14:paraId="4746ECA8"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29E3624" w14:textId="77777777" w:rsidR="0094644B" w:rsidRPr="00FA3F57" w:rsidRDefault="0094644B" w:rsidP="00FB5086">
            <w:pPr>
              <w:rPr>
                <w:sz w:val="20"/>
                <w:szCs w:val="20"/>
              </w:rPr>
            </w:pPr>
            <w:r w:rsidRPr="00FA3F57">
              <w:rPr>
                <w:sz w:val="20"/>
                <w:szCs w:val="20"/>
              </w:rPr>
              <w:t xml:space="preserve">Name of the </w:t>
            </w:r>
            <w:r w:rsidRPr="00F07779">
              <w:rPr>
                <w:sz w:val="20"/>
                <w:szCs w:val="20"/>
              </w:rPr>
              <w:t>investment</w:t>
            </w:r>
          </w:p>
        </w:tc>
        <w:tc>
          <w:tcPr>
            <w:tcW w:w="566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A8FBCB4" w14:textId="77777777" w:rsidR="0094644B" w:rsidRPr="00FA3F57" w:rsidRDefault="0094644B" w:rsidP="00FB5086">
            <w:pPr>
              <w:rPr>
                <w:sz w:val="20"/>
                <w:szCs w:val="20"/>
              </w:rPr>
            </w:pPr>
            <w:r w:rsidRPr="00F07779">
              <w:rPr>
                <w:sz w:val="20"/>
                <w:szCs w:val="20"/>
              </w:rPr>
              <w:t>400/110 kV TS Subotica 3, reconstruction and expansion</w:t>
            </w:r>
          </w:p>
        </w:tc>
      </w:tr>
      <w:tr w:rsidR="0094644B" w:rsidRPr="00F07779" w14:paraId="596159C3"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6F1BA66" w14:textId="77777777" w:rsidR="0094644B" w:rsidRPr="00FA3F57" w:rsidRDefault="0094644B" w:rsidP="00FB5086">
            <w:pPr>
              <w:rPr>
                <w:sz w:val="20"/>
                <w:szCs w:val="20"/>
              </w:rPr>
            </w:pPr>
            <w:r w:rsidRPr="00FA3F57">
              <w:rPr>
                <w:sz w:val="20"/>
                <w:szCs w:val="20"/>
              </w:rPr>
              <w:t>Short description of the investment</w:t>
            </w:r>
          </w:p>
        </w:tc>
        <w:tc>
          <w:tcPr>
            <w:tcW w:w="56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288894A" w14:textId="77777777" w:rsidR="0094644B" w:rsidRPr="00F07779" w:rsidRDefault="0094644B" w:rsidP="00FB5086">
            <w:pPr>
              <w:rPr>
                <w:sz w:val="20"/>
                <w:szCs w:val="20"/>
              </w:rPr>
            </w:pPr>
            <w:r w:rsidRPr="00F07779">
              <w:rPr>
                <w:sz w:val="20"/>
                <w:szCs w:val="20"/>
              </w:rPr>
              <w:t>The reason for the reconstruction and expansion of the facility is the implementation of the Pannonian Corridor project, as well as the aging equipment at the 400/110 kV TS Subotica 3.</w:t>
            </w:r>
          </w:p>
          <w:p w14:paraId="4B079221" w14:textId="77777777" w:rsidR="0094644B" w:rsidRPr="00FA3F57" w:rsidRDefault="0094644B" w:rsidP="00FB5086">
            <w:pPr>
              <w:rPr>
                <w:sz w:val="20"/>
                <w:szCs w:val="20"/>
              </w:rPr>
            </w:pPr>
            <w:r w:rsidRPr="00FA3F57">
              <w:rPr>
                <w:sz w:val="20"/>
                <w:szCs w:val="20"/>
              </w:rPr>
              <w:t>Expected dynamics of project implementation:</w:t>
            </w:r>
          </w:p>
          <w:p w14:paraId="7C7DE94F" w14:textId="77777777" w:rsidR="0094644B" w:rsidRPr="00FA3F57" w:rsidRDefault="0094644B" w:rsidP="00FB5086">
            <w:pPr>
              <w:rPr>
                <w:sz w:val="20"/>
                <w:szCs w:val="20"/>
              </w:rPr>
            </w:pPr>
            <w:r w:rsidRPr="00FA3F57">
              <w:rPr>
                <w:sz w:val="20"/>
                <w:szCs w:val="20"/>
              </w:rPr>
              <w:t>2026. Preliminary design</w:t>
            </w:r>
          </w:p>
          <w:p w14:paraId="056C6D12" w14:textId="77777777" w:rsidR="0094644B" w:rsidRPr="00FA3F57" w:rsidRDefault="0094644B" w:rsidP="00FB5086">
            <w:pPr>
              <w:rPr>
                <w:sz w:val="20"/>
                <w:szCs w:val="20"/>
              </w:rPr>
            </w:pPr>
            <w:r w:rsidRPr="00FA3F57">
              <w:rPr>
                <w:sz w:val="20"/>
                <w:szCs w:val="20"/>
              </w:rPr>
              <w:t>2027. Building permit</w:t>
            </w:r>
          </w:p>
          <w:p w14:paraId="2BA0F846" w14:textId="77777777" w:rsidR="0094644B" w:rsidRPr="00FA3F57" w:rsidRDefault="0094644B" w:rsidP="00FB5086">
            <w:pPr>
              <w:rPr>
                <w:sz w:val="20"/>
                <w:szCs w:val="20"/>
              </w:rPr>
            </w:pPr>
            <w:r w:rsidRPr="00FA3F57">
              <w:rPr>
                <w:sz w:val="20"/>
                <w:szCs w:val="20"/>
              </w:rPr>
              <w:t>2028.</w:t>
            </w:r>
            <w:r w:rsidRPr="00F07779">
              <w:rPr>
                <w:sz w:val="20"/>
                <w:szCs w:val="20"/>
              </w:rPr>
              <w:t xml:space="preserve"> </w:t>
            </w:r>
            <w:r w:rsidRPr="00FA3F57">
              <w:rPr>
                <w:sz w:val="20"/>
                <w:szCs w:val="20"/>
              </w:rPr>
              <w:t>Construction</w:t>
            </w:r>
          </w:p>
        </w:tc>
      </w:tr>
      <w:tr w:rsidR="0094644B" w:rsidRPr="00F07779" w14:paraId="735365C0"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6BD80DC" w14:textId="77777777" w:rsidR="0094644B" w:rsidRPr="00FA3F57" w:rsidRDefault="0094644B" w:rsidP="00FB5086">
            <w:pPr>
              <w:rPr>
                <w:sz w:val="20"/>
                <w:szCs w:val="20"/>
              </w:rPr>
            </w:pPr>
            <w:r w:rsidRPr="00FA3F57">
              <w:rPr>
                <w:sz w:val="20"/>
                <w:szCs w:val="20"/>
              </w:rPr>
              <w:lastRenderedPageBreak/>
              <w:t>Institutions responsible for the implementation of measures and activities</w:t>
            </w:r>
          </w:p>
        </w:tc>
        <w:tc>
          <w:tcPr>
            <w:tcW w:w="56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F05246E" w14:textId="77777777" w:rsidR="0094644B" w:rsidRPr="00FA3F57" w:rsidRDefault="0094644B" w:rsidP="00FB5086">
            <w:pPr>
              <w:rPr>
                <w:sz w:val="20"/>
                <w:szCs w:val="20"/>
              </w:rPr>
            </w:pPr>
            <w:r w:rsidRPr="00FA3F57">
              <w:rPr>
                <w:sz w:val="20"/>
                <w:szCs w:val="20"/>
              </w:rPr>
              <w:t>EMS JSC Belgrade</w:t>
            </w:r>
          </w:p>
        </w:tc>
      </w:tr>
      <w:tr w:rsidR="0094644B" w:rsidRPr="00F07779" w14:paraId="4931BC23"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1737620" w14:textId="77777777" w:rsidR="0094644B" w:rsidRPr="00FA3F57" w:rsidRDefault="0094644B" w:rsidP="00FB5086">
            <w:pPr>
              <w:rPr>
                <w:sz w:val="20"/>
                <w:szCs w:val="20"/>
              </w:rPr>
            </w:pPr>
            <w:r w:rsidRPr="00FA3F57">
              <w:rPr>
                <w:sz w:val="20"/>
                <w:szCs w:val="20"/>
              </w:rPr>
              <w:t>Institutions responsible for monitoring implementation and reporting on the realization</w:t>
            </w:r>
          </w:p>
        </w:tc>
        <w:tc>
          <w:tcPr>
            <w:tcW w:w="56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587A1BD" w14:textId="77777777" w:rsidR="0094644B" w:rsidRPr="00F07779" w:rsidRDefault="0094644B" w:rsidP="00FB5086">
            <w:pPr>
              <w:rPr>
                <w:sz w:val="20"/>
                <w:szCs w:val="20"/>
              </w:rPr>
            </w:pPr>
            <w:r w:rsidRPr="00FA3F57">
              <w:rPr>
                <w:sz w:val="20"/>
                <w:szCs w:val="20"/>
              </w:rPr>
              <w:t>EMS JSC Belgrade</w:t>
            </w:r>
          </w:p>
          <w:p w14:paraId="5F5489A7" w14:textId="77777777" w:rsidR="0094644B" w:rsidRPr="00FA3F57" w:rsidRDefault="0094644B" w:rsidP="00FB5086">
            <w:pPr>
              <w:rPr>
                <w:sz w:val="20"/>
                <w:szCs w:val="20"/>
              </w:rPr>
            </w:pPr>
            <w:r w:rsidRPr="00FA3F57">
              <w:rPr>
                <w:sz w:val="20"/>
                <w:szCs w:val="20"/>
              </w:rPr>
              <w:t>Ministry of Mining and Energy</w:t>
            </w:r>
          </w:p>
        </w:tc>
      </w:tr>
      <w:tr w:rsidR="0094644B" w:rsidRPr="00F07779" w14:paraId="739FA45F"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40B56D8" w14:textId="77777777" w:rsidR="0094644B" w:rsidRPr="00FA3F57" w:rsidRDefault="0094644B" w:rsidP="00FB5086">
            <w:pPr>
              <w:rPr>
                <w:sz w:val="20"/>
                <w:szCs w:val="20"/>
              </w:rPr>
            </w:pPr>
            <w:r w:rsidRPr="00FA3F57">
              <w:rPr>
                <w:sz w:val="20"/>
                <w:szCs w:val="20"/>
              </w:rPr>
              <w:t>Year of project funding start</w:t>
            </w:r>
          </w:p>
        </w:tc>
        <w:tc>
          <w:tcPr>
            <w:tcW w:w="56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20F64ED" w14:textId="77777777" w:rsidR="0094644B" w:rsidRPr="00FA3F57" w:rsidRDefault="0094644B" w:rsidP="00FB5086">
            <w:pPr>
              <w:rPr>
                <w:sz w:val="20"/>
                <w:szCs w:val="20"/>
              </w:rPr>
            </w:pPr>
            <w:r w:rsidRPr="00FA3F57">
              <w:rPr>
                <w:sz w:val="20"/>
                <w:szCs w:val="20"/>
              </w:rPr>
              <w:t>2023.</w:t>
            </w:r>
          </w:p>
        </w:tc>
      </w:tr>
      <w:tr w:rsidR="0094644B" w:rsidRPr="00F07779" w14:paraId="6F2D6074"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E71CD44" w14:textId="77777777" w:rsidR="0094644B" w:rsidRPr="00FA3F57" w:rsidRDefault="0094644B" w:rsidP="00FB5086">
            <w:pPr>
              <w:rPr>
                <w:sz w:val="20"/>
                <w:szCs w:val="20"/>
              </w:rPr>
            </w:pPr>
            <w:r w:rsidRPr="00FA3F57">
              <w:rPr>
                <w:sz w:val="20"/>
                <w:szCs w:val="20"/>
              </w:rPr>
              <w:t>Year of completion of project funding</w:t>
            </w:r>
          </w:p>
        </w:tc>
        <w:tc>
          <w:tcPr>
            <w:tcW w:w="56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EDC942C" w14:textId="77777777" w:rsidR="0094644B" w:rsidRPr="00FA3F57" w:rsidRDefault="0094644B" w:rsidP="00FB5086">
            <w:pPr>
              <w:rPr>
                <w:sz w:val="20"/>
                <w:szCs w:val="20"/>
              </w:rPr>
            </w:pPr>
            <w:r w:rsidRPr="00FA3F57">
              <w:rPr>
                <w:sz w:val="20"/>
                <w:szCs w:val="20"/>
              </w:rPr>
              <w:t>2028.</w:t>
            </w:r>
          </w:p>
        </w:tc>
      </w:tr>
      <w:tr w:rsidR="0094644B" w:rsidRPr="00F07779" w14:paraId="69A643F7"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ADA47BD" w14:textId="77777777" w:rsidR="0094644B" w:rsidRPr="00FA3F57" w:rsidRDefault="0094644B" w:rsidP="00FB5086">
            <w:pPr>
              <w:rPr>
                <w:sz w:val="20"/>
                <w:szCs w:val="20"/>
              </w:rPr>
            </w:pPr>
            <w:r w:rsidRPr="00FA3F57">
              <w:rPr>
                <w:sz w:val="20"/>
                <w:szCs w:val="20"/>
              </w:rPr>
              <w:t>Total project value</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2FEF267" w14:textId="77777777" w:rsidR="0094644B" w:rsidRPr="00FA3F57" w:rsidRDefault="0094644B" w:rsidP="00FB5086">
            <w:pPr>
              <w:rPr>
                <w:sz w:val="20"/>
                <w:szCs w:val="20"/>
              </w:rPr>
            </w:pPr>
            <w:r w:rsidRPr="00FA3F57">
              <w:rPr>
                <w:sz w:val="20"/>
                <w:szCs w:val="20"/>
              </w:rPr>
              <w:t>4,607,925 (39.3 million EUR)</w:t>
            </w:r>
          </w:p>
        </w:tc>
      </w:tr>
      <w:tr w:rsidR="0094644B" w:rsidRPr="00F07779" w14:paraId="7557A91A"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A8A3FCF" w14:textId="77777777" w:rsidR="0094644B" w:rsidRPr="00FA3F57" w:rsidRDefault="0094644B" w:rsidP="00FB5086">
            <w:pPr>
              <w:rPr>
                <w:sz w:val="20"/>
                <w:szCs w:val="20"/>
              </w:rPr>
            </w:pPr>
            <w:r w:rsidRPr="00FA3F57">
              <w:rPr>
                <w:sz w:val="20"/>
                <w:szCs w:val="20"/>
              </w:rPr>
              <w:t>Planned investments for 2026.</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4BEC351" w14:textId="77777777" w:rsidR="0094644B" w:rsidRPr="00FA3F57" w:rsidRDefault="0094644B" w:rsidP="00FB5086">
            <w:pPr>
              <w:rPr>
                <w:sz w:val="20"/>
                <w:szCs w:val="20"/>
              </w:rPr>
            </w:pPr>
            <w:r w:rsidRPr="00FA3F57">
              <w:rPr>
                <w:sz w:val="20"/>
                <w:szCs w:val="20"/>
              </w:rPr>
              <w:t>7,989 (budget RS)</w:t>
            </w:r>
          </w:p>
        </w:tc>
      </w:tr>
      <w:tr w:rsidR="0094644B" w:rsidRPr="00F07779" w14:paraId="7716CBE0"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EFF50DE" w14:textId="77777777" w:rsidR="0094644B" w:rsidRPr="00FA3F57" w:rsidRDefault="0094644B" w:rsidP="00FB5086">
            <w:pPr>
              <w:rPr>
                <w:sz w:val="20"/>
                <w:szCs w:val="20"/>
              </w:rPr>
            </w:pPr>
            <w:r w:rsidRPr="00FA3F57">
              <w:rPr>
                <w:sz w:val="20"/>
                <w:szCs w:val="20"/>
              </w:rPr>
              <w:t>Planned investments for 2027.</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3CE2964" w14:textId="77777777" w:rsidR="0094644B" w:rsidRPr="00FA3F57" w:rsidRDefault="0094644B" w:rsidP="00FB5086">
            <w:pPr>
              <w:rPr>
                <w:sz w:val="20"/>
                <w:szCs w:val="20"/>
              </w:rPr>
            </w:pPr>
            <w:r w:rsidRPr="00FA3F57">
              <w:rPr>
                <w:sz w:val="20"/>
                <w:szCs w:val="20"/>
              </w:rPr>
              <w:t>486,233 (budget RS)</w:t>
            </w:r>
          </w:p>
        </w:tc>
      </w:tr>
      <w:tr w:rsidR="0094644B" w:rsidRPr="00F07779" w14:paraId="13C63888"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0983574" w14:textId="77777777" w:rsidR="0094644B" w:rsidRPr="00FA3F57" w:rsidRDefault="0094644B" w:rsidP="00FB5086">
            <w:pPr>
              <w:rPr>
                <w:sz w:val="20"/>
                <w:szCs w:val="20"/>
              </w:rPr>
            </w:pPr>
            <w:r w:rsidRPr="00FA3F57">
              <w:rPr>
                <w:sz w:val="20"/>
                <w:szCs w:val="20"/>
              </w:rPr>
              <w:t>Planned investments for 2028.</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A477E54" w14:textId="77777777" w:rsidR="0094644B" w:rsidRPr="00FA3F57" w:rsidRDefault="0094644B" w:rsidP="00FB5086">
            <w:pPr>
              <w:rPr>
                <w:sz w:val="20"/>
                <w:szCs w:val="20"/>
              </w:rPr>
            </w:pPr>
            <w:r w:rsidRPr="00FA3F57">
              <w:rPr>
                <w:sz w:val="20"/>
                <w:szCs w:val="20"/>
              </w:rPr>
              <w:t>4,109,599 (budget RS)</w:t>
            </w:r>
          </w:p>
        </w:tc>
      </w:tr>
    </w:tbl>
    <w:p w14:paraId="36736EFB" w14:textId="77777777" w:rsidR="0094644B" w:rsidRPr="00F07779" w:rsidRDefault="0094644B" w:rsidP="0094644B">
      <w:pPr>
        <w:tabs>
          <w:tab w:val="left" w:pos="1276"/>
          <w:tab w:val="left" w:pos="1560"/>
        </w:tabs>
        <w:ind w:left="1440" w:hanging="1440"/>
      </w:pPr>
    </w:p>
    <w:tbl>
      <w:tblPr>
        <w:tblStyle w:val="TableGrid"/>
        <w:tblW w:w="0" w:type="auto"/>
        <w:tblLook w:val="04A0" w:firstRow="1" w:lastRow="0" w:firstColumn="1" w:lastColumn="0" w:noHBand="0" w:noVBand="1"/>
      </w:tblPr>
      <w:tblGrid>
        <w:gridCol w:w="2973"/>
        <w:gridCol w:w="5667"/>
      </w:tblGrid>
      <w:tr w:rsidR="0094644B" w:rsidRPr="00F07779" w14:paraId="461DB1B1"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5756828" w14:textId="77777777" w:rsidR="0094644B" w:rsidRPr="00FA3F57" w:rsidRDefault="0094644B" w:rsidP="00FB5086">
            <w:pPr>
              <w:rPr>
                <w:sz w:val="20"/>
                <w:szCs w:val="20"/>
              </w:rPr>
            </w:pPr>
            <w:r w:rsidRPr="00FA3F57">
              <w:rPr>
                <w:sz w:val="20"/>
                <w:szCs w:val="20"/>
              </w:rPr>
              <w:t>Activity EL1.2</w:t>
            </w:r>
          </w:p>
        </w:tc>
        <w:tc>
          <w:tcPr>
            <w:tcW w:w="566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4297943" w14:textId="77777777" w:rsidR="0094644B" w:rsidRPr="00FA3F57" w:rsidRDefault="0094644B" w:rsidP="00FB5086">
            <w:pPr>
              <w:rPr>
                <w:sz w:val="20"/>
                <w:szCs w:val="20"/>
              </w:rPr>
            </w:pPr>
            <w:r w:rsidRPr="00FA3F57">
              <w:rPr>
                <w:sz w:val="20"/>
                <w:szCs w:val="20"/>
              </w:rPr>
              <w:t>Investment projects focused on the reconstruction and construction of the transmission network</w:t>
            </w:r>
          </w:p>
        </w:tc>
      </w:tr>
      <w:tr w:rsidR="0094644B" w:rsidRPr="00F07779" w14:paraId="653F4ECA"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7C36AF89" w14:textId="77777777" w:rsidR="0094644B" w:rsidRPr="00FA3F57" w:rsidRDefault="0094644B" w:rsidP="00FB5086">
            <w:pPr>
              <w:rPr>
                <w:sz w:val="20"/>
                <w:szCs w:val="20"/>
              </w:rPr>
            </w:pPr>
            <w:r w:rsidRPr="00FA3F57">
              <w:rPr>
                <w:sz w:val="20"/>
                <w:szCs w:val="20"/>
              </w:rPr>
              <w:t>Name of the project</w:t>
            </w:r>
          </w:p>
        </w:tc>
        <w:tc>
          <w:tcPr>
            <w:tcW w:w="5667"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58F90B9C" w14:textId="77777777" w:rsidR="0094644B" w:rsidRPr="00FA3F57" w:rsidRDefault="0094644B" w:rsidP="00FB5086">
            <w:pPr>
              <w:rPr>
                <w:sz w:val="20"/>
                <w:szCs w:val="20"/>
              </w:rPr>
            </w:pPr>
            <w:r w:rsidRPr="00FA3F57">
              <w:rPr>
                <w:sz w:val="20"/>
                <w:szCs w:val="20"/>
              </w:rPr>
              <w:t>Pannonian Corridor</w:t>
            </w:r>
          </w:p>
        </w:tc>
      </w:tr>
      <w:tr w:rsidR="0094644B" w:rsidRPr="00F07779" w14:paraId="68F9ACBE"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8BE8388" w14:textId="77777777" w:rsidR="0094644B" w:rsidRPr="00FA3F57" w:rsidRDefault="0094644B" w:rsidP="00FB5086">
            <w:pPr>
              <w:rPr>
                <w:sz w:val="20"/>
                <w:szCs w:val="20"/>
              </w:rPr>
            </w:pPr>
            <w:r w:rsidRPr="00FA3F57">
              <w:rPr>
                <w:sz w:val="20"/>
                <w:szCs w:val="20"/>
              </w:rPr>
              <w:t xml:space="preserve">Name of the </w:t>
            </w:r>
            <w:r w:rsidRPr="00F07779">
              <w:rPr>
                <w:sz w:val="20"/>
                <w:szCs w:val="20"/>
              </w:rPr>
              <w:t>investment</w:t>
            </w:r>
          </w:p>
        </w:tc>
        <w:tc>
          <w:tcPr>
            <w:tcW w:w="566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FC8E4AD" w14:textId="77777777" w:rsidR="0094644B" w:rsidRPr="00FA3F57" w:rsidRDefault="0094644B" w:rsidP="00FB5086">
            <w:pPr>
              <w:rPr>
                <w:sz w:val="20"/>
                <w:szCs w:val="20"/>
              </w:rPr>
            </w:pPr>
            <w:r w:rsidRPr="00F07779">
              <w:rPr>
                <w:sz w:val="20"/>
                <w:szCs w:val="20"/>
              </w:rPr>
              <w:t xml:space="preserve">TS 400/110 kV </w:t>
            </w:r>
            <w:proofErr w:type="spellStart"/>
            <w:r w:rsidRPr="00F07779">
              <w:rPr>
                <w:sz w:val="20"/>
                <w:szCs w:val="20"/>
              </w:rPr>
              <w:t>Sombor</w:t>
            </w:r>
            <w:proofErr w:type="spellEnd"/>
            <w:r w:rsidRPr="00F07779">
              <w:rPr>
                <w:sz w:val="20"/>
                <w:szCs w:val="20"/>
              </w:rPr>
              <w:t xml:space="preserve"> 3, reconstruction and expansion</w:t>
            </w:r>
          </w:p>
        </w:tc>
      </w:tr>
      <w:tr w:rsidR="0094644B" w:rsidRPr="00F07779" w14:paraId="2EE7F850"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D64E471" w14:textId="77777777" w:rsidR="0094644B" w:rsidRPr="00FA3F57" w:rsidRDefault="0094644B" w:rsidP="00FB5086">
            <w:pPr>
              <w:rPr>
                <w:sz w:val="20"/>
                <w:szCs w:val="20"/>
              </w:rPr>
            </w:pPr>
            <w:r w:rsidRPr="00FA3F57">
              <w:rPr>
                <w:sz w:val="20"/>
                <w:szCs w:val="20"/>
              </w:rPr>
              <w:t>Short description of the investment</w:t>
            </w:r>
          </w:p>
        </w:tc>
        <w:tc>
          <w:tcPr>
            <w:tcW w:w="56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29CA0B6" w14:textId="77777777" w:rsidR="0094644B" w:rsidRPr="00F07779" w:rsidRDefault="0094644B" w:rsidP="00FB5086">
            <w:pPr>
              <w:rPr>
                <w:sz w:val="20"/>
                <w:szCs w:val="20"/>
              </w:rPr>
            </w:pPr>
            <w:r w:rsidRPr="00FA3F57">
              <w:rPr>
                <w:sz w:val="20"/>
                <w:szCs w:val="20"/>
              </w:rPr>
              <w:t xml:space="preserve">Construction of a complete </w:t>
            </w:r>
            <w:r w:rsidRPr="00F07779">
              <w:rPr>
                <w:sz w:val="20"/>
                <w:szCs w:val="20"/>
              </w:rPr>
              <w:t xml:space="preserve">TS </w:t>
            </w:r>
            <w:r w:rsidRPr="00FA3F57">
              <w:rPr>
                <w:sz w:val="20"/>
                <w:szCs w:val="20"/>
              </w:rPr>
              <w:t>400 kV with five equipped (three DVP, one SP, and one TRP) and three unequipped bays in the busbar system.</w:t>
            </w:r>
          </w:p>
          <w:p w14:paraId="3DCE41E8" w14:textId="77777777" w:rsidR="0094644B" w:rsidRPr="00FA3F57" w:rsidRDefault="0094644B" w:rsidP="00FB5086">
            <w:pPr>
              <w:rPr>
                <w:sz w:val="20"/>
                <w:szCs w:val="20"/>
              </w:rPr>
            </w:pPr>
            <w:r w:rsidRPr="00FA3F57">
              <w:rPr>
                <w:sz w:val="20"/>
                <w:szCs w:val="20"/>
              </w:rPr>
              <w:t>Expected dynamics of project implementation:</w:t>
            </w:r>
          </w:p>
          <w:p w14:paraId="2CC32851" w14:textId="77777777" w:rsidR="0094644B" w:rsidRPr="00FA3F57" w:rsidRDefault="0094644B" w:rsidP="00FB5086">
            <w:pPr>
              <w:rPr>
                <w:sz w:val="20"/>
                <w:szCs w:val="20"/>
              </w:rPr>
            </w:pPr>
            <w:r w:rsidRPr="00FA3F57">
              <w:rPr>
                <w:sz w:val="20"/>
                <w:szCs w:val="20"/>
              </w:rPr>
              <w:t>2026. Location conditions</w:t>
            </w:r>
          </w:p>
          <w:p w14:paraId="55EE6665" w14:textId="77777777" w:rsidR="0094644B" w:rsidRPr="00FA3F57" w:rsidRDefault="0094644B" w:rsidP="00FB5086">
            <w:pPr>
              <w:rPr>
                <w:sz w:val="20"/>
                <w:szCs w:val="20"/>
              </w:rPr>
            </w:pPr>
            <w:r w:rsidRPr="00FA3F57">
              <w:rPr>
                <w:sz w:val="20"/>
                <w:szCs w:val="20"/>
              </w:rPr>
              <w:t>2027. Preliminary design</w:t>
            </w:r>
          </w:p>
          <w:p w14:paraId="35DB08A8" w14:textId="77777777" w:rsidR="0094644B" w:rsidRPr="00FA3F57" w:rsidRDefault="0094644B" w:rsidP="00FB5086">
            <w:pPr>
              <w:rPr>
                <w:sz w:val="20"/>
                <w:szCs w:val="20"/>
              </w:rPr>
            </w:pPr>
            <w:r w:rsidRPr="00FA3F57">
              <w:rPr>
                <w:sz w:val="20"/>
                <w:szCs w:val="20"/>
              </w:rPr>
              <w:t>2028. Building permit</w:t>
            </w:r>
          </w:p>
        </w:tc>
      </w:tr>
      <w:tr w:rsidR="0094644B" w:rsidRPr="00F07779" w14:paraId="68AF9781"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42DE264" w14:textId="77777777" w:rsidR="0094644B" w:rsidRPr="00FA3F57" w:rsidRDefault="0094644B" w:rsidP="00FB5086">
            <w:pPr>
              <w:rPr>
                <w:sz w:val="20"/>
                <w:szCs w:val="20"/>
              </w:rPr>
            </w:pPr>
            <w:r w:rsidRPr="00FA3F57">
              <w:rPr>
                <w:sz w:val="20"/>
                <w:szCs w:val="20"/>
              </w:rPr>
              <w:t>Institutions responsible for the implementation of measures and activities</w:t>
            </w:r>
          </w:p>
        </w:tc>
        <w:tc>
          <w:tcPr>
            <w:tcW w:w="56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F52DB30" w14:textId="77777777" w:rsidR="0094644B" w:rsidRPr="00FA3F57" w:rsidRDefault="0094644B" w:rsidP="00FB5086">
            <w:pPr>
              <w:rPr>
                <w:sz w:val="20"/>
                <w:szCs w:val="20"/>
              </w:rPr>
            </w:pPr>
            <w:r w:rsidRPr="00FA3F57">
              <w:rPr>
                <w:sz w:val="20"/>
                <w:szCs w:val="20"/>
              </w:rPr>
              <w:t>EMS JSC Belgrade</w:t>
            </w:r>
          </w:p>
        </w:tc>
      </w:tr>
      <w:tr w:rsidR="0094644B" w:rsidRPr="00F07779" w14:paraId="5DE4B302"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3540C40" w14:textId="77777777" w:rsidR="0094644B" w:rsidRPr="00FA3F57" w:rsidRDefault="0094644B" w:rsidP="00FB5086">
            <w:pPr>
              <w:rPr>
                <w:sz w:val="20"/>
                <w:szCs w:val="20"/>
              </w:rPr>
            </w:pPr>
            <w:r w:rsidRPr="00FA3F57">
              <w:rPr>
                <w:sz w:val="20"/>
                <w:szCs w:val="20"/>
              </w:rPr>
              <w:t>Institutions responsible for monitoring implementation and reporting on the realization</w:t>
            </w:r>
          </w:p>
        </w:tc>
        <w:tc>
          <w:tcPr>
            <w:tcW w:w="56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A66CBAB" w14:textId="77777777" w:rsidR="0094644B" w:rsidRPr="00F07779" w:rsidRDefault="0094644B" w:rsidP="00FB5086">
            <w:pPr>
              <w:rPr>
                <w:sz w:val="20"/>
                <w:szCs w:val="20"/>
              </w:rPr>
            </w:pPr>
            <w:r w:rsidRPr="00FA3F57">
              <w:rPr>
                <w:sz w:val="20"/>
                <w:szCs w:val="20"/>
              </w:rPr>
              <w:t>EMS JSC Belgrade</w:t>
            </w:r>
          </w:p>
          <w:p w14:paraId="14A01F7D" w14:textId="77777777" w:rsidR="0094644B" w:rsidRPr="00FA3F57" w:rsidRDefault="0094644B" w:rsidP="00FB5086">
            <w:pPr>
              <w:rPr>
                <w:sz w:val="20"/>
                <w:szCs w:val="20"/>
              </w:rPr>
            </w:pPr>
            <w:r w:rsidRPr="00FA3F57">
              <w:rPr>
                <w:sz w:val="20"/>
                <w:szCs w:val="20"/>
              </w:rPr>
              <w:t>Ministry of Mining and Energy</w:t>
            </w:r>
          </w:p>
        </w:tc>
      </w:tr>
      <w:tr w:rsidR="0094644B" w:rsidRPr="00F07779" w14:paraId="4A2FC013"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9B44133" w14:textId="77777777" w:rsidR="0094644B" w:rsidRPr="00FA3F57" w:rsidRDefault="0094644B" w:rsidP="00FB5086">
            <w:pPr>
              <w:rPr>
                <w:sz w:val="20"/>
                <w:szCs w:val="20"/>
              </w:rPr>
            </w:pPr>
            <w:r w:rsidRPr="00FA3F57">
              <w:rPr>
                <w:sz w:val="20"/>
                <w:szCs w:val="20"/>
              </w:rPr>
              <w:t>Year of project funding start</w:t>
            </w:r>
          </w:p>
        </w:tc>
        <w:tc>
          <w:tcPr>
            <w:tcW w:w="56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3360378" w14:textId="77777777" w:rsidR="0094644B" w:rsidRPr="00FA3F57" w:rsidRDefault="0094644B" w:rsidP="00FB5086">
            <w:pPr>
              <w:rPr>
                <w:sz w:val="20"/>
                <w:szCs w:val="20"/>
              </w:rPr>
            </w:pPr>
            <w:r w:rsidRPr="00FA3F57">
              <w:rPr>
                <w:sz w:val="20"/>
                <w:szCs w:val="20"/>
              </w:rPr>
              <w:t>2023.</w:t>
            </w:r>
          </w:p>
        </w:tc>
      </w:tr>
      <w:tr w:rsidR="0094644B" w:rsidRPr="00F07779" w14:paraId="30499207"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4E87C90" w14:textId="77777777" w:rsidR="0094644B" w:rsidRPr="00FA3F57" w:rsidRDefault="0094644B" w:rsidP="00FB5086">
            <w:pPr>
              <w:rPr>
                <w:sz w:val="20"/>
                <w:szCs w:val="20"/>
              </w:rPr>
            </w:pPr>
            <w:r w:rsidRPr="00FA3F57">
              <w:rPr>
                <w:sz w:val="20"/>
                <w:szCs w:val="20"/>
              </w:rPr>
              <w:t>Year of completion of project funding</w:t>
            </w:r>
          </w:p>
        </w:tc>
        <w:tc>
          <w:tcPr>
            <w:tcW w:w="56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5FF5AC3" w14:textId="77777777" w:rsidR="0094644B" w:rsidRPr="00FA3F57" w:rsidRDefault="0094644B" w:rsidP="00FB5086">
            <w:pPr>
              <w:rPr>
                <w:sz w:val="20"/>
                <w:szCs w:val="20"/>
              </w:rPr>
            </w:pPr>
            <w:r w:rsidRPr="00FA3F57">
              <w:rPr>
                <w:sz w:val="20"/>
                <w:szCs w:val="20"/>
              </w:rPr>
              <w:t>2030.</w:t>
            </w:r>
          </w:p>
        </w:tc>
      </w:tr>
      <w:tr w:rsidR="0094644B" w:rsidRPr="00F07779" w14:paraId="772C39ED"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173F04F" w14:textId="77777777" w:rsidR="0094644B" w:rsidRPr="00FA3F57" w:rsidRDefault="0094644B" w:rsidP="00FB5086">
            <w:pPr>
              <w:rPr>
                <w:sz w:val="20"/>
                <w:szCs w:val="20"/>
              </w:rPr>
            </w:pPr>
            <w:r w:rsidRPr="00FA3F57">
              <w:rPr>
                <w:sz w:val="20"/>
                <w:szCs w:val="20"/>
              </w:rPr>
              <w:t>Total project value</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7D6D168" w14:textId="77777777" w:rsidR="0094644B" w:rsidRPr="00FA3F57" w:rsidRDefault="0094644B" w:rsidP="00FB5086">
            <w:pPr>
              <w:rPr>
                <w:sz w:val="20"/>
                <w:szCs w:val="20"/>
              </w:rPr>
            </w:pPr>
            <w:r w:rsidRPr="00FA3F57">
              <w:rPr>
                <w:sz w:val="20"/>
                <w:szCs w:val="20"/>
              </w:rPr>
              <w:t>855,925 (7.3 million EUR)</w:t>
            </w:r>
          </w:p>
        </w:tc>
      </w:tr>
      <w:tr w:rsidR="0094644B" w:rsidRPr="00F07779" w14:paraId="267214C6"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6B72D4F" w14:textId="77777777" w:rsidR="0094644B" w:rsidRPr="00FA3F57" w:rsidRDefault="0094644B" w:rsidP="00FB5086">
            <w:pPr>
              <w:rPr>
                <w:sz w:val="20"/>
                <w:szCs w:val="20"/>
              </w:rPr>
            </w:pPr>
            <w:r w:rsidRPr="00FA3F57">
              <w:rPr>
                <w:sz w:val="20"/>
                <w:szCs w:val="20"/>
              </w:rPr>
              <w:t>Planned investments for 2026.</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C522569" w14:textId="77777777" w:rsidR="0094644B" w:rsidRPr="00FA3F57" w:rsidRDefault="0094644B" w:rsidP="00FB5086">
            <w:pPr>
              <w:rPr>
                <w:sz w:val="20"/>
                <w:szCs w:val="20"/>
              </w:rPr>
            </w:pPr>
            <w:r w:rsidRPr="00FA3F57">
              <w:rPr>
                <w:sz w:val="20"/>
                <w:szCs w:val="20"/>
              </w:rPr>
              <w:t>2,052 (budget RS)</w:t>
            </w:r>
          </w:p>
        </w:tc>
      </w:tr>
      <w:tr w:rsidR="0094644B" w:rsidRPr="00F07779" w14:paraId="0AB04DBA"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193AB80" w14:textId="77777777" w:rsidR="0094644B" w:rsidRPr="00FA3F57" w:rsidRDefault="0094644B" w:rsidP="00FB5086">
            <w:pPr>
              <w:rPr>
                <w:sz w:val="20"/>
                <w:szCs w:val="20"/>
              </w:rPr>
            </w:pPr>
            <w:r w:rsidRPr="00FA3F57">
              <w:rPr>
                <w:sz w:val="20"/>
                <w:szCs w:val="20"/>
              </w:rPr>
              <w:t>Planned investments for 2027.</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927107D" w14:textId="77777777" w:rsidR="0094644B" w:rsidRPr="00FA3F57" w:rsidRDefault="0094644B" w:rsidP="00FB5086">
            <w:pPr>
              <w:rPr>
                <w:sz w:val="20"/>
                <w:szCs w:val="20"/>
              </w:rPr>
            </w:pPr>
            <w:r w:rsidRPr="00FA3F57">
              <w:rPr>
                <w:sz w:val="20"/>
                <w:szCs w:val="20"/>
              </w:rPr>
              <w:t>7,445 (budget RS)</w:t>
            </w:r>
          </w:p>
        </w:tc>
      </w:tr>
      <w:tr w:rsidR="0094644B" w:rsidRPr="00F07779" w14:paraId="62175466"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8A28E09" w14:textId="77777777" w:rsidR="0094644B" w:rsidRPr="00FA3F57" w:rsidRDefault="0094644B" w:rsidP="00FB5086">
            <w:pPr>
              <w:rPr>
                <w:sz w:val="20"/>
                <w:szCs w:val="20"/>
              </w:rPr>
            </w:pPr>
            <w:r w:rsidRPr="00FA3F57">
              <w:rPr>
                <w:sz w:val="20"/>
                <w:szCs w:val="20"/>
              </w:rPr>
              <w:t>Planned investments for 2028.</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F2FA69A" w14:textId="77777777" w:rsidR="0094644B" w:rsidRPr="00FA3F57" w:rsidRDefault="0094644B" w:rsidP="00FB5086">
            <w:pPr>
              <w:rPr>
                <w:sz w:val="20"/>
                <w:szCs w:val="20"/>
              </w:rPr>
            </w:pPr>
            <w:r w:rsidRPr="00FA3F57">
              <w:rPr>
                <w:sz w:val="20"/>
                <w:szCs w:val="20"/>
              </w:rPr>
              <w:t>12,531 (budget RS)</w:t>
            </w:r>
          </w:p>
        </w:tc>
      </w:tr>
    </w:tbl>
    <w:p w14:paraId="340DA53F" w14:textId="77777777" w:rsidR="0094644B" w:rsidRPr="00F07779" w:rsidRDefault="0094644B" w:rsidP="0094644B">
      <w:pPr>
        <w:tabs>
          <w:tab w:val="left" w:pos="1276"/>
          <w:tab w:val="left" w:pos="1560"/>
        </w:tabs>
        <w:ind w:left="1440" w:hanging="1440"/>
      </w:pPr>
    </w:p>
    <w:tbl>
      <w:tblPr>
        <w:tblStyle w:val="TableGrid"/>
        <w:tblW w:w="0" w:type="auto"/>
        <w:tblLook w:val="04A0" w:firstRow="1" w:lastRow="0" w:firstColumn="1" w:lastColumn="0" w:noHBand="0" w:noVBand="1"/>
      </w:tblPr>
      <w:tblGrid>
        <w:gridCol w:w="2973"/>
        <w:gridCol w:w="5667"/>
      </w:tblGrid>
      <w:tr w:rsidR="0094644B" w:rsidRPr="00F07779" w14:paraId="0704819E"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A8933B6" w14:textId="77777777" w:rsidR="0094644B" w:rsidRPr="00FA3F57" w:rsidRDefault="0094644B" w:rsidP="00FB5086">
            <w:pPr>
              <w:rPr>
                <w:sz w:val="20"/>
                <w:szCs w:val="20"/>
              </w:rPr>
            </w:pPr>
            <w:r w:rsidRPr="00FA3F57">
              <w:rPr>
                <w:sz w:val="20"/>
                <w:szCs w:val="20"/>
              </w:rPr>
              <w:t>Activity EL1.2</w:t>
            </w:r>
          </w:p>
        </w:tc>
        <w:tc>
          <w:tcPr>
            <w:tcW w:w="566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C918E14" w14:textId="77777777" w:rsidR="0094644B" w:rsidRPr="00FA3F57" w:rsidRDefault="0094644B" w:rsidP="00FB5086">
            <w:pPr>
              <w:rPr>
                <w:sz w:val="20"/>
                <w:szCs w:val="20"/>
              </w:rPr>
            </w:pPr>
            <w:r w:rsidRPr="00FA3F57">
              <w:rPr>
                <w:sz w:val="20"/>
                <w:szCs w:val="20"/>
              </w:rPr>
              <w:t>Investment projects focused on the reconstruction and construction of the transmission network</w:t>
            </w:r>
          </w:p>
        </w:tc>
      </w:tr>
      <w:tr w:rsidR="0094644B" w:rsidRPr="00F07779" w14:paraId="75F2E135"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52ED3089" w14:textId="77777777" w:rsidR="0094644B" w:rsidRPr="00FA3F57" w:rsidRDefault="0094644B" w:rsidP="00FB5086">
            <w:pPr>
              <w:rPr>
                <w:sz w:val="20"/>
                <w:szCs w:val="20"/>
              </w:rPr>
            </w:pPr>
            <w:r w:rsidRPr="00FA3F57">
              <w:rPr>
                <w:sz w:val="20"/>
                <w:szCs w:val="20"/>
              </w:rPr>
              <w:t>Name of the project</w:t>
            </w:r>
          </w:p>
        </w:tc>
        <w:tc>
          <w:tcPr>
            <w:tcW w:w="5667"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706BE310" w14:textId="77777777" w:rsidR="0094644B" w:rsidRPr="00FA3F57" w:rsidRDefault="0094644B" w:rsidP="00FB5086">
            <w:pPr>
              <w:rPr>
                <w:sz w:val="20"/>
                <w:szCs w:val="20"/>
              </w:rPr>
            </w:pPr>
            <w:r w:rsidRPr="00FA3F57">
              <w:rPr>
                <w:sz w:val="20"/>
                <w:szCs w:val="20"/>
              </w:rPr>
              <w:t>Pannonian Corridor</w:t>
            </w:r>
          </w:p>
        </w:tc>
      </w:tr>
      <w:tr w:rsidR="0094644B" w:rsidRPr="00F07779" w14:paraId="61DD81CC"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1B6ACF6" w14:textId="77777777" w:rsidR="0094644B" w:rsidRPr="00FA3F57" w:rsidRDefault="0094644B" w:rsidP="00FB5086">
            <w:pPr>
              <w:rPr>
                <w:sz w:val="20"/>
                <w:szCs w:val="20"/>
              </w:rPr>
            </w:pPr>
            <w:r w:rsidRPr="00FA3F57">
              <w:rPr>
                <w:sz w:val="20"/>
                <w:szCs w:val="20"/>
              </w:rPr>
              <w:t xml:space="preserve">Name of the </w:t>
            </w:r>
            <w:r w:rsidRPr="00F07779">
              <w:rPr>
                <w:sz w:val="20"/>
                <w:szCs w:val="20"/>
              </w:rPr>
              <w:t>investment</w:t>
            </w:r>
          </w:p>
        </w:tc>
        <w:tc>
          <w:tcPr>
            <w:tcW w:w="566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81612D6" w14:textId="77777777" w:rsidR="0094644B" w:rsidRPr="00FA3F57" w:rsidRDefault="0094644B" w:rsidP="00FB5086">
            <w:pPr>
              <w:rPr>
                <w:sz w:val="20"/>
                <w:szCs w:val="20"/>
              </w:rPr>
            </w:pPr>
            <w:r w:rsidRPr="00F07779">
              <w:rPr>
                <w:sz w:val="20"/>
                <w:szCs w:val="20"/>
              </w:rPr>
              <w:t>TS 400/110 kV Novi Sad 3, reconstruction and expansion</w:t>
            </w:r>
          </w:p>
        </w:tc>
      </w:tr>
      <w:tr w:rsidR="0094644B" w:rsidRPr="00F07779" w14:paraId="467923BA"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9C948BA" w14:textId="77777777" w:rsidR="0094644B" w:rsidRPr="00FA3F57" w:rsidRDefault="0094644B" w:rsidP="00FB5086">
            <w:pPr>
              <w:rPr>
                <w:sz w:val="20"/>
                <w:szCs w:val="20"/>
              </w:rPr>
            </w:pPr>
            <w:r w:rsidRPr="00FA3F57">
              <w:rPr>
                <w:sz w:val="20"/>
                <w:szCs w:val="20"/>
              </w:rPr>
              <w:t>Short description of the investment</w:t>
            </w:r>
          </w:p>
        </w:tc>
        <w:tc>
          <w:tcPr>
            <w:tcW w:w="56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9F7C457" w14:textId="77777777" w:rsidR="0094644B" w:rsidRPr="00F07779" w:rsidRDefault="0094644B" w:rsidP="00FB5086">
            <w:pPr>
              <w:rPr>
                <w:sz w:val="20"/>
                <w:szCs w:val="20"/>
              </w:rPr>
            </w:pPr>
            <w:r w:rsidRPr="00F07779">
              <w:rPr>
                <w:sz w:val="20"/>
                <w:szCs w:val="20"/>
              </w:rPr>
              <w:t xml:space="preserve">Extension of two double-circuit line bays at </w:t>
            </w:r>
            <w:r w:rsidRPr="00FA3F57">
              <w:rPr>
                <w:sz w:val="20"/>
                <w:szCs w:val="20"/>
              </w:rPr>
              <w:t xml:space="preserve">ТS </w:t>
            </w:r>
            <w:r w:rsidRPr="00F07779">
              <w:rPr>
                <w:sz w:val="20"/>
                <w:szCs w:val="20"/>
              </w:rPr>
              <w:t xml:space="preserve">Novi Sad 3, one fully equipped and one unequipped, within the busbar system. </w:t>
            </w:r>
            <w:r w:rsidRPr="00FA3F57">
              <w:rPr>
                <w:sz w:val="20"/>
                <w:szCs w:val="20"/>
              </w:rPr>
              <w:t>Also, partial replacement of HV equipment in bay C02.</w:t>
            </w:r>
          </w:p>
          <w:p w14:paraId="0133FD00" w14:textId="77777777" w:rsidR="0094644B" w:rsidRPr="00FA3F57" w:rsidRDefault="0094644B" w:rsidP="00FB5086">
            <w:pPr>
              <w:rPr>
                <w:sz w:val="20"/>
                <w:szCs w:val="20"/>
              </w:rPr>
            </w:pPr>
            <w:r w:rsidRPr="00FA3F57">
              <w:rPr>
                <w:sz w:val="20"/>
                <w:szCs w:val="20"/>
              </w:rPr>
              <w:t>Expected dynamics of project implementation:</w:t>
            </w:r>
          </w:p>
          <w:p w14:paraId="427D8FBD" w14:textId="77777777" w:rsidR="0094644B" w:rsidRPr="00FA3F57" w:rsidRDefault="0094644B" w:rsidP="00FB5086">
            <w:pPr>
              <w:rPr>
                <w:sz w:val="20"/>
                <w:szCs w:val="20"/>
              </w:rPr>
            </w:pPr>
            <w:r w:rsidRPr="00FA3F57">
              <w:rPr>
                <w:sz w:val="20"/>
                <w:szCs w:val="20"/>
              </w:rPr>
              <w:t>2026. Location conditions</w:t>
            </w:r>
          </w:p>
          <w:p w14:paraId="66001BFA" w14:textId="77777777" w:rsidR="0094644B" w:rsidRPr="00FA3F57" w:rsidRDefault="0094644B" w:rsidP="00FB5086">
            <w:pPr>
              <w:rPr>
                <w:sz w:val="20"/>
                <w:szCs w:val="20"/>
              </w:rPr>
            </w:pPr>
            <w:r w:rsidRPr="00FA3F57">
              <w:rPr>
                <w:sz w:val="20"/>
                <w:szCs w:val="20"/>
              </w:rPr>
              <w:t>2027. Preliminary design</w:t>
            </w:r>
          </w:p>
          <w:p w14:paraId="2D3E34B7" w14:textId="77777777" w:rsidR="0094644B" w:rsidRPr="00FA3F57" w:rsidRDefault="0094644B" w:rsidP="00FB5086">
            <w:pPr>
              <w:rPr>
                <w:sz w:val="20"/>
                <w:szCs w:val="20"/>
              </w:rPr>
            </w:pPr>
            <w:r w:rsidRPr="00FA3F57">
              <w:rPr>
                <w:sz w:val="20"/>
                <w:szCs w:val="20"/>
              </w:rPr>
              <w:t>2028. Building permit</w:t>
            </w:r>
          </w:p>
        </w:tc>
      </w:tr>
      <w:tr w:rsidR="0094644B" w:rsidRPr="00F07779" w14:paraId="76F58D5B"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05C68D8" w14:textId="77777777" w:rsidR="0094644B" w:rsidRPr="00FA3F57" w:rsidRDefault="0094644B" w:rsidP="00FB5086">
            <w:pPr>
              <w:rPr>
                <w:sz w:val="20"/>
                <w:szCs w:val="20"/>
              </w:rPr>
            </w:pPr>
            <w:r w:rsidRPr="00FA3F57">
              <w:rPr>
                <w:sz w:val="20"/>
                <w:szCs w:val="20"/>
              </w:rPr>
              <w:t>Institutions responsible for the implementation of measures and activities</w:t>
            </w:r>
          </w:p>
        </w:tc>
        <w:tc>
          <w:tcPr>
            <w:tcW w:w="56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42EEAE0" w14:textId="77777777" w:rsidR="0094644B" w:rsidRPr="00FA3F57" w:rsidRDefault="0094644B" w:rsidP="00FB5086">
            <w:pPr>
              <w:rPr>
                <w:sz w:val="20"/>
                <w:szCs w:val="20"/>
              </w:rPr>
            </w:pPr>
            <w:r w:rsidRPr="00FA3F57">
              <w:rPr>
                <w:sz w:val="20"/>
                <w:szCs w:val="20"/>
              </w:rPr>
              <w:t>EMS JSC Belgrade</w:t>
            </w:r>
          </w:p>
        </w:tc>
      </w:tr>
      <w:tr w:rsidR="0094644B" w:rsidRPr="00F07779" w14:paraId="71D2ECCA"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53CD12C" w14:textId="77777777" w:rsidR="0094644B" w:rsidRPr="00FA3F57" w:rsidRDefault="0094644B" w:rsidP="00FB5086">
            <w:pPr>
              <w:rPr>
                <w:sz w:val="20"/>
                <w:szCs w:val="20"/>
              </w:rPr>
            </w:pPr>
            <w:r w:rsidRPr="00FA3F57">
              <w:rPr>
                <w:sz w:val="20"/>
                <w:szCs w:val="20"/>
              </w:rPr>
              <w:lastRenderedPageBreak/>
              <w:t>Institutions responsible for monitoring implementation and reporting on the realization</w:t>
            </w:r>
          </w:p>
        </w:tc>
        <w:tc>
          <w:tcPr>
            <w:tcW w:w="56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9315B3A" w14:textId="77777777" w:rsidR="0094644B" w:rsidRPr="00F07779" w:rsidRDefault="0094644B" w:rsidP="00FB5086">
            <w:pPr>
              <w:rPr>
                <w:sz w:val="20"/>
                <w:szCs w:val="20"/>
              </w:rPr>
            </w:pPr>
            <w:r w:rsidRPr="00FA3F57">
              <w:rPr>
                <w:sz w:val="20"/>
                <w:szCs w:val="20"/>
              </w:rPr>
              <w:t>EMS JSC Belgrade</w:t>
            </w:r>
          </w:p>
          <w:p w14:paraId="05859C89" w14:textId="77777777" w:rsidR="0094644B" w:rsidRPr="00FA3F57" w:rsidRDefault="0094644B" w:rsidP="00FB5086">
            <w:pPr>
              <w:rPr>
                <w:sz w:val="20"/>
                <w:szCs w:val="20"/>
              </w:rPr>
            </w:pPr>
            <w:r w:rsidRPr="00FA3F57">
              <w:rPr>
                <w:sz w:val="20"/>
                <w:szCs w:val="20"/>
              </w:rPr>
              <w:t>Ministry of Mining and Energy</w:t>
            </w:r>
          </w:p>
        </w:tc>
      </w:tr>
      <w:tr w:rsidR="0094644B" w:rsidRPr="00F07779" w14:paraId="54F126D6"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3D2E3FD" w14:textId="77777777" w:rsidR="0094644B" w:rsidRPr="00FA3F57" w:rsidRDefault="0094644B" w:rsidP="00FB5086">
            <w:pPr>
              <w:rPr>
                <w:sz w:val="20"/>
                <w:szCs w:val="20"/>
              </w:rPr>
            </w:pPr>
            <w:r w:rsidRPr="00FA3F57">
              <w:rPr>
                <w:sz w:val="20"/>
                <w:szCs w:val="20"/>
              </w:rPr>
              <w:t>Year of project funding start</w:t>
            </w:r>
          </w:p>
        </w:tc>
        <w:tc>
          <w:tcPr>
            <w:tcW w:w="56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C813C40" w14:textId="77777777" w:rsidR="0094644B" w:rsidRPr="00FA3F57" w:rsidRDefault="0094644B" w:rsidP="00FB5086">
            <w:pPr>
              <w:rPr>
                <w:sz w:val="20"/>
                <w:szCs w:val="20"/>
              </w:rPr>
            </w:pPr>
            <w:r w:rsidRPr="00FA3F57">
              <w:rPr>
                <w:sz w:val="20"/>
                <w:szCs w:val="20"/>
              </w:rPr>
              <w:t>2023.</w:t>
            </w:r>
          </w:p>
        </w:tc>
      </w:tr>
      <w:tr w:rsidR="0094644B" w:rsidRPr="00F07779" w14:paraId="110958D5"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26BB370" w14:textId="77777777" w:rsidR="0094644B" w:rsidRPr="00FA3F57" w:rsidRDefault="0094644B" w:rsidP="00FB5086">
            <w:pPr>
              <w:rPr>
                <w:sz w:val="20"/>
                <w:szCs w:val="20"/>
              </w:rPr>
            </w:pPr>
            <w:r w:rsidRPr="00FA3F57">
              <w:rPr>
                <w:sz w:val="20"/>
                <w:szCs w:val="20"/>
              </w:rPr>
              <w:t>Year of completion of project funding</w:t>
            </w:r>
          </w:p>
        </w:tc>
        <w:tc>
          <w:tcPr>
            <w:tcW w:w="56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8CFA568" w14:textId="77777777" w:rsidR="0094644B" w:rsidRPr="00FA3F57" w:rsidRDefault="0094644B" w:rsidP="00FB5086">
            <w:pPr>
              <w:rPr>
                <w:sz w:val="20"/>
                <w:szCs w:val="20"/>
              </w:rPr>
            </w:pPr>
            <w:r w:rsidRPr="00FA3F57">
              <w:rPr>
                <w:sz w:val="20"/>
                <w:szCs w:val="20"/>
              </w:rPr>
              <w:t>2030.</w:t>
            </w:r>
          </w:p>
        </w:tc>
      </w:tr>
      <w:tr w:rsidR="0094644B" w:rsidRPr="00F07779" w14:paraId="3EE4C19E"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EA192E3" w14:textId="77777777" w:rsidR="0094644B" w:rsidRPr="00FA3F57" w:rsidRDefault="0094644B" w:rsidP="00FB5086">
            <w:pPr>
              <w:rPr>
                <w:sz w:val="20"/>
                <w:szCs w:val="20"/>
              </w:rPr>
            </w:pPr>
            <w:r w:rsidRPr="00FA3F57">
              <w:rPr>
                <w:sz w:val="20"/>
                <w:szCs w:val="20"/>
              </w:rPr>
              <w:t>Total project value</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78CC817" w14:textId="77777777" w:rsidR="0094644B" w:rsidRPr="00FA3F57" w:rsidRDefault="0094644B" w:rsidP="00FB5086">
            <w:pPr>
              <w:rPr>
                <w:sz w:val="20"/>
                <w:szCs w:val="20"/>
              </w:rPr>
            </w:pPr>
            <w:r w:rsidRPr="00FA3F57">
              <w:rPr>
                <w:sz w:val="20"/>
                <w:szCs w:val="20"/>
              </w:rPr>
              <w:t>286,090 (2.44 million EUR)</w:t>
            </w:r>
          </w:p>
        </w:tc>
      </w:tr>
      <w:tr w:rsidR="0094644B" w:rsidRPr="00F07779" w14:paraId="5A6B97B5"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8E4AB21" w14:textId="77777777" w:rsidR="0094644B" w:rsidRPr="00FA3F57" w:rsidRDefault="0094644B" w:rsidP="00FB5086">
            <w:pPr>
              <w:rPr>
                <w:sz w:val="20"/>
                <w:szCs w:val="20"/>
              </w:rPr>
            </w:pPr>
            <w:r w:rsidRPr="00FA3F57">
              <w:rPr>
                <w:sz w:val="20"/>
                <w:szCs w:val="20"/>
              </w:rPr>
              <w:t>Planned investments for 2026.</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785FDF0" w14:textId="77777777" w:rsidR="0094644B" w:rsidRPr="00FA3F57" w:rsidRDefault="0094644B" w:rsidP="00FB5086">
            <w:pPr>
              <w:rPr>
                <w:sz w:val="20"/>
                <w:szCs w:val="20"/>
              </w:rPr>
            </w:pPr>
            <w:r w:rsidRPr="00F07779">
              <w:rPr>
                <w:sz w:val="20"/>
                <w:szCs w:val="20"/>
              </w:rPr>
              <w:t>19,815 (budget RS)</w:t>
            </w:r>
          </w:p>
        </w:tc>
      </w:tr>
      <w:tr w:rsidR="0094644B" w:rsidRPr="00F07779" w14:paraId="04DAD8F3"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CA7EB72" w14:textId="77777777" w:rsidR="0094644B" w:rsidRPr="00FA3F57" w:rsidRDefault="0094644B" w:rsidP="00FB5086">
            <w:pPr>
              <w:rPr>
                <w:sz w:val="20"/>
                <w:szCs w:val="20"/>
              </w:rPr>
            </w:pPr>
            <w:r w:rsidRPr="00FA3F57">
              <w:rPr>
                <w:sz w:val="20"/>
                <w:szCs w:val="20"/>
              </w:rPr>
              <w:t>Planned investments for 2027.</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1005573" w14:textId="77777777" w:rsidR="0094644B" w:rsidRPr="00FA3F57" w:rsidRDefault="0094644B" w:rsidP="00FB5086">
            <w:pPr>
              <w:rPr>
                <w:sz w:val="20"/>
                <w:szCs w:val="20"/>
              </w:rPr>
            </w:pPr>
            <w:r w:rsidRPr="00FA3F57">
              <w:rPr>
                <w:sz w:val="20"/>
                <w:szCs w:val="20"/>
              </w:rPr>
              <w:t>7,445 (budget RS)</w:t>
            </w:r>
          </w:p>
        </w:tc>
      </w:tr>
      <w:tr w:rsidR="0094644B" w:rsidRPr="00F07779" w14:paraId="13067A93"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AC19048" w14:textId="77777777" w:rsidR="0094644B" w:rsidRPr="00FA3F57" w:rsidRDefault="0094644B" w:rsidP="00FB5086">
            <w:pPr>
              <w:rPr>
                <w:sz w:val="20"/>
                <w:szCs w:val="20"/>
              </w:rPr>
            </w:pPr>
            <w:r w:rsidRPr="00FA3F57">
              <w:rPr>
                <w:sz w:val="20"/>
                <w:szCs w:val="20"/>
              </w:rPr>
              <w:t>Planned investments for 2028.</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EC913B9" w14:textId="77777777" w:rsidR="0094644B" w:rsidRPr="00FA3F57" w:rsidRDefault="0094644B" w:rsidP="00FB5086">
            <w:pPr>
              <w:rPr>
                <w:sz w:val="20"/>
                <w:szCs w:val="20"/>
              </w:rPr>
            </w:pPr>
            <w:r w:rsidRPr="00FA3F57">
              <w:rPr>
                <w:sz w:val="20"/>
                <w:szCs w:val="20"/>
              </w:rPr>
              <w:t>9,673 (budget RS)</w:t>
            </w:r>
          </w:p>
        </w:tc>
      </w:tr>
    </w:tbl>
    <w:p w14:paraId="7A990F1F" w14:textId="77777777" w:rsidR="0094644B" w:rsidRPr="00F07779" w:rsidRDefault="0094644B" w:rsidP="0094644B">
      <w:pPr>
        <w:tabs>
          <w:tab w:val="left" w:pos="1276"/>
          <w:tab w:val="left" w:pos="1560"/>
        </w:tabs>
        <w:ind w:left="1440" w:hanging="1440"/>
      </w:pPr>
    </w:p>
    <w:tbl>
      <w:tblPr>
        <w:tblStyle w:val="TableGrid"/>
        <w:tblW w:w="0" w:type="auto"/>
        <w:tblLook w:val="04A0" w:firstRow="1" w:lastRow="0" w:firstColumn="1" w:lastColumn="0" w:noHBand="0" w:noVBand="1"/>
      </w:tblPr>
      <w:tblGrid>
        <w:gridCol w:w="2973"/>
        <w:gridCol w:w="5667"/>
      </w:tblGrid>
      <w:tr w:rsidR="0094644B" w:rsidRPr="00F07779" w14:paraId="599EAA14"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CE62187" w14:textId="77777777" w:rsidR="0094644B" w:rsidRPr="00FA3F57" w:rsidRDefault="0094644B" w:rsidP="00FB5086">
            <w:pPr>
              <w:rPr>
                <w:sz w:val="20"/>
                <w:szCs w:val="20"/>
              </w:rPr>
            </w:pPr>
            <w:r w:rsidRPr="00FA3F57">
              <w:rPr>
                <w:sz w:val="20"/>
                <w:szCs w:val="20"/>
              </w:rPr>
              <w:t>Activity EL1.2</w:t>
            </w:r>
          </w:p>
        </w:tc>
        <w:tc>
          <w:tcPr>
            <w:tcW w:w="566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3A12F42" w14:textId="77777777" w:rsidR="0094644B" w:rsidRPr="00FA3F57" w:rsidRDefault="0094644B" w:rsidP="00FB5086">
            <w:pPr>
              <w:rPr>
                <w:sz w:val="20"/>
                <w:szCs w:val="20"/>
              </w:rPr>
            </w:pPr>
            <w:r w:rsidRPr="00FA3F57">
              <w:rPr>
                <w:sz w:val="20"/>
                <w:szCs w:val="20"/>
              </w:rPr>
              <w:t>Investment projects focused on the reconstruction and construction of the transmission network</w:t>
            </w:r>
          </w:p>
        </w:tc>
      </w:tr>
      <w:tr w:rsidR="0094644B" w:rsidRPr="00F07779" w14:paraId="688F9EDA"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36EF9676" w14:textId="77777777" w:rsidR="0094644B" w:rsidRPr="00FA3F57" w:rsidRDefault="0094644B" w:rsidP="00FB5086">
            <w:pPr>
              <w:rPr>
                <w:sz w:val="20"/>
                <w:szCs w:val="20"/>
              </w:rPr>
            </w:pPr>
            <w:r w:rsidRPr="00FA3F57">
              <w:rPr>
                <w:sz w:val="20"/>
                <w:szCs w:val="20"/>
              </w:rPr>
              <w:t>Name of the project</w:t>
            </w:r>
          </w:p>
        </w:tc>
        <w:tc>
          <w:tcPr>
            <w:tcW w:w="5667"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206BF480" w14:textId="77777777" w:rsidR="0094644B" w:rsidRPr="00FA3F57" w:rsidRDefault="0094644B" w:rsidP="00FB5086">
            <w:pPr>
              <w:rPr>
                <w:sz w:val="20"/>
                <w:szCs w:val="20"/>
              </w:rPr>
            </w:pPr>
            <w:r w:rsidRPr="00FA3F57">
              <w:rPr>
                <w:sz w:val="20"/>
                <w:szCs w:val="20"/>
              </w:rPr>
              <w:t>Pannonian Corridor</w:t>
            </w:r>
          </w:p>
        </w:tc>
      </w:tr>
      <w:tr w:rsidR="0094644B" w:rsidRPr="00F07779" w14:paraId="6DAC2CCD"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8CDEE8E" w14:textId="77777777" w:rsidR="0094644B" w:rsidRPr="00FA3F57" w:rsidRDefault="0094644B" w:rsidP="00FB5086">
            <w:pPr>
              <w:rPr>
                <w:sz w:val="20"/>
                <w:szCs w:val="20"/>
              </w:rPr>
            </w:pPr>
            <w:r w:rsidRPr="00FA3F57">
              <w:rPr>
                <w:sz w:val="20"/>
                <w:szCs w:val="20"/>
              </w:rPr>
              <w:t xml:space="preserve">Name of the </w:t>
            </w:r>
            <w:r w:rsidRPr="00F07779">
              <w:rPr>
                <w:sz w:val="20"/>
                <w:szCs w:val="20"/>
              </w:rPr>
              <w:t>investment</w:t>
            </w:r>
          </w:p>
        </w:tc>
        <w:tc>
          <w:tcPr>
            <w:tcW w:w="566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F45A3DD" w14:textId="77777777" w:rsidR="0094644B" w:rsidRPr="00FA3F57" w:rsidRDefault="0094644B" w:rsidP="00FB5086">
            <w:pPr>
              <w:rPr>
                <w:sz w:val="20"/>
                <w:szCs w:val="20"/>
              </w:rPr>
            </w:pPr>
            <w:r w:rsidRPr="00F07779">
              <w:rPr>
                <w:sz w:val="20"/>
                <w:szCs w:val="20"/>
              </w:rPr>
              <w:t xml:space="preserve">TS 400/220/110 </w:t>
            </w:r>
            <w:proofErr w:type="gramStart"/>
            <w:r w:rsidRPr="00F07779">
              <w:rPr>
                <w:sz w:val="20"/>
                <w:szCs w:val="20"/>
              </w:rPr>
              <w:t xml:space="preserve">kV </w:t>
            </w:r>
            <w:r w:rsidRPr="00FA3F57">
              <w:rPr>
                <w:sz w:val="20"/>
                <w:szCs w:val="20"/>
              </w:rPr>
              <w:t xml:space="preserve"> </w:t>
            </w:r>
            <w:r w:rsidRPr="00F07779">
              <w:rPr>
                <w:sz w:val="20"/>
                <w:szCs w:val="20"/>
              </w:rPr>
              <w:t>Sremska</w:t>
            </w:r>
            <w:proofErr w:type="gramEnd"/>
            <w:r w:rsidRPr="00F07779">
              <w:rPr>
                <w:sz w:val="20"/>
                <w:szCs w:val="20"/>
              </w:rPr>
              <w:t xml:space="preserve"> Mitrovica 2, equipping two double-circuit line bays</w:t>
            </w:r>
          </w:p>
        </w:tc>
      </w:tr>
      <w:tr w:rsidR="0094644B" w:rsidRPr="00F07779" w14:paraId="3909C7FC"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13F944F" w14:textId="77777777" w:rsidR="0094644B" w:rsidRPr="00FA3F57" w:rsidRDefault="0094644B" w:rsidP="00FB5086">
            <w:pPr>
              <w:rPr>
                <w:sz w:val="20"/>
                <w:szCs w:val="20"/>
              </w:rPr>
            </w:pPr>
            <w:r w:rsidRPr="00FA3F57">
              <w:rPr>
                <w:sz w:val="20"/>
                <w:szCs w:val="20"/>
              </w:rPr>
              <w:t>Short description of the investment</w:t>
            </w:r>
          </w:p>
        </w:tc>
        <w:tc>
          <w:tcPr>
            <w:tcW w:w="56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F295A76" w14:textId="77777777" w:rsidR="0094644B" w:rsidRPr="00FA3F57" w:rsidRDefault="0094644B" w:rsidP="00FB5086">
            <w:pPr>
              <w:rPr>
                <w:sz w:val="20"/>
                <w:szCs w:val="20"/>
              </w:rPr>
            </w:pPr>
            <w:r w:rsidRPr="00F07779">
              <w:rPr>
                <w:sz w:val="20"/>
                <w:szCs w:val="20"/>
              </w:rPr>
              <w:t xml:space="preserve">Equipping two double-circuit line bays at TS Sremska Mitrovica 2.  </w:t>
            </w:r>
            <w:r w:rsidRPr="00FA3F57">
              <w:rPr>
                <w:sz w:val="20"/>
                <w:szCs w:val="20"/>
              </w:rPr>
              <w:t>Expected dynamics of project implementation:</w:t>
            </w:r>
          </w:p>
          <w:p w14:paraId="708050CF" w14:textId="77777777" w:rsidR="0094644B" w:rsidRPr="00FA3F57" w:rsidRDefault="0094644B" w:rsidP="00FB5086">
            <w:pPr>
              <w:rPr>
                <w:sz w:val="20"/>
                <w:szCs w:val="20"/>
              </w:rPr>
            </w:pPr>
            <w:r w:rsidRPr="00FA3F57">
              <w:rPr>
                <w:sz w:val="20"/>
                <w:szCs w:val="20"/>
              </w:rPr>
              <w:t>2026. Location conditions</w:t>
            </w:r>
          </w:p>
          <w:p w14:paraId="05A908D1" w14:textId="77777777" w:rsidR="0094644B" w:rsidRPr="00FA3F57" w:rsidRDefault="0094644B" w:rsidP="00FB5086">
            <w:pPr>
              <w:rPr>
                <w:sz w:val="20"/>
                <w:szCs w:val="20"/>
              </w:rPr>
            </w:pPr>
            <w:r w:rsidRPr="00FA3F57">
              <w:rPr>
                <w:sz w:val="20"/>
                <w:szCs w:val="20"/>
              </w:rPr>
              <w:t>2027. Preliminary design</w:t>
            </w:r>
          </w:p>
          <w:p w14:paraId="40C3F7E4" w14:textId="77777777" w:rsidR="0094644B" w:rsidRPr="00FA3F57" w:rsidRDefault="0094644B" w:rsidP="00FB5086">
            <w:pPr>
              <w:rPr>
                <w:sz w:val="20"/>
                <w:szCs w:val="20"/>
              </w:rPr>
            </w:pPr>
            <w:r w:rsidRPr="00FA3F57">
              <w:rPr>
                <w:sz w:val="20"/>
                <w:szCs w:val="20"/>
              </w:rPr>
              <w:t>2028. Building permit</w:t>
            </w:r>
          </w:p>
        </w:tc>
      </w:tr>
      <w:tr w:rsidR="0094644B" w:rsidRPr="00F07779" w14:paraId="7D235872"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749E670" w14:textId="77777777" w:rsidR="0094644B" w:rsidRPr="00FA3F57" w:rsidRDefault="0094644B" w:rsidP="00FB5086">
            <w:pPr>
              <w:rPr>
                <w:sz w:val="20"/>
                <w:szCs w:val="20"/>
              </w:rPr>
            </w:pPr>
            <w:r w:rsidRPr="00FA3F57">
              <w:rPr>
                <w:sz w:val="20"/>
                <w:szCs w:val="20"/>
              </w:rPr>
              <w:t>Institutions responsible for the implementation of measures and activities</w:t>
            </w:r>
          </w:p>
        </w:tc>
        <w:tc>
          <w:tcPr>
            <w:tcW w:w="56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91A32FF" w14:textId="77777777" w:rsidR="0094644B" w:rsidRPr="00FA3F57" w:rsidRDefault="0094644B" w:rsidP="00FB5086">
            <w:pPr>
              <w:rPr>
                <w:sz w:val="20"/>
                <w:szCs w:val="20"/>
              </w:rPr>
            </w:pPr>
            <w:r w:rsidRPr="00FA3F57">
              <w:rPr>
                <w:sz w:val="20"/>
                <w:szCs w:val="20"/>
              </w:rPr>
              <w:t>EMS JSC Belgrade</w:t>
            </w:r>
          </w:p>
        </w:tc>
      </w:tr>
      <w:tr w:rsidR="0094644B" w:rsidRPr="00F07779" w14:paraId="3FC15FFE"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004F856" w14:textId="77777777" w:rsidR="0094644B" w:rsidRPr="00FA3F57" w:rsidRDefault="0094644B" w:rsidP="00FB5086">
            <w:pPr>
              <w:rPr>
                <w:sz w:val="20"/>
                <w:szCs w:val="20"/>
              </w:rPr>
            </w:pPr>
            <w:r w:rsidRPr="00FA3F57">
              <w:rPr>
                <w:sz w:val="20"/>
                <w:szCs w:val="20"/>
              </w:rPr>
              <w:t>Institutions responsible for monitoring implementation and reporting on the realization</w:t>
            </w:r>
          </w:p>
        </w:tc>
        <w:tc>
          <w:tcPr>
            <w:tcW w:w="56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9B7DCDF" w14:textId="77777777" w:rsidR="0094644B" w:rsidRPr="00F07779" w:rsidRDefault="0094644B" w:rsidP="00FB5086">
            <w:pPr>
              <w:rPr>
                <w:sz w:val="20"/>
                <w:szCs w:val="20"/>
              </w:rPr>
            </w:pPr>
            <w:r w:rsidRPr="00FA3F57">
              <w:rPr>
                <w:sz w:val="20"/>
                <w:szCs w:val="20"/>
              </w:rPr>
              <w:t>EMS JSC Belgrade</w:t>
            </w:r>
          </w:p>
          <w:p w14:paraId="4DA14ADA" w14:textId="77777777" w:rsidR="0094644B" w:rsidRPr="00FA3F57" w:rsidRDefault="0094644B" w:rsidP="00FB5086">
            <w:pPr>
              <w:rPr>
                <w:sz w:val="20"/>
                <w:szCs w:val="20"/>
              </w:rPr>
            </w:pPr>
            <w:r w:rsidRPr="00FA3F57">
              <w:rPr>
                <w:sz w:val="20"/>
                <w:szCs w:val="20"/>
              </w:rPr>
              <w:t>Ministry of Mining and Energy</w:t>
            </w:r>
          </w:p>
        </w:tc>
      </w:tr>
      <w:tr w:rsidR="0094644B" w:rsidRPr="00F07779" w14:paraId="4FD8D3CA"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88C6218" w14:textId="77777777" w:rsidR="0094644B" w:rsidRPr="00FA3F57" w:rsidRDefault="0094644B" w:rsidP="00FB5086">
            <w:pPr>
              <w:rPr>
                <w:sz w:val="20"/>
                <w:szCs w:val="20"/>
              </w:rPr>
            </w:pPr>
            <w:r w:rsidRPr="00FA3F57">
              <w:rPr>
                <w:sz w:val="20"/>
                <w:szCs w:val="20"/>
              </w:rPr>
              <w:t>Year of project funding start</w:t>
            </w:r>
          </w:p>
        </w:tc>
        <w:tc>
          <w:tcPr>
            <w:tcW w:w="56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C9C3638" w14:textId="77777777" w:rsidR="0094644B" w:rsidRPr="00FA3F57" w:rsidRDefault="0094644B" w:rsidP="00FB5086">
            <w:pPr>
              <w:rPr>
                <w:sz w:val="20"/>
                <w:szCs w:val="20"/>
              </w:rPr>
            </w:pPr>
            <w:r w:rsidRPr="00FA3F57">
              <w:rPr>
                <w:sz w:val="20"/>
                <w:szCs w:val="20"/>
              </w:rPr>
              <w:t>2023.</w:t>
            </w:r>
          </w:p>
        </w:tc>
      </w:tr>
      <w:tr w:rsidR="0094644B" w:rsidRPr="00F07779" w14:paraId="0EC829D0"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C41D73B" w14:textId="77777777" w:rsidR="0094644B" w:rsidRPr="00FA3F57" w:rsidRDefault="0094644B" w:rsidP="00FB5086">
            <w:pPr>
              <w:rPr>
                <w:sz w:val="20"/>
                <w:szCs w:val="20"/>
              </w:rPr>
            </w:pPr>
            <w:r w:rsidRPr="00FA3F57">
              <w:rPr>
                <w:sz w:val="20"/>
                <w:szCs w:val="20"/>
              </w:rPr>
              <w:t>Year of completion of project funding</w:t>
            </w:r>
          </w:p>
        </w:tc>
        <w:tc>
          <w:tcPr>
            <w:tcW w:w="56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4EACD06" w14:textId="77777777" w:rsidR="0094644B" w:rsidRPr="00FA3F57" w:rsidRDefault="0094644B" w:rsidP="00FB5086">
            <w:pPr>
              <w:rPr>
                <w:sz w:val="20"/>
                <w:szCs w:val="20"/>
              </w:rPr>
            </w:pPr>
            <w:r w:rsidRPr="00FA3F57">
              <w:rPr>
                <w:sz w:val="20"/>
                <w:szCs w:val="20"/>
              </w:rPr>
              <w:t>2030.</w:t>
            </w:r>
          </w:p>
        </w:tc>
      </w:tr>
      <w:tr w:rsidR="0094644B" w:rsidRPr="00F07779" w14:paraId="2A3DA78A"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FF8C0BE" w14:textId="77777777" w:rsidR="0094644B" w:rsidRPr="00FA3F57" w:rsidRDefault="0094644B" w:rsidP="00FB5086">
            <w:pPr>
              <w:rPr>
                <w:sz w:val="20"/>
                <w:szCs w:val="20"/>
              </w:rPr>
            </w:pPr>
            <w:r w:rsidRPr="00FA3F57">
              <w:rPr>
                <w:sz w:val="20"/>
                <w:szCs w:val="20"/>
              </w:rPr>
              <w:t>Total project value</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5070AFE" w14:textId="77777777" w:rsidR="0094644B" w:rsidRPr="00FA3F57" w:rsidRDefault="0094644B" w:rsidP="00FB5086">
            <w:pPr>
              <w:rPr>
                <w:sz w:val="20"/>
                <w:szCs w:val="20"/>
              </w:rPr>
            </w:pPr>
            <w:r w:rsidRPr="00FA3F57">
              <w:rPr>
                <w:sz w:val="20"/>
                <w:szCs w:val="20"/>
              </w:rPr>
              <w:t>286,090 (2.44 million EUR)</w:t>
            </w:r>
          </w:p>
        </w:tc>
      </w:tr>
      <w:tr w:rsidR="0094644B" w:rsidRPr="00F07779" w14:paraId="3C1FB445"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A5116F4" w14:textId="77777777" w:rsidR="0094644B" w:rsidRPr="00FA3F57" w:rsidRDefault="0094644B" w:rsidP="00FB5086">
            <w:pPr>
              <w:rPr>
                <w:sz w:val="20"/>
                <w:szCs w:val="20"/>
              </w:rPr>
            </w:pPr>
            <w:r w:rsidRPr="00FA3F57">
              <w:rPr>
                <w:sz w:val="20"/>
                <w:szCs w:val="20"/>
              </w:rPr>
              <w:t>Planned investments for 2026.</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3EA3C7F" w14:textId="77777777" w:rsidR="0094644B" w:rsidRPr="00FA3F57" w:rsidRDefault="0094644B" w:rsidP="00FB5086">
            <w:pPr>
              <w:rPr>
                <w:sz w:val="20"/>
                <w:szCs w:val="20"/>
              </w:rPr>
            </w:pPr>
            <w:r w:rsidRPr="00FA3F57">
              <w:rPr>
                <w:sz w:val="20"/>
                <w:szCs w:val="20"/>
              </w:rPr>
              <w:t>1,987 (budget RS)</w:t>
            </w:r>
          </w:p>
        </w:tc>
      </w:tr>
      <w:tr w:rsidR="0094644B" w:rsidRPr="00F07779" w14:paraId="74CF4283"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75396A1" w14:textId="77777777" w:rsidR="0094644B" w:rsidRPr="00FA3F57" w:rsidRDefault="0094644B" w:rsidP="00FB5086">
            <w:pPr>
              <w:rPr>
                <w:sz w:val="20"/>
                <w:szCs w:val="20"/>
              </w:rPr>
            </w:pPr>
            <w:r w:rsidRPr="00FA3F57">
              <w:rPr>
                <w:sz w:val="20"/>
                <w:szCs w:val="20"/>
              </w:rPr>
              <w:t>Planned investments for 2027.</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CC676FA" w14:textId="77777777" w:rsidR="0094644B" w:rsidRPr="00FA3F57" w:rsidRDefault="0094644B" w:rsidP="00FB5086">
            <w:pPr>
              <w:rPr>
                <w:sz w:val="20"/>
                <w:szCs w:val="20"/>
              </w:rPr>
            </w:pPr>
            <w:r w:rsidRPr="00FA3F57">
              <w:rPr>
                <w:sz w:val="20"/>
                <w:szCs w:val="20"/>
              </w:rPr>
              <w:t>7,445 (budget RS)</w:t>
            </w:r>
          </w:p>
        </w:tc>
      </w:tr>
      <w:tr w:rsidR="0094644B" w:rsidRPr="00F07779" w14:paraId="45FA1281"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E3798CB" w14:textId="77777777" w:rsidR="0094644B" w:rsidRPr="00FA3F57" w:rsidRDefault="0094644B" w:rsidP="00FB5086">
            <w:pPr>
              <w:rPr>
                <w:sz w:val="20"/>
                <w:szCs w:val="20"/>
              </w:rPr>
            </w:pPr>
            <w:r w:rsidRPr="00FA3F57">
              <w:rPr>
                <w:sz w:val="20"/>
                <w:szCs w:val="20"/>
              </w:rPr>
              <w:t>Planned investments for 2028.</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5ED91AA" w14:textId="77777777" w:rsidR="0094644B" w:rsidRPr="00FA3F57" w:rsidRDefault="0094644B" w:rsidP="00FB5086">
            <w:pPr>
              <w:rPr>
                <w:sz w:val="20"/>
                <w:szCs w:val="20"/>
              </w:rPr>
            </w:pPr>
            <w:r w:rsidRPr="00FA3F57">
              <w:rPr>
                <w:sz w:val="20"/>
                <w:szCs w:val="20"/>
              </w:rPr>
              <w:t>9,771 (budget RS)</w:t>
            </w:r>
          </w:p>
        </w:tc>
      </w:tr>
    </w:tbl>
    <w:p w14:paraId="25A4C059" w14:textId="77777777" w:rsidR="0094644B" w:rsidRPr="00F07779" w:rsidRDefault="0094644B" w:rsidP="0094644B">
      <w:pPr>
        <w:tabs>
          <w:tab w:val="left" w:pos="1276"/>
          <w:tab w:val="left" w:pos="1560"/>
        </w:tabs>
        <w:ind w:left="1440" w:hanging="1440"/>
      </w:pPr>
    </w:p>
    <w:tbl>
      <w:tblPr>
        <w:tblStyle w:val="TableGrid"/>
        <w:tblW w:w="0" w:type="auto"/>
        <w:tblLook w:val="04A0" w:firstRow="1" w:lastRow="0" w:firstColumn="1" w:lastColumn="0" w:noHBand="0" w:noVBand="1"/>
      </w:tblPr>
      <w:tblGrid>
        <w:gridCol w:w="2973"/>
        <w:gridCol w:w="5667"/>
      </w:tblGrid>
      <w:tr w:rsidR="0094644B" w:rsidRPr="00F07779" w14:paraId="3F756BCC"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C73D5DF" w14:textId="77777777" w:rsidR="0094644B" w:rsidRPr="00FA3F57" w:rsidRDefault="0094644B" w:rsidP="00FB5086">
            <w:pPr>
              <w:rPr>
                <w:sz w:val="20"/>
                <w:szCs w:val="20"/>
              </w:rPr>
            </w:pPr>
            <w:r w:rsidRPr="00FA3F57">
              <w:rPr>
                <w:sz w:val="20"/>
                <w:szCs w:val="20"/>
              </w:rPr>
              <w:t>Activity EL1.2</w:t>
            </w:r>
          </w:p>
        </w:tc>
        <w:tc>
          <w:tcPr>
            <w:tcW w:w="566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2E0A70D" w14:textId="77777777" w:rsidR="0094644B" w:rsidRPr="00FA3F57" w:rsidRDefault="0094644B" w:rsidP="00FB5086">
            <w:pPr>
              <w:rPr>
                <w:sz w:val="20"/>
                <w:szCs w:val="20"/>
              </w:rPr>
            </w:pPr>
            <w:r w:rsidRPr="00FA3F57">
              <w:rPr>
                <w:sz w:val="20"/>
                <w:szCs w:val="20"/>
              </w:rPr>
              <w:t>Investment projects focused on the reconstruction and construction of the transmission network</w:t>
            </w:r>
          </w:p>
        </w:tc>
      </w:tr>
      <w:tr w:rsidR="0094644B" w:rsidRPr="00F07779" w14:paraId="1EC3E195"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16B5554B" w14:textId="77777777" w:rsidR="0094644B" w:rsidRPr="00FA3F57" w:rsidRDefault="0094644B" w:rsidP="00FB5086">
            <w:pPr>
              <w:rPr>
                <w:sz w:val="20"/>
                <w:szCs w:val="20"/>
              </w:rPr>
            </w:pPr>
            <w:r w:rsidRPr="00FA3F57">
              <w:rPr>
                <w:sz w:val="20"/>
                <w:szCs w:val="20"/>
              </w:rPr>
              <w:t>Name of the project</w:t>
            </w:r>
          </w:p>
        </w:tc>
        <w:tc>
          <w:tcPr>
            <w:tcW w:w="5667"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4595CC1A" w14:textId="77777777" w:rsidR="0094644B" w:rsidRPr="00FA3F57" w:rsidRDefault="0094644B" w:rsidP="00FB5086">
            <w:pPr>
              <w:rPr>
                <w:sz w:val="20"/>
                <w:szCs w:val="20"/>
              </w:rPr>
            </w:pPr>
            <w:r w:rsidRPr="00FA3F57">
              <w:rPr>
                <w:sz w:val="20"/>
                <w:szCs w:val="20"/>
              </w:rPr>
              <w:t>Pannonian Corridor</w:t>
            </w:r>
          </w:p>
        </w:tc>
      </w:tr>
      <w:tr w:rsidR="0094644B" w:rsidRPr="00F07779" w14:paraId="3186DD0F"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BB1C654" w14:textId="77777777" w:rsidR="0094644B" w:rsidRPr="00FA3F57" w:rsidRDefault="0094644B" w:rsidP="00FB5086">
            <w:pPr>
              <w:rPr>
                <w:sz w:val="20"/>
                <w:szCs w:val="20"/>
              </w:rPr>
            </w:pPr>
            <w:r w:rsidRPr="00FA3F57">
              <w:rPr>
                <w:sz w:val="20"/>
                <w:szCs w:val="20"/>
              </w:rPr>
              <w:t xml:space="preserve">Name of the </w:t>
            </w:r>
            <w:r w:rsidRPr="00F07779">
              <w:rPr>
                <w:sz w:val="20"/>
                <w:szCs w:val="20"/>
              </w:rPr>
              <w:t>investment</w:t>
            </w:r>
          </w:p>
        </w:tc>
        <w:tc>
          <w:tcPr>
            <w:tcW w:w="566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E125D01" w14:textId="77777777" w:rsidR="0094644B" w:rsidRPr="00FA3F57" w:rsidRDefault="0094644B" w:rsidP="00FB5086">
            <w:pPr>
              <w:rPr>
                <w:sz w:val="20"/>
                <w:szCs w:val="20"/>
              </w:rPr>
            </w:pPr>
            <w:r w:rsidRPr="00F07779">
              <w:rPr>
                <w:sz w:val="20"/>
                <w:szCs w:val="20"/>
              </w:rPr>
              <w:t xml:space="preserve">400/110 kV TS Belgrade 50, equipping two OHL bays </w:t>
            </w:r>
          </w:p>
        </w:tc>
      </w:tr>
      <w:tr w:rsidR="0094644B" w:rsidRPr="00F07779" w14:paraId="234FBB4C"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DDB5F4B" w14:textId="77777777" w:rsidR="0094644B" w:rsidRPr="00FA3F57" w:rsidRDefault="0094644B" w:rsidP="00FB5086">
            <w:pPr>
              <w:rPr>
                <w:sz w:val="20"/>
                <w:szCs w:val="20"/>
              </w:rPr>
            </w:pPr>
            <w:r w:rsidRPr="00FA3F57">
              <w:rPr>
                <w:sz w:val="20"/>
                <w:szCs w:val="20"/>
              </w:rPr>
              <w:t>Short description of the investment</w:t>
            </w:r>
          </w:p>
        </w:tc>
        <w:tc>
          <w:tcPr>
            <w:tcW w:w="56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3E387BB" w14:textId="77777777" w:rsidR="0094644B" w:rsidRPr="00F07779" w:rsidRDefault="0094644B" w:rsidP="00FB5086">
            <w:pPr>
              <w:rPr>
                <w:sz w:val="20"/>
                <w:szCs w:val="20"/>
              </w:rPr>
            </w:pPr>
            <w:r w:rsidRPr="00F07779">
              <w:rPr>
                <w:sz w:val="20"/>
                <w:szCs w:val="20"/>
              </w:rPr>
              <w:t>Equipping two OHL bays at TS Belgrade 50.</w:t>
            </w:r>
          </w:p>
          <w:p w14:paraId="4ADACF59" w14:textId="77777777" w:rsidR="0094644B" w:rsidRPr="00FA3F57" w:rsidRDefault="0094644B" w:rsidP="00FB5086">
            <w:pPr>
              <w:rPr>
                <w:sz w:val="20"/>
                <w:szCs w:val="20"/>
              </w:rPr>
            </w:pPr>
            <w:r w:rsidRPr="00FA3F57">
              <w:rPr>
                <w:sz w:val="20"/>
                <w:szCs w:val="20"/>
              </w:rPr>
              <w:t>Expected dynamics of project implementation:</w:t>
            </w:r>
          </w:p>
          <w:p w14:paraId="47516EEF" w14:textId="77777777" w:rsidR="0094644B" w:rsidRPr="00FA3F57" w:rsidRDefault="0094644B" w:rsidP="00FB5086">
            <w:pPr>
              <w:rPr>
                <w:sz w:val="20"/>
                <w:szCs w:val="20"/>
              </w:rPr>
            </w:pPr>
            <w:r w:rsidRPr="00FA3F57">
              <w:rPr>
                <w:sz w:val="20"/>
                <w:szCs w:val="20"/>
              </w:rPr>
              <w:t>2026. Location conditions</w:t>
            </w:r>
          </w:p>
          <w:p w14:paraId="1A19AC5B" w14:textId="77777777" w:rsidR="0094644B" w:rsidRPr="00FA3F57" w:rsidRDefault="0094644B" w:rsidP="00FB5086">
            <w:pPr>
              <w:rPr>
                <w:sz w:val="20"/>
                <w:szCs w:val="20"/>
              </w:rPr>
            </w:pPr>
            <w:r w:rsidRPr="00FA3F57">
              <w:rPr>
                <w:sz w:val="20"/>
                <w:szCs w:val="20"/>
              </w:rPr>
              <w:t>2027. Preliminary design</w:t>
            </w:r>
          </w:p>
          <w:p w14:paraId="65F5D741" w14:textId="77777777" w:rsidR="0094644B" w:rsidRPr="00FA3F57" w:rsidRDefault="0094644B" w:rsidP="00FB5086">
            <w:pPr>
              <w:rPr>
                <w:sz w:val="20"/>
                <w:szCs w:val="20"/>
              </w:rPr>
            </w:pPr>
            <w:r w:rsidRPr="00FA3F57">
              <w:rPr>
                <w:sz w:val="20"/>
                <w:szCs w:val="20"/>
              </w:rPr>
              <w:t>2028. Building permit</w:t>
            </w:r>
          </w:p>
        </w:tc>
      </w:tr>
      <w:tr w:rsidR="0094644B" w:rsidRPr="00F07779" w14:paraId="54EF4FCB"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4D10E8D" w14:textId="77777777" w:rsidR="0094644B" w:rsidRPr="00FA3F57" w:rsidRDefault="0094644B" w:rsidP="00FB5086">
            <w:pPr>
              <w:rPr>
                <w:sz w:val="20"/>
                <w:szCs w:val="20"/>
              </w:rPr>
            </w:pPr>
            <w:r w:rsidRPr="00FA3F57">
              <w:rPr>
                <w:sz w:val="20"/>
                <w:szCs w:val="20"/>
              </w:rPr>
              <w:t>Institutions responsible for the implementation of measures and activities</w:t>
            </w:r>
          </w:p>
        </w:tc>
        <w:tc>
          <w:tcPr>
            <w:tcW w:w="56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3281D0D" w14:textId="77777777" w:rsidR="0094644B" w:rsidRPr="00FA3F57" w:rsidRDefault="0094644B" w:rsidP="00FB5086">
            <w:pPr>
              <w:rPr>
                <w:sz w:val="20"/>
                <w:szCs w:val="20"/>
              </w:rPr>
            </w:pPr>
            <w:r w:rsidRPr="00FA3F57">
              <w:rPr>
                <w:sz w:val="20"/>
                <w:szCs w:val="20"/>
              </w:rPr>
              <w:t>EMS JSC Belgrade</w:t>
            </w:r>
          </w:p>
        </w:tc>
      </w:tr>
      <w:tr w:rsidR="0094644B" w:rsidRPr="00F07779" w14:paraId="3EC551D9"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BD4F0F0" w14:textId="77777777" w:rsidR="0094644B" w:rsidRPr="00FA3F57" w:rsidRDefault="0094644B" w:rsidP="00FB5086">
            <w:pPr>
              <w:rPr>
                <w:sz w:val="20"/>
                <w:szCs w:val="20"/>
              </w:rPr>
            </w:pPr>
            <w:r w:rsidRPr="00FA3F57">
              <w:rPr>
                <w:sz w:val="20"/>
                <w:szCs w:val="20"/>
              </w:rPr>
              <w:t>Institutions responsible for monitoring implementation and reporting on the realization</w:t>
            </w:r>
          </w:p>
        </w:tc>
        <w:tc>
          <w:tcPr>
            <w:tcW w:w="56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32C315B" w14:textId="77777777" w:rsidR="0094644B" w:rsidRPr="00F07779" w:rsidRDefault="0094644B" w:rsidP="00FB5086">
            <w:pPr>
              <w:rPr>
                <w:sz w:val="20"/>
                <w:szCs w:val="20"/>
              </w:rPr>
            </w:pPr>
            <w:r w:rsidRPr="00FA3F57">
              <w:rPr>
                <w:sz w:val="20"/>
                <w:szCs w:val="20"/>
              </w:rPr>
              <w:t>EMS JSC Belgrade</w:t>
            </w:r>
          </w:p>
          <w:p w14:paraId="416E47CD" w14:textId="77777777" w:rsidR="0094644B" w:rsidRPr="00FA3F57" w:rsidRDefault="0094644B" w:rsidP="00FB5086">
            <w:pPr>
              <w:rPr>
                <w:sz w:val="20"/>
                <w:szCs w:val="20"/>
              </w:rPr>
            </w:pPr>
            <w:r w:rsidRPr="00FA3F57">
              <w:rPr>
                <w:sz w:val="20"/>
                <w:szCs w:val="20"/>
              </w:rPr>
              <w:t>Ministry of Mining and Energy</w:t>
            </w:r>
          </w:p>
        </w:tc>
      </w:tr>
      <w:tr w:rsidR="0094644B" w:rsidRPr="00F07779" w14:paraId="71429F23"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2E1CB86" w14:textId="77777777" w:rsidR="0094644B" w:rsidRPr="00FA3F57" w:rsidRDefault="0094644B" w:rsidP="00FB5086">
            <w:pPr>
              <w:rPr>
                <w:sz w:val="20"/>
                <w:szCs w:val="20"/>
              </w:rPr>
            </w:pPr>
            <w:r w:rsidRPr="00FA3F57">
              <w:rPr>
                <w:sz w:val="20"/>
                <w:szCs w:val="20"/>
              </w:rPr>
              <w:t>Year of project funding start</w:t>
            </w:r>
          </w:p>
        </w:tc>
        <w:tc>
          <w:tcPr>
            <w:tcW w:w="56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B49976B" w14:textId="77777777" w:rsidR="0094644B" w:rsidRPr="00FA3F57" w:rsidRDefault="0094644B" w:rsidP="00FB5086">
            <w:pPr>
              <w:rPr>
                <w:sz w:val="20"/>
                <w:szCs w:val="20"/>
              </w:rPr>
            </w:pPr>
            <w:r w:rsidRPr="00FA3F57">
              <w:rPr>
                <w:sz w:val="20"/>
                <w:szCs w:val="20"/>
              </w:rPr>
              <w:t>2023.</w:t>
            </w:r>
          </w:p>
        </w:tc>
      </w:tr>
      <w:tr w:rsidR="0094644B" w:rsidRPr="00F07779" w14:paraId="54190D2B"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3DFF58E" w14:textId="77777777" w:rsidR="0094644B" w:rsidRPr="00FA3F57" w:rsidRDefault="0094644B" w:rsidP="00FB5086">
            <w:pPr>
              <w:rPr>
                <w:sz w:val="20"/>
                <w:szCs w:val="20"/>
              </w:rPr>
            </w:pPr>
            <w:r w:rsidRPr="00FA3F57">
              <w:rPr>
                <w:sz w:val="20"/>
                <w:szCs w:val="20"/>
              </w:rPr>
              <w:t>Year of completion of project funding</w:t>
            </w:r>
          </w:p>
        </w:tc>
        <w:tc>
          <w:tcPr>
            <w:tcW w:w="56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1DC1B88" w14:textId="77777777" w:rsidR="0094644B" w:rsidRPr="00FA3F57" w:rsidRDefault="0094644B" w:rsidP="00FB5086">
            <w:pPr>
              <w:rPr>
                <w:sz w:val="20"/>
                <w:szCs w:val="20"/>
              </w:rPr>
            </w:pPr>
            <w:r w:rsidRPr="00FA3F57">
              <w:rPr>
                <w:sz w:val="20"/>
                <w:szCs w:val="20"/>
              </w:rPr>
              <w:t>2030.</w:t>
            </w:r>
          </w:p>
        </w:tc>
      </w:tr>
      <w:tr w:rsidR="0094644B" w:rsidRPr="00F07779" w14:paraId="7138DEBC"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01AFF83" w14:textId="77777777" w:rsidR="0094644B" w:rsidRPr="00FA3F57" w:rsidRDefault="0094644B" w:rsidP="00FB5086">
            <w:pPr>
              <w:rPr>
                <w:sz w:val="20"/>
                <w:szCs w:val="20"/>
              </w:rPr>
            </w:pPr>
            <w:r w:rsidRPr="00FA3F57">
              <w:rPr>
                <w:sz w:val="20"/>
                <w:szCs w:val="20"/>
              </w:rPr>
              <w:lastRenderedPageBreak/>
              <w:t>Total project value</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6C93D14" w14:textId="77777777" w:rsidR="0094644B" w:rsidRPr="00FA3F57" w:rsidRDefault="0094644B" w:rsidP="00FB5086">
            <w:pPr>
              <w:rPr>
                <w:sz w:val="20"/>
                <w:szCs w:val="20"/>
              </w:rPr>
            </w:pPr>
            <w:r w:rsidRPr="00FA3F57">
              <w:rPr>
                <w:sz w:val="20"/>
                <w:szCs w:val="20"/>
              </w:rPr>
              <w:t>286,090 (2.44 million EUR)</w:t>
            </w:r>
          </w:p>
        </w:tc>
      </w:tr>
      <w:tr w:rsidR="0094644B" w:rsidRPr="00F07779" w14:paraId="01823E2B"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DC5D486" w14:textId="77777777" w:rsidR="0094644B" w:rsidRPr="00FA3F57" w:rsidRDefault="0094644B" w:rsidP="00FB5086">
            <w:pPr>
              <w:rPr>
                <w:sz w:val="20"/>
                <w:szCs w:val="20"/>
              </w:rPr>
            </w:pPr>
            <w:r w:rsidRPr="00FA3F57">
              <w:rPr>
                <w:sz w:val="20"/>
                <w:szCs w:val="20"/>
              </w:rPr>
              <w:t>Planned investments for 2026.</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976E6D5" w14:textId="77777777" w:rsidR="0094644B" w:rsidRPr="00FA3F57" w:rsidRDefault="0094644B" w:rsidP="00FB5086">
            <w:pPr>
              <w:rPr>
                <w:sz w:val="20"/>
                <w:szCs w:val="20"/>
              </w:rPr>
            </w:pPr>
            <w:r w:rsidRPr="00FA3F57">
              <w:rPr>
                <w:sz w:val="20"/>
                <w:szCs w:val="20"/>
              </w:rPr>
              <w:t>1,987 (budget RS)</w:t>
            </w:r>
          </w:p>
        </w:tc>
      </w:tr>
      <w:tr w:rsidR="0094644B" w:rsidRPr="00F07779" w14:paraId="47209E41"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C97A15A" w14:textId="77777777" w:rsidR="0094644B" w:rsidRPr="00FA3F57" w:rsidRDefault="0094644B" w:rsidP="00FB5086">
            <w:pPr>
              <w:rPr>
                <w:sz w:val="20"/>
                <w:szCs w:val="20"/>
              </w:rPr>
            </w:pPr>
            <w:r w:rsidRPr="00FA3F57">
              <w:rPr>
                <w:sz w:val="20"/>
                <w:szCs w:val="20"/>
              </w:rPr>
              <w:t>Planned investments for 2027.</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0160091" w14:textId="77777777" w:rsidR="0094644B" w:rsidRPr="00FA3F57" w:rsidRDefault="0094644B" w:rsidP="00FB5086">
            <w:pPr>
              <w:rPr>
                <w:sz w:val="20"/>
                <w:szCs w:val="20"/>
              </w:rPr>
            </w:pPr>
            <w:r w:rsidRPr="00FA3F57">
              <w:rPr>
                <w:sz w:val="20"/>
                <w:szCs w:val="20"/>
              </w:rPr>
              <w:t>7,445 (budget RS)</w:t>
            </w:r>
          </w:p>
        </w:tc>
      </w:tr>
      <w:tr w:rsidR="0094644B" w:rsidRPr="00F07779" w14:paraId="7363FC89"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49640CD0" w14:textId="77777777" w:rsidR="0094644B" w:rsidRPr="00FA3F57" w:rsidRDefault="0094644B" w:rsidP="00FB5086">
            <w:pPr>
              <w:rPr>
                <w:sz w:val="20"/>
                <w:szCs w:val="20"/>
              </w:rPr>
            </w:pPr>
            <w:r w:rsidRPr="00FA3F57">
              <w:rPr>
                <w:sz w:val="20"/>
                <w:szCs w:val="20"/>
              </w:rPr>
              <w:t>Planned investments for 2028.</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1E4C624E" w14:textId="77777777" w:rsidR="0094644B" w:rsidRPr="00FA3F57" w:rsidRDefault="0094644B" w:rsidP="00FB5086">
            <w:pPr>
              <w:rPr>
                <w:sz w:val="20"/>
                <w:szCs w:val="20"/>
              </w:rPr>
            </w:pPr>
            <w:r w:rsidRPr="00FA3F57">
              <w:rPr>
                <w:sz w:val="20"/>
                <w:szCs w:val="20"/>
              </w:rPr>
              <w:t>38,693 (budget RS)</w:t>
            </w:r>
          </w:p>
        </w:tc>
      </w:tr>
    </w:tbl>
    <w:p w14:paraId="5DDC086E" w14:textId="77777777" w:rsidR="0094644B" w:rsidRPr="00FA3F57" w:rsidRDefault="0094644B" w:rsidP="0094644B">
      <w:pPr>
        <w:rPr>
          <w:sz w:val="20"/>
          <w:szCs w:val="20"/>
        </w:rPr>
      </w:pPr>
    </w:p>
    <w:tbl>
      <w:tblPr>
        <w:tblStyle w:val="TableGrid"/>
        <w:tblW w:w="0" w:type="auto"/>
        <w:tblLook w:val="04A0" w:firstRow="1" w:lastRow="0" w:firstColumn="1" w:lastColumn="0" w:noHBand="0" w:noVBand="1"/>
      </w:tblPr>
      <w:tblGrid>
        <w:gridCol w:w="2973"/>
        <w:gridCol w:w="5667"/>
      </w:tblGrid>
      <w:tr w:rsidR="0094644B" w:rsidRPr="00F07779" w14:paraId="2FAD5221"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D3C5D1E" w14:textId="77777777" w:rsidR="0094644B" w:rsidRPr="00FA3F57" w:rsidRDefault="0094644B" w:rsidP="00FB5086">
            <w:pPr>
              <w:rPr>
                <w:sz w:val="20"/>
                <w:szCs w:val="20"/>
              </w:rPr>
            </w:pPr>
            <w:r w:rsidRPr="00FA3F57">
              <w:rPr>
                <w:sz w:val="20"/>
                <w:szCs w:val="20"/>
              </w:rPr>
              <w:t>Activity EL1.2</w:t>
            </w:r>
          </w:p>
        </w:tc>
        <w:tc>
          <w:tcPr>
            <w:tcW w:w="566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FCD3D15" w14:textId="77777777" w:rsidR="0094644B" w:rsidRPr="00FA3F57" w:rsidRDefault="0094644B" w:rsidP="00FB5086">
            <w:pPr>
              <w:rPr>
                <w:sz w:val="20"/>
                <w:szCs w:val="20"/>
              </w:rPr>
            </w:pPr>
            <w:r w:rsidRPr="00FA3F57">
              <w:rPr>
                <w:sz w:val="20"/>
                <w:szCs w:val="20"/>
              </w:rPr>
              <w:t>Investment projects focused on the reconstruction and construction of the transmission network</w:t>
            </w:r>
          </w:p>
        </w:tc>
      </w:tr>
      <w:tr w:rsidR="0094644B" w:rsidRPr="00F07779" w14:paraId="1F196093"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27348D70" w14:textId="77777777" w:rsidR="0094644B" w:rsidRPr="00FA3F57" w:rsidRDefault="0094644B" w:rsidP="00FB5086">
            <w:pPr>
              <w:rPr>
                <w:sz w:val="20"/>
                <w:szCs w:val="20"/>
              </w:rPr>
            </w:pPr>
            <w:r w:rsidRPr="00FA3F57">
              <w:rPr>
                <w:sz w:val="20"/>
                <w:szCs w:val="20"/>
              </w:rPr>
              <w:t>Name of the project</w:t>
            </w:r>
          </w:p>
        </w:tc>
        <w:tc>
          <w:tcPr>
            <w:tcW w:w="5667"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2622C62D" w14:textId="77777777" w:rsidR="0094644B" w:rsidRPr="00FA3F57" w:rsidRDefault="0094644B" w:rsidP="00FB5086">
            <w:pPr>
              <w:rPr>
                <w:sz w:val="20"/>
                <w:szCs w:val="20"/>
              </w:rPr>
            </w:pPr>
            <w:r w:rsidRPr="00F07779">
              <w:rPr>
                <w:sz w:val="20"/>
                <w:szCs w:val="20"/>
              </w:rPr>
              <w:t>Interconnection OHL 2x400 kV between Serbia, BiH, and Montenegro – Fourth section of the TBC</w:t>
            </w:r>
          </w:p>
        </w:tc>
      </w:tr>
      <w:tr w:rsidR="0094644B" w:rsidRPr="00F07779" w14:paraId="446D14C0"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B9AB208" w14:textId="77777777" w:rsidR="0094644B" w:rsidRPr="00FA3F57" w:rsidRDefault="0094644B" w:rsidP="00FB5086">
            <w:pPr>
              <w:rPr>
                <w:sz w:val="20"/>
                <w:szCs w:val="20"/>
              </w:rPr>
            </w:pPr>
            <w:r w:rsidRPr="00FA3F57">
              <w:rPr>
                <w:sz w:val="20"/>
                <w:szCs w:val="20"/>
              </w:rPr>
              <w:t xml:space="preserve">Name of the </w:t>
            </w:r>
            <w:r w:rsidRPr="00F07779">
              <w:rPr>
                <w:sz w:val="20"/>
                <w:szCs w:val="20"/>
              </w:rPr>
              <w:t>investment</w:t>
            </w:r>
          </w:p>
        </w:tc>
        <w:tc>
          <w:tcPr>
            <w:tcW w:w="566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8ACB372" w14:textId="77777777" w:rsidR="0094644B" w:rsidRPr="00FA3F57" w:rsidRDefault="0094644B" w:rsidP="00FB5086">
            <w:pPr>
              <w:rPr>
                <w:sz w:val="20"/>
                <w:szCs w:val="20"/>
              </w:rPr>
            </w:pPr>
            <w:r w:rsidRPr="00F07779">
              <w:rPr>
                <w:sz w:val="20"/>
                <w:szCs w:val="20"/>
              </w:rPr>
              <w:t>OHL 2x400 kV interconnection between BiH, Montenegro, and Serbia</w:t>
            </w:r>
          </w:p>
        </w:tc>
      </w:tr>
      <w:tr w:rsidR="0094644B" w:rsidRPr="00F07779" w14:paraId="764A5B70"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27C1D8A7" w14:textId="77777777" w:rsidR="0094644B" w:rsidRPr="00FA3F57" w:rsidRDefault="0094644B" w:rsidP="00FB5086">
            <w:pPr>
              <w:rPr>
                <w:sz w:val="20"/>
                <w:szCs w:val="20"/>
              </w:rPr>
            </w:pPr>
            <w:r w:rsidRPr="00FA3F57">
              <w:rPr>
                <w:sz w:val="20"/>
                <w:szCs w:val="20"/>
              </w:rPr>
              <w:t>Short description of the investment</w:t>
            </w:r>
          </w:p>
        </w:tc>
        <w:tc>
          <w:tcPr>
            <w:tcW w:w="5667" w:type="dxa"/>
            <w:tcBorders>
              <w:top w:val="single" w:sz="4" w:space="0" w:color="auto"/>
              <w:left w:val="single" w:sz="4" w:space="0" w:color="auto"/>
              <w:bottom w:val="single" w:sz="4" w:space="0" w:color="auto"/>
              <w:right w:val="single" w:sz="4" w:space="0" w:color="auto"/>
            </w:tcBorders>
          </w:tcPr>
          <w:p w14:paraId="52A13C68" w14:textId="77777777" w:rsidR="0094644B" w:rsidRPr="00FA3F57" w:rsidRDefault="0094644B" w:rsidP="00FB5086">
            <w:pPr>
              <w:rPr>
                <w:sz w:val="20"/>
                <w:szCs w:val="20"/>
              </w:rPr>
            </w:pPr>
            <w:r w:rsidRPr="00FA3F57">
              <w:rPr>
                <w:sz w:val="20"/>
                <w:szCs w:val="20"/>
              </w:rPr>
              <w:t xml:space="preserve">The project envisages the construction of a new interconnecting transmission line between Serbia, Montenegro and Bosnia and </w:t>
            </w:r>
            <w:proofErr w:type="spellStart"/>
            <w:r w:rsidRPr="00FA3F57">
              <w:rPr>
                <w:sz w:val="20"/>
                <w:szCs w:val="20"/>
              </w:rPr>
              <w:t>Herzegovina.The</w:t>
            </w:r>
            <w:proofErr w:type="spellEnd"/>
            <w:r w:rsidRPr="00FA3F57">
              <w:rPr>
                <w:sz w:val="20"/>
                <w:szCs w:val="20"/>
              </w:rPr>
              <w:t xml:space="preserve"> length of the route is 84 </w:t>
            </w:r>
            <w:proofErr w:type="spellStart"/>
            <w:proofErr w:type="gramStart"/>
            <w:r w:rsidRPr="00FA3F57">
              <w:rPr>
                <w:sz w:val="20"/>
                <w:szCs w:val="20"/>
              </w:rPr>
              <w:t>km.The</w:t>
            </w:r>
            <w:proofErr w:type="spellEnd"/>
            <w:proofErr w:type="gramEnd"/>
            <w:r w:rsidRPr="00FA3F57">
              <w:rPr>
                <w:sz w:val="20"/>
                <w:szCs w:val="20"/>
              </w:rPr>
              <w:t xml:space="preserve"> project represents a vital part of future electricity transit across the territory of the Republic of </w:t>
            </w:r>
            <w:proofErr w:type="spellStart"/>
            <w:r w:rsidRPr="00FA3F57">
              <w:rPr>
                <w:sz w:val="20"/>
                <w:szCs w:val="20"/>
              </w:rPr>
              <w:t>Serbia.The</w:t>
            </w:r>
            <w:proofErr w:type="spellEnd"/>
            <w:r w:rsidRPr="00FA3F57">
              <w:rPr>
                <w:sz w:val="20"/>
                <w:szCs w:val="20"/>
              </w:rPr>
              <w:t xml:space="preserve"> full implementation of the project is a prerequisite for the integration of PSHPP Bistrica.</w:t>
            </w:r>
          </w:p>
          <w:p w14:paraId="0E975566" w14:textId="77777777" w:rsidR="0094644B" w:rsidRPr="00FA3F57" w:rsidRDefault="0094644B" w:rsidP="00FB5086">
            <w:pPr>
              <w:rPr>
                <w:sz w:val="20"/>
                <w:szCs w:val="20"/>
              </w:rPr>
            </w:pPr>
            <w:r w:rsidRPr="00FA3F57">
              <w:rPr>
                <w:sz w:val="20"/>
                <w:szCs w:val="20"/>
              </w:rPr>
              <w:t>Expected dynamics of project implementation:</w:t>
            </w:r>
          </w:p>
          <w:p w14:paraId="5EB3E7F2" w14:textId="77777777" w:rsidR="0094644B" w:rsidRPr="00FA3F57" w:rsidRDefault="0094644B" w:rsidP="00FB5086">
            <w:pPr>
              <w:rPr>
                <w:sz w:val="20"/>
                <w:szCs w:val="20"/>
              </w:rPr>
            </w:pPr>
            <w:r w:rsidRPr="00FA3F57">
              <w:rPr>
                <w:sz w:val="20"/>
                <w:szCs w:val="20"/>
              </w:rPr>
              <w:t>2026. Construction</w:t>
            </w:r>
          </w:p>
          <w:p w14:paraId="36D60A1A" w14:textId="77777777" w:rsidR="0094644B" w:rsidRPr="00FA3F57" w:rsidRDefault="0094644B" w:rsidP="00FB5086">
            <w:pPr>
              <w:rPr>
                <w:sz w:val="20"/>
                <w:szCs w:val="20"/>
              </w:rPr>
            </w:pPr>
            <w:r w:rsidRPr="00FA3F57">
              <w:rPr>
                <w:sz w:val="20"/>
                <w:szCs w:val="20"/>
              </w:rPr>
              <w:t>2027. Construction</w:t>
            </w:r>
          </w:p>
          <w:p w14:paraId="4C4E6375" w14:textId="77777777" w:rsidR="0094644B" w:rsidRPr="00F07779" w:rsidRDefault="0094644B" w:rsidP="00FB5086">
            <w:pPr>
              <w:rPr>
                <w:sz w:val="20"/>
                <w:szCs w:val="20"/>
              </w:rPr>
            </w:pPr>
            <w:r w:rsidRPr="00FA3F57">
              <w:rPr>
                <w:sz w:val="20"/>
                <w:szCs w:val="20"/>
              </w:rPr>
              <w:t xml:space="preserve">2028. Commissioning; trial operation </w:t>
            </w:r>
          </w:p>
        </w:tc>
      </w:tr>
      <w:tr w:rsidR="0094644B" w:rsidRPr="00F07779" w14:paraId="5B543FBD"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1DA2D306" w14:textId="77777777" w:rsidR="0094644B" w:rsidRPr="00FA3F57" w:rsidRDefault="0094644B" w:rsidP="00FB5086">
            <w:pPr>
              <w:rPr>
                <w:sz w:val="20"/>
                <w:szCs w:val="20"/>
              </w:rPr>
            </w:pPr>
            <w:r w:rsidRPr="00FA3F57">
              <w:rPr>
                <w:sz w:val="20"/>
                <w:szCs w:val="20"/>
              </w:rPr>
              <w:t>Institutions responsible for the implementation of measures and activities</w:t>
            </w:r>
          </w:p>
        </w:tc>
        <w:tc>
          <w:tcPr>
            <w:tcW w:w="5667" w:type="dxa"/>
            <w:tcBorders>
              <w:top w:val="single" w:sz="4" w:space="0" w:color="auto"/>
              <w:left w:val="single" w:sz="4" w:space="0" w:color="auto"/>
              <w:bottom w:val="single" w:sz="4" w:space="0" w:color="auto"/>
              <w:right w:val="single" w:sz="4" w:space="0" w:color="auto"/>
            </w:tcBorders>
            <w:hideMark/>
          </w:tcPr>
          <w:p w14:paraId="0A86400F" w14:textId="77777777" w:rsidR="0094644B" w:rsidRPr="00FA3F57" w:rsidRDefault="0094644B" w:rsidP="00FB5086">
            <w:pPr>
              <w:rPr>
                <w:sz w:val="20"/>
                <w:szCs w:val="20"/>
              </w:rPr>
            </w:pPr>
            <w:r w:rsidRPr="00FA3F57">
              <w:rPr>
                <w:sz w:val="20"/>
                <w:szCs w:val="20"/>
              </w:rPr>
              <w:t>EMS JSC Belgrade</w:t>
            </w:r>
          </w:p>
        </w:tc>
      </w:tr>
      <w:tr w:rsidR="0094644B" w:rsidRPr="00F07779" w14:paraId="661CB749"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4A1E09A8" w14:textId="77777777" w:rsidR="0094644B" w:rsidRPr="00F07779" w:rsidRDefault="0094644B" w:rsidP="00FB5086">
            <w:pPr>
              <w:rPr>
                <w:sz w:val="20"/>
                <w:szCs w:val="20"/>
              </w:rPr>
            </w:pPr>
            <w:r w:rsidRPr="00FA3F57">
              <w:rPr>
                <w:sz w:val="20"/>
                <w:szCs w:val="20"/>
              </w:rPr>
              <w:t>Institutions responsible for monitoring implementation and reporting on the realization</w:t>
            </w:r>
          </w:p>
        </w:tc>
        <w:tc>
          <w:tcPr>
            <w:tcW w:w="5667" w:type="dxa"/>
            <w:tcBorders>
              <w:top w:val="single" w:sz="4" w:space="0" w:color="auto"/>
              <w:left w:val="single" w:sz="4" w:space="0" w:color="auto"/>
              <w:bottom w:val="single" w:sz="4" w:space="0" w:color="auto"/>
              <w:right w:val="single" w:sz="4" w:space="0" w:color="auto"/>
            </w:tcBorders>
            <w:hideMark/>
          </w:tcPr>
          <w:p w14:paraId="7D653D41" w14:textId="77777777" w:rsidR="0094644B" w:rsidRPr="00F07779" w:rsidRDefault="0094644B" w:rsidP="00FB5086">
            <w:pPr>
              <w:rPr>
                <w:sz w:val="20"/>
                <w:szCs w:val="20"/>
              </w:rPr>
            </w:pPr>
            <w:r w:rsidRPr="00FA3F57">
              <w:rPr>
                <w:sz w:val="20"/>
                <w:szCs w:val="20"/>
              </w:rPr>
              <w:t>EMS JSC Belgrade</w:t>
            </w:r>
          </w:p>
          <w:p w14:paraId="2FEBF4E7" w14:textId="77777777" w:rsidR="0094644B" w:rsidRPr="00FA3F57" w:rsidRDefault="0094644B" w:rsidP="00FB5086">
            <w:pPr>
              <w:rPr>
                <w:sz w:val="20"/>
                <w:szCs w:val="20"/>
              </w:rPr>
            </w:pPr>
            <w:r w:rsidRPr="00FA3F57">
              <w:rPr>
                <w:sz w:val="20"/>
                <w:szCs w:val="20"/>
              </w:rPr>
              <w:t>Republic Commission for Energy Networks</w:t>
            </w:r>
          </w:p>
          <w:p w14:paraId="0A1F195D" w14:textId="77777777" w:rsidR="0094644B" w:rsidRPr="00F07779" w:rsidRDefault="0094644B" w:rsidP="00FB5086">
            <w:pPr>
              <w:rPr>
                <w:sz w:val="20"/>
                <w:szCs w:val="20"/>
              </w:rPr>
            </w:pPr>
            <w:r w:rsidRPr="00F07779">
              <w:rPr>
                <w:sz w:val="20"/>
                <w:szCs w:val="20"/>
              </w:rPr>
              <w:t>Ministry of Mining and Energy</w:t>
            </w:r>
          </w:p>
        </w:tc>
      </w:tr>
      <w:tr w:rsidR="0094644B" w:rsidRPr="00F07779" w14:paraId="1D0A1A46"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76B055B1" w14:textId="77777777" w:rsidR="0094644B" w:rsidRPr="00F07779" w:rsidRDefault="0094644B" w:rsidP="00FB5086">
            <w:pPr>
              <w:rPr>
                <w:sz w:val="20"/>
                <w:szCs w:val="20"/>
              </w:rPr>
            </w:pPr>
            <w:r w:rsidRPr="00FA3F57">
              <w:rPr>
                <w:sz w:val="20"/>
                <w:szCs w:val="20"/>
              </w:rPr>
              <w:t>Year of project funding start</w:t>
            </w:r>
          </w:p>
        </w:tc>
        <w:tc>
          <w:tcPr>
            <w:tcW w:w="5667" w:type="dxa"/>
            <w:tcBorders>
              <w:top w:val="single" w:sz="4" w:space="0" w:color="auto"/>
              <w:left w:val="single" w:sz="4" w:space="0" w:color="auto"/>
              <w:bottom w:val="single" w:sz="4" w:space="0" w:color="auto"/>
              <w:right w:val="single" w:sz="4" w:space="0" w:color="auto"/>
            </w:tcBorders>
            <w:hideMark/>
          </w:tcPr>
          <w:p w14:paraId="65D44FE6" w14:textId="77777777" w:rsidR="0094644B" w:rsidRPr="00F07779" w:rsidRDefault="0094644B" w:rsidP="00FB5086">
            <w:pPr>
              <w:rPr>
                <w:sz w:val="20"/>
                <w:szCs w:val="20"/>
              </w:rPr>
            </w:pPr>
            <w:r w:rsidRPr="00F07779">
              <w:rPr>
                <w:sz w:val="20"/>
                <w:szCs w:val="20"/>
              </w:rPr>
              <w:t>2013.</w:t>
            </w:r>
          </w:p>
        </w:tc>
      </w:tr>
      <w:tr w:rsidR="0094644B" w:rsidRPr="00F07779" w14:paraId="5918B4C8"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279EC29A" w14:textId="77777777" w:rsidR="0094644B" w:rsidRPr="00F07779" w:rsidRDefault="0094644B" w:rsidP="00FB5086">
            <w:pPr>
              <w:rPr>
                <w:sz w:val="20"/>
                <w:szCs w:val="20"/>
              </w:rPr>
            </w:pPr>
            <w:r w:rsidRPr="00FA3F57">
              <w:rPr>
                <w:sz w:val="20"/>
                <w:szCs w:val="20"/>
              </w:rPr>
              <w:t>Year of completion of project funding</w:t>
            </w:r>
          </w:p>
        </w:tc>
        <w:tc>
          <w:tcPr>
            <w:tcW w:w="5667" w:type="dxa"/>
            <w:tcBorders>
              <w:top w:val="single" w:sz="4" w:space="0" w:color="auto"/>
              <w:left w:val="single" w:sz="4" w:space="0" w:color="auto"/>
              <w:bottom w:val="single" w:sz="4" w:space="0" w:color="auto"/>
              <w:right w:val="single" w:sz="4" w:space="0" w:color="auto"/>
            </w:tcBorders>
            <w:hideMark/>
          </w:tcPr>
          <w:p w14:paraId="109C5940" w14:textId="77777777" w:rsidR="0094644B" w:rsidRPr="00F07779" w:rsidRDefault="0094644B" w:rsidP="00FB5086">
            <w:pPr>
              <w:rPr>
                <w:sz w:val="20"/>
                <w:szCs w:val="20"/>
              </w:rPr>
            </w:pPr>
            <w:r w:rsidRPr="00F07779">
              <w:rPr>
                <w:sz w:val="20"/>
                <w:szCs w:val="20"/>
              </w:rPr>
              <w:t>2028.</w:t>
            </w:r>
          </w:p>
        </w:tc>
      </w:tr>
      <w:tr w:rsidR="0094644B" w:rsidRPr="00F07779" w14:paraId="4D83B336"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23DC2FE7" w14:textId="77777777" w:rsidR="0094644B" w:rsidRPr="00F07779" w:rsidRDefault="0094644B" w:rsidP="00FB5086">
            <w:pPr>
              <w:rPr>
                <w:sz w:val="20"/>
                <w:szCs w:val="20"/>
              </w:rPr>
            </w:pPr>
            <w:r w:rsidRPr="00FA3F57">
              <w:rPr>
                <w:sz w:val="20"/>
                <w:szCs w:val="20"/>
              </w:rPr>
              <w:t>Total project value</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51268330" w14:textId="77777777" w:rsidR="0094644B" w:rsidRPr="00FA3F57" w:rsidRDefault="0094644B" w:rsidP="00FB5086">
            <w:pPr>
              <w:rPr>
                <w:sz w:val="20"/>
                <w:szCs w:val="20"/>
              </w:rPr>
            </w:pPr>
            <w:r w:rsidRPr="00FA3F57">
              <w:rPr>
                <w:sz w:val="20"/>
                <w:szCs w:val="20"/>
              </w:rPr>
              <w:t>6,237,700 (53.2 million EUR)</w:t>
            </w:r>
          </w:p>
        </w:tc>
      </w:tr>
      <w:tr w:rsidR="0094644B" w:rsidRPr="00F07779" w14:paraId="2E6AACD0"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507EF23D" w14:textId="77777777" w:rsidR="0094644B" w:rsidRPr="00F07779" w:rsidRDefault="0094644B" w:rsidP="00FB5086">
            <w:pPr>
              <w:rPr>
                <w:sz w:val="20"/>
                <w:szCs w:val="20"/>
              </w:rPr>
            </w:pPr>
            <w:r w:rsidRPr="00FA3F57">
              <w:rPr>
                <w:sz w:val="20"/>
                <w:szCs w:val="20"/>
              </w:rPr>
              <w:t>Planned investments for 2026.</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311FDCE9" w14:textId="77777777" w:rsidR="0094644B" w:rsidRPr="00F07779" w:rsidRDefault="0094644B" w:rsidP="00FB5086">
            <w:pPr>
              <w:rPr>
                <w:sz w:val="20"/>
                <w:szCs w:val="20"/>
              </w:rPr>
            </w:pPr>
            <w:r w:rsidRPr="00F07779">
              <w:rPr>
                <w:sz w:val="20"/>
                <w:szCs w:val="20"/>
              </w:rPr>
              <w:t xml:space="preserve">1,439,612 (12,968 own funds of EMS JSC; 1,112,937 </w:t>
            </w:r>
            <w:proofErr w:type="gramStart"/>
            <w:r w:rsidRPr="00F07779">
              <w:rPr>
                <w:sz w:val="20"/>
                <w:szCs w:val="20"/>
              </w:rPr>
              <w:t>loan</w:t>
            </w:r>
            <w:proofErr w:type="gramEnd"/>
            <w:r w:rsidRPr="00F07779">
              <w:rPr>
                <w:sz w:val="20"/>
                <w:szCs w:val="20"/>
              </w:rPr>
              <w:t>; 313,707 donations and other acquisitions without reimbursement)</w:t>
            </w:r>
          </w:p>
        </w:tc>
      </w:tr>
      <w:tr w:rsidR="0094644B" w:rsidRPr="00F07779" w14:paraId="3CBC3416"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4D747D0E" w14:textId="77777777" w:rsidR="0094644B" w:rsidRPr="00F07779" w:rsidRDefault="0094644B" w:rsidP="00FB5086">
            <w:pPr>
              <w:rPr>
                <w:sz w:val="20"/>
                <w:szCs w:val="20"/>
              </w:rPr>
            </w:pPr>
            <w:r w:rsidRPr="00FA3F57">
              <w:rPr>
                <w:sz w:val="20"/>
                <w:szCs w:val="20"/>
              </w:rPr>
              <w:t>Planned investments for 2027.</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08EE6598" w14:textId="77777777" w:rsidR="0094644B" w:rsidRPr="00F07779" w:rsidRDefault="0094644B" w:rsidP="00FB5086">
            <w:pPr>
              <w:rPr>
                <w:sz w:val="20"/>
                <w:szCs w:val="20"/>
              </w:rPr>
            </w:pPr>
            <w:r w:rsidRPr="00F07779">
              <w:rPr>
                <w:sz w:val="20"/>
                <w:szCs w:val="20"/>
              </w:rPr>
              <w:t>2,287,952 (1,780,700 loan; 507,252 donations and other acquisitions without reimbursement)</w:t>
            </w:r>
          </w:p>
        </w:tc>
      </w:tr>
      <w:tr w:rsidR="0094644B" w:rsidRPr="00F07779" w14:paraId="55163CC9"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1B270EDB" w14:textId="77777777" w:rsidR="0094644B" w:rsidRPr="00F07779" w:rsidRDefault="0094644B" w:rsidP="00FB5086">
            <w:pPr>
              <w:rPr>
                <w:sz w:val="20"/>
                <w:szCs w:val="20"/>
              </w:rPr>
            </w:pPr>
            <w:r w:rsidRPr="00FA3F57">
              <w:rPr>
                <w:sz w:val="20"/>
                <w:szCs w:val="20"/>
              </w:rPr>
              <w:t>Planned investments for 2028.</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44719963" w14:textId="77777777" w:rsidR="0094644B" w:rsidRPr="00F07779" w:rsidRDefault="0094644B" w:rsidP="00FB5086">
            <w:pPr>
              <w:rPr>
                <w:sz w:val="20"/>
                <w:szCs w:val="20"/>
              </w:rPr>
            </w:pPr>
            <w:r w:rsidRPr="00F07779">
              <w:rPr>
                <w:sz w:val="20"/>
                <w:szCs w:val="20"/>
              </w:rPr>
              <w:t>2,180,405 (1,696,998 loan; 483,407 donations and other acquisitions without reimbursement)</w:t>
            </w:r>
          </w:p>
        </w:tc>
      </w:tr>
    </w:tbl>
    <w:p w14:paraId="5126D258" w14:textId="77777777" w:rsidR="0094644B" w:rsidRPr="00F07779" w:rsidRDefault="0094644B" w:rsidP="0094644B">
      <w:pPr>
        <w:tabs>
          <w:tab w:val="left" w:pos="1276"/>
          <w:tab w:val="left" w:pos="1560"/>
        </w:tabs>
        <w:ind w:left="1440" w:hanging="1440"/>
      </w:pPr>
    </w:p>
    <w:tbl>
      <w:tblPr>
        <w:tblStyle w:val="TableGrid"/>
        <w:tblW w:w="0" w:type="auto"/>
        <w:tblLook w:val="04A0" w:firstRow="1" w:lastRow="0" w:firstColumn="1" w:lastColumn="0" w:noHBand="0" w:noVBand="1"/>
      </w:tblPr>
      <w:tblGrid>
        <w:gridCol w:w="2973"/>
        <w:gridCol w:w="5667"/>
      </w:tblGrid>
      <w:tr w:rsidR="0094644B" w:rsidRPr="00F07779" w14:paraId="18B75866"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9606650" w14:textId="77777777" w:rsidR="0094644B" w:rsidRPr="00F07779" w:rsidRDefault="0094644B" w:rsidP="00FB5086">
            <w:pPr>
              <w:rPr>
                <w:sz w:val="20"/>
                <w:szCs w:val="20"/>
              </w:rPr>
            </w:pPr>
            <w:r w:rsidRPr="00F07779">
              <w:rPr>
                <w:sz w:val="20"/>
                <w:szCs w:val="20"/>
              </w:rPr>
              <w:t>Activity EL1.2</w:t>
            </w:r>
          </w:p>
        </w:tc>
        <w:tc>
          <w:tcPr>
            <w:tcW w:w="566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241FDED" w14:textId="77777777" w:rsidR="0094644B" w:rsidRPr="00F07779" w:rsidRDefault="0094644B" w:rsidP="00FB5086">
            <w:pPr>
              <w:rPr>
                <w:sz w:val="20"/>
                <w:szCs w:val="20"/>
              </w:rPr>
            </w:pPr>
            <w:r w:rsidRPr="00F07779">
              <w:rPr>
                <w:sz w:val="20"/>
                <w:szCs w:val="20"/>
              </w:rPr>
              <w:t>Investment projects focused on the reconstruction and construction of the transmission network</w:t>
            </w:r>
          </w:p>
        </w:tc>
      </w:tr>
      <w:tr w:rsidR="0094644B" w:rsidRPr="00F07779" w14:paraId="69E3CD9C"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4CC6F8BA" w14:textId="77777777" w:rsidR="0094644B" w:rsidRPr="00F07779" w:rsidRDefault="0094644B" w:rsidP="00FB5086">
            <w:pPr>
              <w:rPr>
                <w:sz w:val="20"/>
                <w:szCs w:val="20"/>
              </w:rPr>
            </w:pPr>
            <w:r w:rsidRPr="00FA3F57">
              <w:rPr>
                <w:sz w:val="20"/>
                <w:szCs w:val="20"/>
              </w:rPr>
              <w:t>Name of the project</w:t>
            </w:r>
          </w:p>
        </w:tc>
        <w:tc>
          <w:tcPr>
            <w:tcW w:w="5667"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0840CFD7" w14:textId="77777777" w:rsidR="0094644B" w:rsidRPr="00F07779" w:rsidRDefault="0094644B" w:rsidP="00FB5086">
            <w:pPr>
              <w:rPr>
                <w:sz w:val="20"/>
                <w:szCs w:val="20"/>
              </w:rPr>
            </w:pPr>
            <w:proofErr w:type="spellStart"/>
            <w:r w:rsidRPr="00F07779">
              <w:rPr>
                <w:sz w:val="20"/>
                <w:szCs w:val="20"/>
              </w:rPr>
              <w:t>BeoGrid</w:t>
            </w:r>
            <w:proofErr w:type="spellEnd"/>
            <w:r w:rsidRPr="00F07779">
              <w:rPr>
                <w:sz w:val="20"/>
                <w:szCs w:val="20"/>
              </w:rPr>
              <w:t xml:space="preserve"> 2025</w:t>
            </w:r>
          </w:p>
          <w:p w14:paraId="39721D88" w14:textId="77777777" w:rsidR="0094644B" w:rsidRPr="00F07779" w:rsidRDefault="0094644B" w:rsidP="00FB5086">
            <w:pPr>
              <w:rPr>
                <w:sz w:val="20"/>
                <w:szCs w:val="20"/>
              </w:rPr>
            </w:pPr>
            <w:r w:rsidRPr="00F07779">
              <w:rPr>
                <w:sz w:val="20"/>
                <w:szCs w:val="20"/>
              </w:rPr>
              <w:t xml:space="preserve">TS 400/110 kV Belgrade 50 with branching of 400 kV and 110 kV lines, and </w:t>
            </w:r>
            <w:proofErr w:type="gramStart"/>
            <w:r w:rsidRPr="00F07779">
              <w:rPr>
                <w:sz w:val="20"/>
                <w:szCs w:val="20"/>
              </w:rPr>
              <w:t>a</w:t>
            </w:r>
            <w:proofErr w:type="gramEnd"/>
            <w:r w:rsidRPr="00F07779">
              <w:rPr>
                <w:sz w:val="20"/>
                <w:szCs w:val="20"/>
              </w:rPr>
              <w:t xml:space="preserve"> OHL 400 kV TS Belgrade 50 - South Banat region</w:t>
            </w:r>
          </w:p>
        </w:tc>
      </w:tr>
      <w:tr w:rsidR="0094644B" w:rsidRPr="00F07779" w14:paraId="2921722E"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353C664" w14:textId="77777777" w:rsidR="0094644B" w:rsidRPr="00F07779" w:rsidRDefault="0094644B" w:rsidP="00FB5086">
            <w:pPr>
              <w:rPr>
                <w:sz w:val="20"/>
                <w:szCs w:val="20"/>
              </w:rPr>
            </w:pPr>
            <w:r w:rsidRPr="00FA3F57">
              <w:rPr>
                <w:sz w:val="20"/>
                <w:szCs w:val="20"/>
              </w:rPr>
              <w:t xml:space="preserve">Name of the </w:t>
            </w:r>
            <w:r w:rsidRPr="00F07779">
              <w:rPr>
                <w:sz w:val="20"/>
                <w:szCs w:val="20"/>
              </w:rPr>
              <w:t>investment</w:t>
            </w:r>
          </w:p>
        </w:tc>
        <w:tc>
          <w:tcPr>
            <w:tcW w:w="566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FEED9AD" w14:textId="77777777" w:rsidR="0094644B" w:rsidRPr="00F07779" w:rsidRDefault="0094644B" w:rsidP="00FB5086">
            <w:pPr>
              <w:rPr>
                <w:sz w:val="20"/>
                <w:szCs w:val="20"/>
              </w:rPr>
            </w:pPr>
            <w:r w:rsidRPr="00F07779">
              <w:rPr>
                <w:sz w:val="20"/>
                <w:szCs w:val="20"/>
              </w:rPr>
              <w:t>400/110 kV TS Belgrade 50</w:t>
            </w:r>
          </w:p>
        </w:tc>
      </w:tr>
      <w:tr w:rsidR="0094644B" w:rsidRPr="00F07779" w14:paraId="0493634D"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03260843" w14:textId="77777777" w:rsidR="0094644B" w:rsidRPr="00F07779" w:rsidRDefault="0094644B" w:rsidP="00FB5086">
            <w:pPr>
              <w:rPr>
                <w:sz w:val="20"/>
                <w:szCs w:val="20"/>
              </w:rPr>
            </w:pPr>
            <w:r w:rsidRPr="00FA3F57">
              <w:rPr>
                <w:sz w:val="20"/>
                <w:szCs w:val="20"/>
              </w:rPr>
              <w:t>Short description of the investment</w:t>
            </w:r>
          </w:p>
        </w:tc>
        <w:tc>
          <w:tcPr>
            <w:tcW w:w="5667" w:type="dxa"/>
            <w:tcBorders>
              <w:top w:val="single" w:sz="4" w:space="0" w:color="auto"/>
              <w:left w:val="single" w:sz="4" w:space="0" w:color="auto"/>
              <w:bottom w:val="single" w:sz="4" w:space="0" w:color="auto"/>
              <w:right w:val="single" w:sz="4" w:space="0" w:color="auto"/>
            </w:tcBorders>
            <w:hideMark/>
          </w:tcPr>
          <w:p w14:paraId="651792A2" w14:textId="77777777" w:rsidR="0094644B" w:rsidRPr="00F07779" w:rsidRDefault="0094644B" w:rsidP="00FB5086">
            <w:pPr>
              <w:rPr>
                <w:sz w:val="20"/>
                <w:szCs w:val="20"/>
              </w:rPr>
            </w:pPr>
            <w:r w:rsidRPr="00F07779">
              <w:rPr>
                <w:sz w:val="20"/>
                <w:szCs w:val="20"/>
              </w:rPr>
              <w:t xml:space="preserve">The project envisages the construction of a new 400/110 kV substation near </w:t>
            </w:r>
            <w:proofErr w:type="spellStart"/>
            <w:r w:rsidRPr="00F07779">
              <w:rPr>
                <w:sz w:val="20"/>
                <w:szCs w:val="20"/>
              </w:rPr>
              <w:t>Dobanovci</w:t>
            </w:r>
            <w:proofErr w:type="spellEnd"/>
            <w:r w:rsidRPr="00F07779">
              <w:rPr>
                <w:sz w:val="20"/>
                <w:szCs w:val="20"/>
              </w:rPr>
              <w:t>. Expected dynamics of project implementation:</w:t>
            </w:r>
          </w:p>
          <w:p w14:paraId="546135B5" w14:textId="77777777" w:rsidR="0094644B" w:rsidRPr="00F07779" w:rsidRDefault="0094644B" w:rsidP="00FB5086">
            <w:pPr>
              <w:rPr>
                <w:sz w:val="20"/>
                <w:szCs w:val="20"/>
              </w:rPr>
            </w:pPr>
            <w:r w:rsidRPr="00F07779">
              <w:rPr>
                <w:sz w:val="20"/>
                <w:szCs w:val="20"/>
              </w:rPr>
              <w:t>2026. Construction</w:t>
            </w:r>
          </w:p>
          <w:p w14:paraId="30563DF7" w14:textId="77777777" w:rsidR="0094644B" w:rsidRPr="00F07779" w:rsidRDefault="0094644B" w:rsidP="00FB5086">
            <w:pPr>
              <w:rPr>
                <w:sz w:val="20"/>
                <w:szCs w:val="20"/>
              </w:rPr>
            </w:pPr>
            <w:r w:rsidRPr="00F07779">
              <w:rPr>
                <w:sz w:val="20"/>
                <w:szCs w:val="20"/>
              </w:rPr>
              <w:t>2027. Commissioning; trial operation</w:t>
            </w:r>
          </w:p>
          <w:p w14:paraId="77940511" w14:textId="77777777" w:rsidR="0094644B" w:rsidRPr="00F07779" w:rsidRDefault="0094644B" w:rsidP="00FB5086">
            <w:pPr>
              <w:rPr>
                <w:sz w:val="20"/>
                <w:szCs w:val="20"/>
              </w:rPr>
            </w:pPr>
            <w:r w:rsidRPr="00F07779">
              <w:rPr>
                <w:sz w:val="20"/>
                <w:szCs w:val="20"/>
              </w:rPr>
              <w:t>2028. Use permit; end of project</w:t>
            </w:r>
          </w:p>
        </w:tc>
      </w:tr>
      <w:tr w:rsidR="0094644B" w:rsidRPr="00F07779" w14:paraId="720E6A4B"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255539D8" w14:textId="77777777" w:rsidR="0094644B" w:rsidRPr="00F07779" w:rsidRDefault="0094644B" w:rsidP="00FB5086">
            <w:pPr>
              <w:rPr>
                <w:sz w:val="20"/>
                <w:szCs w:val="20"/>
              </w:rPr>
            </w:pPr>
            <w:r w:rsidRPr="00FA3F57">
              <w:rPr>
                <w:sz w:val="20"/>
                <w:szCs w:val="20"/>
              </w:rPr>
              <w:t>Institutions responsible for the implementation of measures and activities</w:t>
            </w:r>
          </w:p>
        </w:tc>
        <w:tc>
          <w:tcPr>
            <w:tcW w:w="5667" w:type="dxa"/>
            <w:tcBorders>
              <w:top w:val="single" w:sz="4" w:space="0" w:color="auto"/>
              <w:left w:val="single" w:sz="4" w:space="0" w:color="auto"/>
              <w:bottom w:val="single" w:sz="4" w:space="0" w:color="auto"/>
              <w:right w:val="single" w:sz="4" w:space="0" w:color="auto"/>
            </w:tcBorders>
            <w:hideMark/>
          </w:tcPr>
          <w:p w14:paraId="5198E823" w14:textId="77777777" w:rsidR="0094644B" w:rsidRPr="00F07779" w:rsidRDefault="0094644B" w:rsidP="00FB5086">
            <w:pPr>
              <w:rPr>
                <w:sz w:val="20"/>
                <w:szCs w:val="20"/>
              </w:rPr>
            </w:pPr>
            <w:r w:rsidRPr="00FA3F57">
              <w:rPr>
                <w:sz w:val="20"/>
                <w:szCs w:val="20"/>
              </w:rPr>
              <w:t>EMS JSC Belgrade</w:t>
            </w:r>
          </w:p>
        </w:tc>
      </w:tr>
      <w:tr w:rsidR="0094644B" w:rsidRPr="00F07779" w14:paraId="0D57A29A"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2E10A872" w14:textId="77777777" w:rsidR="0094644B" w:rsidRPr="00F07779" w:rsidRDefault="0094644B" w:rsidP="00FB5086">
            <w:pPr>
              <w:rPr>
                <w:sz w:val="20"/>
                <w:szCs w:val="20"/>
              </w:rPr>
            </w:pPr>
            <w:r w:rsidRPr="00FA3F57">
              <w:rPr>
                <w:sz w:val="20"/>
                <w:szCs w:val="20"/>
              </w:rPr>
              <w:t>Institutions responsible for monitoring implementation and reporting on the realization</w:t>
            </w:r>
          </w:p>
        </w:tc>
        <w:tc>
          <w:tcPr>
            <w:tcW w:w="5667" w:type="dxa"/>
            <w:tcBorders>
              <w:top w:val="single" w:sz="4" w:space="0" w:color="auto"/>
              <w:left w:val="single" w:sz="4" w:space="0" w:color="auto"/>
              <w:bottom w:val="single" w:sz="4" w:space="0" w:color="auto"/>
              <w:right w:val="single" w:sz="4" w:space="0" w:color="auto"/>
            </w:tcBorders>
            <w:hideMark/>
          </w:tcPr>
          <w:p w14:paraId="501AF827" w14:textId="77777777" w:rsidR="0094644B" w:rsidRPr="00F07779" w:rsidRDefault="0094644B" w:rsidP="00FB5086">
            <w:pPr>
              <w:rPr>
                <w:sz w:val="20"/>
                <w:szCs w:val="20"/>
              </w:rPr>
            </w:pPr>
            <w:r w:rsidRPr="00FA3F57">
              <w:rPr>
                <w:sz w:val="20"/>
                <w:szCs w:val="20"/>
              </w:rPr>
              <w:t>EMS JSC Belgrade</w:t>
            </w:r>
          </w:p>
          <w:p w14:paraId="35AEC8BC" w14:textId="77777777" w:rsidR="0094644B" w:rsidRPr="00F07779" w:rsidRDefault="0094644B" w:rsidP="00FB5086">
            <w:pPr>
              <w:rPr>
                <w:sz w:val="20"/>
                <w:szCs w:val="20"/>
              </w:rPr>
            </w:pPr>
            <w:r w:rsidRPr="00F07779">
              <w:rPr>
                <w:sz w:val="20"/>
                <w:szCs w:val="20"/>
              </w:rPr>
              <w:t>Ministry of Mining and Energy</w:t>
            </w:r>
          </w:p>
        </w:tc>
      </w:tr>
      <w:tr w:rsidR="0094644B" w:rsidRPr="00F07779" w14:paraId="47DFBB22"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76059A4D" w14:textId="77777777" w:rsidR="0094644B" w:rsidRPr="00F07779" w:rsidRDefault="0094644B" w:rsidP="00FB5086">
            <w:pPr>
              <w:rPr>
                <w:sz w:val="20"/>
                <w:szCs w:val="20"/>
              </w:rPr>
            </w:pPr>
            <w:r w:rsidRPr="00FA3F57">
              <w:rPr>
                <w:sz w:val="20"/>
                <w:szCs w:val="20"/>
              </w:rPr>
              <w:t>Year of project funding start</w:t>
            </w:r>
          </w:p>
        </w:tc>
        <w:tc>
          <w:tcPr>
            <w:tcW w:w="5667" w:type="dxa"/>
            <w:tcBorders>
              <w:top w:val="single" w:sz="4" w:space="0" w:color="auto"/>
              <w:left w:val="single" w:sz="4" w:space="0" w:color="auto"/>
              <w:bottom w:val="single" w:sz="4" w:space="0" w:color="auto"/>
              <w:right w:val="single" w:sz="4" w:space="0" w:color="auto"/>
            </w:tcBorders>
            <w:hideMark/>
          </w:tcPr>
          <w:p w14:paraId="4FFD6A31" w14:textId="77777777" w:rsidR="0094644B" w:rsidRPr="00F07779" w:rsidRDefault="0094644B" w:rsidP="00FB5086">
            <w:pPr>
              <w:rPr>
                <w:sz w:val="20"/>
                <w:szCs w:val="20"/>
              </w:rPr>
            </w:pPr>
            <w:r w:rsidRPr="00F07779">
              <w:rPr>
                <w:sz w:val="20"/>
                <w:szCs w:val="20"/>
              </w:rPr>
              <w:t xml:space="preserve">2021. </w:t>
            </w:r>
          </w:p>
        </w:tc>
      </w:tr>
      <w:tr w:rsidR="0094644B" w:rsidRPr="00F07779" w14:paraId="0BDF3229"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6D1ADF51" w14:textId="77777777" w:rsidR="0094644B" w:rsidRPr="00F07779" w:rsidRDefault="0094644B" w:rsidP="00FB5086">
            <w:pPr>
              <w:rPr>
                <w:sz w:val="20"/>
                <w:szCs w:val="20"/>
              </w:rPr>
            </w:pPr>
            <w:r w:rsidRPr="00FA3F57">
              <w:rPr>
                <w:sz w:val="20"/>
                <w:szCs w:val="20"/>
              </w:rPr>
              <w:lastRenderedPageBreak/>
              <w:t>Year of completion of project funding</w:t>
            </w:r>
          </w:p>
        </w:tc>
        <w:tc>
          <w:tcPr>
            <w:tcW w:w="5667" w:type="dxa"/>
            <w:tcBorders>
              <w:top w:val="single" w:sz="4" w:space="0" w:color="auto"/>
              <w:left w:val="single" w:sz="4" w:space="0" w:color="auto"/>
              <w:bottom w:val="single" w:sz="4" w:space="0" w:color="auto"/>
              <w:right w:val="single" w:sz="4" w:space="0" w:color="auto"/>
            </w:tcBorders>
            <w:hideMark/>
          </w:tcPr>
          <w:p w14:paraId="3AF609B5" w14:textId="77777777" w:rsidR="0094644B" w:rsidRPr="00F07779" w:rsidRDefault="0094644B" w:rsidP="00FB5086">
            <w:pPr>
              <w:rPr>
                <w:sz w:val="20"/>
                <w:szCs w:val="20"/>
              </w:rPr>
            </w:pPr>
            <w:r w:rsidRPr="00F07779">
              <w:rPr>
                <w:sz w:val="20"/>
                <w:szCs w:val="20"/>
              </w:rPr>
              <w:t xml:space="preserve">2027. </w:t>
            </w:r>
          </w:p>
        </w:tc>
      </w:tr>
      <w:tr w:rsidR="0094644B" w:rsidRPr="00F07779" w14:paraId="0E3C32EA"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0C93F45D" w14:textId="77777777" w:rsidR="0094644B" w:rsidRPr="00F07779" w:rsidRDefault="0094644B" w:rsidP="00FB5086">
            <w:pPr>
              <w:rPr>
                <w:sz w:val="20"/>
                <w:szCs w:val="20"/>
              </w:rPr>
            </w:pPr>
            <w:r w:rsidRPr="00FA3F57">
              <w:rPr>
                <w:sz w:val="20"/>
                <w:szCs w:val="20"/>
              </w:rPr>
              <w:t>Total project value</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2312405F" w14:textId="77777777" w:rsidR="0094644B" w:rsidRPr="00FA3F57" w:rsidRDefault="0094644B" w:rsidP="00FB5086">
            <w:pPr>
              <w:rPr>
                <w:color w:val="000000"/>
                <w:sz w:val="20"/>
                <w:szCs w:val="20"/>
              </w:rPr>
            </w:pPr>
            <w:r w:rsidRPr="00FA3F57">
              <w:rPr>
                <w:color w:val="000000"/>
                <w:sz w:val="20"/>
                <w:szCs w:val="20"/>
              </w:rPr>
              <w:t>7,339,264 (62.6 million EUR)</w:t>
            </w:r>
          </w:p>
        </w:tc>
      </w:tr>
      <w:tr w:rsidR="0094644B" w:rsidRPr="00F07779" w14:paraId="0CFF0B74"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3679E98A" w14:textId="77777777" w:rsidR="0094644B" w:rsidRPr="00F07779" w:rsidRDefault="0094644B" w:rsidP="00FB5086">
            <w:pPr>
              <w:rPr>
                <w:sz w:val="20"/>
                <w:szCs w:val="20"/>
              </w:rPr>
            </w:pPr>
            <w:r w:rsidRPr="00FA3F57">
              <w:rPr>
                <w:sz w:val="20"/>
                <w:szCs w:val="20"/>
              </w:rPr>
              <w:t>Planned investments for 2026.</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7E012540" w14:textId="77777777" w:rsidR="0094644B" w:rsidRPr="00FA3F57" w:rsidRDefault="0094644B" w:rsidP="00FB5086">
            <w:pPr>
              <w:rPr>
                <w:color w:val="000000"/>
                <w:sz w:val="20"/>
                <w:szCs w:val="20"/>
              </w:rPr>
            </w:pPr>
            <w:r w:rsidRPr="00FA3F57">
              <w:rPr>
                <w:color w:val="000000"/>
                <w:sz w:val="20"/>
                <w:szCs w:val="20"/>
              </w:rPr>
              <w:t>1,732,081 (budget RS)</w:t>
            </w:r>
          </w:p>
        </w:tc>
      </w:tr>
      <w:tr w:rsidR="0094644B" w:rsidRPr="00F07779" w14:paraId="2F91F7DE"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2F6716B7" w14:textId="77777777" w:rsidR="0094644B" w:rsidRPr="00F07779" w:rsidRDefault="0094644B" w:rsidP="00FB5086">
            <w:pPr>
              <w:rPr>
                <w:sz w:val="20"/>
                <w:szCs w:val="20"/>
              </w:rPr>
            </w:pPr>
            <w:r w:rsidRPr="00FA3F57">
              <w:rPr>
                <w:sz w:val="20"/>
                <w:szCs w:val="20"/>
              </w:rPr>
              <w:t>Planned investments for 2027.</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20DF3F74" w14:textId="77777777" w:rsidR="0094644B" w:rsidRPr="00F07779" w:rsidRDefault="0094644B" w:rsidP="00FB5086">
            <w:pPr>
              <w:rPr>
                <w:color w:val="000000"/>
                <w:sz w:val="20"/>
                <w:szCs w:val="20"/>
              </w:rPr>
            </w:pPr>
            <w:r w:rsidRPr="00F07779">
              <w:rPr>
                <w:color w:val="000000"/>
                <w:sz w:val="20"/>
                <w:szCs w:val="20"/>
              </w:rPr>
              <w:t>2,785,840 (budget RS)</w:t>
            </w:r>
          </w:p>
        </w:tc>
      </w:tr>
      <w:tr w:rsidR="0094644B" w:rsidRPr="00F07779" w14:paraId="7F8164A8"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0DDED85E" w14:textId="77777777" w:rsidR="0094644B" w:rsidRPr="00F07779" w:rsidRDefault="0094644B" w:rsidP="00FB5086">
            <w:pPr>
              <w:rPr>
                <w:sz w:val="20"/>
                <w:szCs w:val="20"/>
              </w:rPr>
            </w:pPr>
            <w:r w:rsidRPr="00FA3F57">
              <w:rPr>
                <w:sz w:val="20"/>
                <w:szCs w:val="20"/>
              </w:rPr>
              <w:t>Planned investments for 2028.</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391F4406" w14:textId="77777777" w:rsidR="0094644B" w:rsidRPr="00F07779" w:rsidRDefault="0094644B" w:rsidP="00FB5086">
            <w:pPr>
              <w:rPr>
                <w:sz w:val="20"/>
                <w:szCs w:val="20"/>
              </w:rPr>
            </w:pPr>
            <w:r w:rsidRPr="00F07779">
              <w:rPr>
                <w:sz w:val="20"/>
                <w:szCs w:val="20"/>
              </w:rPr>
              <w:t>0</w:t>
            </w:r>
          </w:p>
        </w:tc>
      </w:tr>
    </w:tbl>
    <w:p w14:paraId="21FF7001" w14:textId="77777777" w:rsidR="0094644B" w:rsidRPr="00F07779" w:rsidRDefault="0094644B" w:rsidP="0094644B">
      <w:pPr>
        <w:tabs>
          <w:tab w:val="left" w:pos="1276"/>
          <w:tab w:val="left" w:pos="1560"/>
        </w:tabs>
        <w:ind w:left="1440" w:hanging="1440"/>
      </w:pPr>
    </w:p>
    <w:tbl>
      <w:tblPr>
        <w:tblStyle w:val="TableGrid"/>
        <w:tblW w:w="0" w:type="auto"/>
        <w:tblLook w:val="04A0" w:firstRow="1" w:lastRow="0" w:firstColumn="1" w:lastColumn="0" w:noHBand="0" w:noVBand="1"/>
      </w:tblPr>
      <w:tblGrid>
        <w:gridCol w:w="2973"/>
        <w:gridCol w:w="5667"/>
      </w:tblGrid>
      <w:tr w:rsidR="0094644B" w:rsidRPr="00F07779" w14:paraId="694BFD06"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F788A49" w14:textId="77777777" w:rsidR="0094644B" w:rsidRPr="00F07779" w:rsidRDefault="0094644B" w:rsidP="00FB5086">
            <w:pPr>
              <w:rPr>
                <w:sz w:val="20"/>
                <w:szCs w:val="20"/>
              </w:rPr>
            </w:pPr>
            <w:r w:rsidRPr="00F07779">
              <w:rPr>
                <w:sz w:val="20"/>
                <w:szCs w:val="20"/>
              </w:rPr>
              <w:t>Activity EL1.2</w:t>
            </w:r>
          </w:p>
        </w:tc>
        <w:tc>
          <w:tcPr>
            <w:tcW w:w="566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E5E0E01" w14:textId="77777777" w:rsidR="0094644B" w:rsidRPr="00F07779" w:rsidRDefault="0094644B" w:rsidP="00FB5086">
            <w:pPr>
              <w:rPr>
                <w:sz w:val="20"/>
                <w:szCs w:val="20"/>
              </w:rPr>
            </w:pPr>
            <w:r w:rsidRPr="00F07779">
              <w:rPr>
                <w:sz w:val="20"/>
                <w:szCs w:val="20"/>
              </w:rPr>
              <w:t>Investment projects focused on the reconstruction and construction of the transmission network</w:t>
            </w:r>
          </w:p>
        </w:tc>
      </w:tr>
      <w:tr w:rsidR="0094644B" w:rsidRPr="00F07779" w14:paraId="41C6AF2B"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2336C605" w14:textId="77777777" w:rsidR="0094644B" w:rsidRPr="00F07779" w:rsidRDefault="0094644B" w:rsidP="00FB5086">
            <w:pPr>
              <w:rPr>
                <w:sz w:val="20"/>
                <w:szCs w:val="20"/>
              </w:rPr>
            </w:pPr>
            <w:r w:rsidRPr="00FA3F57">
              <w:rPr>
                <w:sz w:val="20"/>
                <w:szCs w:val="20"/>
              </w:rPr>
              <w:t>Name of the project</w:t>
            </w:r>
          </w:p>
        </w:tc>
        <w:tc>
          <w:tcPr>
            <w:tcW w:w="5667"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07576471" w14:textId="77777777" w:rsidR="0094644B" w:rsidRPr="00F07779" w:rsidRDefault="0094644B" w:rsidP="00FB5086">
            <w:pPr>
              <w:rPr>
                <w:sz w:val="20"/>
                <w:szCs w:val="20"/>
              </w:rPr>
            </w:pPr>
            <w:proofErr w:type="spellStart"/>
            <w:r w:rsidRPr="00F07779">
              <w:rPr>
                <w:sz w:val="20"/>
                <w:szCs w:val="20"/>
              </w:rPr>
              <w:t>BeoGrid</w:t>
            </w:r>
            <w:proofErr w:type="spellEnd"/>
            <w:r w:rsidRPr="00F07779">
              <w:rPr>
                <w:sz w:val="20"/>
                <w:szCs w:val="20"/>
              </w:rPr>
              <w:t xml:space="preserve"> 2025</w:t>
            </w:r>
          </w:p>
          <w:p w14:paraId="3EB5067D" w14:textId="77777777" w:rsidR="0094644B" w:rsidRPr="00F07779" w:rsidRDefault="0094644B" w:rsidP="00FB5086">
            <w:pPr>
              <w:rPr>
                <w:sz w:val="20"/>
                <w:szCs w:val="20"/>
              </w:rPr>
            </w:pPr>
            <w:r w:rsidRPr="00F07779">
              <w:rPr>
                <w:sz w:val="20"/>
                <w:szCs w:val="20"/>
              </w:rPr>
              <w:t xml:space="preserve">400/110 kV TS Belgrade 50 with branching of 400 kV and 110 kV lines, and </w:t>
            </w:r>
            <w:proofErr w:type="gramStart"/>
            <w:r w:rsidRPr="00F07779">
              <w:rPr>
                <w:sz w:val="20"/>
                <w:szCs w:val="20"/>
              </w:rPr>
              <w:t>a</w:t>
            </w:r>
            <w:proofErr w:type="gramEnd"/>
            <w:r w:rsidRPr="00F07779">
              <w:rPr>
                <w:sz w:val="20"/>
                <w:szCs w:val="20"/>
              </w:rPr>
              <w:t xml:space="preserve"> OHL 400 kV TS Belgrade 50 - South Banat region</w:t>
            </w:r>
          </w:p>
        </w:tc>
      </w:tr>
      <w:tr w:rsidR="0094644B" w:rsidRPr="00F07779" w14:paraId="61751595"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E3AE294" w14:textId="77777777" w:rsidR="0094644B" w:rsidRPr="00F07779" w:rsidRDefault="0094644B" w:rsidP="00FB5086">
            <w:pPr>
              <w:rPr>
                <w:sz w:val="20"/>
                <w:szCs w:val="20"/>
              </w:rPr>
            </w:pPr>
            <w:r w:rsidRPr="00FA3F57">
              <w:rPr>
                <w:sz w:val="20"/>
                <w:szCs w:val="20"/>
              </w:rPr>
              <w:t xml:space="preserve">Name of the </w:t>
            </w:r>
            <w:r w:rsidRPr="00F07779">
              <w:rPr>
                <w:sz w:val="20"/>
                <w:szCs w:val="20"/>
              </w:rPr>
              <w:t>investment</w:t>
            </w:r>
          </w:p>
        </w:tc>
        <w:tc>
          <w:tcPr>
            <w:tcW w:w="566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4133F6D" w14:textId="77777777" w:rsidR="0094644B" w:rsidRPr="00F07779" w:rsidRDefault="0094644B" w:rsidP="00FB5086">
            <w:pPr>
              <w:rPr>
                <w:sz w:val="20"/>
                <w:szCs w:val="20"/>
              </w:rPr>
            </w:pPr>
            <w:r w:rsidRPr="00F07779">
              <w:rPr>
                <w:sz w:val="20"/>
                <w:szCs w:val="20"/>
              </w:rPr>
              <w:t>OHL 400 kV No. 450 RP Mladost – TS Novi Sad 3, integration into Belgrade 50 substation</w:t>
            </w:r>
          </w:p>
        </w:tc>
      </w:tr>
      <w:tr w:rsidR="0094644B" w:rsidRPr="00F07779" w14:paraId="71CD9F5C"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63C9DEED" w14:textId="77777777" w:rsidR="0094644B" w:rsidRPr="00F07779" w:rsidRDefault="0094644B" w:rsidP="00FB5086">
            <w:pPr>
              <w:rPr>
                <w:sz w:val="20"/>
                <w:szCs w:val="20"/>
              </w:rPr>
            </w:pPr>
            <w:r w:rsidRPr="00FA3F57">
              <w:rPr>
                <w:sz w:val="20"/>
                <w:szCs w:val="20"/>
              </w:rPr>
              <w:t>Short description of the investment</w:t>
            </w:r>
          </w:p>
        </w:tc>
        <w:tc>
          <w:tcPr>
            <w:tcW w:w="5667" w:type="dxa"/>
            <w:tcBorders>
              <w:top w:val="single" w:sz="4" w:space="0" w:color="auto"/>
              <w:left w:val="single" w:sz="4" w:space="0" w:color="auto"/>
              <w:bottom w:val="single" w:sz="4" w:space="0" w:color="auto"/>
              <w:right w:val="single" w:sz="4" w:space="0" w:color="auto"/>
            </w:tcBorders>
            <w:hideMark/>
          </w:tcPr>
          <w:p w14:paraId="527A1638" w14:textId="77777777" w:rsidR="0094644B" w:rsidRPr="00F07779" w:rsidRDefault="0094644B" w:rsidP="00FB5086">
            <w:pPr>
              <w:rPr>
                <w:sz w:val="20"/>
                <w:szCs w:val="20"/>
              </w:rPr>
            </w:pPr>
            <w:r w:rsidRPr="00F07779">
              <w:rPr>
                <w:sz w:val="20"/>
                <w:szCs w:val="20"/>
              </w:rPr>
              <w:t xml:space="preserve">Leading </w:t>
            </w:r>
            <w:proofErr w:type="gramStart"/>
            <w:r w:rsidRPr="00F07779">
              <w:rPr>
                <w:sz w:val="20"/>
                <w:szCs w:val="20"/>
              </w:rPr>
              <w:t>the transmission</w:t>
            </w:r>
            <w:proofErr w:type="gramEnd"/>
            <w:r w:rsidRPr="00F07779">
              <w:rPr>
                <w:sz w:val="20"/>
                <w:szCs w:val="20"/>
              </w:rPr>
              <w:t xml:space="preserve"> line No. 450 into the substation, according to the input-output principle with single-system transmission lines.</w:t>
            </w:r>
          </w:p>
          <w:p w14:paraId="30B3404E" w14:textId="77777777" w:rsidR="0094644B" w:rsidRPr="00F07779" w:rsidRDefault="0094644B" w:rsidP="00FB5086">
            <w:pPr>
              <w:rPr>
                <w:sz w:val="20"/>
                <w:szCs w:val="20"/>
              </w:rPr>
            </w:pPr>
            <w:r w:rsidRPr="00F07779">
              <w:rPr>
                <w:sz w:val="20"/>
                <w:szCs w:val="20"/>
              </w:rPr>
              <w:t>Expected dynamics of project implementation:</w:t>
            </w:r>
          </w:p>
          <w:p w14:paraId="67B6C1A2" w14:textId="77777777" w:rsidR="0094644B" w:rsidRPr="00F07779" w:rsidRDefault="0094644B" w:rsidP="00FB5086">
            <w:pPr>
              <w:rPr>
                <w:sz w:val="20"/>
                <w:szCs w:val="20"/>
              </w:rPr>
            </w:pPr>
            <w:r w:rsidRPr="00F07779">
              <w:rPr>
                <w:sz w:val="20"/>
                <w:szCs w:val="20"/>
              </w:rPr>
              <w:t>2026. Construction</w:t>
            </w:r>
          </w:p>
          <w:p w14:paraId="692F40C3" w14:textId="77777777" w:rsidR="0094644B" w:rsidRPr="00F07779" w:rsidRDefault="0094644B" w:rsidP="00FB5086">
            <w:pPr>
              <w:rPr>
                <w:sz w:val="20"/>
                <w:szCs w:val="20"/>
              </w:rPr>
            </w:pPr>
            <w:r w:rsidRPr="00F07779">
              <w:rPr>
                <w:sz w:val="20"/>
                <w:szCs w:val="20"/>
              </w:rPr>
              <w:t>2027. Commissioning; trial operation</w:t>
            </w:r>
          </w:p>
          <w:p w14:paraId="54D45BAB" w14:textId="77777777" w:rsidR="0094644B" w:rsidRPr="00F07779" w:rsidRDefault="0094644B" w:rsidP="00FB5086">
            <w:pPr>
              <w:rPr>
                <w:sz w:val="20"/>
                <w:szCs w:val="20"/>
              </w:rPr>
            </w:pPr>
            <w:r w:rsidRPr="00F07779">
              <w:rPr>
                <w:sz w:val="20"/>
                <w:szCs w:val="20"/>
              </w:rPr>
              <w:t>2028. Use permit; end of project</w:t>
            </w:r>
          </w:p>
        </w:tc>
      </w:tr>
      <w:tr w:rsidR="0094644B" w:rsidRPr="00F07779" w14:paraId="6717A4FA"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7867905E" w14:textId="77777777" w:rsidR="0094644B" w:rsidRPr="00F07779" w:rsidRDefault="0094644B" w:rsidP="00FB5086">
            <w:pPr>
              <w:rPr>
                <w:sz w:val="20"/>
                <w:szCs w:val="20"/>
              </w:rPr>
            </w:pPr>
            <w:r w:rsidRPr="00FA3F57">
              <w:rPr>
                <w:sz w:val="20"/>
                <w:szCs w:val="20"/>
              </w:rPr>
              <w:t>Institutions responsible for the implementation of measures and activities</w:t>
            </w:r>
          </w:p>
        </w:tc>
        <w:tc>
          <w:tcPr>
            <w:tcW w:w="5667" w:type="dxa"/>
            <w:tcBorders>
              <w:top w:val="single" w:sz="4" w:space="0" w:color="auto"/>
              <w:left w:val="single" w:sz="4" w:space="0" w:color="auto"/>
              <w:bottom w:val="single" w:sz="4" w:space="0" w:color="auto"/>
              <w:right w:val="single" w:sz="4" w:space="0" w:color="auto"/>
            </w:tcBorders>
            <w:hideMark/>
          </w:tcPr>
          <w:p w14:paraId="381A6168" w14:textId="77777777" w:rsidR="0094644B" w:rsidRPr="00F07779" w:rsidRDefault="0094644B" w:rsidP="00FB5086">
            <w:pPr>
              <w:rPr>
                <w:sz w:val="20"/>
                <w:szCs w:val="20"/>
              </w:rPr>
            </w:pPr>
            <w:r w:rsidRPr="00FA3F57">
              <w:rPr>
                <w:sz w:val="20"/>
                <w:szCs w:val="20"/>
              </w:rPr>
              <w:t>EMS JSC Belgrade</w:t>
            </w:r>
          </w:p>
        </w:tc>
      </w:tr>
      <w:tr w:rsidR="0094644B" w:rsidRPr="00F07779" w14:paraId="786665DE"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1120EEA1" w14:textId="77777777" w:rsidR="0094644B" w:rsidRPr="00F07779" w:rsidRDefault="0094644B" w:rsidP="00FB5086">
            <w:pPr>
              <w:rPr>
                <w:sz w:val="20"/>
                <w:szCs w:val="20"/>
              </w:rPr>
            </w:pPr>
            <w:r w:rsidRPr="00FA3F57">
              <w:rPr>
                <w:sz w:val="20"/>
                <w:szCs w:val="20"/>
              </w:rPr>
              <w:t>Institutions responsible for monitoring implementation and reporting on the realization</w:t>
            </w:r>
          </w:p>
        </w:tc>
        <w:tc>
          <w:tcPr>
            <w:tcW w:w="5667" w:type="dxa"/>
            <w:tcBorders>
              <w:top w:val="single" w:sz="4" w:space="0" w:color="auto"/>
              <w:left w:val="single" w:sz="4" w:space="0" w:color="auto"/>
              <w:bottom w:val="single" w:sz="4" w:space="0" w:color="auto"/>
              <w:right w:val="single" w:sz="4" w:space="0" w:color="auto"/>
            </w:tcBorders>
            <w:hideMark/>
          </w:tcPr>
          <w:p w14:paraId="376F47DE" w14:textId="77777777" w:rsidR="0094644B" w:rsidRPr="00F07779" w:rsidRDefault="0094644B" w:rsidP="00FB5086">
            <w:pPr>
              <w:rPr>
                <w:sz w:val="20"/>
                <w:szCs w:val="20"/>
              </w:rPr>
            </w:pPr>
            <w:r w:rsidRPr="00FA3F57">
              <w:rPr>
                <w:sz w:val="20"/>
                <w:szCs w:val="20"/>
              </w:rPr>
              <w:t>EMS JSC Belgrade</w:t>
            </w:r>
          </w:p>
          <w:p w14:paraId="4324DE06" w14:textId="77777777" w:rsidR="0094644B" w:rsidRPr="00F07779" w:rsidRDefault="0094644B" w:rsidP="00FB5086">
            <w:pPr>
              <w:rPr>
                <w:sz w:val="20"/>
                <w:szCs w:val="20"/>
              </w:rPr>
            </w:pPr>
            <w:r w:rsidRPr="00F07779">
              <w:rPr>
                <w:sz w:val="20"/>
                <w:szCs w:val="20"/>
              </w:rPr>
              <w:t>Ministry of Mining and Energy</w:t>
            </w:r>
          </w:p>
        </w:tc>
      </w:tr>
      <w:tr w:rsidR="0094644B" w:rsidRPr="00F07779" w14:paraId="7B67814A"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0B5EDFC0" w14:textId="77777777" w:rsidR="0094644B" w:rsidRPr="00F07779" w:rsidRDefault="0094644B" w:rsidP="00FB5086">
            <w:pPr>
              <w:rPr>
                <w:sz w:val="20"/>
                <w:szCs w:val="20"/>
              </w:rPr>
            </w:pPr>
            <w:r w:rsidRPr="00FA3F57">
              <w:rPr>
                <w:sz w:val="20"/>
                <w:szCs w:val="20"/>
              </w:rPr>
              <w:t>Year of project funding start</w:t>
            </w:r>
          </w:p>
        </w:tc>
        <w:tc>
          <w:tcPr>
            <w:tcW w:w="5667" w:type="dxa"/>
            <w:tcBorders>
              <w:top w:val="single" w:sz="4" w:space="0" w:color="auto"/>
              <w:left w:val="single" w:sz="4" w:space="0" w:color="auto"/>
              <w:bottom w:val="single" w:sz="4" w:space="0" w:color="auto"/>
              <w:right w:val="single" w:sz="4" w:space="0" w:color="auto"/>
            </w:tcBorders>
            <w:hideMark/>
          </w:tcPr>
          <w:p w14:paraId="51BA8404" w14:textId="77777777" w:rsidR="0094644B" w:rsidRPr="00F07779" w:rsidRDefault="0094644B" w:rsidP="00FB5086">
            <w:pPr>
              <w:rPr>
                <w:sz w:val="20"/>
                <w:szCs w:val="20"/>
              </w:rPr>
            </w:pPr>
            <w:r w:rsidRPr="00F07779">
              <w:rPr>
                <w:sz w:val="20"/>
                <w:szCs w:val="20"/>
              </w:rPr>
              <w:t>2021.</w:t>
            </w:r>
          </w:p>
        </w:tc>
      </w:tr>
      <w:tr w:rsidR="0094644B" w:rsidRPr="00F07779" w14:paraId="27296E4C"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4CD7ED0B" w14:textId="77777777" w:rsidR="0094644B" w:rsidRPr="00F07779" w:rsidRDefault="0094644B" w:rsidP="00FB5086">
            <w:pPr>
              <w:rPr>
                <w:sz w:val="20"/>
                <w:szCs w:val="20"/>
              </w:rPr>
            </w:pPr>
            <w:r w:rsidRPr="00FA3F57">
              <w:rPr>
                <w:sz w:val="20"/>
                <w:szCs w:val="20"/>
              </w:rPr>
              <w:t>Year of completion of project funding</w:t>
            </w:r>
          </w:p>
        </w:tc>
        <w:tc>
          <w:tcPr>
            <w:tcW w:w="5667" w:type="dxa"/>
            <w:tcBorders>
              <w:top w:val="single" w:sz="4" w:space="0" w:color="auto"/>
              <w:left w:val="single" w:sz="4" w:space="0" w:color="auto"/>
              <w:bottom w:val="single" w:sz="4" w:space="0" w:color="auto"/>
              <w:right w:val="single" w:sz="4" w:space="0" w:color="auto"/>
            </w:tcBorders>
            <w:hideMark/>
          </w:tcPr>
          <w:p w14:paraId="12AD8DE6" w14:textId="77777777" w:rsidR="0094644B" w:rsidRPr="00F07779" w:rsidRDefault="0094644B" w:rsidP="00FB5086">
            <w:pPr>
              <w:rPr>
                <w:sz w:val="20"/>
                <w:szCs w:val="20"/>
              </w:rPr>
            </w:pPr>
            <w:r w:rsidRPr="00F07779">
              <w:rPr>
                <w:sz w:val="20"/>
                <w:szCs w:val="20"/>
              </w:rPr>
              <w:t>2026.</w:t>
            </w:r>
          </w:p>
        </w:tc>
      </w:tr>
      <w:tr w:rsidR="0094644B" w:rsidRPr="00F07779" w14:paraId="06915BB0"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7B7926DB" w14:textId="77777777" w:rsidR="0094644B" w:rsidRPr="00F07779" w:rsidRDefault="0094644B" w:rsidP="00FB5086">
            <w:pPr>
              <w:rPr>
                <w:sz w:val="20"/>
                <w:szCs w:val="20"/>
              </w:rPr>
            </w:pPr>
            <w:r w:rsidRPr="00FA3F57">
              <w:rPr>
                <w:sz w:val="20"/>
                <w:szCs w:val="20"/>
              </w:rPr>
              <w:t>Total project value</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71D4AA2C" w14:textId="77777777" w:rsidR="0094644B" w:rsidRPr="00F07779" w:rsidRDefault="0094644B" w:rsidP="00FB5086">
            <w:pPr>
              <w:rPr>
                <w:color w:val="000000"/>
                <w:sz w:val="20"/>
                <w:szCs w:val="20"/>
                <w:lang w:eastAsia="en-US"/>
              </w:rPr>
            </w:pPr>
            <w:r w:rsidRPr="00F07779">
              <w:rPr>
                <w:color w:val="000000"/>
                <w:sz w:val="20"/>
                <w:szCs w:val="20"/>
              </w:rPr>
              <w:t>2,921,351 (24.92 million EUR)</w:t>
            </w:r>
          </w:p>
        </w:tc>
      </w:tr>
      <w:tr w:rsidR="0094644B" w:rsidRPr="00F07779" w14:paraId="4B462C7C"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1177329A" w14:textId="77777777" w:rsidR="0094644B" w:rsidRPr="00F07779" w:rsidRDefault="0094644B" w:rsidP="00FB5086">
            <w:pPr>
              <w:rPr>
                <w:sz w:val="20"/>
                <w:szCs w:val="20"/>
              </w:rPr>
            </w:pPr>
            <w:r w:rsidRPr="00FA3F57">
              <w:rPr>
                <w:sz w:val="20"/>
                <w:szCs w:val="20"/>
              </w:rPr>
              <w:t>Planned investments for 2026.</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24DCF23F" w14:textId="77777777" w:rsidR="0094644B" w:rsidRPr="00F07779" w:rsidRDefault="0094644B" w:rsidP="00FB5086">
            <w:pPr>
              <w:rPr>
                <w:color w:val="000000"/>
                <w:sz w:val="20"/>
                <w:szCs w:val="20"/>
                <w:lang w:eastAsia="en-US"/>
              </w:rPr>
            </w:pPr>
            <w:r w:rsidRPr="00F07779">
              <w:rPr>
                <w:color w:val="000000"/>
                <w:sz w:val="20"/>
                <w:szCs w:val="20"/>
              </w:rPr>
              <w:t>1,788,631 (budget RS)</w:t>
            </w:r>
          </w:p>
        </w:tc>
      </w:tr>
      <w:tr w:rsidR="0094644B" w:rsidRPr="00F07779" w14:paraId="6A411CED"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5E256377" w14:textId="77777777" w:rsidR="0094644B" w:rsidRPr="00F07779" w:rsidRDefault="0094644B" w:rsidP="00FB5086">
            <w:pPr>
              <w:rPr>
                <w:sz w:val="20"/>
                <w:szCs w:val="20"/>
              </w:rPr>
            </w:pPr>
            <w:r w:rsidRPr="00FA3F57">
              <w:rPr>
                <w:sz w:val="20"/>
                <w:szCs w:val="20"/>
              </w:rPr>
              <w:t>Planned investments for 2027.</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5B65C4F0" w14:textId="77777777" w:rsidR="0094644B" w:rsidRPr="00F07779" w:rsidRDefault="0094644B" w:rsidP="00FB5086">
            <w:pPr>
              <w:rPr>
                <w:sz w:val="20"/>
                <w:szCs w:val="20"/>
              </w:rPr>
            </w:pPr>
            <w:r w:rsidRPr="00F07779">
              <w:rPr>
                <w:sz w:val="20"/>
                <w:szCs w:val="20"/>
              </w:rPr>
              <w:t>0</w:t>
            </w:r>
          </w:p>
        </w:tc>
      </w:tr>
      <w:tr w:rsidR="0094644B" w:rsidRPr="00F07779" w14:paraId="4A3CBD6B"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5EFFA5F5" w14:textId="77777777" w:rsidR="0094644B" w:rsidRPr="00F07779" w:rsidRDefault="0094644B" w:rsidP="00FB5086">
            <w:pPr>
              <w:rPr>
                <w:sz w:val="20"/>
                <w:szCs w:val="20"/>
              </w:rPr>
            </w:pPr>
            <w:r w:rsidRPr="00FA3F57">
              <w:rPr>
                <w:sz w:val="20"/>
                <w:szCs w:val="20"/>
              </w:rPr>
              <w:t>Planned investments for 2028.</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108E9D7F" w14:textId="77777777" w:rsidR="0094644B" w:rsidRPr="00F07779" w:rsidRDefault="0094644B" w:rsidP="00FB5086">
            <w:pPr>
              <w:rPr>
                <w:sz w:val="20"/>
                <w:szCs w:val="20"/>
              </w:rPr>
            </w:pPr>
            <w:r w:rsidRPr="00F07779">
              <w:rPr>
                <w:sz w:val="20"/>
                <w:szCs w:val="20"/>
              </w:rPr>
              <w:t>0</w:t>
            </w:r>
          </w:p>
        </w:tc>
      </w:tr>
    </w:tbl>
    <w:p w14:paraId="173B9920" w14:textId="77777777" w:rsidR="0094644B" w:rsidRPr="00F07779" w:rsidRDefault="0094644B" w:rsidP="0094644B">
      <w:pPr>
        <w:tabs>
          <w:tab w:val="left" w:pos="1276"/>
          <w:tab w:val="left" w:pos="1560"/>
        </w:tabs>
        <w:ind w:left="1440" w:hanging="1440"/>
      </w:pPr>
    </w:p>
    <w:tbl>
      <w:tblPr>
        <w:tblStyle w:val="TableGrid"/>
        <w:tblW w:w="0" w:type="auto"/>
        <w:tblLook w:val="04A0" w:firstRow="1" w:lastRow="0" w:firstColumn="1" w:lastColumn="0" w:noHBand="0" w:noVBand="1"/>
      </w:tblPr>
      <w:tblGrid>
        <w:gridCol w:w="2973"/>
        <w:gridCol w:w="5667"/>
      </w:tblGrid>
      <w:tr w:rsidR="0094644B" w:rsidRPr="00F07779" w14:paraId="4CDB3A73"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46E1FA3" w14:textId="77777777" w:rsidR="0094644B" w:rsidRPr="00F07779" w:rsidRDefault="0094644B" w:rsidP="00FB5086">
            <w:pPr>
              <w:rPr>
                <w:sz w:val="20"/>
                <w:szCs w:val="20"/>
              </w:rPr>
            </w:pPr>
            <w:r w:rsidRPr="00F07779">
              <w:rPr>
                <w:sz w:val="20"/>
                <w:szCs w:val="20"/>
              </w:rPr>
              <w:t>Activity EL1.2</w:t>
            </w:r>
          </w:p>
        </w:tc>
        <w:tc>
          <w:tcPr>
            <w:tcW w:w="566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FC0A733" w14:textId="77777777" w:rsidR="0094644B" w:rsidRPr="00F07779" w:rsidRDefault="0094644B" w:rsidP="00FB5086">
            <w:pPr>
              <w:rPr>
                <w:sz w:val="20"/>
                <w:szCs w:val="20"/>
              </w:rPr>
            </w:pPr>
            <w:r w:rsidRPr="00F07779">
              <w:rPr>
                <w:sz w:val="20"/>
                <w:szCs w:val="20"/>
              </w:rPr>
              <w:t>Investment projects focused on the reconstruction and construction of the transmission network</w:t>
            </w:r>
          </w:p>
        </w:tc>
      </w:tr>
      <w:tr w:rsidR="0094644B" w:rsidRPr="00F07779" w14:paraId="223206C7"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115E2F69" w14:textId="77777777" w:rsidR="0094644B" w:rsidRPr="00F07779" w:rsidRDefault="0094644B" w:rsidP="00FB5086">
            <w:pPr>
              <w:rPr>
                <w:sz w:val="20"/>
                <w:szCs w:val="20"/>
              </w:rPr>
            </w:pPr>
            <w:r w:rsidRPr="00FA3F57">
              <w:rPr>
                <w:sz w:val="20"/>
                <w:szCs w:val="20"/>
              </w:rPr>
              <w:t>Name of the project</w:t>
            </w:r>
          </w:p>
        </w:tc>
        <w:tc>
          <w:tcPr>
            <w:tcW w:w="5667"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654D9C9E" w14:textId="77777777" w:rsidR="0094644B" w:rsidRPr="00F07779" w:rsidRDefault="0094644B" w:rsidP="00FB5086">
            <w:pPr>
              <w:rPr>
                <w:sz w:val="20"/>
                <w:szCs w:val="20"/>
              </w:rPr>
            </w:pPr>
            <w:proofErr w:type="spellStart"/>
            <w:r w:rsidRPr="00F07779">
              <w:rPr>
                <w:sz w:val="20"/>
                <w:szCs w:val="20"/>
              </w:rPr>
              <w:t>BeoGrid</w:t>
            </w:r>
            <w:proofErr w:type="spellEnd"/>
            <w:r w:rsidRPr="00F07779">
              <w:rPr>
                <w:sz w:val="20"/>
                <w:szCs w:val="20"/>
              </w:rPr>
              <w:t xml:space="preserve"> 2025</w:t>
            </w:r>
          </w:p>
          <w:p w14:paraId="6D7E528E" w14:textId="77777777" w:rsidR="0094644B" w:rsidRPr="00F07779" w:rsidRDefault="0094644B" w:rsidP="00FB5086">
            <w:pPr>
              <w:rPr>
                <w:sz w:val="20"/>
                <w:szCs w:val="20"/>
              </w:rPr>
            </w:pPr>
            <w:r w:rsidRPr="00F07779">
              <w:rPr>
                <w:sz w:val="20"/>
                <w:szCs w:val="20"/>
              </w:rPr>
              <w:t>TS 400/110 kV Belgrade 50 with branching of 400 kV and 110 kV lines, and OHL 400 kV TS Belgrade 50 - South Banat region</w:t>
            </w:r>
          </w:p>
        </w:tc>
      </w:tr>
      <w:tr w:rsidR="0094644B" w:rsidRPr="00F07779" w14:paraId="5BB956E3"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43AB710" w14:textId="77777777" w:rsidR="0094644B" w:rsidRPr="00F07779" w:rsidRDefault="0094644B" w:rsidP="00FB5086">
            <w:pPr>
              <w:rPr>
                <w:sz w:val="20"/>
                <w:szCs w:val="20"/>
              </w:rPr>
            </w:pPr>
            <w:r w:rsidRPr="00FA3F57">
              <w:rPr>
                <w:sz w:val="20"/>
                <w:szCs w:val="20"/>
              </w:rPr>
              <w:t xml:space="preserve">Name of the </w:t>
            </w:r>
            <w:r w:rsidRPr="00F07779">
              <w:rPr>
                <w:sz w:val="20"/>
                <w:szCs w:val="20"/>
              </w:rPr>
              <w:t>investment</w:t>
            </w:r>
          </w:p>
        </w:tc>
        <w:tc>
          <w:tcPr>
            <w:tcW w:w="566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B8DD88D" w14:textId="77777777" w:rsidR="0094644B" w:rsidRPr="00F07779" w:rsidRDefault="0094644B" w:rsidP="00FB5086">
            <w:pPr>
              <w:rPr>
                <w:sz w:val="20"/>
                <w:szCs w:val="20"/>
              </w:rPr>
            </w:pPr>
            <w:r w:rsidRPr="00F07779">
              <w:rPr>
                <w:sz w:val="20"/>
                <w:szCs w:val="20"/>
              </w:rPr>
              <w:t>OHL 110 kV No. 1178A TS Belgrade 5 – TS Belgrade 9, integration into TS Belgrade 50</w:t>
            </w:r>
          </w:p>
        </w:tc>
      </w:tr>
      <w:tr w:rsidR="0094644B" w:rsidRPr="00F07779" w14:paraId="7D8FBA33"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70472F1C" w14:textId="77777777" w:rsidR="0094644B" w:rsidRPr="00F07779" w:rsidRDefault="0094644B" w:rsidP="00FB5086">
            <w:pPr>
              <w:rPr>
                <w:sz w:val="20"/>
                <w:szCs w:val="20"/>
              </w:rPr>
            </w:pPr>
            <w:r w:rsidRPr="00FA3F57">
              <w:rPr>
                <w:sz w:val="20"/>
                <w:szCs w:val="20"/>
              </w:rPr>
              <w:t>Short description of the investment</w:t>
            </w:r>
          </w:p>
        </w:tc>
        <w:tc>
          <w:tcPr>
            <w:tcW w:w="5667" w:type="dxa"/>
            <w:tcBorders>
              <w:top w:val="single" w:sz="4" w:space="0" w:color="auto"/>
              <w:left w:val="single" w:sz="4" w:space="0" w:color="auto"/>
              <w:bottom w:val="single" w:sz="4" w:space="0" w:color="auto"/>
              <w:right w:val="single" w:sz="4" w:space="0" w:color="auto"/>
            </w:tcBorders>
            <w:hideMark/>
          </w:tcPr>
          <w:p w14:paraId="75E72D8B" w14:textId="77777777" w:rsidR="0094644B" w:rsidRPr="00F07779" w:rsidRDefault="0094644B" w:rsidP="00FB5086">
            <w:pPr>
              <w:rPr>
                <w:sz w:val="20"/>
                <w:szCs w:val="20"/>
              </w:rPr>
            </w:pPr>
            <w:r w:rsidRPr="00F07779">
              <w:rPr>
                <w:sz w:val="20"/>
                <w:szCs w:val="20"/>
              </w:rPr>
              <w:t>Integration of OHL 110 kV No. 1178A TS Belgrade 5</w:t>
            </w:r>
            <w:proofErr w:type="gramStart"/>
            <w:r w:rsidRPr="00F07779">
              <w:rPr>
                <w:sz w:val="20"/>
                <w:szCs w:val="20"/>
              </w:rPr>
              <w:t>–  TS</w:t>
            </w:r>
            <w:proofErr w:type="gramEnd"/>
            <w:r w:rsidRPr="00F07779">
              <w:rPr>
                <w:sz w:val="20"/>
                <w:szCs w:val="20"/>
              </w:rPr>
              <w:t xml:space="preserve"> Belgrade 9, using the in-out principle with a double-circuit overhead line.</w:t>
            </w:r>
          </w:p>
          <w:p w14:paraId="40CB2EBF" w14:textId="77777777" w:rsidR="0094644B" w:rsidRPr="00F07779" w:rsidRDefault="0094644B" w:rsidP="00FB5086">
            <w:pPr>
              <w:rPr>
                <w:sz w:val="20"/>
                <w:szCs w:val="20"/>
              </w:rPr>
            </w:pPr>
            <w:r w:rsidRPr="00F07779">
              <w:rPr>
                <w:sz w:val="20"/>
                <w:szCs w:val="20"/>
              </w:rPr>
              <w:t>Expected dynamics of project implementation:</w:t>
            </w:r>
          </w:p>
          <w:p w14:paraId="4DCD3BF7" w14:textId="77777777" w:rsidR="0094644B" w:rsidRPr="00F07779" w:rsidRDefault="0094644B" w:rsidP="00FB5086">
            <w:pPr>
              <w:rPr>
                <w:sz w:val="20"/>
                <w:szCs w:val="20"/>
              </w:rPr>
            </w:pPr>
            <w:r w:rsidRPr="00F07779">
              <w:rPr>
                <w:sz w:val="20"/>
                <w:szCs w:val="20"/>
              </w:rPr>
              <w:t>2026. Building permit</w:t>
            </w:r>
          </w:p>
          <w:p w14:paraId="55823FC1" w14:textId="77777777" w:rsidR="0094644B" w:rsidRPr="00F07779" w:rsidRDefault="0094644B" w:rsidP="00FB5086">
            <w:pPr>
              <w:rPr>
                <w:sz w:val="20"/>
                <w:szCs w:val="20"/>
              </w:rPr>
            </w:pPr>
            <w:r w:rsidRPr="00F07779">
              <w:rPr>
                <w:sz w:val="20"/>
                <w:szCs w:val="20"/>
              </w:rPr>
              <w:t>2027. Construction</w:t>
            </w:r>
          </w:p>
          <w:p w14:paraId="00D4C4D4" w14:textId="77777777" w:rsidR="0094644B" w:rsidRPr="00F07779" w:rsidRDefault="0094644B" w:rsidP="00FB5086">
            <w:pPr>
              <w:rPr>
                <w:sz w:val="20"/>
                <w:szCs w:val="20"/>
              </w:rPr>
            </w:pPr>
            <w:r w:rsidRPr="00F07779">
              <w:rPr>
                <w:sz w:val="20"/>
                <w:szCs w:val="20"/>
              </w:rPr>
              <w:t>2028. Commissioning, trial operation</w:t>
            </w:r>
          </w:p>
        </w:tc>
      </w:tr>
      <w:tr w:rsidR="0094644B" w:rsidRPr="00F07779" w14:paraId="79E2EB1E"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0DE737C9" w14:textId="77777777" w:rsidR="0094644B" w:rsidRPr="00F07779" w:rsidRDefault="0094644B" w:rsidP="00FB5086">
            <w:pPr>
              <w:rPr>
                <w:sz w:val="20"/>
                <w:szCs w:val="20"/>
              </w:rPr>
            </w:pPr>
            <w:r w:rsidRPr="00FA3F57">
              <w:rPr>
                <w:sz w:val="20"/>
                <w:szCs w:val="20"/>
              </w:rPr>
              <w:t>Institutions responsible for the implementation of measures and activities</w:t>
            </w:r>
          </w:p>
        </w:tc>
        <w:tc>
          <w:tcPr>
            <w:tcW w:w="5667" w:type="dxa"/>
            <w:tcBorders>
              <w:top w:val="single" w:sz="4" w:space="0" w:color="auto"/>
              <w:left w:val="single" w:sz="4" w:space="0" w:color="auto"/>
              <w:bottom w:val="single" w:sz="4" w:space="0" w:color="auto"/>
              <w:right w:val="single" w:sz="4" w:space="0" w:color="auto"/>
            </w:tcBorders>
            <w:hideMark/>
          </w:tcPr>
          <w:p w14:paraId="7A53BF68" w14:textId="77777777" w:rsidR="0094644B" w:rsidRPr="00F07779" w:rsidRDefault="0094644B" w:rsidP="00FB5086">
            <w:pPr>
              <w:rPr>
                <w:sz w:val="20"/>
                <w:szCs w:val="20"/>
              </w:rPr>
            </w:pPr>
            <w:r w:rsidRPr="00FA3F57">
              <w:rPr>
                <w:sz w:val="20"/>
                <w:szCs w:val="20"/>
              </w:rPr>
              <w:t>EMS JSC Belgrade</w:t>
            </w:r>
          </w:p>
        </w:tc>
      </w:tr>
      <w:tr w:rsidR="0094644B" w:rsidRPr="00F07779" w14:paraId="5CF25F76"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1162E54C" w14:textId="77777777" w:rsidR="0094644B" w:rsidRPr="00F07779" w:rsidRDefault="0094644B" w:rsidP="00FB5086">
            <w:pPr>
              <w:rPr>
                <w:sz w:val="20"/>
                <w:szCs w:val="20"/>
              </w:rPr>
            </w:pPr>
            <w:r w:rsidRPr="00FA3F57">
              <w:rPr>
                <w:sz w:val="20"/>
                <w:szCs w:val="20"/>
              </w:rPr>
              <w:lastRenderedPageBreak/>
              <w:t>Institutions responsible for monitoring implementation and reporting on the realization</w:t>
            </w:r>
          </w:p>
        </w:tc>
        <w:tc>
          <w:tcPr>
            <w:tcW w:w="5667" w:type="dxa"/>
            <w:tcBorders>
              <w:top w:val="single" w:sz="4" w:space="0" w:color="auto"/>
              <w:left w:val="single" w:sz="4" w:space="0" w:color="auto"/>
              <w:bottom w:val="single" w:sz="4" w:space="0" w:color="auto"/>
              <w:right w:val="single" w:sz="4" w:space="0" w:color="auto"/>
            </w:tcBorders>
            <w:hideMark/>
          </w:tcPr>
          <w:p w14:paraId="1A0350C8" w14:textId="77777777" w:rsidR="0094644B" w:rsidRPr="00F07779" w:rsidRDefault="0094644B" w:rsidP="00FB5086">
            <w:pPr>
              <w:rPr>
                <w:sz w:val="20"/>
                <w:szCs w:val="20"/>
              </w:rPr>
            </w:pPr>
            <w:r w:rsidRPr="00FA3F57">
              <w:rPr>
                <w:sz w:val="20"/>
                <w:szCs w:val="20"/>
              </w:rPr>
              <w:t>EMS JSC Belgrade</w:t>
            </w:r>
          </w:p>
          <w:p w14:paraId="0C3EB6AA" w14:textId="77777777" w:rsidR="0094644B" w:rsidRPr="00F07779" w:rsidRDefault="0094644B" w:rsidP="00FB5086">
            <w:pPr>
              <w:rPr>
                <w:sz w:val="20"/>
                <w:szCs w:val="20"/>
              </w:rPr>
            </w:pPr>
            <w:r w:rsidRPr="00F07779">
              <w:rPr>
                <w:sz w:val="20"/>
                <w:szCs w:val="20"/>
              </w:rPr>
              <w:t>Ministry of Mining and Energy</w:t>
            </w:r>
          </w:p>
        </w:tc>
      </w:tr>
      <w:tr w:rsidR="0094644B" w:rsidRPr="00F07779" w14:paraId="3EA02A85"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59452B8D" w14:textId="77777777" w:rsidR="0094644B" w:rsidRPr="00F07779" w:rsidRDefault="0094644B" w:rsidP="00FB5086">
            <w:pPr>
              <w:rPr>
                <w:sz w:val="20"/>
                <w:szCs w:val="20"/>
              </w:rPr>
            </w:pPr>
            <w:r w:rsidRPr="00FA3F57">
              <w:rPr>
                <w:sz w:val="20"/>
                <w:szCs w:val="20"/>
              </w:rPr>
              <w:t>Year of project funding start</w:t>
            </w:r>
          </w:p>
        </w:tc>
        <w:tc>
          <w:tcPr>
            <w:tcW w:w="5667" w:type="dxa"/>
            <w:tcBorders>
              <w:top w:val="single" w:sz="4" w:space="0" w:color="auto"/>
              <w:left w:val="single" w:sz="4" w:space="0" w:color="auto"/>
              <w:bottom w:val="single" w:sz="4" w:space="0" w:color="auto"/>
              <w:right w:val="single" w:sz="4" w:space="0" w:color="auto"/>
            </w:tcBorders>
            <w:hideMark/>
          </w:tcPr>
          <w:p w14:paraId="4DA49976" w14:textId="77777777" w:rsidR="0094644B" w:rsidRPr="00F07779" w:rsidRDefault="0094644B" w:rsidP="00FB5086">
            <w:pPr>
              <w:rPr>
                <w:sz w:val="20"/>
                <w:szCs w:val="20"/>
              </w:rPr>
            </w:pPr>
            <w:r w:rsidRPr="00F07779">
              <w:rPr>
                <w:sz w:val="20"/>
                <w:szCs w:val="20"/>
              </w:rPr>
              <w:t>2021.</w:t>
            </w:r>
          </w:p>
        </w:tc>
      </w:tr>
      <w:tr w:rsidR="0094644B" w:rsidRPr="00F07779" w14:paraId="52ABCACF"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218C0450" w14:textId="77777777" w:rsidR="0094644B" w:rsidRPr="00F07779" w:rsidRDefault="0094644B" w:rsidP="00FB5086">
            <w:pPr>
              <w:rPr>
                <w:sz w:val="20"/>
                <w:szCs w:val="20"/>
              </w:rPr>
            </w:pPr>
            <w:r w:rsidRPr="00FA3F57">
              <w:rPr>
                <w:sz w:val="20"/>
                <w:szCs w:val="20"/>
              </w:rPr>
              <w:t>Year of completion of project funding</w:t>
            </w:r>
          </w:p>
        </w:tc>
        <w:tc>
          <w:tcPr>
            <w:tcW w:w="5667" w:type="dxa"/>
            <w:tcBorders>
              <w:top w:val="single" w:sz="4" w:space="0" w:color="auto"/>
              <w:left w:val="single" w:sz="4" w:space="0" w:color="auto"/>
              <w:bottom w:val="single" w:sz="4" w:space="0" w:color="auto"/>
              <w:right w:val="single" w:sz="4" w:space="0" w:color="auto"/>
            </w:tcBorders>
            <w:hideMark/>
          </w:tcPr>
          <w:p w14:paraId="138E3C4B" w14:textId="77777777" w:rsidR="0094644B" w:rsidRPr="00F07779" w:rsidRDefault="0094644B" w:rsidP="00FB5086">
            <w:pPr>
              <w:rPr>
                <w:sz w:val="20"/>
                <w:szCs w:val="20"/>
              </w:rPr>
            </w:pPr>
            <w:r w:rsidRPr="00F07779">
              <w:rPr>
                <w:sz w:val="20"/>
                <w:szCs w:val="20"/>
              </w:rPr>
              <w:t>2028.</w:t>
            </w:r>
          </w:p>
        </w:tc>
      </w:tr>
      <w:tr w:rsidR="0094644B" w:rsidRPr="00F07779" w14:paraId="437E5955"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23903E91" w14:textId="77777777" w:rsidR="0094644B" w:rsidRPr="00F07779" w:rsidRDefault="0094644B" w:rsidP="00FB5086">
            <w:pPr>
              <w:rPr>
                <w:sz w:val="20"/>
                <w:szCs w:val="20"/>
              </w:rPr>
            </w:pPr>
            <w:r w:rsidRPr="00FA3F57">
              <w:rPr>
                <w:sz w:val="20"/>
                <w:szCs w:val="20"/>
              </w:rPr>
              <w:t>Total project value</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6FBD1292" w14:textId="77777777" w:rsidR="0094644B" w:rsidRPr="00F07779" w:rsidRDefault="0094644B" w:rsidP="00FB5086">
            <w:pPr>
              <w:rPr>
                <w:color w:val="000000"/>
                <w:sz w:val="20"/>
                <w:szCs w:val="20"/>
                <w:lang w:eastAsia="en-US"/>
              </w:rPr>
            </w:pPr>
            <w:r w:rsidRPr="00F07779">
              <w:rPr>
                <w:color w:val="000000"/>
                <w:sz w:val="20"/>
                <w:szCs w:val="20"/>
              </w:rPr>
              <w:t>1,194,919 (10.19 million EUR)</w:t>
            </w:r>
          </w:p>
        </w:tc>
      </w:tr>
      <w:tr w:rsidR="0094644B" w:rsidRPr="00F07779" w14:paraId="2348E35A"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6135FA1A" w14:textId="77777777" w:rsidR="0094644B" w:rsidRPr="00F07779" w:rsidRDefault="0094644B" w:rsidP="00FB5086">
            <w:pPr>
              <w:rPr>
                <w:sz w:val="20"/>
                <w:szCs w:val="20"/>
              </w:rPr>
            </w:pPr>
            <w:r w:rsidRPr="00FA3F57">
              <w:rPr>
                <w:sz w:val="20"/>
                <w:szCs w:val="20"/>
              </w:rPr>
              <w:t>Planned investments for 2026.</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6EC8AAAF" w14:textId="77777777" w:rsidR="0094644B" w:rsidRPr="00F07779" w:rsidRDefault="0094644B" w:rsidP="00FB5086">
            <w:pPr>
              <w:rPr>
                <w:color w:val="000000"/>
                <w:sz w:val="20"/>
                <w:szCs w:val="20"/>
                <w:lang w:eastAsia="en-US"/>
              </w:rPr>
            </w:pPr>
            <w:r w:rsidRPr="00F07779">
              <w:rPr>
                <w:color w:val="000000"/>
                <w:sz w:val="20"/>
                <w:szCs w:val="20"/>
              </w:rPr>
              <w:t>14,367 (budget RS)</w:t>
            </w:r>
          </w:p>
        </w:tc>
      </w:tr>
      <w:tr w:rsidR="0094644B" w:rsidRPr="00F07779" w14:paraId="1F6AE647"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3E46BD33" w14:textId="77777777" w:rsidR="0094644B" w:rsidRPr="00F07779" w:rsidRDefault="0094644B" w:rsidP="00FB5086">
            <w:pPr>
              <w:rPr>
                <w:sz w:val="20"/>
                <w:szCs w:val="20"/>
              </w:rPr>
            </w:pPr>
            <w:r w:rsidRPr="00FA3F57">
              <w:rPr>
                <w:sz w:val="20"/>
                <w:szCs w:val="20"/>
              </w:rPr>
              <w:t>Planned investments for 2027.</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3AD52EA3" w14:textId="77777777" w:rsidR="0094644B" w:rsidRPr="00F07779" w:rsidRDefault="0094644B" w:rsidP="00FB5086">
            <w:pPr>
              <w:rPr>
                <w:sz w:val="20"/>
                <w:szCs w:val="20"/>
              </w:rPr>
            </w:pPr>
            <w:r w:rsidRPr="00F07779">
              <w:rPr>
                <w:sz w:val="20"/>
                <w:szCs w:val="20"/>
              </w:rPr>
              <w:t>364,607 (budget RS)</w:t>
            </w:r>
          </w:p>
        </w:tc>
      </w:tr>
      <w:tr w:rsidR="0094644B" w:rsidRPr="00F07779" w14:paraId="58E1DF3B"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6310FB12" w14:textId="77777777" w:rsidR="0094644B" w:rsidRPr="00F07779" w:rsidRDefault="0094644B" w:rsidP="00FB5086">
            <w:pPr>
              <w:rPr>
                <w:sz w:val="20"/>
                <w:szCs w:val="20"/>
              </w:rPr>
            </w:pPr>
            <w:r w:rsidRPr="00FA3F57">
              <w:rPr>
                <w:sz w:val="20"/>
                <w:szCs w:val="20"/>
              </w:rPr>
              <w:t>Planned investments for 2028.</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1D7CD41B" w14:textId="77777777" w:rsidR="0094644B" w:rsidRPr="00F07779" w:rsidRDefault="0094644B" w:rsidP="00FB5086">
            <w:pPr>
              <w:rPr>
                <w:sz w:val="20"/>
                <w:szCs w:val="20"/>
              </w:rPr>
            </w:pPr>
            <w:r w:rsidRPr="00F07779">
              <w:rPr>
                <w:sz w:val="20"/>
                <w:szCs w:val="20"/>
              </w:rPr>
              <w:t>812,381 (budget RS)</w:t>
            </w:r>
          </w:p>
        </w:tc>
      </w:tr>
    </w:tbl>
    <w:p w14:paraId="6C3DC8F3" w14:textId="77777777" w:rsidR="0094644B" w:rsidRPr="00F07779" w:rsidRDefault="0094644B" w:rsidP="0094644B">
      <w:pPr>
        <w:tabs>
          <w:tab w:val="left" w:pos="1276"/>
          <w:tab w:val="left" w:pos="1560"/>
        </w:tabs>
        <w:ind w:left="1440" w:hanging="1440"/>
      </w:pPr>
    </w:p>
    <w:tbl>
      <w:tblPr>
        <w:tblStyle w:val="TableGrid"/>
        <w:tblW w:w="0" w:type="auto"/>
        <w:tblLook w:val="04A0" w:firstRow="1" w:lastRow="0" w:firstColumn="1" w:lastColumn="0" w:noHBand="0" w:noVBand="1"/>
      </w:tblPr>
      <w:tblGrid>
        <w:gridCol w:w="2973"/>
        <w:gridCol w:w="5667"/>
      </w:tblGrid>
      <w:tr w:rsidR="0094644B" w:rsidRPr="00F07779" w14:paraId="1436A8AD"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9530F69" w14:textId="77777777" w:rsidR="0094644B" w:rsidRPr="00F07779" w:rsidRDefault="0094644B" w:rsidP="00FB5086">
            <w:pPr>
              <w:rPr>
                <w:sz w:val="20"/>
                <w:szCs w:val="20"/>
              </w:rPr>
            </w:pPr>
            <w:r w:rsidRPr="00F07779">
              <w:rPr>
                <w:sz w:val="20"/>
                <w:szCs w:val="20"/>
              </w:rPr>
              <w:t>Activity EL1.2</w:t>
            </w:r>
          </w:p>
        </w:tc>
        <w:tc>
          <w:tcPr>
            <w:tcW w:w="566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282EFCF" w14:textId="77777777" w:rsidR="0094644B" w:rsidRPr="00F07779" w:rsidRDefault="0094644B" w:rsidP="00FB5086">
            <w:pPr>
              <w:rPr>
                <w:sz w:val="20"/>
                <w:szCs w:val="20"/>
              </w:rPr>
            </w:pPr>
            <w:r w:rsidRPr="00F07779">
              <w:rPr>
                <w:sz w:val="20"/>
                <w:szCs w:val="20"/>
              </w:rPr>
              <w:t>Investment projects focused on the reconstruction and construction of the transmission network</w:t>
            </w:r>
          </w:p>
        </w:tc>
      </w:tr>
      <w:tr w:rsidR="0094644B" w:rsidRPr="00F07779" w14:paraId="1C5485BD"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0FF1AB79" w14:textId="77777777" w:rsidR="0094644B" w:rsidRPr="00F07779" w:rsidRDefault="0094644B" w:rsidP="00FB5086">
            <w:pPr>
              <w:rPr>
                <w:sz w:val="20"/>
                <w:szCs w:val="20"/>
              </w:rPr>
            </w:pPr>
            <w:r w:rsidRPr="00FA3F57">
              <w:rPr>
                <w:sz w:val="20"/>
                <w:szCs w:val="20"/>
              </w:rPr>
              <w:t>Name of the project</w:t>
            </w:r>
          </w:p>
        </w:tc>
        <w:tc>
          <w:tcPr>
            <w:tcW w:w="5667"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454C0464" w14:textId="77777777" w:rsidR="0094644B" w:rsidRPr="00F07779" w:rsidRDefault="0094644B" w:rsidP="00FB5086">
            <w:pPr>
              <w:rPr>
                <w:sz w:val="20"/>
                <w:szCs w:val="20"/>
              </w:rPr>
            </w:pPr>
            <w:proofErr w:type="spellStart"/>
            <w:r w:rsidRPr="00F07779">
              <w:rPr>
                <w:sz w:val="20"/>
                <w:szCs w:val="20"/>
              </w:rPr>
              <w:t>BeoGrid</w:t>
            </w:r>
            <w:proofErr w:type="spellEnd"/>
            <w:r w:rsidRPr="00F07779">
              <w:rPr>
                <w:sz w:val="20"/>
                <w:szCs w:val="20"/>
              </w:rPr>
              <w:t xml:space="preserve"> 2025</w:t>
            </w:r>
          </w:p>
          <w:p w14:paraId="10515C74" w14:textId="77777777" w:rsidR="0094644B" w:rsidRPr="00F07779" w:rsidRDefault="0094644B" w:rsidP="00FB5086">
            <w:pPr>
              <w:rPr>
                <w:sz w:val="20"/>
                <w:szCs w:val="20"/>
              </w:rPr>
            </w:pPr>
            <w:r w:rsidRPr="00F07779">
              <w:rPr>
                <w:sz w:val="20"/>
                <w:szCs w:val="20"/>
              </w:rPr>
              <w:t>TS 400/110 kV Belgrade 50 with branching of 400 kV and 110 kV lines, and OHL 400 kV TS Belgrade 50 - South Banat region</w:t>
            </w:r>
          </w:p>
        </w:tc>
      </w:tr>
      <w:tr w:rsidR="0094644B" w:rsidRPr="00F07779" w14:paraId="5BB66ED6"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19B74F4" w14:textId="77777777" w:rsidR="0094644B" w:rsidRPr="00F07779" w:rsidRDefault="0094644B" w:rsidP="00FB5086">
            <w:pPr>
              <w:rPr>
                <w:sz w:val="20"/>
                <w:szCs w:val="20"/>
              </w:rPr>
            </w:pPr>
            <w:r w:rsidRPr="00FA3F57">
              <w:rPr>
                <w:sz w:val="20"/>
                <w:szCs w:val="20"/>
              </w:rPr>
              <w:t xml:space="preserve">Name of the </w:t>
            </w:r>
            <w:r w:rsidRPr="00F07779">
              <w:rPr>
                <w:sz w:val="20"/>
                <w:szCs w:val="20"/>
              </w:rPr>
              <w:t>investment</w:t>
            </w:r>
          </w:p>
        </w:tc>
        <w:tc>
          <w:tcPr>
            <w:tcW w:w="566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3E2B7EA" w14:textId="77777777" w:rsidR="0094644B" w:rsidRPr="00F07779" w:rsidRDefault="0094644B" w:rsidP="00FB5086">
            <w:pPr>
              <w:rPr>
                <w:sz w:val="20"/>
                <w:szCs w:val="20"/>
              </w:rPr>
            </w:pPr>
            <w:r w:rsidRPr="00F07779">
              <w:rPr>
                <w:sz w:val="20"/>
                <w:szCs w:val="20"/>
              </w:rPr>
              <w:t>OHL 110 kV No. 1178B TS Belgrade 5 – TS Belgrade 9, integration into TS Belgrade 50</w:t>
            </w:r>
          </w:p>
        </w:tc>
      </w:tr>
      <w:tr w:rsidR="0094644B" w:rsidRPr="00F07779" w14:paraId="0076E911"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00C6F810" w14:textId="77777777" w:rsidR="0094644B" w:rsidRPr="00F07779" w:rsidRDefault="0094644B" w:rsidP="00FB5086">
            <w:pPr>
              <w:rPr>
                <w:sz w:val="20"/>
                <w:szCs w:val="20"/>
              </w:rPr>
            </w:pPr>
            <w:r w:rsidRPr="00FA3F57">
              <w:rPr>
                <w:sz w:val="20"/>
                <w:szCs w:val="20"/>
              </w:rPr>
              <w:t>Short description of the investment</w:t>
            </w:r>
          </w:p>
        </w:tc>
        <w:tc>
          <w:tcPr>
            <w:tcW w:w="5667" w:type="dxa"/>
            <w:tcBorders>
              <w:top w:val="single" w:sz="4" w:space="0" w:color="auto"/>
              <w:left w:val="single" w:sz="4" w:space="0" w:color="auto"/>
              <w:bottom w:val="single" w:sz="4" w:space="0" w:color="auto"/>
              <w:right w:val="single" w:sz="4" w:space="0" w:color="auto"/>
            </w:tcBorders>
            <w:hideMark/>
          </w:tcPr>
          <w:p w14:paraId="6C273C00" w14:textId="77777777" w:rsidR="0094644B" w:rsidRPr="00F07779" w:rsidRDefault="0094644B" w:rsidP="00FB5086">
            <w:pPr>
              <w:rPr>
                <w:sz w:val="20"/>
                <w:szCs w:val="20"/>
              </w:rPr>
            </w:pPr>
            <w:r w:rsidRPr="00F07779">
              <w:rPr>
                <w:sz w:val="20"/>
                <w:szCs w:val="20"/>
              </w:rPr>
              <w:t>Integration of OHL 110 kV No. 1178B TS Belgrade 5</w:t>
            </w:r>
            <w:proofErr w:type="gramStart"/>
            <w:r w:rsidRPr="00F07779">
              <w:rPr>
                <w:sz w:val="20"/>
                <w:szCs w:val="20"/>
              </w:rPr>
              <w:t>–  TS</w:t>
            </w:r>
            <w:proofErr w:type="gramEnd"/>
            <w:r w:rsidRPr="00F07779">
              <w:rPr>
                <w:sz w:val="20"/>
                <w:szCs w:val="20"/>
              </w:rPr>
              <w:t xml:space="preserve"> Belgrade 9, using the in-out principle with a double-circuit overhead line.</w:t>
            </w:r>
          </w:p>
          <w:p w14:paraId="3835C310" w14:textId="77777777" w:rsidR="0094644B" w:rsidRPr="00F07779" w:rsidRDefault="0094644B" w:rsidP="00FB5086">
            <w:pPr>
              <w:rPr>
                <w:sz w:val="20"/>
                <w:szCs w:val="20"/>
              </w:rPr>
            </w:pPr>
            <w:r w:rsidRPr="00F07779">
              <w:rPr>
                <w:sz w:val="20"/>
                <w:szCs w:val="20"/>
              </w:rPr>
              <w:t>Expected dynamics of project implementation:</w:t>
            </w:r>
          </w:p>
          <w:p w14:paraId="018913F5" w14:textId="77777777" w:rsidR="0094644B" w:rsidRPr="00F07779" w:rsidRDefault="0094644B" w:rsidP="00FB5086">
            <w:pPr>
              <w:rPr>
                <w:sz w:val="20"/>
                <w:szCs w:val="20"/>
              </w:rPr>
            </w:pPr>
            <w:r w:rsidRPr="00F07779">
              <w:rPr>
                <w:sz w:val="20"/>
                <w:szCs w:val="20"/>
              </w:rPr>
              <w:t>2026. Building permit</w:t>
            </w:r>
          </w:p>
          <w:p w14:paraId="02CF5B00" w14:textId="77777777" w:rsidR="0094644B" w:rsidRPr="00F07779" w:rsidRDefault="0094644B" w:rsidP="00FB5086">
            <w:pPr>
              <w:rPr>
                <w:sz w:val="20"/>
                <w:szCs w:val="20"/>
              </w:rPr>
            </w:pPr>
            <w:r w:rsidRPr="00F07779">
              <w:rPr>
                <w:sz w:val="20"/>
                <w:szCs w:val="20"/>
              </w:rPr>
              <w:t>2027. Construction</w:t>
            </w:r>
          </w:p>
          <w:p w14:paraId="67E2BCEE" w14:textId="77777777" w:rsidR="0094644B" w:rsidRPr="00F07779" w:rsidRDefault="0094644B" w:rsidP="00FB5086">
            <w:pPr>
              <w:rPr>
                <w:sz w:val="20"/>
                <w:szCs w:val="20"/>
              </w:rPr>
            </w:pPr>
            <w:r w:rsidRPr="00F07779">
              <w:rPr>
                <w:sz w:val="20"/>
                <w:szCs w:val="20"/>
              </w:rPr>
              <w:t>2028. Commissioning, trial operation</w:t>
            </w:r>
          </w:p>
        </w:tc>
      </w:tr>
      <w:tr w:rsidR="0094644B" w:rsidRPr="00F07779" w14:paraId="716A443E"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6CD7D9EF" w14:textId="77777777" w:rsidR="0094644B" w:rsidRPr="00F07779" w:rsidRDefault="0094644B" w:rsidP="00FB5086">
            <w:pPr>
              <w:rPr>
                <w:sz w:val="20"/>
                <w:szCs w:val="20"/>
              </w:rPr>
            </w:pPr>
            <w:r w:rsidRPr="00FA3F57">
              <w:rPr>
                <w:sz w:val="20"/>
                <w:szCs w:val="20"/>
              </w:rPr>
              <w:t>Institutions responsible for the implementation of measures and activities</w:t>
            </w:r>
          </w:p>
        </w:tc>
        <w:tc>
          <w:tcPr>
            <w:tcW w:w="5667" w:type="dxa"/>
            <w:tcBorders>
              <w:top w:val="single" w:sz="4" w:space="0" w:color="auto"/>
              <w:left w:val="single" w:sz="4" w:space="0" w:color="auto"/>
              <w:bottom w:val="single" w:sz="4" w:space="0" w:color="auto"/>
              <w:right w:val="single" w:sz="4" w:space="0" w:color="auto"/>
            </w:tcBorders>
            <w:hideMark/>
          </w:tcPr>
          <w:p w14:paraId="2FD09ED6" w14:textId="77777777" w:rsidR="0094644B" w:rsidRPr="00F07779" w:rsidRDefault="0094644B" w:rsidP="00FB5086">
            <w:pPr>
              <w:rPr>
                <w:sz w:val="20"/>
                <w:szCs w:val="20"/>
              </w:rPr>
            </w:pPr>
            <w:r w:rsidRPr="00FA3F57">
              <w:rPr>
                <w:sz w:val="20"/>
                <w:szCs w:val="20"/>
              </w:rPr>
              <w:t>EMS JSC Belgrade</w:t>
            </w:r>
          </w:p>
        </w:tc>
      </w:tr>
      <w:tr w:rsidR="0094644B" w:rsidRPr="00F07779" w14:paraId="583E1CCF"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14C8E9D3" w14:textId="77777777" w:rsidR="0094644B" w:rsidRPr="00F07779" w:rsidRDefault="0094644B" w:rsidP="00FB5086">
            <w:pPr>
              <w:rPr>
                <w:sz w:val="20"/>
                <w:szCs w:val="20"/>
              </w:rPr>
            </w:pPr>
            <w:r w:rsidRPr="00FA3F57">
              <w:rPr>
                <w:sz w:val="20"/>
                <w:szCs w:val="20"/>
              </w:rPr>
              <w:t>Institutions responsible for monitoring implementation and reporting on the realization</w:t>
            </w:r>
          </w:p>
        </w:tc>
        <w:tc>
          <w:tcPr>
            <w:tcW w:w="5667" w:type="dxa"/>
            <w:tcBorders>
              <w:top w:val="single" w:sz="4" w:space="0" w:color="auto"/>
              <w:left w:val="single" w:sz="4" w:space="0" w:color="auto"/>
              <w:bottom w:val="single" w:sz="4" w:space="0" w:color="auto"/>
              <w:right w:val="single" w:sz="4" w:space="0" w:color="auto"/>
            </w:tcBorders>
            <w:hideMark/>
          </w:tcPr>
          <w:p w14:paraId="7ABEFB52" w14:textId="77777777" w:rsidR="0094644B" w:rsidRPr="00F07779" w:rsidRDefault="0094644B" w:rsidP="00FB5086">
            <w:pPr>
              <w:rPr>
                <w:sz w:val="20"/>
                <w:szCs w:val="20"/>
              </w:rPr>
            </w:pPr>
            <w:r w:rsidRPr="00FA3F57">
              <w:rPr>
                <w:sz w:val="20"/>
                <w:szCs w:val="20"/>
              </w:rPr>
              <w:t>EMS JSC Belgrade</w:t>
            </w:r>
          </w:p>
          <w:p w14:paraId="0BBC776C" w14:textId="77777777" w:rsidR="0094644B" w:rsidRPr="00F07779" w:rsidRDefault="0094644B" w:rsidP="00FB5086">
            <w:pPr>
              <w:rPr>
                <w:sz w:val="20"/>
                <w:szCs w:val="20"/>
              </w:rPr>
            </w:pPr>
            <w:r w:rsidRPr="00F07779">
              <w:rPr>
                <w:sz w:val="20"/>
                <w:szCs w:val="20"/>
              </w:rPr>
              <w:t>Ministry of Mining and Energy</w:t>
            </w:r>
          </w:p>
        </w:tc>
      </w:tr>
      <w:tr w:rsidR="0094644B" w:rsidRPr="00F07779" w14:paraId="74083DB8"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61E42257" w14:textId="77777777" w:rsidR="0094644B" w:rsidRPr="00F07779" w:rsidRDefault="0094644B" w:rsidP="00FB5086">
            <w:pPr>
              <w:rPr>
                <w:sz w:val="20"/>
                <w:szCs w:val="20"/>
              </w:rPr>
            </w:pPr>
            <w:r w:rsidRPr="00FA3F57">
              <w:rPr>
                <w:sz w:val="20"/>
                <w:szCs w:val="20"/>
              </w:rPr>
              <w:t>Year of project funding start</w:t>
            </w:r>
          </w:p>
        </w:tc>
        <w:tc>
          <w:tcPr>
            <w:tcW w:w="5667" w:type="dxa"/>
            <w:tcBorders>
              <w:top w:val="single" w:sz="4" w:space="0" w:color="auto"/>
              <w:left w:val="single" w:sz="4" w:space="0" w:color="auto"/>
              <w:bottom w:val="single" w:sz="4" w:space="0" w:color="auto"/>
              <w:right w:val="single" w:sz="4" w:space="0" w:color="auto"/>
            </w:tcBorders>
            <w:hideMark/>
          </w:tcPr>
          <w:p w14:paraId="08064817" w14:textId="77777777" w:rsidR="0094644B" w:rsidRPr="00F07779" w:rsidRDefault="0094644B" w:rsidP="00FB5086">
            <w:pPr>
              <w:rPr>
                <w:sz w:val="20"/>
                <w:szCs w:val="20"/>
              </w:rPr>
            </w:pPr>
            <w:r w:rsidRPr="00F07779">
              <w:rPr>
                <w:sz w:val="20"/>
                <w:szCs w:val="20"/>
              </w:rPr>
              <w:t>2021.</w:t>
            </w:r>
          </w:p>
        </w:tc>
      </w:tr>
      <w:tr w:rsidR="0094644B" w:rsidRPr="00F07779" w14:paraId="749FAD1C"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7B34B1DA" w14:textId="77777777" w:rsidR="0094644B" w:rsidRPr="00F07779" w:rsidRDefault="0094644B" w:rsidP="00FB5086">
            <w:pPr>
              <w:rPr>
                <w:sz w:val="20"/>
                <w:szCs w:val="20"/>
              </w:rPr>
            </w:pPr>
            <w:r w:rsidRPr="00FA3F57">
              <w:rPr>
                <w:sz w:val="20"/>
                <w:szCs w:val="20"/>
              </w:rPr>
              <w:t>Year of completion of project funding</w:t>
            </w:r>
          </w:p>
        </w:tc>
        <w:tc>
          <w:tcPr>
            <w:tcW w:w="5667" w:type="dxa"/>
            <w:tcBorders>
              <w:top w:val="single" w:sz="4" w:space="0" w:color="auto"/>
              <w:left w:val="single" w:sz="4" w:space="0" w:color="auto"/>
              <w:bottom w:val="single" w:sz="4" w:space="0" w:color="auto"/>
              <w:right w:val="single" w:sz="4" w:space="0" w:color="auto"/>
            </w:tcBorders>
            <w:hideMark/>
          </w:tcPr>
          <w:p w14:paraId="2F97FBB2" w14:textId="77777777" w:rsidR="0094644B" w:rsidRPr="00F07779" w:rsidRDefault="0094644B" w:rsidP="00FB5086">
            <w:pPr>
              <w:rPr>
                <w:sz w:val="20"/>
                <w:szCs w:val="20"/>
              </w:rPr>
            </w:pPr>
            <w:r w:rsidRPr="00F07779">
              <w:rPr>
                <w:sz w:val="20"/>
                <w:szCs w:val="20"/>
              </w:rPr>
              <w:t>2028.</w:t>
            </w:r>
          </w:p>
        </w:tc>
      </w:tr>
      <w:tr w:rsidR="0094644B" w:rsidRPr="00F07779" w14:paraId="170E3827"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2CC0F605" w14:textId="77777777" w:rsidR="0094644B" w:rsidRPr="00F07779" w:rsidRDefault="0094644B" w:rsidP="00FB5086">
            <w:pPr>
              <w:rPr>
                <w:sz w:val="20"/>
                <w:szCs w:val="20"/>
              </w:rPr>
            </w:pPr>
            <w:r w:rsidRPr="00FA3F57">
              <w:rPr>
                <w:sz w:val="20"/>
                <w:szCs w:val="20"/>
              </w:rPr>
              <w:t>Total project value</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01AAF88F" w14:textId="77777777" w:rsidR="0094644B" w:rsidRPr="00F07779" w:rsidRDefault="0094644B" w:rsidP="00FB5086">
            <w:pPr>
              <w:rPr>
                <w:sz w:val="20"/>
                <w:szCs w:val="20"/>
              </w:rPr>
            </w:pPr>
            <w:r w:rsidRPr="00F07779">
              <w:rPr>
                <w:sz w:val="20"/>
                <w:szCs w:val="20"/>
              </w:rPr>
              <w:t>1,194,502 (10.19 million EUR)</w:t>
            </w:r>
          </w:p>
        </w:tc>
      </w:tr>
      <w:tr w:rsidR="0094644B" w:rsidRPr="00F07779" w14:paraId="2289A795"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178CFE79" w14:textId="77777777" w:rsidR="0094644B" w:rsidRPr="00F07779" w:rsidRDefault="0094644B" w:rsidP="00FB5086">
            <w:pPr>
              <w:rPr>
                <w:sz w:val="20"/>
                <w:szCs w:val="20"/>
              </w:rPr>
            </w:pPr>
            <w:r w:rsidRPr="00FA3F57">
              <w:rPr>
                <w:sz w:val="20"/>
                <w:szCs w:val="20"/>
              </w:rPr>
              <w:t>Planned investments for 2026.</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170B2B52" w14:textId="77777777" w:rsidR="0094644B" w:rsidRPr="00F07779" w:rsidRDefault="0094644B" w:rsidP="00FB5086">
            <w:pPr>
              <w:rPr>
                <w:sz w:val="20"/>
                <w:szCs w:val="20"/>
              </w:rPr>
            </w:pPr>
            <w:r w:rsidRPr="00F07779">
              <w:rPr>
                <w:sz w:val="20"/>
                <w:szCs w:val="20"/>
              </w:rPr>
              <w:t>14,367 (budget RS)</w:t>
            </w:r>
          </w:p>
        </w:tc>
      </w:tr>
      <w:tr w:rsidR="0094644B" w:rsidRPr="00F07779" w14:paraId="7301B78B"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15EEBADA" w14:textId="77777777" w:rsidR="0094644B" w:rsidRPr="00F07779" w:rsidRDefault="0094644B" w:rsidP="00FB5086">
            <w:pPr>
              <w:rPr>
                <w:sz w:val="20"/>
                <w:szCs w:val="20"/>
              </w:rPr>
            </w:pPr>
            <w:r w:rsidRPr="00FA3F57">
              <w:rPr>
                <w:sz w:val="20"/>
                <w:szCs w:val="20"/>
              </w:rPr>
              <w:t>Planned investments for 2027.</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0282E7C2" w14:textId="77777777" w:rsidR="0094644B" w:rsidRPr="00F07779" w:rsidRDefault="0094644B" w:rsidP="00FB5086">
            <w:pPr>
              <w:rPr>
                <w:sz w:val="20"/>
                <w:szCs w:val="20"/>
              </w:rPr>
            </w:pPr>
            <w:r w:rsidRPr="00F07779">
              <w:rPr>
                <w:sz w:val="20"/>
                <w:szCs w:val="20"/>
              </w:rPr>
              <w:t>397,115 (budget RS)</w:t>
            </w:r>
          </w:p>
        </w:tc>
      </w:tr>
      <w:tr w:rsidR="0094644B" w:rsidRPr="00F07779" w14:paraId="56413A60"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23EB46F0" w14:textId="77777777" w:rsidR="0094644B" w:rsidRPr="00F07779" w:rsidRDefault="0094644B" w:rsidP="00FB5086">
            <w:pPr>
              <w:rPr>
                <w:sz w:val="20"/>
                <w:szCs w:val="20"/>
              </w:rPr>
            </w:pPr>
            <w:r w:rsidRPr="00FA3F57">
              <w:rPr>
                <w:sz w:val="20"/>
                <w:szCs w:val="20"/>
              </w:rPr>
              <w:t>Planned investments for 2028.</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140D1DE9" w14:textId="77777777" w:rsidR="0094644B" w:rsidRPr="00F07779" w:rsidRDefault="0094644B" w:rsidP="00FB5086">
            <w:pPr>
              <w:rPr>
                <w:sz w:val="20"/>
                <w:szCs w:val="20"/>
              </w:rPr>
            </w:pPr>
            <w:r w:rsidRPr="00F07779">
              <w:rPr>
                <w:sz w:val="20"/>
                <w:szCs w:val="20"/>
              </w:rPr>
              <w:t>780,280 (budget RS)</w:t>
            </w:r>
          </w:p>
        </w:tc>
      </w:tr>
    </w:tbl>
    <w:p w14:paraId="1F6960B3" w14:textId="77777777" w:rsidR="0094644B" w:rsidRPr="00F07779" w:rsidRDefault="0094644B" w:rsidP="0094644B">
      <w:pPr>
        <w:tabs>
          <w:tab w:val="left" w:pos="1276"/>
          <w:tab w:val="left" w:pos="1560"/>
        </w:tabs>
        <w:ind w:left="1440" w:hanging="1440"/>
      </w:pPr>
    </w:p>
    <w:tbl>
      <w:tblPr>
        <w:tblStyle w:val="TableGrid"/>
        <w:tblW w:w="0" w:type="auto"/>
        <w:tblLook w:val="04A0" w:firstRow="1" w:lastRow="0" w:firstColumn="1" w:lastColumn="0" w:noHBand="0" w:noVBand="1"/>
      </w:tblPr>
      <w:tblGrid>
        <w:gridCol w:w="2973"/>
        <w:gridCol w:w="5667"/>
      </w:tblGrid>
      <w:tr w:rsidR="0094644B" w:rsidRPr="00F07779" w14:paraId="451AEDD7"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8AF751E" w14:textId="77777777" w:rsidR="0094644B" w:rsidRPr="00F07779" w:rsidRDefault="0094644B" w:rsidP="00FB5086">
            <w:pPr>
              <w:rPr>
                <w:sz w:val="20"/>
                <w:szCs w:val="20"/>
              </w:rPr>
            </w:pPr>
            <w:r w:rsidRPr="00F07779">
              <w:rPr>
                <w:sz w:val="20"/>
                <w:szCs w:val="20"/>
              </w:rPr>
              <w:t>Activity EL1.2</w:t>
            </w:r>
          </w:p>
        </w:tc>
        <w:tc>
          <w:tcPr>
            <w:tcW w:w="566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E2CBB50" w14:textId="77777777" w:rsidR="0094644B" w:rsidRPr="00F07779" w:rsidRDefault="0094644B" w:rsidP="00FB5086">
            <w:pPr>
              <w:rPr>
                <w:sz w:val="20"/>
                <w:szCs w:val="20"/>
              </w:rPr>
            </w:pPr>
            <w:r w:rsidRPr="00F07779">
              <w:rPr>
                <w:sz w:val="20"/>
                <w:szCs w:val="20"/>
              </w:rPr>
              <w:t>Investment projects focused on the reconstruction and construction of the transmission network</w:t>
            </w:r>
          </w:p>
        </w:tc>
      </w:tr>
      <w:tr w:rsidR="0094644B" w:rsidRPr="00F07779" w14:paraId="761038F6"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35231BA9" w14:textId="77777777" w:rsidR="0094644B" w:rsidRPr="00F07779" w:rsidRDefault="0094644B" w:rsidP="00FB5086">
            <w:pPr>
              <w:rPr>
                <w:sz w:val="20"/>
                <w:szCs w:val="20"/>
              </w:rPr>
            </w:pPr>
            <w:r w:rsidRPr="00FA3F57">
              <w:rPr>
                <w:sz w:val="20"/>
                <w:szCs w:val="20"/>
              </w:rPr>
              <w:t>Name of the project</w:t>
            </w:r>
          </w:p>
        </w:tc>
        <w:tc>
          <w:tcPr>
            <w:tcW w:w="5667"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1EE8F1F9" w14:textId="77777777" w:rsidR="0094644B" w:rsidRPr="00F07779" w:rsidRDefault="0094644B" w:rsidP="00FB5086">
            <w:pPr>
              <w:rPr>
                <w:sz w:val="20"/>
                <w:szCs w:val="20"/>
              </w:rPr>
            </w:pPr>
            <w:proofErr w:type="spellStart"/>
            <w:r w:rsidRPr="00F07779">
              <w:rPr>
                <w:sz w:val="20"/>
                <w:szCs w:val="20"/>
              </w:rPr>
              <w:t>BeoGrid</w:t>
            </w:r>
            <w:proofErr w:type="spellEnd"/>
            <w:r w:rsidRPr="00F07779">
              <w:rPr>
                <w:sz w:val="20"/>
                <w:szCs w:val="20"/>
              </w:rPr>
              <w:t xml:space="preserve"> 2025</w:t>
            </w:r>
          </w:p>
          <w:p w14:paraId="69978D2F" w14:textId="77777777" w:rsidR="0094644B" w:rsidRPr="00F07779" w:rsidRDefault="0094644B" w:rsidP="00FB5086">
            <w:pPr>
              <w:rPr>
                <w:sz w:val="20"/>
                <w:szCs w:val="20"/>
              </w:rPr>
            </w:pPr>
            <w:r w:rsidRPr="00F07779">
              <w:rPr>
                <w:sz w:val="20"/>
                <w:szCs w:val="20"/>
              </w:rPr>
              <w:t>TS 400/110 kV Belgrade 50 with branching of 400 kV and 110 kV lines, and OHL 400 kV TS Belgrade 50 - South Banat region</w:t>
            </w:r>
          </w:p>
        </w:tc>
      </w:tr>
      <w:tr w:rsidR="0094644B" w:rsidRPr="00F07779" w14:paraId="025A9A3E"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7661CFE" w14:textId="77777777" w:rsidR="0094644B" w:rsidRPr="00F07779" w:rsidRDefault="0094644B" w:rsidP="00FB5086">
            <w:pPr>
              <w:rPr>
                <w:sz w:val="20"/>
                <w:szCs w:val="20"/>
              </w:rPr>
            </w:pPr>
            <w:r w:rsidRPr="00FA3F57">
              <w:rPr>
                <w:sz w:val="20"/>
                <w:szCs w:val="20"/>
              </w:rPr>
              <w:t xml:space="preserve">Name of the </w:t>
            </w:r>
            <w:r w:rsidRPr="00F07779">
              <w:rPr>
                <w:sz w:val="20"/>
                <w:szCs w:val="20"/>
              </w:rPr>
              <w:t>investment</w:t>
            </w:r>
          </w:p>
        </w:tc>
        <w:tc>
          <w:tcPr>
            <w:tcW w:w="566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3731E34" w14:textId="77777777" w:rsidR="0094644B" w:rsidRPr="00F07779" w:rsidRDefault="0094644B" w:rsidP="00FB5086">
            <w:pPr>
              <w:rPr>
                <w:sz w:val="20"/>
                <w:szCs w:val="20"/>
              </w:rPr>
            </w:pPr>
            <w:r w:rsidRPr="00F07779">
              <w:rPr>
                <w:sz w:val="20"/>
                <w:szCs w:val="20"/>
              </w:rPr>
              <w:t xml:space="preserve">OHL 2x110 kV TS Stara </w:t>
            </w:r>
            <w:proofErr w:type="spellStart"/>
            <w:r w:rsidRPr="00F07779">
              <w:rPr>
                <w:sz w:val="20"/>
                <w:szCs w:val="20"/>
              </w:rPr>
              <w:t>Pazova</w:t>
            </w:r>
            <w:proofErr w:type="spellEnd"/>
            <w:r w:rsidRPr="00F07779">
              <w:rPr>
                <w:sz w:val="20"/>
                <w:szCs w:val="20"/>
              </w:rPr>
              <w:t xml:space="preserve"> – TS </w:t>
            </w:r>
            <w:proofErr w:type="spellStart"/>
            <w:r w:rsidRPr="00F07779">
              <w:rPr>
                <w:sz w:val="20"/>
                <w:szCs w:val="20"/>
              </w:rPr>
              <w:t>Inđija</w:t>
            </w:r>
            <w:proofErr w:type="spellEnd"/>
            <w:r w:rsidRPr="00F07779">
              <w:rPr>
                <w:sz w:val="20"/>
                <w:szCs w:val="20"/>
              </w:rPr>
              <w:t xml:space="preserve"> 2, integration into TS Belgrade 50</w:t>
            </w:r>
          </w:p>
        </w:tc>
      </w:tr>
      <w:tr w:rsidR="0094644B" w:rsidRPr="00F07779" w14:paraId="713C5D1B"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68DBFED5" w14:textId="77777777" w:rsidR="0094644B" w:rsidRPr="00F07779" w:rsidRDefault="0094644B" w:rsidP="00FB5086">
            <w:pPr>
              <w:rPr>
                <w:sz w:val="20"/>
                <w:szCs w:val="20"/>
              </w:rPr>
            </w:pPr>
            <w:r w:rsidRPr="00FA3F57">
              <w:rPr>
                <w:sz w:val="20"/>
                <w:szCs w:val="20"/>
              </w:rPr>
              <w:t>Short description of the investment</w:t>
            </w:r>
          </w:p>
        </w:tc>
        <w:tc>
          <w:tcPr>
            <w:tcW w:w="5667" w:type="dxa"/>
            <w:tcBorders>
              <w:top w:val="single" w:sz="4" w:space="0" w:color="auto"/>
              <w:left w:val="single" w:sz="4" w:space="0" w:color="auto"/>
              <w:bottom w:val="single" w:sz="4" w:space="0" w:color="auto"/>
              <w:right w:val="single" w:sz="4" w:space="0" w:color="auto"/>
            </w:tcBorders>
            <w:hideMark/>
          </w:tcPr>
          <w:p w14:paraId="5ACC2811" w14:textId="77777777" w:rsidR="0094644B" w:rsidRPr="00F07779" w:rsidRDefault="0094644B" w:rsidP="00FB5086">
            <w:pPr>
              <w:rPr>
                <w:sz w:val="20"/>
                <w:szCs w:val="20"/>
              </w:rPr>
            </w:pPr>
            <w:r w:rsidRPr="00F07779">
              <w:rPr>
                <w:sz w:val="20"/>
                <w:szCs w:val="20"/>
              </w:rPr>
              <w:t xml:space="preserve">Integration of the 110 kV OHL TS Stara </w:t>
            </w:r>
            <w:proofErr w:type="spellStart"/>
            <w:r w:rsidRPr="00F07779">
              <w:rPr>
                <w:sz w:val="20"/>
                <w:szCs w:val="20"/>
              </w:rPr>
              <w:t>Pazova</w:t>
            </w:r>
            <w:proofErr w:type="spellEnd"/>
            <w:r w:rsidRPr="00F07779">
              <w:rPr>
                <w:sz w:val="20"/>
                <w:szCs w:val="20"/>
              </w:rPr>
              <w:t xml:space="preserve"> – TS </w:t>
            </w:r>
            <w:proofErr w:type="spellStart"/>
            <w:r w:rsidRPr="00F07779">
              <w:rPr>
                <w:sz w:val="20"/>
                <w:szCs w:val="20"/>
              </w:rPr>
              <w:t>Inđija</w:t>
            </w:r>
            <w:proofErr w:type="spellEnd"/>
            <w:r w:rsidRPr="00F07779">
              <w:rPr>
                <w:sz w:val="20"/>
                <w:szCs w:val="20"/>
              </w:rPr>
              <w:t xml:space="preserve"> 2. The construction of two double-circuit overhead lines is planned, with one circuit equipped on each.</w:t>
            </w:r>
          </w:p>
          <w:p w14:paraId="6529FA3A" w14:textId="77777777" w:rsidR="0094644B" w:rsidRPr="00F07779" w:rsidRDefault="0094644B" w:rsidP="00FB5086">
            <w:pPr>
              <w:rPr>
                <w:sz w:val="20"/>
                <w:szCs w:val="20"/>
              </w:rPr>
            </w:pPr>
            <w:r w:rsidRPr="00F07779">
              <w:rPr>
                <w:sz w:val="20"/>
                <w:szCs w:val="20"/>
              </w:rPr>
              <w:t>Expected dynamics of project implementation:</w:t>
            </w:r>
          </w:p>
          <w:p w14:paraId="16716C0C" w14:textId="77777777" w:rsidR="0094644B" w:rsidRPr="00F07779" w:rsidRDefault="0094644B" w:rsidP="00FB5086">
            <w:pPr>
              <w:rPr>
                <w:sz w:val="20"/>
                <w:szCs w:val="20"/>
              </w:rPr>
            </w:pPr>
            <w:r w:rsidRPr="00F07779">
              <w:rPr>
                <w:sz w:val="20"/>
                <w:szCs w:val="20"/>
              </w:rPr>
              <w:t>2026. Building permit</w:t>
            </w:r>
          </w:p>
          <w:p w14:paraId="184ACE32" w14:textId="77777777" w:rsidR="0094644B" w:rsidRPr="00F07779" w:rsidRDefault="0094644B" w:rsidP="00FB5086">
            <w:pPr>
              <w:rPr>
                <w:sz w:val="20"/>
                <w:szCs w:val="20"/>
              </w:rPr>
            </w:pPr>
            <w:r w:rsidRPr="00F07779">
              <w:rPr>
                <w:sz w:val="20"/>
                <w:szCs w:val="20"/>
              </w:rPr>
              <w:t>2027. Construction</w:t>
            </w:r>
          </w:p>
          <w:p w14:paraId="08D512BC" w14:textId="77777777" w:rsidR="0094644B" w:rsidRPr="00F07779" w:rsidRDefault="0094644B" w:rsidP="00FB5086">
            <w:pPr>
              <w:rPr>
                <w:sz w:val="20"/>
                <w:szCs w:val="20"/>
              </w:rPr>
            </w:pPr>
            <w:r w:rsidRPr="00F07779">
              <w:rPr>
                <w:sz w:val="20"/>
                <w:szCs w:val="20"/>
              </w:rPr>
              <w:t>2028. Commissioning, trial operation</w:t>
            </w:r>
          </w:p>
        </w:tc>
      </w:tr>
      <w:tr w:rsidR="0094644B" w:rsidRPr="00F07779" w14:paraId="07D1EA13"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33CCD875" w14:textId="77777777" w:rsidR="0094644B" w:rsidRPr="00F07779" w:rsidRDefault="0094644B" w:rsidP="00FB5086">
            <w:pPr>
              <w:rPr>
                <w:sz w:val="20"/>
                <w:szCs w:val="20"/>
              </w:rPr>
            </w:pPr>
            <w:r w:rsidRPr="00FA3F57">
              <w:rPr>
                <w:sz w:val="20"/>
                <w:szCs w:val="20"/>
              </w:rPr>
              <w:lastRenderedPageBreak/>
              <w:t>Institutions responsible for the implementation of measures and activities</w:t>
            </w:r>
          </w:p>
        </w:tc>
        <w:tc>
          <w:tcPr>
            <w:tcW w:w="5667" w:type="dxa"/>
            <w:tcBorders>
              <w:top w:val="single" w:sz="4" w:space="0" w:color="auto"/>
              <w:left w:val="single" w:sz="4" w:space="0" w:color="auto"/>
              <w:bottom w:val="single" w:sz="4" w:space="0" w:color="auto"/>
              <w:right w:val="single" w:sz="4" w:space="0" w:color="auto"/>
            </w:tcBorders>
            <w:hideMark/>
          </w:tcPr>
          <w:p w14:paraId="5498DFE3" w14:textId="77777777" w:rsidR="0094644B" w:rsidRPr="00F07779" w:rsidRDefault="0094644B" w:rsidP="00FB5086">
            <w:pPr>
              <w:rPr>
                <w:sz w:val="20"/>
                <w:szCs w:val="20"/>
              </w:rPr>
            </w:pPr>
            <w:r w:rsidRPr="00FA3F57">
              <w:rPr>
                <w:sz w:val="20"/>
                <w:szCs w:val="20"/>
              </w:rPr>
              <w:t>EMS JSC Belgrade</w:t>
            </w:r>
          </w:p>
        </w:tc>
      </w:tr>
      <w:tr w:rsidR="0094644B" w:rsidRPr="00F07779" w14:paraId="1C960FA1"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1B0D8FE1" w14:textId="77777777" w:rsidR="0094644B" w:rsidRPr="00F07779" w:rsidRDefault="0094644B" w:rsidP="00FB5086">
            <w:pPr>
              <w:rPr>
                <w:sz w:val="20"/>
                <w:szCs w:val="20"/>
              </w:rPr>
            </w:pPr>
            <w:r w:rsidRPr="00FA3F57">
              <w:rPr>
                <w:sz w:val="20"/>
                <w:szCs w:val="20"/>
              </w:rPr>
              <w:t>Institutions responsible for monitoring implementation and reporting on the realization</w:t>
            </w:r>
          </w:p>
        </w:tc>
        <w:tc>
          <w:tcPr>
            <w:tcW w:w="5667" w:type="dxa"/>
            <w:tcBorders>
              <w:top w:val="single" w:sz="4" w:space="0" w:color="auto"/>
              <w:left w:val="single" w:sz="4" w:space="0" w:color="auto"/>
              <w:bottom w:val="single" w:sz="4" w:space="0" w:color="auto"/>
              <w:right w:val="single" w:sz="4" w:space="0" w:color="auto"/>
            </w:tcBorders>
            <w:hideMark/>
          </w:tcPr>
          <w:p w14:paraId="72556E52" w14:textId="77777777" w:rsidR="0094644B" w:rsidRPr="00F07779" w:rsidRDefault="0094644B" w:rsidP="00FB5086">
            <w:pPr>
              <w:rPr>
                <w:sz w:val="20"/>
                <w:szCs w:val="20"/>
              </w:rPr>
            </w:pPr>
            <w:r w:rsidRPr="00FA3F57">
              <w:rPr>
                <w:sz w:val="20"/>
                <w:szCs w:val="20"/>
              </w:rPr>
              <w:t>EMS JSC Belgrade</w:t>
            </w:r>
          </w:p>
          <w:p w14:paraId="527639D9" w14:textId="77777777" w:rsidR="0094644B" w:rsidRPr="00F07779" w:rsidRDefault="0094644B" w:rsidP="00FB5086">
            <w:pPr>
              <w:rPr>
                <w:sz w:val="20"/>
                <w:szCs w:val="20"/>
              </w:rPr>
            </w:pPr>
            <w:r w:rsidRPr="00F07779">
              <w:rPr>
                <w:sz w:val="20"/>
                <w:szCs w:val="20"/>
              </w:rPr>
              <w:t>Ministry of Mining and Energy</w:t>
            </w:r>
          </w:p>
        </w:tc>
      </w:tr>
      <w:tr w:rsidR="0094644B" w:rsidRPr="00F07779" w14:paraId="39251303"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43E24624" w14:textId="77777777" w:rsidR="0094644B" w:rsidRPr="00F07779" w:rsidRDefault="0094644B" w:rsidP="00FB5086">
            <w:pPr>
              <w:rPr>
                <w:sz w:val="20"/>
                <w:szCs w:val="20"/>
              </w:rPr>
            </w:pPr>
            <w:r w:rsidRPr="00FA3F57">
              <w:rPr>
                <w:sz w:val="20"/>
                <w:szCs w:val="20"/>
              </w:rPr>
              <w:t>Year of project funding start</w:t>
            </w:r>
          </w:p>
        </w:tc>
        <w:tc>
          <w:tcPr>
            <w:tcW w:w="5667" w:type="dxa"/>
            <w:tcBorders>
              <w:top w:val="single" w:sz="4" w:space="0" w:color="auto"/>
              <w:left w:val="single" w:sz="4" w:space="0" w:color="auto"/>
              <w:bottom w:val="single" w:sz="4" w:space="0" w:color="auto"/>
              <w:right w:val="single" w:sz="4" w:space="0" w:color="auto"/>
            </w:tcBorders>
            <w:hideMark/>
          </w:tcPr>
          <w:p w14:paraId="5AA9A4D3" w14:textId="77777777" w:rsidR="0094644B" w:rsidRPr="00F07779" w:rsidRDefault="0094644B" w:rsidP="00FB5086">
            <w:pPr>
              <w:rPr>
                <w:sz w:val="20"/>
                <w:szCs w:val="20"/>
              </w:rPr>
            </w:pPr>
            <w:r w:rsidRPr="00F07779">
              <w:rPr>
                <w:sz w:val="20"/>
                <w:szCs w:val="20"/>
              </w:rPr>
              <w:t>2021.</w:t>
            </w:r>
          </w:p>
        </w:tc>
      </w:tr>
      <w:tr w:rsidR="0094644B" w:rsidRPr="00F07779" w14:paraId="38722BB4"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5E572431" w14:textId="77777777" w:rsidR="0094644B" w:rsidRPr="00F07779" w:rsidRDefault="0094644B" w:rsidP="00FB5086">
            <w:pPr>
              <w:rPr>
                <w:sz w:val="20"/>
                <w:szCs w:val="20"/>
              </w:rPr>
            </w:pPr>
            <w:r w:rsidRPr="00FA3F57">
              <w:rPr>
                <w:sz w:val="20"/>
                <w:szCs w:val="20"/>
              </w:rPr>
              <w:t>Year of completion of project funding</w:t>
            </w:r>
          </w:p>
        </w:tc>
        <w:tc>
          <w:tcPr>
            <w:tcW w:w="5667" w:type="dxa"/>
            <w:tcBorders>
              <w:top w:val="single" w:sz="4" w:space="0" w:color="auto"/>
              <w:left w:val="single" w:sz="4" w:space="0" w:color="auto"/>
              <w:bottom w:val="single" w:sz="4" w:space="0" w:color="auto"/>
              <w:right w:val="single" w:sz="4" w:space="0" w:color="auto"/>
            </w:tcBorders>
            <w:hideMark/>
          </w:tcPr>
          <w:p w14:paraId="50145E4A" w14:textId="77777777" w:rsidR="0094644B" w:rsidRPr="00F07779" w:rsidRDefault="0094644B" w:rsidP="00FB5086">
            <w:pPr>
              <w:rPr>
                <w:sz w:val="20"/>
                <w:szCs w:val="20"/>
              </w:rPr>
            </w:pPr>
            <w:r w:rsidRPr="00F07779">
              <w:rPr>
                <w:sz w:val="20"/>
                <w:szCs w:val="20"/>
              </w:rPr>
              <w:t>2028.</w:t>
            </w:r>
          </w:p>
        </w:tc>
      </w:tr>
      <w:tr w:rsidR="0094644B" w:rsidRPr="00F07779" w14:paraId="141AEDFE"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0F0364AC" w14:textId="77777777" w:rsidR="0094644B" w:rsidRPr="00F07779" w:rsidRDefault="0094644B" w:rsidP="00FB5086">
            <w:pPr>
              <w:rPr>
                <w:sz w:val="20"/>
                <w:szCs w:val="20"/>
              </w:rPr>
            </w:pPr>
            <w:r w:rsidRPr="00FA3F57">
              <w:rPr>
                <w:sz w:val="20"/>
                <w:szCs w:val="20"/>
              </w:rPr>
              <w:t>Total project value</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1039CA84" w14:textId="77777777" w:rsidR="0094644B" w:rsidRPr="00F07779" w:rsidRDefault="0094644B" w:rsidP="00FB5086">
            <w:pPr>
              <w:rPr>
                <w:color w:val="000000"/>
                <w:sz w:val="20"/>
                <w:szCs w:val="20"/>
                <w:lang w:eastAsia="en-US"/>
              </w:rPr>
            </w:pPr>
            <w:r w:rsidRPr="00F07779">
              <w:rPr>
                <w:color w:val="000000"/>
                <w:sz w:val="20"/>
                <w:szCs w:val="20"/>
              </w:rPr>
              <w:t>3,312,891 (28.25 million EUR)</w:t>
            </w:r>
          </w:p>
        </w:tc>
      </w:tr>
      <w:tr w:rsidR="0094644B" w:rsidRPr="00F07779" w14:paraId="3A3CBB90"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6828DA0D" w14:textId="77777777" w:rsidR="0094644B" w:rsidRPr="00F07779" w:rsidRDefault="0094644B" w:rsidP="00FB5086">
            <w:pPr>
              <w:rPr>
                <w:sz w:val="20"/>
                <w:szCs w:val="20"/>
              </w:rPr>
            </w:pPr>
            <w:r w:rsidRPr="00FA3F57">
              <w:rPr>
                <w:sz w:val="20"/>
                <w:szCs w:val="20"/>
              </w:rPr>
              <w:t>Planned investments for 2026.</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02420815" w14:textId="77777777" w:rsidR="0094644B" w:rsidRPr="00F07779" w:rsidRDefault="0094644B" w:rsidP="00FB5086">
            <w:pPr>
              <w:rPr>
                <w:sz w:val="20"/>
                <w:szCs w:val="20"/>
              </w:rPr>
            </w:pPr>
            <w:r w:rsidRPr="00F07779">
              <w:rPr>
                <w:sz w:val="20"/>
                <w:szCs w:val="20"/>
              </w:rPr>
              <w:t>19,122 (budget RS)</w:t>
            </w:r>
          </w:p>
        </w:tc>
      </w:tr>
      <w:tr w:rsidR="0094644B" w:rsidRPr="00F07779" w14:paraId="6CDE626B"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46F4440E" w14:textId="77777777" w:rsidR="0094644B" w:rsidRPr="00F07779" w:rsidRDefault="0094644B" w:rsidP="00FB5086">
            <w:pPr>
              <w:rPr>
                <w:sz w:val="20"/>
                <w:szCs w:val="20"/>
              </w:rPr>
            </w:pPr>
            <w:r w:rsidRPr="00FA3F57">
              <w:rPr>
                <w:sz w:val="20"/>
                <w:szCs w:val="20"/>
              </w:rPr>
              <w:t>Planned investments for 2027.</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23E3952B" w14:textId="77777777" w:rsidR="0094644B" w:rsidRPr="00FA3F57" w:rsidRDefault="0094644B" w:rsidP="00FB5086">
            <w:pPr>
              <w:rPr>
                <w:sz w:val="20"/>
                <w:szCs w:val="20"/>
              </w:rPr>
            </w:pPr>
            <w:r w:rsidRPr="00FA3F57">
              <w:rPr>
                <w:sz w:val="20"/>
                <w:szCs w:val="20"/>
              </w:rPr>
              <w:t>983,580 (budget RS)</w:t>
            </w:r>
          </w:p>
        </w:tc>
      </w:tr>
      <w:tr w:rsidR="0094644B" w:rsidRPr="00F07779" w14:paraId="6E918EBB"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2A728DDF" w14:textId="77777777" w:rsidR="0094644B" w:rsidRPr="00F07779" w:rsidRDefault="0094644B" w:rsidP="00FB5086">
            <w:pPr>
              <w:rPr>
                <w:sz w:val="20"/>
                <w:szCs w:val="20"/>
              </w:rPr>
            </w:pPr>
            <w:r w:rsidRPr="00FA3F57">
              <w:rPr>
                <w:sz w:val="20"/>
                <w:szCs w:val="20"/>
              </w:rPr>
              <w:t>Planned investments for 2028.</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07B9662D" w14:textId="77777777" w:rsidR="0094644B" w:rsidRPr="00F07779" w:rsidRDefault="0094644B" w:rsidP="00FB5086">
            <w:pPr>
              <w:rPr>
                <w:sz w:val="20"/>
                <w:szCs w:val="20"/>
              </w:rPr>
            </w:pPr>
            <w:r w:rsidRPr="00F07779">
              <w:rPr>
                <w:sz w:val="20"/>
                <w:szCs w:val="20"/>
              </w:rPr>
              <w:t>2,300,270 (budget RS)</w:t>
            </w:r>
          </w:p>
        </w:tc>
      </w:tr>
    </w:tbl>
    <w:p w14:paraId="611D9996" w14:textId="77777777" w:rsidR="0094644B" w:rsidRPr="00F07779" w:rsidRDefault="0094644B" w:rsidP="0094644B">
      <w:pPr>
        <w:tabs>
          <w:tab w:val="left" w:pos="1276"/>
          <w:tab w:val="left" w:pos="1560"/>
        </w:tabs>
        <w:ind w:left="1440" w:hanging="1440"/>
      </w:pPr>
    </w:p>
    <w:tbl>
      <w:tblPr>
        <w:tblStyle w:val="TableGrid"/>
        <w:tblW w:w="0" w:type="auto"/>
        <w:tblLook w:val="04A0" w:firstRow="1" w:lastRow="0" w:firstColumn="1" w:lastColumn="0" w:noHBand="0" w:noVBand="1"/>
      </w:tblPr>
      <w:tblGrid>
        <w:gridCol w:w="2973"/>
        <w:gridCol w:w="5667"/>
      </w:tblGrid>
      <w:tr w:rsidR="0094644B" w:rsidRPr="00F07779" w14:paraId="30B96348"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79A00DC" w14:textId="77777777" w:rsidR="0094644B" w:rsidRPr="00F07779" w:rsidRDefault="0094644B" w:rsidP="00FB5086">
            <w:pPr>
              <w:rPr>
                <w:sz w:val="20"/>
                <w:szCs w:val="20"/>
              </w:rPr>
            </w:pPr>
            <w:r w:rsidRPr="00F07779">
              <w:rPr>
                <w:sz w:val="20"/>
                <w:szCs w:val="20"/>
              </w:rPr>
              <w:t>Activity EL1.2</w:t>
            </w:r>
          </w:p>
        </w:tc>
        <w:tc>
          <w:tcPr>
            <w:tcW w:w="566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A1FCAF0" w14:textId="77777777" w:rsidR="0094644B" w:rsidRPr="00F07779" w:rsidRDefault="0094644B" w:rsidP="00FB5086">
            <w:pPr>
              <w:rPr>
                <w:sz w:val="20"/>
                <w:szCs w:val="20"/>
              </w:rPr>
            </w:pPr>
            <w:r w:rsidRPr="00F07779">
              <w:rPr>
                <w:sz w:val="20"/>
                <w:szCs w:val="20"/>
              </w:rPr>
              <w:t>Investment projects focused on the reconstruction and construction of the transmission network</w:t>
            </w:r>
          </w:p>
        </w:tc>
      </w:tr>
      <w:tr w:rsidR="0094644B" w:rsidRPr="00F07779" w14:paraId="2758E253"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53229201" w14:textId="77777777" w:rsidR="0094644B" w:rsidRPr="00F07779" w:rsidRDefault="0094644B" w:rsidP="00FB5086">
            <w:pPr>
              <w:rPr>
                <w:sz w:val="20"/>
                <w:szCs w:val="20"/>
              </w:rPr>
            </w:pPr>
            <w:r w:rsidRPr="00FA3F57">
              <w:rPr>
                <w:sz w:val="20"/>
                <w:szCs w:val="20"/>
              </w:rPr>
              <w:t>Name of the project</w:t>
            </w:r>
          </w:p>
        </w:tc>
        <w:tc>
          <w:tcPr>
            <w:tcW w:w="5667"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704809D3" w14:textId="77777777" w:rsidR="0094644B" w:rsidRPr="00F07779" w:rsidRDefault="0094644B" w:rsidP="00FB5086">
            <w:pPr>
              <w:rPr>
                <w:sz w:val="20"/>
                <w:szCs w:val="20"/>
              </w:rPr>
            </w:pPr>
            <w:proofErr w:type="spellStart"/>
            <w:r w:rsidRPr="00F07779">
              <w:rPr>
                <w:sz w:val="20"/>
                <w:szCs w:val="20"/>
              </w:rPr>
              <w:t>BeoGrid</w:t>
            </w:r>
            <w:proofErr w:type="spellEnd"/>
            <w:r w:rsidRPr="00F07779">
              <w:rPr>
                <w:sz w:val="20"/>
                <w:szCs w:val="20"/>
              </w:rPr>
              <w:t xml:space="preserve"> 2025</w:t>
            </w:r>
          </w:p>
          <w:p w14:paraId="16ADDF36" w14:textId="77777777" w:rsidR="0094644B" w:rsidRPr="00F07779" w:rsidRDefault="0094644B" w:rsidP="00FB5086">
            <w:pPr>
              <w:rPr>
                <w:sz w:val="20"/>
                <w:szCs w:val="20"/>
              </w:rPr>
            </w:pPr>
            <w:r w:rsidRPr="00F07779">
              <w:rPr>
                <w:sz w:val="20"/>
                <w:szCs w:val="20"/>
              </w:rPr>
              <w:t>TS 400/110 kV Belgrade 50 with branching of 400 kV and 110 kV lines, and OHL 400 kV TS Belgrade 50 - South Banat region</w:t>
            </w:r>
          </w:p>
        </w:tc>
      </w:tr>
      <w:tr w:rsidR="0094644B" w:rsidRPr="00F07779" w14:paraId="743098D0"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7EF5D7A" w14:textId="77777777" w:rsidR="0094644B" w:rsidRPr="00F07779" w:rsidRDefault="0094644B" w:rsidP="00FB5086">
            <w:pPr>
              <w:rPr>
                <w:sz w:val="20"/>
                <w:szCs w:val="20"/>
              </w:rPr>
            </w:pPr>
            <w:r w:rsidRPr="00FA3F57">
              <w:rPr>
                <w:sz w:val="20"/>
                <w:szCs w:val="20"/>
              </w:rPr>
              <w:t xml:space="preserve">Name of the </w:t>
            </w:r>
            <w:r w:rsidRPr="00F07779">
              <w:rPr>
                <w:sz w:val="20"/>
                <w:szCs w:val="20"/>
              </w:rPr>
              <w:t>investment</w:t>
            </w:r>
          </w:p>
        </w:tc>
        <w:tc>
          <w:tcPr>
            <w:tcW w:w="566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4E1C432" w14:textId="77777777" w:rsidR="0094644B" w:rsidRPr="00F07779" w:rsidRDefault="0094644B" w:rsidP="00FB5086">
            <w:pPr>
              <w:rPr>
                <w:sz w:val="20"/>
                <w:szCs w:val="20"/>
              </w:rPr>
            </w:pPr>
            <w:r w:rsidRPr="00F07779">
              <w:rPr>
                <w:sz w:val="20"/>
                <w:szCs w:val="20"/>
              </w:rPr>
              <w:t>CB 2x110 kV TS Belgrade 50 – TS Belgrade 49</w:t>
            </w:r>
          </w:p>
        </w:tc>
      </w:tr>
      <w:tr w:rsidR="0094644B" w:rsidRPr="00F07779" w14:paraId="72847CFC"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07635DED" w14:textId="77777777" w:rsidR="0094644B" w:rsidRPr="00F07779" w:rsidRDefault="0094644B" w:rsidP="00FB5086">
            <w:pPr>
              <w:rPr>
                <w:sz w:val="20"/>
                <w:szCs w:val="20"/>
              </w:rPr>
            </w:pPr>
            <w:r w:rsidRPr="00FA3F57">
              <w:rPr>
                <w:sz w:val="20"/>
                <w:szCs w:val="20"/>
              </w:rPr>
              <w:t>Short description of the investment</w:t>
            </w:r>
          </w:p>
        </w:tc>
        <w:tc>
          <w:tcPr>
            <w:tcW w:w="5667" w:type="dxa"/>
            <w:tcBorders>
              <w:top w:val="single" w:sz="4" w:space="0" w:color="auto"/>
              <w:left w:val="single" w:sz="4" w:space="0" w:color="auto"/>
              <w:bottom w:val="single" w:sz="4" w:space="0" w:color="auto"/>
              <w:right w:val="single" w:sz="4" w:space="0" w:color="auto"/>
            </w:tcBorders>
            <w:hideMark/>
          </w:tcPr>
          <w:p w14:paraId="0A16F20A" w14:textId="77777777" w:rsidR="0094644B" w:rsidRPr="00F07779" w:rsidRDefault="0094644B" w:rsidP="00FB5086">
            <w:pPr>
              <w:rPr>
                <w:sz w:val="20"/>
                <w:szCs w:val="20"/>
              </w:rPr>
            </w:pPr>
            <w:r w:rsidRPr="00F07779">
              <w:rPr>
                <w:sz w:val="20"/>
                <w:szCs w:val="20"/>
              </w:rPr>
              <w:t>Construction of a double-circuit cable line from TS Belgrade 50 to TS Belgrade 49.</w:t>
            </w:r>
          </w:p>
          <w:p w14:paraId="2D50322A" w14:textId="77777777" w:rsidR="0094644B" w:rsidRPr="00F07779" w:rsidRDefault="0094644B" w:rsidP="00FB5086">
            <w:pPr>
              <w:rPr>
                <w:sz w:val="20"/>
                <w:szCs w:val="20"/>
              </w:rPr>
            </w:pPr>
            <w:r w:rsidRPr="00F07779">
              <w:rPr>
                <w:sz w:val="20"/>
                <w:szCs w:val="20"/>
              </w:rPr>
              <w:t>Expected dynamics of project implementation:</w:t>
            </w:r>
          </w:p>
          <w:p w14:paraId="78A14880" w14:textId="77777777" w:rsidR="0094644B" w:rsidRPr="00F07779" w:rsidRDefault="0094644B" w:rsidP="00FB5086">
            <w:pPr>
              <w:rPr>
                <w:sz w:val="20"/>
                <w:szCs w:val="20"/>
              </w:rPr>
            </w:pPr>
            <w:r w:rsidRPr="00F07779">
              <w:rPr>
                <w:sz w:val="20"/>
                <w:szCs w:val="20"/>
              </w:rPr>
              <w:t>2026. Construction</w:t>
            </w:r>
          </w:p>
          <w:p w14:paraId="5E674F22" w14:textId="77777777" w:rsidR="0094644B" w:rsidRPr="00F07779" w:rsidRDefault="0094644B" w:rsidP="00FB5086">
            <w:pPr>
              <w:rPr>
                <w:sz w:val="20"/>
                <w:szCs w:val="20"/>
              </w:rPr>
            </w:pPr>
            <w:r w:rsidRPr="00F07779">
              <w:rPr>
                <w:sz w:val="20"/>
                <w:szCs w:val="20"/>
              </w:rPr>
              <w:t>2027. Commissioning; trial operation</w:t>
            </w:r>
          </w:p>
          <w:p w14:paraId="3C53B646" w14:textId="77777777" w:rsidR="0094644B" w:rsidRPr="00F07779" w:rsidRDefault="0094644B" w:rsidP="00FB5086">
            <w:pPr>
              <w:rPr>
                <w:sz w:val="20"/>
                <w:szCs w:val="20"/>
              </w:rPr>
            </w:pPr>
            <w:r w:rsidRPr="00F07779">
              <w:rPr>
                <w:sz w:val="20"/>
                <w:szCs w:val="20"/>
              </w:rPr>
              <w:t>2028. Use permit; end of project</w:t>
            </w:r>
          </w:p>
        </w:tc>
      </w:tr>
      <w:tr w:rsidR="0094644B" w:rsidRPr="00F07779" w14:paraId="45F792B4"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5FBBBC6B" w14:textId="77777777" w:rsidR="0094644B" w:rsidRPr="00F07779" w:rsidRDefault="0094644B" w:rsidP="00FB5086">
            <w:pPr>
              <w:rPr>
                <w:sz w:val="20"/>
                <w:szCs w:val="20"/>
              </w:rPr>
            </w:pPr>
            <w:r w:rsidRPr="00FA3F57">
              <w:rPr>
                <w:sz w:val="20"/>
                <w:szCs w:val="20"/>
              </w:rPr>
              <w:t>Institutions responsible for the implementation of measures and activities</w:t>
            </w:r>
          </w:p>
        </w:tc>
        <w:tc>
          <w:tcPr>
            <w:tcW w:w="5667" w:type="dxa"/>
            <w:tcBorders>
              <w:top w:val="single" w:sz="4" w:space="0" w:color="auto"/>
              <w:left w:val="single" w:sz="4" w:space="0" w:color="auto"/>
              <w:bottom w:val="single" w:sz="4" w:space="0" w:color="auto"/>
              <w:right w:val="single" w:sz="4" w:space="0" w:color="auto"/>
            </w:tcBorders>
            <w:hideMark/>
          </w:tcPr>
          <w:p w14:paraId="40382BDD" w14:textId="77777777" w:rsidR="0094644B" w:rsidRPr="00F07779" w:rsidRDefault="0094644B" w:rsidP="00FB5086">
            <w:pPr>
              <w:rPr>
                <w:sz w:val="20"/>
                <w:szCs w:val="20"/>
              </w:rPr>
            </w:pPr>
            <w:r w:rsidRPr="00FA3F57">
              <w:rPr>
                <w:sz w:val="20"/>
                <w:szCs w:val="20"/>
              </w:rPr>
              <w:t>EMS JSC Belgrade</w:t>
            </w:r>
          </w:p>
        </w:tc>
      </w:tr>
      <w:tr w:rsidR="0094644B" w:rsidRPr="00F07779" w14:paraId="4A32ED0D"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45C3DFED" w14:textId="77777777" w:rsidR="0094644B" w:rsidRPr="00F07779" w:rsidRDefault="0094644B" w:rsidP="00FB5086">
            <w:pPr>
              <w:rPr>
                <w:sz w:val="20"/>
                <w:szCs w:val="20"/>
              </w:rPr>
            </w:pPr>
            <w:r w:rsidRPr="00FA3F57">
              <w:rPr>
                <w:sz w:val="20"/>
                <w:szCs w:val="20"/>
              </w:rPr>
              <w:t>Institutions responsible for monitoring implementation and reporting on the realization</w:t>
            </w:r>
          </w:p>
        </w:tc>
        <w:tc>
          <w:tcPr>
            <w:tcW w:w="5667" w:type="dxa"/>
            <w:tcBorders>
              <w:top w:val="single" w:sz="4" w:space="0" w:color="auto"/>
              <w:left w:val="single" w:sz="4" w:space="0" w:color="auto"/>
              <w:bottom w:val="single" w:sz="4" w:space="0" w:color="auto"/>
              <w:right w:val="single" w:sz="4" w:space="0" w:color="auto"/>
            </w:tcBorders>
            <w:hideMark/>
          </w:tcPr>
          <w:p w14:paraId="06726D74" w14:textId="77777777" w:rsidR="0094644B" w:rsidRPr="00F07779" w:rsidRDefault="0094644B" w:rsidP="00FB5086">
            <w:pPr>
              <w:rPr>
                <w:sz w:val="20"/>
                <w:szCs w:val="20"/>
              </w:rPr>
            </w:pPr>
            <w:r w:rsidRPr="00FA3F57">
              <w:rPr>
                <w:sz w:val="20"/>
                <w:szCs w:val="20"/>
              </w:rPr>
              <w:t>EMS JSC Belgrade</w:t>
            </w:r>
          </w:p>
          <w:p w14:paraId="6EDDB342" w14:textId="77777777" w:rsidR="0094644B" w:rsidRPr="00F07779" w:rsidRDefault="0094644B" w:rsidP="00FB5086">
            <w:pPr>
              <w:rPr>
                <w:sz w:val="20"/>
                <w:szCs w:val="20"/>
              </w:rPr>
            </w:pPr>
            <w:r w:rsidRPr="00F07779">
              <w:rPr>
                <w:sz w:val="20"/>
                <w:szCs w:val="20"/>
              </w:rPr>
              <w:t>Ministry of Mining and Energy</w:t>
            </w:r>
          </w:p>
        </w:tc>
      </w:tr>
      <w:tr w:rsidR="0094644B" w:rsidRPr="00F07779" w14:paraId="62459891"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1EBCF227" w14:textId="77777777" w:rsidR="0094644B" w:rsidRPr="00F07779" w:rsidRDefault="0094644B" w:rsidP="00FB5086">
            <w:pPr>
              <w:rPr>
                <w:sz w:val="20"/>
                <w:szCs w:val="20"/>
              </w:rPr>
            </w:pPr>
            <w:r w:rsidRPr="00FA3F57">
              <w:rPr>
                <w:sz w:val="20"/>
                <w:szCs w:val="20"/>
              </w:rPr>
              <w:t>Year of project funding start</w:t>
            </w:r>
          </w:p>
        </w:tc>
        <w:tc>
          <w:tcPr>
            <w:tcW w:w="5667" w:type="dxa"/>
            <w:tcBorders>
              <w:top w:val="single" w:sz="4" w:space="0" w:color="auto"/>
              <w:left w:val="single" w:sz="4" w:space="0" w:color="auto"/>
              <w:bottom w:val="single" w:sz="4" w:space="0" w:color="auto"/>
              <w:right w:val="single" w:sz="4" w:space="0" w:color="auto"/>
            </w:tcBorders>
            <w:hideMark/>
          </w:tcPr>
          <w:p w14:paraId="51A28142" w14:textId="77777777" w:rsidR="0094644B" w:rsidRPr="00F07779" w:rsidRDefault="0094644B" w:rsidP="00FB5086">
            <w:pPr>
              <w:rPr>
                <w:sz w:val="20"/>
                <w:szCs w:val="20"/>
              </w:rPr>
            </w:pPr>
            <w:r w:rsidRPr="00F07779">
              <w:rPr>
                <w:sz w:val="20"/>
                <w:szCs w:val="20"/>
              </w:rPr>
              <w:t>2021.</w:t>
            </w:r>
          </w:p>
        </w:tc>
      </w:tr>
      <w:tr w:rsidR="0094644B" w:rsidRPr="00F07779" w14:paraId="25CE239A"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22FAD97B" w14:textId="77777777" w:rsidR="0094644B" w:rsidRPr="00F07779" w:rsidRDefault="0094644B" w:rsidP="00FB5086">
            <w:pPr>
              <w:rPr>
                <w:sz w:val="20"/>
                <w:szCs w:val="20"/>
              </w:rPr>
            </w:pPr>
            <w:r w:rsidRPr="00FA3F57">
              <w:rPr>
                <w:sz w:val="20"/>
                <w:szCs w:val="20"/>
              </w:rPr>
              <w:t>Year of completion of project funding</w:t>
            </w:r>
          </w:p>
        </w:tc>
        <w:tc>
          <w:tcPr>
            <w:tcW w:w="5667" w:type="dxa"/>
            <w:tcBorders>
              <w:top w:val="single" w:sz="4" w:space="0" w:color="auto"/>
              <w:left w:val="single" w:sz="4" w:space="0" w:color="auto"/>
              <w:bottom w:val="single" w:sz="4" w:space="0" w:color="auto"/>
              <w:right w:val="single" w:sz="4" w:space="0" w:color="auto"/>
            </w:tcBorders>
            <w:hideMark/>
          </w:tcPr>
          <w:p w14:paraId="0C75FF41" w14:textId="77777777" w:rsidR="0094644B" w:rsidRPr="00F07779" w:rsidRDefault="0094644B" w:rsidP="00FB5086">
            <w:pPr>
              <w:rPr>
                <w:sz w:val="20"/>
                <w:szCs w:val="20"/>
              </w:rPr>
            </w:pPr>
            <w:r w:rsidRPr="00F07779">
              <w:rPr>
                <w:sz w:val="20"/>
                <w:szCs w:val="20"/>
              </w:rPr>
              <w:t>2026.</w:t>
            </w:r>
          </w:p>
        </w:tc>
      </w:tr>
      <w:tr w:rsidR="0094644B" w:rsidRPr="00F07779" w14:paraId="608F7205"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70388D41" w14:textId="77777777" w:rsidR="0094644B" w:rsidRPr="00F07779" w:rsidRDefault="0094644B" w:rsidP="00FB5086">
            <w:pPr>
              <w:rPr>
                <w:sz w:val="20"/>
                <w:szCs w:val="20"/>
              </w:rPr>
            </w:pPr>
            <w:r w:rsidRPr="00FA3F57">
              <w:rPr>
                <w:sz w:val="20"/>
                <w:szCs w:val="20"/>
              </w:rPr>
              <w:t>Total project value</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448FED4D" w14:textId="77777777" w:rsidR="0094644B" w:rsidRPr="00F07779" w:rsidRDefault="0094644B" w:rsidP="00FB5086">
            <w:pPr>
              <w:rPr>
                <w:sz w:val="20"/>
                <w:szCs w:val="20"/>
              </w:rPr>
            </w:pPr>
            <w:r w:rsidRPr="00F07779">
              <w:rPr>
                <w:sz w:val="20"/>
                <w:szCs w:val="20"/>
              </w:rPr>
              <w:t>2,257,203 (19.25 million EUR)</w:t>
            </w:r>
          </w:p>
        </w:tc>
      </w:tr>
      <w:tr w:rsidR="0094644B" w:rsidRPr="00F07779" w14:paraId="17000E8B"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7A161BDB" w14:textId="77777777" w:rsidR="0094644B" w:rsidRPr="00F07779" w:rsidRDefault="0094644B" w:rsidP="00FB5086">
            <w:pPr>
              <w:rPr>
                <w:sz w:val="20"/>
                <w:szCs w:val="20"/>
              </w:rPr>
            </w:pPr>
            <w:r w:rsidRPr="00FA3F57">
              <w:rPr>
                <w:sz w:val="20"/>
                <w:szCs w:val="20"/>
              </w:rPr>
              <w:t>Planned investments for 2026.</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3D378BEE" w14:textId="77777777" w:rsidR="0094644B" w:rsidRPr="00F07779" w:rsidRDefault="0094644B" w:rsidP="00FB5086">
            <w:pPr>
              <w:rPr>
                <w:sz w:val="20"/>
                <w:szCs w:val="20"/>
              </w:rPr>
            </w:pPr>
            <w:r w:rsidRPr="00F07779">
              <w:rPr>
                <w:sz w:val="20"/>
                <w:szCs w:val="20"/>
              </w:rPr>
              <w:t>1,826,891 (budget RS)</w:t>
            </w:r>
          </w:p>
        </w:tc>
      </w:tr>
      <w:tr w:rsidR="0094644B" w:rsidRPr="00F07779" w14:paraId="0EEF7299"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783A9F3E" w14:textId="77777777" w:rsidR="0094644B" w:rsidRPr="00F07779" w:rsidRDefault="0094644B" w:rsidP="00FB5086">
            <w:pPr>
              <w:rPr>
                <w:sz w:val="20"/>
                <w:szCs w:val="20"/>
              </w:rPr>
            </w:pPr>
            <w:r w:rsidRPr="00FA3F57">
              <w:rPr>
                <w:sz w:val="20"/>
                <w:szCs w:val="20"/>
              </w:rPr>
              <w:t>Planned investments for 2027.</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7BFC08ED" w14:textId="77777777" w:rsidR="0094644B" w:rsidRPr="00F07779" w:rsidRDefault="0094644B" w:rsidP="00FB5086">
            <w:pPr>
              <w:rPr>
                <w:sz w:val="20"/>
                <w:szCs w:val="20"/>
              </w:rPr>
            </w:pPr>
            <w:r w:rsidRPr="00F07779">
              <w:rPr>
                <w:sz w:val="20"/>
                <w:szCs w:val="20"/>
              </w:rPr>
              <w:t>0</w:t>
            </w:r>
          </w:p>
        </w:tc>
      </w:tr>
      <w:tr w:rsidR="0094644B" w:rsidRPr="00F07779" w14:paraId="103E3C08"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130C0CDC" w14:textId="77777777" w:rsidR="0094644B" w:rsidRPr="00F07779" w:rsidRDefault="0094644B" w:rsidP="00FB5086">
            <w:pPr>
              <w:rPr>
                <w:sz w:val="20"/>
                <w:szCs w:val="20"/>
              </w:rPr>
            </w:pPr>
            <w:r w:rsidRPr="00FA3F57">
              <w:rPr>
                <w:sz w:val="20"/>
                <w:szCs w:val="20"/>
              </w:rPr>
              <w:t>Planned investments for 2028.</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50560D04" w14:textId="77777777" w:rsidR="0094644B" w:rsidRPr="00F07779" w:rsidRDefault="0094644B" w:rsidP="00FB5086">
            <w:pPr>
              <w:rPr>
                <w:sz w:val="20"/>
                <w:szCs w:val="20"/>
              </w:rPr>
            </w:pPr>
            <w:r w:rsidRPr="00F07779">
              <w:rPr>
                <w:sz w:val="20"/>
                <w:szCs w:val="20"/>
              </w:rPr>
              <w:t>0</w:t>
            </w:r>
          </w:p>
        </w:tc>
      </w:tr>
    </w:tbl>
    <w:p w14:paraId="3E91AFC3" w14:textId="77777777" w:rsidR="0094644B" w:rsidRPr="00F07779" w:rsidRDefault="0094644B" w:rsidP="0094644B">
      <w:pPr>
        <w:tabs>
          <w:tab w:val="left" w:pos="1276"/>
          <w:tab w:val="left" w:pos="1560"/>
        </w:tabs>
        <w:ind w:left="1440" w:hanging="1440"/>
      </w:pPr>
    </w:p>
    <w:tbl>
      <w:tblPr>
        <w:tblStyle w:val="TableGrid"/>
        <w:tblW w:w="0" w:type="auto"/>
        <w:tblLook w:val="04A0" w:firstRow="1" w:lastRow="0" w:firstColumn="1" w:lastColumn="0" w:noHBand="0" w:noVBand="1"/>
      </w:tblPr>
      <w:tblGrid>
        <w:gridCol w:w="2973"/>
        <w:gridCol w:w="5667"/>
      </w:tblGrid>
      <w:tr w:rsidR="0094644B" w:rsidRPr="00F07779" w14:paraId="0DB95092"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6108FCC" w14:textId="77777777" w:rsidR="0094644B" w:rsidRPr="00F07779" w:rsidRDefault="0094644B" w:rsidP="00FB5086">
            <w:pPr>
              <w:rPr>
                <w:sz w:val="20"/>
                <w:szCs w:val="20"/>
              </w:rPr>
            </w:pPr>
            <w:r w:rsidRPr="00F07779">
              <w:rPr>
                <w:sz w:val="20"/>
                <w:szCs w:val="20"/>
              </w:rPr>
              <w:t>Activity EL1.2</w:t>
            </w:r>
          </w:p>
        </w:tc>
        <w:tc>
          <w:tcPr>
            <w:tcW w:w="566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4697BA5" w14:textId="77777777" w:rsidR="0094644B" w:rsidRPr="00F07779" w:rsidRDefault="0094644B" w:rsidP="00FB5086">
            <w:pPr>
              <w:rPr>
                <w:sz w:val="20"/>
                <w:szCs w:val="20"/>
              </w:rPr>
            </w:pPr>
            <w:r w:rsidRPr="00F07779">
              <w:rPr>
                <w:sz w:val="20"/>
                <w:szCs w:val="20"/>
              </w:rPr>
              <w:t>Investment projects focused on the reconstruction and construction of the transmission network</w:t>
            </w:r>
          </w:p>
        </w:tc>
      </w:tr>
      <w:tr w:rsidR="0094644B" w:rsidRPr="00F07779" w14:paraId="22596814"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1954AC9C" w14:textId="77777777" w:rsidR="0094644B" w:rsidRPr="00F07779" w:rsidRDefault="0094644B" w:rsidP="00FB5086">
            <w:pPr>
              <w:rPr>
                <w:sz w:val="20"/>
                <w:szCs w:val="20"/>
              </w:rPr>
            </w:pPr>
            <w:r w:rsidRPr="00FA3F57">
              <w:rPr>
                <w:sz w:val="20"/>
                <w:szCs w:val="20"/>
              </w:rPr>
              <w:t>Name of the project</w:t>
            </w:r>
          </w:p>
        </w:tc>
        <w:tc>
          <w:tcPr>
            <w:tcW w:w="5667"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606E9FA8" w14:textId="77777777" w:rsidR="0094644B" w:rsidRPr="00F07779" w:rsidRDefault="0094644B" w:rsidP="00FB5086">
            <w:pPr>
              <w:rPr>
                <w:sz w:val="20"/>
                <w:szCs w:val="20"/>
              </w:rPr>
            </w:pPr>
            <w:proofErr w:type="spellStart"/>
            <w:r w:rsidRPr="00F07779">
              <w:rPr>
                <w:sz w:val="20"/>
                <w:szCs w:val="20"/>
              </w:rPr>
              <w:t>BeoGrid</w:t>
            </w:r>
            <w:proofErr w:type="spellEnd"/>
            <w:r w:rsidRPr="00F07779">
              <w:rPr>
                <w:sz w:val="20"/>
                <w:szCs w:val="20"/>
              </w:rPr>
              <w:t xml:space="preserve"> 2025</w:t>
            </w:r>
          </w:p>
          <w:p w14:paraId="0EEFD8B6" w14:textId="77777777" w:rsidR="0094644B" w:rsidRPr="00F07779" w:rsidRDefault="0094644B" w:rsidP="00FB5086">
            <w:pPr>
              <w:rPr>
                <w:sz w:val="20"/>
                <w:szCs w:val="20"/>
              </w:rPr>
            </w:pPr>
            <w:r w:rsidRPr="00F07779">
              <w:rPr>
                <w:sz w:val="20"/>
                <w:szCs w:val="20"/>
              </w:rPr>
              <w:t>TS 400/110 kV Belgrade 50 with branching of 400 kV and 110 kV lines, and OHL 400 kV TS Belgrade 50 - South Banat region</w:t>
            </w:r>
          </w:p>
        </w:tc>
      </w:tr>
      <w:tr w:rsidR="0094644B" w:rsidRPr="00F07779" w14:paraId="001769D2"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AFA9650" w14:textId="77777777" w:rsidR="0094644B" w:rsidRPr="00F07779" w:rsidRDefault="0094644B" w:rsidP="00FB5086">
            <w:pPr>
              <w:rPr>
                <w:sz w:val="20"/>
                <w:szCs w:val="20"/>
              </w:rPr>
            </w:pPr>
            <w:r w:rsidRPr="00FA3F57">
              <w:rPr>
                <w:sz w:val="20"/>
                <w:szCs w:val="20"/>
              </w:rPr>
              <w:t xml:space="preserve">Name of the </w:t>
            </w:r>
            <w:r w:rsidRPr="00F07779">
              <w:rPr>
                <w:sz w:val="20"/>
                <w:szCs w:val="20"/>
              </w:rPr>
              <w:t>investment</w:t>
            </w:r>
          </w:p>
        </w:tc>
        <w:tc>
          <w:tcPr>
            <w:tcW w:w="566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A656D1A" w14:textId="77777777" w:rsidR="0094644B" w:rsidRPr="00F07779" w:rsidRDefault="0094644B" w:rsidP="00FB5086">
            <w:pPr>
              <w:rPr>
                <w:sz w:val="20"/>
                <w:szCs w:val="20"/>
              </w:rPr>
            </w:pPr>
            <w:r w:rsidRPr="00F07779">
              <w:rPr>
                <w:sz w:val="20"/>
                <w:szCs w:val="20"/>
              </w:rPr>
              <w:t xml:space="preserve">OHL 2x400 kV TS Belgrade 50– CSS </w:t>
            </w:r>
            <w:proofErr w:type="spellStart"/>
            <w:r w:rsidRPr="00F07779">
              <w:rPr>
                <w:sz w:val="20"/>
                <w:szCs w:val="20"/>
              </w:rPr>
              <w:t>Čibuk</w:t>
            </w:r>
            <w:proofErr w:type="spellEnd"/>
            <w:r w:rsidRPr="00F07779">
              <w:rPr>
                <w:sz w:val="20"/>
                <w:szCs w:val="20"/>
              </w:rPr>
              <w:t xml:space="preserve"> 1</w:t>
            </w:r>
          </w:p>
        </w:tc>
      </w:tr>
      <w:tr w:rsidR="0094644B" w:rsidRPr="00F07779" w14:paraId="207C4BAE"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1D435BEE" w14:textId="77777777" w:rsidR="0094644B" w:rsidRPr="00F07779" w:rsidRDefault="0094644B" w:rsidP="00FB5086">
            <w:pPr>
              <w:rPr>
                <w:sz w:val="20"/>
                <w:szCs w:val="20"/>
              </w:rPr>
            </w:pPr>
            <w:r w:rsidRPr="00FA3F57">
              <w:rPr>
                <w:sz w:val="20"/>
                <w:szCs w:val="20"/>
              </w:rPr>
              <w:t>Short description of the investment</w:t>
            </w:r>
          </w:p>
        </w:tc>
        <w:tc>
          <w:tcPr>
            <w:tcW w:w="5667" w:type="dxa"/>
            <w:tcBorders>
              <w:top w:val="single" w:sz="4" w:space="0" w:color="auto"/>
              <w:left w:val="single" w:sz="4" w:space="0" w:color="auto"/>
              <w:bottom w:val="single" w:sz="4" w:space="0" w:color="auto"/>
              <w:right w:val="single" w:sz="4" w:space="0" w:color="auto"/>
            </w:tcBorders>
            <w:hideMark/>
          </w:tcPr>
          <w:p w14:paraId="3C2A8D9B" w14:textId="77777777" w:rsidR="0094644B" w:rsidRPr="00F07779" w:rsidRDefault="0094644B" w:rsidP="00FB5086">
            <w:pPr>
              <w:rPr>
                <w:sz w:val="20"/>
                <w:szCs w:val="20"/>
              </w:rPr>
            </w:pPr>
            <w:r w:rsidRPr="00F07779">
              <w:rPr>
                <w:sz w:val="20"/>
                <w:szCs w:val="20"/>
              </w:rPr>
              <w:t xml:space="preserve">Construction of a dual-system 400 kV TS Belgrade 50 – CSS </w:t>
            </w:r>
            <w:proofErr w:type="spellStart"/>
            <w:r w:rsidRPr="00F07779">
              <w:rPr>
                <w:sz w:val="20"/>
                <w:szCs w:val="20"/>
              </w:rPr>
              <w:t>Čibuk</w:t>
            </w:r>
            <w:proofErr w:type="spellEnd"/>
            <w:r w:rsidRPr="00F07779">
              <w:rPr>
                <w:sz w:val="20"/>
                <w:szCs w:val="20"/>
              </w:rPr>
              <w:t xml:space="preserve"> 1, consisting of two sections:</w:t>
            </w:r>
          </w:p>
          <w:p w14:paraId="47875A1C" w14:textId="77777777" w:rsidR="0094644B" w:rsidRPr="00F07779" w:rsidRDefault="0094644B" w:rsidP="00FB5086">
            <w:pPr>
              <w:numPr>
                <w:ilvl w:val="0"/>
                <w:numId w:val="9"/>
              </w:numPr>
              <w:tabs>
                <w:tab w:val="left" w:pos="313"/>
              </w:tabs>
              <w:ind w:left="0" w:firstLine="0"/>
              <w:rPr>
                <w:sz w:val="20"/>
                <w:szCs w:val="20"/>
              </w:rPr>
            </w:pPr>
            <w:r w:rsidRPr="00F07779">
              <w:rPr>
                <w:sz w:val="20"/>
                <w:szCs w:val="20"/>
              </w:rPr>
              <w:t xml:space="preserve">Section A: TS Belgrade 50 – OHL 2x400 kV No. </w:t>
            </w:r>
            <w:proofErr w:type="gramStart"/>
            <w:r w:rsidRPr="00F07779">
              <w:rPr>
                <w:sz w:val="20"/>
                <w:szCs w:val="20"/>
              </w:rPr>
              <w:t>463B;</w:t>
            </w:r>
            <w:proofErr w:type="gramEnd"/>
          </w:p>
          <w:p w14:paraId="2E98C61B" w14:textId="77777777" w:rsidR="0094644B" w:rsidRPr="00F07779" w:rsidRDefault="0094644B" w:rsidP="00FB5086">
            <w:pPr>
              <w:numPr>
                <w:ilvl w:val="0"/>
                <w:numId w:val="9"/>
              </w:numPr>
              <w:tabs>
                <w:tab w:val="left" w:pos="313"/>
              </w:tabs>
              <w:ind w:left="0" w:firstLine="0"/>
              <w:rPr>
                <w:sz w:val="20"/>
                <w:szCs w:val="20"/>
              </w:rPr>
            </w:pPr>
            <w:r w:rsidRPr="00F07779">
              <w:rPr>
                <w:sz w:val="20"/>
                <w:szCs w:val="20"/>
              </w:rPr>
              <w:t xml:space="preserve">Section B: S Belgrade 50 –OHL 2x400kV No. 463A. </w:t>
            </w:r>
          </w:p>
          <w:p w14:paraId="35F4BCCC" w14:textId="77777777" w:rsidR="0094644B" w:rsidRPr="00F07779" w:rsidRDefault="0094644B" w:rsidP="00FB5086">
            <w:pPr>
              <w:rPr>
                <w:sz w:val="20"/>
                <w:szCs w:val="20"/>
              </w:rPr>
            </w:pPr>
            <w:r w:rsidRPr="00F07779">
              <w:rPr>
                <w:sz w:val="20"/>
                <w:szCs w:val="20"/>
              </w:rPr>
              <w:t>Expected dynamics of project implementation:</w:t>
            </w:r>
          </w:p>
          <w:p w14:paraId="08FBA06D" w14:textId="77777777" w:rsidR="0094644B" w:rsidRPr="00F07779" w:rsidRDefault="0094644B" w:rsidP="00FB5086">
            <w:pPr>
              <w:rPr>
                <w:sz w:val="20"/>
                <w:szCs w:val="20"/>
              </w:rPr>
            </w:pPr>
            <w:r w:rsidRPr="00F07779">
              <w:rPr>
                <w:sz w:val="20"/>
                <w:szCs w:val="20"/>
              </w:rPr>
              <w:t>2026. Building permit</w:t>
            </w:r>
          </w:p>
          <w:p w14:paraId="38461F8F" w14:textId="77777777" w:rsidR="0094644B" w:rsidRPr="00F07779" w:rsidRDefault="0094644B" w:rsidP="00FB5086">
            <w:pPr>
              <w:rPr>
                <w:sz w:val="20"/>
                <w:szCs w:val="20"/>
              </w:rPr>
            </w:pPr>
            <w:r w:rsidRPr="00F07779">
              <w:rPr>
                <w:sz w:val="20"/>
                <w:szCs w:val="20"/>
              </w:rPr>
              <w:t>2027. Construction</w:t>
            </w:r>
          </w:p>
          <w:p w14:paraId="75357FFF" w14:textId="77777777" w:rsidR="0094644B" w:rsidRPr="00F07779" w:rsidRDefault="0094644B" w:rsidP="00FB5086">
            <w:pPr>
              <w:rPr>
                <w:sz w:val="20"/>
                <w:szCs w:val="20"/>
              </w:rPr>
            </w:pPr>
            <w:r w:rsidRPr="00F07779">
              <w:rPr>
                <w:sz w:val="20"/>
                <w:szCs w:val="20"/>
              </w:rPr>
              <w:lastRenderedPageBreak/>
              <w:t>2028. Commissioning, trial operation</w:t>
            </w:r>
          </w:p>
        </w:tc>
      </w:tr>
      <w:tr w:rsidR="0094644B" w:rsidRPr="00F07779" w14:paraId="2C359242"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5B70175E" w14:textId="77777777" w:rsidR="0094644B" w:rsidRPr="00F07779" w:rsidRDefault="0094644B" w:rsidP="00FB5086">
            <w:pPr>
              <w:rPr>
                <w:sz w:val="20"/>
                <w:szCs w:val="20"/>
              </w:rPr>
            </w:pPr>
            <w:r w:rsidRPr="00FA3F57">
              <w:rPr>
                <w:sz w:val="20"/>
                <w:szCs w:val="20"/>
              </w:rPr>
              <w:lastRenderedPageBreak/>
              <w:t>Institutions responsible for the implementation of measures and activities</w:t>
            </w:r>
          </w:p>
        </w:tc>
        <w:tc>
          <w:tcPr>
            <w:tcW w:w="5667" w:type="dxa"/>
            <w:tcBorders>
              <w:top w:val="single" w:sz="4" w:space="0" w:color="auto"/>
              <w:left w:val="single" w:sz="4" w:space="0" w:color="auto"/>
              <w:bottom w:val="single" w:sz="4" w:space="0" w:color="auto"/>
              <w:right w:val="single" w:sz="4" w:space="0" w:color="auto"/>
            </w:tcBorders>
            <w:hideMark/>
          </w:tcPr>
          <w:p w14:paraId="763D6416" w14:textId="77777777" w:rsidR="0094644B" w:rsidRPr="00F07779" w:rsidRDefault="0094644B" w:rsidP="00FB5086">
            <w:pPr>
              <w:rPr>
                <w:sz w:val="20"/>
                <w:szCs w:val="20"/>
              </w:rPr>
            </w:pPr>
            <w:r w:rsidRPr="00FA3F57">
              <w:rPr>
                <w:sz w:val="20"/>
                <w:szCs w:val="20"/>
              </w:rPr>
              <w:t>EMS JSC Belgrade</w:t>
            </w:r>
          </w:p>
        </w:tc>
      </w:tr>
      <w:tr w:rsidR="0094644B" w:rsidRPr="00F07779" w14:paraId="4D400B16"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1E38C7F8" w14:textId="77777777" w:rsidR="0094644B" w:rsidRPr="00F07779" w:rsidRDefault="0094644B" w:rsidP="00FB5086">
            <w:pPr>
              <w:rPr>
                <w:sz w:val="20"/>
                <w:szCs w:val="20"/>
              </w:rPr>
            </w:pPr>
            <w:r w:rsidRPr="00FA3F57">
              <w:rPr>
                <w:sz w:val="20"/>
                <w:szCs w:val="20"/>
              </w:rPr>
              <w:t>Institutions responsible for monitoring implementation and reporting on the realization</w:t>
            </w:r>
          </w:p>
        </w:tc>
        <w:tc>
          <w:tcPr>
            <w:tcW w:w="5667" w:type="dxa"/>
            <w:tcBorders>
              <w:top w:val="single" w:sz="4" w:space="0" w:color="auto"/>
              <w:left w:val="single" w:sz="4" w:space="0" w:color="auto"/>
              <w:bottom w:val="single" w:sz="4" w:space="0" w:color="auto"/>
              <w:right w:val="single" w:sz="4" w:space="0" w:color="auto"/>
            </w:tcBorders>
            <w:hideMark/>
          </w:tcPr>
          <w:p w14:paraId="035C2E58" w14:textId="77777777" w:rsidR="0094644B" w:rsidRPr="00F07779" w:rsidRDefault="0094644B" w:rsidP="00FB5086">
            <w:pPr>
              <w:rPr>
                <w:sz w:val="20"/>
                <w:szCs w:val="20"/>
              </w:rPr>
            </w:pPr>
            <w:r w:rsidRPr="00FA3F57">
              <w:rPr>
                <w:sz w:val="20"/>
                <w:szCs w:val="20"/>
              </w:rPr>
              <w:t>EMS JSC Belgrade</w:t>
            </w:r>
          </w:p>
          <w:p w14:paraId="026A90C2" w14:textId="77777777" w:rsidR="0094644B" w:rsidRPr="00F07779" w:rsidRDefault="0094644B" w:rsidP="00FB5086">
            <w:pPr>
              <w:rPr>
                <w:sz w:val="20"/>
                <w:szCs w:val="20"/>
              </w:rPr>
            </w:pPr>
            <w:r w:rsidRPr="00F07779">
              <w:rPr>
                <w:sz w:val="20"/>
                <w:szCs w:val="20"/>
              </w:rPr>
              <w:t>Ministry of Mining and Energy</w:t>
            </w:r>
          </w:p>
        </w:tc>
      </w:tr>
      <w:tr w:rsidR="0094644B" w:rsidRPr="00F07779" w14:paraId="16E95444"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2CF63612" w14:textId="77777777" w:rsidR="0094644B" w:rsidRPr="00F07779" w:rsidRDefault="0094644B" w:rsidP="00FB5086">
            <w:pPr>
              <w:rPr>
                <w:sz w:val="20"/>
                <w:szCs w:val="20"/>
              </w:rPr>
            </w:pPr>
            <w:r w:rsidRPr="00FA3F57">
              <w:rPr>
                <w:sz w:val="20"/>
                <w:szCs w:val="20"/>
              </w:rPr>
              <w:t>Year of project funding start</w:t>
            </w:r>
          </w:p>
        </w:tc>
        <w:tc>
          <w:tcPr>
            <w:tcW w:w="5667" w:type="dxa"/>
            <w:tcBorders>
              <w:top w:val="single" w:sz="4" w:space="0" w:color="auto"/>
              <w:left w:val="single" w:sz="4" w:space="0" w:color="auto"/>
              <w:bottom w:val="single" w:sz="4" w:space="0" w:color="auto"/>
              <w:right w:val="single" w:sz="4" w:space="0" w:color="auto"/>
            </w:tcBorders>
            <w:hideMark/>
          </w:tcPr>
          <w:p w14:paraId="7C850A4E" w14:textId="77777777" w:rsidR="0094644B" w:rsidRPr="00F07779" w:rsidRDefault="0094644B" w:rsidP="00FB5086">
            <w:pPr>
              <w:rPr>
                <w:sz w:val="20"/>
                <w:szCs w:val="20"/>
              </w:rPr>
            </w:pPr>
            <w:r w:rsidRPr="00F07779">
              <w:rPr>
                <w:sz w:val="20"/>
                <w:szCs w:val="20"/>
              </w:rPr>
              <w:t>2021.</w:t>
            </w:r>
          </w:p>
        </w:tc>
      </w:tr>
      <w:tr w:rsidR="0094644B" w:rsidRPr="00F07779" w14:paraId="395DB0BE"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105266FC" w14:textId="77777777" w:rsidR="0094644B" w:rsidRPr="00F07779" w:rsidRDefault="0094644B" w:rsidP="00FB5086">
            <w:pPr>
              <w:rPr>
                <w:sz w:val="20"/>
                <w:szCs w:val="20"/>
              </w:rPr>
            </w:pPr>
            <w:r w:rsidRPr="00FA3F57">
              <w:rPr>
                <w:sz w:val="20"/>
                <w:szCs w:val="20"/>
              </w:rPr>
              <w:t>Year of completion of project funding</w:t>
            </w:r>
          </w:p>
        </w:tc>
        <w:tc>
          <w:tcPr>
            <w:tcW w:w="5667" w:type="dxa"/>
            <w:tcBorders>
              <w:top w:val="single" w:sz="4" w:space="0" w:color="auto"/>
              <w:left w:val="single" w:sz="4" w:space="0" w:color="auto"/>
              <w:bottom w:val="single" w:sz="4" w:space="0" w:color="auto"/>
              <w:right w:val="single" w:sz="4" w:space="0" w:color="auto"/>
            </w:tcBorders>
            <w:hideMark/>
          </w:tcPr>
          <w:p w14:paraId="44458074" w14:textId="77777777" w:rsidR="0094644B" w:rsidRPr="00F07779" w:rsidRDefault="0094644B" w:rsidP="00FB5086">
            <w:pPr>
              <w:rPr>
                <w:sz w:val="20"/>
                <w:szCs w:val="20"/>
              </w:rPr>
            </w:pPr>
            <w:r w:rsidRPr="00F07779">
              <w:rPr>
                <w:sz w:val="20"/>
                <w:szCs w:val="20"/>
              </w:rPr>
              <w:t>2028.</w:t>
            </w:r>
          </w:p>
        </w:tc>
      </w:tr>
      <w:tr w:rsidR="0094644B" w:rsidRPr="00F07779" w14:paraId="75080116"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5A523141" w14:textId="77777777" w:rsidR="0094644B" w:rsidRPr="00F07779" w:rsidRDefault="0094644B" w:rsidP="00FB5086">
            <w:pPr>
              <w:rPr>
                <w:sz w:val="20"/>
                <w:szCs w:val="20"/>
              </w:rPr>
            </w:pPr>
            <w:r w:rsidRPr="00FA3F57">
              <w:rPr>
                <w:sz w:val="20"/>
                <w:szCs w:val="20"/>
              </w:rPr>
              <w:t>Total project value</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1E38685A" w14:textId="77777777" w:rsidR="0094644B" w:rsidRPr="00FA3F57" w:rsidRDefault="0094644B" w:rsidP="00FB5086">
            <w:pPr>
              <w:rPr>
                <w:color w:val="000000"/>
                <w:sz w:val="20"/>
                <w:szCs w:val="20"/>
              </w:rPr>
            </w:pPr>
            <w:r w:rsidRPr="00FA3F57">
              <w:rPr>
                <w:color w:val="000000"/>
                <w:sz w:val="20"/>
                <w:szCs w:val="20"/>
              </w:rPr>
              <w:t>5,816,069 (49.6 million EUR)</w:t>
            </w:r>
          </w:p>
        </w:tc>
      </w:tr>
      <w:tr w:rsidR="0094644B" w:rsidRPr="00F07779" w14:paraId="7DF79C75"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4F1E9244" w14:textId="77777777" w:rsidR="0094644B" w:rsidRPr="00F07779" w:rsidRDefault="0094644B" w:rsidP="00FB5086">
            <w:pPr>
              <w:rPr>
                <w:sz w:val="20"/>
                <w:szCs w:val="20"/>
              </w:rPr>
            </w:pPr>
            <w:r w:rsidRPr="00FA3F57">
              <w:rPr>
                <w:sz w:val="20"/>
                <w:szCs w:val="20"/>
              </w:rPr>
              <w:t>Planned investments for 2026.</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62DE1C7C" w14:textId="77777777" w:rsidR="0094644B" w:rsidRPr="00FA3F57" w:rsidRDefault="0094644B" w:rsidP="00FB5086">
            <w:pPr>
              <w:rPr>
                <w:sz w:val="20"/>
                <w:szCs w:val="20"/>
              </w:rPr>
            </w:pPr>
            <w:r w:rsidRPr="00FA3F57">
              <w:rPr>
                <w:sz w:val="20"/>
                <w:szCs w:val="20"/>
              </w:rPr>
              <w:t>69,529 (budget RS)</w:t>
            </w:r>
          </w:p>
        </w:tc>
      </w:tr>
      <w:tr w:rsidR="0094644B" w:rsidRPr="00F07779" w14:paraId="4F630E29"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1F3A256C" w14:textId="77777777" w:rsidR="0094644B" w:rsidRPr="00F07779" w:rsidRDefault="0094644B" w:rsidP="00FB5086">
            <w:pPr>
              <w:rPr>
                <w:sz w:val="20"/>
                <w:szCs w:val="20"/>
              </w:rPr>
            </w:pPr>
            <w:r w:rsidRPr="00FA3F57">
              <w:rPr>
                <w:sz w:val="20"/>
                <w:szCs w:val="20"/>
              </w:rPr>
              <w:t>Planned investments for 2027.</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14BA6FE3" w14:textId="77777777" w:rsidR="0094644B" w:rsidRPr="00FA3F57" w:rsidRDefault="0094644B" w:rsidP="00FB5086">
            <w:pPr>
              <w:rPr>
                <w:sz w:val="20"/>
                <w:szCs w:val="20"/>
              </w:rPr>
            </w:pPr>
            <w:r w:rsidRPr="00FA3F57">
              <w:rPr>
                <w:sz w:val="20"/>
                <w:szCs w:val="20"/>
              </w:rPr>
              <w:t>1,927,590 (budget RS)</w:t>
            </w:r>
          </w:p>
        </w:tc>
      </w:tr>
      <w:tr w:rsidR="0094644B" w:rsidRPr="00F07779" w14:paraId="221D3307"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26232BAA" w14:textId="77777777" w:rsidR="0094644B" w:rsidRPr="00F07779" w:rsidRDefault="0094644B" w:rsidP="00FB5086">
            <w:pPr>
              <w:rPr>
                <w:sz w:val="20"/>
                <w:szCs w:val="20"/>
              </w:rPr>
            </w:pPr>
            <w:r w:rsidRPr="00FA3F57">
              <w:rPr>
                <w:sz w:val="20"/>
                <w:szCs w:val="20"/>
              </w:rPr>
              <w:t>Planned investments for 2028.</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2E4EDA65" w14:textId="77777777" w:rsidR="0094644B" w:rsidRPr="00FA3F57" w:rsidRDefault="0094644B" w:rsidP="00FB5086">
            <w:pPr>
              <w:rPr>
                <w:sz w:val="20"/>
                <w:szCs w:val="20"/>
              </w:rPr>
            </w:pPr>
            <w:r w:rsidRPr="00FA3F57">
              <w:rPr>
                <w:sz w:val="20"/>
                <w:szCs w:val="20"/>
              </w:rPr>
              <w:t>3,787,292 (budget RS)</w:t>
            </w:r>
          </w:p>
        </w:tc>
      </w:tr>
    </w:tbl>
    <w:p w14:paraId="553B6151" w14:textId="77777777" w:rsidR="0094644B" w:rsidRPr="00F07779" w:rsidRDefault="0094644B" w:rsidP="0094644B">
      <w:pPr>
        <w:tabs>
          <w:tab w:val="left" w:pos="1276"/>
          <w:tab w:val="left" w:pos="1560"/>
        </w:tabs>
        <w:ind w:left="1440" w:hanging="1440"/>
      </w:pPr>
    </w:p>
    <w:tbl>
      <w:tblPr>
        <w:tblStyle w:val="TableGrid"/>
        <w:tblW w:w="0" w:type="auto"/>
        <w:tblLook w:val="04A0" w:firstRow="1" w:lastRow="0" w:firstColumn="1" w:lastColumn="0" w:noHBand="0" w:noVBand="1"/>
      </w:tblPr>
      <w:tblGrid>
        <w:gridCol w:w="2973"/>
        <w:gridCol w:w="5667"/>
      </w:tblGrid>
      <w:tr w:rsidR="0094644B" w:rsidRPr="00F07779" w14:paraId="1A927DDF"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2114F18" w14:textId="77777777" w:rsidR="0094644B" w:rsidRPr="00F07779" w:rsidRDefault="0094644B" w:rsidP="00FB5086">
            <w:pPr>
              <w:rPr>
                <w:sz w:val="20"/>
                <w:szCs w:val="20"/>
              </w:rPr>
            </w:pPr>
            <w:r w:rsidRPr="00F07779">
              <w:rPr>
                <w:sz w:val="20"/>
                <w:szCs w:val="20"/>
              </w:rPr>
              <w:t>Activity EL1.2</w:t>
            </w:r>
          </w:p>
        </w:tc>
        <w:tc>
          <w:tcPr>
            <w:tcW w:w="566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D14306C" w14:textId="77777777" w:rsidR="0094644B" w:rsidRPr="00F07779" w:rsidRDefault="0094644B" w:rsidP="00FB5086">
            <w:pPr>
              <w:rPr>
                <w:sz w:val="20"/>
                <w:szCs w:val="20"/>
              </w:rPr>
            </w:pPr>
            <w:r w:rsidRPr="00F07779">
              <w:rPr>
                <w:sz w:val="20"/>
                <w:szCs w:val="20"/>
              </w:rPr>
              <w:t>Investment projects focused on the reconstruction and construction of the transmission network</w:t>
            </w:r>
          </w:p>
        </w:tc>
      </w:tr>
      <w:tr w:rsidR="0094644B" w:rsidRPr="00F07779" w14:paraId="4B5D7DF3"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00F3974D" w14:textId="77777777" w:rsidR="0094644B" w:rsidRPr="00F07779" w:rsidRDefault="0094644B" w:rsidP="00FB5086">
            <w:pPr>
              <w:rPr>
                <w:sz w:val="20"/>
                <w:szCs w:val="20"/>
              </w:rPr>
            </w:pPr>
            <w:r w:rsidRPr="00FA3F57">
              <w:rPr>
                <w:sz w:val="20"/>
                <w:szCs w:val="20"/>
              </w:rPr>
              <w:t>Name of the project</w:t>
            </w:r>
          </w:p>
        </w:tc>
        <w:tc>
          <w:tcPr>
            <w:tcW w:w="5667"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1C001CCC" w14:textId="77777777" w:rsidR="0094644B" w:rsidRPr="00F07779" w:rsidRDefault="0094644B" w:rsidP="00FB5086">
            <w:pPr>
              <w:rPr>
                <w:sz w:val="20"/>
                <w:szCs w:val="20"/>
              </w:rPr>
            </w:pPr>
            <w:r w:rsidRPr="00F07779">
              <w:rPr>
                <w:sz w:val="20"/>
                <w:szCs w:val="20"/>
              </w:rPr>
              <w:t xml:space="preserve">OHL 2x400 kV TS Obrenovac – TS </w:t>
            </w:r>
            <w:proofErr w:type="spellStart"/>
            <w:r w:rsidRPr="00F07779">
              <w:rPr>
                <w:sz w:val="20"/>
                <w:szCs w:val="20"/>
              </w:rPr>
              <w:t>Bajina</w:t>
            </w:r>
            <w:proofErr w:type="spellEnd"/>
            <w:r w:rsidRPr="00F07779">
              <w:rPr>
                <w:sz w:val="20"/>
                <w:szCs w:val="20"/>
              </w:rPr>
              <w:t xml:space="preserve"> </w:t>
            </w:r>
            <w:proofErr w:type="spellStart"/>
            <w:r w:rsidRPr="00F07779">
              <w:rPr>
                <w:sz w:val="20"/>
                <w:szCs w:val="20"/>
              </w:rPr>
              <w:t>Bašta</w:t>
            </w:r>
            <w:proofErr w:type="spellEnd"/>
            <w:r w:rsidRPr="00F07779">
              <w:rPr>
                <w:sz w:val="20"/>
                <w:szCs w:val="20"/>
              </w:rPr>
              <w:t xml:space="preserve">, with the increase in voltage level at TS </w:t>
            </w:r>
            <w:proofErr w:type="spellStart"/>
            <w:r w:rsidRPr="00F07779">
              <w:rPr>
                <w:sz w:val="20"/>
                <w:szCs w:val="20"/>
              </w:rPr>
              <w:t>Bajina</w:t>
            </w:r>
            <w:proofErr w:type="spellEnd"/>
            <w:r w:rsidRPr="00F07779">
              <w:rPr>
                <w:sz w:val="20"/>
                <w:szCs w:val="20"/>
              </w:rPr>
              <w:t xml:space="preserve"> </w:t>
            </w:r>
            <w:proofErr w:type="spellStart"/>
            <w:r w:rsidRPr="00F07779">
              <w:rPr>
                <w:sz w:val="20"/>
                <w:szCs w:val="20"/>
              </w:rPr>
              <w:t>Bašta</w:t>
            </w:r>
            <w:proofErr w:type="spellEnd"/>
            <w:r w:rsidRPr="00F07779">
              <w:rPr>
                <w:sz w:val="20"/>
                <w:szCs w:val="20"/>
              </w:rPr>
              <w:t xml:space="preserve"> to 400 kV - Third section of the TBC</w:t>
            </w:r>
          </w:p>
        </w:tc>
      </w:tr>
      <w:tr w:rsidR="0094644B" w:rsidRPr="00F07779" w14:paraId="0521801E"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CB5AF53" w14:textId="77777777" w:rsidR="0094644B" w:rsidRPr="00F07779" w:rsidRDefault="0094644B" w:rsidP="00FB5086">
            <w:pPr>
              <w:rPr>
                <w:sz w:val="20"/>
                <w:szCs w:val="20"/>
              </w:rPr>
            </w:pPr>
            <w:r w:rsidRPr="00FA3F57">
              <w:rPr>
                <w:sz w:val="20"/>
                <w:szCs w:val="20"/>
              </w:rPr>
              <w:t xml:space="preserve">Name of the </w:t>
            </w:r>
            <w:r w:rsidRPr="00F07779">
              <w:rPr>
                <w:sz w:val="20"/>
                <w:szCs w:val="20"/>
              </w:rPr>
              <w:t>investment</w:t>
            </w:r>
          </w:p>
        </w:tc>
        <w:tc>
          <w:tcPr>
            <w:tcW w:w="566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113F5CB" w14:textId="77777777" w:rsidR="0094644B" w:rsidRPr="00F07779" w:rsidRDefault="0094644B" w:rsidP="00FB5086">
            <w:pPr>
              <w:rPr>
                <w:sz w:val="20"/>
                <w:szCs w:val="20"/>
              </w:rPr>
            </w:pPr>
            <w:r w:rsidRPr="00F07779">
              <w:rPr>
                <w:sz w:val="20"/>
                <w:szCs w:val="20"/>
              </w:rPr>
              <w:t xml:space="preserve">OHL 2х400 kV B. </w:t>
            </w:r>
            <w:proofErr w:type="spellStart"/>
            <w:r w:rsidRPr="00F07779">
              <w:rPr>
                <w:sz w:val="20"/>
                <w:szCs w:val="20"/>
              </w:rPr>
              <w:t>Bašta</w:t>
            </w:r>
            <w:proofErr w:type="spellEnd"/>
            <w:r w:rsidRPr="00F07779">
              <w:rPr>
                <w:sz w:val="20"/>
                <w:szCs w:val="20"/>
              </w:rPr>
              <w:t xml:space="preserve"> - Obrenovac</w:t>
            </w:r>
          </w:p>
          <w:p w14:paraId="35C94324" w14:textId="77777777" w:rsidR="0094644B" w:rsidRPr="00F07779" w:rsidRDefault="0094644B" w:rsidP="00FB5086">
            <w:pPr>
              <w:rPr>
                <w:sz w:val="20"/>
                <w:szCs w:val="20"/>
              </w:rPr>
            </w:pPr>
            <w:r w:rsidRPr="00F07779">
              <w:rPr>
                <w:sz w:val="20"/>
                <w:szCs w:val="20"/>
              </w:rPr>
              <w:t xml:space="preserve">TS 400/220 </w:t>
            </w:r>
            <w:proofErr w:type="gramStart"/>
            <w:r w:rsidRPr="00F07779">
              <w:rPr>
                <w:sz w:val="20"/>
                <w:szCs w:val="20"/>
              </w:rPr>
              <w:t>kV  Obrenovac</w:t>
            </w:r>
            <w:proofErr w:type="gramEnd"/>
            <w:r w:rsidRPr="00F07779">
              <w:rPr>
                <w:sz w:val="20"/>
                <w:szCs w:val="20"/>
              </w:rPr>
              <w:t xml:space="preserve">, equipping two 400 kV bays 220/35 kV TS </w:t>
            </w:r>
            <w:proofErr w:type="spellStart"/>
            <w:r w:rsidRPr="00F07779">
              <w:rPr>
                <w:sz w:val="20"/>
                <w:szCs w:val="20"/>
              </w:rPr>
              <w:t>Bajina</w:t>
            </w:r>
            <w:proofErr w:type="spellEnd"/>
            <w:r w:rsidRPr="00F07779">
              <w:rPr>
                <w:sz w:val="20"/>
                <w:szCs w:val="20"/>
              </w:rPr>
              <w:t xml:space="preserve"> </w:t>
            </w:r>
            <w:proofErr w:type="spellStart"/>
            <w:r w:rsidRPr="00F07779">
              <w:rPr>
                <w:sz w:val="20"/>
                <w:szCs w:val="20"/>
              </w:rPr>
              <w:t>Bašta</w:t>
            </w:r>
            <w:proofErr w:type="spellEnd"/>
            <w:r w:rsidRPr="00F07779">
              <w:rPr>
                <w:sz w:val="20"/>
                <w:szCs w:val="20"/>
              </w:rPr>
              <w:t xml:space="preserve"> - construction of SS 400 kV</w:t>
            </w:r>
          </w:p>
        </w:tc>
      </w:tr>
      <w:tr w:rsidR="0094644B" w:rsidRPr="00F07779" w14:paraId="79573914"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713CAFAD" w14:textId="77777777" w:rsidR="0094644B" w:rsidRPr="00F07779" w:rsidRDefault="0094644B" w:rsidP="00FB5086">
            <w:pPr>
              <w:rPr>
                <w:sz w:val="20"/>
                <w:szCs w:val="20"/>
              </w:rPr>
            </w:pPr>
            <w:r w:rsidRPr="00FA3F57">
              <w:rPr>
                <w:sz w:val="20"/>
                <w:szCs w:val="20"/>
              </w:rPr>
              <w:t>Short description of the investment</w:t>
            </w:r>
          </w:p>
        </w:tc>
        <w:tc>
          <w:tcPr>
            <w:tcW w:w="5667" w:type="dxa"/>
            <w:tcBorders>
              <w:top w:val="single" w:sz="4" w:space="0" w:color="auto"/>
              <w:left w:val="single" w:sz="4" w:space="0" w:color="auto"/>
              <w:bottom w:val="single" w:sz="4" w:space="0" w:color="auto"/>
              <w:right w:val="single" w:sz="4" w:space="0" w:color="auto"/>
            </w:tcBorders>
          </w:tcPr>
          <w:p w14:paraId="402C6334" w14:textId="77777777" w:rsidR="0094644B" w:rsidRPr="00F07779" w:rsidRDefault="0094644B" w:rsidP="00FB5086">
            <w:pPr>
              <w:rPr>
                <w:sz w:val="20"/>
                <w:szCs w:val="20"/>
              </w:rPr>
            </w:pPr>
            <w:r w:rsidRPr="00F07779">
              <w:rPr>
                <w:sz w:val="20"/>
                <w:szCs w:val="20"/>
              </w:rPr>
              <w:t xml:space="preserve">Section III of the Trans-Balkan Corridor includes building a new overhead double transmission line with a total length of 109 km and a voltage level of 400 kV between the TS </w:t>
            </w:r>
            <w:proofErr w:type="spellStart"/>
            <w:r w:rsidRPr="00F07779">
              <w:rPr>
                <w:sz w:val="20"/>
                <w:szCs w:val="20"/>
              </w:rPr>
              <w:t>Bajina</w:t>
            </w:r>
            <w:proofErr w:type="spellEnd"/>
            <w:r w:rsidRPr="00F07779">
              <w:rPr>
                <w:sz w:val="20"/>
                <w:szCs w:val="20"/>
              </w:rPr>
              <w:t xml:space="preserve"> </w:t>
            </w:r>
            <w:proofErr w:type="spellStart"/>
            <w:r w:rsidRPr="00F07779">
              <w:rPr>
                <w:sz w:val="20"/>
                <w:szCs w:val="20"/>
              </w:rPr>
              <w:t>Bašta</w:t>
            </w:r>
            <w:proofErr w:type="spellEnd"/>
            <w:r w:rsidRPr="00F07779">
              <w:rPr>
                <w:sz w:val="20"/>
                <w:szCs w:val="20"/>
              </w:rPr>
              <w:t xml:space="preserve"> and the TS Obrenovac. At the same time, the expansion of the 400 kV distribution plant at the TS </w:t>
            </w:r>
            <w:proofErr w:type="spellStart"/>
            <w:r w:rsidRPr="00F07779">
              <w:rPr>
                <w:sz w:val="20"/>
                <w:szCs w:val="20"/>
              </w:rPr>
              <w:t>Bajina</w:t>
            </w:r>
            <w:proofErr w:type="spellEnd"/>
            <w:r w:rsidRPr="00F07779">
              <w:rPr>
                <w:sz w:val="20"/>
                <w:szCs w:val="20"/>
              </w:rPr>
              <w:t xml:space="preserve"> </w:t>
            </w:r>
            <w:proofErr w:type="spellStart"/>
            <w:r w:rsidRPr="00F07779">
              <w:rPr>
                <w:sz w:val="20"/>
                <w:szCs w:val="20"/>
              </w:rPr>
              <w:t>Bašta</w:t>
            </w:r>
            <w:proofErr w:type="spellEnd"/>
            <w:r w:rsidRPr="00F07779">
              <w:rPr>
                <w:sz w:val="20"/>
                <w:szCs w:val="20"/>
              </w:rPr>
              <w:t xml:space="preserve"> is planned, as well as the equipping of two transmission lines at the 400/220 kV TS Obrenovac. The total increase in installed power at the TS </w:t>
            </w:r>
            <w:proofErr w:type="spellStart"/>
            <w:r w:rsidRPr="00F07779">
              <w:rPr>
                <w:sz w:val="20"/>
                <w:szCs w:val="20"/>
              </w:rPr>
              <w:t>Bajina</w:t>
            </w:r>
            <w:proofErr w:type="spellEnd"/>
            <w:r w:rsidRPr="00F07779">
              <w:rPr>
                <w:sz w:val="20"/>
                <w:szCs w:val="20"/>
              </w:rPr>
              <w:t xml:space="preserve"> </w:t>
            </w:r>
            <w:proofErr w:type="spellStart"/>
            <w:r w:rsidRPr="00F07779">
              <w:rPr>
                <w:sz w:val="20"/>
                <w:szCs w:val="20"/>
              </w:rPr>
              <w:t>Bašta</w:t>
            </w:r>
            <w:proofErr w:type="spellEnd"/>
            <w:r w:rsidRPr="00F07779">
              <w:rPr>
                <w:sz w:val="20"/>
                <w:szCs w:val="20"/>
              </w:rPr>
              <w:t xml:space="preserve">, through the expansion of the TS </w:t>
            </w:r>
            <w:proofErr w:type="spellStart"/>
            <w:r w:rsidRPr="00F07779">
              <w:rPr>
                <w:sz w:val="20"/>
                <w:szCs w:val="20"/>
              </w:rPr>
              <w:t>Bajina</w:t>
            </w:r>
            <w:proofErr w:type="spellEnd"/>
            <w:r w:rsidRPr="00F07779">
              <w:rPr>
                <w:sz w:val="20"/>
                <w:szCs w:val="20"/>
              </w:rPr>
              <w:t xml:space="preserve"> </w:t>
            </w:r>
            <w:proofErr w:type="spellStart"/>
            <w:r w:rsidRPr="00F07779">
              <w:rPr>
                <w:sz w:val="20"/>
                <w:szCs w:val="20"/>
              </w:rPr>
              <w:t>Bašta</w:t>
            </w:r>
            <w:proofErr w:type="spellEnd"/>
            <w:r w:rsidRPr="00F07779">
              <w:rPr>
                <w:sz w:val="20"/>
                <w:szCs w:val="20"/>
              </w:rPr>
              <w:t>, amounts to 800 MVA (the installation of two power transformers of 400 MVA each is planned). The project represents a vital part of future electricity transit across the territory of the Republic of Serbia and a prerequisite for the gradual shutdown of the 220 kV network in western Serbia.</w:t>
            </w:r>
          </w:p>
          <w:p w14:paraId="01E69657" w14:textId="77777777" w:rsidR="0094644B" w:rsidRPr="00F07779" w:rsidRDefault="0094644B" w:rsidP="00FB5086">
            <w:pPr>
              <w:rPr>
                <w:sz w:val="20"/>
                <w:szCs w:val="20"/>
              </w:rPr>
            </w:pPr>
            <w:r w:rsidRPr="00F07779">
              <w:rPr>
                <w:sz w:val="20"/>
                <w:szCs w:val="20"/>
              </w:rPr>
              <w:t>Expected dynamics of project implementation:</w:t>
            </w:r>
          </w:p>
          <w:p w14:paraId="06222FEC" w14:textId="77777777" w:rsidR="0094644B" w:rsidRPr="00F07779" w:rsidRDefault="0094644B" w:rsidP="00FB5086">
            <w:pPr>
              <w:rPr>
                <w:sz w:val="20"/>
                <w:szCs w:val="20"/>
              </w:rPr>
            </w:pPr>
            <w:r w:rsidRPr="00F07779">
              <w:rPr>
                <w:sz w:val="20"/>
                <w:szCs w:val="20"/>
              </w:rPr>
              <w:t>2026. Construction</w:t>
            </w:r>
          </w:p>
          <w:p w14:paraId="68951992" w14:textId="77777777" w:rsidR="0094644B" w:rsidRPr="00F07779" w:rsidRDefault="0094644B" w:rsidP="00FB5086">
            <w:pPr>
              <w:rPr>
                <w:sz w:val="20"/>
                <w:szCs w:val="20"/>
              </w:rPr>
            </w:pPr>
            <w:r w:rsidRPr="00F07779">
              <w:rPr>
                <w:sz w:val="20"/>
                <w:szCs w:val="20"/>
              </w:rPr>
              <w:t>2027. Commissioning; trial operation</w:t>
            </w:r>
          </w:p>
          <w:p w14:paraId="3B02E6A6" w14:textId="77777777" w:rsidR="0094644B" w:rsidRPr="00F07779" w:rsidRDefault="0094644B" w:rsidP="00FB5086">
            <w:pPr>
              <w:rPr>
                <w:sz w:val="20"/>
                <w:szCs w:val="20"/>
              </w:rPr>
            </w:pPr>
            <w:r w:rsidRPr="00F07779">
              <w:rPr>
                <w:sz w:val="20"/>
                <w:szCs w:val="20"/>
              </w:rPr>
              <w:t>2028. Use permit; end of project</w:t>
            </w:r>
          </w:p>
        </w:tc>
      </w:tr>
      <w:tr w:rsidR="0094644B" w:rsidRPr="00F07779" w14:paraId="00D57371"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2235BF1C" w14:textId="77777777" w:rsidR="0094644B" w:rsidRPr="00F07779" w:rsidRDefault="0094644B" w:rsidP="00FB5086">
            <w:pPr>
              <w:rPr>
                <w:sz w:val="20"/>
                <w:szCs w:val="20"/>
              </w:rPr>
            </w:pPr>
            <w:r w:rsidRPr="00FA3F57">
              <w:rPr>
                <w:sz w:val="20"/>
                <w:szCs w:val="20"/>
              </w:rPr>
              <w:t>Institutions responsible for the implementation of measures and activities</w:t>
            </w:r>
          </w:p>
        </w:tc>
        <w:tc>
          <w:tcPr>
            <w:tcW w:w="5667" w:type="dxa"/>
            <w:tcBorders>
              <w:top w:val="single" w:sz="4" w:space="0" w:color="auto"/>
              <w:left w:val="single" w:sz="4" w:space="0" w:color="auto"/>
              <w:bottom w:val="single" w:sz="4" w:space="0" w:color="auto"/>
              <w:right w:val="single" w:sz="4" w:space="0" w:color="auto"/>
            </w:tcBorders>
            <w:hideMark/>
          </w:tcPr>
          <w:p w14:paraId="02F15EFB" w14:textId="77777777" w:rsidR="0094644B" w:rsidRPr="00F07779" w:rsidRDefault="0094644B" w:rsidP="00FB5086">
            <w:pPr>
              <w:rPr>
                <w:sz w:val="20"/>
                <w:szCs w:val="20"/>
              </w:rPr>
            </w:pPr>
            <w:r w:rsidRPr="00FA3F57">
              <w:rPr>
                <w:sz w:val="20"/>
                <w:szCs w:val="20"/>
              </w:rPr>
              <w:t>EMS JSC Belgrade</w:t>
            </w:r>
          </w:p>
        </w:tc>
      </w:tr>
      <w:tr w:rsidR="0094644B" w:rsidRPr="00F07779" w14:paraId="4BC7887B"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17BA68A2" w14:textId="77777777" w:rsidR="0094644B" w:rsidRPr="00F07779" w:rsidRDefault="0094644B" w:rsidP="00FB5086">
            <w:pPr>
              <w:rPr>
                <w:sz w:val="20"/>
                <w:szCs w:val="20"/>
              </w:rPr>
            </w:pPr>
            <w:r w:rsidRPr="00FA3F57">
              <w:rPr>
                <w:sz w:val="20"/>
                <w:szCs w:val="20"/>
              </w:rPr>
              <w:t>Institutions responsible for monitoring implementation and reporting on the realization</w:t>
            </w:r>
          </w:p>
        </w:tc>
        <w:tc>
          <w:tcPr>
            <w:tcW w:w="5667" w:type="dxa"/>
            <w:tcBorders>
              <w:top w:val="single" w:sz="4" w:space="0" w:color="auto"/>
              <w:left w:val="single" w:sz="4" w:space="0" w:color="auto"/>
              <w:bottom w:val="single" w:sz="4" w:space="0" w:color="auto"/>
              <w:right w:val="single" w:sz="4" w:space="0" w:color="auto"/>
            </w:tcBorders>
            <w:hideMark/>
          </w:tcPr>
          <w:p w14:paraId="654CCA43" w14:textId="77777777" w:rsidR="0094644B" w:rsidRPr="00FA3F57" w:rsidRDefault="0094644B" w:rsidP="00FB5086">
            <w:pPr>
              <w:rPr>
                <w:sz w:val="20"/>
                <w:szCs w:val="20"/>
              </w:rPr>
            </w:pPr>
            <w:r w:rsidRPr="00FA3F57">
              <w:rPr>
                <w:sz w:val="20"/>
                <w:szCs w:val="20"/>
              </w:rPr>
              <w:t xml:space="preserve">EMS JSC </w:t>
            </w:r>
            <w:proofErr w:type="spellStart"/>
            <w:r w:rsidRPr="00FA3F57">
              <w:rPr>
                <w:sz w:val="20"/>
                <w:szCs w:val="20"/>
              </w:rPr>
              <w:t>BelgradeRepublic</w:t>
            </w:r>
            <w:proofErr w:type="spellEnd"/>
            <w:r w:rsidRPr="00FA3F57">
              <w:rPr>
                <w:sz w:val="20"/>
                <w:szCs w:val="20"/>
              </w:rPr>
              <w:t xml:space="preserve"> Commission for Energy Networks</w:t>
            </w:r>
          </w:p>
          <w:p w14:paraId="4DF85AFD" w14:textId="77777777" w:rsidR="0094644B" w:rsidRPr="00F07779" w:rsidRDefault="0094644B" w:rsidP="00FB5086">
            <w:pPr>
              <w:rPr>
                <w:sz w:val="20"/>
                <w:szCs w:val="20"/>
              </w:rPr>
            </w:pPr>
            <w:r w:rsidRPr="00F07779">
              <w:rPr>
                <w:sz w:val="20"/>
                <w:szCs w:val="20"/>
              </w:rPr>
              <w:t>Ministry of Mining and Energy</w:t>
            </w:r>
          </w:p>
        </w:tc>
      </w:tr>
      <w:tr w:rsidR="0094644B" w:rsidRPr="00F07779" w14:paraId="6AD6DB0A"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40CBB817" w14:textId="77777777" w:rsidR="0094644B" w:rsidRPr="00F07779" w:rsidRDefault="0094644B" w:rsidP="00FB5086">
            <w:pPr>
              <w:rPr>
                <w:sz w:val="20"/>
                <w:szCs w:val="20"/>
              </w:rPr>
            </w:pPr>
            <w:r w:rsidRPr="00FA3F57">
              <w:rPr>
                <w:sz w:val="20"/>
                <w:szCs w:val="20"/>
              </w:rPr>
              <w:t>Year of project funding start</w:t>
            </w:r>
          </w:p>
        </w:tc>
        <w:tc>
          <w:tcPr>
            <w:tcW w:w="5667" w:type="dxa"/>
            <w:tcBorders>
              <w:top w:val="single" w:sz="4" w:space="0" w:color="auto"/>
              <w:left w:val="single" w:sz="4" w:space="0" w:color="auto"/>
              <w:bottom w:val="single" w:sz="4" w:space="0" w:color="auto"/>
              <w:right w:val="single" w:sz="4" w:space="0" w:color="auto"/>
            </w:tcBorders>
            <w:hideMark/>
          </w:tcPr>
          <w:p w14:paraId="6262294A" w14:textId="77777777" w:rsidR="0094644B" w:rsidRPr="00F07779" w:rsidRDefault="0094644B" w:rsidP="00FB5086">
            <w:pPr>
              <w:rPr>
                <w:sz w:val="20"/>
                <w:szCs w:val="20"/>
              </w:rPr>
            </w:pPr>
            <w:r w:rsidRPr="00F07779">
              <w:rPr>
                <w:sz w:val="20"/>
                <w:szCs w:val="20"/>
              </w:rPr>
              <w:t>2017.</w:t>
            </w:r>
          </w:p>
        </w:tc>
      </w:tr>
      <w:tr w:rsidR="0094644B" w:rsidRPr="00F07779" w14:paraId="01000E7C"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4F9E02B2" w14:textId="77777777" w:rsidR="0094644B" w:rsidRPr="00F07779" w:rsidRDefault="0094644B" w:rsidP="00FB5086">
            <w:pPr>
              <w:rPr>
                <w:sz w:val="20"/>
                <w:szCs w:val="20"/>
              </w:rPr>
            </w:pPr>
            <w:r w:rsidRPr="00FA3F57">
              <w:rPr>
                <w:sz w:val="20"/>
                <w:szCs w:val="20"/>
              </w:rPr>
              <w:t>Year of completion of project funding</w:t>
            </w:r>
          </w:p>
        </w:tc>
        <w:tc>
          <w:tcPr>
            <w:tcW w:w="5667" w:type="dxa"/>
            <w:tcBorders>
              <w:top w:val="single" w:sz="4" w:space="0" w:color="auto"/>
              <w:left w:val="single" w:sz="4" w:space="0" w:color="auto"/>
              <w:bottom w:val="single" w:sz="4" w:space="0" w:color="auto"/>
              <w:right w:val="single" w:sz="4" w:space="0" w:color="auto"/>
            </w:tcBorders>
            <w:hideMark/>
          </w:tcPr>
          <w:p w14:paraId="7BDA4E70" w14:textId="77777777" w:rsidR="0094644B" w:rsidRPr="00F07779" w:rsidRDefault="0094644B" w:rsidP="00FB5086">
            <w:pPr>
              <w:rPr>
                <w:sz w:val="20"/>
                <w:szCs w:val="20"/>
              </w:rPr>
            </w:pPr>
            <w:r w:rsidRPr="00F07779">
              <w:rPr>
                <w:sz w:val="20"/>
                <w:szCs w:val="20"/>
              </w:rPr>
              <w:t>2027.</w:t>
            </w:r>
          </w:p>
        </w:tc>
      </w:tr>
      <w:tr w:rsidR="0094644B" w:rsidRPr="00F07779" w14:paraId="46F36530"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7A385ED2" w14:textId="77777777" w:rsidR="0094644B" w:rsidRPr="00F07779" w:rsidRDefault="0094644B" w:rsidP="00FB5086">
            <w:pPr>
              <w:rPr>
                <w:sz w:val="20"/>
                <w:szCs w:val="20"/>
              </w:rPr>
            </w:pPr>
            <w:r w:rsidRPr="00FA3F57">
              <w:rPr>
                <w:sz w:val="20"/>
                <w:szCs w:val="20"/>
              </w:rPr>
              <w:t>Total project value</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5F9A8BD5" w14:textId="77777777" w:rsidR="0094644B" w:rsidRPr="00FA3F57" w:rsidRDefault="0094644B" w:rsidP="00FB5086">
            <w:pPr>
              <w:rPr>
                <w:sz w:val="20"/>
                <w:szCs w:val="20"/>
              </w:rPr>
            </w:pPr>
            <w:r w:rsidRPr="00FA3F57">
              <w:rPr>
                <w:sz w:val="20"/>
                <w:szCs w:val="20"/>
              </w:rPr>
              <w:t>10,503,255 (89.58 million EUR)</w:t>
            </w:r>
          </w:p>
        </w:tc>
      </w:tr>
      <w:tr w:rsidR="0094644B" w:rsidRPr="00F07779" w14:paraId="4B8B29EA"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027DB11E" w14:textId="77777777" w:rsidR="0094644B" w:rsidRPr="00F07779" w:rsidRDefault="0094644B" w:rsidP="00FB5086">
            <w:pPr>
              <w:rPr>
                <w:sz w:val="20"/>
                <w:szCs w:val="20"/>
              </w:rPr>
            </w:pPr>
            <w:r w:rsidRPr="00FA3F57">
              <w:rPr>
                <w:sz w:val="20"/>
                <w:szCs w:val="20"/>
              </w:rPr>
              <w:t>Planned investments for 2026.</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2B0074BC" w14:textId="77777777" w:rsidR="0094644B" w:rsidRPr="00FA3F57" w:rsidRDefault="0094644B" w:rsidP="00FB5086">
            <w:pPr>
              <w:rPr>
                <w:sz w:val="20"/>
                <w:szCs w:val="20"/>
              </w:rPr>
            </w:pPr>
            <w:r w:rsidRPr="00FA3F57">
              <w:rPr>
                <w:sz w:val="20"/>
                <w:szCs w:val="20"/>
              </w:rPr>
              <w:t>4,350,626 (39,279 own funds of EMS JSC; 3,406,112.5 loan; 905,170 donations and other acquisitions without reimbursement)</w:t>
            </w:r>
          </w:p>
        </w:tc>
      </w:tr>
      <w:tr w:rsidR="0094644B" w:rsidRPr="00F07779" w14:paraId="1C35721D"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34D3C9C7" w14:textId="77777777" w:rsidR="0094644B" w:rsidRPr="00F07779" w:rsidRDefault="0094644B" w:rsidP="00FB5086">
            <w:pPr>
              <w:rPr>
                <w:sz w:val="20"/>
                <w:szCs w:val="20"/>
              </w:rPr>
            </w:pPr>
            <w:r w:rsidRPr="00FA3F57">
              <w:rPr>
                <w:sz w:val="20"/>
                <w:szCs w:val="20"/>
              </w:rPr>
              <w:t>Planned investments for 2027.</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3BF0B3FB" w14:textId="77777777" w:rsidR="0094644B" w:rsidRPr="00FA3F57" w:rsidRDefault="0094644B" w:rsidP="00FB5086">
            <w:pPr>
              <w:rPr>
                <w:sz w:val="20"/>
                <w:szCs w:val="20"/>
              </w:rPr>
            </w:pPr>
            <w:r w:rsidRPr="00FA3F57">
              <w:rPr>
                <w:sz w:val="20"/>
                <w:szCs w:val="20"/>
              </w:rPr>
              <w:t>4,778,146 (3,774,277.5 loan; 1,003,660 donations and other acquisitions without reimbursement)</w:t>
            </w:r>
          </w:p>
        </w:tc>
      </w:tr>
      <w:tr w:rsidR="0094644B" w:rsidRPr="00F07779" w14:paraId="4839917A"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4967726A" w14:textId="77777777" w:rsidR="0094644B" w:rsidRPr="00F07779" w:rsidRDefault="0094644B" w:rsidP="00FB5086">
            <w:pPr>
              <w:rPr>
                <w:sz w:val="20"/>
                <w:szCs w:val="20"/>
              </w:rPr>
            </w:pPr>
            <w:r w:rsidRPr="00FA3F57">
              <w:rPr>
                <w:sz w:val="20"/>
                <w:szCs w:val="20"/>
              </w:rPr>
              <w:t>Planned investments for 2028.</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209D28F9" w14:textId="77777777" w:rsidR="0094644B" w:rsidRPr="00F07779" w:rsidRDefault="0094644B" w:rsidP="00FB5086">
            <w:pPr>
              <w:rPr>
                <w:sz w:val="20"/>
                <w:szCs w:val="20"/>
              </w:rPr>
            </w:pPr>
            <w:r w:rsidRPr="00F07779">
              <w:rPr>
                <w:sz w:val="20"/>
                <w:szCs w:val="20"/>
              </w:rPr>
              <w:t>0</w:t>
            </w:r>
          </w:p>
        </w:tc>
      </w:tr>
    </w:tbl>
    <w:p w14:paraId="638ED7ED" w14:textId="77777777" w:rsidR="0094644B" w:rsidRPr="00F07779" w:rsidRDefault="0094644B" w:rsidP="0094644B">
      <w:pPr>
        <w:tabs>
          <w:tab w:val="left" w:pos="1276"/>
          <w:tab w:val="left" w:pos="1560"/>
        </w:tabs>
        <w:ind w:left="1440" w:hanging="1440"/>
      </w:pPr>
    </w:p>
    <w:tbl>
      <w:tblPr>
        <w:tblStyle w:val="TableGrid"/>
        <w:tblW w:w="0" w:type="auto"/>
        <w:tblLook w:val="04A0" w:firstRow="1" w:lastRow="0" w:firstColumn="1" w:lastColumn="0" w:noHBand="0" w:noVBand="1"/>
      </w:tblPr>
      <w:tblGrid>
        <w:gridCol w:w="2973"/>
        <w:gridCol w:w="5667"/>
      </w:tblGrid>
      <w:tr w:rsidR="0094644B" w:rsidRPr="00F07779" w14:paraId="067AF747"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9FE7A6F" w14:textId="77777777" w:rsidR="0094644B" w:rsidRPr="00F07779" w:rsidRDefault="0094644B" w:rsidP="00FB5086">
            <w:pPr>
              <w:rPr>
                <w:sz w:val="20"/>
                <w:szCs w:val="20"/>
              </w:rPr>
            </w:pPr>
            <w:r w:rsidRPr="00F07779">
              <w:rPr>
                <w:sz w:val="20"/>
                <w:szCs w:val="20"/>
              </w:rPr>
              <w:t>Activity EL1.2</w:t>
            </w:r>
          </w:p>
        </w:tc>
        <w:tc>
          <w:tcPr>
            <w:tcW w:w="566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2ABDE46" w14:textId="77777777" w:rsidR="0094644B" w:rsidRPr="00F07779" w:rsidRDefault="0094644B" w:rsidP="00FB5086">
            <w:pPr>
              <w:rPr>
                <w:sz w:val="20"/>
                <w:szCs w:val="20"/>
              </w:rPr>
            </w:pPr>
            <w:r w:rsidRPr="00F07779">
              <w:rPr>
                <w:sz w:val="20"/>
                <w:szCs w:val="20"/>
              </w:rPr>
              <w:t>Investment projects focused on the reconstruction and construction of the transmission network</w:t>
            </w:r>
          </w:p>
        </w:tc>
      </w:tr>
      <w:tr w:rsidR="0094644B" w:rsidRPr="00F07779" w14:paraId="007805BB"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366D1C16" w14:textId="77777777" w:rsidR="0094644B" w:rsidRPr="00F07779" w:rsidRDefault="0094644B" w:rsidP="00FB5086">
            <w:pPr>
              <w:rPr>
                <w:sz w:val="20"/>
                <w:szCs w:val="20"/>
              </w:rPr>
            </w:pPr>
            <w:r w:rsidRPr="00FA3F57">
              <w:rPr>
                <w:sz w:val="20"/>
                <w:szCs w:val="20"/>
              </w:rPr>
              <w:t>Name of the project</w:t>
            </w:r>
          </w:p>
        </w:tc>
        <w:tc>
          <w:tcPr>
            <w:tcW w:w="5667"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12DB41CD" w14:textId="77777777" w:rsidR="0094644B" w:rsidRPr="00F07779" w:rsidRDefault="0094644B" w:rsidP="00FB5086">
            <w:pPr>
              <w:rPr>
                <w:sz w:val="20"/>
                <w:szCs w:val="20"/>
              </w:rPr>
            </w:pPr>
            <w:r w:rsidRPr="00F07779">
              <w:rPr>
                <w:sz w:val="20"/>
                <w:szCs w:val="20"/>
              </w:rPr>
              <w:t xml:space="preserve">Reconstruction of the OHL 110 kV no. 142/1 TS </w:t>
            </w:r>
            <w:proofErr w:type="spellStart"/>
            <w:r w:rsidRPr="00F07779">
              <w:rPr>
                <w:sz w:val="20"/>
                <w:szCs w:val="20"/>
              </w:rPr>
              <w:t>Srbobran</w:t>
            </w:r>
            <w:proofErr w:type="spellEnd"/>
            <w:r w:rsidRPr="00F07779">
              <w:rPr>
                <w:sz w:val="20"/>
                <w:szCs w:val="20"/>
              </w:rPr>
              <w:t xml:space="preserve"> – TS </w:t>
            </w:r>
            <w:proofErr w:type="spellStart"/>
            <w:r w:rsidRPr="00F07779">
              <w:rPr>
                <w:sz w:val="20"/>
                <w:szCs w:val="20"/>
              </w:rPr>
              <w:t>Bečej</w:t>
            </w:r>
            <w:proofErr w:type="spellEnd"/>
            <w:r w:rsidRPr="00F07779">
              <w:rPr>
                <w:sz w:val="20"/>
                <w:szCs w:val="20"/>
              </w:rPr>
              <w:t xml:space="preserve"> into a dual-system transmission line</w:t>
            </w:r>
          </w:p>
        </w:tc>
      </w:tr>
      <w:tr w:rsidR="0094644B" w:rsidRPr="00F07779" w14:paraId="55FAD321"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7808983" w14:textId="77777777" w:rsidR="0094644B" w:rsidRPr="00F07779" w:rsidRDefault="0094644B" w:rsidP="00FB5086">
            <w:pPr>
              <w:rPr>
                <w:sz w:val="20"/>
                <w:szCs w:val="20"/>
              </w:rPr>
            </w:pPr>
            <w:r w:rsidRPr="00FA3F57">
              <w:rPr>
                <w:sz w:val="20"/>
                <w:szCs w:val="20"/>
              </w:rPr>
              <w:t xml:space="preserve">Name of the </w:t>
            </w:r>
            <w:r w:rsidRPr="00F07779">
              <w:rPr>
                <w:sz w:val="20"/>
                <w:szCs w:val="20"/>
              </w:rPr>
              <w:t>investment</w:t>
            </w:r>
          </w:p>
        </w:tc>
        <w:tc>
          <w:tcPr>
            <w:tcW w:w="566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928315F" w14:textId="77777777" w:rsidR="0094644B" w:rsidRPr="00F07779" w:rsidRDefault="0094644B" w:rsidP="00FB5086">
            <w:pPr>
              <w:rPr>
                <w:sz w:val="20"/>
                <w:szCs w:val="20"/>
              </w:rPr>
            </w:pPr>
            <w:r w:rsidRPr="00F07779">
              <w:rPr>
                <w:sz w:val="20"/>
                <w:szCs w:val="20"/>
              </w:rPr>
              <w:t xml:space="preserve">OHL 110 kV No. 142/1 </w:t>
            </w:r>
            <w:proofErr w:type="spellStart"/>
            <w:r w:rsidRPr="00F07779">
              <w:rPr>
                <w:sz w:val="20"/>
                <w:szCs w:val="20"/>
              </w:rPr>
              <w:t>Srbobran</w:t>
            </w:r>
            <w:proofErr w:type="spellEnd"/>
            <w:r w:rsidRPr="00F07779">
              <w:rPr>
                <w:sz w:val="20"/>
                <w:szCs w:val="20"/>
              </w:rPr>
              <w:t xml:space="preserve"> – </w:t>
            </w:r>
            <w:proofErr w:type="spellStart"/>
            <w:r w:rsidRPr="00F07779">
              <w:rPr>
                <w:sz w:val="20"/>
                <w:szCs w:val="20"/>
              </w:rPr>
              <w:t>Bečej</w:t>
            </w:r>
            <w:proofErr w:type="spellEnd"/>
            <w:r w:rsidRPr="00F07779">
              <w:rPr>
                <w:sz w:val="20"/>
                <w:szCs w:val="20"/>
              </w:rPr>
              <w:t>, reconstruction</w:t>
            </w:r>
          </w:p>
        </w:tc>
      </w:tr>
      <w:tr w:rsidR="0094644B" w:rsidRPr="00F07779" w14:paraId="5F975DC3"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12827168" w14:textId="77777777" w:rsidR="0094644B" w:rsidRPr="00F07779" w:rsidRDefault="0094644B" w:rsidP="00FB5086">
            <w:pPr>
              <w:rPr>
                <w:sz w:val="20"/>
                <w:szCs w:val="20"/>
              </w:rPr>
            </w:pPr>
            <w:r w:rsidRPr="00FA3F57">
              <w:rPr>
                <w:sz w:val="20"/>
                <w:szCs w:val="20"/>
              </w:rPr>
              <w:t>Short description of the investment</w:t>
            </w:r>
          </w:p>
        </w:tc>
        <w:tc>
          <w:tcPr>
            <w:tcW w:w="5667" w:type="dxa"/>
            <w:tcBorders>
              <w:top w:val="single" w:sz="4" w:space="0" w:color="auto"/>
              <w:left w:val="single" w:sz="4" w:space="0" w:color="auto"/>
              <w:bottom w:val="single" w:sz="4" w:space="0" w:color="auto"/>
              <w:right w:val="single" w:sz="4" w:space="0" w:color="auto"/>
            </w:tcBorders>
            <w:hideMark/>
          </w:tcPr>
          <w:p w14:paraId="31456325" w14:textId="77777777" w:rsidR="0094644B" w:rsidRPr="00F07779" w:rsidRDefault="0094644B" w:rsidP="00FB5086">
            <w:pPr>
              <w:rPr>
                <w:sz w:val="20"/>
                <w:szCs w:val="20"/>
              </w:rPr>
            </w:pPr>
            <w:r w:rsidRPr="00F07779">
              <w:rPr>
                <w:sz w:val="20"/>
                <w:szCs w:val="20"/>
              </w:rPr>
              <w:t>Reconstruction into a dual-system transmission line along the route of a single-system and equipping one system. The project also includes an increase in the conductor cross-sectional area on the transmission line. Significant from a systemic perspective for the security of power supply in the Central Banat region.</w:t>
            </w:r>
          </w:p>
          <w:p w14:paraId="4DF95D67" w14:textId="77777777" w:rsidR="0094644B" w:rsidRPr="00F07779" w:rsidRDefault="0094644B" w:rsidP="00FB5086">
            <w:pPr>
              <w:rPr>
                <w:sz w:val="20"/>
                <w:szCs w:val="20"/>
              </w:rPr>
            </w:pPr>
            <w:r w:rsidRPr="00F07779">
              <w:rPr>
                <w:sz w:val="20"/>
                <w:szCs w:val="20"/>
              </w:rPr>
              <w:t>Expected dynamics of project implementation:</w:t>
            </w:r>
          </w:p>
          <w:p w14:paraId="728125E3" w14:textId="77777777" w:rsidR="0094644B" w:rsidRPr="00F07779" w:rsidRDefault="0094644B" w:rsidP="00FB5086">
            <w:pPr>
              <w:rPr>
                <w:sz w:val="20"/>
                <w:szCs w:val="20"/>
              </w:rPr>
            </w:pPr>
            <w:r w:rsidRPr="00F07779">
              <w:rPr>
                <w:sz w:val="20"/>
                <w:szCs w:val="20"/>
              </w:rPr>
              <w:t>2026. Use permit; end of project</w:t>
            </w:r>
          </w:p>
        </w:tc>
      </w:tr>
      <w:tr w:rsidR="0094644B" w:rsidRPr="00F07779" w14:paraId="6BE92F41"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4CF4FC0C" w14:textId="77777777" w:rsidR="0094644B" w:rsidRPr="00F07779" w:rsidRDefault="0094644B" w:rsidP="00FB5086">
            <w:pPr>
              <w:rPr>
                <w:sz w:val="20"/>
                <w:szCs w:val="20"/>
              </w:rPr>
            </w:pPr>
            <w:r w:rsidRPr="00FA3F57">
              <w:rPr>
                <w:sz w:val="20"/>
                <w:szCs w:val="20"/>
              </w:rPr>
              <w:t>Institutions responsible for the implementation of measures and activities</w:t>
            </w:r>
          </w:p>
        </w:tc>
        <w:tc>
          <w:tcPr>
            <w:tcW w:w="5667" w:type="dxa"/>
            <w:tcBorders>
              <w:top w:val="single" w:sz="4" w:space="0" w:color="auto"/>
              <w:left w:val="single" w:sz="4" w:space="0" w:color="auto"/>
              <w:bottom w:val="single" w:sz="4" w:space="0" w:color="auto"/>
              <w:right w:val="single" w:sz="4" w:space="0" w:color="auto"/>
            </w:tcBorders>
            <w:hideMark/>
          </w:tcPr>
          <w:p w14:paraId="6D763C03" w14:textId="77777777" w:rsidR="0094644B" w:rsidRPr="00F07779" w:rsidRDefault="0094644B" w:rsidP="00FB5086">
            <w:pPr>
              <w:rPr>
                <w:sz w:val="20"/>
                <w:szCs w:val="20"/>
              </w:rPr>
            </w:pPr>
            <w:r w:rsidRPr="00FA3F57">
              <w:rPr>
                <w:sz w:val="20"/>
                <w:szCs w:val="20"/>
              </w:rPr>
              <w:t>EMS JSC Belgrade</w:t>
            </w:r>
          </w:p>
        </w:tc>
      </w:tr>
      <w:tr w:rsidR="0094644B" w:rsidRPr="00F07779" w14:paraId="117844ED"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6BC6CDAB" w14:textId="77777777" w:rsidR="0094644B" w:rsidRPr="00F07779" w:rsidRDefault="0094644B" w:rsidP="00FB5086">
            <w:pPr>
              <w:rPr>
                <w:sz w:val="20"/>
                <w:szCs w:val="20"/>
              </w:rPr>
            </w:pPr>
            <w:r w:rsidRPr="00FA3F57">
              <w:rPr>
                <w:sz w:val="20"/>
                <w:szCs w:val="20"/>
              </w:rPr>
              <w:t>Institutions responsible for monitoring implementation and reporting on the realization</w:t>
            </w:r>
          </w:p>
        </w:tc>
        <w:tc>
          <w:tcPr>
            <w:tcW w:w="5667" w:type="dxa"/>
            <w:tcBorders>
              <w:top w:val="single" w:sz="4" w:space="0" w:color="auto"/>
              <w:left w:val="single" w:sz="4" w:space="0" w:color="auto"/>
              <w:bottom w:val="single" w:sz="4" w:space="0" w:color="auto"/>
              <w:right w:val="single" w:sz="4" w:space="0" w:color="auto"/>
            </w:tcBorders>
            <w:hideMark/>
          </w:tcPr>
          <w:p w14:paraId="44CCF91B" w14:textId="77777777" w:rsidR="0094644B" w:rsidRPr="00F07779" w:rsidRDefault="0094644B" w:rsidP="00FB5086">
            <w:pPr>
              <w:rPr>
                <w:sz w:val="20"/>
                <w:szCs w:val="20"/>
              </w:rPr>
            </w:pPr>
            <w:r w:rsidRPr="00FA3F57">
              <w:rPr>
                <w:sz w:val="20"/>
                <w:szCs w:val="20"/>
              </w:rPr>
              <w:t>EMS JSC Belgrade</w:t>
            </w:r>
          </w:p>
          <w:p w14:paraId="067D4E83" w14:textId="77777777" w:rsidR="0094644B" w:rsidRPr="00FA3F57" w:rsidRDefault="0094644B" w:rsidP="00FB5086">
            <w:pPr>
              <w:rPr>
                <w:sz w:val="20"/>
                <w:szCs w:val="20"/>
              </w:rPr>
            </w:pPr>
            <w:r w:rsidRPr="00FA3F57">
              <w:rPr>
                <w:sz w:val="20"/>
                <w:szCs w:val="20"/>
              </w:rPr>
              <w:t>Republic Commission for Energy Networks</w:t>
            </w:r>
          </w:p>
          <w:p w14:paraId="1039B8EE" w14:textId="77777777" w:rsidR="0094644B" w:rsidRPr="00F07779" w:rsidRDefault="0094644B" w:rsidP="00FB5086">
            <w:pPr>
              <w:rPr>
                <w:sz w:val="20"/>
                <w:szCs w:val="20"/>
              </w:rPr>
            </w:pPr>
            <w:r w:rsidRPr="00F07779">
              <w:rPr>
                <w:sz w:val="20"/>
                <w:szCs w:val="20"/>
              </w:rPr>
              <w:t>Ministry of Mining and Energy</w:t>
            </w:r>
          </w:p>
        </w:tc>
      </w:tr>
      <w:tr w:rsidR="0094644B" w:rsidRPr="00F07779" w14:paraId="601871D7"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4DF8EFFE" w14:textId="77777777" w:rsidR="0094644B" w:rsidRPr="00F07779" w:rsidRDefault="0094644B" w:rsidP="00FB5086">
            <w:pPr>
              <w:rPr>
                <w:sz w:val="20"/>
                <w:szCs w:val="20"/>
              </w:rPr>
            </w:pPr>
            <w:r w:rsidRPr="00FA3F57">
              <w:rPr>
                <w:sz w:val="20"/>
                <w:szCs w:val="20"/>
              </w:rPr>
              <w:t>Year of project funding start</w:t>
            </w:r>
          </w:p>
        </w:tc>
        <w:tc>
          <w:tcPr>
            <w:tcW w:w="5667" w:type="dxa"/>
            <w:tcBorders>
              <w:top w:val="single" w:sz="4" w:space="0" w:color="auto"/>
              <w:left w:val="single" w:sz="4" w:space="0" w:color="auto"/>
              <w:bottom w:val="single" w:sz="4" w:space="0" w:color="auto"/>
              <w:right w:val="single" w:sz="4" w:space="0" w:color="auto"/>
            </w:tcBorders>
            <w:hideMark/>
          </w:tcPr>
          <w:p w14:paraId="621BD071" w14:textId="77777777" w:rsidR="0094644B" w:rsidRPr="00F07779" w:rsidRDefault="0094644B" w:rsidP="00FB5086">
            <w:pPr>
              <w:rPr>
                <w:sz w:val="20"/>
                <w:szCs w:val="20"/>
              </w:rPr>
            </w:pPr>
            <w:r w:rsidRPr="00F07779">
              <w:rPr>
                <w:sz w:val="20"/>
                <w:szCs w:val="20"/>
              </w:rPr>
              <w:t xml:space="preserve">2012. </w:t>
            </w:r>
          </w:p>
        </w:tc>
      </w:tr>
      <w:tr w:rsidR="0094644B" w:rsidRPr="00F07779" w14:paraId="7A496B92"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24D42970" w14:textId="77777777" w:rsidR="0094644B" w:rsidRPr="00F07779" w:rsidRDefault="0094644B" w:rsidP="00FB5086">
            <w:pPr>
              <w:rPr>
                <w:sz w:val="20"/>
                <w:szCs w:val="20"/>
              </w:rPr>
            </w:pPr>
            <w:r w:rsidRPr="00FA3F57">
              <w:rPr>
                <w:sz w:val="20"/>
                <w:szCs w:val="20"/>
              </w:rPr>
              <w:t>Year of completion of project funding</w:t>
            </w:r>
          </w:p>
        </w:tc>
        <w:tc>
          <w:tcPr>
            <w:tcW w:w="5667" w:type="dxa"/>
            <w:tcBorders>
              <w:top w:val="single" w:sz="4" w:space="0" w:color="auto"/>
              <w:left w:val="single" w:sz="4" w:space="0" w:color="auto"/>
              <w:bottom w:val="single" w:sz="4" w:space="0" w:color="auto"/>
              <w:right w:val="single" w:sz="4" w:space="0" w:color="auto"/>
            </w:tcBorders>
            <w:hideMark/>
          </w:tcPr>
          <w:p w14:paraId="7A46697A" w14:textId="77777777" w:rsidR="0094644B" w:rsidRPr="00F07779" w:rsidRDefault="0094644B" w:rsidP="00FB5086">
            <w:pPr>
              <w:rPr>
                <w:sz w:val="20"/>
                <w:szCs w:val="20"/>
              </w:rPr>
            </w:pPr>
            <w:r w:rsidRPr="00F07779">
              <w:rPr>
                <w:sz w:val="20"/>
                <w:szCs w:val="20"/>
              </w:rPr>
              <w:t>2026.</w:t>
            </w:r>
          </w:p>
        </w:tc>
      </w:tr>
      <w:tr w:rsidR="0094644B" w:rsidRPr="00F07779" w14:paraId="3D2833C8"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6DB0C2C9" w14:textId="77777777" w:rsidR="0094644B" w:rsidRPr="00F07779" w:rsidRDefault="0094644B" w:rsidP="00FB5086">
            <w:pPr>
              <w:rPr>
                <w:sz w:val="20"/>
                <w:szCs w:val="20"/>
              </w:rPr>
            </w:pPr>
            <w:r w:rsidRPr="00FA3F57">
              <w:rPr>
                <w:sz w:val="20"/>
                <w:szCs w:val="20"/>
              </w:rPr>
              <w:t>Total project value</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312D97E0" w14:textId="77777777" w:rsidR="0094644B" w:rsidRPr="00FA3F57" w:rsidRDefault="0094644B" w:rsidP="00FB5086">
            <w:pPr>
              <w:rPr>
                <w:sz w:val="20"/>
                <w:szCs w:val="20"/>
              </w:rPr>
            </w:pPr>
            <w:r w:rsidRPr="00FA3F57">
              <w:rPr>
                <w:sz w:val="20"/>
                <w:szCs w:val="20"/>
              </w:rPr>
              <w:t>422,100 (3.6 million EUR)</w:t>
            </w:r>
          </w:p>
        </w:tc>
      </w:tr>
      <w:tr w:rsidR="0094644B" w:rsidRPr="00F07779" w14:paraId="46D180CB"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4A575D77" w14:textId="77777777" w:rsidR="0094644B" w:rsidRPr="00F07779" w:rsidRDefault="0094644B" w:rsidP="00FB5086">
            <w:pPr>
              <w:rPr>
                <w:sz w:val="20"/>
                <w:szCs w:val="20"/>
              </w:rPr>
            </w:pPr>
            <w:r w:rsidRPr="00FA3F57">
              <w:rPr>
                <w:sz w:val="20"/>
                <w:szCs w:val="20"/>
              </w:rPr>
              <w:t>Planned investments for 2026.</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14A987F5" w14:textId="77777777" w:rsidR="0094644B" w:rsidRPr="00F07779" w:rsidRDefault="0094644B" w:rsidP="00FB5086">
            <w:pPr>
              <w:rPr>
                <w:sz w:val="20"/>
                <w:szCs w:val="20"/>
              </w:rPr>
            </w:pPr>
            <w:r w:rsidRPr="00F07779">
              <w:rPr>
                <w:sz w:val="20"/>
                <w:szCs w:val="20"/>
              </w:rPr>
              <w:t>8,706 (own funds of EMS JSC)</w:t>
            </w:r>
          </w:p>
        </w:tc>
      </w:tr>
      <w:tr w:rsidR="0094644B" w:rsidRPr="00F07779" w14:paraId="6670ED9E"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6E46CDD3" w14:textId="77777777" w:rsidR="0094644B" w:rsidRPr="00F07779" w:rsidRDefault="0094644B" w:rsidP="00FB5086">
            <w:pPr>
              <w:rPr>
                <w:sz w:val="20"/>
                <w:szCs w:val="20"/>
              </w:rPr>
            </w:pPr>
            <w:r w:rsidRPr="00FA3F57">
              <w:rPr>
                <w:sz w:val="20"/>
                <w:szCs w:val="20"/>
              </w:rPr>
              <w:t>Planned investments for 2027.</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2D530EF1" w14:textId="77777777" w:rsidR="0094644B" w:rsidRPr="00F07779" w:rsidRDefault="0094644B" w:rsidP="00FB5086">
            <w:pPr>
              <w:rPr>
                <w:sz w:val="20"/>
                <w:szCs w:val="20"/>
              </w:rPr>
            </w:pPr>
            <w:r w:rsidRPr="00F07779">
              <w:rPr>
                <w:sz w:val="20"/>
                <w:szCs w:val="20"/>
              </w:rPr>
              <w:t>0</w:t>
            </w:r>
          </w:p>
        </w:tc>
      </w:tr>
      <w:tr w:rsidR="0094644B" w:rsidRPr="00F07779" w14:paraId="6BDFC894"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1558BDD6" w14:textId="77777777" w:rsidR="0094644B" w:rsidRPr="00F07779" w:rsidRDefault="0094644B" w:rsidP="00FB5086">
            <w:pPr>
              <w:rPr>
                <w:sz w:val="20"/>
                <w:szCs w:val="20"/>
              </w:rPr>
            </w:pPr>
            <w:r w:rsidRPr="00FA3F57">
              <w:rPr>
                <w:sz w:val="20"/>
                <w:szCs w:val="20"/>
              </w:rPr>
              <w:t>Planned investments for 2028.</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087782C1" w14:textId="77777777" w:rsidR="0094644B" w:rsidRPr="00F07779" w:rsidRDefault="0094644B" w:rsidP="00FB5086">
            <w:pPr>
              <w:rPr>
                <w:sz w:val="20"/>
                <w:szCs w:val="20"/>
              </w:rPr>
            </w:pPr>
            <w:r w:rsidRPr="00F07779">
              <w:rPr>
                <w:sz w:val="20"/>
                <w:szCs w:val="20"/>
              </w:rPr>
              <w:t>0</w:t>
            </w:r>
          </w:p>
        </w:tc>
      </w:tr>
    </w:tbl>
    <w:p w14:paraId="031EC4E3" w14:textId="77777777" w:rsidR="0094644B" w:rsidRPr="00F07779" w:rsidRDefault="0094644B" w:rsidP="0094644B">
      <w:pPr>
        <w:rPr>
          <w:sz w:val="20"/>
          <w:szCs w:val="20"/>
        </w:rPr>
      </w:pPr>
    </w:p>
    <w:tbl>
      <w:tblPr>
        <w:tblStyle w:val="TableGrid"/>
        <w:tblW w:w="0" w:type="auto"/>
        <w:tblLook w:val="04A0" w:firstRow="1" w:lastRow="0" w:firstColumn="1" w:lastColumn="0" w:noHBand="0" w:noVBand="1"/>
      </w:tblPr>
      <w:tblGrid>
        <w:gridCol w:w="2973"/>
        <w:gridCol w:w="5667"/>
      </w:tblGrid>
      <w:tr w:rsidR="0094644B" w:rsidRPr="00F07779" w14:paraId="76A83C1B"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E73FA54" w14:textId="77777777" w:rsidR="0094644B" w:rsidRPr="00F07779" w:rsidRDefault="0094644B" w:rsidP="00FB5086">
            <w:pPr>
              <w:rPr>
                <w:sz w:val="20"/>
                <w:szCs w:val="20"/>
              </w:rPr>
            </w:pPr>
            <w:r w:rsidRPr="00F07779">
              <w:rPr>
                <w:sz w:val="20"/>
                <w:szCs w:val="20"/>
              </w:rPr>
              <w:t>Activity EL1.2</w:t>
            </w:r>
          </w:p>
        </w:tc>
        <w:tc>
          <w:tcPr>
            <w:tcW w:w="566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2573565" w14:textId="77777777" w:rsidR="0094644B" w:rsidRPr="00F07779" w:rsidRDefault="0094644B" w:rsidP="00FB5086">
            <w:pPr>
              <w:rPr>
                <w:sz w:val="20"/>
                <w:szCs w:val="20"/>
              </w:rPr>
            </w:pPr>
            <w:r w:rsidRPr="00F07779">
              <w:rPr>
                <w:sz w:val="20"/>
                <w:szCs w:val="20"/>
              </w:rPr>
              <w:t>Investment projects focused on the reconstruction and construction of the transmission network</w:t>
            </w:r>
          </w:p>
        </w:tc>
      </w:tr>
      <w:tr w:rsidR="0094644B" w:rsidRPr="00F07779" w14:paraId="6FF99B46"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2F16BE89" w14:textId="77777777" w:rsidR="0094644B" w:rsidRPr="00F07779" w:rsidRDefault="0094644B" w:rsidP="00FB5086">
            <w:pPr>
              <w:rPr>
                <w:sz w:val="20"/>
                <w:szCs w:val="20"/>
              </w:rPr>
            </w:pPr>
            <w:r w:rsidRPr="00FA3F57">
              <w:rPr>
                <w:sz w:val="20"/>
                <w:szCs w:val="20"/>
              </w:rPr>
              <w:t>Name of the project</w:t>
            </w:r>
          </w:p>
        </w:tc>
        <w:tc>
          <w:tcPr>
            <w:tcW w:w="5667"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169868CF" w14:textId="77777777" w:rsidR="0094644B" w:rsidRPr="00F07779" w:rsidRDefault="0094644B" w:rsidP="00FB5086">
            <w:pPr>
              <w:rPr>
                <w:sz w:val="20"/>
                <w:szCs w:val="20"/>
              </w:rPr>
            </w:pPr>
            <w:r w:rsidRPr="00F07779">
              <w:rPr>
                <w:sz w:val="20"/>
                <w:szCs w:val="20"/>
              </w:rPr>
              <w:t>Installation of 220/110 kV transformation between TS 400/220 kV Obrenovac and TS 110/6 kV TENT A for auxiliary consumption</w:t>
            </w:r>
          </w:p>
        </w:tc>
      </w:tr>
      <w:tr w:rsidR="0094644B" w:rsidRPr="00F07779" w14:paraId="0D883928"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5C6B09C" w14:textId="77777777" w:rsidR="0094644B" w:rsidRPr="00F07779" w:rsidRDefault="0094644B" w:rsidP="00FB5086">
            <w:pPr>
              <w:rPr>
                <w:sz w:val="20"/>
                <w:szCs w:val="20"/>
              </w:rPr>
            </w:pPr>
            <w:r w:rsidRPr="00FA3F57">
              <w:rPr>
                <w:sz w:val="20"/>
                <w:szCs w:val="20"/>
              </w:rPr>
              <w:t xml:space="preserve">Name of the </w:t>
            </w:r>
            <w:r w:rsidRPr="00F07779">
              <w:rPr>
                <w:sz w:val="20"/>
                <w:szCs w:val="20"/>
              </w:rPr>
              <w:t>investment</w:t>
            </w:r>
          </w:p>
        </w:tc>
        <w:tc>
          <w:tcPr>
            <w:tcW w:w="566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27224F7" w14:textId="77777777" w:rsidR="0094644B" w:rsidRPr="00F07779" w:rsidRDefault="0094644B" w:rsidP="00FB5086">
            <w:pPr>
              <w:rPr>
                <w:sz w:val="20"/>
                <w:szCs w:val="20"/>
              </w:rPr>
            </w:pPr>
            <w:r w:rsidRPr="00F07779">
              <w:rPr>
                <w:sz w:val="20"/>
                <w:szCs w:val="20"/>
              </w:rPr>
              <w:t>TS 400/220 kV Obrenovac, installation of transformer T4</w:t>
            </w:r>
            <w:r w:rsidRPr="00F07779" w:rsidDel="00ED4900">
              <w:rPr>
                <w:sz w:val="20"/>
                <w:szCs w:val="20"/>
              </w:rPr>
              <w:t xml:space="preserve"> </w:t>
            </w:r>
            <w:r w:rsidRPr="00F07779">
              <w:rPr>
                <w:sz w:val="20"/>
                <w:szCs w:val="20"/>
              </w:rPr>
              <w:t>220/110 kV</w:t>
            </w:r>
          </w:p>
          <w:p w14:paraId="3000FED5" w14:textId="77777777" w:rsidR="0094644B" w:rsidRPr="00F07779" w:rsidRDefault="0094644B" w:rsidP="00FB5086">
            <w:pPr>
              <w:rPr>
                <w:sz w:val="20"/>
                <w:szCs w:val="20"/>
              </w:rPr>
            </w:pPr>
            <w:r w:rsidRPr="00F07779">
              <w:rPr>
                <w:sz w:val="20"/>
                <w:szCs w:val="20"/>
              </w:rPr>
              <w:t>TS 110/6 kV TENT А for auxiliary consumption, equipping 110 kV bays</w:t>
            </w:r>
          </w:p>
          <w:p w14:paraId="313D08D2" w14:textId="77777777" w:rsidR="0094644B" w:rsidRPr="00F07779" w:rsidRDefault="0094644B" w:rsidP="00FB5086">
            <w:pPr>
              <w:rPr>
                <w:sz w:val="20"/>
                <w:szCs w:val="20"/>
              </w:rPr>
            </w:pPr>
            <w:r w:rsidRPr="00F07779">
              <w:rPr>
                <w:sz w:val="20"/>
                <w:szCs w:val="20"/>
              </w:rPr>
              <w:t>CB 110 kV Obrenovac – TS 110/6 kV TENT A for auxiliary consumption</w:t>
            </w:r>
          </w:p>
        </w:tc>
      </w:tr>
      <w:tr w:rsidR="0094644B" w:rsidRPr="00F07779" w14:paraId="25697BA5"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3E057758" w14:textId="77777777" w:rsidR="0094644B" w:rsidRPr="00F07779" w:rsidRDefault="0094644B" w:rsidP="00FB5086">
            <w:pPr>
              <w:rPr>
                <w:sz w:val="20"/>
                <w:szCs w:val="20"/>
              </w:rPr>
            </w:pPr>
            <w:r w:rsidRPr="00FA3F57">
              <w:rPr>
                <w:sz w:val="20"/>
                <w:szCs w:val="20"/>
              </w:rPr>
              <w:t>Short description of the investment</w:t>
            </w:r>
          </w:p>
        </w:tc>
        <w:tc>
          <w:tcPr>
            <w:tcW w:w="5667" w:type="dxa"/>
            <w:tcBorders>
              <w:top w:val="single" w:sz="4" w:space="0" w:color="auto"/>
              <w:left w:val="single" w:sz="4" w:space="0" w:color="auto"/>
              <w:bottom w:val="single" w:sz="4" w:space="0" w:color="auto"/>
              <w:right w:val="single" w:sz="4" w:space="0" w:color="auto"/>
            </w:tcBorders>
          </w:tcPr>
          <w:p w14:paraId="72C02D34" w14:textId="77777777" w:rsidR="0094644B" w:rsidRPr="00F07779" w:rsidRDefault="0094644B" w:rsidP="00FB5086">
            <w:pPr>
              <w:rPr>
                <w:sz w:val="20"/>
                <w:szCs w:val="20"/>
              </w:rPr>
            </w:pPr>
            <w:r w:rsidRPr="00F07779">
              <w:rPr>
                <w:sz w:val="20"/>
                <w:szCs w:val="20"/>
              </w:rPr>
              <w:t>The project includes the installation of a T4 150 MVA power transformer and the equipping of the 220 kV transformer bay D05, the installation of complete equipment for the 110 kV E04 transmission line bay (bus disconnectors, circuit breakers, current and voltage transformers and an output disconnector with grounding blades) and the construction of a 110 kV cable from TS Obrenovac to TS TENT A.</w:t>
            </w:r>
          </w:p>
          <w:p w14:paraId="5193139C" w14:textId="77777777" w:rsidR="0094644B" w:rsidRPr="00F07779" w:rsidRDefault="0094644B" w:rsidP="00FB5086">
            <w:pPr>
              <w:rPr>
                <w:sz w:val="20"/>
                <w:szCs w:val="20"/>
              </w:rPr>
            </w:pPr>
            <w:r w:rsidRPr="00F07779">
              <w:rPr>
                <w:sz w:val="20"/>
                <w:szCs w:val="20"/>
              </w:rPr>
              <w:t>Expected dynamics of project implementation:</w:t>
            </w:r>
          </w:p>
          <w:p w14:paraId="12641AEC" w14:textId="77777777" w:rsidR="0094644B" w:rsidRPr="00F07779" w:rsidRDefault="0094644B" w:rsidP="00FB5086">
            <w:pPr>
              <w:rPr>
                <w:sz w:val="20"/>
                <w:szCs w:val="20"/>
              </w:rPr>
            </w:pPr>
            <w:r w:rsidRPr="00F07779">
              <w:rPr>
                <w:sz w:val="20"/>
                <w:szCs w:val="20"/>
              </w:rPr>
              <w:t>2026. Use permit; end of project</w:t>
            </w:r>
          </w:p>
        </w:tc>
      </w:tr>
      <w:tr w:rsidR="0094644B" w:rsidRPr="00F07779" w14:paraId="6025572C"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5AB92D5A" w14:textId="77777777" w:rsidR="0094644B" w:rsidRPr="00F07779" w:rsidRDefault="0094644B" w:rsidP="00FB5086">
            <w:pPr>
              <w:rPr>
                <w:sz w:val="20"/>
                <w:szCs w:val="20"/>
              </w:rPr>
            </w:pPr>
            <w:r w:rsidRPr="00FA3F57">
              <w:rPr>
                <w:sz w:val="20"/>
                <w:szCs w:val="20"/>
              </w:rPr>
              <w:t>Institutions responsible for the implementation of measures and activities</w:t>
            </w:r>
          </w:p>
        </w:tc>
        <w:tc>
          <w:tcPr>
            <w:tcW w:w="5667" w:type="dxa"/>
            <w:tcBorders>
              <w:top w:val="single" w:sz="4" w:space="0" w:color="auto"/>
              <w:left w:val="single" w:sz="4" w:space="0" w:color="auto"/>
              <w:bottom w:val="single" w:sz="4" w:space="0" w:color="auto"/>
              <w:right w:val="single" w:sz="4" w:space="0" w:color="auto"/>
            </w:tcBorders>
            <w:hideMark/>
          </w:tcPr>
          <w:p w14:paraId="0D0DA952" w14:textId="77777777" w:rsidR="0094644B" w:rsidRPr="00F07779" w:rsidRDefault="0094644B" w:rsidP="00FB5086">
            <w:pPr>
              <w:rPr>
                <w:sz w:val="20"/>
                <w:szCs w:val="20"/>
              </w:rPr>
            </w:pPr>
            <w:r w:rsidRPr="00FA3F57">
              <w:rPr>
                <w:sz w:val="20"/>
                <w:szCs w:val="20"/>
              </w:rPr>
              <w:t>EMS JSC Belgrade</w:t>
            </w:r>
          </w:p>
        </w:tc>
      </w:tr>
      <w:tr w:rsidR="0094644B" w:rsidRPr="00F07779" w14:paraId="1EE6619B"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138E2F85" w14:textId="77777777" w:rsidR="0094644B" w:rsidRPr="00F07779" w:rsidRDefault="0094644B" w:rsidP="00FB5086">
            <w:pPr>
              <w:rPr>
                <w:sz w:val="20"/>
                <w:szCs w:val="20"/>
              </w:rPr>
            </w:pPr>
            <w:r w:rsidRPr="00FA3F57">
              <w:rPr>
                <w:sz w:val="20"/>
                <w:szCs w:val="20"/>
              </w:rPr>
              <w:t>Institutions responsible for monitoring implementation and reporting on the realization</w:t>
            </w:r>
          </w:p>
        </w:tc>
        <w:tc>
          <w:tcPr>
            <w:tcW w:w="5667" w:type="dxa"/>
            <w:tcBorders>
              <w:top w:val="single" w:sz="4" w:space="0" w:color="auto"/>
              <w:left w:val="single" w:sz="4" w:space="0" w:color="auto"/>
              <w:bottom w:val="single" w:sz="4" w:space="0" w:color="auto"/>
              <w:right w:val="single" w:sz="4" w:space="0" w:color="auto"/>
            </w:tcBorders>
            <w:hideMark/>
          </w:tcPr>
          <w:p w14:paraId="50C1B072" w14:textId="77777777" w:rsidR="0094644B" w:rsidRPr="00F07779" w:rsidRDefault="0094644B" w:rsidP="00FB5086">
            <w:pPr>
              <w:rPr>
                <w:sz w:val="20"/>
                <w:szCs w:val="20"/>
              </w:rPr>
            </w:pPr>
            <w:r w:rsidRPr="00FA3F57">
              <w:rPr>
                <w:sz w:val="20"/>
                <w:szCs w:val="20"/>
              </w:rPr>
              <w:t>EMS JSC Belgrade</w:t>
            </w:r>
          </w:p>
          <w:p w14:paraId="319AE8EC" w14:textId="77777777" w:rsidR="0094644B" w:rsidRPr="00F07779" w:rsidRDefault="0094644B" w:rsidP="00FB5086">
            <w:pPr>
              <w:rPr>
                <w:sz w:val="20"/>
                <w:szCs w:val="20"/>
              </w:rPr>
            </w:pPr>
            <w:r w:rsidRPr="00F07779">
              <w:rPr>
                <w:sz w:val="20"/>
                <w:szCs w:val="20"/>
              </w:rPr>
              <w:t>Ministry of Mining and Energy</w:t>
            </w:r>
          </w:p>
        </w:tc>
      </w:tr>
      <w:tr w:rsidR="0094644B" w:rsidRPr="00F07779" w14:paraId="6744405D"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073B2FCF" w14:textId="77777777" w:rsidR="0094644B" w:rsidRPr="00F07779" w:rsidRDefault="0094644B" w:rsidP="00FB5086">
            <w:pPr>
              <w:rPr>
                <w:sz w:val="20"/>
                <w:szCs w:val="20"/>
              </w:rPr>
            </w:pPr>
            <w:r w:rsidRPr="00FA3F57">
              <w:rPr>
                <w:sz w:val="20"/>
                <w:szCs w:val="20"/>
              </w:rPr>
              <w:t>Year of project funding start</w:t>
            </w:r>
          </w:p>
        </w:tc>
        <w:tc>
          <w:tcPr>
            <w:tcW w:w="5667" w:type="dxa"/>
            <w:tcBorders>
              <w:top w:val="single" w:sz="4" w:space="0" w:color="auto"/>
              <w:left w:val="single" w:sz="4" w:space="0" w:color="auto"/>
              <w:bottom w:val="single" w:sz="4" w:space="0" w:color="auto"/>
              <w:right w:val="single" w:sz="4" w:space="0" w:color="auto"/>
            </w:tcBorders>
            <w:hideMark/>
          </w:tcPr>
          <w:p w14:paraId="04A5CA08" w14:textId="77777777" w:rsidR="0094644B" w:rsidRPr="00F07779" w:rsidRDefault="0094644B" w:rsidP="00FB5086">
            <w:pPr>
              <w:rPr>
                <w:sz w:val="20"/>
                <w:szCs w:val="20"/>
              </w:rPr>
            </w:pPr>
            <w:r w:rsidRPr="00F07779">
              <w:rPr>
                <w:sz w:val="20"/>
                <w:szCs w:val="20"/>
              </w:rPr>
              <w:t xml:space="preserve">2026. </w:t>
            </w:r>
          </w:p>
        </w:tc>
      </w:tr>
      <w:tr w:rsidR="0094644B" w:rsidRPr="00F07779" w14:paraId="12EFAFD2"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4066171D" w14:textId="77777777" w:rsidR="0094644B" w:rsidRPr="00F07779" w:rsidRDefault="0094644B" w:rsidP="00FB5086">
            <w:pPr>
              <w:rPr>
                <w:sz w:val="20"/>
                <w:szCs w:val="20"/>
              </w:rPr>
            </w:pPr>
            <w:r w:rsidRPr="00FA3F57">
              <w:rPr>
                <w:sz w:val="20"/>
                <w:szCs w:val="20"/>
              </w:rPr>
              <w:t>Year of completion of project funding</w:t>
            </w:r>
          </w:p>
        </w:tc>
        <w:tc>
          <w:tcPr>
            <w:tcW w:w="5667" w:type="dxa"/>
            <w:tcBorders>
              <w:top w:val="single" w:sz="4" w:space="0" w:color="auto"/>
              <w:left w:val="single" w:sz="4" w:space="0" w:color="auto"/>
              <w:bottom w:val="single" w:sz="4" w:space="0" w:color="auto"/>
              <w:right w:val="single" w:sz="4" w:space="0" w:color="auto"/>
            </w:tcBorders>
            <w:hideMark/>
          </w:tcPr>
          <w:p w14:paraId="27917985" w14:textId="77777777" w:rsidR="0094644B" w:rsidRPr="00F07779" w:rsidRDefault="0094644B" w:rsidP="00FB5086">
            <w:pPr>
              <w:rPr>
                <w:sz w:val="20"/>
                <w:szCs w:val="20"/>
              </w:rPr>
            </w:pPr>
            <w:r w:rsidRPr="00F07779">
              <w:rPr>
                <w:sz w:val="20"/>
                <w:szCs w:val="20"/>
              </w:rPr>
              <w:t>2028.</w:t>
            </w:r>
          </w:p>
        </w:tc>
      </w:tr>
      <w:tr w:rsidR="0094644B" w:rsidRPr="00F07779" w14:paraId="7D8B6949"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1038D03A" w14:textId="77777777" w:rsidR="0094644B" w:rsidRPr="00F07779" w:rsidRDefault="0094644B" w:rsidP="00FB5086">
            <w:pPr>
              <w:rPr>
                <w:sz w:val="20"/>
                <w:szCs w:val="20"/>
              </w:rPr>
            </w:pPr>
            <w:r w:rsidRPr="00FA3F57">
              <w:rPr>
                <w:sz w:val="20"/>
                <w:szCs w:val="20"/>
              </w:rPr>
              <w:t>Total project value</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6E98F8BD" w14:textId="77777777" w:rsidR="0094644B" w:rsidRPr="00FA3F57" w:rsidRDefault="0094644B" w:rsidP="00FB5086">
            <w:pPr>
              <w:rPr>
                <w:sz w:val="20"/>
                <w:szCs w:val="20"/>
              </w:rPr>
            </w:pPr>
            <w:r w:rsidRPr="00FA3F57">
              <w:rPr>
                <w:sz w:val="20"/>
                <w:szCs w:val="20"/>
              </w:rPr>
              <w:t>469,000 (4 million EUR)</w:t>
            </w:r>
          </w:p>
        </w:tc>
      </w:tr>
      <w:tr w:rsidR="0094644B" w:rsidRPr="00F07779" w14:paraId="3CD71950" w14:textId="77777777" w:rsidTr="00FB5086">
        <w:tc>
          <w:tcPr>
            <w:tcW w:w="2973" w:type="dxa"/>
            <w:tcBorders>
              <w:top w:val="single" w:sz="4" w:space="0" w:color="auto"/>
              <w:left w:val="single" w:sz="4" w:space="0" w:color="auto"/>
              <w:bottom w:val="single" w:sz="4" w:space="0" w:color="auto"/>
              <w:right w:val="single" w:sz="4" w:space="0" w:color="auto"/>
            </w:tcBorders>
          </w:tcPr>
          <w:p w14:paraId="685314D2" w14:textId="77777777" w:rsidR="0094644B" w:rsidRPr="00FA3F57" w:rsidRDefault="0094644B" w:rsidP="00FB5086">
            <w:pPr>
              <w:rPr>
                <w:sz w:val="20"/>
                <w:szCs w:val="20"/>
              </w:rPr>
            </w:pPr>
            <w:r w:rsidRPr="00FA3F57">
              <w:rPr>
                <w:sz w:val="20"/>
                <w:szCs w:val="20"/>
              </w:rPr>
              <w:lastRenderedPageBreak/>
              <w:t>Planned investments for 2026.</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tcPr>
          <w:p w14:paraId="5652AD81" w14:textId="77777777" w:rsidR="0094644B" w:rsidRPr="00FA3F57" w:rsidRDefault="0094644B" w:rsidP="00FB5086">
            <w:pPr>
              <w:rPr>
                <w:sz w:val="20"/>
                <w:szCs w:val="20"/>
              </w:rPr>
            </w:pPr>
            <w:r w:rsidRPr="00FA3F57">
              <w:rPr>
                <w:sz w:val="20"/>
                <w:szCs w:val="20"/>
              </w:rPr>
              <w:t>0</w:t>
            </w:r>
          </w:p>
        </w:tc>
      </w:tr>
      <w:tr w:rsidR="0094644B" w:rsidRPr="00F07779" w14:paraId="54CEA1C4" w14:textId="77777777" w:rsidTr="00FB5086">
        <w:tc>
          <w:tcPr>
            <w:tcW w:w="2973" w:type="dxa"/>
            <w:tcBorders>
              <w:top w:val="single" w:sz="4" w:space="0" w:color="auto"/>
              <w:left w:val="single" w:sz="4" w:space="0" w:color="auto"/>
              <w:bottom w:val="single" w:sz="4" w:space="0" w:color="auto"/>
              <w:right w:val="single" w:sz="4" w:space="0" w:color="auto"/>
            </w:tcBorders>
          </w:tcPr>
          <w:p w14:paraId="22F2D7AC" w14:textId="77777777" w:rsidR="0094644B" w:rsidRPr="00FA3F57" w:rsidRDefault="0094644B" w:rsidP="00FB5086">
            <w:pPr>
              <w:rPr>
                <w:sz w:val="20"/>
                <w:szCs w:val="20"/>
              </w:rPr>
            </w:pPr>
            <w:r w:rsidRPr="00FA3F57">
              <w:rPr>
                <w:sz w:val="20"/>
                <w:szCs w:val="20"/>
              </w:rPr>
              <w:t>Planned investments for 2027.</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tcPr>
          <w:p w14:paraId="5948B182" w14:textId="77777777" w:rsidR="0094644B" w:rsidRPr="00FA3F57" w:rsidRDefault="0094644B" w:rsidP="00FB5086">
            <w:pPr>
              <w:rPr>
                <w:sz w:val="20"/>
                <w:szCs w:val="20"/>
              </w:rPr>
            </w:pPr>
            <w:r w:rsidRPr="00FA3F57">
              <w:rPr>
                <w:sz w:val="20"/>
                <w:szCs w:val="20"/>
              </w:rPr>
              <w:t>0</w:t>
            </w:r>
          </w:p>
        </w:tc>
      </w:tr>
      <w:tr w:rsidR="0094644B" w:rsidRPr="00F07779" w14:paraId="3FA56D1F" w14:textId="77777777" w:rsidTr="00FB5086">
        <w:tc>
          <w:tcPr>
            <w:tcW w:w="2973" w:type="dxa"/>
            <w:tcBorders>
              <w:top w:val="single" w:sz="4" w:space="0" w:color="auto"/>
              <w:left w:val="single" w:sz="4" w:space="0" w:color="auto"/>
              <w:bottom w:val="single" w:sz="4" w:space="0" w:color="auto"/>
              <w:right w:val="single" w:sz="4" w:space="0" w:color="auto"/>
            </w:tcBorders>
          </w:tcPr>
          <w:p w14:paraId="1620B85E" w14:textId="77777777" w:rsidR="0094644B" w:rsidRPr="00FA3F57" w:rsidRDefault="0094644B" w:rsidP="00FB5086">
            <w:pPr>
              <w:rPr>
                <w:sz w:val="20"/>
                <w:szCs w:val="20"/>
              </w:rPr>
            </w:pPr>
            <w:r w:rsidRPr="00FA3F57">
              <w:rPr>
                <w:sz w:val="20"/>
                <w:szCs w:val="20"/>
              </w:rPr>
              <w:t>Planned investments for 2028.</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tcPr>
          <w:p w14:paraId="004DB1AA" w14:textId="77777777" w:rsidR="0094644B" w:rsidRPr="00FA3F57" w:rsidRDefault="0094644B" w:rsidP="00FB5086">
            <w:pPr>
              <w:rPr>
                <w:sz w:val="20"/>
                <w:szCs w:val="20"/>
              </w:rPr>
            </w:pPr>
            <w:r w:rsidRPr="00FA3F57">
              <w:rPr>
                <w:sz w:val="20"/>
                <w:szCs w:val="20"/>
              </w:rPr>
              <w:t>0</w:t>
            </w:r>
          </w:p>
        </w:tc>
      </w:tr>
    </w:tbl>
    <w:p w14:paraId="4858181A" w14:textId="77777777" w:rsidR="0094644B" w:rsidRPr="00F07779" w:rsidRDefault="0094644B" w:rsidP="0094644B">
      <w:pPr>
        <w:tabs>
          <w:tab w:val="left" w:pos="1276"/>
          <w:tab w:val="left" w:pos="1560"/>
        </w:tabs>
        <w:ind w:left="1440" w:hanging="1440"/>
      </w:pPr>
    </w:p>
    <w:tbl>
      <w:tblPr>
        <w:tblStyle w:val="TableGrid"/>
        <w:tblW w:w="0" w:type="auto"/>
        <w:tblLook w:val="04A0" w:firstRow="1" w:lastRow="0" w:firstColumn="1" w:lastColumn="0" w:noHBand="0" w:noVBand="1"/>
      </w:tblPr>
      <w:tblGrid>
        <w:gridCol w:w="2973"/>
        <w:gridCol w:w="5667"/>
      </w:tblGrid>
      <w:tr w:rsidR="0094644B" w:rsidRPr="00F07779" w14:paraId="5CF76F30"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6A17D80" w14:textId="77777777" w:rsidR="0094644B" w:rsidRPr="00F07779" w:rsidRDefault="0094644B" w:rsidP="00FB5086">
            <w:pPr>
              <w:rPr>
                <w:sz w:val="20"/>
                <w:szCs w:val="20"/>
              </w:rPr>
            </w:pPr>
            <w:r w:rsidRPr="00F07779">
              <w:rPr>
                <w:sz w:val="20"/>
                <w:szCs w:val="20"/>
              </w:rPr>
              <w:t>Activity EL1.2</w:t>
            </w:r>
          </w:p>
        </w:tc>
        <w:tc>
          <w:tcPr>
            <w:tcW w:w="566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C589275" w14:textId="77777777" w:rsidR="0094644B" w:rsidRPr="00F07779" w:rsidRDefault="0094644B" w:rsidP="00FB5086">
            <w:pPr>
              <w:rPr>
                <w:sz w:val="20"/>
                <w:szCs w:val="20"/>
              </w:rPr>
            </w:pPr>
            <w:r w:rsidRPr="00F07779">
              <w:rPr>
                <w:sz w:val="20"/>
                <w:szCs w:val="20"/>
              </w:rPr>
              <w:t>Investment projects focused on the reconstruction and construction of the transmission network</w:t>
            </w:r>
          </w:p>
        </w:tc>
      </w:tr>
      <w:tr w:rsidR="0094644B" w:rsidRPr="00F07779" w14:paraId="5D830106"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1B7178BB" w14:textId="77777777" w:rsidR="0094644B" w:rsidRPr="00F07779" w:rsidRDefault="0094644B" w:rsidP="00FB5086">
            <w:pPr>
              <w:rPr>
                <w:sz w:val="20"/>
                <w:szCs w:val="20"/>
              </w:rPr>
            </w:pPr>
            <w:r w:rsidRPr="00FA3F57">
              <w:rPr>
                <w:sz w:val="20"/>
                <w:szCs w:val="20"/>
              </w:rPr>
              <w:t>Name of the project</w:t>
            </w:r>
          </w:p>
        </w:tc>
        <w:tc>
          <w:tcPr>
            <w:tcW w:w="5667"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6B314DCF" w14:textId="77777777" w:rsidR="0094644B" w:rsidRPr="00F07779" w:rsidRDefault="0094644B" w:rsidP="00FB5086">
            <w:pPr>
              <w:rPr>
                <w:sz w:val="20"/>
                <w:szCs w:val="20"/>
              </w:rPr>
            </w:pPr>
            <w:r w:rsidRPr="00F07779">
              <w:rPr>
                <w:sz w:val="20"/>
                <w:szCs w:val="20"/>
              </w:rPr>
              <w:t xml:space="preserve">Reconstruction of TS 400/110 kV </w:t>
            </w:r>
            <w:proofErr w:type="spellStart"/>
            <w:r w:rsidRPr="00F07779">
              <w:rPr>
                <w:sz w:val="20"/>
                <w:szCs w:val="20"/>
              </w:rPr>
              <w:t>Bor</w:t>
            </w:r>
            <w:proofErr w:type="spellEnd"/>
            <w:r w:rsidRPr="00F07779">
              <w:rPr>
                <w:sz w:val="20"/>
                <w:szCs w:val="20"/>
              </w:rPr>
              <w:t xml:space="preserve"> 2</w:t>
            </w:r>
          </w:p>
        </w:tc>
      </w:tr>
      <w:tr w:rsidR="0094644B" w:rsidRPr="00F07779" w14:paraId="535D767D"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5CB22B8" w14:textId="77777777" w:rsidR="0094644B" w:rsidRPr="00F07779" w:rsidRDefault="0094644B" w:rsidP="00FB5086">
            <w:pPr>
              <w:rPr>
                <w:sz w:val="20"/>
                <w:szCs w:val="20"/>
              </w:rPr>
            </w:pPr>
            <w:r w:rsidRPr="00FA3F57">
              <w:rPr>
                <w:sz w:val="20"/>
                <w:szCs w:val="20"/>
              </w:rPr>
              <w:t xml:space="preserve">Name of the </w:t>
            </w:r>
            <w:r w:rsidRPr="00F07779">
              <w:rPr>
                <w:sz w:val="20"/>
                <w:szCs w:val="20"/>
              </w:rPr>
              <w:t>investment</w:t>
            </w:r>
          </w:p>
        </w:tc>
        <w:tc>
          <w:tcPr>
            <w:tcW w:w="566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CFF90A8" w14:textId="77777777" w:rsidR="0094644B" w:rsidRPr="00F07779" w:rsidRDefault="0094644B" w:rsidP="00FB5086">
            <w:pPr>
              <w:rPr>
                <w:sz w:val="20"/>
                <w:szCs w:val="20"/>
              </w:rPr>
            </w:pPr>
            <w:r w:rsidRPr="00F07779">
              <w:rPr>
                <w:sz w:val="20"/>
                <w:szCs w:val="20"/>
              </w:rPr>
              <w:t xml:space="preserve">TS 400/110 kV </w:t>
            </w:r>
            <w:proofErr w:type="spellStart"/>
            <w:r w:rsidRPr="00F07779">
              <w:rPr>
                <w:sz w:val="20"/>
                <w:szCs w:val="20"/>
              </w:rPr>
              <w:t>Bor</w:t>
            </w:r>
            <w:proofErr w:type="spellEnd"/>
            <w:r w:rsidRPr="00F07779">
              <w:rPr>
                <w:sz w:val="20"/>
                <w:szCs w:val="20"/>
              </w:rPr>
              <w:t xml:space="preserve"> 2- reconstruction</w:t>
            </w:r>
          </w:p>
        </w:tc>
      </w:tr>
      <w:tr w:rsidR="0094644B" w:rsidRPr="00F07779" w14:paraId="60957534"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4397841C" w14:textId="77777777" w:rsidR="0094644B" w:rsidRPr="00F07779" w:rsidRDefault="0094644B" w:rsidP="00FB5086">
            <w:pPr>
              <w:rPr>
                <w:sz w:val="20"/>
                <w:szCs w:val="20"/>
              </w:rPr>
            </w:pPr>
            <w:r w:rsidRPr="00FA3F57">
              <w:rPr>
                <w:sz w:val="20"/>
                <w:szCs w:val="20"/>
              </w:rPr>
              <w:t>Short description of the investment</w:t>
            </w:r>
          </w:p>
        </w:tc>
        <w:tc>
          <w:tcPr>
            <w:tcW w:w="5667" w:type="dxa"/>
            <w:tcBorders>
              <w:top w:val="single" w:sz="4" w:space="0" w:color="auto"/>
              <w:left w:val="single" w:sz="4" w:space="0" w:color="auto"/>
              <w:bottom w:val="single" w:sz="4" w:space="0" w:color="auto"/>
              <w:right w:val="single" w:sz="4" w:space="0" w:color="auto"/>
            </w:tcBorders>
          </w:tcPr>
          <w:p w14:paraId="26B3F2D3" w14:textId="77777777" w:rsidR="0094644B" w:rsidRPr="00F07779" w:rsidRDefault="0094644B" w:rsidP="00FB5086">
            <w:pPr>
              <w:rPr>
                <w:sz w:val="20"/>
                <w:szCs w:val="20"/>
              </w:rPr>
            </w:pPr>
            <w:r w:rsidRPr="00F07779">
              <w:rPr>
                <w:sz w:val="20"/>
                <w:szCs w:val="20"/>
              </w:rPr>
              <w:t xml:space="preserve">The reconstruction is being carried out due to the obsolescence of HV equipment and protection and control systems in all 400 kV and 110 kV bays. The reconstruction increases the installed capacity of the substation, which allows increased security of supply to the </w:t>
            </w:r>
            <w:proofErr w:type="spellStart"/>
            <w:r w:rsidRPr="00F07779">
              <w:rPr>
                <w:sz w:val="20"/>
                <w:szCs w:val="20"/>
              </w:rPr>
              <w:t>Bor</w:t>
            </w:r>
            <w:proofErr w:type="spellEnd"/>
            <w:r w:rsidRPr="00F07779">
              <w:rPr>
                <w:sz w:val="20"/>
                <w:szCs w:val="20"/>
              </w:rPr>
              <w:t xml:space="preserve"> consumption area and new mining capacities.</w:t>
            </w:r>
          </w:p>
          <w:p w14:paraId="60775B85" w14:textId="77777777" w:rsidR="0094644B" w:rsidRPr="00F07779" w:rsidRDefault="0094644B" w:rsidP="00FB5086">
            <w:pPr>
              <w:rPr>
                <w:sz w:val="20"/>
                <w:szCs w:val="20"/>
              </w:rPr>
            </w:pPr>
            <w:r w:rsidRPr="00F07779">
              <w:rPr>
                <w:sz w:val="20"/>
                <w:szCs w:val="20"/>
              </w:rPr>
              <w:t>Expected dynamics of project implementation:</w:t>
            </w:r>
          </w:p>
          <w:p w14:paraId="5DFEF979" w14:textId="77777777" w:rsidR="0094644B" w:rsidRPr="00F07779" w:rsidRDefault="0094644B" w:rsidP="00FB5086">
            <w:pPr>
              <w:rPr>
                <w:sz w:val="20"/>
                <w:szCs w:val="20"/>
              </w:rPr>
            </w:pPr>
            <w:r w:rsidRPr="00F07779">
              <w:rPr>
                <w:sz w:val="20"/>
                <w:szCs w:val="20"/>
              </w:rPr>
              <w:t>2026. Construction</w:t>
            </w:r>
          </w:p>
          <w:p w14:paraId="19B56FF9" w14:textId="77777777" w:rsidR="0094644B" w:rsidRPr="00FA3F57" w:rsidRDefault="0094644B" w:rsidP="00FB5086">
            <w:pPr>
              <w:rPr>
                <w:sz w:val="20"/>
                <w:szCs w:val="20"/>
              </w:rPr>
            </w:pPr>
            <w:r w:rsidRPr="00F07779">
              <w:rPr>
                <w:sz w:val="20"/>
                <w:szCs w:val="20"/>
              </w:rPr>
              <w:t>2028. Use permit; end of project</w:t>
            </w:r>
          </w:p>
        </w:tc>
      </w:tr>
      <w:tr w:rsidR="0094644B" w:rsidRPr="00F07779" w14:paraId="746E382F"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60BE2C3F" w14:textId="77777777" w:rsidR="0094644B" w:rsidRPr="00F07779" w:rsidRDefault="0094644B" w:rsidP="00FB5086">
            <w:pPr>
              <w:rPr>
                <w:sz w:val="20"/>
                <w:szCs w:val="20"/>
              </w:rPr>
            </w:pPr>
            <w:r w:rsidRPr="00FA3F57">
              <w:rPr>
                <w:sz w:val="20"/>
                <w:szCs w:val="20"/>
              </w:rPr>
              <w:t>Institutions responsible for the implementation of measures and activities</w:t>
            </w:r>
          </w:p>
        </w:tc>
        <w:tc>
          <w:tcPr>
            <w:tcW w:w="5667" w:type="dxa"/>
            <w:tcBorders>
              <w:top w:val="single" w:sz="4" w:space="0" w:color="auto"/>
              <w:left w:val="single" w:sz="4" w:space="0" w:color="auto"/>
              <w:bottom w:val="single" w:sz="4" w:space="0" w:color="auto"/>
              <w:right w:val="single" w:sz="4" w:space="0" w:color="auto"/>
            </w:tcBorders>
            <w:hideMark/>
          </w:tcPr>
          <w:p w14:paraId="7AB45D5A" w14:textId="77777777" w:rsidR="0094644B" w:rsidRPr="00F07779" w:rsidRDefault="0094644B" w:rsidP="00FB5086">
            <w:pPr>
              <w:rPr>
                <w:sz w:val="20"/>
                <w:szCs w:val="20"/>
              </w:rPr>
            </w:pPr>
            <w:r w:rsidRPr="00FA3F57">
              <w:rPr>
                <w:sz w:val="20"/>
                <w:szCs w:val="20"/>
              </w:rPr>
              <w:t>EMS JSC Belgrade</w:t>
            </w:r>
          </w:p>
        </w:tc>
      </w:tr>
      <w:tr w:rsidR="0094644B" w:rsidRPr="00F07779" w14:paraId="4D53CF00"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436E51E5" w14:textId="77777777" w:rsidR="0094644B" w:rsidRPr="00F07779" w:rsidRDefault="0094644B" w:rsidP="00FB5086">
            <w:pPr>
              <w:rPr>
                <w:sz w:val="20"/>
                <w:szCs w:val="20"/>
              </w:rPr>
            </w:pPr>
            <w:r w:rsidRPr="00FA3F57">
              <w:rPr>
                <w:sz w:val="20"/>
                <w:szCs w:val="20"/>
              </w:rPr>
              <w:t>Institutions responsible for monitoring implementation and reporting on the realization</w:t>
            </w:r>
          </w:p>
        </w:tc>
        <w:tc>
          <w:tcPr>
            <w:tcW w:w="5667" w:type="dxa"/>
            <w:tcBorders>
              <w:top w:val="single" w:sz="4" w:space="0" w:color="auto"/>
              <w:left w:val="single" w:sz="4" w:space="0" w:color="auto"/>
              <w:bottom w:val="single" w:sz="4" w:space="0" w:color="auto"/>
              <w:right w:val="single" w:sz="4" w:space="0" w:color="auto"/>
            </w:tcBorders>
            <w:hideMark/>
          </w:tcPr>
          <w:p w14:paraId="7A488A8A" w14:textId="77777777" w:rsidR="0094644B" w:rsidRPr="00F07779" w:rsidRDefault="0094644B" w:rsidP="00FB5086">
            <w:pPr>
              <w:rPr>
                <w:sz w:val="20"/>
                <w:szCs w:val="20"/>
              </w:rPr>
            </w:pPr>
            <w:r w:rsidRPr="00FA3F57">
              <w:rPr>
                <w:sz w:val="20"/>
                <w:szCs w:val="20"/>
              </w:rPr>
              <w:t>EMS JSC Belgrade</w:t>
            </w:r>
          </w:p>
          <w:p w14:paraId="4BF7D3DB" w14:textId="77777777" w:rsidR="0094644B" w:rsidRPr="00FA3F57" w:rsidRDefault="0094644B" w:rsidP="00FB5086">
            <w:pPr>
              <w:rPr>
                <w:sz w:val="20"/>
                <w:szCs w:val="20"/>
              </w:rPr>
            </w:pPr>
            <w:r w:rsidRPr="00FA3F57">
              <w:rPr>
                <w:sz w:val="20"/>
                <w:szCs w:val="20"/>
              </w:rPr>
              <w:t>Republic Commission for Energy Networks</w:t>
            </w:r>
          </w:p>
          <w:p w14:paraId="7D875EFB" w14:textId="77777777" w:rsidR="0094644B" w:rsidRPr="00F07779" w:rsidRDefault="0094644B" w:rsidP="00FB5086">
            <w:pPr>
              <w:rPr>
                <w:sz w:val="20"/>
                <w:szCs w:val="20"/>
              </w:rPr>
            </w:pPr>
            <w:r w:rsidRPr="00F07779">
              <w:rPr>
                <w:sz w:val="20"/>
                <w:szCs w:val="20"/>
              </w:rPr>
              <w:t>Ministry of Mining and Energy</w:t>
            </w:r>
          </w:p>
        </w:tc>
      </w:tr>
      <w:tr w:rsidR="0094644B" w:rsidRPr="00F07779" w14:paraId="53CFC7BE"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23390ABE" w14:textId="77777777" w:rsidR="0094644B" w:rsidRPr="00F07779" w:rsidRDefault="0094644B" w:rsidP="00FB5086">
            <w:pPr>
              <w:rPr>
                <w:sz w:val="20"/>
                <w:szCs w:val="20"/>
              </w:rPr>
            </w:pPr>
            <w:r w:rsidRPr="00FA3F57">
              <w:rPr>
                <w:sz w:val="20"/>
                <w:szCs w:val="20"/>
              </w:rPr>
              <w:t>Year of project funding start</w:t>
            </w:r>
          </w:p>
        </w:tc>
        <w:tc>
          <w:tcPr>
            <w:tcW w:w="5667" w:type="dxa"/>
            <w:tcBorders>
              <w:top w:val="single" w:sz="4" w:space="0" w:color="auto"/>
              <w:left w:val="single" w:sz="4" w:space="0" w:color="auto"/>
              <w:bottom w:val="single" w:sz="4" w:space="0" w:color="auto"/>
              <w:right w:val="single" w:sz="4" w:space="0" w:color="auto"/>
            </w:tcBorders>
            <w:hideMark/>
          </w:tcPr>
          <w:p w14:paraId="5E5DE966" w14:textId="77777777" w:rsidR="0094644B" w:rsidRPr="00F07779" w:rsidRDefault="0094644B" w:rsidP="00FB5086">
            <w:pPr>
              <w:rPr>
                <w:sz w:val="20"/>
                <w:szCs w:val="20"/>
              </w:rPr>
            </w:pPr>
            <w:r w:rsidRPr="00F07779">
              <w:rPr>
                <w:sz w:val="20"/>
                <w:szCs w:val="20"/>
              </w:rPr>
              <w:t xml:space="preserve">2016. </w:t>
            </w:r>
          </w:p>
        </w:tc>
      </w:tr>
      <w:tr w:rsidR="0094644B" w:rsidRPr="00F07779" w14:paraId="448D6AAB"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652EAE1F" w14:textId="77777777" w:rsidR="0094644B" w:rsidRPr="00F07779" w:rsidRDefault="0094644B" w:rsidP="00FB5086">
            <w:pPr>
              <w:rPr>
                <w:sz w:val="20"/>
                <w:szCs w:val="20"/>
              </w:rPr>
            </w:pPr>
            <w:r w:rsidRPr="00FA3F57">
              <w:rPr>
                <w:sz w:val="20"/>
                <w:szCs w:val="20"/>
              </w:rPr>
              <w:t>Year of completion of project funding</w:t>
            </w:r>
          </w:p>
        </w:tc>
        <w:tc>
          <w:tcPr>
            <w:tcW w:w="5667" w:type="dxa"/>
            <w:tcBorders>
              <w:top w:val="single" w:sz="4" w:space="0" w:color="auto"/>
              <w:left w:val="single" w:sz="4" w:space="0" w:color="auto"/>
              <w:bottom w:val="single" w:sz="4" w:space="0" w:color="auto"/>
              <w:right w:val="single" w:sz="4" w:space="0" w:color="auto"/>
            </w:tcBorders>
            <w:hideMark/>
          </w:tcPr>
          <w:p w14:paraId="4ADABCE5" w14:textId="77777777" w:rsidR="0094644B" w:rsidRPr="00FA3F57" w:rsidRDefault="0094644B" w:rsidP="00FB5086">
            <w:pPr>
              <w:rPr>
                <w:sz w:val="20"/>
                <w:szCs w:val="20"/>
              </w:rPr>
            </w:pPr>
            <w:r w:rsidRPr="00FA3F57">
              <w:rPr>
                <w:sz w:val="20"/>
                <w:szCs w:val="20"/>
              </w:rPr>
              <w:t xml:space="preserve">2025 (electrical part)/2028 (construction part) </w:t>
            </w:r>
          </w:p>
        </w:tc>
      </w:tr>
      <w:tr w:rsidR="0094644B" w:rsidRPr="00F07779" w14:paraId="0D571D4E"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0041F4EC" w14:textId="77777777" w:rsidR="0094644B" w:rsidRPr="00F07779" w:rsidRDefault="0094644B" w:rsidP="00FB5086">
            <w:pPr>
              <w:rPr>
                <w:sz w:val="20"/>
                <w:szCs w:val="20"/>
              </w:rPr>
            </w:pPr>
            <w:r w:rsidRPr="00FA3F57">
              <w:rPr>
                <w:sz w:val="20"/>
                <w:szCs w:val="20"/>
              </w:rPr>
              <w:t>Total project value</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7D5DAA31" w14:textId="77777777" w:rsidR="0094644B" w:rsidRPr="00FA3F57" w:rsidRDefault="0094644B" w:rsidP="00FB5086">
            <w:pPr>
              <w:rPr>
                <w:sz w:val="20"/>
                <w:szCs w:val="20"/>
              </w:rPr>
            </w:pPr>
            <w:r w:rsidRPr="00FA3F57">
              <w:rPr>
                <w:sz w:val="20"/>
                <w:szCs w:val="20"/>
              </w:rPr>
              <w:t xml:space="preserve">1,571,150 (13.4 million EUR) </w:t>
            </w:r>
          </w:p>
        </w:tc>
      </w:tr>
      <w:tr w:rsidR="0094644B" w:rsidRPr="00F07779" w14:paraId="54382370"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620BF2CE" w14:textId="77777777" w:rsidR="0094644B" w:rsidRPr="00F07779" w:rsidRDefault="0094644B" w:rsidP="00FB5086">
            <w:pPr>
              <w:rPr>
                <w:sz w:val="20"/>
                <w:szCs w:val="20"/>
              </w:rPr>
            </w:pPr>
            <w:r w:rsidRPr="00FA3F57">
              <w:rPr>
                <w:sz w:val="20"/>
                <w:szCs w:val="20"/>
              </w:rPr>
              <w:t>Planned investments for 2026.</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7F6EAEE2" w14:textId="77777777" w:rsidR="0094644B" w:rsidRPr="00FA3F57" w:rsidRDefault="0094644B" w:rsidP="00FB5086">
            <w:pPr>
              <w:rPr>
                <w:sz w:val="20"/>
                <w:szCs w:val="20"/>
              </w:rPr>
            </w:pPr>
            <w:r w:rsidRPr="00FA3F57">
              <w:rPr>
                <w:sz w:val="20"/>
                <w:szCs w:val="20"/>
              </w:rPr>
              <w:t xml:space="preserve">302,974 </w:t>
            </w:r>
            <w:r w:rsidRPr="00F07779">
              <w:rPr>
                <w:sz w:val="20"/>
                <w:szCs w:val="20"/>
              </w:rPr>
              <w:t>(own funds of EMS JSC)</w:t>
            </w:r>
          </w:p>
        </w:tc>
      </w:tr>
      <w:tr w:rsidR="0094644B" w:rsidRPr="00F07779" w14:paraId="37EA43F9"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08B46BF6" w14:textId="77777777" w:rsidR="0094644B" w:rsidRPr="00F07779" w:rsidRDefault="0094644B" w:rsidP="00FB5086">
            <w:pPr>
              <w:rPr>
                <w:sz w:val="20"/>
                <w:szCs w:val="20"/>
              </w:rPr>
            </w:pPr>
            <w:r w:rsidRPr="00FA3F57">
              <w:rPr>
                <w:sz w:val="20"/>
                <w:szCs w:val="20"/>
              </w:rPr>
              <w:t>Planned investments for 2027.</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0C9E81E7" w14:textId="77777777" w:rsidR="0094644B" w:rsidRPr="00FA3F57" w:rsidRDefault="0094644B" w:rsidP="00FB5086">
            <w:pPr>
              <w:rPr>
                <w:sz w:val="20"/>
                <w:szCs w:val="20"/>
              </w:rPr>
            </w:pPr>
            <w:r w:rsidRPr="00FA3F57">
              <w:rPr>
                <w:sz w:val="20"/>
                <w:szCs w:val="20"/>
              </w:rPr>
              <w:t xml:space="preserve">139,528 </w:t>
            </w:r>
            <w:r w:rsidRPr="00F07779">
              <w:rPr>
                <w:sz w:val="20"/>
                <w:szCs w:val="20"/>
              </w:rPr>
              <w:t>(own funds of EMS JSC)</w:t>
            </w:r>
          </w:p>
        </w:tc>
      </w:tr>
      <w:tr w:rsidR="0094644B" w:rsidRPr="00F07779" w14:paraId="111845F9"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313E851E" w14:textId="77777777" w:rsidR="0094644B" w:rsidRPr="00F07779" w:rsidRDefault="0094644B" w:rsidP="00FB5086">
            <w:pPr>
              <w:rPr>
                <w:sz w:val="20"/>
                <w:szCs w:val="20"/>
              </w:rPr>
            </w:pPr>
            <w:r w:rsidRPr="00FA3F57">
              <w:rPr>
                <w:sz w:val="20"/>
                <w:szCs w:val="20"/>
              </w:rPr>
              <w:t>Planned investments for 2028.</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4685ABAF" w14:textId="77777777" w:rsidR="0094644B" w:rsidRPr="00FA3F57" w:rsidRDefault="0094644B" w:rsidP="00FB5086">
            <w:pPr>
              <w:rPr>
                <w:sz w:val="20"/>
                <w:szCs w:val="20"/>
              </w:rPr>
            </w:pPr>
            <w:r w:rsidRPr="00FA3F57">
              <w:rPr>
                <w:sz w:val="20"/>
                <w:szCs w:val="20"/>
              </w:rPr>
              <w:t xml:space="preserve">17,119 </w:t>
            </w:r>
            <w:r w:rsidRPr="00F07779">
              <w:rPr>
                <w:sz w:val="20"/>
                <w:szCs w:val="20"/>
              </w:rPr>
              <w:t>(own funds of EMS JSC)</w:t>
            </w:r>
          </w:p>
        </w:tc>
      </w:tr>
    </w:tbl>
    <w:p w14:paraId="6B411C6C" w14:textId="77777777" w:rsidR="0094644B" w:rsidRPr="00F07779" w:rsidRDefault="0094644B" w:rsidP="0094644B">
      <w:pPr>
        <w:tabs>
          <w:tab w:val="left" w:pos="1276"/>
          <w:tab w:val="left" w:pos="1560"/>
        </w:tabs>
        <w:ind w:left="1440" w:hanging="1440"/>
      </w:pPr>
    </w:p>
    <w:tbl>
      <w:tblPr>
        <w:tblStyle w:val="TableGrid"/>
        <w:tblW w:w="0" w:type="auto"/>
        <w:tblLook w:val="04A0" w:firstRow="1" w:lastRow="0" w:firstColumn="1" w:lastColumn="0" w:noHBand="0" w:noVBand="1"/>
      </w:tblPr>
      <w:tblGrid>
        <w:gridCol w:w="2973"/>
        <w:gridCol w:w="5667"/>
      </w:tblGrid>
      <w:tr w:rsidR="0094644B" w:rsidRPr="00F07779" w14:paraId="059F704A"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BEC5990" w14:textId="77777777" w:rsidR="0094644B" w:rsidRPr="00F07779" w:rsidRDefault="0094644B" w:rsidP="00FB5086">
            <w:pPr>
              <w:rPr>
                <w:sz w:val="20"/>
                <w:szCs w:val="20"/>
              </w:rPr>
            </w:pPr>
            <w:r w:rsidRPr="00F07779">
              <w:rPr>
                <w:sz w:val="20"/>
                <w:szCs w:val="20"/>
              </w:rPr>
              <w:t>Activity EL1.2</w:t>
            </w:r>
          </w:p>
        </w:tc>
        <w:tc>
          <w:tcPr>
            <w:tcW w:w="566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534CCBD" w14:textId="77777777" w:rsidR="0094644B" w:rsidRPr="00F07779" w:rsidRDefault="0094644B" w:rsidP="00FB5086">
            <w:pPr>
              <w:rPr>
                <w:sz w:val="20"/>
                <w:szCs w:val="20"/>
              </w:rPr>
            </w:pPr>
            <w:r w:rsidRPr="00F07779">
              <w:rPr>
                <w:sz w:val="20"/>
                <w:szCs w:val="20"/>
              </w:rPr>
              <w:t>Investment projects focused on the reconstruction and construction of the transmission network</w:t>
            </w:r>
          </w:p>
        </w:tc>
      </w:tr>
      <w:tr w:rsidR="0094644B" w:rsidRPr="00F07779" w14:paraId="5844D58D"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50A383A6" w14:textId="77777777" w:rsidR="0094644B" w:rsidRPr="00F07779" w:rsidRDefault="0094644B" w:rsidP="00FB5086">
            <w:pPr>
              <w:rPr>
                <w:sz w:val="20"/>
                <w:szCs w:val="20"/>
              </w:rPr>
            </w:pPr>
            <w:r w:rsidRPr="00FA3F57">
              <w:rPr>
                <w:sz w:val="20"/>
                <w:szCs w:val="20"/>
              </w:rPr>
              <w:t>Name of the project</w:t>
            </w:r>
          </w:p>
        </w:tc>
        <w:tc>
          <w:tcPr>
            <w:tcW w:w="5667"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2BFE5D0F" w14:textId="77777777" w:rsidR="0094644B" w:rsidRPr="00F07779" w:rsidRDefault="0094644B" w:rsidP="00FB5086">
            <w:pPr>
              <w:rPr>
                <w:sz w:val="20"/>
                <w:szCs w:val="20"/>
              </w:rPr>
            </w:pPr>
            <w:r w:rsidRPr="00F07779">
              <w:rPr>
                <w:sz w:val="20"/>
                <w:szCs w:val="20"/>
              </w:rPr>
              <w:t xml:space="preserve">Reconstruction of TS 400/220/110 kV </w:t>
            </w:r>
            <w:proofErr w:type="spellStart"/>
            <w:r w:rsidRPr="00F07779">
              <w:rPr>
                <w:sz w:val="20"/>
                <w:szCs w:val="20"/>
              </w:rPr>
              <w:t>Pančevo</w:t>
            </w:r>
            <w:proofErr w:type="spellEnd"/>
            <w:r w:rsidRPr="00F07779">
              <w:rPr>
                <w:sz w:val="20"/>
                <w:szCs w:val="20"/>
              </w:rPr>
              <w:t xml:space="preserve"> 2</w:t>
            </w:r>
          </w:p>
        </w:tc>
      </w:tr>
      <w:tr w:rsidR="0094644B" w:rsidRPr="00F07779" w14:paraId="2AA03494"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3C1588A" w14:textId="77777777" w:rsidR="0094644B" w:rsidRPr="00F07779" w:rsidRDefault="0094644B" w:rsidP="00FB5086">
            <w:pPr>
              <w:rPr>
                <w:sz w:val="20"/>
                <w:szCs w:val="20"/>
              </w:rPr>
            </w:pPr>
            <w:r w:rsidRPr="00FA3F57">
              <w:rPr>
                <w:sz w:val="20"/>
                <w:szCs w:val="20"/>
              </w:rPr>
              <w:t xml:space="preserve">Name of the </w:t>
            </w:r>
            <w:r w:rsidRPr="00F07779">
              <w:rPr>
                <w:sz w:val="20"/>
                <w:szCs w:val="20"/>
              </w:rPr>
              <w:t>investment</w:t>
            </w:r>
          </w:p>
        </w:tc>
        <w:tc>
          <w:tcPr>
            <w:tcW w:w="566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B6E8991" w14:textId="77777777" w:rsidR="0094644B" w:rsidRPr="00F07779" w:rsidRDefault="0094644B" w:rsidP="00FB5086">
            <w:pPr>
              <w:rPr>
                <w:sz w:val="20"/>
                <w:szCs w:val="20"/>
              </w:rPr>
            </w:pPr>
            <w:r w:rsidRPr="00F07779">
              <w:rPr>
                <w:sz w:val="20"/>
                <w:szCs w:val="20"/>
              </w:rPr>
              <w:t xml:space="preserve">TS 400/220/110 kV </w:t>
            </w:r>
            <w:proofErr w:type="spellStart"/>
            <w:r w:rsidRPr="00F07779">
              <w:rPr>
                <w:sz w:val="20"/>
                <w:szCs w:val="20"/>
              </w:rPr>
              <w:t>Pančevo</w:t>
            </w:r>
            <w:proofErr w:type="spellEnd"/>
            <w:r w:rsidRPr="00F07779">
              <w:rPr>
                <w:sz w:val="20"/>
                <w:szCs w:val="20"/>
              </w:rPr>
              <w:t xml:space="preserve"> 2, reconstruction</w:t>
            </w:r>
          </w:p>
        </w:tc>
      </w:tr>
      <w:tr w:rsidR="0094644B" w:rsidRPr="00F07779" w14:paraId="48D4F9FD"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5F0DCE62" w14:textId="77777777" w:rsidR="0094644B" w:rsidRPr="00F07779" w:rsidRDefault="0094644B" w:rsidP="00FB5086">
            <w:pPr>
              <w:rPr>
                <w:sz w:val="20"/>
                <w:szCs w:val="20"/>
              </w:rPr>
            </w:pPr>
            <w:r w:rsidRPr="00FA3F57">
              <w:rPr>
                <w:sz w:val="20"/>
                <w:szCs w:val="20"/>
              </w:rPr>
              <w:t>Short description of the investment</w:t>
            </w:r>
          </w:p>
        </w:tc>
        <w:tc>
          <w:tcPr>
            <w:tcW w:w="5667" w:type="dxa"/>
            <w:tcBorders>
              <w:top w:val="single" w:sz="4" w:space="0" w:color="auto"/>
              <w:left w:val="single" w:sz="4" w:space="0" w:color="auto"/>
              <w:bottom w:val="single" w:sz="4" w:space="0" w:color="auto"/>
              <w:right w:val="single" w:sz="4" w:space="0" w:color="auto"/>
            </w:tcBorders>
            <w:hideMark/>
          </w:tcPr>
          <w:p w14:paraId="2FB35D6B" w14:textId="77777777" w:rsidR="0094644B" w:rsidRPr="00F07779" w:rsidRDefault="0094644B" w:rsidP="00FB5086">
            <w:pPr>
              <w:rPr>
                <w:sz w:val="20"/>
                <w:szCs w:val="20"/>
              </w:rPr>
            </w:pPr>
            <w:r w:rsidRPr="00F07779">
              <w:rPr>
                <w:sz w:val="20"/>
                <w:szCs w:val="20"/>
              </w:rPr>
              <w:t>Replacement of equipment in 5 bays of the 400 kV plant, in all 3 bays of the 220 kV plant, and in 7 bays of the 110 kV plant. Reconstruction of the self-consumption plant, protection, management, and measurement systems, as well as all other necessary works in the plant, is also planned.</w:t>
            </w:r>
          </w:p>
          <w:p w14:paraId="0F13A738" w14:textId="77777777" w:rsidR="0094644B" w:rsidRPr="00F07779" w:rsidRDefault="0094644B" w:rsidP="00FB5086">
            <w:pPr>
              <w:rPr>
                <w:sz w:val="20"/>
                <w:szCs w:val="20"/>
              </w:rPr>
            </w:pPr>
            <w:r w:rsidRPr="00F07779">
              <w:rPr>
                <w:sz w:val="20"/>
                <w:szCs w:val="20"/>
              </w:rPr>
              <w:t>Expected dynamics of project implementation:</w:t>
            </w:r>
          </w:p>
          <w:p w14:paraId="0002BE8E" w14:textId="77777777" w:rsidR="0094644B" w:rsidRPr="00F07779" w:rsidRDefault="0094644B" w:rsidP="00FB5086">
            <w:pPr>
              <w:rPr>
                <w:sz w:val="20"/>
                <w:szCs w:val="20"/>
              </w:rPr>
            </w:pPr>
            <w:r w:rsidRPr="00F07779">
              <w:rPr>
                <w:sz w:val="20"/>
                <w:szCs w:val="20"/>
              </w:rPr>
              <w:t>2026. Construction</w:t>
            </w:r>
          </w:p>
          <w:p w14:paraId="0454EB56" w14:textId="77777777" w:rsidR="0094644B" w:rsidRPr="00F07779" w:rsidRDefault="0094644B" w:rsidP="00FB5086">
            <w:pPr>
              <w:rPr>
                <w:sz w:val="20"/>
                <w:szCs w:val="20"/>
              </w:rPr>
            </w:pPr>
            <w:r w:rsidRPr="00F07779">
              <w:rPr>
                <w:sz w:val="20"/>
                <w:szCs w:val="20"/>
              </w:rPr>
              <w:t>2027. Use permit; end of project</w:t>
            </w:r>
          </w:p>
        </w:tc>
      </w:tr>
      <w:tr w:rsidR="0094644B" w:rsidRPr="00F07779" w14:paraId="0C7B65D6"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2D874BFB" w14:textId="77777777" w:rsidR="0094644B" w:rsidRPr="00F07779" w:rsidRDefault="0094644B" w:rsidP="00FB5086">
            <w:pPr>
              <w:rPr>
                <w:sz w:val="20"/>
                <w:szCs w:val="20"/>
              </w:rPr>
            </w:pPr>
            <w:r w:rsidRPr="00FA3F57">
              <w:rPr>
                <w:sz w:val="20"/>
                <w:szCs w:val="20"/>
              </w:rPr>
              <w:t>Institutions responsible for the implementation of measures and activities</w:t>
            </w:r>
          </w:p>
        </w:tc>
        <w:tc>
          <w:tcPr>
            <w:tcW w:w="5667" w:type="dxa"/>
            <w:tcBorders>
              <w:top w:val="single" w:sz="4" w:space="0" w:color="auto"/>
              <w:left w:val="single" w:sz="4" w:space="0" w:color="auto"/>
              <w:bottom w:val="single" w:sz="4" w:space="0" w:color="auto"/>
              <w:right w:val="single" w:sz="4" w:space="0" w:color="auto"/>
            </w:tcBorders>
            <w:hideMark/>
          </w:tcPr>
          <w:p w14:paraId="3A7A9A3A" w14:textId="77777777" w:rsidR="0094644B" w:rsidRPr="00F07779" w:rsidRDefault="0094644B" w:rsidP="00FB5086">
            <w:pPr>
              <w:rPr>
                <w:sz w:val="20"/>
                <w:szCs w:val="20"/>
              </w:rPr>
            </w:pPr>
            <w:r w:rsidRPr="00FA3F57">
              <w:rPr>
                <w:sz w:val="20"/>
                <w:szCs w:val="20"/>
              </w:rPr>
              <w:t>EMS JSC Belgrade</w:t>
            </w:r>
          </w:p>
        </w:tc>
      </w:tr>
      <w:tr w:rsidR="0094644B" w:rsidRPr="00F07779" w14:paraId="7E059F6A"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74FE7025" w14:textId="77777777" w:rsidR="0094644B" w:rsidRPr="00F07779" w:rsidRDefault="0094644B" w:rsidP="00FB5086">
            <w:pPr>
              <w:rPr>
                <w:sz w:val="20"/>
                <w:szCs w:val="20"/>
              </w:rPr>
            </w:pPr>
            <w:r w:rsidRPr="00FA3F57">
              <w:rPr>
                <w:sz w:val="20"/>
                <w:szCs w:val="20"/>
              </w:rPr>
              <w:t>Institutions responsible for monitoring implementation and reporting on the realization</w:t>
            </w:r>
          </w:p>
        </w:tc>
        <w:tc>
          <w:tcPr>
            <w:tcW w:w="5667" w:type="dxa"/>
            <w:tcBorders>
              <w:top w:val="single" w:sz="4" w:space="0" w:color="auto"/>
              <w:left w:val="single" w:sz="4" w:space="0" w:color="auto"/>
              <w:bottom w:val="single" w:sz="4" w:space="0" w:color="auto"/>
              <w:right w:val="single" w:sz="4" w:space="0" w:color="auto"/>
            </w:tcBorders>
            <w:hideMark/>
          </w:tcPr>
          <w:p w14:paraId="60213E7D" w14:textId="77777777" w:rsidR="0094644B" w:rsidRPr="00F07779" w:rsidRDefault="0094644B" w:rsidP="00FB5086">
            <w:pPr>
              <w:rPr>
                <w:sz w:val="20"/>
                <w:szCs w:val="20"/>
              </w:rPr>
            </w:pPr>
            <w:r w:rsidRPr="00FA3F57">
              <w:rPr>
                <w:sz w:val="20"/>
                <w:szCs w:val="20"/>
              </w:rPr>
              <w:t>EMS JSC Belgrade</w:t>
            </w:r>
          </w:p>
          <w:p w14:paraId="766735C5" w14:textId="77777777" w:rsidR="0094644B" w:rsidRPr="00FA3F57" w:rsidRDefault="0094644B" w:rsidP="00FB5086">
            <w:pPr>
              <w:rPr>
                <w:sz w:val="20"/>
                <w:szCs w:val="20"/>
              </w:rPr>
            </w:pPr>
            <w:r w:rsidRPr="00FA3F57">
              <w:rPr>
                <w:sz w:val="20"/>
                <w:szCs w:val="20"/>
              </w:rPr>
              <w:t>Republic Commission for Energy Networks</w:t>
            </w:r>
          </w:p>
          <w:p w14:paraId="7086CA23" w14:textId="77777777" w:rsidR="0094644B" w:rsidRPr="00F07779" w:rsidRDefault="0094644B" w:rsidP="00FB5086">
            <w:pPr>
              <w:rPr>
                <w:sz w:val="20"/>
                <w:szCs w:val="20"/>
              </w:rPr>
            </w:pPr>
            <w:r w:rsidRPr="00F07779">
              <w:rPr>
                <w:sz w:val="20"/>
                <w:szCs w:val="20"/>
              </w:rPr>
              <w:t>Ministry of Mining and Energy</w:t>
            </w:r>
          </w:p>
        </w:tc>
      </w:tr>
      <w:tr w:rsidR="0094644B" w:rsidRPr="00F07779" w14:paraId="0404FDE6"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38C1ABB5" w14:textId="77777777" w:rsidR="0094644B" w:rsidRPr="00F07779" w:rsidRDefault="0094644B" w:rsidP="00FB5086">
            <w:pPr>
              <w:rPr>
                <w:sz w:val="20"/>
                <w:szCs w:val="20"/>
              </w:rPr>
            </w:pPr>
            <w:r w:rsidRPr="00FA3F57">
              <w:rPr>
                <w:sz w:val="20"/>
                <w:szCs w:val="20"/>
              </w:rPr>
              <w:t>Year of project funding start</w:t>
            </w:r>
          </w:p>
        </w:tc>
        <w:tc>
          <w:tcPr>
            <w:tcW w:w="5667" w:type="dxa"/>
            <w:tcBorders>
              <w:top w:val="single" w:sz="4" w:space="0" w:color="auto"/>
              <w:left w:val="single" w:sz="4" w:space="0" w:color="auto"/>
              <w:bottom w:val="single" w:sz="4" w:space="0" w:color="auto"/>
              <w:right w:val="single" w:sz="4" w:space="0" w:color="auto"/>
            </w:tcBorders>
            <w:hideMark/>
          </w:tcPr>
          <w:p w14:paraId="78E4FE84" w14:textId="77777777" w:rsidR="0094644B" w:rsidRPr="00F07779" w:rsidRDefault="0094644B" w:rsidP="00FB5086">
            <w:pPr>
              <w:rPr>
                <w:sz w:val="20"/>
                <w:szCs w:val="20"/>
              </w:rPr>
            </w:pPr>
            <w:r w:rsidRPr="00F07779">
              <w:rPr>
                <w:sz w:val="20"/>
                <w:szCs w:val="20"/>
              </w:rPr>
              <w:t xml:space="preserve">2015. </w:t>
            </w:r>
          </w:p>
        </w:tc>
      </w:tr>
      <w:tr w:rsidR="0094644B" w:rsidRPr="00F07779" w14:paraId="792A9A29"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4E8D226B" w14:textId="77777777" w:rsidR="0094644B" w:rsidRPr="00F07779" w:rsidRDefault="0094644B" w:rsidP="00FB5086">
            <w:pPr>
              <w:rPr>
                <w:sz w:val="20"/>
                <w:szCs w:val="20"/>
              </w:rPr>
            </w:pPr>
            <w:r w:rsidRPr="00FA3F57">
              <w:rPr>
                <w:sz w:val="20"/>
                <w:szCs w:val="20"/>
              </w:rPr>
              <w:t>Year of completion of project funding</w:t>
            </w:r>
          </w:p>
        </w:tc>
        <w:tc>
          <w:tcPr>
            <w:tcW w:w="5667" w:type="dxa"/>
            <w:tcBorders>
              <w:top w:val="single" w:sz="4" w:space="0" w:color="auto"/>
              <w:left w:val="single" w:sz="4" w:space="0" w:color="auto"/>
              <w:bottom w:val="single" w:sz="4" w:space="0" w:color="auto"/>
              <w:right w:val="single" w:sz="4" w:space="0" w:color="auto"/>
            </w:tcBorders>
            <w:hideMark/>
          </w:tcPr>
          <w:p w14:paraId="176E2FC0" w14:textId="77777777" w:rsidR="0094644B" w:rsidRPr="00FA3F57" w:rsidRDefault="0094644B" w:rsidP="00FB5086">
            <w:pPr>
              <w:rPr>
                <w:sz w:val="20"/>
                <w:szCs w:val="20"/>
              </w:rPr>
            </w:pPr>
            <w:r w:rsidRPr="00FA3F57">
              <w:rPr>
                <w:sz w:val="20"/>
                <w:szCs w:val="20"/>
              </w:rPr>
              <w:t>2025 (electrical part)/2026 (construction part)</w:t>
            </w:r>
          </w:p>
        </w:tc>
      </w:tr>
      <w:tr w:rsidR="0094644B" w:rsidRPr="00F07779" w14:paraId="22CF8E86"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726906AF" w14:textId="77777777" w:rsidR="0094644B" w:rsidRPr="00F07779" w:rsidRDefault="0094644B" w:rsidP="00FB5086">
            <w:pPr>
              <w:rPr>
                <w:sz w:val="20"/>
                <w:szCs w:val="20"/>
              </w:rPr>
            </w:pPr>
            <w:r w:rsidRPr="00FA3F57">
              <w:rPr>
                <w:sz w:val="20"/>
                <w:szCs w:val="20"/>
              </w:rPr>
              <w:t>Total project value</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42326814" w14:textId="77777777" w:rsidR="0094644B" w:rsidRPr="00FA3F57" w:rsidRDefault="0094644B" w:rsidP="00FB5086">
            <w:pPr>
              <w:rPr>
                <w:sz w:val="20"/>
                <w:szCs w:val="20"/>
              </w:rPr>
            </w:pPr>
            <w:r w:rsidRPr="00FA3F57">
              <w:rPr>
                <w:sz w:val="20"/>
                <w:szCs w:val="20"/>
              </w:rPr>
              <w:t>1,324,925 (11.3 million EUR)</w:t>
            </w:r>
          </w:p>
        </w:tc>
      </w:tr>
      <w:tr w:rsidR="0094644B" w:rsidRPr="00F07779" w14:paraId="156BC6D8"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0F9B7A8E" w14:textId="77777777" w:rsidR="0094644B" w:rsidRPr="00F07779" w:rsidRDefault="0094644B" w:rsidP="00FB5086">
            <w:pPr>
              <w:rPr>
                <w:sz w:val="20"/>
                <w:szCs w:val="20"/>
              </w:rPr>
            </w:pPr>
            <w:r w:rsidRPr="00FA3F57">
              <w:rPr>
                <w:sz w:val="20"/>
                <w:szCs w:val="20"/>
              </w:rPr>
              <w:lastRenderedPageBreak/>
              <w:t>Planned investments for 2026.</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5AB96530" w14:textId="77777777" w:rsidR="0094644B" w:rsidRPr="00F07779" w:rsidRDefault="0094644B" w:rsidP="00FB5086">
            <w:pPr>
              <w:rPr>
                <w:sz w:val="20"/>
                <w:szCs w:val="20"/>
              </w:rPr>
            </w:pPr>
            <w:r w:rsidRPr="00F07779">
              <w:rPr>
                <w:sz w:val="20"/>
                <w:szCs w:val="20"/>
              </w:rPr>
              <w:t>158,673 (own funds of EMS JSC)</w:t>
            </w:r>
          </w:p>
        </w:tc>
      </w:tr>
      <w:tr w:rsidR="0094644B" w:rsidRPr="00F07779" w14:paraId="3FEC8D94"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62B80F3A" w14:textId="77777777" w:rsidR="0094644B" w:rsidRPr="00F07779" w:rsidRDefault="0094644B" w:rsidP="00FB5086">
            <w:pPr>
              <w:rPr>
                <w:sz w:val="20"/>
                <w:szCs w:val="20"/>
              </w:rPr>
            </w:pPr>
            <w:r w:rsidRPr="00FA3F57">
              <w:rPr>
                <w:sz w:val="20"/>
                <w:szCs w:val="20"/>
              </w:rPr>
              <w:t>Planned investments for 2027.</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4A2D1E34" w14:textId="77777777" w:rsidR="0094644B" w:rsidRPr="00F07779" w:rsidRDefault="0094644B" w:rsidP="00FB5086">
            <w:pPr>
              <w:rPr>
                <w:sz w:val="20"/>
                <w:szCs w:val="20"/>
              </w:rPr>
            </w:pPr>
            <w:r w:rsidRPr="00F07779">
              <w:rPr>
                <w:sz w:val="20"/>
                <w:szCs w:val="20"/>
              </w:rPr>
              <w:t xml:space="preserve">0 </w:t>
            </w:r>
          </w:p>
        </w:tc>
      </w:tr>
      <w:tr w:rsidR="0094644B" w:rsidRPr="00F07779" w14:paraId="7BA2F107"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710034B0" w14:textId="77777777" w:rsidR="0094644B" w:rsidRPr="00F07779" w:rsidRDefault="0094644B" w:rsidP="00FB5086">
            <w:pPr>
              <w:rPr>
                <w:sz w:val="20"/>
                <w:szCs w:val="20"/>
              </w:rPr>
            </w:pPr>
            <w:r w:rsidRPr="00FA3F57">
              <w:rPr>
                <w:sz w:val="20"/>
                <w:szCs w:val="20"/>
              </w:rPr>
              <w:t>Planned investments for 2028.</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2FF2408B" w14:textId="77777777" w:rsidR="0094644B" w:rsidRPr="00F07779" w:rsidRDefault="0094644B" w:rsidP="00FB5086">
            <w:pPr>
              <w:rPr>
                <w:sz w:val="20"/>
                <w:szCs w:val="20"/>
              </w:rPr>
            </w:pPr>
            <w:r w:rsidRPr="00F07779">
              <w:rPr>
                <w:sz w:val="20"/>
                <w:szCs w:val="20"/>
              </w:rPr>
              <w:t>0</w:t>
            </w:r>
          </w:p>
        </w:tc>
      </w:tr>
    </w:tbl>
    <w:p w14:paraId="3505A642" w14:textId="77777777" w:rsidR="0094644B" w:rsidRPr="00F07779" w:rsidRDefault="0094644B" w:rsidP="0094644B">
      <w:pPr>
        <w:tabs>
          <w:tab w:val="left" w:pos="1276"/>
          <w:tab w:val="left" w:pos="1560"/>
        </w:tabs>
        <w:ind w:left="1440" w:hanging="1440"/>
      </w:pPr>
    </w:p>
    <w:tbl>
      <w:tblPr>
        <w:tblStyle w:val="TableGrid"/>
        <w:tblW w:w="0" w:type="auto"/>
        <w:tblLook w:val="04A0" w:firstRow="1" w:lastRow="0" w:firstColumn="1" w:lastColumn="0" w:noHBand="0" w:noVBand="1"/>
      </w:tblPr>
      <w:tblGrid>
        <w:gridCol w:w="2973"/>
        <w:gridCol w:w="5667"/>
      </w:tblGrid>
      <w:tr w:rsidR="0094644B" w:rsidRPr="00F07779" w14:paraId="6F2899F9"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4C8109D" w14:textId="77777777" w:rsidR="0094644B" w:rsidRPr="00F07779" w:rsidRDefault="0094644B" w:rsidP="00FB5086">
            <w:pPr>
              <w:rPr>
                <w:sz w:val="20"/>
                <w:szCs w:val="20"/>
              </w:rPr>
            </w:pPr>
            <w:r w:rsidRPr="00F07779">
              <w:rPr>
                <w:sz w:val="20"/>
                <w:szCs w:val="20"/>
              </w:rPr>
              <w:t>Activity EL1.2</w:t>
            </w:r>
          </w:p>
        </w:tc>
        <w:tc>
          <w:tcPr>
            <w:tcW w:w="566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A321A51" w14:textId="77777777" w:rsidR="0094644B" w:rsidRPr="00F07779" w:rsidRDefault="0094644B" w:rsidP="00FB5086">
            <w:pPr>
              <w:rPr>
                <w:sz w:val="20"/>
                <w:szCs w:val="20"/>
              </w:rPr>
            </w:pPr>
            <w:r w:rsidRPr="00F07779">
              <w:rPr>
                <w:sz w:val="20"/>
                <w:szCs w:val="20"/>
              </w:rPr>
              <w:t>Investment projects focused on the reconstruction and construction of the transmission network</w:t>
            </w:r>
          </w:p>
        </w:tc>
      </w:tr>
      <w:tr w:rsidR="0094644B" w:rsidRPr="00F07779" w14:paraId="44246544"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03A7CBBD" w14:textId="77777777" w:rsidR="0094644B" w:rsidRPr="00F07779" w:rsidRDefault="0094644B" w:rsidP="00FB5086">
            <w:pPr>
              <w:rPr>
                <w:sz w:val="20"/>
                <w:szCs w:val="20"/>
              </w:rPr>
            </w:pPr>
            <w:r w:rsidRPr="00FA3F57">
              <w:rPr>
                <w:sz w:val="20"/>
                <w:szCs w:val="20"/>
              </w:rPr>
              <w:t>Name of the project</w:t>
            </w:r>
          </w:p>
        </w:tc>
        <w:tc>
          <w:tcPr>
            <w:tcW w:w="5667"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573FC2E3" w14:textId="77777777" w:rsidR="0094644B" w:rsidRPr="00F07779" w:rsidRDefault="0094644B" w:rsidP="00FB5086">
            <w:pPr>
              <w:rPr>
                <w:sz w:val="20"/>
                <w:szCs w:val="20"/>
              </w:rPr>
            </w:pPr>
            <w:r w:rsidRPr="00F07779">
              <w:rPr>
                <w:sz w:val="20"/>
                <w:szCs w:val="20"/>
              </w:rPr>
              <w:t xml:space="preserve">Reconstruction of SS 400 kV </w:t>
            </w:r>
            <w:proofErr w:type="spellStart"/>
            <w:r w:rsidRPr="00F07779">
              <w:rPr>
                <w:sz w:val="20"/>
                <w:szCs w:val="20"/>
              </w:rPr>
              <w:t>Đerdap</w:t>
            </w:r>
            <w:proofErr w:type="spellEnd"/>
            <w:r w:rsidRPr="00F07779">
              <w:rPr>
                <w:sz w:val="20"/>
                <w:szCs w:val="20"/>
              </w:rPr>
              <w:t xml:space="preserve"> 1</w:t>
            </w:r>
          </w:p>
        </w:tc>
      </w:tr>
      <w:tr w:rsidR="0094644B" w:rsidRPr="00F07779" w14:paraId="3ABC1834"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34DC3A2" w14:textId="77777777" w:rsidR="0094644B" w:rsidRPr="00F07779" w:rsidRDefault="0094644B" w:rsidP="00FB5086">
            <w:pPr>
              <w:rPr>
                <w:sz w:val="20"/>
                <w:szCs w:val="20"/>
              </w:rPr>
            </w:pPr>
            <w:r w:rsidRPr="00FA3F57">
              <w:rPr>
                <w:sz w:val="20"/>
                <w:szCs w:val="20"/>
              </w:rPr>
              <w:t xml:space="preserve">Name of the </w:t>
            </w:r>
            <w:r w:rsidRPr="00F07779">
              <w:rPr>
                <w:sz w:val="20"/>
                <w:szCs w:val="20"/>
              </w:rPr>
              <w:t>investment</w:t>
            </w:r>
          </w:p>
        </w:tc>
        <w:tc>
          <w:tcPr>
            <w:tcW w:w="566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9570734" w14:textId="77777777" w:rsidR="0094644B" w:rsidRPr="00F07779" w:rsidRDefault="0094644B" w:rsidP="00FB5086">
            <w:pPr>
              <w:rPr>
                <w:sz w:val="20"/>
                <w:szCs w:val="20"/>
              </w:rPr>
            </w:pPr>
            <w:r w:rsidRPr="00F07779">
              <w:rPr>
                <w:sz w:val="20"/>
                <w:szCs w:val="20"/>
              </w:rPr>
              <w:t xml:space="preserve">SS 400 kV </w:t>
            </w:r>
            <w:proofErr w:type="spellStart"/>
            <w:r w:rsidRPr="00F07779">
              <w:rPr>
                <w:sz w:val="20"/>
                <w:szCs w:val="20"/>
              </w:rPr>
              <w:t>Đerdap</w:t>
            </w:r>
            <w:proofErr w:type="spellEnd"/>
            <w:r w:rsidRPr="00F07779">
              <w:rPr>
                <w:sz w:val="20"/>
                <w:szCs w:val="20"/>
              </w:rPr>
              <w:t xml:space="preserve"> 1, reconstruction</w:t>
            </w:r>
          </w:p>
        </w:tc>
      </w:tr>
      <w:tr w:rsidR="0094644B" w:rsidRPr="00F07779" w14:paraId="0F4D6882"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5CF95336" w14:textId="77777777" w:rsidR="0094644B" w:rsidRPr="00F07779" w:rsidRDefault="0094644B" w:rsidP="00FB5086">
            <w:pPr>
              <w:rPr>
                <w:sz w:val="20"/>
                <w:szCs w:val="20"/>
              </w:rPr>
            </w:pPr>
            <w:r w:rsidRPr="00FA3F57">
              <w:rPr>
                <w:sz w:val="20"/>
                <w:szCs w:val="20"/>
              </w:rPr>
              <w:t>Short description of the investment</w:t>
            </w:r>
          </w:p>
        </w:tc>
        <w:tc>
          <w:tcPr>
            <w:tcW w:w="5667" w:type="dxa"/>
            <w:tcBorders>
              <w:top w:val="single" w:sz="4" w:space="0" w:color="auto"/>
              <w:left w:val="single" w:sz="4" w:space="0" w:color="auto"/>
              <w:bottom w:val="single" w:sz="4" w:space="0" w:color="auto"/>
              <w:right w:val="single" w:sz="4" w:space="0" w:color="auto"/>
            </w:tcBorders>
            <w:hideMark/>
          </w:tcPr>
          <w:p w14:paraId="63FA3407" w14:textId="77777777" w:rsidR="0094644B" w:rsidRPr="00F07779" w:rsidRDefault="0094644B" w:rsidP="00FB5086">
            <w:pPr>
              <w:rPr>
                <w:sz w:val="20"/>
                <w:szCs w:val="20"/>
              </w:rPr>
            </w:pPr>
            <w:r w:rsidRPr="00F07779">
              <w:rPr>
                <w:sz w:val="20"/>
                <w:szCs w:val="20"/>
              </w:rPr>
              <w:t xml:space="preserve">The reconstruction is being carried out due to the obsolescence of high-voltage equipment and the protection and control systems in the 400 kV bays, where replacement has not yet been performed. Work is also underway regarding a new modular building and auxiliary consumption at HPP </w:t>
            </w:r>
            <w:proofErr w:type="spellStart"/>
            <w:r w:rsidRPr="00F07779">
              <w:rPr>
                <w:sz w:val="20"/>
                <w:szCs w:val="20"/>
              </w:rPr>
              <w:t>Đerdap</w:t>
            </w:r>
            <w:proofErr w:type="spellEnd"/>
            <w:r w:rsidRPr="00F07779">
              <w:rPr>
                <w:sz w:val="20"/>
                <w:szCs w:val="20"/>
              </w:rPr>
              <w:t xml:space="preserve"> 1.</w:t>
            </w:r>
          </w:p>
          <w:p w14:paraId="10AAE296" w14:textId="77777777" w:rsidR="0094644B" w:rsidRPr="00F07779" w:rsidRDefault="0094644B" w:rsidP="00FB5086">
            <w:pPr>
              <w:rPr>
                <w:sz w:val="20"/>
                <w:szCs w:val="20"/>
              </w:rPr>
            </w:pPr>
            <w:r w:rsidRPr="00F07779">
              <w:rPr>
                <w:sz w:val="20"/>
                <w:szCs w:val="20"/>
              </w:rPr>
              <w:t>Expected dynamics of project implementation:</w:t>
            </w:r>
          </w:p>
          <w:p w14:paraId="06C35981" w14:textId="77777777" w:rsidR="0094644B" w:rsidRPr="00F07779" w:rsidRDefault="0094644B" w:rsidP="00FB5086">
            <w:pPr>
              <w:rPr>
                <w:sz w:val="20"/>
                <w:szCs w:val="20"/>
              </w:rPr>
            </w:pPr>
            <w:r w:rsidRPr="00F07779">
              <w:rPr>
                <w:sz w:val="20"/>
                <w:szCs w:val="20"/>
              </w:rPr>
              <w:t>2026. Use permit; end of project</w:t>
            </w:r>
          </w:p>
        </w:tc>
      </w:tr>
      <w:tr w:rsidR="0094644B" w:rsidRPr="00F07779" w14:paraId="01BBB484"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27AEF102" w14:textId="77777777" w:rsidR="0094644B" w:rsidRPr="00F07779" w:rsidRDefault="0094644B" w:rsidP="00FB5086">
            <w:pPr>
              <w:rPr>
                <w:sz w:val="20"/>
                <w:szCs w:val="20"/>
              </w:rPr>
            </w:pPr>
            <w:r w:rsidRPr="00FA3F57">
              <w:rPr>
                <w:sz w:val="20"/>
                <w:szCs w:val="20"/>
              </w:rPr>
              <w:t>Institutions responsible for the implementation of measures and activities</w:t>
            </w:r>
          </w:p>
        </w:tc>
        <w:tc>
          <w:tcPr>
            <w:tcW w:w="5667" w:type="dxa"/>
            <w:tcBorders>
              <w:top w:val="single" w:sz="4" w:space="0" w:color="auto"/>
              <w:left w:val="single" w:sz="4" w:space="0" w:color="auto"/>
              <w:bottom w:val="single" w:sz="4" w:space="0" w:color="auto"/>
              <w:right w:val="single" w:sz="4" w:space="0" w:color="auto"/>
            </w:tcBorders>
            <w:hideMark/>
          </w:tcPr>
          <w:p w14:paraId="7D60B2E3" w14:textId="77777777" w:rsidR="0094644B" w:rsidRPr="00F07779" w:rsidRDefault="0094644B" w:rsidP="00FB5086">
            <w:pPr>
              <w:rPr>
                <w:sz w:val="20"/>
                <w:szCs w:val="20"/>
              </w:rPr>
            </w:pPr>
            <w:r w:rsidRPr="00FA3F57">
              <w:rPr>
                <w:sz w:val="20"/>
                <w:szCs w:val="20"/>
              </w:rPr>
              <w:t>EMS JSC Belgrade</w:t>
            </w:r>
          </w:p>
        </w:tc>
      </w:tr>
      <w:tr w:rsidR="0094644B" w:rsidRPr="00F07779" w14:paraId="43D673D1"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1908DDC8" w14:textId="77777777" w:rsidR="0094644B" w:rsidRPr="00F07779" w:rsidRDefault="0094644B" w:rsidP="00FB5086">
            <w:pPr>
              <w:rPr>
                <w:sz w:val="20"/>
                <w:szCs w:val="20"/>
              </w:rPr>
            </w:pPr>
            <w:r w:rsidRPr="00FA3F57">
              <w:rPr>
                <w:sz w:val="20"/>
                <w:szCs w:val="20"/>
              </w:rPr>
              <w:t>Institutions responsible for monitoring implementation and reporting on the realization</w:t>
            </w:r>
          </w:p>
        </w:tc>
        <w:tc>
          <w:tcPr>
            <w:tcW w:w="5667" w:type="dxa"/>
            <w:tcBorders>
              <w:top w:val="single" w:sz="4" w:space="0" w:color="auto"/>
              <w:left w:val="single" w:sz="4" w:space="0" w:color="auto"/>
              <w:bottom w:val="single" w:sz="4" w:space="0" w:color="auto"/>
              <w:right w:val="single" w:sz="4" w:space="0" w:color="auto"/>
            </w:tcBorders>
            <w:hideMark/>
          </w:tcPr>
          <w:p w14:paraId="0431137C" w14:textId="77777777" w:rsidR="0094644B" w:rsidRPr="00F07779" w:rsidRDefault="0094644B" w:rsidP="00FB5086">
            <w:pPr>
              <w:rPr>
                <w:sz w:val="20"/>
                <w:szCs w:val="20"/>
              </w:rPr>
            </w:pPr>
            <w:r w:rsidRPr="00FA3F57">
              <w:rPr>
                <w:sz w:val="20"/>
                <w:szCs w:val="20"/>
              </w:rPr>
              <w:t>EMS JSC Belgrade</w:t>
            </w:r>
          </w:p>
          <w:p w14:paraId="69C52DA6" w14:textId="77777777" w:rsidR="0094644B" w:rsidRPr="00FA3F57" w:rsidRDefault="0094644B" w:rsidP="00FB5086">
            <w:pPr>
              <w:rPr>
                <w:sz w:val="20"/>
                <w:szCs w:val="20"/>
              </w:rPr>
            </w:pPr>
            <w:r w:rsidRPr="00FA3F57">
              <w:rPr>
                <w:sz w:val="20"/>
                <w:szCs w:val="20"/>
              </w:rPr>
              <w:t>Republic Commission for Energy Networks</w:t>
            </w:r>
          </w:p>
          <w:p w14:paraId="4C751C96" w14:textId="77777777" w:rsidR="0094644B" w:rsidRPr="00F07779" w:rsidRDefault="0094644B" w:rsidP="00FB5086">
            <w:pPr>
              <w:rPr>
                <w:sz w:val="20"/>
                <w:szCs w:val="20"/>
              </w:rPr>
            </w:pPr>
            <w:r w:rsidRPr="00F07779">
              <w:rPr>
                <w:sz w:val="20"/>
                <w:szCs w:val="20"/>
              </w:rPr>
              <w:t>Ministry of Mining and Energy</w:t>
            </w:r>
          </w:p>
        </w:tc>
      </w:tr>
      <w:tr w:rsidR="0094644B" w:rsidRPr="00F07779" w14:paraId="58E6D366"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15260427" w14:textId="77777777" w:rsidR="0094644B" w:rsidRPr="00F07779" w:rsidRDefault="0094644B" w:rsidP="00FB5086">
            <w:pPr>
              <w:rPr>
                <w:sz w:val="20"/>
                <w:szCs w:val="20"/>
              </w:rPr>
            </w:pPr>
            <w:r w:rsidRPr="00FA3F57">
              <w:rPr>
                <w:sz w:val="20"/>
                <w:szCs w:val="20"/>
              </w:rPr>
              <w:t>Year of project funding start</w:t>
            </w:r>
          </w:p>
        </w:tc>
        <w:tc>
          <w:tcPr>
            <w:tcW w:w="5667" w:type="dxa"/>
            <w:tcBorders>
              <w:top w:val="single" w:sz="4" w:space="0" w:color="auto"/>
              <w:left w:val="single" w:sz="4" w:space="0" w:color="auto"/>
              <w:bottom w:val="single" w:sz="4" w:space="0" w:color="auto"/>
              <w:right w:val="single" w:sz="4" w:space="0" w:color="auto"/>
            </w:tcBorders>
            <w:hideMark/>
          </w:tcPr>
          <w:p w14:paraId="6E79FCDE" w14:textId="77777777" w:rsidR="0094644B" w:rsidRPr="00F07779" w:rsidRDefault="0094644B" w:rsidP="00FB5086">
            <w:pPr>
              <w:rPr>
                <w:sz w:val="20"/>
                <w:szCs w:val="20"/>
              </w:rPr>
            </w:pPr>
            <w:r w:rsidRPr="00F07779">
              <w:rPr>
                <w:sz w:val="20"/>
                <w:szCs w:val="20"/>
              </w:rPr>
              <w:t xml:space="preserve">2012. </w:t>
            </w:r>
          </w:p>
        </w:tc>
      </w:tr>
      <w:tr w:rsidR="0094644B" w:rsidRPr="00F07779" w14:paraId="1FF0B0A5"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2A48C88C" w14:textId="77777777" w:rsidR="0094644B" w:rsidRPr="00F07779" w:rsidRDefault="0094644B" w:rsidP="00FB5086">
            <w:pPr>
              <w:rPr>
                <w:sz w:val="20"/>
                <w:szCs w:val="20"/>
              </w:rPr>
            </w:pPr>
            <w:r w:rsidRPr="00FA3F57">
              <w:rPr>
                <w:sz w:val="20"/>
                <w:szCs w:val="20"/>
              </w:rPr>
              <w:t>Year of completion of project funding</w:t>
            </w:r>
          </w:p>
        </w:tc>
        <w:tc>
          <w:tcPr>
            <w:tcW w:w="5667" w:type="dxa"/>
            <w:tcBorders>
              <w:top w:val="single" w:sz="4" w:space="0" w:color="auto"/>
              <w:left w:val="single" w:sz="4" w:space="0" w:color="auto"/>
              <w:bottom w:val="single" w:sz="4" w:space="0" w:color="auto"/>
              <w:right w:val="single" w:sz="4" w:space="0" w:color="auto"/>
            </w:tcBorders>
            <w:hideMark/>
          </w:tcPr>
          <w:p w14:paraId="45426A31" w14:textId="77777777" w:rsidR="0094644B" w:rsidRPr="00F07779" w:rsidRDefault="0094644B" w:rsidP="00FB5086">
            <w:pPr>
              <w:rPr>
                <w:sz w:val="20"/>
                <w:szCs w:val="20"/>
              </w:rPr>
            </w:pPr>
            <w:r w:rsidRPr="00F07779">
              <w:rPr>
                <w:sz w:val="20"/>
                <w:szCs w:val="20"/>
              </w:rPr>
              <w:t>2026.</w:t>
            </w:r>
          </w:p>
        </w:tc>
      </w:tr>
      <w:tr w:rsidR="0094644B" w:rsidRPr="00F07779" w14:paraId="3E7855C5"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6FB5716C" w14:textId="77777777" w:rsidR="0094644B" w:rsidRPr="00F07779" w:rsidRDefault="0094644B" w:rsidP="00FB5086">
            <w:pPr>
              <w:rPr>
                <w:sz w:val="20"/>
                <w:szCs w:val="20"/>
              </w:rPr>
            </w:pPr>
            <w:r w:rsidRPr="00FA3F57">
              <w:rPr>
                <w:sz w:val="20"/>
                <w:szCs w:val="20"/>
              </w:rPr>
              <w:t>Total project value</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1ECD2104" w14:textId="77777777" w:rsidR="0094644B" w:rsidRPr="00FA3F57" w:rsidRDefault="0094644B" w:rsidP="00FB5086">
            <w:pPr>
              <w:rPr>
                <w:sz w:val="20"/>
                <w:szCs w:val="20"/>
              </w:rPr>
            </w:pPr>
            <w:r w:rsidRPr="00FA3F57">
              <w:rPr>
                <w:sz w:val="20"/>
                <w:szCs w:val="20"/>
              </w:rPr>
              <w:t>879,375 (7.5 million EUR)</w:t>
            </w:r>
          </w:p>
        </w:tc>
      </w:tr>
      <w:tr w:rsidR="0094644B" w:rsidRPr="00F07779" w14:paraId="288C1D4A"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297F2CB3" w14:textId="77777777" w:rsidR="0094644B" w:rsidRPr="00F07779" w:rsidRDefault="0094644B" w:rsidP="00FB5086">
            <w:pPr>
              <w:rPr>
                <w:sz w:val="20"/>
                <w:szCs w:val="20"/>
              </w:rPr>
            </w:pPr>
            <w:r w:rsidRPr="00FA3F57">
              <w:rPr>
                <w:sz w:val="20"/>
                <w:szCs w:val="20"/>
              </w:rPr>
              <w:t>Planned investments for 2026.</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0EE2A978" w14:textId="77777777" w:rsidR="0094644B" w:rsidRPr="00F07779" w:rsidRDefault="0094644B" w:rsidP="00FB5086">
            <w:pPr>
              <w:rPr>
                <w:sz w:val="20"/>
                <w:szCs w:val="20"/>
              </w:rPr>
            </w:pPr>
            <w:r w:rsidRPr="00F07779">
              <w:rPr>
                <w:sz w:val="20"/>
                <w:szCs w:val="20"/>
              </w:rPr>
              <w:t>207,991 (own funds of EMS JSC)</w:t>
            </w:r>
          </w:p>
        </w:tc>
      </w:tr>
      <w:tr w:rsidR="0094644B" w:rsidRPr="00F07779" w14:paraId="091838E5"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224C584E" w14:textId="77777777" w:rsidR="0094644B" w:rsidRPr="00F07779" w:rsidRDefault="0094644B" w:rsidP="00FB5086">
            <w:pPr>
              <w:rPr>
                <w:sz w:val="20"/>
                <w:szCs w:val="20"/>
              </w:rPr>
            </w:pPr>
            <w:r w:rsidRPr="00FA3F57">
              <w:rPr>
                <w:sz w:val="20"/>
                <w:szCs w:val="20"/>
              </w:rPr>
              <w:t>Planned investments for 2027.</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65E4798E" w14:textId="77777777" w:rsidR="0094644B" w:rsidRPr="00F07779" w:rsidRDefault="0094644B" w:rsidP="00FB5086">
            <w:pPr>
              <w:rPr>
                <w:sz w:val="20"/>
                <w:szCs w:val="20"/>
              </w:rPr>
            </w:pPr>
            <w:r w:rsidRPr="00F07779">
              <w:rPr>
                <w:sz w:val="20"/>
                <w:szCs w:val="20"/>
              </w:rPr>
              <w:t>0</w:t>
            </w:r>
          </w:p>
        </w:tc>
      </w:tr>
      <w:tr w:rsidR="0094644B" w:rsidRPr="00F07779" w14:paraId="5A21F100"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014B69C9" w14:textId="77777777" w:rsidR="0094644B" w:rsidRPr="00F07779" w:rsidRDefault="0094644B" w:rsidP="00FB5086">
            <w:pPr>
              <w:rPr>
                <w:sz w:val="20"/>
                <w:szCs w:val="20"/>
              </w:rPr>
            </w:pPr>
            <w:r w:rsidRPr="00FA3F57">
              <w:rPr>
                <w:sz w:val="20"/>
                <w:szCs w:val="20"/>
              </w:rPr>
              <w:t>Planned investments for 2028.</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4525E729" w14:textId="77777777" w:rsidR="0094644B" w:rsidRPr="00F07779" w:rsidRDefault="0094644B" w:rsidP="00FB5086">
            <w:pPr>
              <w:rPr>
                <w:sz w:val="20"/>
                <w:szCs w:val="20"/>
              </w:rPr>
            </w:pPr>
            <w:r w:rsidRPr="00F07779">
              <w:rPr>
                <w:sz w:val="20"/>
                <w:szCs w:val="20"/>
              </w:rPr>
              <w:t>0</w:t>
            </w:r>
          </w:p>
        </w:tc>
      </w:tr>
    </w:tbl>
    <w:p w14:paraId="632781E3" w14:textId="77777777" w:rsidR="0094644B" w:rsidRPr="00F07779" w:rsidRDefault="0094644B" w:rsidP="0094644B">
      <w:pPr>
        <w:tabs>
          <w:tab w:val="left" w:pos="1276"/>
          <w:tab w:val="left" w:pos="1560"/>
        </w:tabs>
        <w:ind w:left="1440" w:hanging="1440"/>
      </w:pPr>
    </w:p>
    <w:tbl>
      <w:tblPr>
        <w:tblStyle w:val="TableGrid"/>
        <w:tblW w:w="0" w:type="auto"/>
        <w:tblLook w:val="04A0" w:firstRow="1" w:lastRow="0" w:firstColumn="1" w:lastColumn="0" w:noHBand="0" w:noVBand="1"/>
      </w:tblPr>
      <w:tblGrid>
        <w:gridCol w:w="2973"/>
        <w:gridCol w:w="5667"/>
      </w:tblGrid>
      <w:tr w:rsidR="0094644B" w:rsidRPr="00F07779" w14:paraId="0C1C4F27"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DAEC916" w14:textId="77777777" w:rsidR="0094644B" w:rsidRPr="00F07779" w:rsidRDefault="0094644B" w:rsidP="00FB5086">
            <w:pPr>
              <w:rPr>
                <w:sz w:val="20"/>
                <w:szCs w:val="20"/>
              </w:rPr>
            </w:pPr>
            <w:r w:rsidRPr="00F07779">
              <w:rPr>
                <w:sz w:val="20"/>
                <w:szCs w:val="20"/>
              </w:rPr>
              <w:t>Activity EL1.2</w:t>
            </w:r>
          </w:p>
        </w:tc>
        <w:tc>
          <w:tcPr>
            <w:tcW w:w="566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5655936" w14:textId="77777777" w:rsidR="0094644B" w:rsidRPr="00F07779" w:rsidRDefault="0094644B" w:rsidP="00FB5086">
            <w:pPr>
              <w:rPr>
                <w:sz w:val="20"/>
                <w:szCs w:val="20"/>
              </w:rPr>
            </w:pPr>
            <w:r w:rsidRPr="00F07779">
              <w:rPr>
                <w:sz w:val="20"/>
                <w:szCs w:val="20"/>
              </w:rPr>
              <w:t>Investment projects focused on the reconstruction and construction of the transmission network</w:t>
            </w:r>
          </w:p>
        </w:tc>
      </w:tr>
      <w:tr w:rsidR="0094644B" w:rsidRPr="00F07779" w14:paraId="36C95B68"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3515392D" w14:textId="77777777" w:rsidR="0094644B" w:rsidRPr="00F07779" w:rsidRDefault="0094644B" w:rsidP="00FB5086">
            <w:pPr>
              <w:rPr>
                <w:sz w:val="20"/>
                <w:szCs w:val="20"/>
              </w:rPr>
            </w:pPr>
            <w:r w:rsidRPr="00FA3F57">
              <w:rPr>
                <w:sz w:val="20"/>
                <w:szCs w:val="20"/>
              </w:rPr>
              <w:t>Name of the project</w:t>
            </w:r>
          </w:p>
        </w:tc>
        <w:tc>
          <w:tcPr>
            <w:tcW w:w="5667"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0A3F3B0F" w14:textId="77777777" w:rsidR="0094644B" w:rsidRPr="00F07779" w:rsidRDefault="0094644B" w:rsidP="00FB5086">
            <w:pPr>
              <w:rPr>
                <w:sz w:val="20"/>
                <w:szCs w:val="20"/>
              </w:rPr>
            </w:pPr>
            <w:r w:rsidRPr="00F07779">
              <w:rPr>
                <w:sz w:val="20"/>
                <w:szCs w:val="20"/>
              </w:rPr>
              <w:t>Reconstruction OHLs 110 kV No. 104/1 and 104/2 TS Belgrade 5 – TS Belgrade into two-system line</w:t>
            </w:r>
          </w:p>
        </w:tc>
      </w:tr>
      <w:tr w:rsidR="0094644B" w:rsidRPr="00F07779" w14:paraId="70050B96"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5C47E05" w14:textId="77777777" w:rsidR="0094644B" w:rsidRPr="00F07779" w:rsidRDefault="0094644B" w:rsidP="00FB5086">
            <w:pPr>
              <w:rPr>
                <w:sz w:val="20"/>
                <w:szCs w:val="20"/>
              </w:rPr>
            </w:pPr>
            <w:r w:rsidRPr="00FA3F57">
              <w:rPr>
                <w:sz w:val="20"/>
                <w:szCs w:val="20"/>
              </w:rPr>
              <w:t xml:space="preserve">Name of the </w:t>
            </w:r>
            <w:r w:rsidRPr="00F07779">
              <w:rPr>
                <w:sz w:val="20"/>
                <w:szCs w:val="20"/>
              </w:rPr>
              <w:t>investment</w:t>
            </w:r>
          </w:p>
        </w:tc>
        <w:tc>
          <w:tcPr>
            <w:tcW w:w="566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E236C78" w14:textId="77777777" w:rsidR="0094644B" w:rsidRPr="00F07779" w:rsidRDefault="0094644B" w:rsidP="00FB5086">
            <w:pPr>
              <w:rPr>
                <w:sz w:val="20"/>
                <w:szCs w:val="20"/>
              </w:rPr>
            </w:pPr>
            <w:r w:rsidRPr="00F07779">
              <w:rPr>
                <w:sz w:val="20"/>
                <w:szCs w:val="20"/>
              </w:rPr>
              <w:t>OHL 110 kV No. 104/1 и 104/2 TS Belgrade 5 – TS Belgrade 2, reconstruction into two-system line</w:t>
            </w:r>
          </w:p>
        </w:tc>
      </w:tr>
      <w:tr w:rsidR="0094644B" w:rsidRPr="00F07779" w14:paraId="44243A10"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0C9A6B16" w14:textId="77777777" w:rsidR="0094644B" w:rsidRPr="00F07779" w:rsidRDefault="0094644B" w:rsidP="00FB5086">
            <w:pPr>
              <w:rPr>
                <w:sz w:val="20"/>
                <w:szCs w:val="20"/>
              </w:rPr>
            </w:pPr>
            <w:r w:rsidRPr="00FA3F57">
              <w:rPr>
                <w:sz w:val="20"/>
                <w:szCs w:val="20"/>
              </w:rPr>
              <w:t>Short description of the investment</w:t>
            </w:r>
          </w:p>
        </w:tc>
        <w:tc>
          <w:tcPr>
            <w:tcW w:w="5667" w:type="dxa"/>
            <w:tcBorders>
              <w:top w:val="single" w:sz="4" w:space="0" w:color="auto"/>
              <w:left w:val="single" w:sz="4" w:space="0" w:color="auto"/>
              <w:bottom w:val="single" w:sz="4" w:space="0" w:color="auto"/>
              <w:right w:val="single" w:sz="4" w:space="0" w:color="auto"/>
            </w:tcBorders>
          </w:tcPr>
          <w:p w14:paraId="1B0AEC8F" w14:textId="77777777" w:rsidR="0094644B" w:rsidRPr="00F07779" w:rsidRDefault="0094644B" w:rsidP="00FB5086">
            <w:pPr>
              <w:rPr>
                <w:sz w:val="20"/>
                <w:szCs w:val="20"/>
              </w:rPr>
            </w:pPr>
            <w:r w:rsidRPr="00F07779">
              <w:rPr>
                <w:sz w:val="20"/>
                <w:szCs w:val="20"/>
              </w:rPr>
              <w:t>The project includes the reconstruction of a single-system 110 kV transmission line into a dual-system one with a conductor with a cross-section of 490/65 mm</w:t>
            </w:r>
            <w:r w:rsidRPr="00F07779">
              <w:rPr>
                <w:sz w:val="20"/>
                <w:szCs w:val="20"/>
                <w:vertAlign w:val="superscript"/>
              </w:rPr>
              <w:t>2</w:t>
            </w:r>
            <w:r w:rsidRPr="00F07779">
              <w:rPr>
                <w:sz w:val="20"/>
                <w:szCs w:val="20"/>
              </w:rPr>
              <w:t xml:space="preserve">. (OHL 110 kV No. 104/1 TS Belgrade 2 – TS Belgrade 32 and OHL 110 kV No. 104/2 TS Belgrade 32 – TS Belgrade 5 from TS Belgrade 32 to pole No.7/31z). The reconstruction is necessary to ensure a secure supply of electricity to the new distribution substation Belgrade 44, the existing TS Belgrade 32, and TS Beograd 2, as well as the planned distribution substation near </w:t>
            </w:r>
            <w:proofErr w:type="spellStart"/>
            <w:r w:rsidRPr="00F07779">
              <w:rPr>
                <w:sz w:val="20"/>
                <w:szCs w:val="20"/>
              </w:rPr>
              <w:t>Makiško</w:t>
            </w:r>
            <w:proofErr w:type="spellEnd"/>
            <w:r w:rsidRPr="00F07779">
              <w:rPr>
                <w:sz w:val="20"/>
                <w:szCs w:val="20"/>
              </w:rPr>
              <w:t xml:space="preserve"> Polje. The reconstruction is necessary for the reliable supply of large current projects of national interest, such as the construction of the National Football Stadium with all accompanying facilities. Furthermore, this is emphasized by the selection of Belgrade as the host city for the World Expo 2027.</w:t>
            </w:r>
          </w:p>
          <w:p w14:paraId="0D21DAF5" w14:textId="77777777" w:rsidR="0094644B" w:rsidRPr="00F07779" w:rsidRDefault="0094644B" w:rsidP="00FB5086">
            <w:pPr>
              <w:rPr>
                <w:sz w:val="20"/>
                <w:szCs w:val="20"/>
              </w:rPr>
            </w:pPr>
            <w:r w:rsidRPr="00F07779">
              <w:rPr>
                <w:sz w:val="20"/>
                <w:szCs w:val="20"/>
              </w:rPr>
              <w:t>Expected dynamics of project implementation:</w:t>
            </w:r>
          </w:p>
          <w:p w14:paraId="66D99489" w14:textId="77777777" w:rsidR="0094644B" w:rsidRPr="00F07779" w:rsidRDefault="0094644B" w:rsidP="00FB5086">
            <w:pPr>
              <w:rPr>
                <w:sz w:val="20"/>
                <w:szCs w:val="20"/>
              </w:rPr>
            </w:pPr>
            <w:r w:rsidRPr="00F07779">
              <w:rPr>
                <w:sz w:val="20"/>
                <w:szCs w:val="20"/>
              </w:rPr>
              <w:t>2026. Use permit; end of project</w:t>
            </w:r>
          </w:p>
        </w:tc>
      </w:tr>
      <w:tr w:rsidR="0094644B" w:rsidRPr="00F07779" w14:paraId="3C395F01"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3CD4600A" w14:textId="77777777" w:rsidR="0094644B" w:rsidRPr="00F07779" w:rsidRDefault="0094644B" w:rsidP="00FB5086">
            <w:pPr>
              <w:rPr>
                <w:sz w:val="20"/>
                <w:szCs w:val="20"/>
              </w:rPr>
            </w:pPr>
            <w:r w:rsidRPr="00FA3F57">
              <w:rPr>
                <w:sz w:val="20"/>
                <w:szCs w:val="20"/>
              </w:rPr>
              <w:t>Institutions responsible for the implementation of measures and activities</w:t>
            </w:r>
          </w:p>
        </w:tc>
        <w:tc>
          <w:tcPr>
            <w:tcW w:w="5667" w:type="dxa"/>
            <w:tcBorders>
              <w:top w:val="single" w:sz="4" w:space="0" w:color="auto"/>
              <w:left w:val="single" w:sz="4" w:space="0" w:color="auto"/>
              <w:bottom w:val="single" w:sz="4" w:space="0" w:color="auto"/>
              <w:right w:val="single" w:sz="4" w:space="0" w:color="auto"/>
            </w:tcBorders>
            <w:hideMark/>
          </w:tcPr>
          <w:p w14:paraId="3A752C83" w14:textId="77777777" w:rsidR="0094644B" w:rsidRPr="00F07779" w:rsidRDefault="0094644B" w:rsidP="00FB5086">
            <w:pPr>
              <w:rPr>
                <w:sz w:val="20"/>
                <w:szCs w:val="20"/>
              </w:rPr>
            </w:pPr>
            <w:r w:rsidRPr="00FA3F57">
              <w:rPr>
                <w:sz w:val="20"/>
                <w:szCs w:val="20"/>
              </w:rPr>
              <w:t>EMS JSC Belgrade</w:t>
            </w:r>
          </w:p>
        </w:tc>
      </w:tr>
      <w:tr w:rsidR="0094644B" w:rsidRPr="00F07779" w14:paraId="2915843C"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7FFE72CA" w14:textId="77777777" w:rsidR="0094644B" w:rsidRPr="00F07779" w:rsidRDefault="0094644B" w:rsidP="00FB5086">
            <w:pPr>
              <w:rPr>
                <w:sz w:val="20"/>
                <w:szCs w:val="20"/>
              </w:rPr>
            </w:pPr>
            <w:r w:rsidRPr="00FA3F57">
              <w:rPr>
                <w:sz w:val="20"/>
                <w:szCs w:val="20"/>
              </w:rPr>
              <w:lastRenderedPageBreak/>
              <w:t>Institutions responsible for monitoring implementation and reporting on the realization</w:t>
            </w:r>
          </w:p>
        </w:tc>
        <w:tc>
          <w:tcPr>
            <w:tcW w:w="5667" w:type="dxa"/>
            <w:tcBorders>
              <w:top w:val="single" w:sz="4" w:space="0" w:color="auto"/>
              <w:left w:val="single" w:sz="4" w:space="0" w:color="auto"/>
              <w:bottom w:val="single" w:sz="4" w:space="0" w:color="auto"/>
              <w:right w:val="single" w:sz="4" w:space="0" w:color="auto"/>
            </w:tcBorders>
            <w:hideMark/>
          </w:tcPr>
          <w:p w14:paraId="5F86AFE2" w14:textId="77777777" w:rsidR="0094644B" w:rsidRPr="00F07779" w:rsidRDefault="0094644B" w:rsidP="00FB5086">
            <w:pPr>
              <w:rPr>
                <w:sz w:val="20"/>
                <w:szCs w:val="20"/>
              </w:rPr>
            </w:pPr>
            <w:r w:rsidRPr="00FA3F57">
              <w:rPr>
                <w:sz w:val="20"/>
                <w:szCs w:val="20"/>
              </w:rPr>
              <w:t>EMS JSC Belgrade</w:t>
            </w:r>
          </w:p>
          <w:p w14:paraId="4D165EB9" w14:textId="77777777" w:rsidR="0094644B" w:rsidRPr="00FA3F57" w:rsidRDefault="0094644B" w:rsidP="00FB5086">
            <w:pPr>
              <w:rPr>
                <w:sz w:val="20"/>
                <w:szCs w:val="20"/>
              </w:rPr>
            </w:pPr>
            <w:r w:rsidRPr="00FA3F57">
              <w:rPr>
                <w:sz w:val="20"/>
                <w:szCs w:val="20"/>
              </w:rPr>
              <w:t>Republic Commission for Energy Networks</w:t>
            </w:r>
          </w:p>
          <w:p w14:paraId="6E3CAF14" w14:textId="77777777" w:rsidR="0094644B" w:rsidRPr="00F07779" w:rsidRDefault="0094644B" w:rsidP="00FB5086">
            <w:pPr>
              <w:rPr>
                <w:sz w:val="20"/>
                <w:szCs w:val="20"/>
              </w:rPr>
            </w:pPr>
            <w:r w:rsidRPr="00F07779">
              <w:rPr>
                <w:sz w:val="20"/>
                <w:szCs w:val="20"/>
              </w:rPr>
              <w:t>Ministry of Mining and Energy</w:t>
            </w:r>
          </w:p>
        </w:tc>
      </w:tr>
      <w:tr w:rsidR="0094644B" w:rsidRPr="00F07779" w14:paraId="5291BB4F"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397EAFEA" w14:textId="77777777" w:rsidR="0094644B" w:rsidRPr="00F07779" w:rsidRDefault="0094644B" w:rsidP="00FB5086">
            <w:pPr>
              <w:rPr>
                <w:sz w:val="20"/>
                <w:szCs w:val="20"/>
              </w:rPr>
            </w:pPr>
            <w:r w:rsidRPr="00FA3F57">
              <w:rPr>
                <w:sz w:val="20"/>
                <w:szCs w:val="20"/>
              </w:rPr>
              <w:t>Year of project funding start</w:t>
            </w:r>
          </w:p>
        </w:tc>
        <w:tc>
          <w:tcPr>
            <w:tcW w:w="5667" w:type="dxa"/>
            <w:tcBorders>
              <w:top w:val="single" w:sz="4" w:space="0" w:color="auto"/>
              <w:left w:val="single" w:sz="4" w:space="0" w:color="auto"/>
              <w:bottom w:val="single" w:sz="4" w:space="0" w:color="auto"/>
              <w:right w:val="single" w:sz="4" w:space="0" w:color="auto"/>
            </w:tcBorders>
            <w:hideMark/>
          </w:tcPr>
          <w:p w14:paraId="4C2F6DBD" w14:textId="77777777" w:rsidR="0094644B" w:rsidRPr="00F07779" w:rsidRDefault="0094644B" w:rsidP="00FB5086">
            <w:pPr>
              <w:rPr>
                <w:sz w:val="20"/>
                <w:szCs w:val="20"/>
              </w:rPr>
            </w:pPr>
            <w:r w:rsidRPr="00F07779">
              <w:rPr>
                <w:sz w:val="20"/>
                <w:szCs w:val="20"/>
              </w:rPr>
              <w:t xml:space="preserve">2022. </w:t>
            </w:r>
          </w:p>
        </w:tc>
      </w:tr>
      <w:tr w:rsidR="0094644B" w:rsidRPr="00F07779" w14:paraId="5D477B86"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3BCBA2C3" w14:textId="77777777" w:rsidR="0094644B" w:rsidRPr="00F07779" w:rsidRDefault="0094644B" w:rsidP="00FB5086">
            <w:pPr>
              <w:rPr>
                <w:sz w:val="20"/>
                <w:szCs w:val="20"/>
              </w:rPr>
            </w:pPr>
            <w:r w:rsidRPr="00FA3F57">
              <w:rPr>
                <w:sz w:val="20"/>
                <w:szCs w:val="20"/>
              </w:rPr>
              <w:t>Year of completion of project funding</w:t>
            </w:r>
          </w:p>
        </w:tc>
        <w:tc>
          <w:tcPr>
            <w:tcW w:w="5667" w:type="dxa"/>
            <w:tcBorders>
              <w:top w:val="single" w:sz="4" w:space="0" w:color="auto"/>
              <w:left w:val="single" w:sz="4" w:space="0" w:color="auto"/>
              <w:bottom w:val="single" w:sz="4" w:space="0" w:color="auto"/>
              <w:right w:val="single" w:sz="4" w:space="0" w:color="auto"/>
            </w:tcBorders>
            <w:hideMark/>
          </w:tcPr>
          <w:p w14:paraId="0E2FDD3F" w14:textId="77777777" w:rsidR="0094644B" w:rsidRPr="00F07779" w:rsidRDefault="0094644B" w:rsidP="00FB5086">
            <w:pPr>
              <w:rPr>
                <w:sz w:val="20"/>
                <w:szCs w:val="20"/>
              </w:rPr>
            </w:pPr>
            <w:r w:rsidRPr="00F07779">
              <w:rPr>
                <w:sz w:val="20"/>
                <w:szCs w:val="20"/>
              </w:rPr>
              <w:t>2026.</w:t>
            </w:r>
          </w:p>
        </w:tc>
      </w:tr>
      <w:tr w:rsidR="0094644B" w:rsidRPr="00F07779" w14:paraId="65013CBD"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1A5AA204" w14:textId="77777777" w:rsidR="0094644B" w:rsidRPr="00F07779" w:rsidRDefault="0094644B" w:rsidP="00FB5086">
            <w:pPr>
              <w:rPr>
                <w:sz w:val="20"/>
                <w:szCs w:val="20"/>
              </w:rPr>
            </w:pPr>
            <w:r w:rsidRPr="00FA3F57">
              <w:rPr>
                <w:sz w:val="20"/>
                <w:szCs w:val="20"/>
              </w:rPr>
              <w:t>Total project value</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2206413B" w14:textId="77777777" w:rsidR="0094644B" w:rsidRPr="00FA3F57" w:rsidRDefault="0094644B" w:rsidP="00FB5086">
            <w:pPr>
              <w:rPr>
                <w:sz w:val="20"/>
                <w:szCs w:val="20"/>
              </w:rPr>
            </w:pPr>
            <w:r w:rsidRPr="00FA3F57">
              <w:rPr>
                <w:sz w:val="20"/>
                <w:szCs w:val="20"/>
              </w:rPr>
              <w:t>656,600 (5.6 million EUR)</w:t>
            </w:r>
          </w:p>
        </w:tc>
      </w:tr>
      <w:tr w:rsidR="0094644B" w:rsidRPr="00F07779" w14:paraId="1C4B2399"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7B84035C" w14:textId="77777777" w:rsidR="0094644B" w:rsidRPr="00F07779" w:rsidRDefault="0094644B" w:rsidP="00FB5086">
            <w:pPr>
              <w:rPr>
                <w:sz w:val="20"/>
                <w:szCs w:val="20"/>
              </w:rPr>
            </w:pPr>
            <w:r w:rsidRPr="00FA3F57">
              <w:rPr>
                <w:sz w:val="20"/>
                <w:szCs w:val="20"/>
              </w:rPr>
              <w:t>Planned investments for 2026.</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1281E56C" w14:textId="77777777" w:rsidR="0094644B" w:rsidRPr="00F07779" w:rsidRDefault="0094644B" w:rsidP="00FB5086">
            <w:pPr>
              <w:rPr>
                <w:sz w:val="20"/>
                <w:szCs w:val="20"/>
              </w:rPr>
            </w:pPr>
            <w:r w:rsidRPr="00F07779">
              <w:rPr>
                <w:sz w:val="20"/>
                <w:szCs w:val="20"/>
              </w:rPr>
              <w:t>481,222 (own funds of EMS JSC)</w:t>
            </w:r>
          </w:p>
        </w:tc>
      </w:tr>
      <w:tr w:rsidR="0094644B" w:rsidRPr="00F07779" w14:paraId="0D3F3925"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09A16360" w14:textId="77777777" w:rsidR="0094644B" w:rsidRPr="00F07779" w:rsidRDefault="0094644B" w:rsidP="00FB5086">
            <w:pPr>
              <w:rPr>
                <w:sz w:val="20"/>
                <w:szCs w:val="20"/>
              </w:rPr>
            </w:pPr>
            <w:r w:rsidRPr="00FA3F57">
              <w:rPr>
                <w:sz w:val="20"/>
                <w:szCs w:val="20"/>
              </w:rPr>
              <w:t>Planned investments for 2027.</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0F6E1599" w14:textId="77777777" w:rsidR="0094644B" w:rsidRPr="00F07779" w:rsidRDefault="0094644B" w:rsidP="00FB5086">
            <w:pPr>
              <w:rPr>
                <w:sz w:val="20"/>
                <w:szCs w:val="20"/>
              </w:rPr>
            </w:pPr>
            <w:r w:rsidRPr="00F07779">
              <w:rPr>
                <w:sz w:val="20"/>
                <w:szCs w:val="20"/>
              </w:rPr>
              <w:t>0</w:t>
            </w:r>
          </w:p>
        </w:tc>
      </w:tr>
      <w:tr w:rsidR="0094644B" w:rsidRPr="00F07779" w14:paraId="21E8F5C4"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4D7FFA83" w14:textId="77777777" w:rsidR="0094644B" w:rsidRPr="00F07779" w:rsidRDefault="0094644B" w:rsidP="00FB5086">
            <w:pPr>
              <w:rPr>
                <w:sz w:val="20"/>
                <w:szCs w:val="20"/>
              </w:rPr>
            </w:pPr>
            <w:r w:rsidRPr="00FA3F57">
              <w:rPr>
                <w:sz w:val="20"/>
                <w:szCs w:val="20"/>
              </w:rPr>
              <w:t>Planned investments for 2028.</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41BA44AA" w14:textId="77777777" w:rsidR="0094644B" w:rsidRPr="00F07779" w:rsidRDefault="0094644B" w:rsidP="00FB5086">
            <w:pPr>
              <w:rPr>
                <w:sz w:val="20"/>
                <w:szCs w:val="20"/>
              </w:rPr>
            </w:pPr>
            <w:r w:rsidRPr="00F07779">
              <w:rPr>
                <w:sz w:val="20"/>
                <w:szCs w:val="20"/>
              </w:rPr>
              <w:t>0</w:t>
            </w:r>
          </w:p>
        </w:tc>
      </w:tr>
    </w:tbl>
    <w:p w14:paraId="0129290A" w14:textId="77777777" w:rsidR="0094644B" w:rsidRPr="00F07779" w:rsidRDefault="0094644B" w:rsidP="0094644B">
      <w:pPr>
        <w:tabs>
          <w:tab w:val="left" w:pos="1276"/>
          <w:tab w:val="left" w:pos="1560"/>
        </w:tabs>
        <w:ind w:left="1440" w:hanging="1440"/>
      </w:pPr>
    </w:p>
    <w:tbl>
      <w:tblPr>
        <w:tblStyle w:val="TableGrid"/>
        <w:tblW w:w="0" w:type="auto"/>
        <w:tblLook w:val="04A0" w:firstRow="1" w:lastRow="0" w:firstColumn="1" w:lastColumn="0" w:noHBand="0" w:noVBand="1"/>
      </w:tblPr>
      <w:tblGrid>
        <w:gridCol w:w="2973"/>
        <w:gridCol w:w="5667"/>
      </w:tblGrid>
      <w:tr w:rsidR="0094644B" w:rsidRPr="00F07779" w14:paraId="7FB9E349"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3180707" w14:textId="77777777" w:rsidR="0094644B" w:rsidRPr="00F07779" w:rsidRDefault="0094644B" w:rsidP="00FB5086">
            <w:pPr>
              <w:rPr>
                <w:sz w:val="20"/>
                <w:szCs w:val="20"/>
              </w:rPr>
            </w:pPr>
            <w:r w:rsidRPr="00F07779">
              <w:rPr>
                <w:sz w:val="20"/>
                <w:szCs w:val="20"/>
              </w:rPr>
              <w:t>Activity EL1.2</w:t>
            </w:r>
          </w:p>
        </w:tc>
        <w:tc>
          <w:tcPr>
            <w:tcW w:w="566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BD25954" w14:textId="77777777" w:rsidR="0094644B" w:rsidRPr="00F07779" w:rsidRDefault="0094644B" w:rsidP="00FB5086">
            <w:pPr>
              <w:rPr>
                <w:sz w:val="20"/>
                <w:szCs w:val="20"/>
              </w:rPr>
            </w:pPr>
            <w:r w:rsidRPr="00F07779">
              <w:rPr>
                <w:sz w:val="20"/>
                <w:szCs w:val="20"/>
              </w:rPr>
              <w:t>Investment projects focused on the reconstruction and construction of the transmission network</w:t>
            </w:r>
          </w:p>
        </w:tc>
      </w:tr>
      <w:tr w:rsidR="0094644B" w:rsidRPr="00F07779" w14:paraId="7001D616"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1951622E" w14:textId="77777777" w:rsidR="0094644B" w:rsidRPr="00F07779" w:rsidRDefault="0094644B" w:rsidP="00FB5086">
            <w:pPr>
              <w:rPr>
                <w:sz w:val="20"/>
                <w:szCs w:val="20"/>
              </w:rPr>
            </w:pPr>
            <w:r w:rsidRPr="00FA3F57">
              <w:rPr>
                <w:sz w:val="20"/>
                <w:szCs w:val="20"/>
              </w:rPr>
              <w:t>Name of the project</w:t>
            </w:r>
          </w:p>
        </w:tc>
        <w:tc>
          <w:tcPr>
            <w:tcW w:w="5667"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62303F86" w14:textId="77777777" w:rsidR="0094644B" w:rsidRPr="00F07779" w:rsidRDefault="0094644B" w:rsidP="00FB5086">
            <w:pPr>
              <w:rPr>
                <w:sz w:val="20"/>
                <w:szCs w:val="20"/>
              </w:rPr>
            </w:pPr>
            <w:r w:rsidRPr="00F07779">
              <w:rPr>
                <w:sz w:val="20"/>
                <w:szCs w:val="20"/>
              </w:rPr>
              <w:t>220 kV OHL layout and leading 110 kV OHL No. 117/1 TS Belgrade 2 - TS Belgrade 35 into TS Belgrade 3</w:t>
            </w:r>
          </w:p>
        </w:tc>
      </w:tr>
      <w:tr w:rsidR="0094644B" w:rsidRPr="00F07779" w14:paraId="27B73770"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17F051A" w14:textId="77777777" w:rsidR="0094644B" w:rsidRPr="00F07779" w:rsidRDefault="0094644B" w:rsidP="00FB5086">
            <w:pPr>
              <w:rPr>
                <w:sz w:val="20"/>
                <w:szCs w:val="20"/>
              </w:rPr>
            </w:pPr>
            <w:r w:rsidRPr="00FA3F57">
              <w:rPr>
                <w:sz w:val="20"/>
                <w:szCs w:val="20"/>
              </w:rPr>
              <w:t xml:space="preserve">Name of the </w:t>
            </w:r>
            <w:r w:rsidRPr="00F07779">
              <w:rPr>
                <w:sz w:val="20"/>
                <w:szCs w:val="20"/>
              </w:rPr>
              <w:t>investment</w:t>
            </w:r>
          </w:p>
        </w:tc>
        <w:tc>
          <w:tcPr>
            <w:tcW w:w="566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0F37AB4" w14:textId="77777777" w:rsidR="0094644B" w:rsidRPr="00F07779" w:rsidRDefault="0094644B" w:rsidP="00FB5086">
            <w:pPr>
              <w:rPr>
                <w:sz w:val="20"/>
                <w:szCs w:val="20"/>
              </w:rPr>
            </w:pPr>
            <w:r w:rsidRPr="00F07779">
              <w:rPr>
                <w:sz w:val="20"/>
                <w:szCs w:val="20"/>
              </w:rPr>
              <w:t>OHL 110 kV No.117/1, leading into TS Belgrade 3 and the 220 kV layout in TS Belgrade 3, equipping the 110 kV bays</w:t>
            </w:r>
          </w:p>
        </w:tc>
      </w:tr>
      <w:tr w:rsidR="0094644B" w:rsidRPr="00F07779" w14:paraId="236C42E5"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3AD69AAE" w14:textId="77777777" w:rsidR="0094644B" w:rsidRPr="00F07779" w:rsidRDefault="0094644B" w:rsidP="00FB5086">
            <w:pPr>
              <w:rPr>
                <w:sz w:val="20"/>
                <w:szCs w:val="20"/>
              </w:rPr>
            </w:pPr>
            <w:r w:rsidRPr="00FA3F57">
              <w:rPr>
                <w:sz w:val="20"/>
                <w:szCs w:val="20"/>
              </w:rPr>
              <w:t>Short description of the investment</w:t>
            </w:r>
          </w:p>
        </w:tc>
        <w:tc>
          <w:tcPr>
            <w:tcW w:w="5667" w:type="dxa"/>
            <w:tcBorders>
              <w:top w:val="single" w:sz="4" w:space="0" w:color="auto"/>
              <w:left w:val="single" w:sz="4" w:space="0" w:color="auto"/>
              <w:bottom w:val="single" w:sz="4" w:space="0" w:color="auto"/>
              <w:right w:val="single" w:sz="4" w:space="0" w:color="auto"/>
            </w:tcBorders>
            <w:hideMark/>
          </w:tcPr>
          <w:p w14:paraId="55F8DAA1" w14:textId="77777777" w:rsidR="0094644B" w:rsidRPr="00F07779" w:rsidRDefault="0094644B" w:rsidP="00FB5086">
            <w:pPr>
              <w:rPr>
                <w:sz w:val="20"/>
                <w:szCs w:val="20"/>
              </w:rPr>
            </w:pPr>
            <w:r w:rsidRPr="00F07779">
              <w:rPr>
                <w:sz w:val="20"/>
                <w:szCs w:val="20"/>
              </w:rPr>
              <w:t xml:space="preserve">Construction of a dual-system 110 kV transmission line with a length of approximately 7.7 km from the intersection of transmission line No. 117/1 to TS Belgrade 3 and equipping two 110 kV bays at TS Belgrade 3. With the reconstruction of the 220 kV transmission line, it is planned to relocate the transmission line No. 213/2 to the route of the transmission line No. 204 by constructing a dual-system line with a length of approximately 3.2 km, while route 213/2 would be used for the 2x110 kV transmission line. The implementation of this project will solve the problem of power supply in the </w:t>
            </w:r>
            <w:proofErr w:type="spellStart"/>
            <w:r w:rsidRPr="00F07779">
              <w:rPr>
                <w:sz w:val="20"/>
                <w:szCs w:val="20"/>
              </w:rPr>
              <w:t>Kolubara</w:t>
            </w:r>
            <w:proofErr w:type="spellEnd"/>
            <w:r w:rsidRPr="00F07779">
              <w:rPr>
                <w:sz w:val="20"/>
                <w:szCs w:val="20"/>
              </w:rPr>
              <w:t xml:space="preserve"> region that will arise from the shutdown of the TPP </w:t>
            </w:r>
            <w:proofErr w:type="spellStart"/>
            <w:r w:rsidRPr="00F07779">
              <w:rPr>
                <w:sz w:val="20"/>
                <w:szCs w:val="20"/>
              </w:rPr>
              <w:t>Kolubara</w:t>
            </w:r>
            <w:proofErr w:type="spellEnd"/>
            <w:r w:rsidRPr="00F07779">
              <w:rPr>
                <w:sz w:val="20"/>
                <w:szCs w:val="20"/>
              </w:rPr>
              <w:t xml:space="preserve"> A.</w:t>
            </w:r>
          </w:p>
          <w:p w14:paraId="46E82F06" w14:textId="77777777" w:rsidR="0094644B" w:rsidRPr="00F07779" w:rsidRDefault="0094644B" w:rsidP="00FB5086">
            <w:pPr>
              <w:rPr>
                <w:sz w:val="20"/>
                <w:szCs w:val="20"/>
              </w:rPr>
            </w:pPr>
            <w:r w:rsidRPr="00F07779">
              <w:rPr>
                <w:sz w:val="20"/>
                <w:szCs w:val="20"/>
              </w:rPr>
              <w:t>Expected dynamics of project implementation:</w:t>
            </w:r>
          </w:p>
          <w:p w14:paraId="5460DF88" w14:textId="77777777" w:rsidR="0094644B" w:rsidRPr="00F07779" w:rsidRDefault="0094644B" w:rsidP="00FB5086">
            <w:pPr>
              <w:rPr>
                <w:sz w:val="20"/>
                <w:szCs w:val="20"/>
              </w:rPr>
            </w:pPr>
            <w:r w:rsidRPr="00F07779">
              <w:rPr>
                <w:sz w:val="20"/>
                <w:szCs w:val="20"/>
              </w:rPr>
              <w:t>2026. Use permit; end of project</w:t>
            </w:r>
          </w:p>
        </w:tc>
      </w:tr>
      <w:tr w:rsidR="0094644B" w:rsidRPr="00F07779" w14:paraId="26541767"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0B4F008B" w14:textId="77777777" w:rsidR="0094644B" w:rsidRPr="00F07779" w:rsidRDefault="0094644B" w:rsidP="00FB5086">
            <w:pPr>
              <w:rPr>
                <w:sz w:val="20"/>
                <w:szCs w:val="20"/>
              </w:rPr>
            </w:pPr>
            <w:r w:rsidRPr="00FA3F57">
              <w:rPr>
                <w:sz w:val="20"/>
                <w:szCs w:val="20"/>
              </w:rPr>
              <w:t>Institutions responsible for the implementation of measures and activities</w:t>
            </w:r>
          </w:p>
        </w:tc>
        <w:tc>
          <w:tcPr>
            <w:tcW w:w="5667" w:type="dxa"/>
            <w:tcBorders>
              <w:top w:val="single" w:sz="4" w:space="0" w:color="auto"/>
              <w:left w:val="single" w:sz="4" w:space="0" w:color="auto"/>
              <w:bottom w:val="single" w:sz="4" w:space="0" w:color="auto"/>
              <w:right w:val="single" w:sz="4" w:space="0" w:color="auto"/>
            </w:tcBorders>
            <w:hideMark/>
          </w:tcPr>
          <w:p w14:paraId="70D4948F" w14:textId="77777777" w:rsidR="0094644B" w:rsidRPr="00F07779" w:rsidRDefault="0094644B" w:rsidP="00FB5086">
            <w:pPr>
              <w:rPr>
                <w:sz w:val="20"/>
                <w:szCs w:val="20"/>
              </w:rPr>
            </w:pPr>
            <w:r w:rsidRPr="00FA3F57">
              <w:rPr>
                <w:sz w:val="20"/>
                <w:szCs w:val="20"/>
              </w:rPr>
              <w:t>EMS JSC Belgrade</w:t>
            </w:r>
          </w:p>
        </w:tc>
      </w:tr>
      <w:tr w:rsidR="0094644B" w:rsidRPr="00F07779" w14:paraId="45BDE08C"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0312A22A" w14:textId="77777777" w:rsidR="0094644B" w:rsidRPr="00F07779" w:rsidRDefault="0094644B" w:rsidP="00FB5086">
            <w:pPr>
              <w:rPr>
                <w:sz w:val="20"/>
                <w:szCs w:val="20"/>
              </w:rPr>
            </w:pPr>
            <w:r w:rsidRPr="00FA3F57">
              <w:rPr>
                <w:sz w:val="20"/>
                <w:szCs w:val="20"/>
              </w:rPr>
              <w:t>Institutions responsible for monitoring implementation and reporting on the realization</w:t>
            </w:r>
          </w:p>
        </w:tc>
        <w:tc>
          <w:tcPr>
            <w:tcW w:w="5667" w:type="dxa"/>
            <w:tcBorders>
              <w:top w:val="single" w:sz="4" w:space="0" w:color="auto"/>
              <w:left w:val="single" w:sz="4" w:space="0" w:color="auto"/>
              <w:bottom w:val="single" w:sz="4" w:space="0" w:color="auto"/>
              <w:right w:val="single" w:sz="4" w:space="0" w:color="auto"/>
            </w:tcBorders>
            <w:hideMark/>
          </w:tcPr>
          <w:p w14:paraId="7CE3CD44" w14:textId="77777777" w:rsidR="0094644B" w:rsidRPr="00F07779" w:rsidRDefault="0094644B" w:rsidP="00FB5086">
            <w:pPr>
              <w:rPr>
                <w:sz w:val="20"/>
                <w:szCs w:val="20"/>
              </w:rPr>
            </w:pPr>
            <w:r w:rsidRPr="00FA3F57">
              <w:rPr>
                <w:sz w:val="20"/>
                <w:szCs w:val="20"/>
              </w:rPr>
              <w:t>EMS JSC Belgrade</w:t>
            </w:r>
          </w:p>
          <w:p w14:paraId="4A46A9C2" w14:textId="77777777" w:rsidR="0094644B" w:rsidRPr="00FA3F57" w:rsidRDefault="0094644B" w:rsidP="00FB5086">
            <w:pPr>
              <w:rPr>
                <w:sz w:val="20"/>
                <w:szCs w:val="20"/>
              </w:rPr>
            </w:pPr>
            <w:r w:rsidRPr="00FA3F57">
              <w:rPr>
                <w:sz w:val="20"/>
                <w:szCs w:val="20"/>
              </w:rPr>
              <w:t>Republic Commission for Energy Networks</w:t>
            </w:r>
          </w:p>
          <w:p w14:paraId="13EB5238" w14:textId="77777777" w:rsidR="0094644B" w:rsidRPr="00F07779" w:rsidRDefault="0094644B" w:rsidP="00FB5086">
            <w:pPr>
              <w:rPr>
                <w:sz w:val="20"/>
                <w:szCs w:val="20"/>
              </w:rPr>
            </w:pPr>
            <w:r w:rsidRPr="00F07779">
              <w:rPr>
                <w:sz w:val="20"/>
                <w:szCs w:val="20"/>
              </w:rPr>
              <w:t>Ministry of Mining and Energy</w:t>
            </w:r>
          </w:p>
        </w:tc>
      </w:tr>
      <w:tr w:rsidR="0094644B" w:rsidRPr="00F07779" w14:paraId="4B536141"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205C2929" w14:textId="77777777" w:rsidR="0094644B" w:rsidRPr="00F07779" w:rsidRDefault="0094644B" w:rsidP="00FB5086">
            <w:pPr>
              <w:rPr>
                <w:sz w:val="20"/>
                <w:szCs w:val="20"/>
              </w:rPr>
            </w:pPr>
            <w:r w:rsidRPr="00FA3F57">
              <w:rPr>
                <w:sz w:val="20"/>
                <w:szCs w:val="20"/>
              </w:rPr>
              <w:t>Year of project funding start</w:t>
            </w:r>
          </w:p>
        </w:tc>
        <w:tc>
          <w:tcPr>
            <w:tcW w:w="5667" w:type="dxa"/>
            <w:tcBorders>
              <w:top w:val="single" w:sz="4" w:space="0" w:color="auto"/>
              <w:left w:val="single" w:sz="4" w:space="0" w:color="auto"/>
              <w:bottom w:val="single" w:sz="4" w:space="0" w:color="auto"/>
              <w:right w:val="single" w:sz="4" w:space="0" w:color="auto"/>
            </w:tcBorders>
            <w:hideMark/>
          </w:tcPr>
          <w:p w14:paraId="0AA3DC9E" w14:textId="77777777" w:rsidR="0094644B" w:rsidRPr="00F07779" w:rsidRDefault="0094644B" w:rsidP="00FB5086">
            <w:pPr>
              <w:rPr>
                <w:sz w:val="20"/>
                <w:szCs w:val="20"/>
              </w:rPr>
            </w:pPr>
            <w:r w:rsidRPr="00F07779">
              <w:rPr>
                <w:sz w:val="20"/>
                <w:szCs w:val="20"/>
              </w:rPr>
              <w:t xml:space="preserve">2018. </w:t>
            </w:r>
          </w:p>
        </w:tc>
      </w:tr>
      <w:tr w:rsidR="0094644B" w:rsidRPr="00F07779" w14:paraId="4091F321"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58C6DBDE" w14:textId="77777777" w:rsidR="0094644B" w:rsidRPr="00F07779" w:rsidRDefault="0094644B" w:rsidP="00FB5086">
            <w:pPr>
              <w:rPr>
                <w:sz w:val="20"/>
                <w:szCs w:val="20"/>
              </w:rPr>
            </w:pPr>
            <w:r w:rsidRPr="00FA3F57">
              <w:rPr>
                <w:sz w:val="20"/>
                <w:szCs w:val="20"/>
              </w:rPr>
              <w:t>Year of completion of project funding</w:t>
            </w:r>
          </w:p>
        </w:tc>
        <w:tc>
          <w:tcPr>
            <w:tcW w:w="5667" w:type="dxa"/>
            <w:tcBorders>
              <w:top w:val="single" w:sz="4" w:space="0" w:color="auto"/>
              <w:left w:val="single" w:sz="4" w:space="0" w:color="auto"/>
              <w:bottom w:val="single" w:sz="4" w:space="0" w:color="auto"/>
              <w:right w:val="single" w:sz="4" w:space="0" w:color="auto"/>
            </w:tcBorders>
            <w:hideMark/>
          </w:tcPr>
          <w:p w14:paraId="5FEDCB02" w14:textId="77777777" w:rsidR="0094644B" w:rsidRPr="00F07779" w:rsidRDefault="0094644B" w:rsidP="00FB5086">
            <w:pPr>
              <w:rPr>
                <w:sz w:val="20"/>
                <w:szCs w:val="20"/>
              </w:rPr>
            </w:pPr>
            <w:r w:rsidRPr="00F07779">
              <w:rPr>
                <w:sz w:val="20"/>
                <w:szCs w:val="20"/>
              </w:rPr>
              <w:t>2026.</w:t>
            </w:r>
          </w:p>
        </w:tc>
      </w:tr>
      <w:tr w:rsidR="0094644B" w:rsidRPr="00F07779" w14:paraId="6BD7B421"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3A2905F1" w14:textId="77777777" w:rsidR="0094644B" w:rsidRPr="00F07779" w:rsidRDefault="0094644B" w:rsidP="00FB5086">
            <w:pPr>
              <w:rPr>
                <w:sz w:val="20"/>
                <w:szCs w:val="20"/>
              </w:rPr>
            </w:pPr>
            <w:r w:rsidRPr="00FA3F57">
              <w:rPr>
                <w:sz w:val="20"/>
                <w:szCs w:val="20"/>
              </w:rPr>
              <w:t>Total project value</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52D5B6EE" w14:textId="77777777" w:rsidR="0094644B" w:rsidRPr="00FA3F57" w:rsidRDefault="0094644B" w:rsidP="00FB5086">
            <w:pPr>
              <w:rPr>
                <w:sz w:val="20"/>
                <w:szCs w:val="20"/>
              </w:rPr>
            </w:pPr>
            <w:r w:rsidRPr="00FA3F57">
              <w:rPr>
                <w:sz w:val="20"/>
                <w:szCs w:val="20"/>
              </w:rPr>
              <w:t>1,289,750 (11 million EUR)</w:t>
            </w:r>
          </w:p>
        </w:tc>
      </w:tr>
      <w:tr w:rsidR="0094644B" w:rsidRPr="00F07779" w14:paraId="5A991F5C"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4D2656DD" w14:textId="77777777" w:rsidR="0094644B" w:rsidRPr="00F07779" w:rsidRDefault="0094644B" w:rsidP="00FB5086">
            <w:pPr>
              <w:rPr>
                <w:sz w:val="20"/>
                <w:szCs w:val="20"/>
              </w:rPr>
            </w:pPr>
            <w:r w:rsidRPr="00FA3F57">
              <w:rPr>
                <w:sz w:val="20"/>
                <w:szCs w:val="20"/>
              </w:rPr>
              <w:t>Planned investments for 2026.</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52DF464F" w14:textId="77777777" w:rsidR="0094644B" w:rsidRPr="00F07779" w:rsidRDefault="0094644B" w:rsidP="00FB5086">
            <w:pPr>
              <w:rPr>
                <w:sz w:val="20"/>
                <w:szCs w:val="20"/>
              </w:rPr>
            </w:pPr>
            <w:r w:rsidRPr="00F07779">
              <w:rPr>
                <w:sz w:val="20"/>
                <w:szCs w:val="20"/>
              </w:rPr>
              <w:t>197,230 (own funds of EMS JSC)</w:t>
            </w:r>
          </w:p>
        </w:tc>
      </w:tr>
      <w:tr w:rsidR="0094644B" w:rsidRPr="00F07779" w14:paraId="030C1688"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3F550462" w14:textId="77777777" w:rsidR="0094644B" w:rsidRPr="00F07779" w:rsidRDefault="0094644B" w:rsidP="00FB5086">
            <w:pPr>
              <w:rPr>
                <w:sz w:val="20"/>
                <w:szCs w:val="20"/>
              </w:rPr>
            </w:pPr>
            <w:r w:rsidRPr="00FA3F57">
              <w:rPr>
                <w:sz w:val="20"/>
                <w:szCs w:val="20"/>
              </w:rPr>
              <w:t>Planned investments for 2027.</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3B95F606" w14:textId="77777777" w:rsidR="0094644B" w:rsidRPr="00F07779" w:rsidRDefault="0094644B" w:rsidP="00FB5086">
            <w:pPr>
              <w:rPr>
                <w:sz w:val="20"/>
                <w:szCs w:val="20"/>
              </w:rPr>
            </w:pPr>
            <w:r w:rsidRPr="00F07779">
              <w:rPr>
                <w:sz w:val="20"/>
                <w:szCs w:val="20"/>
              </w:rPr>
              <w:t>0</w:t>
            </w:r>
          </w:p>
        </w:tc>
      </w:tr>
      <w:tr w:rsidR="0094644B" w:rsidRPr="00F07779" w14:paraId="0D2D7C6C"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01C9046D" w14:textId="77777777" w:rsidR="0094644B" w:rsidRPr="00F07779" w:rsidRDefault="0094644B" w:rsidP="00FB5086">
            <w:pPr>
              <w:rPr>
                <w:sz w:val="20"/>
                <w:szCs w:val="20"/>
              </w:rPr>
            </w:pPr>
            <w:r w:rsidRPr="00FA3F57">
              <w:rPr>
                <w:sz w:val="20"/>
                <w:szCs w:val="20"/>
              </w:rPr>
              <w:t>Planned investments for 2028.</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17BB72BD" w14:textId="77777777" w:rsidR="0094644B" w:rsidRPr="00F07779" w:rsidRDefault="0094644B" w:rsidP="00FB5086">
            <w:pPr>
              <w:rPr>
                <w:sz w:val="20"/>
                <w:szCs w:val="20"/>
              </w:rPr>
            </w:pPr>
            <w:r w:rsidRPr="00F07779">
              <w:rPr>
                <w:sz w:val="20"/>
                <w:szCs w:val="20"/>
              </w:rPr>
              <w:t>0</w:t>
            </w:r>
          </w:p>
        </w:tc>
      </w:tr>
    </w:tbl>
    <w:p w14:paraId="250AFD31" w14:textId="77777777" w:rsidR="0094644B" w:rsidRPr="00F07779" w:rsidRDefault="0094644B" w:rsidP="0094644B">
      <w:pPr>
        <w:tabs>
          <w:tab w:val="left" w:pos="1276"/>
          <w:tab w:val="left" w:pos="1560"/>
        </w:tabs>
        <w:ind w:left="1440" w:hanging="1440"/>
      </w:pPr>
    </w:p>
    <w:tbl>
      <w:tblPr>
        <w:tblStyle w:val="TableGrid"/>
        <w:tblW w:w="0" w:type="auto"/>
        <w:tblLook w:val="04A0" w:firstRow="1" w:lastRow="0" w:firstColumn="1" w:lastColumn="0" w:noHBand="0" w:noVBand="1"/>
      </w:tblPr>
      <w:tblGrid>
        <w:gridCol w:w="2973"/>
        <w:gridCol w:w="5667"/>
      </w:tblGrid>
      <w:tr w:rsidR="0094644B" w:rsidRPr="00F07779" w14:paraId="7F3EE85E"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1A00CCC" w14:textId="77777777" w:rsidR="0094644B" w:rsidRPr="00F07779" w:rsidRDefault="0094644B" w:rsidP="00FB5086">
            <w:pPr>
              <w:rPr>
                <w:sz w:val="20"/>
                <w:szCs w:val="20"/>
              </w:rPr>
            </w:pPr>
            <w:r w:rsidRPr="00F07779">
              <w:rPr>
                <w:sz w:val="20"/>
                <w:szCs w:val="20"/>
              </w:rPr>
              <w:t>Activity EL1.2</w:t>
            </w:r>
          </w:p>
        </w:tc>
        <w:tc>
          <w:tcPr>
            <w:tcW w:w="566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417C71F" w14:textId="77777777" w:rsidR="0094644B" w:rsidRPr="00F07779" w:rsidRDefault="0094644B" w:rsidP="00FB5086">
            <w:pPr>
              <w:rPr>
                <w:sz w:val="20"/>
                <w:szCs w:val="20"/>
              </w:rPr>
            </w:pPr>
            <w:r w:rsidRPr="00F07779">
              <w:rPr>
                <w:sz w:val="20"/>
                <w:szCs w:val="20"/>
              </w:rPr>
              <w:t>Investment projects focused on the reconstruction and construction of the transmission network</w:t>
            </w:r>
          </w:p>
        </w:tc>
      </w:tr>
      <w:tr w:rsidR="0094644B" w:rsidRPr="00F07779" w14:paraId="602DCFC4"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2B6564DF" w14:textId="77777777" w:rsidR="0094644B" w:rsidRPr="00F07779" w:rsidRDefault="0094644B" w:rsidP="00FB5086">
            <w:pPr>
              <w:rPr>
                <w:sz w:val="20"/>
                <w:szCs w:val="20"/>
              </w:rPr>
            </w:pPr>
            <w:r w:rsidRPr="00FA3F57">
              <w:rPr>
                <w:sz w:val="20"/>
                <w:szCs w:val="20"/>
              </w:rPr>
              <w:t>Name of the project</w:t>
            </w:r>
          </w:p>
        </w:tc>
        <w:tc>
          <w:tcPr>
            <w:tcW w:w="5667"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6BDB8943" w14:textId="77777777" w:rsidR="0094644B" w:rsidRPr="00F07779" w:rsidRDefault="0094644B" w:rsidP="00FB5086">
            <w:pPr>
              <w:rPr>
                <w:sz w:val="20"/>
                <w:szCs w:val="20"/>
              </w:rPr>
            </w:pPr>
            <w:r w:rsidRPr="00F07779">
              <w:rPr>
                <w:sz w:val="20"/>
                <w:szCs w:val="20"/>
              </w:rPr>
              <w:t xml:space="preserve">Reconstruction OHL 110 kV No. 113/2 TS </w:t>
            </w:r>
            <w:proofErr w:type="spellStart"/>
            <w:r w:rsidRPr="00F07779">
              <w:rPr>
                <w:sz w:val="20"/>
                <w:szCs w:val="20"/>
              </w:rPr>
              <w:t>Niš</w:t>
            </w:r>
            <w:proofErr w:type="spellEnd"/>
            <w:r w:rsidRPr="00F07779">
              <w:rPr>
                <w:sz w:val="20"/>
                <w:szCs w:val="20"/>
              </w:rPr>
              <w:t xml:space="preserve"> 2 – TS Leskovac</w:t>
            </w:r>
          </w:p>
        </w:tc>
      </w:tr>
      <w:tr w:rsidR="0094644B" w:rsidRPr="00F07779" w14:paraId="7B39A5B4"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88878EE" w14:textId="77777777" w:rsidR="0094644B" w:rsidRPr="00F07779" w:rsidRDefault="0094644B" w:rsidP="00FB5086">
            <w:pPr>
              <w:rPr>
                <w:sz w:val="20"/>
                <w:szCs w:val="20"/>
              </w:rPr>
            </w:pPr>
            <w:r w:rsidRPr="00FA3F57">
              <w:rPr>
                <w:sz w:val="20"/>
                <w:szCs w:val="20"/>
              </w:rPr>
              <w:t xml:space="preserve">Name of the </w:t>
            </w:r>
            <w:r w:rsidRPr="00F07779">
              <w:rPr>
                <w:sz w:val="20"/>
                <w:szCs w:val="20"/>
              </w:rPr>
              <w:t>investment</w:t>
            </w:r>
          </w:p>
        </w:tc>
        <w:tc>
          <w:tcPr>
            <w:tcW w:w="566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6941D6D" w14:textId="77777777" w:rsidR="0094644B" w:rsidRPr="00F07779" w:rsidRDefault="0094644B" w:rsidP="00FB5086">
            <w:pPr>
              <w:rPr>
                <w:sz w:val="20"/>
                <w:szCs w:val="20"/>
              </w:rPr>
            </w:pPr>
            <w:r w:rsidRPr="00F07779">
              <w:rPr>
                <w:sz w:val="20"/>
                <w:szCs w:val="20"/>
              </w:rPr>
              <w:t xml:space="preserve">OHL No. 113/2 </w:t>
            </w:r>
            <w:proofErr w:type="spellStart"/>
            <w:r w:rsidRPr="00F07779">
              <w:rPr>
                <w:sz w:val="20"/>
                <w:szCs w:val="20"/>
              </w:rPr>
              <w:t>Niš</w:t>
            </w:r>
            <w:proofErr w:type="spellEnd"/>
            <w:r w:rsidRPr="00F07779">
              <w:rPr>
                <w:sz w:val="20"/>
                <w:szCs w:val="20"/>
              </w:rPr>
              <w:t xml:space="preserve"> 2- Leskovac, reconstruction</w:t>
            </w:r>
          </w:p>
        </w:tc>
      </w:tr>
      <w:tr w:rsidR="0094644B" w:rsidRPr="00F07779" w14:paraId="26E8D730"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6D96D2B0" w14:textId="77777777" w:rsidR="0094644B" w:rsidRPr="00F07779" w:rsidRDefault="0094644B" w:rsidP="00FB5086">
            <w:pPr>
              <w:rPr>
                <w:sz w:val="20"/>
                <w:szCs w:val="20"/>
              </w:rPr>
            </w:pPr>
            <w:r w:rsidRPr="00FA3F57">
              <w:rPr>
                <w:sz w:val="20"/>
                <w:szCs w:val="20"/>
              </w:rPr>
              <w:t>Short description of the investment</w:t>
            </w:r>
          </w:p>
        </w:tc>
        <w:tc>
          <w:tcPr>
            <w:tcW w:w="5667" w:type="dxa"/>
            <w:tcBorders>
              <w:top w:val="single" w:sz="4" w:space="0" w:color="auto"/>
              <w:left w:val="single" w:sz="4" w:space="0" w:color="auto"/>
              <w:bottom w:val="single" w:sz="4" w:space="0" w:color="auto"/>
              <w:right w:val="single" w:sz="4" w:space="0" w:color="auto"/>
            </w:tcBorders>
            <w:hideMark/>
          </w:tcPr>
          <w:p w14:paraId="4E1DA425" w14:textId="77777777" w:rsidR="0094644B" w:rsidRPr="00F07779" w:rsidRDefault="0094644B" w:rsidP="00FB5086">
            <w:pPr>
              <w:rPr>
                <w:sz w:val="20"/>
                <w:szCs w:val="20"/>
              </w:rPr>
            </w:pPr>
            <w:r w:rsidRPr="00F07779">
              <w:rPr>
                <w:sz w:val="20"/>
                <w:szCs w:val="20"/>
              </w:rPr>
              <w:t xml:space="preserve">Reconstruction of transmission line sections due to aging. The reconstruction of a section of approximately 47.4 km (from pole No. 11 to pole No. 39) of the total length of the transmission line is planned. The reconstruction foresees the complete replacement of </w:t>
            </w:r>
            <w:r w:rsidRPr="00F07779">
              <w:rPr>
                <w:sz w:val="20"/>
                <w:szCs w:val="20"/>
              </w:rPr>
              <w:lastRenderedPageBreak/>
              <w:t xml:space="preserve">steel lattice towers if they do not meet the requirements for Al/Fe 240/40 mm² conductors. </w:t>
            </w:r>
          </w:p>
          <w:p w14:paraId="622F032B" w14:textId="77777777" w:rsidR="0094644B" w:rsidRPr="00F07779" w:rsidRDefault="0094644B" w:rsidP="00FB5086">
            <w:pPr>
              <w:rPr>
                <w:sz w:val="20"/>
                <w:szCs w:val="20"/>
              </w:rPr>
            </w:pPr>
            <w:r w:rsidRPr="00F07779">
              <w:rPr>
                <w:sz w:val="20"/>
                <w:szCs w:val="20"/>
              </w:rPr>
              <w:t>Expected dynamics of project implementation:</w:t>
            </w:r>
          </w:p>
          <w:p w14:paraId="40997FC2" w14:textId="77777777" w:rsidR="0094644B" w:rsidRPr="00F07779" w:rsidRDefault="0094644B" w:rsidP="00FB5086">
            <w:pPr>
              <w:rPr>
                <w:sz w:val="20"/>
                <w:szCs w:val="20"/>
              </w:rPr>
            </w:pPr>
            <w:r w:rsidRPr="00F07779">
              <w:rPr>
                <w:sz w:val="20"/>
                <w:szCs w:val="20"/>
              </w:rPr>
              <w:t>2026. Construction</w:t>
            </w:r>
          </w:p>
          <w:p w14:paraId="5BC707F9" w14:textId="77777777" w:rsidR="0094644B" w:rsidRPr="00F07779" w:rsidRDefault="0094644B" w:rsidP="00FB5086">
            <w:pPr>
              <w:rPr>
                <w:sz w:val="20"/>
                <w:szCs w:val="20"/>
              </w:rPr>
            </w:pPr>
            <w:r w:rsidRPr="00F07779">
              <w:rPr>
                <w:sz w:val="20"/>
                <w:szCs w:val="20"/>
              </w:rPr>
              <w:t>2027. Construction</w:t>
            </w:r>
          </w:p>
          <w:p w14:paraId="7D89B4C5" w14:textId="77777777" w:rsidR="0094644B" w:rsidRPr="00F07779" w:rsidRDefault="0094644B" w:rsidP="00FB5086">
            <w:pPr>
              <w:rPr>
                <w:sz w:val="20"/>
                <w:szCs w:val="20"/>
              </w:rPr>
            </w:pPr>
            <w:r w:rsidRPr="00F07779">
              <w:rPr>
                <w:sz w:val="20"/>
                <w:szCs w:val="20"/>
              </w:rPr>
              <w:t>2028. Construction</w:t>
            </w:r>
          </w:p>
        </w:tc>
      </w:tr>
      <w:tr w:rsidR="0094644B" w:rsidRPr="00F07779" w14:paraId="35136C0E"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4D941C63" w14:textId="77777777" w:rsidR="0094644B" w:rsidRPr="00F07779" w:rsidRDefault="0094644B" w:rsidP="00FB5086">
            <w:pPr>
              <w:rPr>
                <w:sz w:val="20"/>
                <w:szCs w:val="20"/>
              </w:rPr>
            </w:pPr>
            <w:r w:rsidRPr="00FA3F57">
              <w:rPr>
                <w:sz w:val="20"/>
                <w:szCs w:val="20"/>
              </w:rPr>
              <w:lastRenderedPageBreak/>
              <w:t>Institutions responsible for the implementation of measures and activities</w:t>
            </w:r>
          </w:p>
        </w:tc>
        <w:tc>
          <w:tcPr>
            <w:tcW w:w="5667" w:type="dxa"/>
            <w:tcBorders>
              <w:top w:val="single" w:sz="4" w:space="0" w:color="auto"/>
              <w:left w:val="single" w:sz="4" w:space="0" w:color="auto"/>
              <w:bottom w:val="single" w:sz="4" w:space="0" w:color="auto"/>
              <w:right w:val="single" w:sz="4" w:space="0" w:color="auto"/>
            </w:tcBorders>
            <w:hideMark/>
          </w:tcPr>
          <w:p w14:paraId="4611D489" w14:textId="77777777" w:rsidR="0094644B" w:rsidRPr="00F07779" w:rsidRDefault="0094644B" w:rsidP="00FB5086">
            <w:pPr>
              <w:rPr>
                <w:sz w:val="20"/>
                <w:szCs w:val="20"/>
              </w:rPr>
            </w:pPr>
            <w:r w:rsidRPr="00FA3F57">
              <w:rPr>
                <w:sz w:val="20"/>
                <w:szCs w:val="20"/>
              </w:rPr>
              <w:t>EMS JSC Belgrade</w:t>
            </w:r>
          </w:p>
        </w:tc>
      </w:tr>
      <w:tr w:rsidR="0094644B" w:rsidRPr="00F07779" w14:paraId="3D521062"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45251839" w14:textId="77777777" w:rsidR="0094644B" w:rsidRPr="00F07779" w:rsidRDefault="0094644B" w:rsidP="00FB5086">
            <w:pPr>
              <w:rPr>
                <w:sz w:val="20"/>
                <w:szCs w:val="20"/>
              </w:rPr>
            </w:pPr>
            <w:r w:rsidRPr="00FA3F57">
              <w:rPr>
                <w:sz w:val="20"/>
                <w:szCs w:val="20"/>
              </w:rPr>
              <w:t>Institutions responsible for monitoring implementation and reporting on the realization</w:t>
            </w:r>
          </w:p>
        </w:tc>
        <w:tc>
          <w:tcPr>
            <w:tcW w:w="5667" w:type="dxa"/>
            <w:tcBorders>
              <w:top w:val="single" w:sz="4" w:space="0" w:color="auto"/>
              <w:left w:val="single" w:sz="4" w:space="0" w:color="auto"/>
              <w:bottom w:val="single" w:sz="4" w:space="0" w:color="auto"/>
              <w:right w:val="single" w:sz="4" w:space="0" w:color="auto"/>
            </w:tcBorders>
            <w:hideMark/>
          </w:tcPr>
          <w:p w14:paraId="3B1F12F5" w14:textId="77777777" w:rsidR="0094644B" w:rsidRPr="00FA3F57" w:rsidRDefault="0094644B" w:rsidP="00FB5086">
            <w:pPr>
              <w:rPr>
                <w:sz w:val="20"/>
                <w:szCs w:val="20"/>
              </w:rPr>
            </w:pPr>
            <w:r w:rsidRPr="00FA3F57">
              <w:rPr>
                <w:sz w:val="20"/>
                <w:szCs w:val="20"/>
              </w:rPr>
              <w:t>EMS JSC Belgrade</w:t>
            </w:r>
          </w:p>
          <w:p w14:paraId="32270916" w14:textId="77777777" w:rsidR="0094644B" w:rsidRPr="00FA3F57" w:rsidRDefault="0094644B" w:rsidP="00FB5086">
            <w:pPr>
              <w:rPr>
                <w:sz w:val="20"/>
                <w:szCs w:val="20"/>
              </w:rPr>
            </w:pPr>
            <w:r w:rsidRPr="00FA3F57">
              <w:rPr>
                <w:sz w:val="20"/>
                <w:szCs w:val="20"/>
              </w:rPr>
              <w:t>Republic Commission for Energy Networks</w:t>
            </w:r>
          </w:p>
          <w:p w14:paraId="1E9460CB" w14:textId="77777777" w:rsidR="0094644B" w:rsidRPr="00F07779" w:rsidRDefault="0094644B" w:rsidP="00FB5086">
            <w:pPr>
              <w:rPr>
                <w:sz w:val="20"/>
                <w:szCs w:val="20"/>
              </w:rPr>
            </w:pPr>
            <w:r w:rsidRPr="00F07779">
              <w:rPr>
                <w:sz w:val="20"/>
                <w:szCs w:val="20"/>
              </w:rPr>
              <w:t>Ministry of Mining and Energy</w:t>
            </w:r>
          </w:p>
        </w:tc>
      </w:tr>
      <w:tr w:rsidR="0094644B" w:rsidRPr="00F07779" w14:paraId="136A7E26"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104B41C4" w14:textId="77777777" w:rsidR="0094644B" w:rsidRPr="00F07779" w:rsidRDefault="0094644B" w:rsidP="00FB5086">
            <w:pPr>
              <w:rPr>
                <w:sz w:val="20"/>
                <w:szCs w:val="20"/>
              </w:rPr>
            </w:pPr>
            <w:r w:rsidRPr="00FA3F57">
              <w:rPr>
                <w:sz w:val="20"/>
                <w:szCs w:val="20"/>
              </w:rPr>
              <w:t>Year of project funding start</w:t>
            </w:r>
          </w:p>
        </w:tc>
        <w:tc>
          <w:tcPr>
            <w:tcW w:w="5667" w:type="dxa"/>
            <w:tcBorders>
              <w:top w:val="single" w:sz="4" w:space="0" w:color="auto"/>
              <w:left w:val="single" w:sz="4" w:space="0" w:color="auto"/>
              <w:bottom w:val="single" w:sz="4" w:space="0" w:color="auto"/>
              <w:right w:val="single" w:sz="4" w:space="0" w:color="auto"/>
            </w:tcBorders>
            <w:hideMark/>
          </w:tcPr>
          <w:p w14:paraId="3226BE97" w14:textId="77777777" w:rsidR="0094644B" w:rsidRPr="00F07779" w:rsidRDefault="0094644B" w:rsidP="00FB5086">
            <w:pPr>
              <w:rPr>
                <w:sz w:val="20"/>
                <w:szCs w:val="20"/>
              </w:rPr>
            </w:pPr>
            <w:r w:rsidRPr="00F07779">
              <w:rPr>
                <w:sz w:val="20"/>
                <w:szCs w:val="20"/>
              </w:rPr>
              <w:t xml:space="preserve">2012. </w:t>
            </w:r>
          </w:p>
        </w:tc>
      </w:tr>
      <w:tr w:rsidR="0094644B" w:rsidRPr="00F07779" w14:paraId="66602841"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777642BB" w14:textId="77777777" w:rsidR="0094644B" w:rsidRPr="00F07779" w:rsidRDefault="0094644B" w:rsidP="00FB5086">
            <w:pPr>
              <w:rPr>
                <w:sz w:val="20"/>
                <w:szCs w:val="20"/>
              </w:rPr>
            </w:pPr>
            <w:r w:rsidRPr="00FA3F57">
              <w:rPr>
                <w:sz w:val="20"/>
                <w:szCs w:val="20"/>
              </w:rPr>
              <w:t>Year of completion of project funding</w:t>
            </w:r>
          </w:p>
        </w:tc>
        <w:tc>
          <w:tcPr>
            <w:tcW w:w="5667" w:type="dxa"/>
            <w:tcBorders>
              <w:top w:val="single" w:sz="4" w:space="0" w:color="auto"/>
              <w:left w:val="single" w:sz="4" w:space="0" w:color="auto"/>
              <w:bottom w:val="single" w:sz="4" w:space="0" w:color="auto"/>
              <w:right w:val="single" w:sz="4" w:space="0" w:color="auto"/>
            </w:tcBorders>
            <w:hideMark/>
          </w:tcPr>
          <w:p w14:paraId="0EEAF25A" w14:textId="77777777" w:rsidR="0094644B" w:rsidRPr="00F07779" w:rsidRDefault="0094644B" w:rsidP="00FB5086">
            <w:pPr>
              <w:rPr>
                <w:sz w:val="20"/>
                <w:szCs w:val="20"/>
              </w:rPr>
            </w:pPr>
            <w:r w:rsidRPr="00F07779">
              <w:rPr>
                <w:sz w:val="20"/>
                <w:szCs w:val="20"/>
              </w:rPr>
              <w:t>2028.</w:t>
            </w:r>
          </w:p>
        </w:tc>
      </w:tr>
      <w:tr w:rsidR="0094644B" w:rsidRPr="00F07779" w14:paraId="78CF0494"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11F54359" w14:textId="77777777" w:rsidR="0094644B" w:rsidRPr="00F07779" w:rsidRDefault="0094644B" w:rsidP="00FB5086">
            <w:pPr>
              <w:rPr>
                <w:sz w:val="20"/>
                <w:szCs w:val="20"/>
              </w:rPr>
            </w:pPr>
            <w:r w:rsidRPr="00FA3F57">
              <w:rPr>
                <w:sz w:val="20"/>
                <w:szCs w:val="20"/>
              </w:rPr>
              <w:t>Total project value</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092558DE" w14:textId="77777777" w:rsidR="0094644B" w:rsidRPr="00FA3F57" w:rsidRDefault="0094644B" w:rsidP="00FB5086">
            <w:pPr>
              <w:rPr>
                <w:sz w:val="20"/>
                <w:szCs w:val="20"/>
              </w:rPr>
            </w:pPr>
            <w:r w:rsidRPr="00FA3F57">
              <w:rPr>
                <w:sz w:val="20"/>
                <w:szCs w:val="20"/>
              </w:rPr>
              <w:t>879,375 (7.5 million EUR)</w:t>
            </w:r>
          </w:p>
        </w:tc>
      </w:tr>
      <w:tr w:rsidR="0094644B" w:rsidRPr="00F07779" w14:paraId="4C955373"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38EF89FE" w14:textId="77777777" w:rsidR="0094644B" w:rsidRPr="00F07779" w:rsidRDefault="0094644B" w:rsidP="00FB5086">
            <w:pPr>
              <w:rPr>
                <w:sz w:val="20"/>
                <w:szCs w:val="20"/>
              </w:rPr>
            </w:pPr>
            <w:r w:rsidRPr="00FA3F57">
              <w:rPr>
                <w:sz w:val="20"/>
                <w:szCs w:val="20"/>
              </w:rPr>
              <w:t>Planned investments for 2026.</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588DA239" w14:textId="77777777" w:rsidR="0094644B" w:rsidRPr="00F07779" w:rsidRDefault="0094644B" w:rsidP="00FB5086">
            <w:pPr>
              <w:rPr>
                <w:sz w:val="20"/>
                <w:szCs w:val="20"/>
              </w:rPr>
            </w:pPr>
            <w:r w:rsidRPr="00F07779">
              <w:rPr>
                <w:sz w:val="20"/>
                <w:szCs w:val="20"/>
              </w:rPr>
              <w:t>251,392 (own funds of EMS JSC)</w:t>
            </w:r>
          </w:p>
        </w:tc>
      </w:tr>
      <w:tr w:rsidR="0094644B" w:rsidRPr="00F07779" w14:paraId="23843CE9"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17AF4E74" w14:textId="77777777" w:rsidR="0094644B" w:rsidRPr="00F07779" w:rsidRDefault="0094644B" w:rsidP="00FB5086">
            <w:pPr>
              <w:rPr>
                <w:sz w:val="20"/>
                <w:szCs w:val="20"/>
              </w:rPr>
            </w:pPr>
            <w:r w:rsidRPr="00FA3F57">
              <w:rPr>
                <w:sz w:val="20"/>
                <w:szCs w:val="20"/>
              </w:rPr>
              <w:t>Planned investments for 2027.</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3B616C4B" w14:textId="77777777" w:rsidR="0094644B" w:rsidRPr="00F07779" w:rsidRDefault="0094644B" w:rsidP="00FB5086">
            <w:pPr>
              <w:rPr>
                <w:sz w:val="20"/>
                <w:szCs w:val="20"/>
              </w:rPr>
            </w:pPr>
            <w:r w:rsidRPr="00F07779">
              <w:rPr>
                <w:sz w:val="20"/>
                <w:szCs w:val="20"/>
              </w:rPr>
              <w:t>579,215 (own funds of EMS JSC)</w:t>
            </w:r>
          </w:p>
        </w:tc>
      </w:tr>
      <w:tr w:rsidR="0094644B" w:rsidRPr="00F07779" w14:paraId="1B914F03"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23216AF2" w14:textId="77777777" w:rsidR="0094644B" w:rsidRPr="00F07779" w:rsidRDefault="0094644B" w:rsidP="00FB5086">
            <w:pPr>
              <w:rPr>
                <w:sz w:val="20"/>
                <w:szCs w:val="20"/>
              </w:rPr>
            </w:pPr>
            <w:r w:rsidRPr="00FA3F57">
              <w:rPr>
                <w:sz w:val="20"/>
                <w:szCs w:val="20"/>
              </w:rPr>
              <w:t>Planned investments for 2028.</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54109783" w14:textId="77777777" w:rsidR="0094644B" w:rsidRPr="00F07779" w:rsidRDefault="0094644B" w:rsidP="00FB5086">
            <w:pPr>
              <w:rPr>
                <w:sz w:val="20"/>
                <w:szCs w:val="20"/>
              </w:rPr>
            </w:pPr>
            <w:r w:rsidRPr="00F07779">
              <w:rPr>
                <w:sz w:val="20"/>
                <w:szCs w:val="20"/>
              </w:rPr>
              <w:t>0</w:t>
            </w:r>
          </w:p>
        </w:tc>
      </w:tr>
    </w:tbl>
    <w:p w14:paraId="3090F870" w14:textId="77777777" w:rsidR="0094644B" w:rsidRPr="00F07779" w:rsidRDefault="0094644B" w:rsidP="0094644B">
      <w:pPr>
        <w:tabs>
          <w:tab w:val="left" w:pos="1276"/>
          <w:tab w:val="left" w:pos="1560"/>
        </w:tabs>
        <w:ind w:left="1440" w:hanging="1440"/>
      </w:pPr>
    </w:p>
    <w:tbl>
      <w:tblPr>
        <w:tblStyle w:val="TableGrid"/>
        <w:tblW w:w="0" w:type="auto"/>
        <w:tblLook w:val="04A0" w:firstRow="1" w:lastRow="0" w:firstColumn="1" w:lastColumn="0" w:noHBand="0" w:noVBand="1"/>
      </w:tblPr>
      <w:tblGrid>
        <w:gridCol w:w="2973"/>
        <w:gridCol w:w="5667"/>
      </w:tblGrid>
      <w:tr w:rsidR="0094644B" w:rsidRPr="00F07779" w14:paraId="604ED6F8"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497AC11" w14:textId="77777777" w:rsidR="0094644B" w:rsidRPr="00F07779" w:rsidRDefault="0094644B" w:rsidP="00FB5086">
            <w:pPr>
              <w:rPr>
                <w:sz w:val="20"/>
                <w:szCs w:val="20"/>
              </w:rPr>
            </w:pPr>
            <w:r w:rsidRPr="00F07779">
              <w:rPr>
                <w:sz w:val="20"/>
                <w:szCs w:val="20"/>
              </w:rPr>
              <w:t>Activity EL1.2</w:t>
            </w:r>
          </w:p>
        </w:tc>
        <w:tc>
          <w:tcPr>
            <w:tcW w:w="566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9B0D7AE" w14:textId="77777777" w:rsidR="0094644B" w:rsidRPr="00F07779" w:rsidRDefault="0094644B" w:rsidP="00FB5086">
            <w:pPr>
              <w:rPr>
                <w:sz w:val="20"/>
                <w:szCs w:val="20"/>
              </w:rPr>
            </w:pPr>
            <w:r w:rsidRPr="00F07779">
              <w:rPr>
                <w:sz w:val="20"/>
                <w:szCs w:val="20"/>
              </w:rPr>
              <w:t>Investment projects focused on the reconstruction and construction of the transmission network</w:t>
            </w:r>
          </w:p>
        </w:tc>
      </w:tr>
      <w:tr w:rsidR="0094644B" w:rsidRPr="00F07779" w14:paraId="4478570B"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4B99E11A" w14:textId="77777777" w:rsidR="0094644B" w:rsidRPr="00F07779" w:rsidRDefault="0094644B" w:rsidP="00FB5086">
            <w:pPr>
              <w:rPr>
                <w:sz w:val="20"/>
                <w:szCs w:val="20"/>
              </w:rPr>
            </w:pPr>
            <w:r w:rsidRPr="00FA3F57">
              <w:rPr>
                <w:sz w:val="20"/>
                <w:szCs w:val="20"/>
              </w:rPr>
              <w:t>Name of the project</w:t>
            </w:r>
          </w:p>
        </w:tc>
        <w:tc>
          <w:tcPr>
            <w:tcW w:w="5667"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695D89B2" w14:textId="77777777" w:rsidR="0094644B" w:rsidRPr="00F07779" w:rsidRDefault="0094644B" w:rsidP="00FB5086">
            <w:pPr>
              <w:rPr>
                <w:sz w:val="20"/>
                <w:szCs w:val="20"/>
              </w:rPr>
            </w:pPr>
            <w:r w:rsidRPr="00F07779">
              <w:rPr>
                <w:sz w:val="20"/>
                <w:szCs w:val="20"/>
              </w:rPr>
              <w:t>Reconstruction OHL 110 kV No. 113/3 TS Leskovac 4 – TS Leskovac 2</w:t>
            </w:r>
          </w:p>
        </w:tc>
      </w:tr>
      <w:tr w:rsidR="0094644B" w:rsidRPr="00F07779" w14:paraId="6ABEBC58"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7B0119E" w14:textId="77777777" w:rsidR="0094644B" w:rsidRPr="00F07779" w:rsidRDefault="0094644B" w:rsidP="00FB5086">
            <w:pPr>
              <w:rPr>
                <w:sz w:val="20"/>
                <w:szCs w:val="20"/>
              </w:rPr>
            </w:pPr>
            <w:r w:rsidRPr="00FA3F57">
              <w:rPr>
                <w:sz w:val="20"/>
                <w:szCs w:val="20"/>
              </w:rPr>
              <w:t xml:space="preserve">Name of the </w:t>
            </w:r>
            <w:r w:rsidRPr="00F07779">
              <w:rPr>
                <w:sz w:val="20"/>
                <w:szCs w:val="20"/>
              </w:rPr>
              <w:t>investment</w:t>
            </w:r>
          </w:p>
        </w:tc>
        <w:tc>
          <w:tcPr>
            <w:tcW w:w="566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8A0C553" w14:textId="77777777" w:rsidR="0094644B" w:rsidRPr="00F07779" w:rsidRDefault="0094644B" w:rsidP="00FB5086">
            <w:pPr>
              <w:rPr>
                <w:sz w:val="20"/>
                <w:szCs w:val="20"/>
              </w:rPr>
            </w:pPr>
            <w:r w:rsidRPr="00F07779">
              <w:rPr>
                <w:sz w:val="20"/>
                <w:szCs w:val="20"/>
              </w:rPr>
              <w:t>OHL 110 kV No. 113/3 TS Leskovac 4 – TS Leskovac 2, reconstruction</w:t>
            </w:r>
          </w:p>
        </w:tc>
      </w:tr>
      <w:tr w:rsidR="0094644B" w:rsidRPr="00F07779" w14:paraId="422140B1"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324C68D7" w14:textId="77777777" w:rsidR="0094644B" w:rsidRPr="00F07779" w:rsidRDefault="0094644B" w:rsidP="00FB5086">
            <w:pPr>
              <w:rPr>
                <w:sz w:val="20"/>
                <w:szCs w:val="20"/>
              </w:rPr>
            </w:pPr>
            <w:r w:rsidRPr="00FA3F57">
              <w:rPr>
                <w:sz w:val="20"/>
                <w:szCs w:val="20"/>
              </w:rPr>
              <w:t>Short description of the investment</w:t>
            </w:r>
          </w:p>
        </w:tc>
        <w:tc>
          <w:tcPr>
            <w:tcW w:w="5667" w:type="dxa"/>
            <w:tcBorders>
              <w:top w:val="single" w:sz="4" w:space="0" w:color="auto"/>
              <w:left w:val="single" w:sz="4" w:space="0" w:color="auto"/>
              <w:bottom w:val="single" w:sz="4" w:space="0" w:color="auto"/>
              <w:right w:val="single" w:sz="4" w:space="0" w:color="auto"/>
            </w:tcBorders>
            <w:hideMark/>
          </w:tcPr>
          <w:p w14:paraId="385ED706" w14:textId="77777777" w:rsidR="0094644B" w:rsidRPr="00F07779" w:rsidRDefault="0094644B" w:rsidP="00FB5086">
            <w:pPr>
              <w:rPr>
                <w:sz w:val="20"/>
                <w:szCs w:val="20"/>
              </w:rPr>
            </w:pPr>
            <w:r w:rsidRPr="00F07779">
              <w:rPr>
                <w:sz w:val="20"/>
                <w:szCs w:val="20"/>
              </w:rPr>
              <w:t xml:space="preserve">The planned reconstruction involves replacing concrete poles (8 pole locations) on the existing transmission </w:t>
            </w:r>
            <w:proofErr w:type="gramStart"/>
            <w:r w:rsidRPr="00F07779">
              <w:rPr>
                <w:sz w:val="20"/>
                <w:szCs w:val="20"/>
              </w:rPr>
              <w:t>line, and</w:t>
            </w:r>
            <w:proofErr w:type="gramEnd"/>
            <w:r w:rsidRPr="00F07779">
              <w:rPr>
                <w:sz w:val="20"/>
                <w:szCs w:val="20"/>
              </w:rPr>
              <w:t xml:space="preserve"> adapting sections with steel lattice towers (35 pole locations) by replacing the current Al/Steel conductors with special conductors.</w:t>
            </w:r>
          </w:p>
          <w:p w14:paraId="296BCFA2" w14:textId="77777777" w:rsidR="0094644B" w:rsidRPr="00F07779" w:rsidRDefault="0094644B" w:rsidP="00FB5086">
            <w:pPr>
              <w:rPr>
                <w:sz w:val="20"/>
                <w:szCs w:val="20"/>
              </w:rPr>
            </w:pPr>
            <w:r w:rsidRPr="00F07779">
              <w:rPr>
                <w:sz w:val="20"/>
                <w:szCs w:val="20"/>
              </w:rPr>
              <w:t>Expected dynamics of project implementation:</w:t>
            </w:r>
          </w:p>
          <w:p w14:paraId="28093426" w14:textId="77777777" w:rsidR="0094644B" w:rsidRPr="00F07779" w:rsidRDefault="0094644B" w:rsidP="00FB5086">
            <w:pPr>
              <w:rPr>
                <w:sz w:val="20"/>
                <w:szCs w:val="20"/>
              </w:rPr>
            </w:pPr>
            <w:r w:rsidRPr="00F07779">
              <w:rPr>
                <w:sz w:val="20"/>
                <w:szCs w:val="20"/>
              </w:rPr>
              <w:t>2026. Location conditions</w:t>
            </w:r>
          </w:p>
          <w:p w14:paraId="0422556C" w14:textId="77777777" w:rsidR="0094644B" w:rsidRPr="00F07779" w:rsidRDefault="0094644B" w:rsidP="00FB5086">
            <w:pPr>
              <w:rPr>
                <w:sz w:val="20"/>
                <w:szCs w:val="20"/>
              </w:rPr>
            </w:pPr>
            <w:r w:rsidRPr="00F07779">
              <w:rPr>
                <w:sz w:val="20"/>
                <w:szCs w:val="20"/>
              </w:rPr>
              <w:t>2027. Preliminary design</w:t>
            </w:r>
          </w:p>
          <w:p w14:paraId="3433CBE1" w14:textId="77777777" w:rsidR="0094644B" w:rsidRPr="00F07779" w:rsidRDefault="0094644B" w:rsidP="00FB5086">
            <w:pPr>
              <w:rPr>
                <w:sz w:val="20"/>
                <w:szCs w:val="20"/>
              </w:rPr>
            </w:pPr>
            <w:r w:rsidRPr="00F07779">
              <w:rPr>
                <w:sz w:val="20"/>
                <w:szCs w:val="20"/>
              </w:rPr>
              <w:t>2028. Construction</w:t>
            </w:r>
          </w:p>
        </w:tc>
      </w:tr>
      <w:tr w:rsidR="0094644B" w:rsidRPr="00F07779" w14:paraId="46910381"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10BBAADC" w14:textId="77777777" w:rsidR="0094644B" w:rsidRPr="00F07779" w:rsidRDefault="0094644B" w:rsidP="00FB5086">
            <w:pPr>
              <w:rPr>
                <w:sz w:val="20"/>
                <w:szCs w:val="20"/>
              </w:rPr>
            </w:pPr>
            <w:r w:rsidRPr="00FA3F57">
              <w:rPr>
                <w:sz w:val="20"/>
                <w:szCs w:val="20"/>
              </w:rPr>
              <w:t>Institutions responsible for the implementation of measures and activities</w:t>
            </w:r>
          </w:p>
        </w:tc>
        <w:tc>
          <w:tcPr>
            <w:tcW w:w="5667" w:type="dxa"/>
            <w:tcBorders>
              <w:top w:val="single" w:sz="4" w:space="0" w:color="auto"/>
              <w:left w:val="single" w:sz="4" w:space="0" w:color="auto"/>
              <w:bottom w:val="single" w:sz="4" w:space="0" w:color="auto"/>
              <w:right w:val="single" w:sz="4" w:space="0" w:color="auto"/>
            </w:tcBorders>
            <w:hideMark/>
          </w:tcPr>
          <w:p w14:paraId="0A966443" w14:textId="77777777" w:rsidR="0094644B" w:rsidRPr="00F07779" w:rsidRDefault="0094644B" w:rsidP="00FB5086">
            <w:pPr>
              <w:rPr>
                <w:sz w:val="20"/>
                <w:szCs w:val="20"/>
              </w:rPr>
            </w:pPr>
            <w:r w:rsidRPr="00FA3F57">
              <w:rPr>
                <w:sz w:val="20"/>
                <w:szCs w:val="20"/>
              </w:rPr>
              <w:t>EMS JSC Belgrade</w:t>
            </w:r>
          </w:p>
        </w:tc>
      </w:tr>
      <w:tr w:rsidR="0094644B" w:rsidRPr="00F07779" w14:paraId="638E41EC"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4440494D" w14:textId="77777777" w:rsidR="0094644B" w:rsidRPr="00F07779" w:rsidRDefault="0094644B" w:rsidP="00FB5086">
            <w:pPr>
              <w:rPr>
                <w:sz w:val="20"/>
                <w:szCs w:val="20"/>
              </w:rPr>
            </w:pPr>
            <w:r w:rsidRPr="00FA3F57">
              <w:rPr>
                <w:sz w:val="20"/>
                <w:szCs w:val="20"/>
              </w:rPr>
              <w:t>Institutions responsible for monitoring implementation and reporting on the realization</w:t>
            </w:r>
          </w:p>
        </w:tc>
        <w:tc>
          <w:tcPr>
            <w:tcW w:w="5667" w:type="dxa"/>
            <w:tcBorders>
              <w:top w:val="single" w:sz="4" w:space="0" w:color="auto"/>
              <w:left w:val="single" w:sz="4" w:space="0" w:color="auto"/>
              <w:bottom w:val="single" w:sz="4" w:space="0" w:color="auto"/>
              <w:right w:val="single" w:sz="4" w:space="0" w:color="auto"/>
            </w:tcBorders>
            <w:hideMark/>
          </w:tcPr>
          <w:p w14:paraId="7148D5DA" w14:textId="77777777" w:rsidR="0094644B" w:rsidRPr="00FA3F57" w:rsidRDefault="0094644B" w:rsidP="00FB5086">
            <w:pPr>
              <w:rPr>
                <w:sz w:val="20"/>
                <w:szCs w:val="20"/>
              </w:rPr>
            </w:pPr>
            <w:r w:rsidRPr="00FA3F57">
              <w:rPr>
                <w:sz w:val="20"/>
                <w:szCs w:val="20"/>
              </w:rPr>
              <w:t xml:space="preserve">EMS JSC </w:t>
            </w:r>
            <w:proofErr w:type="spellStart"/>
            <w:r w:rsidRPr="00FA3F57">
              <w:rPr>
                <w:sz w:val="20"/>
                <w:szCs w:val="20"/>
              </w:rPr>
              <w:t>BelgradežRepublic</w:t>
            </w:r>
            <w:proofErr w:type="spellEnd"/>
            <w:r w:rsidRPr="00FA3F57">
              <w:rPr>
                <w:sz w:val="20"/>
                <w:szCs w:val="20"/>
              </w:rPr>
              <w:t xml:space="preserve"> Commission for Energy Networks</w:t>
            </w:r>
          </w:p>
          <w:p w14:paraId="124105F5" w14:textId="77777777" w:rsidR="0094644B" w:rsidRPr="00F07779" w:rsidRDefault="0094644B" w:rsidP="00FB5086">
            <w:pPr>
              <w:rPr>
                <w:sz w:val="20"/>
                <w:szCs w:val="20"/>
              </w:rPr>
            </w:pPr>
            <w:r w:rsidRPr="00F07779">
              <w:rPr>
                <w:sz w:val="20"/>
                <w:szCs w:val="20"/>
              </w:rPr>
              <w:t>Ministry of Mining and Energy</w:t>
            </w:r>
          </w:p>
        </w:tc>
      </w:tr>
      <w:tr w:rsidR="0094644B" w:rsidRPr="00F07779" w14:paraId="4C706E71"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6383E43B" w14:textId="77777777" w:rsidR="0094644B" w:rsidRPr="00F07779" w:rsidRDefault="0094644B" w:rsidP="00FB5086">
            <w:pPr>
              <w:rPr>
                <w:sz w:val="20"/>
                <w:szCs w:val="20"/>
              </w:rPr>
            </w:pPr>
            <w:r w:rsidRPr="00FA3F57">
              <w:rPr>
                <w:sz w:val="20"/>
                <w:szCs w:val="20"/>
              </w:rPr>
              <w:t>Year of project funding start</w:t>
            </w:r>
          </w:p>
        </w:tc>
        <w:tc>
          <w:tcPr>
            <w:tcW w:w="5667" w:type="dxa"/>
            <w:tcBorders>
              <w:top w:val="single" w:sz="4" w:space="0" w:color="auto"/>
              <w:left w:val="single" w:sz="4" w:space="0" w:color="auto"/>
              <w:bottom w:val="single" w:sz="4" w:space="0" w:color="auto"/>
              <w:right w:val="single" w:sz="4" w:space="0" w:color="auto"/>
            </w:tcBorders>
            <w:hideMark/>
          </w:tcPr>
          <w:p w14:paraId="55D7A20B" w14:textId="77777777" w:rsidR="0094644B" w:rsidRPr="00F07779" w:rsidRDefault="0094644B" w:rsidP="00FB5086">
            <w:pPr>
              <w:rPr>
                <w:sz w:val="20"/>
                <w:szCs w:val="20"/>
              </w:rPr>
            </w:pPr>
            <w:r w:rsidRPr="00F07779">
              <w:rPr>
                <w:sz w:val="20"/>
                <w:szCs w:val="20"/>
              </w:rPr>
              <w:t xml:space="preserve">2023. </w:t>
            </w:r>
          </w:p>
        </w:tc>
      </w:tr>
      <w:tr w:rsidR="0094644B" w:rsidRPr="00F07779" w14:paraId="38EA548B"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1049B4DA" w14:textId="77777777" w:rsidR="0094644B" w:rsidRPr="00F07779" w:rsidRDefault="0094644B" w:rsidP="00FB5086">
            <w:pPr>
              <w:rPr>
                <w:sz w:val="20"/>
                <w:szCs w:val="20"/>
              </w:rPr>
            </w:pPr>
            <w:r w:rsidRPr="00FA3F57">
              <w:rPr>
                <w:sz w:val="20"/>
                <w:szCs w:val="20"/>
              </w:rPr>
              <w:t>Year of completion of project funding</w:t>
            </w:r>
          </w:p>
        </w:tc>
        <w:tc>
          <w:tcPr>
            <w:tcW w:w="5667" w:type="dxa"/>
            <w:tcBorders>
              <w:top w:val="single" w:sz="4" w:space="0" w:color="auto"/>
              <w:left w:val="single" w:sz="4" w:space="0" w:color="auto"/>
              <w:bottom w:val="single" w:sz="4" w:space="0" w:color="auto"/>
              <w:right w:val="single" w:sz="4" w:space="0" w:color="auto"/>
            </w:tcBorders>
            <w:hideMark/>
          </w:tcPr>
          <w:p w14:paraId="76ABD3D4" w14:textId="77777777" w:rsidR="0094644B" w:rsidRPr="00F07779" w:rsidRDefault="0094644B" w:rsidP="00FB5086">
            <w:pPr>
              <w:rPr>
                <w:sz w:val="20"/>
                <w:szCs w:val="20"/>
              </w:rPr>
            </w:pPr>
            <w:r w:rsidRPr="00F07779">
              <w:rPr>
                <w:sz w:val="20"/>
                <w:szCs w:val="20"/>
              </w:rPr>
              <w:t>2028.</w:t>
            </w:r>
          </w:p>
        </w:tc>
      </w:tr>
      <w:tr w:rsidR="0094644B" w:rsidRPr="00F07779" w14:paraId="45888283"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10BA1AF6" w14:textId="77777777" w:rsidR="0094644B" w:rsidRPr="00F07779" w:rsidRDefault="0094644B" w:rsidP="00FB5086">
            <w:pPr>
              <w:rPr>
                <w:sz w:val="20"/>
                <w:szCs w:val="20"/>
              </w:rPr>
            </w:pPr>
            <w:r w:rsidRPr="00FA3F57">
              <w:rPr>
                <w:sz w:val="20"/>
                <w:szCs w:val="20"/>
              </w:rPr>
              <w:t>Total project value</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4EA90743" w14:textId="77777777" w:rsidR="0094644B" w:rsidRPr="00FA3F57" w:rsidRDefault="0094644B" w:rsidP="00FB5086">
            <w:pPr>
              <w:rPr>
                <w:sz w:val="20"/>
                <w:szCs w:val="20"/>
              </w:rPr>
            </w:pPr>
            <w:r w:rsidRPr="00FA3F57">
              <w:rPr>
                <w:sz w:val="20"/>
                <w:szCs w:val="20"/>
              </w:rPr>
              <w:t>105,525 (0.9 million EUR)</w:t>
            </w:r>
          </w:p>
        </w:tc>
      </w:tr>
      <w:tr w:rsidR="0094644B" w:rsidRPr="00F07779" w14:paraId="66862BCF"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2103A805" w14:textId="77777777" w:rsidR="0094644B" w:rsidRPr="00F07779" w:rsidRDefault="0094644B" w:rsidP="00FB5086">
            <w:pPr>
              <w:rPr>
                <w:sz w:val="20"/>
                <w:szCs w:val="20"/>
              </w:rPr>
            </w:pPr>
            <w:r w:rsidRPr="00FA3F57">
              <w:rPr>
                <w:sz w:val="20"/>
                <w:szCs w:val="20"/>
              </w:rPr>
              <w:t>Planned investments for 2026.</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245185C9" w14:textId="77777777" w:rsidR="0094644B" w:rsidRPr="00F07779" w:rsidRDefault="0094644B" w:rsidP="00FB5086">
            <w:pPr>
              <w:rPr>
                <w:sz w:val="20"/>
                <w:szCs w:val="20"/>
              </w:rPr>
            </w:pPr>
            <w:r w:rsidRPr="00F07779">
              <w:rPr>
                <w:sz w:val="20"/>
                <w:szCs w:val="20"/>
              </w:rPr>
              <w:t>10,308 (own funds of EMS JSC)</w:t>
            </w:r>
          </w:p>
        </w:tc>
      </w:tr>
      <w:tr w:rsidR="0094644B" w:rsidRPr="00F07779" w14:paraId="464AEB96"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444BA274" w14:textId="77777777" w:rsidR="0094644B" w:rsidRPr="00F07779" w:rsidRDefault="0094644B" w:rsidP="00FB5086">
            <w:pPr>
              <w:rPr>
                <w:sz w:val="20"/>
                <w:szCs w:val="20"/>
              </w:rPr>
            </w:pPr>
            <w:r w:rsidRPr="00FA3F57">
              <w:rPr>
                <w:sz w:val="20"/>
                <w:szCs w:val="20"/>
              </w:rPr>
              <w:t>Planned investments for 2027.</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24A41874" w14:textId="77777777" w:rsidR="0094644B" w:rsidRPr="00F07779" w:rsidRDefault="0094644B" w:rsidP="00FB5086">
            <w:pPr>
              <w:rPr>
                <w:sz w:val="20"/>
                <w:szCs w:val="20"/>
              </w:rPr>
            </w:pPr>
            <w:r w:rsidRPr="00F07779">
              <w:rPr>
                <w:sz w:val="20"/>
                <w:szCs w:val="20"/>
              </w:rPr>
              <w:t>10,308 (own funds of EMS JSC)</w:t>
            </w:r>
          </w:p>
        </w:tc>
      </w:tr>
      <w:tr w:rsidR="0094644B" w:rsidRPr="00F07779" w14:paraId="2EBE00CB"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433CC457" w14:textId="77777777" w:rsidR="0094644B" w:rsidRPr="00F07779" w:rsidRDefault="0094644B" w:rsidP="00FB5086">
            <w:pPr>
              <w:rPr>
                <w:sz w:val="20"/>
                <w:szCs w:val="20"/>
              </w:rPr>
            </w:pPr>
            <w:r w:rsidRPr="00FA3F57">
              <w:rPr>
                <w:sz w:val="20"/>
                <w:szCs w:val="20"/>
              </w:rPr>
              <w:t>Planned investments for 2028.</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0D451832" w14:textId="77777777" w:rsidR="0094644B" w:rsidRPr="00F07779" w:rsidRDefault="0094644B" w:rsidP="00FB5086">
            <w:pPr>
              <w:rPr>
                <w:sz w:val="20"/>
                <w:szCs w:val="20"/>
              </w:rPr>
            </w:pPr>
            <w:r w:rsidRPr="00F07779">
              <w:rPr>
                <w:sz w:val="20"/>
                <w:szCs w:val="20"/>
              </w:rPr>
              <w:t>83,195 (own funds of EMS JSC)</w:t>
            </w:r>
          </w:p>
        </w:tc>
      </w:tr>
    </w:tbl>
    <w:p w14:paraId="4A31424A" w14:textId="77777777" w:rsidR="0094644B" w:rsidRPr="00F07779" w:rsidRDefault="0094644B" w:rsidP="0094644B">
      <w:pPr>
        <w:tabs>
          <w:tab w:val="left" w:pos="1276"/>
          <w:tab w:val="left" w:pos="1560"/>
        </w:tabs>
        <w:ind w:left="1440" w:hanging="1440"/>
      </w:pPr>
    </w:p>
    <w:tbl>
      <w:tblPr>
        <w:tblStyle w:val="TableGrid"/>
        <w:tblW w:w="0" w:type="auto"/>
        <w:tblLook w:val="04A0" w:firstRow="1" w:lastRow="0" w:firstColumn="1" w:lastColumn="0" w:noHBand="0" w:noVBand="1"/>
      </w:tblPr>
      <w:tblGrid>
        <w:gridCol w:w="2973"/>
        <w:gridCol w:w="5667"/>
      </w:tblGrid>
      <w:tr w:rsidR="0094644B" w:rsidRPr="00F07779" w14:paraId="1904FE9C"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EC8E2DA" w14:textId="77777777" w:rsidR="0094644B" w:rsidRPr="00F07779" w:rsidRDefault="0094644B" w:rsidP="00FB5086">
            <w:pPr>
              <w:rPr>
                <w:sz w:val="20"/>
                <w:szCs w:val="20"/>
              </w:rPr>
            </w:pPr>
            <w:r w:rsidRPr="00F07779">
              <w:rPr>
                <w:sz w:val="20"/>
                <w:szCs w:val="20"/>
              </w:rPr>
              <w:t>Activity EL1.2</w:t>
            </w:r>
          </w:p>
        </w:tc>
        <w:tc>
          <w:tcPr>
            <w:tcW w:w="566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BB3BA75" w14:textId="77777777" w:rsidR="0094644B" w:rsidRPr="00F07779" w:rsidRDefault="0094644B" w:rsidP="00FB5086">
            <w:pPr>
              <w:rPr>
                <w:sz w:val="20"/>
                <w:szCs w:val="20"/>
              </w:rPr>
            </w:pPr>
            <w:r w:rsidRPr="00F07779">
              <w:rPr>
                <w:sz w:val="20"/>
                <w:szCs w:val="20"/>
              </w:rPr>
              <w:t>Investment projects focused on the reconstruction and construction of the transmission network</w:t>
            </w:r>
          </w:p>
        </w:tc>
      </w:tr>
      <w:tr w:rsidR="0094644B" w:rsidRPr="00F07779" w14:paraId="7A89AD3F"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6FA873EC" w14:textId="77777777" w:rsidR="0094644B" w:rsidRPr="00F07779" w:rsidRDefault="0094644B" w:rsidP="00FB5086">
            <w:pPr>
              <w:rPr>
                <w:sz w:val="20"/>
                <w:szCs w:val="20"/>
              </w:rPr>
            </w:pPr>
            <w:r w:rsidRPr="00FA3F57">
              <w:rPr>
                <w:sz w:val="20"/>
                <w:szCs w:val="20"/>
              </w:rPr>
              <w:t>Name of the project</w:t>
            </w:r>
          </w:p>
        </w:tc>
        <w:tc>
          <w:tcPr>
            <w:tcW w:w="5667"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2C7408FD" w14:textId="77777777" w:rsidR="0094644B" w:rsidRPr="00F07779" w:rsidRDefault="0094644B" w:rsidP="00FB5086">
            <w:pPr>
              <w:rPr>
                <w:sz w:val="20"/>
                <w:szCs w:val="20"/>
              </w:rPr>
            </w:pPr>
            <w:r w:rsidRPr="00F07779">
              <w:rPr>
                <w:sz w:val="20"/>
                <w:szCs w:val="20"/>
              </w:rPr>
              <w:t xml:space="preserve">Reconstruction OHL 110 kV No. 113/4 TS Leskovac 2 – EVP </w:t>
            </w:r>
            <w:proofErr w:type="spellStart"/>
            <w:r w:rsidRPr="00F07779">
              <w:rPr>
                <w:sz w:val="20"/>
                <w:szCs w:val="20"/>
              </w:rPr>
              <w:t>Grdelica</w:t>
            </w:r>
            <w:proofErr w:type="spellEnd"/>
          </w:p>
        </w:tc>
      </w:tr>
      <w:tr w:rsidR="0094644B" w:rsidRPr="00F07779" w14:paraId="1A479A26"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EC833D7" w14:textId="77777777" w:rsidR="0094644B" w:rsidRPr="00F07779" w:rsidRDefault="0094644B" w:rsidP="00FB5086">
            <w:pPr>
              <w:rPr>
                <w:sz w:val="20"/>
                <w:szCs w:val="20"/>
              </w:rPr>
            </w:pPr>
            <w:r w:rsidRPr="00FA3F57">
              <w:rPr>
                <w:sz w:val="20"/>
                <w:szCs w:val="20"/>
              </w:rPr>
              <w:t xml:space="preserve">Name of the </w:t>
            </w:r>
            <w:r w:rsidRPr="00F07779">
              <w:rPr>
                <w:sz w:val="20"/>
                <w:szCs w:val="20"/>
              </w:rPr>
              <w:t>investment</w:t>
            </w:r>
          </w:p>
        </w:tc>
        <w:tc>
          <w:tcPr>
            <w:tcW w:w="566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1796C97" w14:textId="77777777" w:rsidR="0094644B" w:rsidRPr="00F07779" w:rsidRDefault="0094644B" w:rsidP="00FB5086">
            <w:pPr>
              <w:rPr>
                <w:sz w:val="20"/>
                <w:szCs w:val="20"/>
              </w:rPr>
            </w:pPr>
            <w:r w:rsidRPr="00F07779">
              <w:rPr>
                <w:sz w:val="20"/>
                <w:szCs w:val="20"/>
              </w:rPr>
              <w:t xml:space="preserve">OHL 110 kV No. 113/4 Leskovac 2 – EVP </w:t>
            </w:r>
            <w:proofErr w:type="spellStart"/>
            <w:r w:rsidRPr="00F07779">
              <w:rPr>
                <w:sz w:val="20"/>
                <w:szCs w:val="20"/>
              </w:rPr>
              <w:t>Grdelica</w:t>
            </w:r>
            <w:proofErr w:type="spellEnd"/>
          </w:p>
        </w:tc>
      </w:tr>
      <w:tr w:rsidR="0094644B" w:rsidRPr="00F07779" w14:paraId="47E19C40"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47F16D9C" w14:textId="77777777" w:rsidR="0094644B" w:rsidRPr="00F07779" w:rsidRDefault="0094644B" w:rsidP="00FB5086">
            <w:pPr>
              <w:rPr>
                <w:sz w:val="20"/>
                <w:szCs w:val="20"/>
              </w:rPr>
            </w:pPr>
            <w:r w:rsidRPr="00FA3F57">
              <w:rPr>
                <w:sz w:val="20"/>
                <w:szCs w:val="20"/>
              </w:rPr>
              <w:lastRenderedPageBreak/>
              <w:t>Short description of the investment</w:t>
            </w:r>
          </w:p>
        </w:tc>
        <w:tc>
          <w:tcPr>
            <w:tcW w:w="5667" w:type="dxa"/>
            <w:tcBorders>
              <w:top w:val="single" w:sz="4" w:space="0" w:color="auto"/>
              <w:left w:val="single" w:sz="4" w:space="0" w:color="auto"/>
              <w:bottom w:val="single" w:sz="4" w:space="0" w:color="auto"/>
              <w:right w:val="single" w:sz="4" w:space="0" w:color="auto"/>
            </w:tcBorders>
            <w:hideMark/>
          </w:tcPr>
          <w:p w14:paraId="1406D04B" w14:textId="77777777" w:rsidR="0094644B" w:rsidRPr="00F07779" w:rsidRDefault="0094644B" w:rsidP="00FB5086">
            <w:pPr>
              <w:rPr>
                <w:sz w:val="20"/>
                <w:szCs w:val="20"/>
              </w:rPr>
            </w:pPr>
            <w:r w:rsidRPr="00F07779">
              <w:rPr>
                <w:sz w:val="20"/>
                <w:szCs w:val="20"/>
              </w:rPr>
              <w:t>Reconstruction of transmission line sections due to aging. A reconstruction of approximately 12.12 km is planned. The reconstruction foresees the complete replacement of steel lattice towers if they do not meet the requirements for Al/Fe 240/40 mm² conductors.</w:t>
            </w:r>
          </w:p>
          <w:p w14:paraId="64717FD2" w14:textId="77777777" w:rsidR="0094644B" w:rsidRPr="00F07779" w:rsidRDefault="0094644B" w:rsidP="00FB5086">
            <w:pPr>
              <w:rPr>
                <w:sz w:val="20"/>
                <w:szCs w:val="20"/>
              </w:rPr>
            </w:pPr>
            <w:r w:rsidRPr="00F07779">
              <w:rPr>
                <w:sz w:val="20"/>
                <w:szCs w:val="20"/>
              </w:rPr>
              <w:t>Expected dynamics of project implementation:</w:t>
            </w:r>
          </w:p>
          <w:p w14:paraId="71418C6E" w14:textId="77777777" w:rsidR="0094644B" w:rsidRPr="00F07779" w:rsidRDefault="0094644B" w:rsidP="00FB5086">
            <w:pPr>
              <w:rPr>
                <w:sz w:val="20"/>
                <w:szCs w:val="20"/>
              </w:rPr>
            </w:pPr>
            <w:r w:rsidRPr="00F07779">
              <w:rPr>
                <w:sz w:val="20"/>
                <w:szCs w:val="20"/>
              </w:rPr>
              <w:t>2026. Building permit</w:t>
            </w:r>
          </w:p>
          <w:p w14:paraId="7AB53C70" w14:textId="77777777" w:rsidR="0094644B" w:rsidRPr="00F07779" w:rsidRDefault="0094644B" w:rsidP="00FB5086">
            <w:pPr>
              <w:rPr>
                <w:sz w:val="20"/>
                <w:szCs w:val="20"/>
              </w:rPr>
            </w:pPr>
            <w:r w:rsidRPr="00F07779">
              <w:rPr>
                <w:sz w:val="20"/>
                <w:szCs w:val="20"/>
              </w:rPr>
              <w:t>2027. Construction</w:t>
            </w:r>
          </w:p>
          <w:p w14:paraId="15DC84DC" w14:textId="77777777" w:rsidR="0094644B" w:rsidRPr="00F07779" w:rsidRDefault="0094644B" w:rsidP="00FB5086">
            <w:pPr>
              <w:rPr>
                <w:sz w:val="20"/>
                <w:szCs w:val="20"/>
              </w:rPr>
            </w:pPr>
            <w:r w:rsidRPr="00F07779">
              <w:rPr>
                <w:sz w:val="20"/>
                <w:szCs w:val="20"/>
              </w:rPr>
              <w:t>2028. Construction</w:t>
            </w:r>
          </w:p>
        </w:tc>
      </w:tr>
      <w:tr w:rsidR="0094644B" w:rsidRPr="00F07779" w14:paraId="20A9E014"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35342329" w14:textId="77777777" w:rsidR="0094644B" w:rsidRPr="00F07779" w:rsidRDefault="0094644B" w:rsidP="00FB5086">
            <w:pPr>
              <w:rPr>
                <w:sz w:val="20"/>
                <w:szCs w:val="20"/>
              </w:rPr>
            </w:pPr>
            <w:r w:rsidRPr="00FA3F57">
              <w:rPr>
                <w:sz w:val="20"/>
                <w:szCs w:val="20"/>
              </w:rPr>
              <w:t>Institutions responsible for the implementation of measures and activities</w:t>
            </w:r>
          </w:p>
        </w:tc>
        <w:tc>
          <w:tcPr>
            <w:tcW w:w="5667" w:type="dxa"/>
            <w:tcBorders>
              <w:top w:val="single" w:sz="4" w:space="0" w:color="auto"/>
              <w:left w:val="single" w:sz="4" w:space="0" w:color="auto"/>
              <w:bottom w:val="single" w:sz="4" w:space="0" w:color="auto"/>
              <w:right w:val="single" w:sz="4" w:space="0" w:color="auto"/>
            </w:tcBorders>
            <w:hideMark/>
          </w:tcPr>
          <w:p w14:paraId="2C35A28E" w14:textId="77777777" w:rsidR="0094644B" w:rsidRPr="00F07779" w:rsidRDefault="0094644B" w:rsidP="00FB5086">
            <w:pPr>
              <w:rPr>
                <w:sz w:val="20"/>
                <w:szCs w:val="20"/>
              </w:rPr>
            </w:pPr>
            <w:r w:rsidRPr="00FA3F57">
              <w:rPr>
                <w:sz w:val="20"/>
                <w:szCs w:val="20"/>
              </w:rPr>
              <w:t>EMS JSC Belgrade</w:t>
            </w:r>
          </w:p>
        </w:tc>
      </w:tr>
      <w:tr w:rsidR="0094644B" w:rsidRPr="00F07779" w14:paraId="46A93FEF"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3006257A" w14:textId="77777777" w:rsidR="0094644B" w:rsidRPr="00F07779" w:rsidRDefault="0094644B" w:rsidP="00FB5086">
            <w:pPr>
              <w:rPr>
                <w:sz w:val="20"/>
                <w:szCs w:val="20"/>
              </w:rPr>
            </w:pPr>
            <w:r w:rsidRPr="00FA3F57">
              <w:rPr>
                <w:sz w:val="20"/>
                <w:szCs w:val="20"/>
              </w:rPr>
              <w:t>Institutions responsible for monitoring implementation and reporting on the realization</w:t>
            </w:r>
          </w:p>
        </w:tc>
        <w:tc>
          <w:tcPr>
            <w:tcW w:w="5667" w:type="dxa"/>
            <w:tcBorders>
              <w:top w:val="single" w:sz="4" w:space="0" w:color="auto"/>
              <w:left w:val="single" w:sz="4" w:space="0" w:color="auto"/>
              <w:bottom w:val="single" w:sz="4" w:space="0" w:color="auto"/>
              <w:right w:val="single" w:sz="4" w:space="0" w:color="auto"/>
            </w:tcBorders>
            <w:hideMark/>
          </w:tcPr>
          <w:p w14:paraId="76D8745C" w14:textId="77777777" w:rsidR="0094644B" w:rsidRPr="00FA3F57" w:rsidRDefault="0094644B" w:rsidP="00FB5086">
            <w:pPr>
              <w:rPr>
                <w:sz w:val="20"/>
                <w:szCs w:val="20"/>
              </w:rPr>
            </w:pPr>
            <w:r w:rsidRPr="00FA3F57">
              <w:rPr>
                <w:sz w:val="20"/>
                <w:szCs w:val="20"/>
              </w:rPr>
              <w:t>EMS JSC Belgrade</w:t>
            </w:r>
          </w:p>
          <w:p w14:paraId="68F4F2B8" w14:textId="77777777" w:rsidR="0094644B" w:rsidRPr="00FA3F57" w:rsidRDefault="0094644B" w:rsidP="00FB5086">
            <w:pPr>
              <w:rPr>
                <w:sz w:val="20"/>
                <w:szCs w:val="20"/>
              </w:rPr>
            </w:pPr>
            <w:r w:rsidRPr="00FA3F57">
              <w:rPr>
                <w:sz w:val="20"/>
                <w:szCs w:val="20"/>
              </w:rPr>
              <w:t>Republic Commission for Energy Networks</w:t>
            </w:r>
          </w:p>
          <w:p w14:paraId="18105C15" w14:textId="77777777" w:rsidR="0094644B" w:rsidRPr="00F07779" w:rsidRDefault="0094644B" w:rsidP="00FB5086">
            <w:pPr>
              <w:rPr>
                <w:sz w:val="20"/>
                <w:szCs w:val="20"/>
              </w:rPr>
            </w:pPr>
            <w:r w:rsidRPr="00F07779">
              <w:rPr>
                <w:sz w:val="20"/>
                <w:szCs w:val="20"/>
              </w:rPr>
              <w:t>Ministry of Mining and Energy</w:t>
            </w:r>
          </w:p>
        </w:tc>
      </w:tr>
      <w:tr w:rsidR="0094644B" w:rsidRPr="00F07779" w14:paraId="4B280F23"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66069767" w14:textId="77777777" w:rsidR="0094644B" w:rsidRPr="00F07779" w:rsidRDefault="0094644B" w:rsidP="00FB5086">
            <w:pPr>
              <w:rPr>
                <w:sz w:val="20"/>
                <w:szCs w:val="20"/>
              </w:rPr>
            </w:pPr>
            <w:r w:rsidRPr="00FA3F57">
              <w:rPr>
                <w:sz w:val="20"/>
                <w:szCs w:val="20"/>
              </w:rPr>
              <w:t>Year of project funding start</w:t>
            </w:r>
          </w:p>
        </w:tc>
        <w:tc>
          <w:tcPr>
            <w:tcW w:w="5667" w:type="dxa"/>
            <w:tcBorders>
              <w:top w:val="single" w:sz="4" w:space="0" w:color="auto"/>
              <w:left w:val="single" w:sz="4" w:space="0" w:color="auto"/>
              <w:bottom w:val="single" w:sz="4" w:space="0" w:color="auto"/>
              <w:right w:val="single" w:sz="4" w:space="0" w:color="auto"/>
            </w:tcBorders>
            <w:hideMark/>
          </w:tcPr>
          <w:p w14:paraId="25EB339F" w14:textId="77777777" w:rsidR="0094644B" w:rsidRPr="00F07779" w:rsidRDefault="0094644B" w:rsidP="00FB5086">
            <w:pPr>
              <w:rPr>
                <w:sz w:val="20"/>
                <w:szCs w:val="20"/>
              </w:rPr>
            </w:pPr>
            <w:r w:rsidRPr="00F07779">
              <w:rPr>
                <w:sz w:val="20"/>
                <w:szCs w:val="20"/>
              </w:rPr>
              <w:t xml:space="preserve">2012. </w:t>
            </w:r>
          </w:p>
        </w:tc>
      </w:tr>
      <w:tr w:rsidR="0094644B" w:rsidRPr="00F07779" w14:paraId="58EFED39"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5AD98A47" w14:textId="77777777" w:rsidR="0094644B" w:rsidRPr="00F07779" w:rsidRDefault="0094644B" w:rsidP="00FB5086">
            <w:pPr>
              <w:rPr>
                <w:sz w:val="20"/>
                <w:szCs w:val="20"/>
              </w:rPr>
            </w:pPr>
            <w:r w:rsidRPr="00FA3F57">
              <w:rPr>
                <w:sz w:val="20"/>
                <w:szCs w:val="20"/>
              </w:rPr>
              <w:t>Year of completion of project funding</w:t>
            </w:r>
          </w:p>
        </w:tc>
        <w:tc>
          <w:tcPr>
            <w:tcW w:w="5667" w:type="dxa"/>
            <w:tcBorders>
              <w:top w:val="single" w:sz="4" w:space="0" w:color="auto"/>
              <w:left w:val="single" w:sz="4" w:space="0" w:color="auto"/>
              <w:bottom w:val="single" w:sz="4" w:space="0" w:color="auto"/>
              <w:right w:val="single" w:sz="4" w:space="0" w:color="auto"/>
            </w:tcBorders>
            <w:hideMark/>
          </w:tcPr>
          <w:p w14:paraId="669ABA74" w14:textId="77777777" w:rsidR="0094644B" w:rsidRPr="00F07779" w:rsidRDefault="0094644B" w:rsidP="00FB5086">
            <w:pPr>
              <w:rPr>
                <w:sz w:val="20"/>
                <w:szCs w:val="20"/>
              </w:rPr>
            </w:pPr>
            <w:r w:rsidRPr="00F07779">
              <w:rPr>
                <w:sz w:val="20"/>
                <w:szCs w:val="20"/>
              </w:rPr>
              <w:t>2028.</w:t>
            </w:r>
          </w:p>
        </w:tc>
      </w:tr>
      <w:tr w:rsidR="0094644B" w:rsidRPr="00F07779" w14:paraId="54F7FE0E"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076C91EE" w14:textId="77777777" w:rsidR="0094644B" w:rsidRPr="00F07779" w:rsidRDefault="0094644B" w:rsidP="00FB5086">
            <w:pPr>
              <w:rPr>
                <w:sz w:val="20"/>
                <w:szCs w:val="20"/>
              </w:rPr>
            </w:pPr>
            <w:r w:rsidRPr="00FA3F57">
              <w:rPr>
                <w:sz w:val="20"/>
                <w:szCs w:val="20"/>
              </w:rPr>
              <w:t>Total project value</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6B27125A" w14:textId="77777777" w:rsidR="0094644B" w:rsidRPr="00FA3F57" w:rsidRDefault="0094644B" w:rsidP="00FB5086">
            <w:pPr>
              <w:rPr>
                <w:sz w:val="20"/>
                <w:szCs w:val="20"/>
              </w:rPr>
            </w:pPr>
            <w:r w:rsidRPr="00FA3F57">
              <w:rPr>
                <w:sz w:val="20"/>
                <w:szCs w:val="20"/>
              </w:rPr>
              <w:t>316,575 (2.7 million EUR)</w:t>
            </w:r>
          </w:p>
        </w:tc>
      </w:tr>
      <w:tr w:rsidR="0094644B" w:rsidRPr="00F07779" w14:paraId="2514800F"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48DA4690" w14:textId="77777777" w:rsidR="0094644B" w:rsidRPr="00F07779" w:rsidRDefault="0094644B" w:rsidP="00FB5086">
            <w:pPr>
              <w:rPr>
                <w:sz w:val="20"/>
                <w:szCs w:val="20"/>
              </w:rPr>
            </w:pPr>
            <w:r w:rsidRPr="00FA3F57">
              <w:rPr>
                <w:sz w:val="20"/>
                <w:szCs w:val="20"/>
              </w:rPr>
              <w:t>Planned investments for 2026.</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78D1D63B" w14:textId="77777777" w:rsidR="0094644B" w:rsidRPr="00F07779" w:rsidRDefault="0094644B" w:rsidP="00FB5086">
            <w:pPr>
              <w:rPr>
                <w:sz w:val="20"/>
                <w:szCs w:val="20"/>
              </w:rPr>
            </w:pPr>
            <w:r w:rsidRPr="00F07779">
              <w:rPr>
                <w:sz w:val="20"/>
                <w:szCs w:val="20"/>
              </w:rPr>
              <w:t>994 (own funds of EMS JSC)</w:t>
            </w:r>
          </w:p>
        </w:tc>
      </w:tr>
      <w:tr w:rsidR="0094644B" w:rsidRPr="00F07779" w14:paraId="5640AF47"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1E818536" w14:textId="77777777" w:rsidR="0094644B" w:rsidRPr="00F07779" w:rsidRDefault="0094644B" w:rsidP="00FB5086">
            <w:pPr>
              <w:rPr>
                <w:sz w:val="20"/>
                <w:szCs w:val="20"/>
              </w:rPr>
            </w:pPr>
            <w:r w:rsidRPr="00FA3F57">
              <w:rPr>
                <w:sz w:val="20"/>
                <w:szCs w:val="20"/>
              </w:rPr>
              <w:t>Planned investments for 2027.</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69E02036" w14:textId="77777777" w:rsidR="0094644B" w:rsidRPr="00F07779" w:rsidRDefault="0094644B" w:rsidP="00FB5086">
            <w:pPr>
              <w:rPr>
                <w:sz w:val="20"/>
                <w:szCs w:val="20"/>
              </w:rPr>
            </w:pPr>
            <w:r w:rsidRPr="00F07779">
              <w:rPr>
                <w:sz w:val="20"/>
                <w:szCs w:val="20"/>
              </w:rPr>
              <w:t>100,110 (own funds of EMS JSC)</w:t>
            </w:r>
          </w:p>
        </w:tc>
      </w:tr>
      <w:tr w:rsidR="0094644B" w:rsidRPr="00F07779" w14:paraId="77272B95"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0A9113B5" w14:textId="77777777" w:rsidR="0094644B" w:rsidRPr="00F07779" w:rsidRDefault="0094644B" w:rsidP="00FB5086">
            <w:pPr>
              <w:rPr>
                <w:sz w:val="20"/>
                <w:szCs w:val="20"/>
              </w:rPr>
            </w:pPr>
            <w:r w:rsidRPr="00FA3F57">
              <w:rPr>
                <w:sz w:val="20"/>
                <w:szCs w:val="20"/>
              </w:rPr>
              <w:t>Planned investments for 2028.</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7AADC338" w14:textId="77777777" w:rsidR="0094644B" w:rsidRPr="00F07779" w:rsidRDefault="0094644B" w:rsidP="00FB5086">
            <w:pPr>
              <w:rPr>
                <w:sz w:val="20"/>
                <w:szCs w:val="20"/>
              </w:rPr>
            </w:pPr>
            <w:r w:rsidRPr="00F07779">
              <w:rPr>
                <w:sz w:val="20"/>
                <w:szCs w:val="20"/>
              </w:rPr>
              <w:t>177,590 (own funds of EMS JSC)</w:t>
            </w:r>
          </w:p>
        </w:tc>
      </w:tr>
    </w:tbl>
    <w:p w14:paraId="34BFF73A" w14:textId="77777777" w:rsidR="0094644B" w:rsidRPr="00F07779" w:rsidRDefault="0094644B" w:rsidP="0094644B">
      <w:pPr>
        <w:tabs>
          <w:tab w:val="left" w:pos="1276"/>
          <w:tab w:val="left" w:pos="1560"/>
        </w:tabs>
        <w:ind w:left="1440" w:hanging="1440"/>
      </w:pPr>
    </w:p>
    <w:tbl>
      <w:tblPr>
        <w:tblStyle w:val="TableGrid"/>
        <w:tblW w:w="0" w:type="auto"/>
        <w:tblLook w:val="04A0" w:firstRow="1" w:lastRow="0" w:firstColumn="1" w:lastColumn="0" w:noHBand="0" w:noVBand="1"/>
      </w:tblPr>
      <w:tblGrid>
        <w:gridCol w:w="2973"/>
        <w:gridCol w:w="5667"/>
      </w:tblGrid>
      <w:tr w:rsidR="0094644B" w:rsidRPr="00F07779" w14:paraId="78DD18B1"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37C4EE7" w14:textId="77777777" w:rsidR="0094644B" w:rsidRPr="00F07779" w:rsidRDefault="0094644B" w:rsidP="00FB5086">
            <w:pPr>
              <w:rPr>
                <w:sz w:val="20"/>
                <w:szCs w:val="20"/>
              </w:rPr>
            </w:pPr>
            <w:r w:rsidRPr="00F07779">
              <w:rPr>
                <w:sz w:val="20"/>
                <w:szCs w:val="20"/>
              </w:rPr>
              <w:t>Activity EL1.2</w:t>
            </w:r>
          </w:p>
        </w:tc>
        <w:tc>
          <w:tcPr>
            <w:tcW w:w="566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2EBBDCD" w14:textId="77777777" w:rsidR="0094644B" w:rsidRPr="00F07779" w:rsidRDefault="0094644B" w:rsidP="00FB5086">
            <w:pPr>
              <w:rPr>
                <w:sz w:val="20"/>
                <w:szCs w:val="20"/>
              </w:rPr>
            </w:pPr>
            <w:r w:rsidRPr="00F07779">
              <w:rPr>
                <w:sz w:val="20"/>
                <w:szCs w:val="20"/>
              </w:rPr>
              <w:t>Investment projects focused on the reconstruction and construction of the transmission network</w:t>
            </w:r>
          </w:p>
        </w:tc>
      </w:tr>
      <w:tr w:rsidR="0094644B" w:rsidRPr="00F07779" w14:paraId="380D267C"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5509397B" w14:textId="77777777" w:rsidR="0094644B" w:rsidRPr="00F07779" w:rsidRDefault="0094644B" w:rsidP="00FB5086">
            <w:pPr>
              <w:rPr>
                <w:sz w:val="20"/>
                <w:szCs w:val="20"/>
              </w:rPr>
            </w:pPr>
            <w:r w:rsidRPr="00FA3F57">
              <w:rPr>
                <w:sz w:val="20"/>
                <w:szCs w:val="20"/>
              </w:rPr>
              <w:t>Name of the project</w:t>
            </w:r>
          </w:p>
        </w:tc>
        <w:tc>
          <w:tcPr>
            <w:tcW w:w="5667"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5DEF1533" w14:textId="77777777" w:rsidR="0094644B" w:rsidRPr="00F07779" w:rsidRDefault="0094644B" w:rsidP="00FB5086">
            <w:pPr>
              <w:rPr>
                <w:sz w:val="20"/>
                <w:szCs w:val="20"/>
              </w:rPr>
            </w:pPr>
            <w:r w:rsidRPr="00F07779">
              <w:rPr>
                <w:sz w:val="20"/>
                <w:szCs w:val="20"/>
              </w:rPr>
              <w:t xml:space="preserve">Reconstruction OHL 110 kV No. 113/5 HPP Vrla 3 – EVP </w:t>
            </w:r>
            <w:proofErr w:type="spellStart"/>
            <w:r w:rsidRPr="00F07779">
              <w:rPr>
                <w:sz w:val="20"/>
                <w:szCs w:val="20"/>
              </w:rPr>
              <w:t>Grdelica</w:t>
            </w:r>
            <w:proofErr w:type="spellEnd"/>
          </w:p>
        </w:tc>
      </w:tr>
      <w:tr w:rsidR="0094644B" w:rsidRPr="00F07779" w14:paraId="2ABC0BB3"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B8A3E88" w14:textId="77777777" w:rsidR="0094644B" w:rsidRPr="00F07779" w:rsidRDefault="0094644B" w:rsidP="00FB5086">
            <w:pPr>
              <w:rPr>
                <w:sz w:val="20"/>
                <w:szCs w:val="20"/>
              </w:rPr>
            </w:pPr>
            <w:r w:rsidRPr="00FA3F57">
              <w:rPr>
                <w:sz w:val="20"/>
                <w:szCs w:val="20"/>
              </w:rPr>
              <w:t xml:space="preserve">Name of the </w:t>
            </w:r>
            <w:r w:rsidRPr="00F07779">
              <w:rPr>
                <w:sz w:val="20"/>
                <w:szCs w:val="20"/>
              </w:rPr>
              <w:t>investment</w:t>
            </w:r>
          </w:p>
        </w:tc>
        <w:tc>
          <w:tcPr>
            <w:tcW w:w="566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18DDF4B" w14:textId="77777777" w:rsidR="0094644B" w:rsidRPr="00F07779" w:rsidRDefault="0094644B" w:rsidP="00FB5086">
            <w:pPr>
              <w:rPr>
                <w:sz w:val="20"/>
                <w:szCs w:val="20"/>
              </w:rPr>
            </w:pPr>
            <w:r w:rsidRPr="00F07779">
              <w:rPr>
                <w:sz w:val="20"/>
                <w:szCs w:val="20"/>
              </w:rPr>
              <w:t xml:space="preserve">OHL 110 kV No. 113/5 HPP Vrla 3 – EVP </w:t>
            </w:r>
            <w:proofErr w:type="spellStart"/>
            <w:r w:rsidRPr="00F07779">
              <w:rPr>
                <w:sz w:val="20"/>
                <w:szCs w:val="20"/>
              </w:rPr>
              <w:t>Grdelica</w:t>
            </w:r>
            <w:proofErr w:type="spellEnd"/>
            <w:r w:rsidRPr="00F07779">
              <w:rPr>
                <w:sz w:val="20"/>
                <w:szCs w:val="20"/>
              </w:rPr>
              <w:t>, reconstruction</w:t>
            </w:r>
          </w:p>
        </w:tc>
      </w:tr>
      <w:tr w:rsidR="0094644B" w:rsidRPr="00F07779" w14:paraId="2CA969FA"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0B19A880" w14:textId="77777777" w:rsidR="0094644B" w:rsidRPr="00F07779" w:rsidRDefault="0094644B" w:rsidP="00FB5086">
            <w:pPr>
              <w:rPr>
                <w:sz w:val="20"/>
                <w:szCs w:val="20"/>
              </w:rPr>
            </w:pPr>
            <w:r w:rsidRPr="00FA3F57">
              <w:rPr>
                <w:sz w:val="20"/>
                <w:szCs w:val="20"/>
              </w:rPr>
              <w:t>Short description of the investment</w:t>
            </w:r>
          </w:p>
        </w:tc>
        <w:tc>
          <w:tcPr>
            <w:tcW w:w="5667" w:type="dxa"/>
            <w:tcBorders>
              <w:top w:val="single" w:sz="4" w:space="0" w:color="auto"/>
              <w:left w:val="single" w:sz="4" w:space="0" w:color="auto"/>
              <w:bottom w:val="single" w:sz="4" w:space="0" w:color="auto"/>
              <w:right w:val="single" w:sz="4" w:space="0" w:color="auto"/>
            </w:tcBorders>
            <w:hideMark/>
          </w:tcPr>
          <w:p w14:paraId="7261DB23" w14:textId="77777777" w:rsidR="0094644B" w:rsidRPr="00F07779" w:rsidRDefault="0094644B" w:rsidP="00FB5086">
            <w:pPr>
              <w:rPr>
                <w:sz w:val="20"/>
                <w:szCs w:val="20"/>
              </w:rPr>
            </w:pPr>
            <w:r w:rsidRPr="00F07779">
              <w:rPr>
                <w:sz w:val="20"/>
                <w:szCs w:val="20"/>
              </w:rPr>
              <w:t>Reconstruction of transmission lines due to age and increase in conductor cross-section (The reconstruction envisages the replacement of conductors with conductors of larger cross-section, and if necessary, replacing the poles).</w:t>
            </w:r>
          </w:p>
          <w:p w14:paraId="2F20C71A" w14:textId="77777777" w:rsidR="0094644B" w:rsidRPr="00F07779" w:rsidRDefault="0094644B" w:rsidP="00FB5086">
            <w:pPr>
              <w:rPr>
                <w:sz w:val="20"/>
                <w:szCs w:val="20"/>
              </w:rPr>
            </w:pPr>
            <w:r w:rsidRPr="00F07779">
              <w:rPr>
                <w:sz w:val="20"/>
                <w:szCs w:val="20"/>
              </w:rPr>
              <w:t>Expected dynamics of project implementation:</w:t>
            </w:r>
          </w:p>
          <w:p w14:paraId="1782EDD0" w14:textId="77777777" w:rsidR="0094644B" w:rsidRPr="00F07779" w:rsidRDefault="0094644B" w:rsidP="00FB5086">
            <w:pPr>
              <w:rPr>
                <w:sz w:val="20"/>
                <w:szCs w:val="20"/>
              </w:rPr>
            </w:pPr>
            <w:r w:rsidRPr="00F07779">
              <w:rPr>
                <w:sz w:val="20"/>
                <w:szCs w:val="20"/>
              </w:rPr>
              <w:t>2026. Building permit</w:t>
            </w:r>
          </w:p>
          <w:p w14:paraId="14EA1557" w14:textId="77777777" w:rsidR="0094644B" w:rsidRPr="00F07779" w:rsidRDefault="0094644B" w:rsidP="00FB5086">
            <w:pPr>
              <w:rPr>
                <w:sz w:val="20"/>
                <w:szCs w:val="20"/>
              </w:rPr>
            </w:pPr>
            <w:r w:rsidRPr="00F07779">
              <w:rPr>
                <w:sz w:val="20"/>
                <w:szCs w:val="20"/>
              </w:rPr>
              <w:t>2027. Construction</w:t>
            </w:r>
          </w:p>
          <w:p w14:paraId="734156BC" w14:textId="77777777" w:rsidR="0094644B" w:rsidRPr="00F07779" w:rsidRDefault="0094644B" w:rsidP="00FB5086">
            <w:pPr>
              <w:rPr>
                <w:sz w:val="20"/>
                <w:szCs w:val="20"/>
              </w:rPr>
            </w:pPr>
            <w:r w:rsidRPr="00F07779">
              <w:rPr>
                <w:sz w:val="20"/>
                <w:szCs w:val="20"/>
              </w:rPr>
              <w:t>2028. Construction</w:t>
            </w:r>
          </w:p>
        </w:tc>
      </w:tr>
      <w:tr w:rsidR="0094644B" w:rsidRPr="00F07779" w14:paraId="411A1ED5"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7A536313" w14:textId="77777777" w:rsidR="0094644B" w:rsidRPr="00F07779" w:rsidRDefault="0094644B" w:rsidP="00FB5086">
            <w:pPr>
              <w:rPr>
                <w:sz w:val="20"/>
                <w:szCs w:val="20"/>
              </w:rPr>
            </w:pPr>
            <w:r w:rsidRPr="00FA3F57">
              <w:rPr>
                <w:sz w:val="20"/>
                <w:szCs w:val="20"/>
              </w:rPr>
              <w:t>Institutions responsible for the implementation of measures and activities</w:t>
            </w:r>
          </w:p>
        </w:tc>
        <w:tc>
          <w:tcPr>
            <w:tcW w:w="5667" w:type="dxa"/>
            <w:tcBorders>
              <w:top w:val="single" w:sz="4" w:space="0" w:color="auto"/>
              <w:left w:val="single" w:sz="4" w:space="0" w:color="auto"/>
              <w:bottom w:val="single" w:sz="4" w:space="0" w:color="auto"/>
              <w:right w:val="single" w:sz="4" w:space="0" w:color="auto"/>
            </w:tcBorders>
            <w:hideMark/>
          </w:tcPr>
          <w:p w14:paraId="6C0CC623" w14:textId="77777777" w:rsidR="0094644B" w:rsidRPr="00F07779" w:rsidRDefault="0094644B" w:rsidP="00FB5086">
            <w:pPr>
              <w:rPr>
                <w:sz w:val="20"/>
                <w:szCs w:val="20"/>
              </w:rPr>
            </w:pPr>
            <w:r w:rsidRPr="00FA3F57">
              <w:rPr>
                <w:sz w:val="20"/>
                <w:szCs w:val="20"/>
              </w:rPr>
              <w:t>EMS JSC Belgrade</w:t>
            </w:r>
          </w:p>
        </w:tc>
      </w:tr>
      <w:tr w:rsidR="0094644B" w:rsidRPr="00F07779" w14:paraId="0ED3AE63"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221D9D6F" w14:textId="77777777" w:rsidR="0094644B" w:rsidRPr="00F07779" w:rsidRDefault="0094644B" w:rsidP="00FB5086">
            <w:pPr>
              <w:rPr>
                <w:sz w:val="20"/>
                <w:szCs w:val="20"/>
              </w:rPr>
            </w:pPr>
            <w:r w:rsidRPr="00FA3F57">
              <w:rPr>
                <w:sz w:val="20"/>
                <w:szCs w:val="20"/>
              </w:rPr>
              <w:t>Institutions responsible for monitoring implementation and reporting on the realization</w:t>
            </w:r>
          </w:p>
        </w:tc>
        <w:tc>
          <w:tcPr>
            <w:tcW w:w="5667" w:type="dxa"/>
            <w:tcBorders>
              <w:top w:val="single" w:sz="4" w:space="0" w:color="auto"/>
              <w:left w:val="single" w:sz="4" w:space="0" w:color="auto"/>
              <w:bottom w:val="single" w:sz="4" w:space="0" w:color="auto"/>
              <w:right w:val="single" w:sz="4" w:space="0" w:color="auto"/>
            </w:tcBorders>
            <w:hideMark/>
          </w:tcPr>
          <w:p w14:paraId="652D6CCF" w14:textId="77777777" w:rsidR="0094644B" w:rsidRPr="00FA3F57" w:rsidRDefault="0094644B" w:rsidP="00FB5086">
            <w:pPr>
              <w:rPr>
                <w:sz w:val="20"/>
                <w:szCs w:val="20"/>
              </w:rPr>
            </w:pPr>
            <w:r w:rsidRPr="00FA3F57">
              <w:rPr>
                <w:sz w:val="20"/>
                <w:szCs w:val="20"/>
              </w:rPr>
              <w:t xml:space="preserve">EMS JSC </w:t>
            </w:r>
            <w:proofErr w:type="spellStart"/>
            <w:r w:rsidRPr="00FA3F57">
              <w:rPr>
                <w:sz w:val="20"/>
                <w:szCs w:val="20"/>
              </w:rPr>
              <w:t>BelgradeRepublic</w:t>
            </w:r>
            <w:proofErr w:type="spellEnd"/>
            <w:r w:rsidRPr="00FA3F57">
              <w:rPr>
                <w:sz w:val="20"/>
                <w:szCs w:val="20"/>
              </w:rPr>
              <w:t xml:space="preserve"> Commission for Energy Networks</w:t>
            </w:r>
          </w:p>
          <w:p w14:paraId="1AB437F7" w14:textId="77777777" w:rsidR="0094644B" w:rsidRPr="00F07779" w:rsidRDefault="0094644B" w:rsidP="00FB5086">
            <w:pPr>
              <w:rPr>
                <w:sz w:val="20"/>
                <w:szCs w:val="20"/>
              </w:rPr>
            </w:pPr>
            <w:r w:rsidRPr="00F07779">
              <w:rPr>
                <w:sz w:val="20"/>
                <w:szCs w:val="20"/>
              </w:rPr>
              <w:t>Ministry of Mining and Energy</w:t>
            </w:r>
          </w:p>
        </w:tc>
      </w:tr>
      <w:tr w:rsidR="0094644B" w:rsidRPr="00F07779" w14:paraId="3904244C"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69D5D385" w14:textId="77777777" w:rsidR="0094644B" w:rsidRPr="00F07779" w:rsidRDefault="0094644B" w:rsidP="00FB5086">
            <w:pPr>
              <w:rPr>
                <w:sz w:val="20"/>
                <w:szCs w:val="20"/>
              </w:rPr>
            </w:pPr>
            <w:r w:rsidRPr="00FA3F57">
              <w:rPr>
                <w:sz w:val="20"/>
                <w:szCs w:val="20"/>
              </w:rPr>
              <w:t>Year of project funding start</w:t>
            </w:r>
          </w:p>
        </w:tc>
        <w:tc>
          <w:tcPr>
            <w:tcW w:w="5667" w:type="dxa"/>
            <w:tcBorders>
              <w:top w:val="single" w:sz="4" w:space="0" w:color="auto"/>
              <w:left w:val="single" w:sz="4" w:space="0" w:color="auto"/>
              <w:bottom w:val="single" w:sz="4" w:space="0" w:color="auto"/>
              <w:right w:val="single" w:sz="4" w:space="0" w:color="auto"/>
            </w:tcBorders>
            <w:hideMark/>
          </w:tcPr>
          <w:p w14:paraId="4B208110" w14:textId="77777777" w:rsidR="0094644B" w:rsidRPr="00F07779" w:rsidRDefault="0094644B" w:rsidP="00FB5086">
            <w:pPr>
              <w:rPr>
                <w:sz w:val="20"/>
                <w:szCs w:val="20"/>
              </w:rPr>
            </w:pPr>
            <w:r w:rsidRPr="00F07779">
              <w:rPr>
                <w:sz w:val="20"/>
                <w:szCs w:val="20"/>
              </w:rPr>
              <w:t xml:space="preserve">2012. </w:t>
            </w:r>
          </w:p>
        </w:tc>
      </w:tr>
      <w:tr w:rsidR="0094644B" w:rsidRPr="00F07779" w14:paraId="6BB1379E"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6EF13725" w14:textId="77777777" w:rsidR="0094644B" w:rsidRPr="00F07779" w:rsidRDefault="0094644B" w:rsidP="00FB5086">
            <w:pPr>
              <w:rPr>
                <w:sz w:val="20"/>
                <w:szCs w:val="20"/>
              </w:rPr>
            </w:pPr>
            <w:r w:rsidRPr="00FA3F57">
              <w:rPr>
                <w:sz w:val="20"/>
                <w:szCs w:val="20"/>
              </w:rPr>
              <w:t>Year of completion of project funding</w:t>
            </w:r>
          </w:p>
        </w:tc>
        <w:tc>
          <w:tcPr>
            <w:tcW w:w="5667" w:type="dxa"/>
            <w:tcBorders>
              <w:top w:val="single" w:sz="4" w:space="0" w:color="auto"/>
              <w:left w:val="single" w:sz="4" w:space="0" w:color="auto"/>
              <w:bottom w:val="single" w:sz="4" w:space="0" w:color="auto"/>
              <w:right w:val="single" w:sz="4" w:space="0" w:color="auto"/>
            </w:tcBorders>
            <w:hideMark/>
          </w:tcPr>
          <w:p w14:paraId="36DD87D8" w14:textId="77777777" w:rsidR="0094644B" w:rsidRPr="00F07779" w:rsidRDefault="0094644B" w:rsidP="00FB5086">
            <w:pPr>
              <w:rPr>
                <w:sz w:val="20"/>
                <w:szCs w:val="20"/>
              </w:rPr>
            </w:pPr>
            <w:r w:rsidRPr="00F07779">
              <w:rPr>
                <w:sz w:val="20"/>
                <w:szCs w:val="20"/>
              </w:rPr>
              <w:t>2028.</w:t>
            </w:r>
          </w:p>
        </w:tc>
      </w:tr>
      <w:tr w:rsidR="0094644B" w:rsidRPr="00F07779" w14:paraId="18DB2441"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08AF938D" w14:textId="77777777" w:rsidR="0094644B" w:rsidRPr="00F07779" w:rsidRDefault="0094644B" w:rsidP="00FB5086">
            <w:pPr>
              <w:rPr>
                <w:sz w:val="20"/>
                <w:szCs w:val="20"/>
              </w:rPr>
            </w:pPr>
            <w:r w:rsidRPr="00FA3F57">
              <w:rPr>
                <w:sz w:val="20"/>
                <w:szCs w:val="20"/>
              </w:rPr>
              <w:t>Total project value</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52BC321B" w14:textId="77777777" w:rsidR="0094644B" w:rsidRPr="00F07779" w:rsidRDefault="0094644B" w:rsidP="00FB5086">
            <w:pPr>
              <w:rPr>
                <w:sz w:val="20"/>
                <w:szCs w:val="20"/>
              </w:rPr>
            </w:pPr>
            <w:r w:rsidRPr="00F07779">
              <w:rPr>
                <w:sz w:val="20"/>
                <w:szCs w:val="20"/>
              </w:rPr>
              <w:t>891,100 (7.6 million EUR)</w:t>
            </w:r>
          </w:p>
        </w:tc>
      </w:tr>
      <w:tr w:rsidR="0094644B" w:rsidRPr="00F07779" w14:paraId="2F7A619B"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2A0AA16A" w14:textId="77777777" w:rsidR="0094644B" w:rsidRPr="00F07779" w:rsidRDefault="0094644B" w:rsidP="00FB5086">
            <w:pPr>
              <w:rPr>
                <w:sz w:val="20"/>
                <w:szCs w:val="20"/>
              </w:rPr>
            </w:pPr>
            <w:r w:rsidRPr="00FA3F57">
              <w:rPr>
                <w:sz w:val="20"/>
                <w:szCs w:val="20"/>
              </w:rPr>
              <w:t>Planned investments for 2026.</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74DF2424" w14:textId="77777777" w:rsidR="0094644B" w:rsidRPr="00F07779" w:rsidRDefault="0094644B" w:rsidP="00FB5086">
            <w:pPr>
              <w:rPr>
                <w:sz w:val="20"/>
                <w:szCs w:val="20"/>
              </w:rPr>
            </w:pPr>
            <w:r w:rsidRPr="00F07779">
              <w:rPr>
                <w:sz w:val="20"/>
                <w:szCs w:val="20"/>
              </w:rPr>
              <w:t>15,898 (own funds of EMS JSC)</w:t>
            </w:r>
          </w:p>
        </w:tc>
      </w:tr>
      <w:tr w:rsidR="0094644B" w:rsidRPr="00F07779" w14:paraId="24BD43D3"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04FF39C6" w14:textId="77777777" w:rsidR="0094644B" w:rsidRPr="00F07779" w:rsidRDefault="0094644B" w:rsidP="00FB5086">
            <w:pPr>
              <w:rPr>
                <w:sz w:val="20"/>
                <w:szCs w:val="20"/>
              </w:rPr>
            </w:pPr>
            <w:r w:rsidRPr="00FA3F57">
              <w:rPr>
                <w:sz w:val="20"/>
                <w:szCs w:val="20"/>
              </w:rPr>
              <w:t>Planned investments for 2027.</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4E5818D3" w14:textId="77777777" w:rsidR="0094644B" w:rsidRPr="00F07779" w:rsidRDefault="0094644B" w:rsidP="00FB5086">
            <w:pPr>
              <w:rPr>
                <w:sz w:val="20"/>
                <w:szCs w:val="20"/>
              </w:rPr>
            </w:pPr>
            <w:r w:rsidRPr="00F07779">
              <w:rPr>
                <w:sz w:val="20"/>
                <w:szCs w:val="20"/>
              </w:rPr>
              <w:t>206,653 (own funds of EMS JSC)</w:t>
            </w:r>
          </w:p>
        </w:tc>
      </w:tr>
      <w:tr w:rsidR="0094644B" w:rsidRPr="00F07779" w14:paraId="0E847261"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0BDFC215" w14:textId="77777777" w:rsidR="0094644B" w:rsidRPr="00F07779" w:rsidRDefault="0094644B" w:rsidP="00FB5086">
            <w:pPr>
              <w:rPr>
                <w:sz w:val="20"/>
                <w:szCs w:val="20"/>
              </w:rPr>
            </w:pPr>
            <w:r w:rsidRPr="00FA3F57">
              <w:rPr>
                <w:sz w:val="20"/>
                <w:szCs w:val="20"/>
              </w:rPr>
              <w:t>Planned investments for 2028.</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22255D99" w14:textId="77777777" w:rsidR="0094644B" w:rsidRPr="00F07779" w:rsidRDefault="0094644B" w:rsidP="00FB5086">
            <w:pPr>
              <w:rPr>
                <w:sz w:val="20"/>
                <w:szCs w:val="20"/>
              </w:rPr>
            </w:pPr>
            <w:r w:rsidRPr="00F07779">
              <w:rPr>
                <w:sz w:val="20"/>
                <w:szCs w:val="20"/>
              </w:rPr>
              <w:t>646,729 (own funds of EMS JSC)</w:t>
            </w:r>
          </w:p>
        </w:tc>
      </w:tr>
    </w:tbl>
    <w:p w14:paraId="0A24A4C5" w14:textId="77777777" w:rsidR="0094644B" w:rsidRPr="00F07779" w:rsidRDefault="0094644B" w:rsidP="0094644B">
      <w:pPr>
        <w:tabs>
          <w:tab w:val="left" w:pos="1276"/>
          <w:tab w:val="left" w:pos="1560"/>
        </w:tabs>
        <w:ind w:left="1440" w:hanging="1440"/>
      </w:pPr>
    </w:p>
    <w:tbl>
      <w:tblPr>
        <w:tblStyle w:val="TableGrid"/>
        <w:tblW w:w="0" w:type="auto"/>
        <w:tblLook w:val="04A0" w:firstRow="1" w:lastRow="0" w:firstColumn="1" w:lastColumn="0" w:noHBand="0" w:noVBand="1"/>
      </w:tblPr>
      <w:tblGrid>
        <w:gridCol w:w="2973"/>
        <w:gridCol w:w="5667"/>
      </w:tblGrid>
      <w:tr w:rsidR="0094644B" w:rsidRPr="00F07779" w14:paraId="52384FE7"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AD1CF84" w14:textId="77777777" w:rsidR="0094644B" w:rsidRPr="00F07779" w:rsidRDefault="0094644B" w:rsidP="00FB5086">
            <w:pPr>
              <w:keepNext/>
              <w:rPr>
                <w:sz w:val="20"/>
                <w:szCs w:val="20"/>
              </w:rPr>
            </w:pPr>
            <w:r w:rsidRPr="00F07779">
              <w:rPr>
                <w:sz w:val="20"/>
                <w:szCs w:val="20"/>
              </w:rPr>
              <w:lastRenderedPageBreak/>
              <w:t>Activity EL1.2</w:t>
            </w:r>
          </w:p>
        </w:tc>
        <w:tc>
          <w:tcPr>
            <w:tcW w:w="566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E12CC67" w14:textId="77777777" w:rsidR="0094644B" w:rsidRPr="00F07779" w:rsidRDefault="0094644B" w:rsidP="00FB5086">
            <w:pPr>
              <w:keepNext/>
              <w:rPr>
                <w:sz w:val="20"/>
                <w:szCs w:val="20"/>
              </w:rPr>
            </w:pPr>
            <w:r w:rsidRPr="00F07779">
              <w:rPr>
                <w:sz w:val="20"/>
                <w:szCs w:val="20"/>
              </w:rPr>
              <w:t>Investment projects focused on the reconstruction and construction of the transmission network</w:t>
            </w:r>
          </w:p>
        </w:tc>
      </w:tr>
      <w:tr w:rsidR="0094644B" w:rsidRPr="00F07779" w14:paraId="61D37C19"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555E2B81" w14:textId="77777777" w:rsidR="0094644B" w:rsidRPr="00F07779" w:rsidRDefault="0094644B" w:rsidP="00FB5086">
            <w:pPr>
              <w:keepNext/>
              <w:rPr>
                <w:sz w:val="20"/>
                <w:szCs w:val="20"/>
              </w:rPr>
            </w:pPr>
            <w:r w:rsidRPr="00FA3F57">
              <w:rPr>
                <w:sz w:val="20"/>
                <w:szCs w:val="20"/>
              </w:rPr>
              <w:t>Name of the project</w:t>
            </w:r>
          </w:p>
        </w:tc>
        <w:tc>
          <w:tcPr>
            <w:tcW w:w="5667"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18B7E4DC" w14:textId="77777777" w:rsidR="0094644B" w:rsidRPr="00F07779" w:rsidRDefault="0094644B" w:rsidP="00FB5086">
            <w:pPr>
              <w:keepNext/>
              <w:rPr>
                <w:sz w:val="20"/>
                <w:szCs w:val="20"/>
              </w:rPr>
            </w:pPr>
            <w:r w:rsidRPr="00F07779">
              <w:rPr>
                <w:sz w:val="20"/>
                <w:szCs w:val="20"/>
              </w:rPr>
              <w:t>Increase in installed capacity of 220/110 kV TS Valjevo 3</w:t>
            </w:r>
          </w:p>
        </w:tc>
      </w:tr>
      <w:tr w:rsidR="0094644B" w:rsidRPr="00F07779" w14:paraId="32CA9FAC"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94CC36C" w14:textId="77777777" w:rsidR="0094644B" w:rsidRPr="00F07779" w:rsidRDefault="0094644B" w:rsidP="00FB5086">
            <w:pPr>
              <w:rPr>
                <w:sz w:val="20"/>
                <w:szCs w:val="20"/>
              </w:rPr>
            </w:pPr>
            <w:r w:rsidRPr="00FA3F57">
              <w:rPr>
                <w:sz w:val="20"/>
                <w:szCs w:val="20"/>
              </w:rPr>
              <w:t xml:space="preserve">Name of the </w:t>
            </w:r>
            <w:r w:rsidRPr="00F07779">
              <w:rPr>
                <w:sz w:val="20"/>
                <w:szCs w:val="20"/>
              </w:rPr>
              <w:t>investment</w:t>
            </w:r>
          </w:p>
        </w:tc>
        <w:tc>
          <w:tcPr>
            <w:tcW w:w="566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0F1AEC5" w14:textId="77777777" w:rsidR="0094644B" w:rsidRPr="00F07779" w:rsidRDefault="0094644B" w:rsidP="00FB5086">
            <w:pPr>
              <w:rPr>
                <w:sz w:val="20"/>
                <w:szCs w:val="20"/>
              </w:rPr>
            </w:pPr>
            <w:r w:rsidRPr="00F07779">
              <w:rPr>
                <w:sz w:val="20"/>
                <w:szCs w:val="20"/>
              </w:rPr>
              <w:t>TS 220/110 kV Valjevo 3, replacement of T1 and T2</w:t>
            </w:r>
          </w:p>
        </w:tc>
      </w:tr>
      <w:tr w:rsidR="0094644B" w:rsidRPr="00F07779" w14:paraId="100D1168"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225C56BD" w14:textId="77777777" w:rsidR="0094644B" w:rsidRPr="00F07779" w:rsidRDefault="0094644B" w:rsidP="00FB5086">
            <w:pPr>
              <w:rPr>
                <w:sz w:val="20"/>
                <w:szCs w:val="20"/>
              </w:rPr>
            </w:pPr>
            <w:r w:rsidRPr="00FA3F57">
              <w:rPr>
                <w:sz w:val="20"/>
                <w:szCs w:val="20"/>
              </w:rPr>
              <w:t>Short description of the investment</w:t>
            </w:r>
          </w:p>
        </w:tc>
        <w:tc>
          <w:tcPr>
            <w:tcW w:w="5667" w:type="dxa"/>
            <w:tcBorders>
              <w:top w:val="single" w:sz="4" w:space="0" w:color="auto"/>
              <w:left w:val="single" w:sz="4" w:space="0" w:color="auto"/>
              <w:bottom w:val="single" w:sz="4" w:space="0" w:color="auto"/>
              <w:right w:val="single" w:sz="4" w:space="0" w:color="auto"/>
            </w:tcBorders>
            <w:hideMark/>
          </w:tcPr>
          <w:p w14:paraId="4B784E8D" w14:textId="77777777" w:rsidR="0094644B" w:rsidRPr="00F07779" w:rsidRDefault="0094644B" w:rsidP="00FB5086">
            <w:pPr>
              <w:rPr>
                <w:sz w:val="20"/>
                <w:szCs w:val="20"/>
              </w:rPr>
            </w:pPr>
            <w:r w:rsidRPr="00F07779">
              <w:rPr>
                <w:sz w:val="20"/>
                <w:szCs w:val="20"/>
              </w:rPr>
              <w:t>The project involves the replacement of existing 220/110 kV transformers at TS Valjevo 3, with an installed capacity of 150 MVA each, with 220/110 kV transformers with an installed capacity of 250 MVA each. The project will be implemented in two phases, each of which will involve the replacement of one power transformer.</w:t>
            </w:r>
          </w:p>
          <w:p w14:paraId="616A5269" w14:textId="77777777" w:rsidR="0094644B" w:rsidRPr="00F07779" w:rsidRDefault="0094644B" w:rsidP="00FB5086">
            <w:pPr>
              <w:rPr>
                <w:sz w:val="20"/>
                <w:szCs w:val="20"/>
              </w:rPr>
            </w:pPr>
            <w:r w:rsidRPr="00F07779">
              <w:rPr>
                <w:sz w:val="20"/>
                <w:szCs w:val="20"/>
              </w:rPr>
              <w:t>Expected dynamics of project implementation:</w:t>
            </w:r>
          </w:p>
          <w:p w14:paraId="46E86228" w14:textId="77777777" w:rsidR="0094644B" w:rsidRPr="00F07779" w:rsidRDefault="0094644B" w:rsidP="00FB5086">
            <w:pPr>
              <w:rPr>
                <w:sz w:val="20"/>
                <w:szCs w:val="20"/>
              </w:rPr>
            </w:pPr>
            <w:r w:rsidRPr="00F07779">
              <w:rPr>
                <w:sz w:val="20"/>
                <w:szCs w:val="20"/>
              </w:rPr>
              <w:t>2026. Construction</w:t>
            </w:r>
          </w:p>
          <w:p w14:paraId="5C0A7478" w14:textId="77777777" w:rsidR="0094644B" w:rsidRPr="00F07779" w:rsidRDefault="0094644B" w:rsidP="00FB5086">
            <w:pPr>
              <w:rPr>
                <w:sz w:val="20"/>
                <w:szCs w:val="20"/>
              </w:rPr>
            </w:pPr>
            <w:r w:rsidRPr="00F07779">
              <w:rPr>
                <w:sz w:val="20"/>
                <w:szCs w:val="20"/>
              </w:rPr>
              <w:t>2027. Commissioning; trial operation</w:t>
            </w:r>
          </w:p>
          <w:p w14:paraId="1822F491" w14:textId="77777777" w:rsidR="0094644B" w:rsidRPr="00F07779" w:rsidRDefault="0094644B" w:rsidP="00FB5086">
            <w:pPr>
              <w:rPr>
                <w:sz w:val="20"/>
                <w:szCs w:val="20"/>
              </w:rPr>
            </w:pPr>
            <w:r w:rsidRPr="00F07779">
              <w:rPr>
                <w:sz w:val="20"/>
                <w:szCs w:val="20"/>
              </w:rPr>
              <w:t>2028. Use permit; end of project</w:t>
            </w:r>
          </w:p>
        </w:tc>
      </w:tr>
      <w:tr w:rsidR="0094644B" w:rsidRPr="00F07779" w14:paraId="05C6EC57"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60617522" w14:textId="77777777" w:rsidR="0094644B" w:rsidRPr="00F07779" w:rsidRDefault="0094644B" w:rsidP="00FB5086">
            <w:pPr>
              <w:rPr>
                <w:sz w:val="20"/>
                <w:szCs w:val="20"/>
              </w:rPr>
            </w:pPr>
            <w:r w:rsidRPr="00FA3F57">
              <w:rPr>
                <w:sz w:val="20"/>
                <w:szCs w:val="20"/>
              </w:rPr>
              <w:t>Institutions responsible for the implementation of measures and activities</w:t>
            </w:r>
          </w:p>
        </w:tc>
        <w:tc>
          <w:tcPr>
            <w:tcW w:w="5667" w:type="dxa"/>
            <w:tcBorders>
              <w:top w:val="single" w:sz="4" w:space="0" w:color="auto"/>
              <w:left w:val="single" w:sz="4" w:space="0" w:color="auto"/>
              <w:bottom w:val="single" w:sz="4" w:space="0" w:color="auto"/>
              <w:right w:val="single" w:sz="4" w:space="0" w:color="auto"/>
            </w:tcBorders>
            <w:hideMark/>
          </w:tcPr>
          <w:p w14:paraId="15D77597" w14:textId="77777777" w:rsidR="0094644B" w:rsidRPr="00F07779" w:rsidRDefault="0094644B" w:rsidP="00FB5086">
            <w:pPr>
              <w:rPr>
                <w:sz w:val="20"/>
                <w:szCs w:val="20"/>
              </w:rPr>
            </w:pPr>
            <w:r w:rsidRPr="00FA3F57">
              <w:rPr>
                <w:sz w:val="20"/>
                <w:szCs w:val="20"/>
              </w:rPr>
              <w:t>EMS JSC Belgrade</w:t>
            </w:r>
          </w:p>
        </w:tc>
      </w:tr>
      <w:tr w:rsidR="0094644B" w:rsidRPr="00F07779" w14:paraId="177FF260"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3B6567D9" w14:textId="77777777" w:rsidR="0094644B" w:rsidRPr="00F07779" w:rsidRDefault="0094644B" w:rsidP="00FB5086">
            <w:pPr>
              <w:rPr>
                <w:sz w:val="20"/>
                <w:szCs w:val="20"/>
              </w:rPr>
            </w:pPr>
            <w:r w:rsidRPr="00FA3F57">
              <w:rPr>
                <w:sz w:val="20"/>
                <w:szCs w:val="20"/>
              </w:rPr>
              <w:t>Institutions responsible for monitoring implementation and reporting on the realization</w:t>
            </w:r>
          </w:p>
        </w:tc>
        <w:tc>
          <w:tcPr>
            <w:tcW w:w="5667" w:type="dxa"/>
            <w:tcBorders>
              <w:top w:val="single" w:sz="4" w:space="0" w:color="auto"/>
              <w:left w:val="single" w:sz="4" w:space="0" w:color="auto"/>
              <w:bottom w:val="single" w:sz="4" w:space="0" w:color="auto"/>
              <w:right w:val="single" w:sz="4" w:space="0" w:color="auto"/>
            </w:tcBorders>
            <w:hideMark/>
          </w:tcPr>
          <w:p w14:paraId="3C4DCA0C" w14:textId="77777777" w:rsidR="0094644B" w:rsidRPr="00FA3F57" w:rsidRDefault="0094644B" w:rsidP="00FB5086">
            <w:pPr>
              <w:rPr>
                <w:sz w:val="20"/>
                <w:szCs w:val="20"/>
              </w:rPr>
            </w:pPr>
            <w:r w:rsidRPr="00FA3F57">
              <w:rPr>
                <w:sz w:val="20"/>
                <w:szCs w:val="20"/>
              </w:rPr>
              <w:t>EMS JSC Belgrade</w:t>
            </w:r>
          </w:p>
          <w:p w14:paraId="0F4CFC83" w14:textId="77777777" w:rsidR="0094644B" w:rsidRPr="00F07779" w:rsidRDefault="0094644B" w:rsidP="00FB5086">
            <w:pPr>
              <w:rPr>
                <w:sz w:val="20"/>
                <w:szCs w:val="20"/>
              </w:rPr>
            </w:pPr>
            <w:r w:rsidRPr="00F07779">
              <w:rPr>
                <w:sz w:val="20"/>
                <w:szCs w:val="20"/>
              </w:rPr>
              <w:t>Ministry of Mining and Energy</w:t>
            </w:r>
          </w:p>
        </w:tc>
      </w:tr>
      <w:tr w:rsidR="0094644B" w:rsidRPr="00F07779" w14:paraId="7A6147C5"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22821CFA" w14:textId="77777777" w:rsidR="0094644B" w:rsidRPr="00F07779" w:rsidRDefault="0094644B" w:rsidP="00FB5086">
            <w:pPr>
              <w:rPr>
                <w:sz w:val="20"/>
                <w:szCs w:val="20"/>
              </w:rPr>
            </w:pPr>
            <w:r w:rsidRPr="00FA3F57">
              <w:rPr>
                <w:sz w:val="20"/>
                <w:szCs w:val="20"/>
              </w:rPr>
              <w:t>Year of project funding start</w:t>
            </w:r>
          </w:p>
        </w:tc>
        <w:tc>
          <w:tcPr>
            <w:tcW w:w="5667" w:type="dxa"/>
            <w:tcBorders>
              <w:top w:val="single" w:sz="4" w:space="0" w:color="auto"/>
              <w:left w:val="single" w:sz="4" w:space="0" w:color="auto"/>
              <w:bottom w:val="single" w:sz="4" w:space="0" w:color="auto"/>
              <w:right w:val="single" w:sz="4" w:space="0" w:color="auto"/>
            </w:tcBorders>
            <w:hideMark/>
          </w:tcPr>
          <w:p w14:paraId="749E5CF6" w14:textId="77777777" w:rsidR="0094644B" w:rsidRPr="00F07779" w:rsidRDefault="0094644B" w:rsidP="00FB5086">
            <w:pPr>
              <w:rPr>
                <w:sz w:val="20"/>
                <w:szCs w:val="20"/>
              </w:rPr>
            </w:pPr>
            <w:r w:rsidRPr="00F07779">
              <w:rPr>
                <w:sz w:val="20"/>
                <w:szCs w:val="20"/>
              </w:rPr>
              <w:t xml:space="preserve">2026. </w:t>
            </w:r>
          </w:p>
        </w:tc>
      </w:tr>
      <w:tr w:rsidR="0094644B" w:rsidRPr="00F07779" w14:paraId="56058059"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010B3AE5" w14:textId="77777777" w:rsidR="0094644B" w:rsidRPr="00F07779" w:rsidRDefault="0094644B" w:rsidP="00FB5086">
            <w:pPr>
              <w:rPr>
                <w:sz w:val="20"/>
                <w:szCs w:val="20"/>
              </w:rPr>
            </w:pPr>
            <w:r w:rsidRPr="00FA3F57">
              <w:rPr>
                <w:sz w:val="20"/>
                <w:szCs w:val="20"/>
              </w:rPr>
              <w:t>Year of completion of project funding</w:t>
            </w:r>
          </w:p>
        </w:tc>
        <w:tc>
          <w:tcPr>
            <w:tcW w:w="5667" w:type="dxa"/>
            <w:tcBorders>
              <w:top w:val="single" w:sz="4" w:space="0" w:color="auto"/>
              <w:left w:val="single" w:sz="4" w:space="0" w:color="auto"/>
              <w:bottom w:val="single" w:sz="4" w:space="0" w:color="auto"/>
              <w:right w:val="single" w:sz="4" w:space="0" w:color="auto"/>
            </w:tcBorders>
            <w:hideMark/>
          </w:tcPr>
          <w:p w14:paraId="26DF0D14" w14:textId="77777777" w:rsidR="0094644B" w:rsidRPr="00F07779" w:rsidRDefault="0094644B" w:rsidP="00FB5086">
            <w:pPr>
              <w:rPr>
                <w:sz w:val="20"/>
                <w:szCs w:val="20"/>
              </w:rPr>
            </w:pPr>
            <w:r w:rsidRPr="00F07779">
              <w:rPr>
                <w:sz w:val="20"/>
                <w:szCs w:val="20"/>
              </w:rPr>
              <w:t>2028.</w:t>
            </w:r>
          </w:p>
        </w:tc>
      </w:tr>
      <w:tr w:rsidR="0094644B" w:rsidRPr="00F07779" w14:paraId="2042DC3A"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2C19B1A2" w14:textId="77777777" w:rsidR="0094644B" w:rsidRPr="00F07779" w:rsidRDefault="0094644B" w:rsidP="00FB5086">
            <w:pPr>
              <w:rPr>
                <w:sz w:val="20"/>
                <w:szCs w:val="20"/>
              </w:rPr>
            </w:pPr>
            <w:r w:rsidRPr="00FA3F57">
              <w:rPr>
                <w:sz w:val="20"/>
                <w:szCs w:val="20"/>
              </w:rPr>
              <w:t>Total project value</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70C0672B" w14:textId="77777777" w:rsidR="0094644B" w:rsidRPr="00F07779" w:rsidRDefault="0094644B" w:rsidP="00FB5086">
            <w:pPr>
              <w:rPr>
                <w:sz w:val="20"/>
                <w:szCs w:val="20"/>
              </w:rPr>
            </w:pPr>
            <w:r w:rsidRPr="00F07779">
              <w:rPr>
                <w:sz w:val="20"/>
                <w:szCs w:val="20"/>
              </w:rPr>
              <w:t>891,100 (7.6 million EUR)</w:t>
            </w:r>
          </w:p>
        </w:tc>
      </w:tr>
    </w:tbl>
    <w:p w14:paraId="40075D6F" w14:textId="77777777" w:rsidR="0094644B" w:rsidRPr="00F07779" w:rsidRDefault="0094644B" w:rsidP="0094644B">
      <w:pPr>
        <w:tabs>
          <w:tab w:val="left" w:pos="1276"/>
          <w:tab w:val="left" w:pos="1560"/>
        </w:tabs>
        <w:ind w:left="1440" w:hanging="1440"/>
      </w:pPr>
    </w:p>
    <w:tbl>
      <w:tblPr>
        <w:tblStyle w:val="TableGrid"/>
        <w:tblW w:w="0" w:type="auto"/>
        <w:tblLook w:val="04A0" w:firstRow="1" w:lastRow="0" w:firstColumn="1" w:lastColumn="0" w:noHBand="0" w:noVBand="1"/>
      </w:tblPr>
      <w:tblGrid>
        <w:gridCol w:w="2973"/>
        <w:gridCol w:w="5667"/>
      </w:tblGrid>
      <w:tr w:rsidR="0094644B" w:rsidRPr="00F07779" w14:paraId="77E91148"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5984649" w14:textId="77777777" w:rsidR="0094644B" w:rsidRPr="00F07779" w:rsidRDefault="0094644B" w:rsidP="00FB5086">
            <w:pPr>
              <w:rPr>
                <w:sz w:val="20"/>
                <w:szCs w:val="20"/>
              </w:rPr>
            </w:pPr>
            <w:r w:rsidRPr="00F07779">
              <w:rPr>
                <w:sz w:val="20"/>
                <w:szCs w:val="20"/>
              </w:rPr>
              <w:t>Activity EL1.2</w:t>
            </w:r>
          </w:p>
        </w:tc>
        <w:tc>
          <w:tcPr>
            <w:tcW w:w="566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DCD4BFD" w14:textId="77777777" w:rsidR="0094644B" w:rsidRPr="00F07779" w:rsidRDefault="0094644B" w:rsidP="00FB5086">
            <w:pPr>
              <w:rPr>
                <w:sz w:val="20"/>
                <w:szCs w:val="20"/>
              </w:rPr>
            </w:pPr>
            <w:r w:rsidRPr="00F07779">
              <w:rPr>
                <w:sz w:val="20"/>
                <w:szCs w:val="20"/>
              </w:rPr>
              <w:t>Investment projects focused on the reconstruction and construction of the transmission network</w:t>
            </w:r>
          </w:p>
        </w:tc>
      </w:tr>
      <w:tr w:rsidR="0094644B" w:rsidRPr="00F07779" w14:paraId="6A3E5A72"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4348F868" w14:textId="77777777" w:rsidR="0094644B" w:rsidRPr="00F07779" w:rsidRDefault="0094644B" w:rsidP="00FB5086">
            <w:pPr>
              <w:rPr>
                <w:sz w:val="20"/>
                <w:szCs w:val="20"/>
              </w:rPr>
            </w:pPr>
            <w:r w:rsidRPr="00FA3F57">
              <w:rPr>
                <w:sz w:val="20"/>
                <w:szCs w:val="20"/>
              </w:rPr>
              <w:t>Name of the project</w:t>
            </w:r>
          </w:p>
        </w:tc>
        <w:tc>
          <w:tcPr>
            <w:tcW w:w="5667"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616E945B" w14:textId="77777777" w:rsidR="0094644B" w:rsidRPr="00F07779" w:rsidRDefault="0094644B" w:rsidP="00FB5086">
            <w:pPr>
              <w:rPr>
                <w:sz w:val="20"/>
                <w:szCs w:val="20"/>
              </w:rPr>
            </w:pPr>
            <w:r w:rsidRPr="00F07779">
              <w:rPr>
                <w:sz w:val="20"/>
                <w:szCs w:val="20"/>
              </w:rPr>
              <w:t xml:space="preserve">Increase in installed capacity of TS 220/110 kV </w:t>
            </w:r>
            <w:proofErr w:type="spellStart"/>
            <w:r w:rsidRPr="00F07779">
              <w:rPr>
                <w:sz w:val="20"/>
                <w:szCs w:val="20"/>
              </w:rPr>
              <w:t>Zrenjanin</w:t>
            </w:r>
            <w:proofErr w:type="spellEnd"/>
            <w:r w:rsidRPr="00F07779">
              <w:rPr>
                <w:sz w:val="20"/>
                <w:szCs w:val="20"/>
              </w:rPr>
              <w:t xml:space="preserve"> 2 </w:t>
            </w:r>
          </w:p>
        </w:tc>
      </w:tr>
      <w:tr w:rsidR="0094644B" w:rsidRPr="00F07779" w14:paraId="36510563"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520BD20" w14:textId="77777777" w:rsidR="0094644B" w:rsidRPr="00F07779" w:rsidRDefault="0094644B" w:rsidP="00FB5086">
            <w:pPr>
              <w:rPr>
                <w:sz w:val="20"/>
                <w:szCs w:val="20"/>
              </w:rPr>
            </w:pPr>
            <w:r w:rsidRPr="00FA3F57">
              <w:rPr>
                <w:sz w:val="20"/>
                <w:szCs w:val="20"/>
              </w:rPr>
              <w:t xml:space="preserve">Name of the </w:t>
            </w:r>
            <w:r w:rsidRPr="00F07779">
              <w:rPr>
                <w:sz w:val="20"/>
                <w:szCs w:val="20"/>
              </w:rPr>
              <w:t>investment</w:t>
            </w:r>
          </w:p>
        </w:tc>
        <w:tc>
          <w:tcPr>
            <w:tcW w:w="566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4045C2E" w14:textId="77777777" w:rsidR="0094644B" w:rsidRPr="00F07779" w:rsidRDefault="0094644B" w:rsidP="00FB5086">
            <w:pPr>
              <w:rPr>
                <w:sz w:val="20"/>
                <w:szCs w:val="20"/>
              </w:rPr>
            </w:pPr>
            <w:r w:rsidRPr="00F07779">
              <w:rPr>
                <w:sz w:val="20"/>
                <w:szCs w:val="20"/>
              </w:rPr>
              <w:t xml:space="preserve">Increase in installed capacity of TS 220/110 kV </w:t>
            </w:r>
            <w:proofErr w:type="spellStart"/>
            <w:r w:rsidRPr="00F07779">
              <w:rPr>
                <w:sz w:val="20"/>
                <w:szCs w:val="20"/>
              </w:rPr>
              <w:t>Zrenjanin</w:t>
            </w:r>
            <w:proofErr w:type="spellEnd"/>
            <w:r w:rsidRPr="00F07779">
              <w:rPr>
                <w:sz w:val="20"/>
                <w:szCs w:val="20"/>
              </w:rPr>
              <w:t xml:space="preserve"> 2 </w:t>
            </w:r>
          </w:p>
        </w:tc>
      </w:tr>
      <w:tr w:rsidR="0094644B" w:rsidRPr="00F07779" w14:paraId="47DB241D"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5D48750A" w14:textId="77777777" w:rsidR="0094644B" w:rsidRPr="00F07779" w:rsidRDefault="0094644B" w:rsidP="00FB5086">
            <w:pPr>
              <w:rPr>
                <w:sz w:val="20"/>
                <w:szCs w:val="20"/>
              </w:rPr>
            </w:pPr>
            <w:r w:rsidRPr="00FA3F57">
              <w:rPr>
                <w:sz w:val="20"/>
                <w:szCs w:val="20"/>
              </w:rPr>
              <w:t>Short description of the investment</w:t>
            </w:r>
          </w:p>
        </w:tc>
        <w:tc>
          <w:tcPr>
            <w:tcW w:w="5667" w:type="dxa"/>
            <w:tcBorders>
              <w:top w:val="single" w:sz="4" w:space="0" w:color="auto"/>
              <w:left w:val="single" w:sz="4" w:space="0" w:color="auto"/>
              <w:bottom w:val="single" w:sz="4" w:space="0" w:color="auto"/>
              <w:right w:val="single" w:sz="4" w:space="0" w:color="auto"/>
            </w:tcBorders>
            <w:hideMark/>
          </w:tcPr>
          <w:p w14:paraId="3FBEE4D0" w14:textId="77777777" w:rsidR="0094644B" w:rsidRPr="00F07779" w:rsidRDefault="0094644B" w:rsidP="00FB5086">
            <w:pPr>
              <w:rPr>
                <w:sz w:val="20"/>
                <w:szCs w:val="20"/>
              </w:rPr>
            </w:pPr>
            <w:r w:rsidRPr="00F07779">
              <w:rPr>
                <w:sz w:val="20"/>
                <w:szCs w:val="20"/>
              </w:rPr>
              <w:t xml:space="preserve">The replacement of the existing 220/110 kV transformer with a capacity of 200 MVA by a new 220/110 kV transformer with a capacity of 250 MVA is planned, thereby enabling increased supply security for the </w:t>
            </w:r>
            <w:proofErr w:type="spellStart"/>
            <w:r w:rsidRPr="00F07779">
              <w:rPr>
                <w:sz w:val="20"/>
                <w:szCs w:val="20"/>
              </w:rPr>
              <w:t>Zrenjanin</w:t>
            </w:r>
            <w:proofErr w:type="spellEnd"/>
            <w:r w:rsidRPr="00F07779">
              <w:rPr>
                <w:sz w:val="20"/>
                <w:szCs w:val="20"/>
              </w:rPr>
              <w:t xml:space="preserve"> consumption area.</w:t>
            </w:r>
          </w:p>
          <w:p w14:paraId="195CD3C9" w14:textId="77777777" w:rsidR="0094644B" w:rsidRPr="00F07779" w:rsidRDefault="0094644B" w:rsidP="00FB5086">
            <w:pPr>
              <w:rPr>
                <w:sz w:val="20"/>
                <w:szCs w:val="20"/>
              </w:rPr>
            </w:pPr>
            <w:r w:rsidRPr="00F07779">
              <w:rPr>
                <w:sz w:val="20"/>
                <w:szCs w:val="20"/>
              </w:rPr>
              <w:t>Expected dynamics of project implementation:</w:t>
            </w:r>
          </w:p>
          <w:p w14:paraId="19357FCB" w14:textId="77777777" w:rsidR="0094644B" w:rsidRPr="00F07779" w:rsidRDefault="0094644B" w:rsidP="00FB5086">
            <w:pPr>
              <w:rPr>
                <w:sz w:val="20"/>
                <w:szCs w:val="20"/>
              </w:rPr>
            </w:pPr>
            <w:r w:rsidRPr="00F07779">
              <w:rPr>
                <w:sz w:val="20"/>
                <w:szCs w:val="20"/>
              </w:rPr>
              <w:t>2026. Building permit</w:t>
            </w:r>
          </w:p>
          <w:p w14:paraId="347443F2" w14:textId="77777777" w:rsidR="0094644B" w:rsidRPr="00F07779" w:rsidRDefault="0094644B" w:rsidP="00FB5086">
            <w:pPr>
              <w:rPr>
                <w:sz w:val="20"/>
                <w:szCs w:val="20"/>
              </w:rPr>
            </w:pPr>
            <w:r w:rsidRPr="00F07779">
              <w:rPr>
                <w:sz w:val="20"/>
                <w:szCs w:val="20"/>
              </w:rPr>
              <w:t>2027. Construction</w:t>
            </w:r>
          </w:p>
          <w:p w14:paraId="6B5F7367" w14:textId="77777777" w:rsidR="0094644B" w:rsidRPr="00F07779" w:rsidRDefault="0094644B" w:rsidP="00FB5086">
            <w:pPr>
              <w:rPr>
                <w:sz w:val="20"/>
                <w:szCs w:val="20"/>
              </w:rPr>
            </w:pPr>
            <w:r w:rsidRPr="00F07779">
              <w:rPr>
                <w:sz w:val="20"/>
                <w:szCs w:val="20"/>
              </w:rPr>
              <w:t>2028. Commissioning; trial operation</w:t>
            </w:r>
          </w:p>
        </w:tc>
      </w:tr>
      <w:tr w:rsidR="0094644B" w:rsidRPr="00F07779" w14:paraId="4A8D229F"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3D054361" w14:textId="77777777" w:rsidR="0094644B" w:rsidRPr="00F07779" w:rsidRDefault="0094644B" w:rsidP="00FB5086">
            <w:pPr>
              <w:rPr>
                <w:sz w:val="20"/>
                <w:szCs w:val="20"/>
              </w:rPr>
            </w:pPr>
            <w:r w:rsidRPr="00FA3F57">
              <w:rPr>
                <w:sz w:val="20"/>
                <w:szCs w:val="20"/>
              </w:rPr>
              <w:t>Institutions responsible for the implementation of measures and activities</w:t>
            </w:r>
          </w:p>
        </w:tc>
        <w:tc>
          <w:tcPr>
            <w:tcW w:w="5667" w:type="dxa"/>
            <w:tcBorders>
              <w:top w:val="single" w:sz="4" w:space="0" w:color="auto"/>
              <w:left w:val="single" w:sz="4" w:space="0" w:color="auto"/>
              <w:bottom w:val="single" w:sz="4" w:space="0" w:color="auto"/>
              <w:right w:val="single" w:sz="4" w:space="0" w:color="auto"/>
            </w:tcBorders>
            <w:hideMark/>
          </w:tcPr>
          <w:p w14:paraId="0DF6A7B9" w14:textId="77777777" w:rsidR="0094644B" w:rsidRPr="00F07779" w:rsidRDefault="0094644B" w:rsidP="00FB5086">
            <w:pPr>
              <w:rPr>
                <w:sz w:val="20"/>
                <w:szCs w:val="20"/>
              </w:rPr>
            </w:pPr>
            <w:r w:rsidRPr="00FA3F57">
              <w:rPr>
                <w:sz w:val="20"/>
                <w:szCs w:val="20"/>
              </w:rPr>
              <w:t>EMS JSC Belgrade</w:t>
            </w:r>
          </w:p>
        </w:tc>
      </w:tr>
      <w:tr w:rsidR="0094644B" w:rsidRPr="00F07779" w14:paraId="51A38E5B"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2376135E" w14:textId="77777777" w:rsidR="0094644B" w:rsidRPr="00F07779" w:rsidRDefault="0094644B" w:rsidP="00FB5086">
            <w:pPr>
              <w:rPr>
                <w:sz w:val="20"/>
                <w:szCs w:val="20"/>
              </w:rPr>
            </w:pPr>
            <w:r w:rsidRPr="00FA3F57">
              <w:rPr>
                <w:sz w:val="20"/>
                <w:szCs w:val="20"/>
              </w:rPr>
              <w:t>Institutions responsible for monitoring implementation and reporting on the realization</w:t>
            </w:r>
          </w:p>
        </w:tc>
        <w:tc>
          <w:tcPr>
            <w:tcW w:w="5667" w:type="dxa"/>
            <w:tcBorders>
              <w:top w:val="single" w:sz="4" w:space="0" w:color="auto"/>
              <w:left w:val="single" w:sz="4" w:space="0" w:color="auto"/>
              <w:bottom w:val="single" w:sz="4" w:space="0" w:color="auto"/>
              <w:right w:val="single" w:sz="4" w:space="0" w:color="auto"/>
            </w:tcBorders>
            <w:hideMark/>
          </w:tcPr>
          <w:p w14:paraId="03D1BC51" w14:textId="77777777" w:rsidR="0094644B" w:rsidRPr="00F07779" w:rsidRDefault="0094644B" w:rsidP="00FB5086">
            <w:pPr>
              <w:rPr>
                <w:sz w:val="20"/>
                <w:szCs w:val="20"/>
              </w:rPr>
            </w:pPr>
            <w:r w:rsidRPr="00FA3F57">
              <w:rPr>
                <w:sz w:val="20"/>
                <w:szCs w:val="20"/>
              </w:rPr>
              <w:t>EMS JSC Belgrade</w:t>
            </w:r>
          </w:p>
          <w:p w14:paraId="203227A0" w14:textId="77777777" w:rsidR="0094644B" w:rsidRPr="00FA3F57" w:rsidRDefault="0094644B" w:rsidP="00FB5086">
            <w:pPr>
              <w:rPr>
                <w:sz w:val="20"/>
                <w:szCs w:val="20"/>
              </w:rPr>
            </w:pPr>
            <w:r w:rsidRPr="00FA3F57">
              <w:rPr>
                <w:sz w:val="20"/>
                <w:szCs w:val="20"/>
              </w:rPr>
              <w:t>Republic Commission for Energy Networks</w:t>
            </w:r>
          </w:p>
          <w:p w14:paraId="3F26E171" w14:textId="77777777" w:rsidR="0094644B" w:rsidRPr="00F07779" w:rsidRDefault="0094644B" w:rsidP="00FB5086">
            <w:pPr>
              <w:rPr>
                <w:sz w:val="20"/>
                <w:szCs w:val="20"/>
              </w:rPr>
            </w:pPr>
            <w:r w:rsidRPr="00F07779">
              <w:rPr>
                <w:sz w:val="20"/>
                <w:szCs w:val="20"/>
              </w:rPr>
              <w:t>Ministry of Mining and Energy</w:t>
            </w:r>
          </w:p>
        </w:tc>
      </w:tr>
      <w:tr w:rsidR="0094644B" w:rsidRPr="00F07779" w14:paraId="2E945FF8"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0A991EE4" w14:textId="77777777" w:rsidR="0094644B" w:rsidRPr="00F07779" w:rsidRDefault="0094644B" w:rsidP="00FB5086">
            <w:pPr>
              <w:rPr>
                <w:sz w:val="20"/>
                <w:szCs w:val="20"/>
              </w:rPr>
            </w:pPr>
            <w:r w:rsidRPr="00FA3F57">
              <w:rPr>
                <w:sz w:val="20"/>
                <w:szCs w:val="20"/>
              </w:rPr>
              <w:t>Year of project funding start</w:t>
            </w:r>
          </w:p>
        </w:tc>
        <w:tc>
          <w:tcPr>
            <w:tcW w:w="5667" w:type="dxa"/>
            <w:tcBorders>
              <w:top w:val="single" w:sz="4" w:space="0" w:color="auto"/>
              <w:left w:val="single" w:sz="4" w:space="0" w:color="auto"/>
              <w:bottom w:val="single" w:sz="4" w:space="0" w:color="auto"/>
              <w:right w:val="single" w:sz="4" w:space="0" w:color="auto"/>
            </w:tcBorders>
            <w:hideMark/>
          </w:tcPr>
          <w:p w14:paraId="2F42BE89" w14:textId="77777777" w:rsidR="0094644B" w:rsidRPr="00F07779" w:rsidRDefault="0094644B" w:rsidP="00FB5086">
            <w:pPr>
              <w:rPr>
                <w:sz w:val="20"/>
                <w:szCs w:val="20"/>
              </w:rPr>
            </w:pPr>
            <w:r w:rsidRPr="00F07779">
              <w:rPr>
                <w:sz w:val="20"/>
                <w:szCs w:val="20"/>
              </w:rPr>
              <w:t xml:space="preserve">2023. </w:t>
            </w:r>
          </w:p>
        </w:tc>
      </w:tr>
      <w:tr w:rsidR="0094644B" w:rsidRPr="00F07779" w14:paraId="15312CF8"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0D326A8A" w14:textId="77777777" w:rsidR="0094644B" w:rsidRPr="00F07779" w:rsidRDefault="0094644B" w:rsidP="00FB5086">
            <w:pPr>
              <w:rPr>
                <w:sz w:val="20"/>
                <w:szCs w:val="20"/>
              </w:rPr>
            </w:pPr>
            <w:r w:rsidRPr="00FA3F57">
              <w:rPr>
                <w:sz w:val="20"/>
                <w:szCs w:val="20"/>
              </w:rPr>
              <w:t>Year of completion of project funding</w:t>
            </w:r>
          </w:p>
        </w:tc>
        <w:tc>
          <w:tcPr>
            <w:tcW w:w="5667" w:type="dxa"/>
            <w:tcBorders>
              <w:top w:val="single" w:sz="4" w:space="0" w:color="auto"/>
              <w:left w:val="single" w:sz="4" w:space="0" w:color="auto"/>
              <w:bottom w:val="single" w:sz="4" w:space="0" w:color="auto"/>
              <w:right w:val="single" w:sz="4" w:space="0" w:color="auto"/>
            </w:tcBorders>
            <w:hideMark/>
          </w:tcPr>
          <w:p w14:paraId="622DE182" w14:textId="77777777" w:rsidR="0094644B" w:rsidRPr="00F07779" w:rsidRDefault="0094644B" w:rsidP="00FB5086">
            <w:pPr>
              <w:rPr>
                <w:sz w:val="20"/>
                <w:szCs w:val="20"/>
              </w:rPr>
            </w:pPr>
            <w:r w:rsidRPr="00F07779">
              <w:rPr>
                <w:sz w:val="20"/>
                <w:szCs w:val="20"/>
              </w:rPr>
              <w:t>2028.</w:t>
            </w:r>
          </w:p>
        </w:tc>
      </w:tr>
      <w:tr w:rsidR="0094644B" w:rsidRPr="00F07779" w14:paraId="664756B9"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1A96D96C" w14:textId="77777777" w:rsidR="0094644B" w:rsidRPr="00F07779" w:rsidRDefault="0094644B" w:rsidP="00FB5086">
            <w:pPr>
              <w:rPr>
                <w:sz w:val="20"/>
                <w:szCs w:val="20"/>
              </w:rPr>
            </w:pPr>
            <w:r w:rsidRPr="00FA3F57">
              <w:rPr>
                <w:sz w:val="20"/>
                <w:szCs w:val="20"/>
              </w:rPr>
              <w:t>Total project value</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281FC7F9" w14:textId="77777777" w:rsidR="0094644B" w:rsidRPr="00F07779" w:rsidRDefault="0094644B" w:rsidP="00FB5086">
            <w:pPr>
              <w:rPr>
                <w:sz w:val="20"/>
                <w:szCs w:val="20"/>
              </w:rPr>
            </w:pPr>
            <w:r w:rsidRPr="00F07779">
              <w:rPr>
                <w:sz w:val="20"/>
                <w:szCs w:val="20"/>
              </w:rPr>
              <w:t>199,325 (1.7 million EUR)</w:t>
            </w:r>
          </w:p>
        </w:tc>
      </w:tr>
      <w:tr w:rsidR="0094644B" w:rsidRPr="00F07779" w14:paraId="253A135C"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59D6EB0B" w14:textId="77777777" w:rsidR="0094644B" w:rsidRPr="00F07779" w:rsidRDefault="0094644B" w:rsidP="00FB5086">
            <w:pPr>
              <w:rPr>
                <w:sz w:val="20"/>
                <w:szCs w:val="20"/>
              </w:rPr>
            </w:pPr>
            <w:r w:rsidRPr="00FA3F57">
              <w:rPr>
                <w:sz w:val="20"/>
                <w:szCs w:val="20"/>
              </w:rPr>
              <w:t>Planned investments for 2026.</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2503FE28" w14:textId="77777777" w:rsidR="0094644B" w:rsidRPr="00F07779" w:rsidRDefault="0094644B" w:rsidP="00FB5086">
            <w:pPr>
              <w:rPr>
                <w:sz w:val="20"/>
                <w:szCs w:val="20"/>
              </w:rPr>
            </w:pPr>
            <w:r w:rsidRPr="00F07779">
              <w:rPr>
                <w:sz w:val="20"/>
                <w:szCs w:val="20"/>
              </w:rPr>
              <w:t>171,185 (own funds of EMS JSC)</w:t>
            </w:r>
          </w:p>
        </w:tc>
      </w:tr>
      <w:tr w:rsidR="0094644B" w:rsidRPr="00F07779" w14:paraId="0F84FDA7"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40056732" w14:textId="77777777" w:rsidR="0094644B" w:rsidRPr="00F07779" w:rsidRDefault="0094644B" w:rsidP="00FB5086">
            <w:pPr>
              <w:rPr>
                <w:sz w:val="20"/>
                <w:szCs w:val="20"/>
              </w:rPr>
            </w:pPr>
            <w:r w:rsidRPr="00FA3F57">
              <w:rPr>
                <w:sz w:val="20"/>
                <w:szCs w:val="20"/>
              </w:rPr>
              <w:t>Planned investments for 2027.</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2A54BA8A" w14:textId="77777777" w:rsidR="0094644B" w:rsidRPr="00F07779" w:rsidRDefault="0094644B" w:rsidP="00FB5086">
            <w:pPr>
              <w:rPr>
                <w:sz w:val="20"/>
                <w:szCs w:val="20"/>
              </w:rPr>
            </w:pPr>
            <w:r w:rsidRPr="00F07779">
              <w:rPr>
                <w:sz w:val="20"/>
                <w:szCs w:val="20"/>
              </w:rPr>
              <w:t>0</w:t>
            </w:r>
          </w:p>
        </w:tc>
      </w:tr>
      <w:tr w:rsidR="0094644B" w:rsidRPr="00F07779" w14:paraId="559DD8E4"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7C03A803" w14:textId="77777777" w:rsidR="0094644B" w:rsidRPr="00F07779" w:rsidRDefault="0094644B" w:rsidP="00FB5086">
            <w:pPr>
              <w:rPr>
                <w:sz w:val="20"/>
                <w:szCs w:val="20"/>
              </w:rPr>
            </w:pPr>
            <w:r w:rsidRPr="00FA3F57">
              <w:rPr>
                <w:sz w:val="20"/>
                <w:szCs w:val="20"/>
              </w:rPr>
              <w:t>Planned investments for 2028.</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33516BB5" w14:textId="77777777" w:rsidR="0094644B" w:rsidRPr="00F07779" w:rsidRDefault="0094644B" w:rsidP="00FB5086">
            <w:pPr>
              <w:rPr>
                <w:sz w:val="20"/>
                <w:szCs w:val="20"/>
              </w:rPr>
            </w:pPr>
            <w:r w:rsidRPr="00F07779">
              <w:rPr>
                <w:sz w:val="20"/>
                <w:szCs w:val="20"/>
              </w:rPr>
              <w:t xml:space="preserve">0 </w:t>
            </w:r>
          </w:p>
        </w:tc>
      </w:tr>
    </w:tbl>
    <w:p w14:paraId="23969060" w14:textId="77777777" w:rsidR="0094644B" w:rsidRPr="00F07779" w:rsidRDefault="0094644B" w:rsidP="0094644B">
      <w:pPr>
        <w:tabs>
          <w:tab w:val="left" w:pos="1276"/>
          <w:tab w:val="left" w:pos="1560"/>
        </w:tabs>
        <w:ind w:left="1440" w:hanging="1440"/>
      </w:pPr>
    </w:p>
    <w:tbl>
      <w:tblPr>
        <w:tblStyle w:val="TableGrid"/>
        <w:tblW w:w="0" w:type="auto"/>
        <w:tblLook w:val="04A0" w:firstRow="1" w:lastRow="0" w:firstColumn="1" w:lastColumn="0" w:noHBand="0" w:noVBand="1"/>
      </w:tblPr>
      <w:tblGrid>
        <w:gridCol w:w="2973"/>
        <w:gridCol w:w="5667"/>
      </w:tblGrid>
      <w:tr w:rsidR="0094644B" w:rsidRPr="00F07779" w14:paraId="41DAA845"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22D7BC7" w14:textId="77777777" w:rsidR="0094644B" w:rsidRPr="00F07779" w:rsidRDefault="0094644B" w:rsidP="00FB5086">
            <w:pPr>
              <w:rPr>
                <w:sz w:val="20"/>
                <w:szCs w:val="20"/>
              </w:rPr>
            </w:pPr>
            <w:r w:rsidRPr="00F07779">
              <w:rPr>
                <w:sz w:val="20"/>
                <w:szCs w:val="20"/>
              </w:rPr>
              <w:t>Activity EL1.2</w:t>
            </w:r>
          </w:p>
        </w:tc>
        <w:tc>
          <w:tcPr>
            <w:tcW w:w="566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5F27762" w14:textId="77777777" w:rsidR="0094644B" w:rsidRPr="00F07779" w:rsidRDefault="0094644B" w:rsidP="00FB5086">
            <w:pPr>
              <w:rPr>
                <w:sz w:val="20"/>
                <w:szCs w:val="20"/>
              </w:rPr>
            </w:pPr>
            <w:r w:rsidRPr="00F07779">
              <w:rPr>
                <w:sz w:val="20"/>
                <w:szCs w:val="20"/>
              </w:rPr>
              <w:t>Investment projects focused on the reconstruction and construction of the transmission network</w:t>
            </w:r>
          </w:p>
        </w:tc>
      </w:tr>
      <w:tr w:rsidR="0094644B" w:rsidRPr="00F07779" w14:paraId="65F88DA4"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7C762559" w14:textId="77777777" w:rsidR="0094644B" w:rsidRPr="00F07779" w:rsidRDefault="0094644B" w:rsidP="00FB5086">
            <w:pPr>
              <w:rPr>
                <w:sz w:val="20"/>
                <w:szCs w:val="20"/>
              </w:rPr>
            </w:pPr>
            <w:r w:rsidRPr="00FA3F57">
              <w:rPr>
                <w:sz w:val="20"/>
                <w:szCs w:val="20"/>
              </w:rPr>
              <w:t>Name of the project</w:t>
            </w:r>
          </w:p>
        </w:tc>
        <w:tc>
          <w:tcPr>
            <w:tcW w:w="5667"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5B83AFB5" w14:textId="77777777" w:rsidR="0094644B" w:rsidRPr="00F07779" w:rsidRDefault="0094644B" w:rsidP="00FB5086">
            <w:pPr>
              <w:rPr>
                <w:sz w:val="20"/>
                <w:szCs w:val="20"/>
              </w:rPr>
            </w:pPr>
            <w:r w:rsidRPr="00F07779">
              <w:rPr>
                <w:sz w:val="20"/>
                <w:szCs w:val="20"/>
              </w:rPr>
              <w:t xml:space="preserve">Reconstruction SS 110 kV in (400)/220/110 kV TS </w:t>
            </w:r>
            <w:proofErr w:type="spellStart"/>
            <w:r w:rsidRPr="00F07779">
              <w:rPr>
                <w:sz w:val="20"/>
                <w:szCs w:val="20"/>
              </w:rPr>
              <w:t>Kraljevo</w:t>
            </w:r>
            <w:proofErr w:type="spellEnd"/>
            <w:r w:rsidRPr="00F07779">
              <w:rPr>
                <w:sz w:val="20"/>
                <w:szCs w:val="20"/>
              </w:rPr>
              <w:t xml:space="preserve"> 3</w:t>
            </w:r>
          </w:p>
        </w:tc>
      </w:tr>
      <w:tr w:rsidR="0094644B" w:rsidRPr="00F07779" w14:paraId="31531D69"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B5EB315" w14:textId="77777777" w:rsidR="0094644B" w:rsidRPr="00F07779" w:rsidRDefault="0094644B" w:rsidP="00FB5086">
            <w:pPr>
              <w:rPr>
                <w:sz w:val="20"/>
                <w:szCs w:val="20"/>
              </w:rPr>
            </w:pPr>
            <w:r w:rsidRPr="00FA3F57">
              <w:rPr>
                <w:sz w:val="20"/>
                <w:szCs w:val="20"/>
              </w:rPr>
              <w:t xml:space="preserve">Name of the </w:t>
            </w:r>
            <w:r w:rsidRPr="00F07779">
              <w:rPr>
                <w:sz w:val="20"/>
                <w:szCs w:val="20"/>
              </w:rPr>
              <w:t>investment</w:t>
            </w:r>
          </w:p>
        </w:tc>
        <w:tc>
          <w:tcPr>
            <w:tcW w:w="566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B08F2B0" w14:textId="77777777" w:rsidR="0094644B" w:rsidRPr="00F07779" w:rsidRDefault="0094644B" w:rsidP="00FB5086">
            <w:pPr>
              <w:rPr>
                <w:sz w:val="20"/>
                <w:szCs w:val="20"/>
              </w:rPr>
            </w:pPr>
            <w:r w:rsidRPr="00F07779">
              <w:rPr>
                <w:sz w:val="20"/>
                <w:szCs w:val="20"/>
              </w:rPr>
              <w:t xml:space="preserve">400/220/110 kV TS </w:t>
            </w:r>
            <w:proofErr w:type="spellStart"/>
            <w:r w:rsidRPr="00F07779">
              <w:rPr>
                <w:sz w:val="20"/>
                <w:szCs w:val="20"/>
              </w:rPr>
              <w:t>Kraljevo</w:t>
            </w:r>
            <w:proofErr w:type="spellEnd"/>
            <w:r w:rsidRPr="00F07779">
              <w:rPr>
                <w:sz w:val="20"/>
                <w:szCs w:val="20"/>
              </w:rPr>
              <w:t xml:space="preserve"> 3, phase II reconstruction</w:t>
            </w:r>
          </w:p>
        </w:tc>
      </w:tr>
      <w:tr w:rsidR="0094644B" w:rsidRPr="00F07779" w14:paraId="5688294A"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5C9C05F5" w14:textId="77777777" w:rsidR="0094644B" w:rsidRPr="00F07779" w:rsidRDefault="0094644B" w:rsidP="00FB5086">
            <w:pPr>
              <w:rPr>
                <w:sz w:val="20"/>
                <w:szCs w:val="20"/>
              </w:rPr>
            </w:pPr>
            <w:r w:rsidRPr="00FA3F57">
              <w:rPr>
                <w:sz w:val="20"/>
                <w:szCs w:val="20"/>
              </w:rPr>
              <w:lastRenderedPageBreak/>
              <w:t>Short description of the investment</w:t>
            </w:r>
          </w:p>
        </w:tc>
        <w:tc>
          <w:tcPr>
            <w:tcW w:w="5667" w:type="dxa"/>
            <w:tcBorders>
              <w:top w:val="single" w:sz="4" w:space="0" w:color="auto"/>
              <w:left w:val="single" w:sz="4" w:space="0" w:color="auto"/>
              <w:bottom w:val="single" w:sz="4" w:space="0" w:color="auto"/>
              <w:right w:val="single" w:sz="4" w:space="0" w:color="auto"/>
            </w:tcBorders>
            <w:hideMark/>
          </w:tcPr>
          <w:p w14:paraId="689D6669" w14:textId="77777777" w:rsidR="0094644B" w:rsidRPr="00F07779" w:rsidRDefault="0094644B" w:rsidP="00FB5086">
            <w:pPr>
              <w:rPr>
                <w:sz w:val="20"/>
                <w:szCs w:val="20"/>
              </w:rPr>
            </w:pPr>
            <w:r w:rsidRPr="00F07779">
              <w:rPr>
                <w:sz w:val="20"/>
                <w:szCs w:val="20"/>
              </w:rPr>
              <w:t xml:space="preserve">Reconstruction of the existing 110 kV section at TS </w:t>
            </w:r>
            <w:proofErr w:type="spellStart"/>
            <w:r w:rsidRPr="00F07779">
              <w:rPr>
                <w:sz w:val="20"/>
                <w:szCs w:val="20"/>
              </w:rPr>
              <w:t>Kraljevo</w:t>
            </w:r>
            <w:proofErr w:type="spellEnd"/>
            <w:r w:rsidRPr="00F07779">
              <w:rPr>
                <w:sz w:val="20"/>
                <w:szCs w:val="20"/>
              </w:rPr>
              <w:t xml:space="preserve"> 3, i.e., reconstruction of individual transmission lines, transformer bays, and connection bays by replacing high-voltage equipment. The replacement of ropes, insulator chains, grounding, connecting, and suspension equipment on busbars GS1 and GS2, and the installation of protection and control systems are also planned. Expected dynamics of project implementation:</w:t>
            </w:r>
          </w:p>
          <w:p w14:paraId="796EC540" w14:textId="77777777" w:rsidR="0094644B" w:rsidRPr="00F07779" w:rsidRDefault="0094644B" w:rsidP="00FB5086">
            <w:pPr>
              <w:rPr>
                <w:sz w:val="20"/>
                <w:szCs w:val="20"/>
              </w:rPr>
            </w:pPr>
            <w:r w:rsidRPr="00F07779">
              <w:rPr>
                <w:sz w:val="20"/>
                <w:szCs w:val="20"/>
              </w:rPr>
              <w:t>2026. Construction</w:t>
            </w:r>
          </w:p>
          <w:p w14:paraId="299212CD" w14:textId="77777777" w:rsidR="0094644B" w:rsidRPr="00F07779" w:rsidRDefault="0094644B" w:rsidP="00FB5086">
            <w:pPr>
              <w:rPr>
                <w:sz w:val="20"/>
                <w:szCs w:val="20"/>
              </w:rPr>
            </w:pPr>
            <w:r w:rsidRPr="00F07779">
              <w:rPr>
                <w:sz w:val="20"/>
                <w:szCs w:val="20"/>
              </w:rPr>
              <w:t>2027. Commissioning; trial operation</w:t>
            </w:r>
          </w:p>
          <w:p w14:paraId="63E80156" w14:textId="77777777" w:rsidR="0094644B" w:rsidRPr="00F07779" w:rsidRDefault="0094644B" w:rsidP="00FB5086">
            <w:pPr>
              <w:rPr>
                <w:sz w:val="20"/>
                <w:szCs w:val="20"/>
              </w:rPr>
            </w:pPr>
            <w:r w:rsidRPr="00F07779">
              <w:rPr>
                <w:sz w:val="20"/>
                <w:szCs w:val="20"/>
              </w:rPr>
              <w:t>2028. Use permit; end of project</w:t>
            </w:r>
          </w:p>
        </w:tc>
      </w:tr>
      <w:tr w:rsidR="0094644B" w:rsidRPr="00F07779" w14:paraId="7408BF2B"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40A4EF0C" w14:textId="77777777" w:rsidR="0094644B" w:rsidRPr="00F07779" w:rsidRDefault="0094644B" w:rsidP="00FB5086">
            <w:pPr>
              <w:rPr>
                <w:sz w:val="20"/>
                <w:szCs w:val="20"/>
              </w:rPr>
            </w:pPr>
            <w:r w:rsidRPr="00FA3F57">
              <w:rPr>
                <w:sz w:val="20"/>
                <w:szCs w:val="20"/>
              </w:rPr>
              <w:t>Institutions responsible for the implementation of measures and activities</w:t>
            </w:r>
          </w:p>
        </w:tc>
        <w:tc>
          <w:tcPr>
            <w:tcW w:w="5667" w:type="dxa"/>
            <w:tcBorders>
              <w:top w:val="single" w:sz="4" w:space="0" w:color="auto"/>
              <w:left w:val="single" w:sz="4" w:space="0" w:color="auto"/>
              <w:bottom w:val="single" w:sz="4" w:space="0" w:color="auto"/>
              <w:right w:val="single" w:sz="4" w:space="0" w:color="auto"/>
            </w:tcBorders>
            <w:hideMark/>
          </w:tcPr>
          <w:p w14:paraId="1273802B" w14:textId="77777777" w:rsidR="0094644B" w:rsidRPr="00F07779" w:rsidRDefault="0094644B" w:rsidP="00FB5086">
            <w:pPr>
              <w:rPr>
                <w:sz w:val="20"/>
                <w:szCs w:val="20"/>
              </w:rPr>
            </w:pPr>
            <w:r w:rsidRPr="00FA3F57">
              <w:rPr>
                <w:sz w:val="20"/>
                <w:szCs w:val="20"/>
              </w:rPr>
              <w:t>EMS JSC Belgrade</w:t>
            </w:r>
          </w:p>
        </w:tc>
      </w:tr>
      <w:tr w:rsidR="0094644B" w:rsidRPr="00F07779" w14:paraId="2434BD00"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0E9AD4C0" w14:textId="77777777" w:rsidR="0094644B" w:rsidRPr="00F07779" w:rsidRDefault="0094644B" w:rsidP="00FB5086">
            <w:pPr>
              <w:rPr>
                <w:sz w:val="20"/>
                <w:szCs w:val="20"/>
              </w:rPr>
            </w:pPr>
            <w:r w:rsidRPr="00FA3F57">
              <w:rPr>
                <w:sz w:val="20"/>
                <w:szCs w:val="20"/>
              </w:rPr>
              <w:t>Institutions responsible for monitoring implementation and reporting on the realization</w:t>
            </w:r>
          </w:p>
        </w:tc>
        <w:tc>
          <w:tcPr>
            <w:tcW w:w="5667" w:type="dxa"/>
            <w:tcBorders>
              <w:top w:val="single" w:sz="4" w:space="0" w:color="auto"/>
              <w:left w:val="single" w:sz="4" w:space="0" w:color="auto"/>
              <w:bottom w:val="single" w:sz="4" w:space="0" w:color="auto"/>
              <w:right w:val="single" w:sz="4" w:space="0" w:color="auto"/>
            </w:tcBorders>
            <w:hideMark/>
          </w:tcPr>
          <w:p w14:paraId="64E0949A" w14:textId="77777777" w:rsidR="0094644B" w:rsidRPr="00F07779" w:rsidRDefault="0094644B" w:rsidP="00FB5086">
            <w:pPr>
              <w:rPr>
                <w:sz w:val="20"/>
                <w:szCs w:val="20"/>
              </w:rPr>
            </w:pPr>
            <w:r w:rsidRPr="00FA3F57">
              <w:rPr>
                <w:sz w:val="20"/>
                <w:szCs w:val="20"/>
              </w:rPr>
              <w:t>EMS JSC Belgrade</w:t>
            </w:r>
          </w:p>
          <w:p w14:paraId="16B1C365" w14:textId="77777777" w:rsidR="0094644B" w:rsidRPr="00FA3F57" w:rsidRDefault="0094644B" w:rsidP="00FB5086">
            <w:pPr>
              <w:rPr>
                <w:sz w:val="20"/>
                <w:szCs w:val="20"/>
              </w:rPr>
            </w:pPr>
            <w:r w:rsidRPr="00FA3F57">
              <w:rPr>
                <w:sz w:val="20"/>
                <w:szCs w:val="20"/>
              </w:rPr>
              <w:t>Republic Commission for Energy Networks</w:t>
            </w:r>
          </w:p>
          <w:p w14:paraId="3CA1BF4D" w14:textId="77777777" w:rsidR="0094644B" w:rsidRPr="00F07779" w:rsidRDefault="0094644B" w:rsidP="00FB5086">
            <w:pPr>
              <w:rPr>
                <w:sz w:val="20"/>
                <w:szCs w:val="20"/>
              </w:rPr>
            </w:pPr>
            <w:r w:rsidRPr="00F07779">
              <w:rPr>
                <w:sz w:val="20"/>
                <w:szCs w:val="20"/>
              </w:rPr>
              <w:t>Ministry of Mining and Energy</w:t>
            </w:r>
          </w:p>
        </w:tc>
      </w:tr>
      <w:tr w:rsidR="0094644B" w:rsidRPr="00F07779" w14:paraId="33EA931A"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16435C2E" w14:textId="77777777" w:rsidR="0094644B" w:rsidRPr="00F07779" w:rsidRDefault="0094644B" w:rsidP="00FB5086">
            <w:pPr>
              <w:rPr>
                <w:sz w:val="20"/>
                <w:szCs w:val="20"/>
              </w:rPr>
            </w:pPr>
            <w:r w:rsidRPr="00FA3F57">
              <w:rPr>
                <w:sz w:val="20"/>
                <w:szCs w:val="20"/>
              </w:rPr>
              <w:t>Year of project funding start</w:t>
            </w:r>
          </w:p>
        </w:tc>
        <w:tc>
          <w:tcPr>
            <w:tcW w:w="5667" w:type="dxa"/>
            <w:tcBorders>
              <w:top w:val="single" w:sz="4" w:space="0" w:color="auto"/>
              <w:left w:val="single" w:sz="4" w:space="0" w:color="auto"/>
              <w:bottom w:val="single" w:sz="4" w:space="0" w:color="auto"/>
              <w:right w:val="single" w:sz="4" w:space="0" w:color="auto"/>
            </w:tcBorders>
            <w:hideMark/>
          </w:tcPr>
          <w:p w14:paraId="31340683" w14:textId="77777777" w:rsidR="0094644B" w:rsidRPr="00F07779" w:rsidRDefault="0094644B" w:rsidP="00FB5086">
            <w:pPr>
              <w:rPr>
                <w:sz w:val="20"/>
                <w:szCs w:val="20"/>
              </w:rPr>
            </w:pPr>
            <w:r w:rsidRPr="00F07779">
              <w:rPr>
                <w:sz w:val="20"/>
                <w:szCs w:val="20"/>
              </w:rPr>
              <w:t xml:space="preserve">2020. </w:t>
            </w:r>
          </w:p>
        </w:tc>
      </w:tr>
      <w:tr w:rsidR="0094644B" w:rsidRPr="00F07779" w14:paraId="24F51E53"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491A192C" w14:textId="77777777" w:rsidR="0094644B" w:rsidRPr="00F07779" w:rsidRDefault="0094644B" w:rsidP="00FB5086">
            <w:pPr>
              <w:rPr>
                <w:sz w:val="20"/>
                <w:szCs w:val="20"/>
              </w:rPr>
            </w:pPr>
            <w:r w:rsidRPr="00FA3F57">
              <w:rPr>
                <w:sz w:val="20"/>
                <w:szCs w:val="20"/>
              </w:rPr>
              <w:t>Year of completion of project funding</w:t>
            </w:r>
          </w:p>
        </w:tc>
        <w:tc>
          <w:tcPr>
            <w:tcW w:w="5667" w:type="dxa"/>
            <w:tcBorders>
              <w:top w:val="single" w:sz="4" w:space="0" w:color="auto"/>
              <w:left w:val="single" w:sz="4" w:space="0" w:color="auto"/>
              <w:bottom w:val="single" w:sz="4" w:space="0" w:color="auto"/>
              <w:right w:val="single" w:sz="4" w:space="0" w:color="auto"/>
            </w:tcBorders>
            <w:hideMark/>
          </w:tcPr>
          <w:p w14:paraId="094486D4" w14:textId="77777777" w:rsidR="0094644B" w:rsidRPr="00F07779" w:rsidRDefault="0094644B" w:rsidP="00FB5086">
            <w:pPr>
              <w:rPr>
                <w:sz w:val="20"/>
                <w:szCs w:val="20"/>
              </w:rPr>
            </w:pPr>
            <w:r w:rsidRPr="00F07779">
              <w:rPr>
                <w:sz w:val="20"/>
                <w:szCs w:val="20"/>
              </w:rPr>
              <w:t>2028.</w:t>
            </w:r>
          </w:p>
        </w:tc>
      </w:tr>
      <w:tr w:rsidR="0094644B" w:rsidRPr="00F07779" w14:paraId="4F6545F5"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6A992F8A" w14:textId="77777777" w:rsidR="0094644B" w:rsidRPr="00F07779" w:rsidRDefault="0094644B" w:rsidP="00FB5086">
            <w:pPr>
              <w:rPr>
                <w:sz w:val="20"/>
                <w:szCs w:val="20"/>
              </w:rPr>
            </w:pPr>
            <w:r w:rsidRPr="00FA3F57">
              <w:rPr>
                <w:sz w:val="20"/>
                <w:szCs w:val="20"/>
              </w:rPr>
              <w:t>Total project value</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11C1B5B9" w14:textId="77777777" w:rsidR="0094644B" w:rsidRPr="00F07779" w:rsidRDefault="0094644B" w:rsidP="00FB5086">
            <w:pPr>
              <w:rPr>
                <w:sz w:val="20"/>
                <w:szCs w:val="20"/>
              </w:rPr>
            </w:pPr>
            <w:r w:rsidRPr="00F07779">
              <w:rPr>
                <w:sz w:val="20"/>
                <w:szCs w:val="20"/>
              </w:rPr>
              <w:t>164,150 (1.4 million EUR)</w:t>
            </w:r>
          </w:p>
        </w:tc>
      </w:tr>
      <w:tr w:rsidR="0094644B" w:rsidRPr="00F07779" w14:paraId="76AA59C9"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7B39BA57" w14:textId="77777777" w:rsidR="0094644B" w:rsidRPr="00F07779" w:rsidRDefault="0094644B" w:rsidP="00FB5086">
            <w:pPr>
              <w:rPr>
                <w:sz w:val="20"/>
                <w:szCs w:val="20"/>
              </w:rPr>
            </w:pPr>
            <w:r w:rsidRPr="00FA3F57">
              <w:rPr>
                <w:sz w:val="20"/>
                <w:szCs w:val="20"/>
              </w:rPr>
              <w:t>Planned investments for 2026.</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70AEA2D9" w14:textId="77777777" w:rsidR="0094644B" w:rsidRPr="00F07779" w:rsidRDefault="0094644B" w:rsidP="00FB5086">
            <w:pPr>
              <w:rPr>
                <w:sz w:val="20"/>
                <w:szCs w:val="20"/>
              </w:rPr>
            </w:pPr>
            <w:r w:rsidRPr="00F07779">
              <w:rPr>
                <w:sz w:val="20"/>
                <w:szCs w:val="20"/>
              </w:rPr>
              <w:t>133,064 (own funds of EMS JSC)</w:t>
            </w:r>
          </w:p>
        </w:tc>
      </w:tr>
      <w:tr w:rsidR="0094644B" w:rsidRPr="00F07779" w14:paraId="09967A59"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00437713" w14:textId="77777777" w:rsidR="0094644B" w:rsidRPr="00F07779" w:rsidRDefault="0094644B" w:rsidP="00FB5086">
            <w:pPr>
              <w:rPr>
                <w:sz w:val="20"/>
                <w:szCs w:val="20"/>
              </w:rPr>
            </w:pPr>
            <w:r w:rsidRPr="00FA3F57">
              <w:rPr>
                <w:sz w:val="20"/>
                <w:szCs w:val="20"/>
              </w:rPr>
              <w:t>Planned investments for 2027.</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373BBB8A" w14:textId="77777777" w:rsidR="0094644B" w:rsidRPr="00F07779" w:rsidRDefault="0094644B" w:rsidP="00FB5086">
            <w:pPr>
              <w:rPr>
                <w:sz w:val="20"/>
                <w:szCs w:val="20"/>
              </w:rPr>
            </w:pPr>
            <w:r w:rsidRPr="00F07779">
              <w:rPr>
                <w:sz w:val="20"/>
                <w:szCs w:val="20"/>
              </w:rPr>
              <w:t>0</w:t>
            </w:r>
          </w:p>
        </w:tc>
      </w:tr>
      <w:tr w:rsidR="0094644B" w:rsidRPr="00F07779" w14:paraId="17849ABF"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6CE068B1" w14:textId="77777777" w:rsidR="0094644B" w:rsidRPr="00F07779" w:rsidRDefault="0094644B" w:rsidP="00FB5086">
            <w:pPr>
              <w:rPr>
                <w:sz w:val="20"/>
                <w:szCs w:val="20"/>
              </w:rPr>
            </w:pPr>
            <w:r w:rsidRPr="00FA3F57">
              <w:rPr>
                <w:sz w:val="20"/>
                <w:szCs w:val="20"/>
              </w:rPr>
              <w:t>Planned investments for 2028.</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781D4FA0" w14:textId="77777777" w:rsidR="0094644B" w:rsidRPr="00F07779" w:rsidRDefault="0094644B" w:rsidP="00FB5086">
            <w:pPr>
              <w:rPr>
                <w:sz w:val="20"/>
                <w:szCs w:val="20"/>
              </w:rPr>
            </w:pPr>
            <w:r w:rsidRPr="00F07779">
              <w:rPr>
                <w:sz w:val="20"/>
                <w:szCs w:val="20"/>
              </w:rPr>
              <w:t>0</w:t>
            </w:r>
          </w:p>
        </w:tc>
      </w:tr>
    </w:tbl>
    <w:p w14:paraId="55316156" w14:textId="77777777" w:rsidR="0094644B" w:rsidRPr="00F07779" w:rsidRDefault="0094644B" w:rsidP="0094644B">
      <w:pPr>
        <w:tabs>
          <w:tab w:val="left" w:pos="1276"/>
          <w:tab w:val="left" w:pos="1560"/>
        </w:tabs>
        <w:ind w:left="1440" w:hanging="1440"/>
      </w:pPr>
    </w:p>
    <w:tbl>
      <w:tblPr>
        <w:tblStyle w:val="TableGrid"/>
        <w:tblW w:w="0" w:type="auto"/>
        <w:tblLook w:val="04A0" w:firstRow="1" w:lastRow="0" w:firstColumn="1" w:lastColumn="0" w:noHBand="0" w:noVBand="1"/>
      </w:tblPr>
      <w:tblGrid>
        <w:gridCol w:w="2973"/>
        <w:gridCol w:w="5667"/>
      </w:tblGrid>
      <w:tr w:rsidR="0094644B" w:rsidRPr="00F07779" w14:paraId="015E48F9"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26FF2D0" w14:textId="77777777" w:rsidR="0094644B" w:rsidRPr="00F07779" w:rsidRDefault="0094644B" w:rsidP="00FB5086">
            <w:pPr>
              <w:rPr>
                <w:sz w:val="20"/>
                <w:szCs w:val="20"/>
              </w:rPr>
            </w:pPr>
            <w:r w:rsidRPr="00F07779">
              <w:rPr>
                <w:sz w:val="20"/>
                <w:szCs w:val="20"/>
              </w:rPr>
              <w:t>Activity EL1.2</w:t>
            </w:r>
          </w:p>
        </w:tc>
        <w:tc>
          <w:tcPr>
            <w:tcW w:w="566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BC2F5D8" w14:textId="77777777" w:rsidR="0094644B" w:rsidRPr="00F07779" w:rsidRDefault="0094644B" w:rsidP="00FB5086">
            <w:pPr>
              <w:rPr>
                <w:sz w:val="20"/>
                <w:szCs w:val="20"/>
              </w:rPr>
            </w:pPr>
            <w:r w:rsidRPr="00F07779">
              <w:rPr>
                <w:sz w:val="20"/>
                <w:szCs w:val="20"/>
              </w:rPr>
              <w:t>Investment projects focused on the reconstruction and construction of the transmission network</w:t>
            </w:r>
          </w:p>
        </w:tc>
      </w:tr>
      <w:tr w:rsidR="0094644B" w:rsidRPr="00F07779" w14:paraId="1B349806"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19222258" w14:textId="77777777" w:rsidR="0094644B" w:rsidRPr="00F07779" w:rsidRDefault="0094644B" w:rsidP="00FB5086">
            <w:pPr>
              <w:rPr>
                <w:sz w:val="20"/>
                <w:szCs w:val="20"/>
              </w:rPr>
            </w:pPr>
            <w:r w:rsidRPr="00FA3F57">
              <w:rPr>
                <w:sz w:val="20"/>
                <w:szCs w:val="20"/>
              </w:rPr>
              <w:t>Name of the project</w:t>
            </w:r>
          </w:p>
        </w:tc>
        <w:tc>
          <w:tcPr>
            <w:tcW w:w="5667"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4D8C520D" w14:textId="77777777" w:rsidR="0094644B" w:rsidRPr="00F07779" w:rsidRDefault="0094644B" w:rsidP="00FB5086">
            <w:pPr>
              <w:rPr>
                <w:sz w:val="20"/>
                <w:szCs w:val="20"/>
              </w:rPr>
            </w:pPr>
            <w:r w:rsidRPr="00F07779">
              <w:rPr>
                <w:sz w:val="20"/>
                <w:szCs w:val="20"/>
              </w:rPr>
              <w:t xml:space="preserve">Adaptation of OHL 110 kV No. 132/3 TS Kula – TS </w:t>
            </w:r>
            <w:proofErr w:type="spellStart"/>
            <w:r w:rsidRPr="00F07779">
              <w:rPr>
                <w:sz w:val="20"/>
                <w:szCs w:val="20"/>
              </w:rPr>
              <w:t>Srbobran</w:t>
            </w:r>
            <w:proofErr w:type="spellEnd"/>
          </w:p>
        </w:tc>
      </w:tr>
      <w:tr w:rsidR="0094644B" w:rsidRPr="00F07779" w14:paraId="03F7FD51"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BB8F180" w14:textId="77777777" w:rsidR="0094644B" w:rsidRPr="00F07779" w:rsidRDefault="0094644B" w:rsidP="00FB5086">
            <w:pPr>
              <w:rPr>
                <w:sz w:val="20"/>
                <w:szCs w:val="20"/>
              </w:rPr>
            </w:pPr>
            <w:r w:rsidRPr="00FA3F57">
              <w:rPr>
                <w:sz w:val="20"/>
                <w:szCs w:val="20"/>
              </w:rPr>
              <w:t xml:space="preserve">Name of the </w:t>
            </w:r>
            <w:r w:rsidRPr="00F07779">
              <w:rPr>
                <w:sz w:val="20"/>
                <w:szCs w:val="20"/>
              </w:rPr>
              <w:t>investment</w:t>
            </w:r>
          </w:p>
        </w:tc>
        <w:tc>
          <w:tcPr>
            <w:tcW w:w="566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11594BE" w14:textId="77777777" w:rsidR="0094644B" w:rsidRPr="00F07779" w:rsidRDefault="0094644B" w:rsidP="00FB5086">
            <w:pPr>
              <w:rPr>
                <w:sz w:val="20"/>
                <w:szCs w:val="20"/>
              </w:rPr>
            </w:pPr>
            <w:r w:rsidRPr="00F07779">
              <w:rPr>
                <w:sz w:val="20"/>
                <w:szCs w:val="20"/>
              </w:rPr>
              <w:t xml:space="preserve">OHL 110 kV No. 132/3 TS Kula – TS </w:t>
            </w:r>
            <w:proofErr w:type="spellStart"/>
            <w:r w:rsidRPr="00F07779">
              <w:rPr>
                <w:sz w:val="20"/>
                <w:szCs w:val="20"/>
              </w:rPr>
              <w:t>Srbobran</w:t>
            </w:r>
            <w:proofErr w:type="spellEnd"/>
            <w:r w:rsidRPr="00F07779">
              <w:rPr>
                <w:sz w:val="20"/>
                <w:szCs w:val="20"/>
              </w:rPr>
              <w:t>, adaptation</w:t>
            </w:r>
          </w:p>
        </w:tc>
      </w:tr>
      <w:tr w:rsidR="0094644B" w:rsidRPr="00F07779" w14:paraId="71D24C81"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5BBDBA0E" w14:textId="77777777" w:rsidR="0094644B" w:rsidRPr="00F07779" w:rsidRDefault="0094644B" w:rsidP="00FB5086">
            <w:pPr>
              <w:rPr>
                <w:sz w:val="20"/>
                <w:szCs w:val="20"/>
              </w:rPr>
            </w:pPr>
            <w:r w:rsidRPr="00FA3F57">
              <w:rPr>
                <w:sz w:val="20"/>
                <w:szCs w:val="20"/>
              </w:rPr>
              <w:t>Short description of the investment</w:t>
            </w:r>
          </w:p>
        </w:tc>
        <w:tc>
          <w:tcPr>
            <w:tcW w:w="5667" w:type="dxa"/>
            <w:tcBorders>
              <w:top w:val="single" w:sz="4" w:space="0" w:color="auto"/>
              <w:left w:val="single" w:sz="4" w:space="0" w:color="auto"/>
              <w:bottom w:val="single" w:sz="4" w:space="0" w:color="auto"/>
              <w:right w:val="single" w:sz="4" w:space="0" w:color="auto"/>
            </w:tcBorders>
            <w:hideMark/>
          </w:tcPr>
          <w:p w14:paraId="18979CAE" w14:textId="77777777" w:rsidR="0094644B" w:rsidRPr="00F07779" w:rsidRDefault="0094644B" w:rsidP="00FB5086">
            <w:pPr>
              <w:rPr>
                <w:sz w:val="20"/>
                <w:szCs w:val="20"/>
              </w:rPr>
            </w:pPr>
            <w:r w:rsidRPr="00F07779">
              <w:rPr>
                <w:sz w:val="20"/>
                <w:szCs w:val="20"/>
              </w:rPr>
              <w:t xml:space="preserve">Adaptation of the OHL 110 kV No. 132/3 TS Kula - TS </w:t>
            </w:r>
            <w:proofErr w:type="spellStart"/>
            <w:r w:rsidRPr="00F07779">
              <w:rPr>
                <w:sz w:val="20"/>
                <w:szCs w:val="20"/>
              </w:rPr>
              <w:t>Srbobran</w:t>
            </w:r>
            <w:proofErr w:type="spellEnd"/>
            <w:r w:rsidRPr="00F07779">
              <w:rPr>
                <w:sz w:val="20"/>
                <w:szCs w:val="20"/>
              </w:rPr>
              <w:t xml:space="preserve"> due to the age and poor condition of the </w:t>
            </w:r>
            <w:proofErr w:type="spellStart"/>
            <w:proofErr w:type="gramStart"/>
            <w:r w:rsidRPr="00F07779">
              <w:rPr>
                <w:sz w:val="20"/>
                <w:szCs w:val="20"/>
              </w:rPr>
              <w:t>equipment.The</w:t>
            </w:r>
            <w:proofErr w:type="spellEnd"/>
            <w:proofErr w:type="gramEnd"/>
            <w:r w:rsidRPr="00F07779">
              <w:rPr>
                <w:sz w:val="20"/>
                <w:szCs w:val="20"/>
              </w:rPr>
              <w:t xml:space="preserve"> project is necessary to increase the reliability of the transmission system and the security of the power supply to consumers.</w:t>
            </w:r>
          </w:p>
          <w:p w14:paraId="0B6280C7" w14:textId="77777777" w:rsidR="0094644B" w:rsidRPr="00F07779" w:rsidRDefault="0094644B" w:rsidP="00FB5086">
            <w:pPr>
              <w:rPr>
                <w:sz w:val="20"/>
                <w:szCs w:val="20"/>
              </w:rPr>
            </w:pPr>
            <w:r w:rsidRPr="00F07779">
              <w:rPr>
                <w:sz w:val="20"/>
                <w:szCs w:val="20"/>
              </w:rPr>
              <w:t>Expected dynamics of project implementation:</w:t>
            </w:r>
          </w:p>
          <w:p w14:paraId="5CF3034B" w14:textId="77777777" w:rsidR="0094644B" w:rsidRPr="00F07779" w:rsidRDefault="0094644B" w:rsidP="00FB5086">
            <w:pPr>
              <w:rPr>
                <w:sz w:val="20"/>
                <w:szCs w:val="20"/>
              </w:rPr>
            </w:pPr>
            <w:r w:rsidRPr="00F07779">
              <w:rPr>
                <w:sz w:val="20"/>
                <w:szCs w:val="20"/>
              </w:rPr>
              <w:t>2026. Commissioning; trial operation</w:t>
            </w:r>
          </w:p>
        </w:tc>
      </w:tr>
      <w:tr w:rsidR="0094644B" w:rsidRPr="00F07779" w14:paraId="0272845B"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2BCDDF29" w14:textId="77777777" w:rsidR="0094644B" w:rsidRPr="00F07779" w:rsidRDefault="0094644B" w:rsidP="00FB5086">
            <w:pPr>
              <w:rPr>
                <w:sz w:val="20"/>
                <w:szCs w:val="20"/>
              </w:rPr>
            </w:pPr>
            <w:r w:rsidRPr="00FA3F57">
              <w:rPr>
                <w:sz w:val="20"/>
                <w:szCs w:val="20"/>
              </w:rPr>
              <w:t>Institutions responsible for the implementation of measures and activities</w:t>
            </w:r>
          </w:p>
        </w:tc>
        <w:tc>
          <w:tcPr>
            <w:tcW w:w="5667" w:type="dxa"/>
            <w:tcBorders>
              <w:top w:val="single" w:sz="4" w:space="0" w:color="auto"/>
              <w:left w:val="single" w:sz="4" w:space="0" w:color="auto"/>
              <w:bottom w:val="single" w:sz="4" w:space="0" w:color="auto"/>
              <w:right w:val="single" w:sz="4" w:space="0" w:color="auto"/>
            </w:tcBorders>
            <w:hideMark/>
          </w:tcPr>
          <w:p w14:paraId="13F6E9C2" w14:textId="77777777" w:rsidR="0094644B" w:rsidRPr="00F07779" w:rsidRDefault="0094644B" w:rsidP="00FB5086">
            <w:pPr>
              <w:rPr>
                <w:sz w:val="20"/>
                <w:szCs w:val="20"/>
              </w:rPr>
            </w:pPr>
            <w:r w:rsidRPr="00FA3F57">
              <w:rPr>
                <w:sz w:val="20"/>
                <w:szCs w:val="20"/>
              </w:rPr>
              <w:t>EMS JSC Belgrade</w:t>
            </w:r>
          </w:p>
        </w:tc>
      </w:tr>
      <w:tr w:rsidR="0094644B" w:rsidRPr="00F07779" w14:paraId="59CE2880"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7E4C5878" w14:textId="77777777" w:rsidR="0094644B" w:rsidRPr="00F07779" w:rsidRDefault="0094644B" w:rsidP="00FB5086">
            <w:pPr>
              <w:rPr>
                <w:sz w:val="20"/>
                <w:szCs w:val="20"/>
              </w:rPr>
            </w:pPr>
            <w:r w:rsidRPr="00FA3F57">
              <w:rPr>
                <w:sz w:val="20"/>
                <w:szCs w:val="20"/>
              </w:rPr>
              <w:t>Institutions responsible for monitoring implementation and reporting on the realization</w:t>
            </w:r>
          </w:p>
        </w:tc>
        <w:tc>
          <w:tcPr>
            <w:tcW w:w="5667" w:type="dxa"/>
            <w:tcBorders>
              <w:top w:val="single" w:sz="4" w:space="0" w:color="auto"/>
              <w:left w:val="single" w:sz="4" w:space="0" w:color="auto"/>
              <w:bottom w:val="single" w:sz="4" w:space="0" w:color="auto"/>
              <w:right w:val="single" w:sz="4" w:space="0" w:color="auto"/>
            </w:tcBorders>
            <w:hideMark/>
          </w:tcPr>
          <w:p w14:paraId="51EAE363" w14:textId="77777777" w:rsidR="0094644B" w:rsidRPr="00F07779" w:rsidRDefault="0094644B" w:rsidP="00FB5086">
            <w:pPr>
              <w:rPr>
                <w:sz w:val="20"/>
                <w:szCs w:val="20"/>
              </w:rPr>
            </w:pPr>
            <w:r w:rsidRPr="00FA3F57">
              <w:rPr>
                <w:sz w:val="20"/>
                <w:szCs w:val="20"/>
              </w:rPr>
              <w:t>EMS JSC Belgrade</w:t>
            </w:r>
          </w:p>
          <w:p w14:paraId="3B223E2F" w14:textId="77777777" w:rsidR="0094644B" w:rsidRPr="00FA3F57" w:rsidRDefault="0094644B" w:rsidP="00FB5086">
            <w:pPr>
              <w:rPr>
                <w:sz w:val="20"/>
                <w:szCs w:val="20"/>
              </w:rPr>
            </w:pPr>
            <w:r w:rsidRPr="00FA3F57">
              <w:rPr>
                <w:sz w:val="20"/>
                <w:szCs w:val="20"/>
              </w:rPr>
              <w:t>Republic Commission for Energy Networks</w:t>
            </w:r>
          </w:p>
          <w:p w14:paraId="2BB85629" w14:textId="77777777" w:rsidR="0094644B" w:rsidRPr="00F07779" w:rsidRDefault="0094644B" w:rsidP="00FB5086">
            <w:pPr>
              <w:rPr>
                <w:sz w:val="20"/>
                <w:szCs w:val="20"/>
              </w:rPr>
            </w:pPr>
            <w:r w:rsidRPr="00F07779">
              <w:rPr>
                <w:sz w:val="20"/>
                <w:szCs w:val="20"/>
              </w:rPr>
              <w:t>Ministry of Mining and Energy</w:t>
            </w:r>
          </w:p>
        </w:tc>
      </w:tr>
      <w:tr w:rsidR="0094644B" w:rsidRPr="00F07779" w14:paraId="1B1EB487"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54F4ACE3" w14:textId="77777777" w:rsidR="0094644B" w:rsidRPr="00F07779" w:rsidRDefault="0094644B" w:rsidP="00FB5086">
            <w:pPr>
              <w:rPr>
                <w:sz w:val="20"/>
                <w:szCs w:val="20"/>
              </w:rPr>
            </w:pPr>
            <w:r w:rsidRPr="00FA3F57">
              <w:rPr>
                <w:sz w:val="20"/>
                <w:szCs w:val="20"/>
              </w:rPr>
              <w:t>Year of project funding start</w:t>
            </w:r>
          </w:p>
        </w:tc>
        <w:tc>
          <w:tcPr>
            <w:tcW w:w="5667" w:type="dxa"/>
            <w:tcBorders>
              <w:top w:val="single" w:sz="4" w:space="0" w:color="auto"/>
              <w:left w:val="single" w:sz="4" w:space="0" w:color="auto"/>
              <w:bottom w:val="single" w:sz="4" w:space="0" w:color="auto"/>
              <w:right w:val="single" w:sz="4" w:space="0" w:color="auto"/>
            </w:tcBorders>
            <w:hideMark/>
          </w:tcPr>
          <w:p w14:paraId="49995A01" w14:textId="77777777" w:rsidR="0094644B" w:rsidRPr="00F07779" w:rsidRDefault="0094644B" w:rsidP="00FB5086">
            <w:pPr>
              <w:rPr>
                <w:sz w:val="20"/>
                <w:szCs w:val="20"/>
              </w:rPr>
            </w:pPr>
            <w:r w:rsidRPr="00F07779">
              <w:rPr>
                <w:sz w:val="20"/>
                <w:szCs w:val="20"/>
              </w:rPr>
              <w:t xml:space="preserve">2021. </w:t>
            </w:r>
          </w:p>
        </w:tc>
      </w:tr>
      <w:tr w:rsidR="0094644B" w:rsidRPr="00F07779" w14:paraId="10190CE8"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0400628F" w14:textId="77777777" w:rsidR="0094644B" w:rsidRPr="00F07779" w:rsidRDefault="0094644B" w:rsidP="00FB5086">
            <w:pPr>
              <w:rPr>
                <w:sz w:val="20"/>
                <w:szCs w:val="20"/>
              </w:rPr>
            </w:pPr>
            <w:r w:rsidRPr="00FA3F57">
              <w:rPr>
                <w:sz w:val="20"/>
                <w:szCs w:val="20"/>
              </w:rPr>
              <w:t>Year of completion of project funding</w:t>
            </w:r>
          </w:p>
        </w:tc>
        <w:tc>
          <w:tcPr>
            <w:tcW w:w="5667" w:type="dxa"/>
            <w:tcBorders>
              <w:top w:val="single" w:sz="4" w:space="0" w:color="auto"/>
              <w:left w:val="single" w:sz="4" w:space="0" w:color="auto"/>
              <w:bottom w:val="single" w:sz="4" w:space="0" w:color="auto"/>
              <w:right w:val="single" w:sz="4" w:space="0" w:color="auto"/>
            </w:tcBorders>
            <w:hideMark/>
          </w:tcPr>
          <w:p w14:paraId="1DD1AE51" w14:textId="77777777" w:rsidR="0094644B" w:rsidRPr="00F07779" w:rsidRDefault="0094644B" w:rsidP="00FB5086">
            <w:pPr>
              <w:rPr>
                <w:sz w:val="20"/>
                <w:szCs w:val="20"/>
              </w:rPr>
            </w:pPr>
            <w:r w:rsidRPr="00F07779">
              <w:rPr>
                <w:sz w:val="20"/>
                <w:szCs w:val="20"/>
              </w:rPr>
              <w:t>2026.</w:t>
            </w:r>
          </w:p>
        </w:tc>
      </w:tr>
      <w:tr w:rsidR="0094644B" w:rsidRPr="00F07779" w14:paraId="2F23F41D"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2C10CB97" w14:textId="77777777" w:rsidR="0094644B" w:rsidRPr="00F07779" w:rsidRDefault="0094644B" w:rsidP="00FB5086">
            <w:pPr>
              <w:rPr>
                <w:sz w:val="20"/>
                <w:szCs w:val="20"/>
              </w:rPr>
            </w:pPr>
            <w:r w:rsidRPr="00FA3F57">
              <w:rPr>
                <w:sz w:val="20"/>
                <w:szCs w:val="20"/>
              </w:rPr>
              <w:t>Total project value</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1B5F393F" w14:textId="77777777" w:rsidR="0094644B" w:rsidRPr="00F07779" w:rsidRDefault="0094644B" w:rsidP="00FB5086">
            <w:pPr>
              <w:rPr>
                <w:sz w:val="20"/>
                <w:szCs w:val="20"/>
              </w:rPr>
            </w:pPr>
            <w:r w:rsidRPr="00F07779">
              <w:rPr>
                <w:sz w:val="20"/>
                <w:szCs w:val="20"/>
              </w:rPr>
              <w:t>328,300 (2.8 million EUR)</w:t>
            </w:r>
          </w:p>
        </w:tc>
      </w:tr>
      <w:tr w:rsidR="0094644B" w:rsidRPr="00F07779" w14:paraId="60C3FACD"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1158C84A" w14:textId="77777777" w:rsidR="0094644B" w:rsidRPr="00F07779" w:rsidRDefault="0094644B" w:rsidP="00FB5086">
            <w:pPr>
              <w:rPr>
                <w:sz w:val="20"/>
                <w:szCs w:val="20"/>
              </w:rPr>
            </w:pPr>
            <w:r w:rsidRPr="00FA3F57">
              <w:rPr>
                <w:sz w:val="20"/>
                <w:szCs w:val="20"/>
              </w:rPr>
              <w:t>Planned investments for 2026.</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16088ADD" w14:textId="77777777" w:rsidR="0094644B" w:rsidRPr="00F07779" w:rsidRDefault="0094644B" w:rsidP="00FB5086">
            <w:pPr>
              <w:rPr>
                <w:sz w:val="20"/>
                <w:szCs w:val="20"/>
              </w:rPr>
            </w:pPr>
            <w:r w:rsidRPr="00F07779">
              <w:rPr>
                <w:sz w:val="20"/>
                <w:szCs w:val="20"/>
              </w:rPr>
              <w:t>178,442 (own funds of EMS JSC)</w:t>
            </w:r>
          </w:p>
        </w:tc>
      </w:tr>
      <w:tr w:rsidR="0094644B" w:rsidRPr="00F07779" w14:paraId="142FC979"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5979855B" w14:textId="77777777" w:rsidR="0094644B" w:rsidRPr="00F07779" w:rsidRDefault="0094644B" w:rsidP="00FB5086">
            <w:pPr>
              <w:rPr>
                <w:sz w:val="20"/>
                <w:szCs w:val="20"/>
              </w:rPr>
            </w:pPr>
            <w:r w:rsidRPr="00FA3F57">
              <w:rPr>
                <w:sz w:val="20"/>
                <w:szCs w:val="20"/>
              </w:rPr>
              <w:t>Planned investments for 2027.</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25FDC9B4" w14:textId="77777777" w:rsidR="0094644B" w:rsidRPr="00F07779" w:rsidRDefault="0094644B" w:rsidP="00FB5086">
            <w:pPr>
              <w:rPr>
                <w:sz w:val="20"/>
                <w:szCs w:val="20"/>
              </w:rPr>
            </w:pPr>
            <w:r w:rsidRPr="00F07779">
              <w:rPr>
                <w:sz w:val="20"/>
                <w:szCs w:val="20"/>
              </w:rPr>
              <w:t>0</w:t>
            </w:r>
          </w:p>
        </w:tc>
      </w:tr>
      <w:tr w:rsidR="0094644B" w:rsidRPr="00F07779" w14:paraId="0EF1D4D0"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0850DA96" w14:textId="77777777" w:rsidR="0094644B" w:rsidRPr="00F07779" w:rsidRDefault="0094644B" w:rsidP="00FB5086">
            <w:pPr>
              <w:rPr>
                <w:sz w:val="20"/>
                <w:szCs w:val="20"/>
              </w:rPr>
            </w:pPr>
            <w:r w:rsidRPr="00FA3F57">
              <w:rPr>
                <w:sz w:val="20"/>
                <w:szCs w:val="20"/>
              </w:rPr>
              <w:t>Planned investments for 2028.</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20DE65BD" w14:textId="77777777" w:rsidR="0094644B" w:rsidRPr="00F07779" w:rsidRDefault="0094644B" w:rsidP="00FB5086">
            <w:pPr>
              <w:rPr>
                <w:sz w:val="20"/>
                <w:szCs w:val="20"/>
              </w:rPr>
            </w:pPr>
            <w:r w:rsidRPr="00F07779">
              <w:rPr>
                <w:sz w:val="20"/>
                <w:szCs w:val="20"/>
              </w:rPr>
              <w:t>0</w:t>
            </w:r>
          </w:p>
        </w:tc>
      </w:tr>
    </w:tbl>
    <w:p w14:paraId="6E7DD82C" w14:textId="77777777" w:rsidR="0094644B" w:rsidRPr="00F07779" w:rsidRDefault="0094644B" w:rsidP="0094644B">
      <w:pPr>
        <w:tabs>
          <w:tab w:val="left" w:pos="1276"/>
          <w:tab w:val="left" w:pos="1560"/>
        </w:tabs>
        <w:ind w:left="1440" w:hanging="1440"/>
      </w:pPr>
    </w:p>
    <w:tbl>
      <w:tblPr>
        <w:tblStyle w:val="TableGrid"/>
        <w:tblW w:w="0" w:type="auto"/>
        <w:tblLook w:val="04A0" w:firstRow="1" w:lastRow="0" w:firstColumn="1" w:lastColumn="0" w:noHBand="0" w:noVBand="1"/>
      </w:tblPr>
      <w:tblGrid>
        <w:gridCol w:w="2973"/>
        <w:gridCol w:w="5667"/>
      </w:tblGrid>
      <w:tr w:rsidR="0094644B" w:rsidRPr="00F07779" w14:paraId="1309ED58"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CDAFB0E" w14:textId="77777777" w:rsidR="0094644B" w:rsidRPr="00F07779" w:rsidRDefault="0094644B" w:rsidP="00FB5086">
            <w:pPr>
              <w:rPr>
                <w:sz w:val="20"/>
                <w:szCs w:val="20"/>
              </w:rPr>
            </w:pPr>
            <w:r w:rsidRPr="00F07779">
              <w:rPr>
                <w:sz w:val="20"/>
                <w:szCs w:val="20"/>
              </w:rPr>
              <w:t>Activity EL1.2</w:t>
            </w:r>
          </w:p>
        </w:tc>
        <w:tc>
          <w:tcPr>
            <w:tcW w:w="566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7DE37A8" w14:textId="77777777" w:rsidR="0094644B" w:rsidRPr="00F07779" w:rsidRDefault="0094644B" w:rsidP="00FB5086">
            <w:pPr>
              <w:rPr>
                <w:sz w:val="20"/>
                <w:szCs w:val="20"/>
              </w:rPr>
            </w:pPr>
            <w:r w:rsidRPr="00F07779">
              <w:rPr>
                <w:sz w:val="20"/>
                <w:szCs w:val="20"/>
              </w:rPr>
              <w:t>Investment projects focused on the reconstruction and construction of the transmission network</w:t>
            </w:r>
          </w:p>
        </w:tc>
      </w:tr>
      <w:tr w:rsidR="0094644B" w:rsidRPr="00F07779" w14:paraId="7DF4A578"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7EE2FD1E" w14:textId="77777777" w:rsidR="0094644B" w:rsidRPr="00F07779" w:rsidRDefault="0094644B" w:rsidP="00FB5086">
            <w:pPr>
              <w:rPr>
                <w:sz w:val="20"/>
                <w:szCs w:val="20"/>
              </w:rPr>
            </w:pPr>
            <w:r w:rsidRPr="00FA3F57">
              <w:rPr>
                <w:sz w:val="20"/>
                <w:szCs w:val="20"/>
              </w:rPr>
              <w:t>Name of the project</w:t>
            </w:r>
          </w:p>
        </w:tc>
        <w:tc>
          <w:tcPr>
            <w:tcW w:w="5667"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651551EC" w14:textId="77777777" w:rsidR="0094644B" w:rsidRPr="00F07779" w:rsidRDefault="0094644B" w:rsidP="00FB5086">
            <w:pPr>
              <w:rPr>
                <w:sz w:val="20"/>
                <w:szCs w:val="20"/>
              </w:rPr>
            </w:pPr>
            <w:r w:rsidRPr="00F07779">
              <w:rPr>
                <w:sz w:val="20"/>
                <w:szCs w:val="20"/>
              </w:rPr>
              <w:t xml:space="preserve">Reconstruction 220/110/35 kV TS </w:t>
            </w:r>
            <w:proofErr w:type="spellStart"/>
            <w:r w:rsidRPr="00F07779">
              <w:rPr>
                <w:sz w:val="20"/>
                <w:szCs w:val="20"/>
              </w:rPr>
              <w:t>Požega</w:t>
            </w:r>
            <w:proofErr w:type="spellEnd"/>
            <w:r w:rsidRPr="00F07779">
              <w:rPr>
                <w:sz w:val="20"/>
                <w:szCs w:val="20"/>
              </w:rPr>
              <w:t xml:space="preserve"> – I phase</w:t>
            </w:r>
          </w:p>
        </w:tc>
      </w:tr>
      <w:tr w:rsidR="0094644B" w:rsidRPr="00F07779" w14:paraId="1D49CCA6"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D7CEB86" w14:textId="77777777" w:rsidR="0094644B" w:rsidRPr="00F07779" w:rsidRDefault="0094644B" w:rsidP="00FB5086">
            <w:pPr>
              <w:rPr>
                <w:sz w:val="20"/>
                <w:szCs w:val="20"/>
              </w:rPr>
            </w:pPr>
            <w:r w:rsidRPr="00FA3F57">
              <w:rPr>
                <w:sz w:val="20"/>
                <w:szCs w:val="20"/>
              </w:rPr>
              <w:t xml:space="preserve">Name of the </w:t>
            </w:r>
            <w:r w:rsidRPr="00F07779">
              <w:rPr>
                <w:sz w:val="20"/>
                <w:szCs w:val="20"/>
              </w:rPr>
              <w:t>investment</w:t>
            </w:r>
          </w:p>
        </w:tc>
        <w:tc>
          <w:tcPr>
            <w:tcW w:w="566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C644222" w14:textId="77777777" w:rsidR="0094644B" w:rsidRPr="00F07779" w:rsidRDefault="0094644B" w:rsidP="00FB5086">
            <w:pPr>
              <w:rPr>
                <w:sz w:val="20"/>
                <w:szCs w:val="20"/>
              </w:rPr>
            </w:pPr>
            <w:r w:rsidRPr="00F07779">
              <w:rPr>
                <w:sz w:val="20"/>
                <w:szCs w:val="20"/>
              </w:rPr>
              <w:t xml:space="preserve">220/110/35 kV TS </w:t>
            </w:r>
            <w:proofErr w:type="spellStart"/>
            <w:r w:rsidRPr="00F07779">
              <w:rPr>
                <w:sz w:val="20"/>
                <w:szCs w:val="20"/>
              </w:rPr>
              <w:t>Požega</w:t>
            </w:r>
            <w:proofErr w:type="spellEnd"/>
            <w:r w:rsidRPr="00F07779">
              <w:rPr>
                <w:sz w:val="20"/>
                <w:szCs w:val="20"/>
              </w:rPr>
              <w:t>, reconstruction of 35 kV facility</w:t>
            </w:r>
          </w:p>
        </w:tc>
      </w:tr>
      <w:tr w:rsidR="0094644B" w:rsidRPr="00F07779" w14:paraId="2E6192C2"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333CBBEB" w14:textId="77777777" w:rsidR="0094644B" w:rsidRPr="00F07779" w:rsidRDefault="0094644B" w:rsidP="00FB5086">
            <w:pPr>
              <w:rPr>
                <w:sz w:val="20"/>
                <w:szCs w:val="20"/>
              </w:rPr>
            </w:pPr>
            <w:r w:rsidRPr="00FA3F57">
              <w:rPr>
                <w:sz w:val="20"/>
                <w:szCs w:val="20"/>
              </w:rPr>
              <w:lastRenderedPageBreak/>
              <w:t>Short description of the investment</w:t>
            </w:r>
          </w:p>
        </w:tc>
        <w:tc>
          <w:tcPr>
            <w:tcW w:w="5667" w:type="dxa"/>
            <w:tcBorders>
              <w:top w:val="single" w:sz="4" w:space="0" w:color="auto"/>
              <w:left w:val="single" w:sz="4" w:space="0" w:color="auto"/>
              <w:bottom w:val="single" w:sz="4" w:space="0" w:color="auto"/>
              <w:right w:val="single" w:sz="4" w:space="0" w:color="auto"/>
            </w:tcBorders>
            <w:hideMark/>
          </w:tcPr>
          <w:p w14:paraId="3C020861" w14:textId="77777777" w:rsidR="0094644B" w:rsidRPr="00F07779" w:rsidRDefault="0094644B" w:rsidP="00FB5086">
            <w:pPr>
              <w:rPr>
                <w:sz w:val="20"/>
                <w:szCs w:val="20"/>
              </w:rPr>
            </w:pPr>
            <w:r w:rsidRPr="00F07779">
              <w:rPr>
                <w:sz w:val="20"/>
                <w:szCs w:val="20"/>
              </w:rPr>
              <w:t xml:space="preserve">Demolition of the existing 35 kV switchgear, elevation of the switchgear level to prevent flooding, and construction of a new 35 kV switchgear with a double busbar system. The development plan includes the construction of an indoor 35 kV switchgear, which needs to be coordinated with Elektrodistribucija Srbije Ltd. Belgrade. </w:t>
            </w:r>
          </w:p>
          <w:p w14:paraId="35083B32" w14:textId="77777777" w:rsidR="0094644B" w:rsidRPr="00F07779" w:rsidRDefault="0094644B" w:rsidP="00FB5086">
            <w:pPr>
              <w:rPr>
                <w:sz w:val="20"/>
                <w:szCs w:val="20"/>
              </w:rPr>
            </w:pPr>
            <w:r w:rsidRPr="00F07779">
              <w:rPr>
                <w:sz w:val="20"/>
                <w:szCs w:val="20"/>
              </w:rPr>
              <w:t>Expected dynamics of project implementation:</w:t>
            </w:r>
          </w:p>
          <w:p w14:paraId="17D3AB5B" w14:textId="77777777" w:rsidR="0094644B" w:rsidRPr="00F07779" w:rsidRDefault="0094644B" w:rsidP="00FB5086">
            <w:pPr>
              <w:rPr>
                <w:sz w:val="20"/>
                <w:szCs w:val="20"/>
              </w:rPr>
            </w:pPr>
            <w:r w:rsidRPr="00F07779">
              <w:rPr>
                <w:sz w:val="20"/>
                <w:szCs w:val="20"/>
              </w:rPr>
              <w:t>2026. The beginning of the project (due to a change in the project task)</w:t>
            </w:r>
          </w:p>
        </w:tc>
      </w:tr>
      <w:tr w:rsidR="0094644B" w:rsidRPr="00F07779" w14:paraId="3414BE6E"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7047E800" w14:textId="77777777" w:rsidR="0094644B" w:rsidRPr="00F07779" w:rsidRDefault="0094644B" w:rsidP="00FB5086">
            <w:pPr>
              <w:rPr>
                <w:sz w:val="20"/>
                <w:szCs w:val="20"/>
              </w:rPr>
            </w:pPr>
            <w:r w:rsidRPr="00FA3F57">
              <w:rPr>
                <w:sz w:val="20"/>
                <w:szCs w:val="20"/>
              </w:rPr>
              <w:t>Institutions responsible for the implementation of measures and activities</w:t>
            </w:r>
          </w:p>
        </w:tc>
        <w:tc>
          <w:tcPr>
            <w:tcW w:w="5667" w:type="dxa"/>
            <w:tcBorders>
              <w:top w:val="single" w:sz="4" w:space="0" w:color="auto"/>
              <w:left w:val="single" w:sz="4" w:space="0" w:color="auto"/>
              <w:bottom w:val="single" w:sz="4" w:space="0" w:color="auto"/>
              <w:right w:val="single" w:sz="4" w:space="0" w:color="auto"/>
            </w:tcBorders>
            <w:hideMark/>
          </w:tcPr>
          <w:p w14:paraId="119C4BCD" w14:textId="77777777" w:rsidR="0094644B" w:rsidRPr="00F07779" w:rsidRDefault="0094644B" w:rsidP="00FB5086">
            <w:pPr>
              <w:rPr>
                <w:sz w:val="20"/>
                <w:szCs w:val="20"/>
              </w:rPr>
            </w:pPr>
            <w:r w:rsidRPr="00FA3F57">
              <w:rPr>
                <w:sz w:val="20"/>
                <w:szCs w:val="20"/>
              </w:rPr>
              <w:t>EMS JSC Belgrade</w:t>
            </w:r>
          </w:p>
        </w:tc>
      </w:tr>
      <w:tr w:rsidR="0094644B" w:rsidRPr="00F07779" w14:paraId="2E0E9FA5"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1ADA5C54" w14:textId="77777777" w:rsidR="0094644B" w:rsidRPr="00F07779" w:rsidRDefault="0094644B" w:rsidP="00FB5086">
            <w:pPr>
              <w:rPr>
                <w:sz w:val="20"/>
                <w:szCs w:val="20"/>
              </w:rPr>
            </w:pPr>
            <w:r w:rsidRPr="00FA3F57">
              <w:rPr>
                <w:sz w:val="20"/>
                <w:szCs w:val="20"/>
              </w:rPr>
              <w:t>Institutions responsible for monitoring implementation and reporting on the realization</w:t>
            </w:r>
          </w:p>
        </w:tc>
        <w:tc>
          <w:tcPr>
            <w:tcW w:w="5667" w:type="dxa"/>
            <w:tcBorders>
              <w:top w:val="single" w:sz="4" w:space="0" w:color="auto"/>
              <w:left w:val="single" w:sz="4" w:space="0" w:color="auto"/>
              <w:bottom w:val="single" w:sz="4" w:space="0" w:color="auto"/>
              <w:right w:val="single" w:sz="4" w:space="0" w:color="auto"/>
            </w:tcBorders>
            <w:hideMark/>
          </w:tcPr>
          <w:p w14:paraId="4614B83D" w14:textId="77777777" w:rsidR="0094644B" w:rsidRPr="00F07779" w:rsidRDefault="0094644B" w:rsidP="00FB5086">
            <w:pPr>
              <w:rPr>
                <w:sz w:val="20"/>
                <w:szCs w:val="20"/>
              </w:rPr>
            </w:pPr>
            <w:r w:rsidRPr="00FA3F57">
              <w:rPr>
                <w:sz w:val="20"/>
                <w:szCs w:val="20"/>
              </w:rPr>
              <w:t>EMS JSC Belgrade</w:t>
            </w:r>
          </w:p>
          <w:p w14:paraId="23ECDF11" w14:textId="77777777" w:rsidR="0094644B" w:rsidRPr="00FA3F57" w:rsidRDefault="0094644B" w:rsidP="00FB5086">
            <w:pPr>
              <w:rPr>
                <w:sz w:val="20"/>
                <w:szCs w:val="20"/>
              </w:rPr>
            </w:pPr>
            <w:r w:rsidRPr="00FA3F57">
              <w:rPr>
                <w:sz w:val="20"/>
                <w:szCs w:val="20"/>
              </w:rPr>
              <w:t>Republic Commission for Energy Networks</w:t>
            </w:r>
          </w:p>
          <w:p w14:paraId="51366006" w14:textId="77777777" w:rsidR="0094644B" w:rsidRPr="00F07779" w:rsidRDefault="0094644B" w:rsidP="00FB5086">
            <w:pPr>
              <w:rPr>
                <w:sz w:val="20"/>
                <w:szCs w:val="20"/>
              </w:rPr>
            </w:pPr>
            <w:r w:rsidRPr="00F07779">
              <w:rPr>
                <w:sz w:val="20"/>
                <w:szCs w:val="20"/>
              </w:rPr>
              <w:t>Ministry of Mining and Energy</w:t>
            </w:r>
          </w:p>
        </w:tc>
      </w:tr>
      <w:tr w:rsidR="0094644B" w:rsidRPr="00F07779" w14:paraId="391BB2B0"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020F5224" w14:textId="77777777" w:rsidR="0094644B" w:rsidRPr="00F07779" w:rsidRDefault="0094644B" w:rsidP="00FB5086">
            <w:pPr>
              <w:rPr>
                <w:sz w:val="20"/>
                <w:szCs w:val="20"/>
              </w:rPr>
            </w:pPr>
            <w:r w:rsidRPr="00FA3F57">
              <w:rPr>
                <w:sz w:val="20"/>
                <w:szCs w:val="20"/>
              </w:rPr>
              <w:t>Year of project funding start</w:t>
            </w:r>
          </w:p>
        </w:tc>
        <w:tc>
          <w:tcPr>
            <w:tcW w:w="5667" w:type="dxa"/>
            <w:tcBorders>
              <w:top w:val="single" w:sz="4" w:space="0" w:color="auto"/>
              <w:left w:val="single" w:sz="4" w:space="0" w:color="auto"/>
              <w:bottom w:val="single" w:sz="4" w:space="0" w:color="auto"/>
              <w:right w:val="single" w:sz="4" w:space="0" w:color="auto"/>
            </w:tcBorders>
            <w:hideMark/>
          </w:tcPr>
          <w:p w14:paraId="20CED059" w14:textId="77777777" w:rsidR="0094644B" w:rsidRPr="00F07779" w:rsidRDefault="0094644B" w:rsidP="00FB5086">
            <w:pPr>
              <w:rPr>
                <w:sz w:val="20"/>
                <w:szCs w:val="20"/>
              </w:rPr>
            </w:pPr>
            <w:r w:rsidRPr="00F07779">
              <w:rPr>
                <w:sz w:val="20"/>
                <w:szCs w:val="20"/>
              </w:rPr>
              <w:t xml:space="preserve">2021. </w:t>
            </w:r>
          </w:p>
        </w:tc>
      </w:tr>
      <w:tr w:rsidR="0094644B" w:rsidRPr="00F07779" w14:paraId="02E6F466"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76A2D7EF" w14:textId="77777777" w:rsidR="0094644B" w:rsidRPr="00F07779" w:rsidRDefault="0094644B" w:rsidP="00FB5086">
            <w:pPr>
              <w:rPr>
                <w:sz w:val="20"/>
                <w:szCs w:val="20"/>
              </w:rPr>
            </w:pPr>
            <w:r w:rsidRPr="00FA3F57">
              <w:rPr>
                <w:sz w:val="20"/>
                <w:szCs w:val="20"/>
              </w:rPr>
              <w:t>Year of completion of project funding</w:t>
            </w:r>
          </w:p>
        </w:tc>
        <w:tc>
          <w:tcPr>
            <w:tcW w:w="5667" w:type="dxa"/>
            <w:tcBorders>
              <w:top w:val="single" w:sz="4" w:space="0" w:color="auto"/>
              <w:left w:val="single" w:sz="4" w:space="0" w:color="auto"/>
              <w:bottom w:val="single" w:sz="4" w:space="0" w:color="auto"/>
              <w:right w:val="single" w:sz="4" w:space="0" w:color="auto"/>
            </w:tcBorders>
            <w:hideMark/>
          </w:tcPr>
          <w:p w14:paraId="6042EF66" w14:textId="77777777" w:rsidR="0094644B" w:rsidRPr="00F07779" w:rsidRDefault="0094644B" w:rsidP="00FB5086">
            <w:pPr>
              <w:rPr>
                <w:sz w:val="20"/>
                <w:szCs w:val="20"/>
              </w:rPr>
            </w:pPr>
            <w:r w:rsidRPr="00F07779">
              <w:rPr>
                <w:sz w:val="20"/>
                <w:szCs w:val="20"/>
              </w:rPr>
              <w:t>2027.</w:t>
            </w:r>
          </w:p>
        </w:tc>
      </w:tr>
      <w:tr w:rsidR="0094644B" w:rsidRPr="00F07779" w14:paraId="7A93C404"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713AA672" w14:textId="77777777" w:rsidR="0094644B" w:rsidRPr="00F07779" w:rsidRDefault="0094644B" w:rsidP="00FB5086">
            <w:pPr>
              <w:rPr>
                <w:sz w:val="20"/>
                <w:szCs w:val="20"/>
              </w:rPr>
            </w:pPr>
            <w:r w:rsidRPr="00FA3F57">
              <w:rPr>
                <w:sz w:val="20"/>
                <w:szCs w:val="20"/>
              </w:rPr>
              <w:t>Total project value</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721068DC" w14:textId="77777777" w:rsidR="0094644B" w:rsidRPr="00F07779" w:rsidRDefault="0094644B" w:rsidP="00FB5086">
            <w:pPr>
              <w:rPr>
                <w:sz w:val="20"/>
                <w:szCs w:val="20"/>
              </w:rPr>
            </w:pPr>
            <w:r w:rsidRPr="00F07779">
              <w:rPr>
                <w:sz w:val="20"/>
                <w:szCs w:val="20"/>
              </w:rPr>
              <w:t>105,525 (0.9 million EUR)</w:t>
            </w:r>
          </w:p>
        </w:tc>
      </w:tr>
      <w:tr w:rsidR="0094644B" w:rsidRPr="00F07779" w14:paraId="1D529088"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11D3D6A6" w14:textId="77777777" w:rsidR="0094644B" w:rsidRPr="00F07779" w:rsidRDefault="0094644B" w:rsidP="00FB5086">
            <w:pPr>
              <w:rPr>
                <w:sz w:val="20"/>
                <w:szCs w:val="20"/>
              </w:rPr>
            </w:pPr>
            <w:r w:rsidRPr="00FA3F57">
              <w:rPr>
                <w:sz w:val="20"/>
                <w:szCs w:val="20"/>
              </w:rPr>
              <w:t>Planned investments for 2026.</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06DE6843" w14:textId="77777777" w:rsidR="0094644B" w:rsidRPr="00F07779" w:rsidRDefault="0094644B" w:rsidP="00FB5086">
            <w:pPr>
              <w:rPr>
                <w:sz w:val="20"/>
                <w:szCs w:val="20"/>
              </w:rPr>
            </w:pPr>
            <w:r w:rsidRPr="00F07779">
              <w:rPr>
                <w:sz w:val="20"/>
                <w:szCs w:val="20"/>
              </w:rPr>
              <w:t>6,061 (own funds of EMS JSC)</w:t>
            </w:r>
          </w:p>
        </w:tc>
      </w:tr>
      <w:tr w:rsidR="0094644B" w:rsidRPr="00F07779" w14:paraId="5038EDAD"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037F821C" w14:textId="77777777" w:rsidR="0094644B" w:rsidRPr="00F07779" w:rsidRDefault="0094644B" w:rsidP="00FB5086">
            <w:pPr>
              <w:rPr>
                <w:sz w:val="20"/>
                <w:szCs w:val="20"/>
              </w:rPr>
            </w:pPr>
            <w:r w:rsidRPr="00FA3F57">
              <w:rPr>
                <w:sz w:val="20"/>
                <w:szCs w:val="20"/>
              </w:rPr>
              <w:t>Planned investments for 2027.</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4DAF1156" w14:textId="77777777" w:rsidR="0094644B" w:rsidRPr="00F07779" w:rsidRDefault="0094644B" w:rsidP="00FB5086">
            <w:pPr>
              <w:rPr>
                <w:sz w:val="20"/>
                <w:szCs w:val="20"/>
              </w:rPr>
            </w:pPr>
            <w:r w:rsidRPr="00F07779">
              <w:rPr>
                <w:sz w:val="20"/>
                <w:szCs w:val="20"/>
              </w:rPr>
              <w:t>93,240 (own funds of EMS JSC)</w:t>
            </w:r>
          </w:p>
        </w:tc>
      </w:tr>
      <w:tr w:rsidR="0094644B" w:rsidRPr="00F07779" w14:paraId="67C83FBE"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3302F318" w14:textId="77777777" w:rsidR="0094644B" w:rsidRPr="00F07779" w:rsidRDefault="0094644B" w:rsidP="00FB5086">
            <w:pPr>
              <w:rPr>
                <w:sz w:val="20"/>
                <w:szCs w:val="20"/>
              </w:rPr>
            </w:pPr>
            <w:r w:rsidRPr="00FA3F57">
              <w:rPr>
                <w:sz w:val="20"/>
                <w:szCs w:val="20"/>
              </w:rPr>
              <w:t>Planned investments for 2028.</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1334B31E" w14:textId="77777777" w:rsidR="0094644B" w:rsidRPr="00F07779" w:rsidRDefault="0094644B" w:rsidP="00FB5086">
            <w:pPr>
              <w:rPr>
                <w:sz w:val="20"/>
                <w:szCs w:val="20"/>
              </w:rPr>
            </w:pPr>
            <w:r w:rsidRPr="00F07779">
              <w:rPr>
                <w:sz w:val="20"/>
                <w:szCs w:val="20"/>
              </w:rPr>
              <w:t>0</w:t>
            </w:r>
          </w:p>
        </w:tc>
      </w:tr>
    </w:tbl>
    <w:p w14:paraId="08423E8F" w14:textId="77777777" w:rsidR="0094644B" w:rsidRPr="00F07779" w:rsidRDefault="0094644B" w:rsidP="0094644B">
      <w:pPr>
        <w:tabs>
          <w:tab w:val="left" w:pos="1276"/>
          <w:tab w:val="left" w:pos="1560"/>
        </w:tabs>
        <w:ind w:left="1440" w:hanging="1440"/>
      </w:pPr>
    </w:p>
    <w:tbl>
      <w:tblPr>
        <w:tblStyle w:val="TableGrid"/>
        <w:tblW w:w="0" w:type="auto"/>
        <w:tblLook w:val="04A0" w:firstRow="1" w:lastRow="0" w:firstColumn="1" w:lastColumn="0" w:noHBand="0" w:noVBand="1"/>
      </w:tblPr>
      <w:tblGrid>
        <w:gridCol w:w="2973"/>
        <w:gridCol w:w="5667"/>
      </w:tblGrid>
      <w:tr w:rsidR="0094644B" w:rsidRPr="00F07779" w14:paraId="79484882"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066A1F4" w14:textId="77777777" w:rsidR="0094644B" w:rsidRPr="00F07779" w:rsidRDefault="0094644B" w:rsidP="00FB5086">
            <w:pPr>
              <w:rPr>
                <w:sz w:val="20"/>
                <w:szCs w:val="20"/>
              </w:rPr>
            </w:pPr>
            <w:r w:rsidRPr="00F07779">
              <w:rPr>
                <w:sz w:val="20"/>
                <w:szCs w:val="20"/>
              </w:rPr>
              <w:t>Activity EL1.2</w:t>
            </w:r>
          </w:p>
        </w:tc>
        <w:tc>
          <w:tcPr>
            <w:tcW w:w="566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C5FFBB6" w14:textId="77777777" w:rsidR="0094644B" w:rsidRPr="00F07779" w:rsidRDefault="0094644B" w:rsidP="00FB5086">
            <w:pPr>
              <w:rPr>
                <w:sz w:val="20"/>
                <w:szCs w:val="20"/>
              </w:rPr>
            </w:pPr>
            <w:r w:rsidRPr="00F07779">
              <w:rPr>
                <w:sz w:val="20"/>
                <w:szCs w:val="20"/>
              </w:rPr>
              <w:t>Investment projects focused on the reconstruction and construction of the transmission network</w:t>
            </w:r>
          </w:p>
        </w:tc>
      </w:tr>
      <w:tr w:rsidR="0094644B" w:rsidRPr="00F07779" w14:paraId="26923CF3"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6512A9CC" w14:textId="77777777" w:rsidR="0094644B" w:rsidRPr="00F07779" w:rsidRDefault="0094644B" w:rsidP="00FB5086">
            <w:pPr>
              <w:rPr>
                <w:sz w:val="20"/>
                <w:szCs w:val="20"/>
              </w:rPr>
            </w:pPr>
            <w:r w:rsidRPr="00FA3F57">
              <w:rPr>
                <w:sz w:val="20"/>
                <w:szCs w:val="20"/>
              </w:rPr>
              <w:t>Name of the project</w:t>
            </w:r>
          </w:p>
        </w:tc>
        <w:tc>
          <w:tcPr>
            <w:tcW w:w="5667"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1808D9A5" w14:textId="77777777" w:rsidR="0094644B" w:rsidRPr="00F07779" w:rsidRDefault="0094644B" w:rsidP="00FB5086">
            <w:pPr>
              <w:rPr>
                <w:sz w:val="20"/>
                <w:szCs w:val="20"/>
              </w:rPr>
            </w:pPr>
            <w:r w:rsidRPr="00F07779">
              <w:rPr>
                <w:sz w:val="20"/>
                <w:szCs w:val="20"/>
              </w:rPr>
              <w:t xml:space="preserve">Adaptation of 110 kV OHL No. 137/2 EVP Resnik – TPP </w:t>
            </w:r>
            <w:proofErr w:type="spellStart"/>
            <w:r w:rsidRPr="00F07779">
              <w:rPr>
                <w:sz w:val="20"/>
                <w:szCs w:val="20"/>
              </w:rPr>
              <w:t>Kolubara</w:t>
            </w:r>
            <w:proofErr w:type="spellEnd"/>
          </w:p>
        </w:tc>
      </w:tr>
      <w:tr w:rsidR="0094644B" w:rsidRPr="00F07779" w14:paraId="2C5A40E4"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338FDFC" w14:textId="77777777" w:rsidR="0094644B" w:rsidRPr="00F07779" w:rsidRDefault="0094644B" w:rsidP="00FB5086">
            <w:pPr>
              <w:rPr>
                <w:sz w:val="20"/>
                <w:szCs w:val="20"/>
              </w:rPr>
            </w:pPr>
            <w:r w:rsidRPr="00FA3F57">
              <w:rPr>
                <w:sz w:val="20"/>
                <w:szCs w:val="20"/>
              </w:rPr>
              <w:t xml:space="preserve">Name of the </w:t>
            </w:r>
            <w:r w:rsidRPr="00F07779">
              <w:rPr>
                <w:sz w:val="20"/>
                <w:szCs w:val="20"/>
              </w:rPr>
              <w:t>investment</w:t>
            </w:r>
          </w:p>
        </w:tc>
        <w:tc>
          <w:tcPr>
            <w:tcW w:w="566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C747FDE" w14:textId="77777777" w:rsidR="0094644B" w:rsidRPr="00F07779" w:rsidRDefault="0094644B" w:rsidP="00FB5086">
            <w:pPr>
              <w:rPr>
                <w:sz w:val="20"/>
                <w:szCs w:val="20"/>
              </w:rPr>
            </w:pPr>
            <w:r w:rsidRPr="00F07779">
              <w:rPr>
                <w:sz w:val="20"/>
                <w:szCs w:val="20"/>
              </w:rPr>
              <w:t xml:space="preserve">OHL No. 137/2 EVP Resnik – TPP </w:t>
            </w:r>
            <w:proofErr w:type="spellStart"/>
            <w:r w:rsidRPr="00F07779">
              <w:rPr>
                <w:sz w:val="20"/>
                <w:szCs w:val="20"/>
              </w:rPr>
              <w:t>Kolubara</w:t>
            </w:r>
            <w:proofErr w:type="spellEnd"/>
            <w:r w:rsidRPr="00F07779">
              <w:rPr>
                <w:sz w:val="20"/>
                <w:szCs w:val="20"/>
              </w:rPr>
              <w:t>, adaptation</w:t>
            </w:r>
          </w:p>
        </w:tc>
      </w:tr>
      <w:tr w:rsidR="0094644B" w:rsidRPr="00F07779" w14:paraId="31C64A8D"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1D782B1E" w14:textId="77777777" w:rsidR="0094644B" w:rsidRPr="00F07779" w:rsidRDefault="0094644B" w:rsidP="00FB5086">
            <w:pPr>
              <w:rPr>
                <w:sz w:val="20"/>
                <w:szCs w:val="20"/>
              </w:rPr>
            </w:pPr>
            <w:r w:rsidRPr="00FA3F57">
              <w:rPr>
                <w:sz w:val="20"/>
                <w:szCs w:val="20"/>
              </w:rPr>
              <w:t>Short description of the investment</w:t>
            </w:r>
          </w:p>
        </w:tc>
        <w:tc>
          <w:tcPr>
            <w:tcW w:w="5667" w:type="dxa"/>
            <w:tcBorders>
              <w:top w:val="single" w:sz="4" w:space="0" w:color="auto"/>
              <w:left w:val="single" w:sz="4" w:space="0" w:color="auto"/>
              <w:bottom w:val="single" w:sz="4" w:space="0" w:color="auto"/>
              <w:right w:val="single" w:sz="4" w:space="0" w:color="auto"/>
            </w:tcBorders>
            <w:hideMark/>
          </w:tcPr>
          <w:p w14:paraId="261AF1E5" w14:textId="77777777" w:rsidR="0094644B" w:rsidRPr="00F07779" w:rsidRDefault="0094644B" w:rsidP="00FB5086">
            <w:pPr>
              <w:rPr>
                <w:sz w:val="20"/>
                <w:szCs w:val="20"/>
              </w:rPr>
            </w:pPr>
            <w:r w:rsidRPr="00F07779">
              <w:rPr>
                <w:sz w:val="20"/>
                <w:szCs w:val="20"/>
              </w:rPr>
              <w:t xml:space="preserve">Adaptation of the 110 kV OHL no. 137/2 EVP Resnik - TPP </w:t>
            </w:r>
            <w:proofErr w:type="spellStart"/>
            <w:r w:rsidRPr="00F07779">
              <w:rPr>
                <w:sz w:val="20"/>
                <w:szCs w:val="20"/>
              </w:rPr>
              <w:t>Kolubara</w:t>
            </w:r>
            <w:proofErr w:type="spellEnd"/>
            <w:r w:rsidRPr="00F07779">
              <w:rPr>
                <w:sz w:val="20"/>
                <w:szCs w:val="20"/>
              </w:rPr>
              <w:t xml:space="preserve"> due to the age and poor condition of the equipment. It involves the replacement of the phase conductor without increasing the transmission capacity, protective wire, insulation, and connecting and suspension equipment.</w:t>
            </w:r>
          </w:p>
          <w:p w14:paraId="72BEA96B" w14:textId="77777777" w:rsidR="0094644B" w:rsidRPr="00F07779" w:rsidRDefault="0094644B" w:rsidP="00FB5086">
            <w:pPr>
              <w:rPr>
                <w:sz w:val="20"/>
                <w:szCs w:val="20"/>
              </w:rPr>
            </w:pPr>
            <w:r w:rsidRPr="00F07779">
              <w:rPr>
                <w:sz w:val="20"/>
                <w:szCs w:val="20"/>
              </w:rPr>
              <w:t>Expected dynamics of project implementation:</w:t>
            </w:r>
          </w:p>
          <w:p w14:paraId="177655CD" w14:textId="77777777" w:rsidR="0094644B" w:rsidRPr="00F07779" w:rsidRDefault="0094644B" w:rsidP="00FB5086">
            <w:pPr>
              <w:rPr>
                <w:sz w:val="20"/>
                <w:szCs w:val="20"/>
              </w:rPr>
            </w:pPr>
            <w:r w:rsidRPr="00F07779">
              <w:rPr>
                <w:sz w:val="20"/>
                <w:szCs w:val="20"/>
              </w:rPr>
              <w:t>2026. The beginning of the project</w:t>
            </w:r>
          </w:p>
        </w:tc>
      </w:tr>
      <w:tr w:rsidR="0094644B" w:rsidRPr="00F07779" w14:paraId="21E98DDC"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1F26DC17" w14:textId="77777777" w:rsidR="0094644B" w:rsidRPr="00F07779" w:rsidRDefault="0094644B" w:rsidP="00FB5086">
            <w:pPr>
              <w:rPr>
                <w:sz w:val="20"/>
                <w:szCs w:val="20"/>
              </w:rPr>
            </w:pPr>
            <w:r w:rsidRPr="00FA3F57">
              <w:rPr>
                <w:sz w:val="20"/>
                <w:szCs w:val="20"/>
              </w:rPr>
              <w:t>Institutions responsible for the implementation of measures and activities</w:t>
            </w:r>
          </w:p>
        </w:tc>
        <w:tc>
          <w:tcPr>
            <w:tcW w:w="5667" w:type="dxa"/>
            <w:tcBorders>
              <w:top w:val="single" w:sz="4" w:space="0" w:color="auto"/>
              <w:left w:val="single" w:sz="4" w:space="0" w:color="auto"/>
              <w:bottom w:val="single" w:sz="4" w:space="0" w:color="auto"/>
              <w:right w:val="single" w:sz="4" w:space="0" w:color="auto"/>
            </w:tcBorders>
            <w:hideMark/>
          </w:tcPr>
          <w:p w14:paraId="30D6222B" w14:textId="77777777" w:rsidR="0094644B" w:rsidRPr="00F07779" w:rsidRDefault="0094644B" w:rsidP="00FB5086">
            <w:pPr>
              <w:rPr>
                <w:sz w:val="20"/>
                <w:szCs w:val="20"/>
              </w:rPr>
            </w:pPr>
            <w:r w:rsidRPr="00FA3F57">
              <w:rPr>
                <w:sz w:val="20"/>
                <w:szCs w:val="20"/>
              </w:rPr>
              <w:t>EMS JSC Belgrade</w:t>
            </w:r>
          </w:p>
        </w:tc>
      </w:tr>
      <w:tr w:rsidR="0094644B" w:rsidRPr="00F07779" w14:paraId="2E8C77B8"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17F3FA48" w14:textId="77777777" w:rsidR="0094644B" w:rsidRPr="00F07779" w:rsidRDefault="0094644B" w:rsidP="00FB5086">
            <w:pPr>
              <w:rPr>
                <w:sz w:val="20"/>
                <w:szCs w:val="20"/>
              </w:rPr>
            </w:pPr>
            <w:r w:rsidRPr="00FA3F57">
              <w:rPr>
                <w:sz w:val="20"/>
                <w:szCs w:val="20"/>
              </w:rPr>
              <w:t>Institutions responsible for monitoring implementation and reporting on the realization</w:t>
            </w:r>
          </w:p>
        </w:tc>
        <w:tc>
          <w:tcPr>
            <w:tcW w:w="5667" w:type="dxa"/>
            <w:tcBorders>
              <w:top w:val="single" w:sz="4" w:space="0" w:color="auto"/>
              <w:left w:val="single" w:sz="4" w:space="0" w:color="auto"/>
              <w:bottom w:val="single" w:sz="4" w:space="0" w:color="auto"/>
              <w:right w:val="single" w:sz="4" w:space="0" w:color="auto"/>
            </w:tcBorders>
            <w:hideMark/>
          </w:tcPr>
          <w:p w14:paraId="05D548F8" w14:textId="77777777" w:rsidR="0094644B" w:rsidRPr="00F07779" w:rsidRDefault="0094644B" w:rsidP="00FB5086">
            <w:pPr>
              <w:rPr>
                <w:sz w:val="20"/>
                <w:szCs w:val="20"/>
              </w:rPr>
            </w:pPr>
            <w:r w:rsidRPr="00FA3F57">
              <w:rPr>
                <w:sz w:val="20"/>
                <w:szCs w:val="20"/>
              </w:rPr>
              <w:t>EMS JSC Belgrade</w:t>
            </w:r>
          </w:p>
          <w:p w14:paraId="625CF708" w14:textId="77777777" w:rsidR="0094644B" w:rsidRPr="00FA3F57" w:rsidRDefault="0094644B" w:rsidP="00FB5086">
            <w:pPr>
              <w:rPr>
                <w:sz w:val="20"/>
                <w:szCs w:val="20"/>
              </w:rPr>
            </w:pPr>
            <w:r w:rsidRPr="00FA3F57">
              <w:rPr>
                <w:sz w:val="20"/>
                <w:szCs w:val="20"/>
              </w:rPr>
              <w:t>Republic Commission for Energy Networks</w:t>
            </w:r>
          </w:p>
          <w:p w14:paraId="237DDCCD" w14:textId="77777777" w:rsidR="0094644B" w:rsidRPr="00F07779" w:rsidRDefault="0094644B" w:rsidP="00FB5086">
            <w:pPr>
              <w:rPr>
                <w:sz w:val="20"/>
                <w:szCs w:val="20"/>
              </w:rPr>
            </w:pPr>
            <w:r w:rsidRPr="00F07779">
              <w:rPr>
                <w:sz w:val="20"/>
                <w:szCs w:val="20"/>
              </w:rPr>
              <w:t>Ministry of Mining and Energy</w:t>
            </w:r>
          </w:p>
        </w:tc>
      </w:tr>
      <w:tr w:rsidR="0094644B" w:rsidRPr="00F07779" w14:paraId="3B4EA152"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5DD9A01D" w14:textId="77777777" w:rsidR="0094644B" w:rsidRPr="00F07779" w:rsidRDefault="0094644B" w:rsidP="00FB5086">
            <w:pPr>
              <w:rPr>
                <w:sz w:val="20"/>
                <w:szCs w:val="20"/>
              </w:rPr>
            </w:pPr>
            <w:r w:rsidRPr="00FA3F57">
              <w:rPr>
                <w:sz w:val="20"/>
                <w:szCs w:val="20"/>
              </w:rPr>
              <w:t>Year of project funding start</w:t>
            </w:r>
          </w:p>
        </w:tc>
        <w:tc>
          <w:tcPr>
            <w:tcW w:w="5667" w:type="dxa"/>
            <w:tcBorders>
              <w:top w:val="single" w:sz="4" w:space="0" w:color="auto"/>
              <w:left w:val="single" w:sz="4" w:space="0" w:color="auto"/>
              <w:bottom w:val="single" w:sz="4" w:space="0" w:color="auto"/>
              <w:right w:val="single" w:sz="4" w:space="0" w:color="auto"/>
            </w:tcBorders>
            <w:hideMark/>
          </w:tcPr>
          <w:p w14:paraId="00E06350" w14:textId="77777777" w:rsidR="0094644B" w:rsidRPr="00F07779" w:rsidRDefault="0094644B" w:rsidP="00FB5086">
            <w:pPr>
              <w:rPr>
                <w:sz w:val="20"/>
                <w:szCs w:val="20"/>
              </w:rPr>
            </w:pPr>
            <w:r w:rsidRPr="00F07779">
              <w:rPr>
                <w:sz w:val="20"/>
                <w:szCs w:val="20"/>
              </w:rPr>
              <w:t xml:space="preserve">2026. </w:t>
            </w:r>
          </w:p>
        </w:tc>
      </w:tr>
      <w:tr w:rsidR="0094644B" w:rsidRPr="00F07779" w14:paraId="70521CAD"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528F958A" w14:textId="77777777" w:rsidR="0094644B" w:rsidRPr="00F07779" w:rsidRDefault="0094644B" w:rsidP="00FB5086">
            <w:pPr>
              <w:rPr>
                <w:sz w:val="20"/>
                <w:szCs w:val="20"/>
              </w:rPr>
            </w:pPr>
            <w:r w:rsidRPr="00FA3F57">
              <w:rPr>
                <w:sz w:val="20"/>
                <w:szCs w:val="20"/>
              </w:rPr>
              <w:t>Year of completion of project funding</w:t>
            </w:r>
          </w:p>
        </w:tc>
        <w:tc>
          <w:tcPr>
            <w:tcW w:w="5667" w:type="dxa"/>
            <w:tcBorders>
              <w:top w:val="single" w:sz="4" w:space="0" w:color="auto"/>
              <w:left w:val="single" w:sz="4" w:space="0" w:color="auto"/>
              <w:bottom w:val="single" w:sz="4" w:space="0" w:color="auto"/>
              <w:right w:val="single" w:sz="4" w:space="0" w:color="auto"/>
            </w:tcBorders>
            <w:hideMark/>
          </w:tcPr>
          <w:p w14:paraId="6968B0C3" w14:textId="77777777" w:rsidR="0094644B" w:rsidRPr="00F07779" w:rsidRDefault="0094644B" w:rsidP="00FB5086">
            <w:pPr>
              <w:rPr>
                <w:sz w:val="20"/>
                <w:szCs w:val="20"/>
              </w:rPr>
            </w:pPr>
            <w:r w:rsidRPr="00F07779">
              <w:rPr>
                <w:sz w:val="20"/>
                <w:szCs w:val="20"/>
              </w:rPr>
              <w:t>2027.</w:t>
            </w:r>
          </w:p>
        </w:tc>
      </w:tr>
      <w:tr w:rsidR="0094644B" w:rsidRPr="00F07779" w14:paraId="6FBCCF3A"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19231202" w14:textId="77777777" w:rsidR="0094644B" w:rsidRPr="00F07779" w:rsidRDefault="0094644B" w:rsidP="00FB5086">
            <w:pPr>
              <w:rPr>
                <w:sz w:val="20"/>
                <w:szCs w:val="20"/>
              </w:rPr>
            </w:pPr>
            <w:r w:rsidRPr="00FA3F57">
              <w:rPr>
                <w:sz w:val="20"/>
                <w:szCs w:val="20"/>
              </w:rPr>
              <w:t>Total project value</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7176A5A0" w14:textId="77777777" w:rsidR="0094644B" w:rsidRPr="00F07779" w:rsidRDefault="0094644B" w:rsidP="00FB5086">
            <w:pPr>
              <w:rPr>
                <w:sz w:val="20"/>
                <w:szCs w:val="20"/>
              </w:rPr>
            </w:pPr>
            <w:r w:rsidRPr="00F07779">
              <w:rPr>
                <w:sz w:val="20"/>
                <w:szCs w:val="20"/>
              </w:rPr>
              <w:t>199,325 (1.7 million EUR)</w:t>
            </w:r>
          </w:p>
        </w:tc>
      </w:tr>
      <w:tr w:rsidR="0094644B" w:rsidRPr="00F07779" w14:paraId="2E2CD813"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3966D7AF" w14:textId="77777777" w:rsidR="0094644B" w:rsidRPr="00F07779" w:rsidRDefault="0094644B" w:rsidP="00FB5086">
            <w:pPr>
              <w:rPr>
                <w:sz w:val="20"/>
                <w:szCs w:val="20"/>
              </w:rPr>
            </w:pPr>
            <w:r w:rsidRPr="00FA3F57">
              <w:rPr>
                <w:sz w:val="20"/>
                <w:szCs w:val="20"/>
              </w:rPr>
              <w:t>Planned investments for 2026.</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396D38E7" w14:textId="77777777" w:rsidR="0094644B" w:rsidRPr="00F07779" w:rsidRDefault="0094644B" w:rsidP="00FB5086">
            <w:pPr>
              <w:rPr>
                <w:sz w:val="20"/>
                <w:szCs w:val="20"/>
              </w:rPr>
            </w:pPr>
            <w:r w:rsidRPr="00F07779">
              <w:rPr>
                <w:sz w:val="20"/>
                <w:szCs w:val="20"/>
              </w:rPr>
              <w:t>0</w:t>
            </w:r>
          </w:p>
        </w:tc>
      </w:tr>
      <w:tr w:rsidR="0094644B" w:rsidRPr="00F07779" w14:paraId="0259A0E6"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096A28CC" w14:textId="77777777" w:rsidR="0094644B" w:rsidRPr="00F07779" w:rsidRDefault="0094644B" w:rsidP="00FB5086">
            <w:pPr>
              <w:rPr>
                <w:sz w:val="20"/>
                <w:szCs w:val="20"/>
              </w:rPr>
            </w:pPr>
            <w:r w:rsidRPr="00FA3F57">
              <w:rPr>
                <w:sz w:val="20"/>
                <w:szCs w:val="20"/>
              </w:rPr>
              <w:t>Planned investments for 2027.</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48ABD00F" w14:textId="77777777" w:rsidR="0094644B" w:rsidRPr="00F07779" w:rsidRDefault="0094644B" w:rsidP="00FB5086">
            <w:pPr>
              <w:rPr>
                <w:sz w:val="20"/>
                <w:szCs w:val="20"/>
              </w:rPr>
            </w:pPr>
            <w:r w:rsidRPr="00F07779">
              <w:rPr>
                <w:sz w:val="20"/>
                <w:szCs w:val="20"/>
              </w:rPr>
              <w:t>198,580 (own funds of EMS JSC)</w:t>
            </w:r>
          </w:p>
        </w:tc>
      </w:tr>
      <w:tr w:rsidR="0094644B" w:rsidRPr="00F07779" w14:paraId="7CCA5A56"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437E5C0A" w14:textId="77777777" w:rsidR="0094644B" w:rsidRPr="00F07779" w:rsidRDefault="0094644B" w:rsidP="00FB5086">
            <w:pPr>
              <w:rPr>
                <w:sz w:val="20"/>
                <w:szCs w:val="20"/>
              </w:rPr>
            </w:pPr>
            <w:r w:rsidRPr="00FA3F57">
              <w:rPr>
                <w:sz w:val="20"/>
                <w:szCs w:val="20"/>
              </w:rPr>
              <w:t>Planned investments for 2028.</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619DC639" w14:textId="77777777" w:rsidR="0094644B" w:rsidRPr="00F07779" w:rsidRDefault="0094644B" w:rsidP="00FB5086">
            <w:pPr>
              <w:rPr>
                <w:sz w:val="20"/>
                <w:szCs w:val="20"/>
              </w:rPr>
            </w:pPr>
            <w:r w:rsidRPr="00F07779">
              <w:rPr>
                <w:sz w:val="20"/>
                <w:szCs w:val="20"/>
              </w:rPr>
              <w:t>0</w:t>
            </w:r>
          </w:p>
        </w:tc>
      </w:tr>
    </w:tbl>
    <w:p w14:paraId="79F88914" w14:textId="77777777" w:rsidR="0094644B" w:rsidRPr="00F07779" w:rsidRDefault="0094644B" w:rsidP="0094644B">
      <w:pPr>
        <w:rPr>
          <w:sz w:val="20"/>
          <w:szCs w:val="20"/>
        </w:rPr>
      </w:pPr>
    </w:p>
    <w:tbl>
      <w:tblPr>
        <w:tblStyle w:val="TableGrid"/>
        <w:tblW w:w="0" w:type="auto"/>
        <w:tblLook w:val="04A0" w:firstRow="1" w:lastRow="0" w:firstColumn="1" w:lastColumn="0" w:noHBand="0" w:noVBand="1"/>
      </w:tblPr>
      <w:tblGrid>
        <w:gridCol w:w="2973"/>
        <w:gridCol w:w="5667"/>
      </w:tblGrid>
      <w:tr w:rsidR="0094644B" w:rsidRPr="00F07779" w14:paraId="2E1F3906"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EAFBD93" w14:textId="77777777" w:rsidR="0094644B" w:rsidRPr="00F07779" w:rsidRDefault="0094644B" w:rsidP="00FB5086">
            <w:pPr>
              <w:keepNext/>
              <w:rPr>
                <w:sz w:val="20"/>
                <w:szCs w:val="20"/>
              </w:rPr>
            </w:pPr>
            <w:r w:rsidRPr="00F07779">
              <w:rPr>
                <w:sz w:val="20"/>
                <w:szCs w:val="20"/>
              </w:rPr>
              <w:lastRenderedPageBreak/>
              <w:t>Activity EL1.2</w:t>
            </w:r>
          </w:p>
        </w:tc>
        <w:tc>
          <w:tcPr>
            <w:tcW w:w="566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7088D3D" w14:textId="77777777" w:rsidR="0094644B" w:rsidRPr="00F07779" w:rsidRDefault="0094644B" w:rsidP="00FB5086">
            <w:pPr>
              <w:keepNext/>
              <w:rPr>
                <w:sz w:val="20"/>
                <w:szCs w:val="20"/>
              </w:rPr>
            </w:pPr>
            <w:r w:rsidRPr="00F07779">
              <w:rPr>
                <w:sz w:val="20"/>
                <w:szCs w:val="20"/>
              </w:rPr>
              <w:t>Investment projects focused on the reconstruction and construction of the transmission network</w:t>
            </w:r>
          </w:p>
        </w:tc>
      </w:tr>
      <w:tr w:rsidR="0094644B" w:rsidRPr="00F07779" w14:paraId="4DCDC413"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7EDB692D" w14:textId="77777777" w:rsidR="0094644B" w:rsidRPr="00F07779" w:rsidRDefault="0094644B" w:rsidP="00FB5086">
            <w:pPr>
              <w:keepNext/>
              <w:rPr>
                <w:sz w:val="20"/>
                <w:szCs w:val="20"/>
              </w:rPr>
            </w:pPr>
            <w:r w:rsidRPr="00FA3F57">
              <w:rPr>
                <w:sz w:val="20"/>
                <w:szCs w:val="20"/>
              </w:rPr>
              <w:t>Name of the project</w:t>
            </w:r>
          </w:p>
        </w:tc>
        <w:tc>
          <w:tcPr>
            <w:tcW w:w="5667"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425EE6EC" w14:textId="77777777" w:rsidR="0094644B" w:rsidRPr="00F07779" w:rsidRDefault="0094644B" w:rsidP="00FB5086">
            <w:pPr>
              <w:keepNext/>
              <w:rPr>
                <w:sz w:val="20"/>
                <w:szCs w:val="20"/>
              </w:rPr>
            </w:pPr>
            <w:r w:rsidRPr="00F07779">
              <w:rPr>
                <w:sz w:val="20"/>
                <w:szCs w:val="20"/>
              </w:rPr>
              <w:t>Reconstruction of 400/220/110 kV TS Sremska Mitrovica 2 into 400/110 kV TS - phase I</w:t>
            </w:r>
          </w:p>
        </w:tc>
      </w:tr>
      <w:tr w:rsidR="0094644B" w:rsidRPr="00F07779" w14:paraId="17BFAB6B"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9E7ECA9" w14:textId="77777777" w:rsidR="0094644B" w:rsidRPr="00F07779" w:rsidRDefault="0094644B" w:rsidP="00FB5086">
            <w:pPr>
              <w:rPr>
                <w:sz w:val="20"/>
                <w:szCs w:val="20"/>
              </w:rPr>
            </w:pPr>
            <w:r w:rsidRPr="00FA3F57">
              <w:rPr>
                <w:sz w:val="20"/>
                <w:szCs w:val="20"/>
              </w:rPr>
              <w:t xml:space="preserve">Name of the </w:t>
            </w:r>
            <w:r w:rsidRPr="00F07779">
              <w:rPr>
                <w:sz w:val="20"/>
                <w:szCs w:val="20"/>
              </w:rPr>
              <w:t>investment</w:t>
            </w:r>
          </w:p>
        </w:tc>
        <w:tc>
          <w:tcPr>
            <w:tcW w:w="566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16EEE7C" w14:textId="77777777" w:rsidR="0094644B" w:rsidRPr="00F07779" w:rsidRDefault="0094644B" w:rsidP="00FB5086">
            <w:pPr>
              <w:rPr>
                <w:sz w:val="20"/>
                <w:szCs w:val="20"/>
              </w:rPr>
            </w:pPr>
            <w:r w:rsidRPr="00F07779">
              <w:rPr>
                <w:sz w:val="20"/>
                <w:szCs w:val="20"/>
              </w:rPr>
              <w:t>400/220/110 kV TS Sremska Mitrovica 2, installation of transformer T4 400/110 kV</w:t>
            </w:r>
          </w:p>
        </w:tc>
      </w:tr>
      <w:tr w:rsidR="0094644B" w:rsidRPr="00F07779" w14:paraId="1B1C7F74"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2F1FED55" w14:textId="77777777" w:rsidR="0094644B" w:rsidRPr="00F07779" w:rsidRDefault="0094644B" w:rsidP="00FB5086">
            <w:pPr>
              <w:rPr>
                <w:sz w:val="20"/>
                <w:szCs w:val="20"/>
              </w:rPr>
            </w:pPr>
            <w:r w:rsidRPr="00FA3F57">
              <w:rPr>
                <w:sz w:val="20"/>
                <w:szCs w:val="20"/>
              </w:rPr>
              <w:t>Short description of the investment</w:t>
            </w:r>
          </w:p>
        </w:tc>
        <w:tc>
          <w:tcPr>
            <w:tcW w:w="5667" w:type="dxa"/>
            <w:tcBorders>
              <w:top w:val="single" w:sz="4" w:space="0" w:color="auto"/>
              <w:left w:val="single" w:sz="4" w:space="0" w:color="auto"/>
              <w:bottom w:val="single" w:sz="4" w:space="0" w:color="auto"/>
              <w:right w:val="single" w:sz="4" w:space="0" w:color="auto"/>
            </w:tcBorders>
            <w:hideMark/>
          </w:tcPr>
          <w:p w14:paraId="76E0A377" w14:textId="77777777" w:rsidR="0094644B" w:rsidRPr="00F07779" w:rsidRDefault="0094644B" w:rsidP="00FB5086">
            <w:pPr>
              <w:rPr>
                <w:sz w:val="20"/>
                <w:szCs w:val="20"/>
              </w:rPr>
            </w:pPr>
            <w:r w:rsidRPr="00F07779">
              <w:rPr>
                <w:sz w:val="20"/>
                <w:szCs w:val="20"/>
              </w:rPr>
              <w:t xml:space="preserve">The first phase envisages the installation of a 400/110 kV autotransformer with a capacity of 300 MVA, along with the equipping of the 400 kV transformer bay and the complete reconstruction of the 110 kV transformer bay, along with the dismantling of the existing 220/110 kV T2 transformer bay with associated bays. After the implementation of sections III and IV and the installation of this transformer, conditions will be created for the shutdown of the OHL 220 kV No. 209/1 TS </w:t>
            </w:r>
            <w:proofErr w:type="spellStart"/>
            <w:r w:rsidRPr="00F07779">
              <w:rPr>
                <w:sz w:val="20"/>
                <w:szCs w:val="20"/>
              </w:rPr>
              <w:t>Bajina</w:t>
            </w:r>
            <w:proofErr w:type="spellEnd"/>
            <w:r w:rsidRPr="00F07779">
              <w:rPr>
                <w:sz w:val="20"/>
                <w:szCs w:val="20"/>
              </w:rPr>
              <w:t xml:space="preserve"> </w:t>
            </w:r>
            <w:proofErr w:type="spellStart"/>
            <w:r w:rsidRPr="00F07779">
              <w:rPr>
                <w:sz w:val="20"/>
                <w:szCs w:val="20"/>
              </w:rPr>
              <w:t>Bašta</w:t>
            </w:r>
            <w:proofErr w:type="spellEnd"/>
            <w:r w:rsidRPr="00F07779">
              <w:rPr>
                <w:sz w:val="20"/>
                <w:szCs w:val="20"/>
              </w:rPr>
              <w:t xml:space="preserve"> - TS Sremska Mitrovica 2.</w:t>
            </w:r>
          </w:p>
          <w:p w14:paraId="22EBFCAA" w14:textId="77777777" w:rsidR="0094644B" w:rsidRPr="00F07779" w:rsidRDefault="0094644B" w:rsidP="00FB5086">
            <w:pPr>
              <w:rPr>
                <w:sz w:val="20"/>
                <w:szCs w:val="20"/>
              </w:rPr>
            </w:pPr>
            <w:r w:rsidRPr="00F07779">
              <w:rPr>
                <w:sz w:val="20"/>
                <w:szCs w:val="20"/>
              </w:rPr>
              <w:t>Expected dynamics of project implementation:</w:t>
            </w:r>
          </w:p>
          <w:p w14:paraId="5248BB55" w14:textId="77777777" w:rsidR="0094644B" w:rsidRPr="00F07779" w:rsidRDefault="0094644B" w:rsidP="00FB5086">
            <w:pPr>
              <w:rPr>
                <w:sz w:val="20"/>
                <w:szCs w:val="20"/>
              </w:rPr>
            </w:pPr>
            <w:r w:rsidRPr="00F07779">
              <w:rPr>
                <w:sz w:val="20"/>
                <w:szCs w:val="20"/>
              </w:rPr>
              <w:t>2026. Building permit</w:t>
            </w:r>
          </w:p>
          <w:p w14:paraId="4B4780D9" w14:textId="77777777" w:rsidR="0094644B" w:rsidRPr="00F07779" w:rsidRDefault="0094644B" w:rsidP="00FB5086">
            <w:pPr>
              <w:rPr>
                <w:sz w:val="20"/>
                <w:szCs w:val="20"/>
              </w:rPr>
            </w:pPr>
            <w:r w:rsidRPr="00F07779">
              <w:rPr>
                <w:sz w:val="20"/>
                <w:szCs w:val="20"/>
              </w:rPr>
              <w:t>2027. Construction</w:t>
            </w:r>
          </w:p>
          <w:p w14:paraId="1126DDED" w14:textId="77777777" w:rsidR="0094644B" w:rsidRPr="00F07779" w:rsidRDefault="0094644B" w:rsidP="00FB5086">
            <w:pPr>
              <w:rPr>
                <w:sz w:val="20"/>
                <w:szCs w:val="20"/>
              </w:rPr>
            </w:pPr>
            <w:r w:rsidRPr="00F07779">
              <w:rPr>
                <w:sz w:val="20"/>
                <w:szCs w:val="20"/>
              </w:rPr>
              <w:t>2028. Construction</w:t>
            </w:r>
          </w:p>
        </w:tc>
      </w:tr>
      <w:tr w:rsidR="0094644B" w:rsidRPr="00F07779" w14:paraId="4DDEE36E"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2F523B04" w14:textId="77777777" w:rsidR="0094644B" w:rsidRPr="00F07779" w:rsidRDefault="0094644B" w:rsidP="00FB5086">
            <w:pPr>
              <w:rPr>
                <w:sz w:val="20"/>
                <w:szCs w:val="20"/>
              </w:rPr>
            </w:pPr>
            <w:r w:rsidRPr="00FA3F57">
              <w:rPr>
                <w:sz w:val="20"/>
                <w:szCs w:val="20"/>
              </w:rPr>
              <w:t>Institutions responsible for the implementation of measures and activities</w:t>
            </w:r>
          </w:p>
        </w:tc>
        <w:tc>
          <w:tcPr>
            <w:tcW w:w="5667" w:type="dxa"/>
            <w:tcBorders>
              <w:top w:val="single" w:sz="4" w:space="0" w:color="auto"/>
              <w:left w:val="single" w:sz="4" w:space="0" w:color="auto"/>
              <w:bottom w:val="single" w:sz="4" w:space="0" w:color="auto"/>
              <w:right w:val="single" w:sz="4" w:space="0" w:color="auto"/>
            </w:tcBorders>
            <w:hideMark/>
          </w:tcPr>
          <w:p w14:paraId="00AED2F0" w14:textId="77777777" w:rsidR="0094644B" w:rsidRPr="00F07779" w:rsidRDefault="0094644B" w:rsidP="00FB5086">
            <w:pPr>
              <w:rPr>
                <w:sz w:val="20"/>
                <w:szCs w:val="20"/>
              </w:rPr>
            </w:pPr>
            <w:r w:rsidRPr="00FA3F57">
              <w:rPr>
                <w:sz w:val="20"/>
                <w:szCs w:val="20"/>
              </w:rPr>
              <w:t>EMS JSC Belgrade</w:t>
            </w:r>
          </w:p>
        </w:tc>
      </w:tr>
      <w:tr w:rsidR="0094644B" w:rsidRPr="00F07779" w14:paraId="12B920EF"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7AC7CD2C" w14:textId="77777777" w:rsidR="0094644B" w:rsidRPr="00F07779" w:rsidRDefault="0094644B" w:rsidP="00FB5086">
            <w:pPr>
              <w:rPr>
                <w:sz w:val="20"/>
                <w:szCs w:val="20"/>
              </w:rPr>
            </w:pPr>
            <w:r w:rsidRPr="00FA3F57">
              <w:rPr>
                <w:sz w:val="20"/>
                <w:szCs w:val="20"/>
              </w:rPr>
              <w:t>Institutions responsible for monitoring implementation and reporting on the realization</w:t>
            </w:r>
          </w:p>
        </w:tc>
        <w:tc>
          <w:tcPr>
            <w:tcW w:w="5667" w:type="dxa"/>
            <w:tcBorders>
              <w:top w:val="single" w:sz="4" w:space="0" w:color="auto"/>
              <w:left w:val="single" w:sz="4" w:space="0" w:color="auto"/>
              <w:bottom w:val="single" w:sz="4" w:space="0" w:color="auto"/>
              <w:right w:val="single" w:sz="4" w:space="0" w:color="auto"/>
            </w:tcBorders>
            <w:hideMark/>
          </w:tcPr>
          <w:p w14:paraId="5E1710F6" w14:textId="77777777" w:rsidR="0094644B" w:rsidRPr="00F07779" w:rsidRDefault="0094644B" w:rsidP="00FB5086">
            <w:pPr>
              <w:rPr>
                <w:sz w:val="20"/>
                <w:szCs w:val="20"/>
              </w:rPr>
            </w:pPr>
            <w:r w:rsidRPr="00FA3F57">
              <w:rPr>
                <w:sz w:val="20"/>
                <w:szCs w:val="20"/>
              </w:rPr>
              <w:t>EMS JSC Belgrade</w:t>
            </w:r>
          </w:p>
          <w:p w14:paraId="35F29080" w14:textId="77777777" w:rsidR="0094644B" w:rsidRPr="00FA3F57" w:rsidRDefault="0094644B" w:rsidP="00FB5086">
            <w:pPr>
              <w:rPr>
                <w:sz w:val="20"/>
                <w:szCs w:val="20"/>
              </w:rPr>
            </w:pPr>
            <w:r w:rsidRPr="00FA3F57">
              <w:rPr>
                <w:sz w:val="20"/>
                <w:szCs w:val="20"/>
              </w:rPr>
              <w:t>Republic Commission for Energy Networks</w:t>
            </w:r>
          </w:p>
          <w:p w14:paraId="359E3DE4" w14:textId="77777777" w:rsidR="0094644B" w:rsidRPr="00F07779" w:rsidRDefault="0094644B" w:rsidP="00FB5086">
            <w:pPr>
              <w:rPr>
                <w:sz w:val="20"/>
                <w:szCs w:val="20"/>
              </w:rPr>
            </w:pPr>
            <w:r w:rsidRPr="00F07779">
              <w:rPr>
                <w:sz w:val="20"/>
                <w:szCs w:val="20"/>
              </w:rPr>
              <w:t>Ministry of Mining and Energy</w:t>
            </w:r>
          </w:p>
        </w:tc>
      </w:tr>
      <w:tr w:rsidR="0094644B" w:rsidRPr="00F07779" w14:paraId="56BC7578"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633120C7" w14:textId="77777777" w:rsidR="0094644B" w:rsidRPr="00F07779" w:rsidRDefault="0094644B" w:rsidP="00FB5086">
            <w:pPr>
              <w:rPr>
                <w:sz w:val="20"/>
                <w:szCs w:val="20"/>
              </w:rPr>
            </w:pPr>
            <w:r w:rsidRPr="00FA3F57">
              <w:rPr>
                <w:sz w:val="20"/>
                <w:szCs w:val="20"/>
              </w:rPr>
              <w:t>Year of project funding start</w:t>
            </w:r>
          </w:p>
        </w:tc>
        <w:tc>
          <w:tcPr>
            <w:tcW w:w="5667" w:type="dxa"/>
            <w:tcBorders>
              <w:top w:val="single" w:sz="4" w:space="0" w:color="auto"/>
              <w:left w:val="single" w:sz="4" w:space="0" w:color="auto"/>
              <w:bottom w:val="single" w:sz="4" w:space="0" w:color="auto"/>
              <w:right w:val="single" w:sz="4" w:space="0" w:color="auto"/>
            </w:tcBorders>
            <w:hideMark/>
          </w:tcPr>
          <w:p w14:paraId="6EC355B8" w14:textId="77777777" w:rsidR="0094644B" w:rsidRPr="00F07779" w:rsidRDefault="0094644B" w:rsidP="00FB5086">
            <w:pPr>
              <w:rPr>
                <w:sz w:val="20"/>
                <w:szCs w:val="20"/>
              </w:rPr>
            </w:pPr>
            <w:r w:rsidRPr="00F07779">
              <w:rPr>
                <w:sz w:val="20"/>
                <w:szCs w:val="20"/>
              </w:rPr>
              <w:t xml:space="preserve">2022. </w:t>
            </w:r>
          </w:p>
        </w:tc>
      </w:tr>
      <w:tr w:rsidR="0094644B" w:rsidRPr="00F07779" w14:paraId="139FA779"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16F35FBA" w14:textId="77777777" w:rsidR="0094644B" w:rsidRPr="00F07779" w:rsidRDefault="0094644B" w:rsidP="00FB5086">
            <w:pPr>
              <w:rPr>
                <w:sz w:val="20"/>
                <w:szCs w:val="20"/>
              </w:rPr>
            </w:pPr>
            <w:r w:rsidRPr="00FA3F57">
              <w:rPr>
                <w:sz w:val="20"/>
                <w:szCs w:val="20"/>
              </w:rPr>
              <w:t>Year of completion of project funding</w:t>
            </w:r>
          </w:p>
        </w:tc>
        <w:tc>
          <w:tcPr>
            <w:tcW w:w="5667" w:type="dxa"/>
            <w:tcBorders>
              <w:top w:val="single" w:sz="4" w:space="0" w:color="auto"/>
              <w:left w:val="single" w:sz="4" w:space="0" w:color="auto"/>
              <w:bottom w:val="single" w:sz="4" w:space="0" w:color="auto"/>
              <w:right w:val="single" w:sz="4" w:space="0" w:color="auto"/>
            </w:tcBorders>
            <w:hideMark/>
          </w:tcPr>
          <w:p w14:paraId="11AC21F6" w14:textId="77777777" w:rsidR="0094644B" w:rsidRPr="00F07779" w:rsidRDefault="0094644B" w:rsidP="00FB5086">
            <w:pPr>
              <w:rPr>
                <w:sz w:val="20"/>
                <w:szCs w:val="20"/>
              </w:rPr>
            </w:pPr>
            <w:r w:rsidRPr="00F07779">
              <w:rPr>
                <w:sz w:val="20"/>
                <w:szCs w:val="20"/>
              </w:rPr>
              <w:t>2028.</w:t>
            </w:r>
          </w:p>
        </w:tc>
      </w:tr>
      <w:tr w:rsidR="0094644B" w:rsidRPr="00F07779" w14:paraId="5016E63D"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6EE87CE9" w14:textId="77777777" w:rsidR="0094644B" w:rsidRPr="00F07779" w:rsidRDefault="0094644B" w:rsidP="00FB5086">
            <w:pPr>
              <w:rPr>
                <w:sz w:val="20"/>
                <w:szCs w:val="20"/>
              </w:rPr>
            </w:pPr>
            <w:r w:rsidRPr="00FA3F57">
              <w:rPr>
                <w:sz w:val="20"/>
                <w:szCs w:val="20"/>
              </w:rPr>
              <w:t>Total project value</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680CDA12" w14:textId="77777777" w:rsidR="0094644B" w:rsidRPr="00F07779" w:rsidRDefault="0094644B" w:rsidP="00FB5086">
            <w:pPr>
              <w:rPr>
                <w:sz w:val="20"/>
                <w:szCs w:val="20"/>
              </w:rPr>
            </w:pPr>
            <w:r w:rsidRPr="00F07779">
              <w:rPr>
                <w:sz w:val="20"/>
                <w:szCs w:val="20"/>
              </w:rPr>
              <w:t>773,850 (6.6 million EUR)</w:t>
            </w:r>
          </w:p>
        </w:tc>
      </w:tr>
      <w:tr w:rsidR="0094644B" w:rsidRPr="00F07779" w14:paraId="7BE4675D"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198B9C1D" w14:textId="77777777" w:rsidR="0094644B" w:rsidRPr="00F07779" w:rsidRDefault="0094644B" w:rsidP="00FB5086">
            <w:pPr>
              <w:rPr>
                <w:sz w:val="20"/>
                <w:szCs w:val="20"/>
              </w:rPr>
            </w:pPr>
            <w:r w:rsidRPr="00FA3F57">
              <w:rPr>
                <w:sz w:val="20"/>
                <w:szCs w:val="20"/>
              </w:rPr>
              <w:t>Planned investments for 2026.</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1BF0B1DF" w14:textId="77777777" w:rsidR="0094644B" w:rsidRPr="00F07779" w:rsidRDefault="0094644B" w:rsidP="00FB5086">
            <w:pPr>
              <w:rPr>
                <w:sz w:val="20"/>
                <w:szCs w:val="20"/>
              </w:rPr>
            </w:pPr>
            <w:r w:rsidRPr="00F07779">
              <w:rPr>
                <w:sz w:val="20"/>
                <w:szCs w:val="20"/>
              </w:rPr>
              <w:t>14,656 (own funds of EMS JSC)</w:t>
            </w:r>
          </w:p>
        </w:tc>
      </w:tr>
      <w:tr w:rsidR="0094644B" w:rsidRPr="00F07779" w14:paraId="7441A1C2"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045E5333" w14:textId="77777777" w:rsidR="0094644B" w:rsidRPr="00F07779" w:rsidRDefault="0094644B" w:rsidP="00FB5086">
            <w:pPr>
              <w:rPr>
                <w:sz w:val="20"/>
                <w:szCs w:val="20"/>
              </w:rPr>
            </w:pPr>
            <w:r w:rsidRPr="00FA3F57">
              <w:rPr>
                <w:sz w:val="20"/>
                <w:szCs w:val="20"/>
              </w:rPr>
              <w:t>Planned investments for 2027.</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31AA7B1C" w14:textId="77777777" w:rsidR="0094644B" w:rsidRPr="00F07779" w:rsidRDefault="0094644B" w:rsidP="00FB5086">
            <w:pPr>
              <w:rPr>
                <w:sz w:val="20"/>
                <w:szCs w:val="20"/>
              </w:rPr>
            </w:pPr>
            <w:r w:rsidRPr="00F07779">
              <w:rPr>
                <w:sz w:val="20"/>
                <w:szCs w:val="20"/>
              </w:rPr>
              <w:t>642,647 (own funds of EMS JSC)</w:t>
            </w:r>
          </w:p>
        </w:tc>
      </w:tr>
      <w:tr w:rsidR="0094644B" w:rsidRPr="00F07779" w14:paraId="65968632"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14E77F59" w14:textId="77777777" w:rsidR="0094644B" w:rsidRPr="00F07779" w:rsidRDefault="0094644B" w:rsidP="00FB5086">
            <w:pPr>
              <w:rPr>
                <w:sz w:val="20"/>
                <w:szCs w:val="20"/>
              </w:rPr>
            </w:pPr>
            <w:r w:rsidRPr="00FA3F57">
              <w:rPr>
                <w:sz w:val="20"/>
                <w:szCs w:val="20"/>
              </w:rPr>
              <w:t>Planned investments for 2028.</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100D3427" w14:textId="77777777" w:rsidR="0094644B" w:rsidRPr="00F07779" w:rsidRDefault="0094644B" w:rsidP="00FB5086">
            <w:pPr>
              <w:rPr>
                <w:sz w:val="20"/>
                <w:szCs w:val="20"/>
              </w:rPr>
            </w:pPr>
            <w:r w:rsidRPr="00F07779">
              <w:rPr>
                <w:sz w:val="20"/>
                <w:szCs w:val="20"/>
              </w:rPr>
              <w:t>0</w:t>
            </w:r>
          </w:p>
        </w:tc>
      </w:tr>
    </w:tbl>
    <w:p w14:paraId="5AA717AF" w14:textId="77777777" w:rsidR="0094644B" w:rsidRPr="00F07779" w:rsidRDefault="0094644B" w:rsidP="0094644B">
      <w:pPr>
        <w:tabs>
          <w:tab w:val="left" w:pos="1276"/>
          <w:tab w:val="left" w:pos="1560"/>
        </w:tabs>
        <w:ind w:left="1440" w:hanging="1440"/>
      </w:pPr>
    </w:p>
    <w:tbl>
      <w:tblPr>
        <w:tblStyle w:val="TableGrid"/>
        <w:tblW w:w="0" w:type="auto"/>
        <w:tblLook w:val="04A0" w:firstRow="1" w:lastRow="0" w:firstColumn="1" w:lastColumn="0" w:noHBand="0" w:noVBand="1"/>
      </w:tblPr>
      <w:tblGrid>
        <w:gridCol w:w="2973"/>
        <w:gridCol w:w="5667"/>
      </w:tblGrid>
      <w:tr w:rsidR="0094644B" w:rsidRPr="00F07779" w14:paraId="214E117A"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7448783" w14:textId="77777777" w:rsidR="0094644B" w:rsidRPr="00F07779" w:rsidRDefault="0094644B" w:rsidP="00FB5086">
            <w:pPr>
              <w:rPr>
                <w:sz w:val="20"/>
                <w:szCs w:val="20"/>
              </w:rPr>
            </w:pPr>
            <w:r w:rsidRPr="00F07779">
              <w:rPr>
                <w:sz w:val="20"/>
                <w:szCs w:val="20"/>
              </w:rPr>
              <w:t>Activity EL1.2</w:t>
            </w:r>
          </w:p>
        </w:tc>
        <w:tc>
          <w:tcPr>
            <w:tcW w:w="566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B0F9EDA" w14:textId="77777777" w:rsidR="0094644B" w:rsidRPr="00F07779" w:rsidRDefault="0094644B" w:rsidP="00FB5086">
            <w:pPr>
              <w:rPr>
                <w:sz w:val="20"/>
                <w:szCs w:val="20"/>
              </w:rPr>
            </w:pPr>
            <w:r w:rsidRPr="00F07779">
              <w:rPr>
                <w:sz w:val="20"/>
                <w:szCs w:val="20"/>
              </w:rPr>
              <w:t>Investment projects focused on the reconstruction and construction of the transmission network</w:t>
            </w:r>
          </w:p>
        </w:tc>
      </w:tr>
      <w:tr w:rsidR="0094644B" w:rsidRPr="00F07779" w14:paraId="1CA992CC"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4B012799" w14:textId="77777777" w:rsidR="0094644B" w:rsidRPr="00F07779" w:rsidRDefault="0094644B" w:rsidP="00FB5086">
            <w:pPr>
              <w:rPr>
                <w:sz w:val="20"/>
                <w:szCs w:val="20"/>
              </w:rPr>
            </w:pPr>
            <w:r w:rsidRPr="00FA3F57">
              <w:rPr>
                <w:sz w:val="20"/>
                <w:szCs w:val="20"/>
              </w:rPr>
              <w:t>Name of the project</w:t>
            </w:r>
          </w:p>
        </w:tc>
        <w:tc>
          <w:tcPr>
            <w:tcW w:w="5667"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0658EDDB" w14:textId="77777777" w:rsidR="0094644B" w:rsidRPr="00F07779" w:rsidRDefault="0094644B" w:rsidP="00FB5086">
            <w:pPr>
              <w:rPr>
                <w:sz w:val="20"/>
                <w:szCs w:val="20"/>
              </w:rPr>
            </w:pPr>
            <w:r w:rsidRPr="00F07779">
              <w:rPr>
                <w:sz w:val="20"/>
                <w:szCs w:val="20"/>
              </w:rPr>
              <w:t xml:space="preserve">220/110 kV TS </w:t>
            </w:r>
            <w:proofErr w:type="spellStart"/>
            <w:r w:rsidRPr="00F07779">
              <w:rPr>
                <w:sz w:val="20"/>
                <w:szCs w:val="20"/>
              </w:rPr>
              <w:t>Požega</w:t>
            </w:r>
            <w:proofErr w:type="spellEnd"/>
            <w:r w:rsidRPr="00F07779">
              <w:rPr>
                <w:sz w:val="20"/>
                <w:szCs w:val="20"/>
              </w:rPr>
              <w:t>, installation of two power transformers with a capacity of 2x250 MVA</w:t>
            </w:r>
          </w:p>
        </w:tc>
      </w:tr>
      <w:tr w:rsidR="0094644B" w:rsidRPr="00F07779" w14:paraId="27A85B5D"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0716457" w14:textId="77777777" w:rsidR="0094644B" w:rsidRPr="00F07779" w:rsidRDefault="0094644B" w:rsidP="00FB5086">
            <w:pPr>
              <w:rPr>
                <w:sz w:val="20"/>
                <w:szCs w:val="20"/>
              </w:rPr>
            </w:pPr>
            <w:r w:rsidRPr="00FA3F57">
              <w:rPr>
                <w:sz w:val="20"/>
                <w:szCs w:val="20"/>
              </w:rPr>
              <w:t xml:space="preserve">Name of the </w:t>
            </w:r>
            <w:r w:rsidRPr="00F07779">
              <w:rPr>
                <w:sz w:val="20"/>
                <w:szCs w:val="20"/>
              </w:rPr>
              <w:t>investment</w:t>
            </w:r>
          </w:p>
        </w:tc>
        <w:tc>
          <w:tcPr>
            <w:tcW w:w="566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9233B58" w14:textId="77777777" w:rsidR="0094644B" w:rsidRPr="00F07779" w:rsidRDefault="0094644B" w:rsidP="00FB5086">
            <w:pPr>
              <w:rPr>
                <w:sz w:val="20"/>
                <w:szCs w:val="20"/>
              </w:rPr>
            </w:pPr>
            <w:r w:rsidRPr="00F07779">
              <w:rPr>
                <w:sz w:val="20"/>
                <w:szCs w:val="20"/>
              </w:rPr>
              <w:t xml:space="preserve">220/110 kV TS </w:t>
            </w:r>
            <w:proofErr w:type="spellStart"/>
            <w:r w:rsidRPr="00F07779">
              <w:rPr>
                <w:sz w:val="20"/>
                <w:szCs w:val="20"/>
              </w:rPr>
              <w:t>Požega</w:t>
            </w:r>
            <w:proofErr w:type="spellEnd"/>
            <w:r w:rsidRPr="00F07779">
              <w:rPr>
                <w:sz w:val="20"/>
                <w:szCs w:val="20"/>
              </w:rPr>
              <w:t>, installation of two power transformers with a capacity of 2x250 MVA</w:t>
            </w:r>
          </w:p>
        </w:tc>
      </w:tr>
      <w:tr w:rsidR="0094644B" w:rsidRPr="00F07779" w14:paraId="525BD985"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00C5C1B3" w14:textId="77777777" w:rsidR="0094644B" w:rsidRPr="00F07779" w:rsidRDefault="0094644B" w:rsidP="00FB5086">
            <w:pPr>
              <w:rPr>
                <w:sz w:val="20"/>
                <w:szCs w:val="20"/>
              </w:rPr>
            </w:pPr>
            <w:r w:rsidRPr="00FA3F57">
              <w:rPr>
                <w:sz w:val="20"/>
                <w:szCs w:val="20"/>
              </w:rPr>
              <w:t>Short description of the investment</w:t>
            </w:r>
          </w:p>
        </w:tc>
        <w:tc>
          <w:tcPr>
            <w:tcW w:w="5667" w:type="dxa"/>
            <w:tcBorders>
              <w:top w:val="single" w:sz="4" w:space="0" w:color="auto"/>
              <w:left w:val="single" w:sz="4" w:space="0" w:color="auto"/>
              <w:bottom w:val="single" w:sz="4" w:space="0" w:color="auto"/>
              <w:right w:val="single" w:sz="4" w:space="0" w:color="auto"/>
            </w:tcBorders>
            <w:hideMark/>
          </w:tcPr>
          <w:p w14:paraId="3DA4AB5F" w14:textId="77777777" w:rsidR="0094644B" w:rsidRPr="00F07779" w:rsidRDefault="0094644B" w:rsidP="00FB5086">
            <w:pPr>
              <w:rPr>
                <w:sz w:val="20"/>
                <w:szCs w:val="20"/>
              </w:rPr>
            </w:pPr>
            <w:r w:rsidRPr="00F07779">
              <w:rPr>
                <w:sz w:val="20"/>
                <w:szCs w:val="20"/>
              </w:rPr>
              <w:t>Replacement of 220/110 kV power transformers due to aging and complete insulation and associated suspension equipment on busbars and cross-connections in the 220 and 110 kV facility, which is necessary due to aging and frequent failures. The installation of 220 kV busbar protection will improve the reliability of the 220 kV network in this area.</w:t>
            </w:r>
          </w:p>
          <w:p w14:paraId="714F2FF4" w14:textId="77777777" w:rsidR="0094644B" w:rsidRPr="00F07779" w:rsidRDefault="0094644B" w:rsidP="00FB5086">
            <w:pPr>
              <w:rPr>
                <w:sz w:val="20"/>
                <w:szCs w:val="20"/>
              </w:rPr>
            </w:pPr>
            <w:r w:rsidRPr="00F07779">
              <w:rPr>
                <w:sz w:val="20"/>
                <w:szCs w:val="20"/>
              </w:rPr>
              <w:t>Expected dynamics of project implementation:</w:t>
            </w:r>
          </w:p>
          <w:p w14:paraId="05EFA426" w14:textId="77777777" w:rsidR="0094644B" w:rsidRPr="00F07779" w:rsidRDefault="0094644B" w:rsidP="00FB5086">
            <w:pPr>
              <w:rPr>
                <w:sz w:val="20"/>
                <w:szCs w:val="20"/>
              </w:rPr>
            </w:pPr>
            <w:r w:rsidRPr="00F07779">
              <w:rPr>
                <w:sz w:val="20"/>
                <w:szCs w:val="20"/>
              </w:rPr>
              <w:t>2026. Building permit</w:t>
            </w:r>
          </w:p>
          <w:p w14:paraId="5578E6B2" w14:textId="77777777" w:rsidR="0094644B" w:rsidRPr="00F07779" w:rsidRDefault="0094644B" w:rsidP="00FB5086">
            <w:pPr>
              <w:rPr>
                <w:sz w:val="20"/>
                <w:szCs w:val="20"/>
              </w:rPr>
            </w:pPr>
            <w:r w:rsidRPr="00F07779">
              <w:rPr>
                <w:sz w:val="20"/>
                <w:szCs w:val="20"/>
              </w:rPr>
              <w:t>2027. Construction</w:t>
            </w:r>
          </w:p>
          <w:p w14:paraId="1A3730E7" w14:textId="77777777" w:rsidR="0094644B" w:rsidRPr="00F07779" w:rsidRDefault="0094644B" w:rsidP="00FB5086">
            <w:pPr>
              <w:rPr>
                <w:sz w:val="20"/>
                <w:szCs w:val="20"/>
              </w:rPr>
            </w:pPr>
            <w:r w:rsidRPr="00F07779">
              <w:rPr>
                <w:sz w:val="20"/>
                <w:szCs w:val="20"/>
              </w:rPr>
              <w:t>2028. Commissioning; trial operation</w:t>
            </w:r>
          </w:p>
        </w:tc>
      </w:tr>
      <w:tr w:rsidR="0094644B" w:rsidRPr="00F07779" w14:paraId="694ACBDD"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28B4A7B9" w14:textId="77777777" w:rsidR="0094644B" w:rsidRPr="00F07779" w:rsidRDefault="0094644B" w:rsidP="00FB5086">
            <w:pPr>
              <w:rPr>
                <w:sz w:val="20"/>
                <w:szCs w:val="20"/>
              </w:rPr>
            </w:pPr>
            <w:r w:rsidRPr="00FA3F57">
              <w:rPr>
                <w:sz w:val="20"/>
                <w:szCs w:val="20"/>
              </w:rPr>
              <w:t>Institutions responsible for the implementation of measures and activities</w:t>
            </w:r>
          </w:p>
        </w:tc>
        <w:tc>
          <w:tcPr>
            <w:tcW w:w="5667" w:type="dxa"/>
            <w:tcBorders>
              <w:top w:val="single" w:sz="4" w:space="0" w:color="auto"/>
              <w:left w:val="single" w:sz="4" w:space="0" w:color="auto"/>
              <w:bottom w:val="single" w:sz="4" w:space="0" w:color="auto"/>
              <w:right w:val="single" w:sz="4" w:space="0" w:color="auto"/>
            </w:tcBorders>
            <w:hideMark/>
          </w:tcPr>
          <w:p w14:paraId="359326F8" w14:textId="77777777" w:rsidR="0094644B" w:rsidRPr="00F07779" w:rsidRDefault="0094644B" w:rsidP="00FB5086">
            <w:pPr>
              <w:rPr>
                <w:sz w:val="20"/>
                <w:szCs w:val="20"/>
              </w:rPr>
            </w:pPr>
            <w:r w:rsidRPr="00FA3F57">
              <w:rPr>
                <w:sz w:val="20"/>
                <w:szCs w:val="20"/>
              </w:rPr>
              <w:t>EMS JSC Belgrade</w:t>
            </w:r>
          </w:p>
        </w:tc>
      </w:tr>
      <w:tr w:rsidR="0094644B" w:rsidRPr="00F07779" w14:paraId="40E2A7D8"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757BB9F8" w14:textId="77777777" w:rsidR="0094644B" w:rsidRPr="00F07779" w:rsidRDefault="0094644B" w:rsidP="00FB5086">
            <w:pPr>
              <w:rPr>
                <w:sz w:val="20"/>
                <w:szCs w:val="20"/>
              </w:rPr>
            </w:pPr>
            <w:r w:rsidRPr="00FA3F57">
              <w:rPr>
                <w:sz w:val="20"/>
                <w:szCs w:val="20"/>
              </w:rPr>
              <w:t>Institutions responsible for monitoring implementation and reporting on the realization</w:t>
            </w:r>
          </w:p>
        </w:tc>
        <w:tc>
          <w:tcPr>
            <w:tcW w:w="5667" w:type="dxa"/>
            <w:tcBorders>
              <w:top w:val="single" w:sz="4" w:space="0" w:color="auto"/>
              <w:left w:val="single" w:sz="4" w:space="0" w:color="auto"/>
              <w:bottom w:val="single" w:sz="4" w:space="0" w:color="auto"/>
              <w:right w:val="single" w:sz="4" w:space="0" w:color="auto"/>
            </w:tcBorders>
            <w:hideMark/>
          </w:tcPr>
          <w:p w14:paraId="269A5362" w14:textId="77777777" w:rsidR="0094644B" w:rsidRPr="00F07779" w:rsidRDefault="0094644B" w:rsidP="00FB5086">
            <w:pPr>
              <w:rPr>
                <w:sz w:val="20"/>
                <w:szCs w:val="20"/>
              </w:rPr>
            </w:pPr>
            <w:r w:rsidRPr="00FA3F57">
              <w:rPr>
                <w:sz w:val="20"/>
                <w:szCs w:val="20"/>
              </w:rPr>
              <w:t>EMS JSC Belgrade</w:t>
            </w:r>
          </w:p>
          <w:p w14:paraId="097DACD9" w14:textId="77777777" w:rsidR="0094644B" w:rsidRPr="00FA3F57" w:rsidRDefault="0094644B" w:rsidP="00FB5086">
            <w:pPr>
              <w:rPr>
                <w:sz w:val="20"/>
                <w:szCs w:val="20"/>
              </w:rPr>
            </w:pPr>
            <w:r w:rsidRPr="00FA3F57">
              <w:rPr>
                <w:sz w:val="20"/>
                <w:szCs w:val="20"/>
              </w:rPr>
              <w:t>Republic Commission for Energy Networks</w:t>
            </w:r>
          </w:p>
          <w:p w14:paraId="355CB6EE" w14:textId="77777777" w:rsidR="0094644B" w:rsidRPr="00F07779" w:rsidRDefault="0094644B" w:rsidP="00FB5086">
            <w:pPr>
              <w:rPr>
                <w:sz w:val="20"/>
                <w:szCs w:val="20"/>
              </w:rPr>
            </w:pPr>
            <w:r w:rsidRPr="00F07779">
              <w:rPr>
                <w:sz w:val="20"/>
                <w:szCs w:val="20"/>
              </w:rPr>
              <w:t>Ministry of Mining and Energy</w:t>
            </w:r>
          </w:p>
        </w:tc>
      </w:tr>
      <w:tr w:rsidR="0094644B" w:rsidRPr="00F07779" w14:paraId="7EECBE1B"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524DEC13" w14:textId="77777777" w:rsidR="0094644B" w:rsidRPr="00F07779" w:rsidRDefault="0094644B" w:rsidP="00FB5086">
            <w:pPr>
              <w:rPr>
                <w:sz w:val="20"/>
                <w:szCs w:val="20"/>
              </w:rPr>
            </w:pPr>
            <w:r w:rsidRPr="00FA3F57">
              <w:rPr>
                <w:sz w:val="20"/>
                <w:szCs w:val="20"/>
              </w:rPr>
              <w:t>Year of project funding start</w:t>
            </w:r>
          </w:p>
        </w:tc>
        <w:tc>
          <w:tcPr>
            <w:tcW w:w="5667" w:type="dxa"/>
            <w:tcBorders>
              <w:top w:val="single" w:sz="4" w:space="0" w:color="auto"/>
              <w:left w:val="single" w:sz="4" w:space="0" w:color="auto"/>
              <w:bottom w:val="single" w:sz="4" w:space="0" w:color="auto"/>
              <w:right w:val="single" w:sz="4" w:space="0" w:color="auto"/>
            </w:tcBorders>
            <w:hideMark/>
          </w:tcPr>
          <w:p w14:paraId="1266703E" w14:textId="77777777" w:rsidR="0094644B" w:rsidRPr="00F07779" w:rsidRDefault="0094644B" w:rsidP="00FB5086">
            <w:pPr>
              <w:rPr>
                <w:sz w:val="20"/>
                <w:szCs w:val="20"/>
              </w:rPr>
            </w:pPr>
            <w:r w:rsidRPr="00F07779">
              <w:rPr>
                <w:sz w:val="20"/>
                <w:szCs w:val="20"/>
              </w:rPr>
              <w:t xml:space="preserve">2024. </w:t>
            </w:r>
          </w:p>
        </w:tc>
      </w:tr>
      <w:tr w:rsidR="0094644B" w:rsidRPr="00F07779" w14:paraId="67D6DD10"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5B460BDE" w14:textId="77777777" w:rsidR="0094644B" w:rsidRPr="00F07779" w:rsidRDefault="0094644B" w:rsidP="00FB5086">
            <w:pPr>
              <w:rPr>
                <w:sz w:val="20"/>
                <w:szCs w:val="20"/>
              </w:rPr>
            </w:pPr>
            <w:r w:rsidRPr="00FA3F57">
              <w:rPr>
                <w:sz w:val="20"/>
                <w:szCs w:val="20"/>
              </w:rPr>
              <w:t>Year of completion of project funding</w:t>
            </w:r>
          </w:p>
        </w:tc>
        <w:tc>
          <w:tcPr>
            <w:tcW w:w="5667" w:type="dxa"/>
            <w:tcBorders>
              <w:top w:val="single" w:sz="4" w:space="0" w:color="auto"/>
              <w:left w:val="single" w:sz="4" w:space="0" w:color="auto"/>
              <w:bottom w:val="single" w:sz="4" w:space="0" w:color="auto"/>
              <w:right w:val="single" w:sz="4" w:space="0" w:color="auto"/>
            </w:tcBorders>
            <w:hideMark/>
          </w:tcPr>
          <w:p w14:paraId="29421971" w14:textId="77777777" w:rsidR="0094644B" w:rsidRPr="00F07779" w:rsidRDefault="0094644B" w:rsidP="00FB5086">
            <w:pPr>
              <w:rPr>
                <w:sz w:val="20"/>
                <w:szCs w:val="20"/>
              </w:rPr>
            </w:pPr>
            <w:r w:rsidRPr="00F07779">
              <w:rPr>
                <w:sz w:val="20"/>
                <w:szCs w:val="20"/>
              </w:rPr>
              <w:t>202</w:t>
            </w:r>
            <w:r w:rsidRPr="00FA3F57">
              <w:rPr>
                <w:sz w:val="20"/>
                <w:szCs w:val="20"/>
              </w:rPr>
              <w:t>7</w:t>
            </w:r>
            <w:r w:rsidRPr="00F07779">
              <w:rPr>
                <w:sz w:val="20"/>
                <w:szCs w:val="20"/>
              </w:rPr>
              <w:t>.</w:t>
            </w:r>
          </w:p>
        </w:tc>
      </w:tr>
      <w:tr w:rsidR="0094644B" w:rsidRPr="00F07779" w14:paraId="295E3ED3"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38EBA6EC" w14:textId="77777777" w:rsidR="0094644B" w:rsidRPr="00F07779" w:rsidRDefault="0094644B" w:rsidP="00FB5086">
            <w:pPr>
              <w:rPr>
                <w:sz w:val="20"/>
                <w:szCs w:val="20"/>
              </w:rPr>
            </w:pPr>
            <w:r w:rsidRPr="00FA3F57">
              <w:rPr>
                <w:sz w:val="20"/>
                <w:szCs w:val="20"/>
              </w:rPr>
              <w:lastRenderedPageBreak/>
              <w:t>Total project value</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436F8C18" w14:textId="77777777" w:rsidR="0094644B" w:rsidRPr="00FA3F57" w:rsidRDefault="0094644B" w:rsidP="00FB5086">
            <w:pPr>
              <w:rPr>
                <w:sz w:val="20"/>
                <w:szCs w:val="20"/>
              </w:rPr>
            </w:pPr>
            <w:r w:rsidRPr="00FA3F57">
              <w:rPr>
                <w:sz w:val="20"/>
                <w:szCs w:val="20"/>
              </w:rPr>
              <w:t>902,825 (7.7 million EUR)</w:t>
            </w:r>
          </w:p>
        </w:tc>
      </w:tr>
      <w:tr w:rsidR="0094644B" w:rsidRPr="00F07779" w14:paraId="11A7B1D1"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1F9CF0C8" w14:textId="77777777" w:rsidR="0094644B" w:rsidRPr="00F07779" w:rsidRDefault="0094644B" w:rsidP="00FB5086">
            <w:pPr>
              <w:rPr>
                <w:sz w:val="20"/>
                <w:szCs w:val="20"/>
              </w:rPr>
            </w:pPr>
            <w:r w:rsidRPr="00FA3F57">
              <w:rPr>
                <w:sz w:val="20"/>
                <w:szCs w:val="20"/>
              </w:rPr>
              <w:t>Planned investments for 2026.</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62CDF11C" w14:textId="77777777" w:rsidR="0094644B" w:rsidRPr="00F07779" w:rsidRDefault="0094644B" w:rsidP="00FB5086">
            <w:pPr>
              <w:rPr>
                <w:sz w:val="20"/>
                <w:szCs w:val="20"/>
              </w:rPr>
            </w:pPr>
            <w:r w:rsidRPr="00F07779">
              <w:rPr>
                <w:sz w:val="20"/>
                <w:szCs w:val="20"/>
              </w:rPr>
              <w:t>136,129 (own funds of EMS JSC)</w:t>
            </w:r>
          </w:p>
        </w:tc>
      </w:tr>
      <w:tr w:rsidR="0094644B" w:rsidRPr="00F07779" w14:paraId="232243C7"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695D4EF4" w14:textId="77777777" w:rsidR="0094644B" w:rsidRPr="00F07779" w:rsidRDefault="0094644B" w:rsidP="00FB5086">
            <w:pPr>
              <w:rPr>
                <w:sz w:val="20"/>
                <w:szCs w:val="20"/>
              </w:rPr>
            </w:pPr>
            <w:r w:rsidRPr="00FA3F57">
              <w:rPr>
                <w:sz w:val="20"/>
                <w:szCs w:val="20"/>
              </w:rPr>
              <w:t>Planned investments for 2027.</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3BAAD10A" w14:textId="77777777" w:rsidR="0094644B" w:rsidRPr="00F07779" w:rsidRDefault="0094644B" w:rsidP="00FB5086">
            <w:pPr>
              <w:rPr>
                <w:sz w:val="20"/>
                <w:szCs w:val="20"/>
              </w:rPr>
            </w:pPr>
            <w:r w:rsidRPr="00F07779">
              <w:rPr>
                <w:sz w:val="20"/>
                <w:szCs w:val="20"/>
              </w:rPr>
              <w:t>258,</w:t>
            </w:r>
            <w:r w:rsidRPr="00FA3F57">
              <w:rPr>
                <w:sz w:val="20"/>
                <w:szCs w:val="20"/>
              </w:rPr>
              <w:t>43</w:t>
            </w:r>
            <w:r w:rsidRPr="00F07779">
              <w:rPr>
                <w:sz w:val="20"/>
                <w:szCs w:val="20"/>
              </w:rPr>
              <w:t>5 (own funds of EMS JSC)</w:t>
            </w:r>
          </w:p>
        </w:tc>
      </w:tr>
      <w:tr w:rsidR="0094644B" w:rsidRPr="00F07779" w14:paraId="17E6DCBE"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748EE648" w14:textId="77777777" w:rsidR="0094644B" w:rsidRPr="00F07779" w:rsidRDefault="0094644B" w:rsidP="00FB5086">
            <w:pPr>
              <w:rPr>
                <w:sz w:val="20"/>
                <w:szCs w:val="20"/>
              </w:rPr>
            </w:pPr>
            <w:r w:rsidRPr="00FA3F57">
              <w:rPr>
                <w:sz w:val="20"/>
                <w:szCs w:val="20"/>
              </w:rPr>
              <w:t>Planned investments for 2028.</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292552D1" w14:textId="77777777" w:rsidR="0094644B" w:rsidRPr="00F07779" w:rsidRDefault="0094644B" w:rsidP="00FB5086">
            <w:pPr>
              <w:rPr>
                <w:sz w:val="20"/>
                <w:szCs w:val="20"/>
              </w:rPr>
            </w:pPr>
            <w:r w:rsidRPr="00F07779">
              <w:rPr>
                <w:sz w:val="20"/>
                <w:szCs w:val="20"/>
              </w:rPr>
              <w:t>0</w:t>
            </w:r>
          </w:p>
        </w:tc>
      </w:tr>
    </w:tbl>
    <w:p w14:paraId="0EAF1D13" w14:textId="77777777" w:rsidR="0094644B" w:rsidRPr="00F07779" w:rsidRDefault="0094644B" w:rsidP="0094644B">
      <w:pPr>
        <w:tabs>
          <w:tab w:val="left" w:pos="1276"/>
          <w:tab w:val="left" w:pos="1560"/>
        </w:tabs>
        <w:ind w:left="1440" w:hanging="1440"/>
      </w:pPr>
    </w:p>
    <w:tbl>
      <w:tblPr>
        <w:tblStyle w:val="TableGrid"/>
        <w:tblW w:w="0" w:type="auto"/>
        <w:tblLook w:val="04A0" w:firstRow="1" w:lastRow="0" w:firstColumn="1" w:lastColumn="0" w:noHBand="0" w:noVBand="1"/>
      </w:tblPr>
      <w:tblGrid>
        <w:gridCol w:w="2973"/>
        <w:gridCol w:w="5667"/>
      </w:tblGrid>
      <w:tr w:rsidR="0094644B" w:rsidRPr="00F07779" w14:paraId="656BD29E"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EFB1048" w14:textId="77777777" w:rsidR="0094644B" w:rsidRPr="00F07779" w:rsidRDefault="0094644B" w:rsidP="00FB5086">
            <w:pPr>
              <w:rPr>
                <w:sz w:val="20"/>
                <w:szCs w:val="20"/>
              </w:rPr>
            </w:pPr>
            <w:r w:rsidRPr="00F07779">
              <w:rPr>
                <w:sz w:val="20"/>
                <w:szCs w:val="20"/>
              </w:rPr>
              <w:t>Activity EL1.2</w:t>
            </w:r>
          </w:p>
        </w:tc>
        <w:tc>
          <w:tcPr>
            <w:tcW w:w="566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0AC84B5" w14:textId="77777777" w:rsidR="0094644B" w:rsidRPr="00F07779" w:rsidRDefault="0094644B" w:rsidP="00FB5086">
            <w:pPr>
              <w:rPr>
                <w:sz w:val="20"/>
                <w:szCs w:val="20"/>
              </w:rPr>
            </w:pPr>
            <w:r w:rsidRPr="00F07779">
              <w:rPr>
                <w:sz w:val="20"/>
                <w:szCs w:val="20"/>
              </w:rPr>
              <w:t>Investment projects focused on the reconstruction and construction of the transmission network</w:t>
            </w:r>
          </w:p>
        </w:tc>
      </w:tr>
      <w:tr w:rsidR="0094644B" w:rsidRPr="00F07779" w14:paraId="73DED6A5"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747BE072" w14:textId="77777777" w:rsidR="0094644B" w:rsidRPr="00F07779" w:rsidRDefault="0094644B" w:rsidP="00FB5086">
            <w:pPr>
              <w:rPr>
                <w:sz w:val="20"/>
                <w:szCs w:val="20"/>
              </w:rPr>
            </w:pPr>
            <w:r w:rsidRPr="00FA3F57">
              <w:rPr>
                <w:sz w:val="20"/>
                <w:szCs w:val="20"/>
              </w:rPr>
              <w:t>Name of the project</w:t>
            </w:r>
          </w:p>
        </w:tc>
        <w:tc>
          <w:tcPr>
            <w:tcW w:w="5667"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4F5E6894" w14:textId="77777777" w:rsidR="0094644B" w:rsidRPr="00F07779" w:rsidRDefault="0094644B" w:rsidP="00FB5086">
            <w:pPr>
              <w:rPr>
                <w:sz w:val="20"/>
                <w:szCs w:val="20"/>
              </w:rPr>
            </w:pPr>
            <w:r w:rsidRPr="00F07779">
              <w:rPr>
                <w:sz w:val="20"/>
                <w:szCs w:val="20"/>
              </w:rPr>
              <w:t>Reconstruction 400/110 kV TS Kragujevac 2</w:t>
            </w:r>
          </w:p>
        </w:tc>
      </w:tr>
      <w:tr w:rsidR="0094644B" w:rsidRPr="00F07779" w14:paraId="427ED4B0"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6DD72D3" w14:textId="77777777" w:rsidR="0094644B" w:rsidRPr="00F07779" w:rsidRDefault="0094644B" w:rsidP="00FB5086">
            <w:pPr>
              <w:rPr>
                <w:sz w:val="20"/>
                <w:szCs w:val="20"/>
              </w:rPr>
            </w:pPr>
            <w:r w:rsidRPr="00FA3F57">
              <w:rPr>
                <w:sz w:val="20"/>
                <w:szCs w:val="20"/>
              </w:rPr>
              <w:t xml:space="preserve">Name of the </w:t>
            </w:r>
            <w:r w:rsidRPr="00F07779">
              <w:rPr>
                <w:sz w:val="20"/>
                <w:szCs w:val="20"/>
              </w:rPr>
              <w:t>investment</w:t>
            </w:r>
          </w:p>
        </w:tc>
        <w:tc>
          <w:tcPr>
            <w:tcW w:w="566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88ADE4C" w14:textId="77777777" w:rsidR="0094644B" w:rsidRPr="00F07779" w:rsidRDefault="0094644B" w:rsidP="00FB5086">
            <w:pPr>
              <w:rPr>
                <w:sz w:val="20"/>
                <w:szCs w:val="20"/>
              </w:rPr>
            </w:pPr>
            <w:r w:rsidRPr="00F07779">
              <w:rPr>
                <w:sz w:val="20"/>
                <w:szCs w:val="20"/>
              </w:rPr>
              <w:t>400/110 kV TS Kragujevac 2 - reconstruction</w:t>
            </w:r>
          </w:p>
        </w:tc>
      </w:tr>
      <w:tr w:rsidR="0094644B" w:rsidRPr="00F07779" w14:paraId="57F940FD"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16B23DEE" w14:textId="77777777" w:rsidR="0094644B" w:rsidRPr="00F07779" w:rsidRDefault="0094644B" w:rsidP="00FB5086">
            <w:pPr>
              <w:rPr>
                <w:sz w:val="20"/>
                <w:szCs w:val="20"/>
              </w:rPr>
            </w:pPr>
            <w:r w:rsidRPr="00FA3F57">
              <w:rPr>
                <w:sz w:val="20"/>
                <w:szCs w:val="20"/>
              </w:rPr>
              <w:t>Short description of the investment</w:t>
            </w:r>
          </w:p>
        </w:tc>
        <w:tc>
          <w:tcPr>
            <w:tcW w:w="5667" w:type="dxa"/>
            <w:tcBorders>
              <w:top w:val="single" w:sz="4" w:space="0" w:color="auto"/>
              <w:left w:val="single" w:sz="4" w:space="0" w:color="auto"/>
              <w:bottom w:val="single" w:sz="4" w:space="0" w:color="auto"/>
              <w:right w:val="single" w:sz="4" w:space="0" w:color="auto"/>
            </w:tcBorders>
            <w:hideMark/>
          </w:tcPr>
          <w:p w14:paraId="4EFE8CB5" w14:textId="77777777" w:rsidR="0094644B" w:rsidRPr="00F07779" w:rsidRDefault="0094644B" w:rsidP="00FB5086">
            <w:pPr>
              <w:rPr>
                <w:sz w:val="20"/>
                <w:szCs w:val="20"/>
              </w:rPr>
            </w:pPr>
            <w:r w:rsidRPr="00F07779">
              <w:rPr>
                <w:sz w:val="20"/>
                <w:szCs w:val="20"/>
              </w:rPr>
              <w:t>The remaining phase envisages the complete reconstruction of the 400/110 kV TS Kragujevac 2 due to the age of the facility itself. This phase includes the replacement of complete equipment in the 400 kV and 110 kV plants, as well as the reconstruction of the self-consumption plant, protection, control, and measurement systems, the reconstruction of existing brick buildings, and the construction of new ones. The existing transformers are retained.</w:t>
            </w:r>
          </w:p>
          <w:p w14:paraId="1668CCE7" w14:textId="77777777" w:rsidR="0094644B" w:rsidRPr="00F07779" w:rsidRDefault="0094644B" w:rsidP="00FB5086">
            <w:pPr>
              <w:rPr>
                <w:sz w:val="20"/>
                <w:szCs w:val="20"/>
              </w:rPr>
            </w:pPr>
            <w:r w:rsidRPr="00F07779">
              <w:rPr>
                <w:sz w:val="20"/>
                <w:szCs w:val="20"/>
              </w:rPr>
              <w:t>Expected dynamics of project implementation:</w:t>
            </w:r>
          </w:p>
          <w:p w14:paraId="4D8988E4" w14:textId="77777777" w:rsidR="0094644B" w:rsidRPr="00F07779" w:rsidRDefault="0094644B" w:rsidP="00FB5086">
            <w:pPr>
              <w:rPr>
                <w:sz w:val="20"/>
                <w:szCs w:val="20"/>
              </w:rPr>
            </w:pPr>
            <w:r w:rsidRPr="00F07779">
              <w:rPr>
                <w:sz w:val="20"/>
                <w:szCs w:val="20"/>
              </w:rPr>
              <w:t>2026. Construction</w:t>
            </w:r>
          </w:p>
          <w:p w14:paraId="30557DE7" w14:textId="77777777" w:rsidR="0094644B" w:rsidRPr="00F07779" w:rsidRDefault="0094644B" w:rsidP="00FB5086">
            <w:pPr>
              <w:rPr>
                <w:sz w:val="20"/>
                <w:szCs w:val="20"/>
              </w:rPr>
            </w:pPr>
            <w:r w:rsidRPr="00F07779">
              <w:rPr>
                <w:sz w:val="20"/>
                <w:szCs w:val="20"/>
              </w:rPr>
              <w:t>2027. Construction</w:t>
            </w:r>
          </w:p>
          <w:p w14:paraId="5ACBD00C" w14:textId="77777777" w:rsidR="0094644B" w:rsidRPr="00F07779" w:rsidRDefault="0094644B" w:rsidP="00FB5086">
            <w:pPr>
              <w:rPr>
                <w:sz w:val="20"/>
                <w:szCs w:val="20"/>
              </w:rPr>
            </w:pPr>
            <w:r w:rsidRPr="00F07779">
              <w:rPr>
                <w:sz w:val="20"/>
                <w:szCs w:val="20"/>
              </w:rPr>
              <w:t>2028. Commissioning; trial operation</w:t>
            </w:r>
          </w:p>
        </w:tc>
      </w:tr>
      <w:tr w:rsidR="0094644B" w:rsidRPr="00F07779" w14:paraId="2B593FCC"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103F0194" w14:textId="77777777" w:rsidR="0094644B" w:rsidRPr="00F07779" w:rsidRDefault="0094644B" w:rsidP="00FB5086">
            <w:pPr>
              <w:rPr>
                <w:sz w:val="20"/>
                <w:szCs w:val="20"/>
              </w:rPr>
            </w:pPr>
            <w:r w:rsidRPr="00FA3F57">
              <w:rPr>
                <w:sz w:val="20"/>
                <w:szCs w:val="20"/>
              </w:rPr>
              <w:t>Institutions responsible for the implementation of measures and activities</w:t>
            </w:r>
          </w:p>
        </w:tc>
        <w:tc>
          <w:tcPr>
            <w:tcW w:w="5667" w:type="dxa"/>
            <w:tcBorders>
              <w:top w:val="single" w:sz="4" w:space="0" w:color="auto"/>
              <w:left w:val="single" w:sz="4" w:space="0" w:color="auto"/>
              <w:bottom w:val="single" w:sz="4" w:space="0" w:color="auto"/>
              <w:right w:val="single" w:sz="4" w:space="0" w:color="auto"/>
            </w:tcBorders>
            <w:hideMark/>
          </w:tcPr>
          <w:p w14:paraId="5C2C522C" w14:textId="77777777" w:rsidR="0094644B" w:rsidRPr="00F07779" w:rsidRDefault="0094644B" w:rsidP="00FB5086">
            <w:pPr>
              <w:rPr>
                <w:sz w:val="20"/>
                <w:szCs w:val="20"/>
              </w:rPr>
            </w:pPr>
            <w:r w:rsidRPr="00FA3F57">
              <w:rPr>
                <w:sz w:val="20"/>
                <w:szCs w:val="20"/>
              </w:rPr>
              <w:t>EMS JSC Belgrade</w:t>
            </w:r>
          </w:p>
        </w:tc>
      </w:tr>
      <w:tr w:rsidR="0094644B" w:rsidRPr="00F07779" w14:paraId="407D2563"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19F13879" w14:textId="77777777" w:rsidR="0094644B" w:rsidRPr="00F07779" w:rsidRDefault="0094644B" w:rsidP="00FB5086">
            <w:pPr>
              <w:rPr>
                <w:sz w:val="20"/>
                <w:szCs w:val="20"/>
              </w:rPr>
            </w:pPr>
            <w:r w:rsidRPr="00FA3F57">
              <w:rPr>
                <w:sz w:val="20"/>
                <w:szCs w:val="20"/>
              </w:rPr>
              <w:t>Institutions responsible for monitoring implementation and reporting on the realization</w:t>
            </w:r>
          </w:p>
        </w:tc>
        <w:tc>
          <w:tcPr>
            <w:tcW w:w="5667" w:type="dxa"/>
            <w:tcBorders>
              <w:top w:val="single" w:sz="4" w:space="0" w:color="auto"/>
              <w:left w:val="single" w:sz="4" w:space="0" w:color="auto"/>
              <w:bottom w:val="single" w:sz="4" w:space="0" w:color="auto"/>
              <w:right w:val="single" w:sz="4" w:space="0" w:color="auto"/>
            </w:tcBorders>
            <w:hideMark/>
          </w:tcPr>
          <w:p w14:paraId="561038BF" w14:textId="77777777" w:rsidR="0094644B" w:rsidRPr="00F07779" w:rsidRDefault="0094644B" w:rsidP="00FB5086">
            <w:pPr>
              <w:rPr>
                <w:sz w:val="20"/>
                <w:szCs w:val="20"/>
              </w:rPr>
            </w:pPr>
            <w:r w:rsidRPr="00FA3F57">
              <w:rPr>
                <w:sz w:val="20"/>
                <w:szCs w:val="20"/>
              </w:rPr>
              <w:t>EMS JSC Belgrade</w:t>
            </w:r>
          </w:p>
          <w:p w14:paraId="475DD978" w14:textId="77777777" w:rsidR="0094644B" w:rsidRPr="00FA3F57" w:rsidRDefault="0094644B" w:rsidP="00FB5086">
            <w:pPr>
              <w:rPr>
                <w:sz w:val="20"/>
                <w:szCs w:val="20"/>
              </w:rPr>
            </w:pPr>
            <w:r w:rsidRPr="00FA3F57">
              <w:rPr>
                <w:sz w:val="20"/>
                <w:szCs w:val="20"/>
              </w:rPr>
              <w:t>Republic Commission for Energy Networks</w:t>
            </w:r>
          </w:p>
          <w:p w14:paraId="766CA183" w14:textId="77777777" w:rsidR="0094644B" w:rsidRPr="00F07779" w:rsidRDefault="0094644B" w:rsidP="00FB5086">
            <w:pPr>
              <w:rPr>
                <w:sz w:val="20"/>
                <w:szCs w:val="20"/>
              </w:rPr>
            </w:pPr>
            <w:r w:rsidRPr="00F07779">
              <w:rPr>
                <w:sz w:val="20"/>
                <w:szCs w:val="20"/>
              </w:rPr>
              <w:t>Ministry of Mining and Energy</w:t>
            </w:r>
          </w:p>
        </w:tc>
      </w:tr>
      <w:tr w:rsidR="0094644B" w:rsidRPr="00F07779" w14:paraId="4E80694C"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1C10181D" w14:textId="77777777" w:rsidR="0094644B" w:rsidRPr="00F07779" w:rsidRDefault="0094644B" w:rsidP="00FB5086">
            <w:pPr>
              <w:rPr>
                <w:sz w:val="20"/>
                <w:szCs w:val="20"/>
              </w:rPr>
            </w:pPr>
            <w:r w:rsidRPr="00FA3F57">
              <w:rPr>
                <w:sz w:val="20"/>
                <w:szCs w:val="20"/>
              </w:rPr>
              <w:t>Year of project funding start</w:t>
            </w:r>
          </w:p>
        </w:tc>
        <w:tc>
          <w:tcPr>
            <w:tcW w:w="5667" w:type="dxa"/>
            <w:tcBorders>
              <w:top w:val="single" w:sz="4" w:space="0" w:color="auto"/>
              <w:left w:val="single" w:sz="4" w:space="0" w:color="auto"/>
              <w:bottom w:val="single" w:sz="4" w:space="0" w:color="auto"/>
              <w:right w:val="single" w:sz="4" w:space="0" w:color="auto"/>
            </w:tcBorders>
            <w:hideMark/>
          </w:tcPr>
          <w:p w14:paraId="3079DF83" w14:textId="77777777" w:rsidR="0094644B" w:rsidRPr="00F07779" w:rsidRDefault="0094644B" w:rsidP="00FB5086">
            <w:pPr>
              <w:rPr>
                <w:sz w:val="20"/>
                <w:szCs w:val="20"/>
              </w:rPr>
            </w:pPr>
            <w:r w:rsidRPr="00F07779">
              <w:rPr>
                <w:sz w:val="20"/>
                <w:szCs w:val="20"/>
              </w:rPr>
              <w:t xml:space="preserve">2018. </w:t>
            </w:r>
          </w:p>
        </w:tc>
      </w:tr>
      <w:tr w:rsidR="0094644B" w:rsidRPr="00F07779" w14:paraId="7C0F4A91"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2F54781B" w14:textId="77777777" w:rsidR="0094644B" w:rsidRPr="00F07779" w:rsidRDefault="0094644B" w:rsidP="00FB5086">
            <w:pPr>
              <w:rPr>
                <w:sz w:val="20"/>
                <w:szCs w:val="20"/>
              </w:rPr>
            </w:pPr>
            <w:r w:rsidRPr="00FA3F57">
              <w:rPr>
                <w:sz w:val="20"/>
                <w:szCs w:val="20"/>
              </w:rPr>
              <w:t>Year of completion of project funding</w:t>
            </w:r>
          </w:p>
        </w:tc>
        <w:tc>
          <w:tcPr>
            <w:tcW w:w="5667" w:type="dxa"/>
            <w:tcBorders>
              <w:top w:val="single" w:sz="4" w:space="0" w:color="auto"/>
              <w:left w:val="single" w:sz="4" w:space="0" w:color="auto"/>
              <w:bottom w:val="single" w:sz="4" w:space="0" w:color="auto"/>
              <w:right w:val="single" w:sz="4" w:space="0" w:color="auto"/>
            </w:tcBorders>
            <w:hideMark/>
          </w:tcPr>
          <w:p w14:paraId="56906213" w14:textId="77777777" w:rsidR="0094644B" w:rsidRPr="00F07779" w:rsidRDefault="0094644B" w:rsidP="00FB5086">
            <w:pPr>
              <w:rPr>
                <w:sz w:val="20"/>
                <w:szCs w:val="20"/>
              </w:rPr>
            </w:pPr>
            <w:r w:rsidRPr="00F07779">
              <w:rPr>
                <w:sz w:val="20"/>
                <w:szCs w:val="20"/>
              </w:rPr>
              <w:t>2028.</w:t>
            </w:r>
          </w:p>
        </w:tc>
      </w:tr>
      <w:tr w:rsidR="0094644B" w:rsidRPr="00F07779" w14:paraId="7F65F55F"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71AC8A71" w14:textId="77777777" w:rsidR="0094644B" w:rsidRPr="00F07779" w:rsidRDefault="0094644B" w:rsidP="00FB5086">
            <w:pPr>
              <w:rPr>
                <w:sz w:val="20"/>
                <w:szCs w:val="20"/>
              </w:rPr>
            </w:pPr>
            <w:r w:rsidRPr="00FA3F57">
              <w:rPr>
                <w:sz w:val="20"/>
                <w:szCs w:val="20"/>
              </w:rPr>
              <w:t>Total project value</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0348154E" w14:textId="77777777" w:rsidR="0094644B" w:rsidRPr="00F07779" w:rsidRDefault="0094644B" w:rsidP="00FB5086">
            <w:pPr>
              <w:rPr>
                <w:sz w:val="20"/>
                <w:szCs w:val="20"/>
              </w:rPr>
            </w:pPr>
            <w:r w:rsidRPr="00F07779">
              <w:rPr>
                <w:sz w:val="20"/>
                <w:szCs w:val="20"/>
              </w:rPr>
              <w:t>1,559,425 (13.3 million EUR)</w:t>
            </w:r>
          </w:p>
        </w:tc>
      </w:tr>
      <w:tr w:rsidR="0094644B" w:rsidRPr="00F07779" w14:paraId="1A6AA210"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05834BE2" w14:textId="77777777" w:rsidR="0094644B" w:rsidRPr="00F07779" w:rsidRDefault="0094644B" w:rsidP="00FB5086">
            <w:pPr>
              <w:rPr>
                <w:sz w:val="20"/>
                <w:szCs w:val="20"/>
              </w:rPr>
            </w:pPr>
            <w:r w:rsidRPr="00FA3F57">
              <w:rPr>
                <w:sz w:val="20"/>
                <w:szCs w:val="20"/>
              </w:rPr>
              <w:t>Planned investments for 2026.</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1902C5CA" w14:textId="77777777" w:rsidR="0094644B" w:rsidRPr="00F07779" w:rsidRDefault="0094644B" w:rsidP="00FB5086">
            <w:pPr>
              <w:rPr>
                <w:sz w:val="20"/>
                <w:szCs w:val="20"/>
              </w:rPr>
            </w:pPr>
            <w:r w:rsidRPr="00F07779">
              <w:rPr>
                <w:sz w:val="20"/>
                <w:szCs w:val="20"/>
              </w:rPr>
              <w:t>294,197 (own funds of EMS JSC)</w:t>
            </w:r>
          </w:p>
        </w:tc>
      </w:tr>
      <w:tr w:rsidR="0094644B" w:rsidRPr="00F07779" w14:paraId="2F92FE64"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07D804D3" w14:textId="77777777" w:rsidR="0094644B" w:rsidRPr="00F07779" w:rsidRDefault="0094644B" w:rsidP="00FB5086">
            <w:pPr>
              <w:rPr>
                <w:sz w:val="20"/>
                <w:szCs w:val="20"/>
              </w:rPr>
            </w:pPr>
            <w:r w:rsidRPr="00FA3F57">
              <w:rPr>
                <w:sz w:val="20"/>
                <w:szCs w:val="20"/>
              </w:rPr>
              <w:t>Planned investments for 2027.</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053DD14C" w14:textId="77777777" w:rsidR="0094644B" w:rsidRPr="00F07779" w:rsidRDefault="0094644B" w:rsidP="00FB5086">
            <w:pPr>
              <w:rPr>
                <w:sz w:val="20"/>
                <w:szCs w:val="20"/>
              </w:rPr>
            </w:pPr>
            <w:r w:rsidRPr="00F07779">
              <w:rPr>
                <w:sz w:val="20"/>
                <w:szCs w:val="20"/>
              </w:rPr>
              <w:t>154,015</w:t>
            </w:r>
            <w:r w:rsidRPr="00FA3F57">
              <w:rPr>
                <w:sz w:val="20"/>
                <w:szCs w:val="20"/>
              </w:rPr>
              <w:t xml:space="preserve"> </w:t>
            </w:r>
            <w:r w:rsidRPr="00F07779">
              <w:rPr>
                <w:sz w:val="20"/>
                <w:szCs w:val="20"/>
              </w:rPr>
              <w:t>(own funds of EMS JSC)</w:t>
            </w:r>
          </w:p>
        </w:tc>
      </w:tr>
      <w:tr w:rsidR="0094644B" w:rsidRPr="00F07779" w14:paraId="0AB7B0A0"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35361B7E" w14:textId="77777777" w:rsidR="0094644B" w:rsidRPr="00F07779" w:rsidRDefault="0094644B" w:rsidP="00FB5086">
            <w:pPr>
              <w:rPr>
                <w:sz w:val="20"/>
                <w:szCs w:val="20"/>
              </w:rPr>
            </w:pPr>
            <w:r w:rsidRPr="00FA3F57">
              <w:rPr>
                <w:sz w:val="20"/>
                <w:szCs w:val="20"/>
              </w:rPr>
              <w:t>Planned investments for 2028.</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77C99074" w14:textId="77777777" w:rsidR="0094644B" w:rsidRPr="00F07779" w:rsidRDefault="0094644B" w:rsidP="00FB5086">
            <w:pPr>
              <w:rPr>
                <w:sz w:val="20"/>
                <w:szCs w:val="20"/>
              </w:rPr>
            </w:pPr>
            <w:r w:rsidRPr="00F07779">
              <w:rPr>
                <w:sz w:val="20"/>
                <w:szCs w:val="20"/>
              </w:rPr>
              <w:t>217,968 (own funds of EMS JSC)</w:t>
            </w:r>
          </w:p>
        </w:tc>
      </w:tr>
    </w:tbl>
    <w:p w14:paraId="43FF8E9D" w14:textId="77777777" w:rsidR="0094644B" w:rsidRPr="00F07779" w:rsidRDefault="0094644B" w:rsidP="0094644B">
      <w:pPr>
        <w:tabs>
          <w:tab w:val="left" w:pos="1276"/>
          <w:tab w:val="left" w:pos="1560"/>
        </w:tabs>
        <w:ind w:left="1440" w:hanging="1440"/>
      </w:pPr>
    </w:p>
    <w:tbl>
      <w:tblPr>
        <w:tblStyle w:val="TableGrid"/>
        <w:tblW w:w="0" w:type="auto"/>
        <w:tblLook w:val="04A0" w:firstRow="1" w:lastRow="0" w:firstColumn="1" w:lastColumn="0" w:noHBand="0" w:noVBand="1"/>
      </w:tblPr>
      <w:tblGrid>
        <w:gridCol w:w="2973"/>
        <w:gridCol w:w="5667"/>
      </w:tblGrid>
      <w:tr w:rsidR="0094644B" w:rsidRPr="00F07779" w14:paraId="679AF70D"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E0F087C" w14:textId="77777777" w:rsidR="0094644B" w:rsidRPr="00F07779" w:rsidRDefault="0094644B" w:rsidP="00FB5086">
            <w:pPr>
              <w:rPr>
                <w:sz w:val="20"/>
                <w:szCs w:val="20"/>
              </w:rPr>
            </w:pPr>
            <w:r w:rsidRPr="00F07779">
              <w:rPr>
                <w:sz w:val="20"/>
                <w:szCs w:val="20"/>
              </w:rPr>
              <w:t>Activity EL1.2</w:t>
            </w:r>
          </w:p>
        </w:tc>
        <w:tc>
          <w:tcPr>
            <w:tcW w:w="566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1C542A7" w14:textId="77777777" w:rsidR="0094644B" w:rsidRPr="00F07779" w:rsidRDefault="0094644B" w:rsidP="00FB5086">
            <w:pPr>
              <w:rPr>
                <w:sz w:val="20"/>
                <w:szCs w:val="20"/>
              </w:rPr>
            </w:pPr>
            <w:r w:rsidRPr="00F07779">
              <w:rPr>
                <w:sz w:val="20"/>
                <w:szCs w:val="20"/>
              </w:rPr>
              <w:t>Investment projects focused on the reconstruction and construction of the transmission network</w:t>
            </w:r>
          </w:p>
        </w:tc>
      </w:tr>
      <w:tr w:rsidR="0094644B" w:rsidRPr="00F07779" w14:paraId="70A26D64"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3F04ADA0" w14:textId="77777777" w:rsidR="0094644B" w:rsidRPr="00F07779" w:rsidRDefault="0094644B" w:rsidP="00FB5086">
            <w:pPr>
              <w:rPr>
                <w:sz w:val="20"/>
                <w:szCs w:val="20"/>
              </w:rPr>
            </w:pPr>
            <w:r w:rsidRPr="00FA3F57">
              <w:rPr>
                <w:sz w:val="20"/>
                <w:szCs w:val="20"/>
              </w:rPr>
              <w:t>Name of the project</w:t>
            </w:r>
          </w:p>
        </w:tc>
        <w:tc>
          <w:tcPr>
            <w:tcW w:w="5667"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3185AF4A" w14:textId="77777777" w:rsidR="0094644B" w:rsidRPr="00F07779" w:rsidRDefault="0094644B" w:rsidP="00FB5086">
            <w:pPr>
              <w:rPr>
                <w:sz w:val="20"/>
                <w:szCs w:val="20"/>
              </w:rPr>
            </w:pPr>
            <w:r w:rsidRPr="00F07779">
              <w:rPr>
                <w:sz w:val="20"/>
                <w:szCs w:val="20"/>
              </w:rPr>
              <w:t xml:space="preserve">Reconstruction of the OHL 2x110kV No. 101AB TS Belgrade 3 - TPP </w:t>
            </w:r>
            <w:proofErr w:type="spellStart"/>
            <w:r w:rsidRPr="00F07779">
              <w:rPr>
                <w:sz w:val="20"/>
                <w:szCs w:val="20"/>
              </w:rPr>
              <w:t>Kostolac</w:t>
            </w:r>
            <w:proofErr w:type="spellEnd"/>
            <w:r w:rsidRPr="00F07779">
              <w:rPr>
                <w:sz w:val="20"/>
                <w:szCs w:val="20"/>
              </w:rPr>
              <w:t xml:space="preserve"> A</w:t>
            </w:r>
          </w:p>
        </w:tc>
      </w:tr>
      <w:tr w:rsidR="0094644B" w:rsidRPr="00F07779" w14:paraId="66E7F9C9"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24B886C" w14:textId="77777777" w:rsidR="0094644B" w:rsidRPr="00F07779" w:rsidRDefault="0094644B" w:rsidP="00FB5086">
            <w:pPr>
              <w:rPr>
                <w:sz w:val="20"/>
                <w:szCs w:val="20"/>
              </w:rPr>
            </w:pPr>
            <w:r w:rsidRPr="00FA3F57">
              <w:rPr>
                <w:sz w:val="20"/>
                <w:szCs w:val="20"/>
              </w:rPr>
              <w:t xml:space="preserve">Name of the </w:t>
            </w:r>
            <w:r w:rsidRPr="00F07779">
              <w:rPr>
                <w:sz w:val="20"/>
                <w:szCs w:val="20"/>
              </w:rPr>
              <w:t>investment</w:t>
            </w:r>
          </w:p>
        </w:tc>
        <w:tc>
          <w:tcPr>
            <w:tcW w:w="566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6BD4AB6" w14:textId="77777777" w:rsidR="0094644B" w:rsidRPr="00F07779" w:rsidRDefault="0094644B" w:rsidP="00FB5086">
            <w:pPr>
              <w:rPr>
                <w:sz w:val="20"/>
                <w:szCs w:val="20"/>
              </w:rPr>
            </w:pPr>
            <w:r w:rsidRPr="00F07779">
              <w:rPr>
                <w:sz w:val="20"/>
                <w:szCs w:val="20"/>
              </w:rPr>
              <w:t xml:space="preserve">OHL 2x110kV No. 101AB TS Belgrade 3 - TPP </w:t>
            </w:r>
            <w:proofErr w:type="spellStart"/>
            <w:r w:rsidRPr="00F07779">
              <w:rPr>
                <w:sz w:val="20"/>
                <w:szCs w:val="20"/>
              </w:rPr>
              <w:t>Kostolac</w:t>
            </w:r>
            <w:proofErr w:type="spellEnd"/>
            <w:r w:rsidRPr="00F07779">
              <w:rPr>
                <w:sz w:val="20"/>
                <w:szCs w:val="20"/>
              </w:rPr>
              <w:t>, reconstruction and adaptation of sections of transmission lines</w:t>
            </w:r>
            <w:r w:rsidRPr="00F07779" w:rsidDel="002C75A1">
              <w:rPr>
                <w:sz w:val="20"/>
                <w:szCs w:val="20"/>
              </w:rPr>
              <w:t xml:space="preserve"> </w:t>
            </w:r>
          </w:p>
        </w:tc>
      </w:tr>
      <w:tr w:rsidR="0094644B" w:rsidRPr="00F07779" w14:paraId="256650E3"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6C6693C5" w14:textId="77777777" w:rsidR="0094644B" w:rsidRPr="00F07779" w:rsidRDefault="0094644B" w:rsidP="00FB5086">
            <w:pPr>
              <w:rPr>
                <w:sz w:val="20"/>
                <w:szCs w:val="20"/>
              </w:rPr>
            </w:pPr>
            <w:r w:rsidRPr="00FA3F57">
              <w:rPr>
                <w:sz w:val="20"/>
                <w:szCs w:val="20"/>
              </w:rPr>
              <w:t>Short description of the investment</w:t>
            </w:r>
          </w:p>
        </w:tc>
        <w:tc>
          <w:tcPr>
            <w:tcW w:w="5667" w:type="dxa"/>
            <w:tcBorders>
              <w:top w:val="single" w:sz="4" w:space="0" w:color="auto"/>
              <w:left w:val="single" w:sz="4" w:space="0" w:color="auto"/>
              <w:bottom w:val="single" w:sz="4" w:space="0" w:color="auto"/>
              <w:right w:val="single" w:sz="4" w:space="0" w:color="auto"/>
            </w:tcBorders>
            <w:hideMark/>
          </w:tcPr>
          <w:p w14:paraId="363FE128" w14:textId="77777777" w:rsidR="0094644B" w:rsidRPr="00F07779" w:rsidRDefault="0094644B" w:rsidP="00FB5086">
            <w:pPr>
              <w:rPr>
                <w:sz w:val="20"/>
                <w:szCs w:val="20"/>
              </w:rPr>
            </w:pPr>
            <w:r w:rsidRPr="00F07779">
              <w:rPr>
                <w:sz w:val="20"/>
                <w:szCs w:val="20"/>
              </w:rPr>
              <w:t>Reconstruction of the existing 56 km long transmission line and adaptation of sections 8 km long. Part of the project has been completed; the remaining work is the rehabilitation with partial reconstruction of section "H" (35.95 km).</w:t>
            </w:r>
          </w:p>
          <w:p w14:paraId="4BAD8749" w14:textId="77777777" w:rsidR="0094644B" w:rsidRPr="00F07779" w:rsidRDefault="0094644B" w:rsidP="00FB5086">
            <w:pPr>
              <w:rPr>
                <w:sz w:val="20"/>
                <w:szCs w:val="20"/>
              </w:rPr>
            </w:pPr>
            <w:r w:rsidRPr="00F07779">
              <w:rPr>
                <w:sz w:val="20"/>
                <w:szCs w:val="20"/>
              </w:rPr>
              <w:t>Expected dynamics of project implementation:</w:t>
            </w:r>
          </w:p>
          <w:p w14:paraId="5B2BC77F" w14:textId="77777777" w:rsidR="0094644B" w:rsidRPr="00F07779" w:rsidRDefault="0094644B" w:rsidP="00FB5086">
            <w:pPr>
              <w:rPr>
                <w:sz w:val="20"/>
                <w:szCs w:val="20"/>
              </w:rPr>
            </w:pPr>
            <w:r w:rsidRPr="00F07779">
              <w:rPr>
                <w:sz w:val="20"/>
                <w:szCs w:val="20"/>
              </w:rPr>
              <w:t>2026. Building permit</w:t>
            </w:r>
          </w:p>
          <w:p w14:paraId="39913405" w14:textId="77777777" w:rsidR="0094644B" w:rsidRPr="00F07779" w:rsidRDefault="0094644B" w:rsidP="00FB5086">
            <w:pPr>
              <w:rPr>
                <w:sz w:val="20"/>
                <w:szCs w:val="20"/>
              </w:rPr>
            </w:pPr>
            <w:r w:rsidRPr="00F07779">
              <w:rPr>
                <w:sz w:val="20"/>
                <w:szCs w:val="20"/>
              </w:rPr>
              <w:t>2027. Construction</w:t>
            </w:r>
          </w:p>
          <w:p w14:paraId="12857857" w14:textId="77777777" w:rsidR="0094644B" w:rsidRPr="00F07779" w:rsidRDefault="0094644B" w:rsidP="00FB5086">
            <w:pPr>
              <w:rPr>
                <w:sz w:val="20"/>
                <w:szCs w:val="20"/>
              </w:rPr>
            </w:pPr>
            <w:r w:rsidRPr="00F07779">
              <w:rPr>
                <w:sz w:val="20"/>
                <w:szCs w:val="20"/>
              </w:rPr>
              <w:t>2028. Construction</w:t>
            </w:r>
          </w:p>
        </w:tc>
      </w:tr>
      <w:tr w:rsidR="0094644B" w:rsidRPr="00F07779" w14:paraId="6742C1A7"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6139DF8B" w14:textId="77777777" w:rsidR="0094644B" w:rsidRPr="00F07779" w:rsidRDefault="0094644B" w:rsidP="00FB5086">
            <w:pPr>
              <w:rPr>
                <w:sz w:val="20"/>
                <w:szCs w:val="20"/>
              </w:rPr>
            </w:pPr>
            <w:r w:rsidRPr="00FA3F57">
              <w:rPr>
                <w:sz w:val="20"/>
                <w:szCs w:val="20"/>
              </w:rPr>
              <w:t>Institutions responsible for the implementation of measures and activities</w:t>
            </w:r>
          </w:p>
        </w:tc>
        <w:tc>
          <w:tcPr>
            <w:tcW w:w="5667" w:type="dxa"/>
            <w:tcBorders>
              <w:top w:val="single" w:sz="4" w:space="0" w:color="auto"/>
              <w:left w:val="single" w:sz="4" w:space="0" w:color="auto"/>
              <w:bottom w:val="single" w:sz="4" w:space="0" w:color="auto"/>
              <w:right w:val="single" w:sz="4" w:space="0" w:color="auto"/>
            </w:tcBorders>
            <w:hideMark/>
          </w:tcPr>
          <w:p w14:paraId="0441B17D" w14:textId="77777777" w:rsidR="0094644B" w:rsidRPr="00F07779" w:rsidRDefault="0094644B" w:rsidP="00FB5086">
            <w:pPr>
              <w:rPr>
                <w:sz w:val="20"/>
                <w:szCs w:val="20"/>
              </w:rPr>
            </w:pPr>
            <w:r w:rsidRPr="00FA3F57">
              <w:rPr>
                <w:sz w:val="20"/>
                <w:szCs w:val="20"/>
              </w:rPr>
              <w:t>EMS JSC Belgrade</w:t>
            </w:r>
          </w:p>
        </w:tc>
      </w:tr>
      <w:tr w:rsidR="0094644B" w:rsidRPr="00F07779" w14:paraId="162D99E7"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070C1B2F" w14:textId="77777777" w:rsidR="0094644B" w:rsidRPr="00F07779" w:rsidRDefault="0094644B" w:rsidP="00FB5086">
            <w:pPr>
              <w:rPr>
                <w:sz w:val="20"/>
                <w:szCs w:val="20"/>
              </w:rPr>
            </w:pPr>
            <w:r w:rsidRPr="00FA3F57">
              <w:rPr>
                <w:sz w:val="20"/>
                <w:szCs w:val="20"/>
              </w:rPr>
              <w:lastRenderedPageBreak/>
              <w:t>Institutions responsible for monitoring implementation and reporting on the realization</w:t>
            </w:r>
          </w:p>
        </w:tc>
        <w:tc>
          <w:tcPr>
            <w:tcW w:w="5667" w:type="dxa"/>
            <w:tcBorders>
              <w:top w:val="single" w:sz="4" w:space="0" w:color="auto"/>
              <w:left w:val="single" w:sz="4" w:space="0" w:color="auto"/>
              <w:bottom w:val="single" w:sz="4" w:space="0" w:color="auto"/>
              <w:right w:val="single" w:sz="4" w:space="0" w:color="auto"/>
            </w:tcBorders>
            <w:hideMark/>
          </w:tcPr>
          <w:p w14:paraId="767B82AF" w14:textId="77777777" w:rsidR="0094644B" w:rsidRPr="00F07779" w:rsidRDefault="0094644B" w:rsidP="00FB5086">
            <w:pPr>
              <w:rPr>
                <w:sz w:val="20"/>
                <w:szCs w:val="20"/>
              </w:rPr>
            </w:pPr>
            <w:r w:rsidRPr="00FA3F57">
              <w:rPr>
                <w:sz w:val="20"/>
                <w:szCs w:val="20"/>
              </w:rPr>
              <w:t>EMS JSC Belgrade</w:t>
            </w:r>
          </w:p>
          <w:p w14:paraId="7B515EA5" w14:textId="77777777" w:rsidR="0094644B" w:rsidRPr="00FA3F57" w:rsidRDefault="0094644B" w:rsidP="00FB5086">
            <w:pPr>
              <w:rPr>
                <w:sz w:val="20"/>
                <w:szCs w:val="20"/>
              </w:rPr>
            </w:pPr>
            <w:r w:rsidRPr="00FA3F57">
              <w:rPr>
                <w:sz w:val="20"/>
                <w:szCs w:val="20"/>
              </w:rPr>
              <w:t>Republic Commission for Energy Networks</w:t>
            </w:r>
          </w:p>
          <w:p w14:paraId="7BA8CF82" w14:textId="77777777" w:rsidR="0094644B" w:rsidRPr="00F07779" w:rsidRDefault="0094644B" w:rsidP="00FB5086">
            <w:pPr>
              <w:rPr>
                <w:sz w:val="20"/>
                <w:szCs w:val="20"/>
              </w:rPr>
            </w:pPr>
            <w:r w:rsidRPr="00F07779">
              <w:rPr>
                <w:sz w:val="20"/>
                <w:szCs w:val="20"/>
              </w:rPr>
              <w:t>Ministry of Mining and Energy</w:t>
            </w:r>
          </w:p>
        </w:tc>
      </w:tr>
      <w:tr w:rsidR="0094644B" w:rsidRPr="00F07779" w14:paraId="489A2615"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6E75E724" w14:textId="77777777" w:rsidR="0094644B" w:rsidRPr="00F07779" w:rsidRDefault="0094644B" w:rsidP="00FB5086">
            <w:pPr>
              <w:rPr>
                <w:sz w:val="20"/>
                <w:szCs w:val="20"/>
              </w:rPr>
            </w:pPr>
            <w:r w:rsidRPr="00FA3F57">
              <w:rPr>
                <w:sz w:val="20"/>
                <w:szCs w:val="20"/>
              </w:rPr>
              <w:t>Year of project funding start</w:t>
            </w:r>
          </w:p>
        </w:tc>
        <w:tc>
          <w:tcPr>
            <w:tcW w:w="5667" w:type="dxa"/>
            <w:tcBorders>
              <w:top w:val="single" w:sz="4" w:space="0" w:color="auto"/>
              <w:left w:val="single" w:sz="4" w:space="0" w:color="auto"/>
              <w:bottom w:val="single" w:sz="4" w:space="0" w:color="auto"/>
              <w:right w:val="single" w:sz="4" w:space="0" w:color="auto"/>
            </w:tcBorders>
            <w:hideMark/>
          </w:tcPr>
          <w:p w14:paraId="3C314112" w14:textId="77777777" w:rsidR="0094644B" w:rsidRPr="00F07779" w:rsidRDefault="0094644B" w:rsidP="00FB5086">
            <w:pPr>
              <w:rPr>
                <w:sz w:val="20"/>
                <w:szCs w:val="20"/>
              </w:rPr>
            </w:pPr>
            <w:r w:rsidRPr="00F07779">
              <w:rPr>
                <w:sz w:val="20"/>
                <w:szCs w:val="20"/>
              </w:rPr>
              <w:t xml:space="preserve">2026. </w:t>
            </w:r>
          </w:p>
        </w:tc>
      </w:tr>
      <w:tr w:rsidR="0094644B" w:rsidRPr="00F07779" w14:paraId="47590993"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5CB3C599" w14:textId="77777777" w:rsidR="0094644B" w:rsidRPr="00F07779" w:rsidRDefault="0094644B" w:rsidP="00FB5086">
            <w:pPr>
              <w:rPr>
                <w:sz w:val="20"/>
                <w:szCs w:val="20"/>
              </w:rPr>
            </w:pPr>
            <w:r w:rsidRPr="00FA3F57">
              <w:rPr>
                <w:sz w:val="20"/>
                <w:szCs w:val="20"/>
              </w:rPr>
              <w:t>Year of completion of project funding</w:t>
            </w:r>
          </w:p>
        </w:tc>
        <w:tc>
          <w:tcPr>
            <w:tcW w:w="5667" w:type="dxa"/>
            <w:tcBorders>
              <w:top w:val="single" w:sz="4" w:space="0" w:color="auto"/>
              <w:left w:val="single" w:sz="4" w:space="0" w:color="auto"/>
              <w:bottom w:val="single" w:sz="4" w:space="0" w:color="auto"/>
              <w:right w:val="single" w:sz="4" w:space="0" w:color="auto"/>
            </w:tcBorders>
            <w:hideMark/>
          </w:tcPr>
          <w:p w14:paraId="77B073D7" w14:textId="77777777" w:rsidR="0094644B" w:rsidRPr="00F07779" w:rsidRDefault="0094644B" w:rsidP="00FB5086">
            <w:pPr>
              <w:rPr>
                <w:sz w:val="20"/>
                <w:szCs w:val="20"/>
              </w:rPr>
            </w:pPr>
            <w:r w:rsidRPr="00F07779">
              <w:rPr>
                <w:sz w:val="20"/>
                <w:szCs w:val="20"/>
              </w:rPr>
              <w:t>2028.</w:t>
            </w:r>
          </w:p>
        </w:tc>
      </w:tr>
      <w:tr w:rsidR="0094644B" w:rsidRPr="00F07779" w14:paraId="2853DBED"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3DD119A7" w14:textId="77777777" w:rsidR="0094644B" w:rsidRPr="00F07779" w:rsidRDefault="0094644B" w:rsidP="00FB5086">
            <w:pPr>
              <w:rPr>
                <w:sz w:val="20"/>
                <w:szCs w:val="20"/>
              </w:rPr>
            </w:pPr>
            <w:r w:rsidRPr="00FA3F57">
              <w:rPr>
                <w:sz w:val="20"/>
                <w:szCs w:val="20"/>
              </w:rPr>
              <w:t>Total project value</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19D1FFED" w14:textId="77777777" w:rsidR="0094644B" w:rsidRPr="00F07779" w:rsidRDefault="0094644B" w:rsidP="00FB5086">
            <w:pPr>
              <w:rPr>
                <w:sz w:val="20"/>
                <w:szCs w:val="20"/>
              </w:rPr>
            </w:pPr>
            <w:r w:rsidRPr="00F07779">
              <w:rPr>
                <w:sz w:val="20"/>
                <w:szCs w:val="20"/>
              </w:rPr>
              <w:t>1,887,725 (16.1 million EUR)</w:t>
            </w:r>
          </w:p>
        </w:tc>
      </w:tr>
      <w:tr w:rsidR="0094644B" w:rsidRPr="00F07779" w14:paraId="6919FC1E"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3428C8BF" w14:textId="77777777" w:rsidR="0094644B" w:rsidRPr="00F07779" w:rsidRDefault="0094644B" w:rsidP="00FB5086">
            <w:pPr>
              <w:rPr>
                <w:sz w:val="20"/>
                <w:szCs w:val="20"/>
              </w:rPr>
            </w:pPr>
            <w:r w:rsidRPr="00FA3F57">
              <w:rPr>
                <w:sz w:val="20"/>
                <w:szCs w:val="20"/>
              </w:rPr>
              <w:t>Planned investments for 2026.</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1BAA2354" w14:textId="77777777" w:rsidR="0094644B" w:rsidRPr="00F07779" w:rsidRDefault="0094644B" w:rsidP="00FB5086">
            <w:pPr>
              <w:rPr>
                <w:sz w:val="20"/>
                <w:szCs w:val="20"/>
              </w:rPr>
            </w:pPr>
            <w:r w:rsidRPr="00F07779">
              <w:rPr>
                <w:sz w:val="20"/>
                <w:szCs w:val="20"/>
              </w:rPr>
              <w:t>461,269 (own funds of EMS JSC)</w:t>
            </w:r>
          </w:p>
        </w:tc>
      </w:tr>
      <w:tr w:rsidR="0094644B" w:rsidRPr="00F07779" w14:paraId="176F5362"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24EA0A5A" w14:textId="77777777" w:rsidR="0094644B" w:rsidRPr="00F07779" w:rsidRDefault="0094644B" w:rsidP="00FB5086">
            <w:pPr>
              <w:rPr>
                <w:sz w:val="20"/>
                <w:szCs w:val="20"/>
              </w:rPr>
            </w:pPr>
            <w:r w:rsidRPr="00FA3F57">
              <w:rPr>
                <w:sz w:val="20"/>
                <w:szCs w:val="20"/>
              </w:rPr>
              <w:t>Planned investments for 2027.</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419BF769" w14:textId="77777777" w:rsidR="0094644B" w:rsidRPr="00F07779" w:rsidRDefault="0094644B" w:rsidP="00FB5086">
            <w:pPr>
              <w:rPr>
                <w:sz w:val="20"/>
                <w:szCs w:val="20"/>
              </w:rPr>
            </w:pPr>
            <w:r w:rsidRPr="00F07779">
              <w:rPr>
                <w:sz w:val="20"/>
                <w:szCs w:val="20"/>
              </w:rPr>
              <w:t>596,186 (own funds of EMS JSC)</w:t>
            </w:r>
          </w:p>
        </w:tc>
      </w:tr>
      <w:tr w:rsidR="0094644B" w:rsidRPr="00F07779" w14:paraId="3BDCB703"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24DEA115" w14:textId="77777777" w:rsidR="0094644B" w:rsidRPr="00F07779" w:rsidRDefault="0094644B" w:rsidP="00FB5086">
            <w:pPr>
              <w:rPr>
                <w:sz w:val="20"/>
                <w:szCs w:val="20"/>
              </w:rPr>
            </w:pPr>
            <w:r w:rsidRPr="00FA3F57">
              <w:rPr>
                <w:sz w:val="20"/>
                <w:szCs w:val="20"/>
              </w:rPr>
              <w:t>Planned investments for 2028.</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0BD66B3D" w14:textId="77777777" w:rsidR="0094644B" w:rsidRPr="00F07779" w:rsidRDefault="0094644B" w:rsidP="00FB5086">
            <w:pPr>
              <w:rPr>
                <w:sz w:val="20"/>
                <w:szCs w:val="20"/>
              </w:rPr>
            </w:pPr>
            <w:r w:rsidRPr="00F07779">
              <w:rPr>
                <w:sz w:val="20"/>
                <w:szCs w:val="20"/>
              </w:rPr>
              <w:t>267,153 (own funds of EMS JSC)</w:t>
            </w:r>
          </w:p>
        </w:tc>
      </w:tr>
    </w:tbl>
    <w:p w14:paraId="1D65BC3E" w14:textId="77777777" w:rsidR="0094644B" w:rsidRPr="00F07779" w:rsidRDefault="0094644B" w:rsidP="0094644B">
      <w:pPr>
        <w:tabs>
          <w:tab w:val="left" w:pos="1276"/>
          <w:tab w:val="left" w:pos="1560"/>
        </w:tabs>
        <w:ind w:left="1440" w:hanging="1440"/>
      </w:pPr>
    </w:p>
    <w:tbl>
      <w:tblPr>
        <w:tblStyle w:val="TableGrid"/>
        <w:tblW w:w="0" w:type="auto"/>
        <w:tblLook w:val="04A0" w:firstRow="1" w:lastRow="0" w:firstColumn="1" w:lastColumn="0" w:noHBand="0" w:noVBand="1"/>
      </w:tblPr>
      <w:tblGrid>
        <w:gridCol w:w="2973"/>
        <w:gridCol w:w="5667"/>
      </w:tblGrid>
      <w:tr w:rsidR="0094644B" w:rsidRPr="00F07779" w14:paraId="5C05339E"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2F35B4E" w14:textId="77777777" w:rsidR="0094644B" w:rsidRPr="00F07779" w:rsidRDefault="0094644B" w:rsidP="00FB5086">
            <w:pPr>
              <w:rPr>
                <w:sz w:val="20"/>
                <w:szCs w:val="20"/>
              </w:rPr>
            </w:pPr>
            <w:r w:rsidRPr="00F07779">
              <w:rPr>
                <w:sz w:val="20"/>
                <w:szCs w:val="20"/>
              </w:rPr>
              <w:t>Activity EL1.2</w:t>
            </w:r>
          </w:p>
        </w:tc>
        <w:tc>
          <w:tcPr>
            <w:tcW w:w="566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D02B5CD" w14:textId="77777777" w:rsidR="0094644B" w:rsidRPr="00F07779" w:rsidRDefault="0094644B" w:rsidP="00FB5086">
            <w:pPr>
              <w:rPr>
                <w:sz w:val="20"/>
                <w:szCs w:val="20"/>
              </w:rPr>
            </w:pPr>
            <w:r w:rsidRPr="00F07779">
              <w:rPr>
                <w:sz w:val="20"/>
                <w:szCs w:val="20"/>
              </w:rPr>
              <w:t>Investment projects focused on the reconstruction and construction of the transmission network</w:t>
            </w:r>
          </w:p>
        </w:tc>
      </w:tr>
      <w:tr w:rsidR="0094644B" w:rsidRPr="00F07779" w14:paraId="4335D664"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4E9A0C70" w14:textId="77777777" w:rsidR="0094644B" w:rsidRPr="00F07779" w:rsidRDefault="0094644B" w:rsidP="00FB5086">
            <w:pPr>
              <w:rPr>
                <w:sz w:val="20"/>
                <w:szCs w:val="20"/>
              </w:rPr>
            </w:pPr>
            <w:r w:rsidRPr="00FA3F57">
              <w:rPr>
                <w:sz w:val="20"/>
                <w:szCs w:val="20"/>
              </w:rPr>
              <w:t>Name of the project</w:t>
            </w:r>
          </w:p>
        </w:tc>
        <w:tc>
          <w:tcPr>
            <w:tcW w:w="5667"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06DC0EF1" w14:textId="77777777" w:rsidR="0094644B" w:rsidRPr="00F07779" w:rsidRDefault="0094644B" w:rsidP="00FB5086">
            <w:pPr>
              <w:rPr>
                <w:sz w:val="20"/>
                <w:szCs w:val="20"/>
              </w:rPr>
            </w:pPr>
            <w:r w:rsidRPr="00F07779">
              <w:rPr>
                <w:sz w:val="20"/>
                <w:szCs w:val="20"/>
              </w:rPr>
              <w:t xml:space="preserve">Reconstruction of the OHL No. 121/2/3/4 (direction TS Belgrade 10 – TS TENT </w:t>
            </w:r>
            <w:proofErr w:type="spellStart"/>
            <w:proofErr w:type="gramStart"/>
            <w:r w:rsidRPr="00F07779">
              <w:rPr>
                <w:sz w:val="20"/>
                <w:szCs w:val="20"/>
              </w:rPr>
              <w:t>A</w:t>
            </w:r>
            <w:proofErr w:type="spellEnd"/>
            <w:proofErr w:type="gramEnd"/>
            <w:r w:rsidRPr="00F07779">
              <w:rPr>
                <w:sz w:val="20"/>
                <w:szCs w:val="20"/>
              </w:rPr>
              <w:t xml:space="preserve"> Auxiliary consumption – EVP </w:t>
            </w:r>
            <w:proofErr w:type="spellStart"/>
            <w:r w:rsidRPr="00F07779">
              <w:rPr>
                <w:sz w:val="20"/>
                <w:szCs w:val="20"/>
              </w:rPr>
              <w:t>Brgule</w:t>
            </w:r>
            <w:proofErr w:type="spellEnd"/>
            <w:r w:rsidRPr="00F07779">
              <w:rPr>
                <w:sz w:val="20"/>
                <w:szCs w:val="20"/>
              </w:rPr>
              <w:t xml:space="preserve"> – TE </w:t>
            </w:r>
            <w:proofErr w:type="spellStart"/>
            <w:r w:rsidRPr="00F07779">
              <w:rPr>
                <w:sz w:val="20"/>
                <w:szCs w:val="20"/>
              </w:rPr>
              <w:t>Kolubara</w:t>
            </w:r>
            <w:proofErr w:type="spellEnd"/>
            <w:r w:rsidRPr="00F07779">
              <w:rPr>
                <w:sz w:val="20"/>
                <w:szCs w:val="20"/>
              </w:rPr>
              <w:t xml:space="preserve"> A) </w:t>
            </w:r>
          </w:p>
        </w:tc>
      </w:tr>
      <w:tr w:rsidR="0094644B" w:rsidRPr="00F07779" w14:paraId="254FA9BA"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36EA5EE" w14:textId="77777777" w:rsidR="0094644B" w:rsidRPr="00F07779" w:rsidRDefault="0094644B" w:rsidP="00FB5086">
            <w:pPr>
              <w:rPr>
                <w:sz w:val="20"/>
                <w:szCs w:val="20"/>
              </w:rPr>
            </w:pPr>
            <w:r w:rsidRPr="00FA3F57">
              <w:rPr>
                <w:sz w:val="20"/>
                <w:szCs w:val="20"/>
              </w:rPr>
              <w:t xml:space="preserve">Name of the </w:t>
            </w:r>
            <w:r w:rsidRPr="00F07779">
              <w:rPr>
                <w:sz w:val="20"/>
                <w:szCs w:val="20"/>
              </w:rPr>
              <w:t>investment</w:t>
            </w:r>
          </w:p>
        </w:tc>
        <w:tc>
          <w:tcPr>
            <w:tcW w:w="566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6E048A5" w14:textId="77777777" w:rsidR="0094644B" w:rsidRPr="00F07779" w:rsidRDefault="0094644B" w:rsidP="00FB5086">
            <w:pPr>
              <w:rPr>
                <w:sz w:val="20"/>
                <w:szCs w:val="20"/>
              </w:rPr>
            </w:pPr>
            <w:r w:rsidRPr="00F07779">
              <w:rPr>
                <w:sz w:val="20"/>
                <w:szCs w:val="20"/>
              </w:rPr>
              <w:t xml:space="preserve">OHL No. 121/2/3/4 (direction TS Belgrade 10 – TS TENT </w:t>
            </w:r>
            <w:proofErr w:type="spellStart"/>
            <w:proofErr w:type="gramStart"/>
            <w:r w:rsidRPr="00F07779">
              <w:rPr>
                <w:sz w:val="20"/>
                <w:szCs w:val="20"/>
              </w:rPr>
              <w:t>A</w:t>
            </w:r>
            <w:proofErr w:type="spellEnd"/>
            <w:proofErr w:type="gramEnd"/>
            <w:r w:rsidRPr="00F07779">
              <w:rPr>
                <w:sz w:val="20"/>
                <w:szCs w:val="20"/>
              </w:rPr>
              <w:t xml:space="preserve"> Auxiliary consumption – EVP </w:t>
            </w:r>
            <w:proofErr w:type="spellStart"/>
            <w:r w:rsidRPr="00F07779">
              <w:rPr>
                <w:sz w:val="20"/>
                <w:szCs w:val="20"/>
              </w:rPr>
              <w:t>Brgule</w:t>
            </w:r>
            <w:proofErr w:type="spellEnd"/>
            <w:r w:rsidRPr="00F07779">
              <w:rPr>
                <w:sz w:val="20"/>
                <w:szCs w:val="20"/>
              </w:rPr>
              <w:t xml:space="preserve"> – TE </w:t>
            </w:r>
            <w:proofErr w:type="spellStart"/>
            <w:r w:rsidRPr="00F07779">
              <w:rPr>
                <w:sz w:val="20"/>
                <w:szCs w:val="20"/>
              </w:rPr>
              <w:t>Kolubara</w:t>
            </w:r>
            <w:proofErr w:type="spellEnd"/>
            <w:r w:rsidRPr="00F07779">
              <w:rPr>
                <w:sz w:val="20"/>
                <w:szCs w:val="20"/>
              </w:rPr>
              <w:t xml:space="preserve"> A), reconstruction</w:t>
            </w:r>
          </w:p>
        </w:tc>
      </w:tr>
      <w:tr w:rsidR="0094644B" w:rsidRPr="00F07779" w14:paraId="46AB8258"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7C2EF87E" w14:textId="77777777" w:rsidR="0094644B" w:rsidRPr="00F07779" w:rsidRDefault="0094644B" w:rsidP="00FB5086">
            <w:pPr>
              <w:rPr>
                <w:sz w:val="20"/>
                <w:szCs w:val="20"/>
              </w:rPr>
            </w:pPr>
            <w:r w:rsidRPr="00FA3F57">
              <w:rPr>
                <w:sz w:val="20"/>
                <w:szCs w:val="20"/>
              </w:rPr>
              <w:t>Short description of the investment</w:t>
            </w:r>
          </w:p>
        </w:tc>
        <w:tc>
          <w:tcPr>
            <w:tcW w:w="5667" w:type="dxa"/>
            <w:tcBorders>
              <w:top w:val="single" w:sz="4" w:space="0" w:color="auto"/>
              <w:left w:val="single" w:sz="4" w:space="0" w:color="auto"/>
              <w:bottom w:val="single" w:sz="4" w:space="0" w:color="auto"/>
              <w:right w:val="single" w:sz="4" w:space="0" w:color="auto"/>
            </w:tcBorders>
            <w:hideMark/>
          </w:tcPr>
          <w:p w14:paraId="30FFF542" w14:textId="77777777" w:rsidR="0094644B" w:rsidRPr="00F07779" w:rsidRDefault="0094644B" w:rsidP="00FB5086">
            <w:pPr>
              <w:rPr>
                <w:sz w:val="20"/>
                <w:szCs w:val="20"/>
              </w:rPr>
            </w:pPr>
            <w:r w:rsidRPr="00F07779">
              <w:rPr>
                <w:sz w:val="20"/>
                <w:szCs w:val="20"/>
              </w:rPr>
              <w:t>Reconstruction of the transmission line along this route is planned, including the installation of OPGW, a special conductor equivalent to Al/Fe conductors with a cross-section of 240/40 mm², and the replacement of insulators and associated connecting and suspension equipment.</w:t>
            </w:r>
          </w:p>
          <w:p w14:paraId="6670A5A3" w14:textId="77777777" w:rsidR="0094644B" w:rsidRPr="00F07779" w:rsidRDefault="0094644B" w:rsidP="00FB5086">
            <w:pPr>
              <w:rPr>
                <w:sz w:val="20"/>
                <w:szCs w:val="20"/>
              </w:rPr>
            </w:pPr>
            <w:r w:rsidRPr="00F07779">
              <w:rPr>
                <w:sz w:val="20"/>
                <w:szCs w:val="20"/>
              </w:rPr>
              <w:t>Expected dynamics of project implementation:</w:t>
            </w:r>
          </w:p>
          <w:p w14:paraId="0A8F550E" w14:textId="77777777" w:rsidR="0094644B" w:rsidRPr="00F07779" w:rsidRDefault="0094644B" w:rsidP="00FB5086">
            <w:pPr>
              <w:rPr>
                <w:sz w:val="20"/>
                <w:szCs w:val="20"/>
              </w:rPr>
            </w:pPr>
            <w:r w:rsidRPr="00F07779">
              <w:rPr>
                <w:sz w:val="20"/>
                <w:szCs w:val="20"/>
              </w:rPr>
              <w:t>2026. Building permit</w:t>
            </w:r>
          </w:p>
          <w:p w14:paraId="37BEB0B6" w14:textId="77777777" w:rsidR="0094644B" w:rsidRPr="00F07779" w:rsidRDefault="0094644B" w:rsidP="00FB5086">
            <w:pPr>
              <w:rPr>
                <w:sz w:val="20"/>
                <w:szCs w:val="20"/>
              </w:rPr>
            </w:pPr>
            <w:r w:rsidRPr="00F07779">
              <w:rPr>
                <w:sz w:val="20"/>
                <w:szCs w:val="20"/>
              </w:rPr>
              <w:t>2027. Construction</w:t>
            </w:r>
          </w:p>
          <w:p w14:paraId="298DF98E" w14:textId="77777777" w:rsidR="0094644B" w:rsidRPr="00F07779" w:rsidRDefault="0094644B" w:rsidP="00FB5086">
            <w:pPr>
              <w:rPr>
                <w:sz w:val="20"/>
                <w:szCs w:val="20"/>
              </w:rPr>
            </w:pPr>
            <w:r w:rsidRPr="00F07779">
              <w:rPr>
                <w:sz w:val="20"/>
                <w:szCs w:val="20"/>
              </w:rPr>
              <w:t>2028. Construction</w:t>
            </w:r>
          </w:p>
        </w:tc>
      </w:tr>
      <w:tr w:rsidR="0094644B" w:rsidRPr="00F07779" w14:paraId="68FF5D63"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3CB447EE" w14:textId="77777777" w:rsidR="0094644B" w:rsidRPr="00F07779" w:rsidRDefault="0094644B" w:rsidP="00FB5086">
            <w:pPr>
              <w:rPr>
                <w:sz w:val="20"/>
                <w:szCs w:val="20"/>
              </w:rPr>
            </w:pPr>
            <w:r w:rsidRPr="00FA3F57">
              <w:rPr>
                <w:sz w:val="20"/>
                <w:szCs w:val="20"/>
              </w:rPr>
              <w:t>Institutions responsible for the implementation of measures and activities</w:t>
            </w:r>
          </w:p>
        </w:tc>
        <w:tc>
          <w:tcPr>
            <w:tcW w:w="5667" w:type="dxa"/>
            <w:tcBorders>
              <w:top w:val="single" w:sz="4" w:space="0" w:color="auto"/>
              <w:left w:val="single" w:sz="4" w:space="0" w:color="auto"/>
              <w:bottom w:val="single" w:sz="4" w:space="0" w:color="auto"/>
              <w:right w:val="single" w:sz="4" w:space="0" w:color="auto"/>
            </w:tcBorders>
            <w:hideMark/>
          </w:tcPr>
          <w:p w14:paraId="6B3846C1" w14:textId="77777777" w:rsidR="0094644B" w:rsidRPr="00F07779" w:rsidRDefault="0094644B" w:rsidP="00FB5086">
            <w:pPr>
              <w:rPr>
                <w:sz w:val="20"/>
                <w:szCs w:val="20"/>
              </w:rPr>
            </w:pPr>
            <w:r w:rsidRPr="00FA3F57">
              <w:rPr>
                <w:sz w:val="20"/>
                <w:szCs w:val="20"/>
              </w:rPr>
              <w:t>EMS JSC Belgrade</w:t>
            </w:r>
          </w:p>
        </w:tc>
      </w:tr>
      <w:tr w:rsidR="0094644B" w:rsidRPr="00F07779" w14:paraId="30862008"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27AE81CC" w14:textId="77777777" w:rsidR="0094644B" w:rsidRPr="00F07779" w:rsidRDefault="0094644B" w:rsidP="00FB5086">
            <w:pPr>
              <w:rPr>
                <w:sz w:val="20"/>
                <w:szCs w:val="20"/>
              </w:rPr>
            </w:pPr>
            <w:r w:rsidRPr="00FA3F57">
              <w:rPr>
                <w:sz w:val="20"/>
                <w:szCs w:val="20"/>
              </w:rPr>
              <w:t>Institutions responsible for monitoring implementation and reporting on the realization</w:t>
            </w:r>
          </w:p>
        </w:tc>
        <w:tc>
          <w:tcPr>
            <w:tcW w:w="5667" w:type="dxa"/>
            <w:tcBorders>
              <w:top w:val="single" w:sz="4" w:space="0" w:color="auto"/>
              <w:left w:val="single" w:sz="4" w:space="0" w:color="auto"/>
              <w:bottom w:val="single" w:sz="4" w:space="0" w:color="auto"/>
              <w:right w:val="single" w:sz="4" w:space="0" w:color="auto"/>
            </w:tcBorders>
            <w:hideMark/>
          </w:tcPr>
          <w:p w14:paraId="6CB638FC" w14:textId="77777777" w:rsidR="0094644B" w:rsidRPr="00FA3F57" w:rsidRDefault="0094644B" w:rsidP="00FB5086">
            <w:pPr>
              <w:rPr>
                <w:sz w:val="20"/>
                <w:szCs w:val="20"/>
              </w:rPr>
            </w:pPr>
            <w:r w:rsidRPr="00FA3F57">
              <w:rPr>
                <w:sz w:val="20"/>
                <w:szCs w:val="20"/>
              </w:rPr>
              <w:t xml:space="preserve">EMS JSC </w:t>
            </w:r>
            <w:proofErr w:type="spellStart"/>
            <w:r w:rsidRPr="00FA3F57">
              <w:rPr>
                <w:sz w:val="20"/>
                <w:szCs w:val="20"/>
              </w:rPr>
              <w:t>BelgradeRepublic</w:t>
            </w:r>
            <w:proofErr w:type="spellEnd"/>
            <w:r w:rsidRPr="00FA3F57">
              <w:rPr>
                <w:sz w:val="20"/>
                <w:szCs w:val="20"/>
              </w:rPr>
              <w:t xml:space="preserve"> Commission for Energy Networks</w:t>
            </w:r>
          </w:p>
          <w:p w14:paraId="25B51F7F" w14:textId="77777777" w:rsidR="0094644B" w:rsidRPr="00F07779" w:rsidRDefault="0094644B" w:rsidP="00FB5086">
            <w:pPr>
              <w:rPr>
                <w:sz w:val="20"/>
                <w:szCs w:val="20"/>
              </w:rPr>
            </w:pPr>
            <w:r w:rsidRPr="00F07779">
              <w:rPr>
                <w:sz w:val="20"/>
                <w:szCs w:val="20"/>
              </w:rPr>
              <w:t>Ministry of Mining and Energy</w:t>
            </w:r>
          </w:p>
        </w:tc>
      </w:tr>
      <w:tr w:rsidR="0094644B" w:rsidRPr="00F07779" w14:paraId="6E109719"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2487A508" w14:textId="77777777" w:rsidR="0094644B" w:rsidRPr="00F07779" w:rsidRDefault="0094644B" w:rsidP="00FB5086">
            <w:pPr>
              <w:rPr>
                <w:sz w:val="20"/>
                <w:szCs w:val="20"/>
              </w:rPr>
            </w:pPr>
            <w:r w:rsidRPr="00FA3F57">
              <w:rPr>
                <w:sz w:val="20"/>
                <w:szCs w:val="20"/>
              </w:rPr>
              <w:t>Year of project funding start</w:t>
            </w:r>
          </w:p>
        </w:tc>
        <w:tc>
          <w:tcPr>
            <w:tcW w:w="5667" w:type="dxa"/>
            <w:tcBorders>
              <w:top w:val="single" w:sz="4" w:space="0" w:color="auto"/>
              <w:left w:val="single" w:sz="4" w:space="0" w:color="auto"/>
              <w:bottom w:val="single" w:sz="4" w:space="0" w:color="auto"/>
              <w:right w:val="single" w:sz="4" w:space="0" w:color="auto"/>
            </w:tcBorders>
            <w:hideMark/>
          </w:tcPr>
          <w:p w14:paraId="02D2DA62" w14:textId="77777777" w:rsidR="0094644B" w:rsidRPr="00F07779" w:rsidRDefault="0094644B" w:rsidP="00FB5086">
            <w:pPr>
              <w:rPr>
                <w:sz w:val="20"/>
                <w:szCs w:val="20"/>
              </w:rPr>
            </w:pPr>
            <w:r w:rsidRPr="00F07779">
              <w:rPr>
                <w:sz w:val="20"/>
                <w:szCs w:val="20"/>
              </w:rPr>
              <w:t xml:space="preserve">2023. </w:t>
            </w:r>
          </w:p>
        </w:tc>
      </w:tr>
      <w:tr w:rsidR="0094644B" w:rsidRPr="00F07779" w14:paraId="1CF2B2C4"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0D818E74" w14:textId="77777777" w:rsidR="0094644B" w:rsidRPr="00F07779" w:rsidRDefault="0094644B" w:rsidP="00FB5086">
            <w:pPr>
              <w:rPr>
                <w:sz w:val="20"/>
                <w:szCs w:val="20"/>
              </w:rPr>
            </w:pPr>
            <w:r w:rsidRPr="00FA3F57">
              <w:rPr>
                <w:sz w:val="20"/>
                <w:szCs w:val="20"/>
              </w:rPr>
              <w:t>Year of completion of project funding</w:t>
            </w:r>
          </w:p>
        </w:tc>
        <w:tc>
          <w:tcPr>
            <w:tcW w:w="5667" w:type="dxa"/>
            <w:tcBorders>
              <w:top w:val="single" w:sz="4" w:space="0" w:color="auto"/>
              <w:left w:val="single" w:sz="4" w:space="0" w:color="auto"/>
              <w:bottom w:val="single" w:sz="4" w:space="0" w:color="auto"/>
              <w:right w:val="single" w:sz="4" w:space="0" w:color="auto"/>
            </w:tcBorders>
            <w:hideMark/>
          </w:tcPr>
          <w:p w14:paraId="3E429FA1" w14:textId="77777777" w:rsidR="0094644B" w:rsidRPr="00F07779" w:rsidRDefault="0094644B" w:rsidP="00FB5086">
            <w:pPr>
              <w:rPr>
                <w:sz w:val="20"/>
                <w:szCs w:val="20"/>
              </w:rPr>
            </w:pPr>
            <w:r w:rsidRPr="00F07779">
              <w:rPr>
                <w:sz w:val="20"/>
                <w:szCs w:val="20"/>
              </w:rPr>
              <w:t>2028.</w:t>
            </w:r>
          </w:p>
        </w:tc>
      </w:tr>
      <w:tr w:rsidR="0094644B" w:rsidRPr="00F07779" w14:paraId="360861A7"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25C0C36D" w14:textId="77777777" w:rsidR="0094644B" w:rsidRPr="00F07779" w:rsidRDefault="0094644B" w:rsidP="00FB5086">
            <w:pPr>
              <w:rPr>
                <w:sz w:val="20"/>
                <w:szCs w:val="20"/>
              </w:rPr>
            </w:pPr>
            <w:r w:rsidRPr="00FA3F57">
              <w:rPr>
                <w:sz w:val="20"/>
                <w:szCs w:val="20"/>
              </w:rPr>
              <w:t>Total project value</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6F15E53E" w14:textId="77777777" w:rsidR="0094644B" w:rsidRPr="00F07779" w:rsidRDefault="0094644B" w:rsidP="00FB5086">
            <w:pPr>
              <w:rPr>
                <w:sz w:val="20"/>
                <w:szCs w:val="20"/>
              </w:rPr>
            </w:pPr>
            <w:r w:rsidRPr="00F07779">
              <w:rPr>
                <w:sz w:val="20"/>
                <w:szCs w:val="20"/>
              </w:rPr>
              <w:t>867,650 (7.4 million EUR)</w:t>
            </w:r>
          </w:p>
        </w:tc>
      </w:tr>
      <w:tr w:rsidR="0094644B" w:rsidRPr="00F07779" w14:paraId="29D859B6"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7A970D52" w14:textId="77777777" w:rsidR="0094644B" w:rsidRPr="00F07779" w:rsidRDefault="0094644B" w:rsidP="00FB5086">
            <w:pPr>
              <w:rPr>
                <w:sz w:val="20"/>
                <w:szCs w:val="20"/>
              </w:rPr>
            </w:pPr>
            <w:r w:rsidRPr="00FA3F57">
              <w:rPr>
                <w:sz w:val="20"/>
                <w:szCs w:val="20"/>
              </w:rPr>
              <w:t>Planned investments for 2026.</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0FE6F1D6" w14:textId="77777777" w:rsidR="0094644B" w:rsidRPr="00F07779" w:rsidRDefault="0094644B" w:rsidP="00FB5086">
            <w:pPr>
              <w:rPr>
                <w:sz w:val="20"/>
                <w:szCs w:val="20"/>
              </w:rPr>
            </w:pPr>
            <w:r w:rsidRPr="00F07779">
              <w:rPr>
                <w:sz w:val="20"/>
                <w:szCs w:val="20"/>
              </w:rPr>
              <w:t>19,972 (own funds of EMS JSC)</w:t>
            </w:r>
          </w:p>
        </w:tc>
      </w:tr>
      <w:tr w:rsidR="0094644B" w:rsidRPr="00F07779" w14:paraId="5599EB0B"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6BF67315" w14:textId="77777777" w:rsidR="0094644B" w:rsidRPr="00F07779" w:rsidRDefault="0094644B" w:rsidP="00FB5086">
            <w:pPr>
              <w:rPr>
                <w:sz w:val="20"/>
                <w:szCs w:val="20"/>
              </w:rPr>
            </w:pPr>
            <w:r w:rsidRPr="00FA3F57">
              <w:rPr>
                <w:sz w:val="20"/>
                <w:szCs w:val="20"/>
              </w:rPr>
              <w:t>Planned investments for 2027.</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68A9CFE8" w14:textId="77777777" w:rsidR="0094644B" w:rsidRPr="00F07779" w:rsidRDefault="0094644B" w:rsidP="00FB5086">
            <w:pPr>
              <w:rPr>
                <w:sz w:val="20"/>
                <w:szCs w:val="20"/>
              </w:rPr>
            </w:pPr>
            <w:r w:rsidRPr="00F07779">
              <w:rPr>
                <w:sz w:val="20"/>
                <w:szCs w:val="20"/>
              </w:rPr>
              <w:t>816,360 (own funds of EMS JSC)</w:t>
            </w:r>
          </w:p>
        </w:tc>
      </w:tr>
      <w:tr w:rsidR="0094644B" w:rsidRPr="00F07779" w14:paraId="733FEF5C"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0CDAF731" w14:textId="77777777" w:rsidR="0094644B" w:rsidRPr="00F07779" w:rsidRDefault="0094644B" w:rsidP="00FB5086">
            <w:pPr>
              <w:rPr>
                <w:sz w:val="20"/>
                <w:szCs w:val="20"/>
              </w:rPr>
            </w:pPr>
            <w:r w:rsidRPr="00FA3F57">
              <w:rPr>
                <w:sz w:val="20"/>
                <w:szCs w:val="20"/>
              </w:rPr>
              <w:t>Planned investments for 2028.</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4749BF62" w14:textId="77777777" w:rsidR="0094644B" w:rsidRPr="00F07779" w:rsidRDefault="0094644B" w:rsidP="00FB5086">
            <w:pPr>
              <w:rPr>
                <w:sz w:val="20"/>
                <w:szCs w:val="20"/>
              </w:rPr>
            </w:pPr>
            <w:r w:rsidRPr="00F07779">
              <w:rPr>
                <w:sz w:val="20"/>
                <w:szCs w:val="20"/>
              </w:rPr>
              <w:t>28,965 (own funds of EMS JSC)</w:t>
            </w:r>
          </w:p>
        </w:tc>
      </w:tr>
    </w:tbl>
    <w:p w14:paraId="76CE97AD" w14:textId="77777777" w:rsidR="0094644B" w:rsidRPr="00F07779" w:rsidRDefault="0094644B" w:rsidP="0094644B">
      <w:pPr>
        <w:tabs>
          <w:tab w:val="left" w:pos="1276"/>
          <w:tab w:val="left" w:pos="1560"/>
        </w:tabs>
        <w:ind w:left="1440" w:hanging="1440"/>
      </w:pPr>
    </w:p>
    <w:tbl>
      <w:tblPr>
        <w:tblStyle w:val="TableGrid"/>
        <w:tblW w:w="0" w:type="auto"/>
        <w:tblLook w:val="04A0" w:firstRow="1" w:lastRow="0" w:firstColumn="1" w:lastColumn="0" w:noHBand="0" w:noVBand="1"/>
      </w:tblPr>
      <w:tblGrid>
        <w:gridCol w:w="2973"/>
        <w:gridCol w:w="5667"/>
      </w:tblGrid>
      <w:tr w:rsidR="0094644B" w:rsidRPr="00F07779" w14:paraId="3F0FE72E"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E9DC068" w14:textId="77777777" w:rsidR="0094644B" w:rsidRPr="00F07779" w:rsidRDefault="0094644B" w:rsidP="00FB5086">
            <w:pPr>
              <w:rPr>
                <w:sz w:val="20"/>
                <w:szCs w:val="20"/>
              </w:rPr>
            </w:pPr>
            <w:r w:rsidRPr="00F07779">
              <w:rPr>
                <w:sz w:val="20"/>
                <w:szCs w:val="20"/>
              </w:rPr>
              <w:t>Activity EL1.2</w:t>
            </w:r>
          </w:p>
        </w:tc>
        <w:tc>
          <w:tcPr>
            <w:tcW w:w="566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4EB39A9" w14:textId="77777777" w:rsidR="0094644B" w:rsidRPr="00F07779" w:rsidRDefault="0094644B" w:rsidP="00FB5086">
            <w:pPr>
              <w:rPr>
                <w:sz w:val="20"/>
                <w:szCs w:val="20"/>
              </w:rPr>
            </w:pPr>
            <w:r w:rsidRPr="00F07779">
              <w:rPr>
                <w:sz w:val="20"/>
                <w:szCs w:val="20"/>
              </w:rPr>
              <w:t>Investment projects focused on the reconstruction and construction of the transmission network</w:t>
            </w:r>
          </w:p>
        </w:tc>
      </w:tr>
      <w:tr w:rsidR="0094644B" w:rsidRPr="00F07779" w14:paraId="1B5C3428"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6024A0EE" w14:textId="77777777" w:rsidR="0094644B" w:rsidRPr="00F07779" w:rsidRDefault="0094644B" w:rsidP="00FB5086">
            <w:pPr>
              <w:rPr>
                <w:sz w:val="20"/>
                <w:szCs w:val="20"/>
              </w:rPr>
            </w:pPr>
            <w:r w:rsidRPr="00FA3F57">
              <w:rPr>
                <w:sz w:val="20"/>
                <w:szCs w:val="20"/>
              </w:rPr>
              <w:t>Name of the project</w:t>
            </w:r>
          </w:p>
        </w:tc>
        <w:tc>
          <w:tcPr>
            <w:tcW w:w="5667"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783EC6C4" w14:textId="77777777" w:rsidR="0094644B" w:rsidRPr="00F07779" w:rsidRDefault="0094644B" w:rsidP="00FB5086">
            <w:pPr>
              <w:rPr>
                <w:sz w:val="20"/>
                <w:szCs w:val="20"/>
              </w:rPr>
            </w:pPr>
            <w:r w:rsidRPr="00F07779">
              <w:rPr>
                <w:sz w:val="20"/>
                <w:szCs w:val="20"/>
              </w:rPr>
              <w:t xml:space="preserve">Reconstruction of the OHL 100 kV No. 105/2 TPP Morava – TS </w:t>
            </w:r>
            <w:proofErr w:type="spellStart"/>
            <w:r w:rsidRPr="00F07779">
              <w:rPr>
                <w:sz w:val="20"/>
                <w:szCs w:val="20"/>
              </w:rPr>
              <w:t>Jagodina</w:t>
            </w:r>
            <w:proofErr w:type="spellEnd"/>
            <w:r w:rsidRPr="00F07779">
              <w:rPr>
                <w:sz w:val="20"/>
                <w:szCs w:val="20"/>
              </w:rPr>
              <w:t xml:space="preserve"> 4 </w:t>
            </w:r>
          </w:p>
        </w:tc>
      </w:tr>
      <w:tr w:rsidR="0094644B" w:rsidRPr="00F07779" w14:paraId="2D433E15"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B49AC30" w14:textId="77777777" w:rsidR="0094644B" w:rsidRPr="00F07779" w:rsidRDefault="0094644B" w:rsidP="00FB5086">
            <w:pPr>
              <w:rPr>
                <w:sz w:val="20"/>
                <w:szCs w:val="20"/>
              </w:rPr>
            </w:pPr>
            <w:r w:rsidRPr="00FA3F57">
              <w:rPr>
                <w:sz w:val="20"/>
                <w:szCs w:val="20"/>
              </w:rPr>
              <w:t xml:space="preserve">Name of the </w:t>
            </w:r>
            <w:r w:rsidRPr="00F07779">
              <w:rPr>
                <w:sz w:val="20"/>
                <w:szCs w:val="20"/>
              </w:rPr>
              <w:t>investment</w:t>
            </w:r>
          </w:p>
        </w:tc>
        <w:tc>
          <w:tcPr>
            <w:tcW w:w="566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45F761F" w14:textId="77777777" w:rsidR="0094644B" w:rsidRPr="00F07779" w:rsidRDefault="0094644B" w:rsidP="00FB5086">
            <w:pPr>
              <w:rPr>
                <w:sz w:val="20"/>
                <w:szCs w:val="20"/>
              </w:rPr>
            </w:pPr>
            <w:r w:rsidRPr="00F07779">
              <w:rPr>
                <w:sz w:val="20"/>
                <w:szCs w:val="20"/>
              </w:rPr>
              <w:t xml:space="preserve">OHL 100 kV No. 105/2 TPP Morava – TS </w:t>
            </w:r>
            <w:proofErr w:type="spellStart"/>
            <w:r w:rsidRPr="00F07779">
              <w:rPr>
                <w:sz w:val="20"/>
                <w:szCs w:val="20"/>
              </w:rPr>
              <w:t>Jagodina</w:t>
            </w:r>
            <w:proofErr w:type="spellEnd"/>
            <w:r w:rsidRPr="00F07779">
              <w:rPr>
                <w:sz w:val="20"/>
                <w:szCs w:val="20"/>
              </w:rPr>
              <w:t xml:space="preserve"> 4, reconstruction </w:t>
            </w:r>
          </w:p>
        </w:tc>
      </w:tr>
      <w:tr w:rsidR="0094644B" w:rsidRPr="00F07779" w14:paraId="5E025FB5"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07B175A9" w14:textId="77777777" w:rsidR="0094644B" w:rsidRPr="00F07779" w:rsidRDefault="0094644B" w:rsidP="00FB5086">
            <w:pPr>
              <w:rPr>
                <w:sz w:val="20"/>
                <w:szCs w:val="20"/>
              </w:rPr>
            </w:pPr>
            <w:r w:rsidRPr="00FA3F57">
              <w:rPr>
                <w:sz w:val="20"/>
                <w:szCs w:val="20"/>
              </w:rPr>
              <w:t>Short description of the investment</w:t>
            </w:r>
          </w:p>
        </w:tc>
        <w:tc>
          <w:tcPr>
            <w:tcW w:w="5667" w:type="dxa"/>
            <w:tcBorders>
              <w:top w:val="single" w:sz="4" w:space="0" w:color="auto"/>
              <w:left w:val="single" w:sz="4" w:space="0" w:color="auto"/>
              <w:bottom w:val="single" w:sz="4" w:space="0" w:color="auto"/>
              <w:right w:val="single" w:sz="4" w:space="0" w:color="auto"/>
            </w:tcBorders>
            <w:hideMark/>
          </w:tcPr>
          <w:p w14:paraId="3DFB998E" w14:textId="77777777" w:rsidR="0094644B" w:rsidRPr="00F07779" w:rsidRDefault="0094644B" w:rsidP="00FB5086">
            <w:pPr>
              <w:rPr>
                <w:sz w:val="20"/>
                <w:szCs w:val="20"/>
              </w:rPr>
            </w:pPr>
            <w:r w:rsidRPr="00F07779">
              <w:rPr>
                <w:sz w:val="20"/>
                <w:szCs w:val="20"/>
              </w:rPr>
              <w:t xml:space="preserve">The reconstruction includes the dismantling and removal of existing towers, removal of conductors and ground wire, installation of new towers, installation of new conductors and OPGW, as well as the installation of new insulators, connecting, </w:t>
            </w:r>
            <w:r w:rsidRPr="00F07779">
              <w:rPr>
                <w:sz w:val="20"/>
                <w:szCs w:val="20"/>
              </w:rPr>
              <w:lastRenderedPageBreak/>
              <w:t xml:space="preserve">and suspension </w:t>
            </w:r>
            <w:proofErr w:type="spellStart"/>
            <w:r w:rsidRPr="00F07779">
              <w:rPr>
                <w:sz w:val="20"/>
                <w:szCs w:val="20"/>
              </w:rPr>
              <w:t>equipmentExpected</w:t>
            </w:r>
            <w:proofErr w:type="spellEnd"/>
            <w:r w:rsidRPr="00F07779">
              <w:rPr>
                <w:sz w:val="20"/>
                <w:szCs w:val="20"/>
              </w:rPr>
              <w:t xml:space="preserve"> dynamics of project implementation:</w:t>
            </w:r>
          </w:p>
          <w:p w14:paraId="783EA929" w14:textId="77777777" w:rsidR="0094644B" w:rsidRPr="00F07779" w:rsidRDefault="0094644B" w:rsidP="00FB5086">
            <w:pPr>
              <w:rPr>
                <w:sz w:val="20"/>
                <w:szCs w:val="20"/>
              </w:rPr>
            </w:pPr>
            <w:r w:rsidRPr="00F07779">
              <w:rPr>
                <w:sz w:val="20"/>
                <w:szCs w:val="20"/>
              </w:rPr>
              <w:t>2026. Building permit</w:t>
            </w:r>
          </w:p>
          <w:p w14:paraId="16EC7C2A" w14:textId="77777777" w:rsidR="0094644B" w:rsidRPr="00F07779" w:rsidRDefault="0094644B" w:rsidP="00FB5086">
            <w:pPr>
              <w:rPr>
                <w:sz w:val="20"/>
                <w:szCs w:val="20"/>
              </w:rPr>
            </w:pPr>
            <w:r w:rsidRPr="00F07779">
              <w:rPr>
                <w:sz w:val="20"/>
                <w:szCs w:val="20"/>
              </w:rPr>
              <w:t>2027. Construction</w:t>
            </w:r>
          </w:p>
          <w:p w14:paraId="09640AE3" w14:textId="77777777" w:rsidR="0094644B" w:rsidRPr="00F07779" w:rsidRDefault="0094644B" w:rsidP="00FB5086">
            <w:pPr>
              <w:rPr>
                <w:sz w:val="20"/>
                <w:szCs w:val="20"/>
              </w:rPr>
            </w:pPr>
            <w:r w:rsidRPr="00F07779">
              <w:rPr>
                <w:sz w:val="20"/>
                <w:szCs w:val="20"/>
              </w:rPr>
              <w:t>2028. Construction</w:t>
            </w:r>
          </w:p>
        </w:tc>
      </w:tr>
      <w:tr w:rsidR="0094644B" w:rsidRPr="00F07779" w14:paraId="6E1464EB"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1C1E9A44" w14:textId="77777777" w:rsidR="0094644B" w:rsidRPr="00F07779" w:rsidRDefault="0094644B" w:rsidP="00FB5086">
            <w:pPr>
              <w:rPr>
                <w:sz w:val="20"/>
                <w:szCs w:val="20"/>
              </w:rPr>
            </w:pPr>
            <w:r w:rsidRPr="00FA3F57">
              <w:rPr>
                <w:sz w:val="20"/>
                <w:szCs w:val="20"/>
              </w:rPr>
              <w:lastRenderedPageBreak/>
              <w:t>Institutions responsible for the implementation of measures and activities</w:t>
            </w:r>
          </w:p>
        </w:tc>
        <w:tc>
          <w:tcPr>
            <w:tcW w:w="5667" w:type="dxa"/>
            <w:tcBorders>
              <w:top w:val="single" w:sz="4" w:space="0" w:color="auto"/>
              <w:left w:val="single" w:sz="4" w:space="0" w:color="auto"/>
              <w:bottom w:val="single" w:sz="4" w:space="0" w:color="auto"/>
              <w:right w:val="single" w:sz="4" w:space="0" w:color="auto"/>
            </w:tcBorders>
            <w:hideMark/>
          </w:tcPr>
          <w:p w14:paraId="5D10F1AD" w14:textId="77777777" w:rsidR="0094644B" w:rsidRPr="00F07779" w:rsidRDefault="0094644B" w:rsidP="00FB5086">
            <w:pPr>
              <w:rPr>
                <w:sz w:val="20"/>
                <w:szCs w:val="20"/>
              </w:rPr>
            </w:pPr>
            <w:r w:rsidRPr="00FA3F57">
              <w:rPr>
                <w:sz w:val="20"/>
                <w:szCs w:val="20"/>
              </w:rPr>
              <w:t>EMS JSC Belgrade</w:t>
            </w:r>
          </w:p>
        </w:tc>
      </w:tr>
      <w:tr w:rsidR="0094644B" w:rsidRPr="00F07779" w14:paraId="5122CB6C"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1F707ADE" w14:textId="77777777" w:rsidR="0094644B" w:rsidRPr="00F07779" w:rsidRDefault="0094644B" w:rsidP="00FB5086">
            <w:pPr>
              <w:rPr>
                <w:sz w:val="20"/>
                <w:szCs w:val="20"/>
              </w:rPr>
            </w:pPr>
            <w:r w:rsidRPr="00FA3F57">
              <w:rPr>
                <w:sz w:val="20"/>
                <w:szCs w:val="20"/>
              </w:rPr>
              <w:t>Institutions responsible for monitoring implementation and reporting on the realization</w:t>
            </w:r>
          </w:p>
        </w:tc>
        <w:tc>
          <w:tcPr>
            <w:tcW w:w="5667" w:type="dxa"/>
            <w:tcBorders>
              <w:top w:val="single" w:sz="4" w:space="0" w:color="auto"/>
              <w:left w:val="single" w:sz="4" w:space="0" w:color="auto"/>
              <w:bottom w:val="single" w:sz="4" w:space="0" w:color="auto"/>
              <w:right w:val="single" w:sz="4" w:space="0" w:color="auto"/>
            </w:tcBorders>
            <w:hideMark/>
          </w:tcPr>
          <w:p w14:paraId="392654EA" w14:textId="77777777" w:rsidR="0094644B" w:rsidRPr="00F07779" w:rsidRDefault="0094644B" w:rsidP="00FB5086">
            <w:pPr>
              <w:rPr>
                <w:sz w:val="20"/>
                <w:szCs w:val="20"/>
              </w:rPr>
            </w:pPr>
            <w:r w:rsidRPr="00FA3F57">
              <w:rPr>
                <w:sz w:val="20"/>
                <w:szCs w:val="20"/>
              </w:rPr>
              <w:t>EMS JSC Belgrade</w:t>
            </w:r>
          </w:p>
          <w:p w14:paraId="0E946CAD" w14:textId="77777777" w:rsidR="0094644B" w:rsidRPr="00FA3F57" w:rsidRDefault="0094644B" w:rsidP="00FB5086">
            <w:pPr>
              <w:rPr>
                <w:sz w:val="20"/>
                <w:szCs w:val="20"/>
              </w:rPr>
            </w:pPr>
            <w:r w:rsidRPr="00FA3F57">
              <w:rPr>
                <w:sz w:val="20"/>
                <w:szCs w:val="20"/>
              </w:rPr>
              <w:t>Republic Commission for Energy Networks</w:t>
            </w:r>
          </w:p>
          <w:p w14:paraId="6F19F040" w14:textId="77777777" w:rsidR="0094644B" w:rsidRPr="00F07779" w:rsidRDefault="0094644B" w:rsidP="00FB5086">
            <w:pPr>
              <w:rPr>
                <w:sz w:val="20"/>
                <w:szCs w:val="20"/>
              </w:rPr>
            </w:pPr>
            <w:r w:rsidRPr="00F07779">
              <w:rPr>
                <w:sz w:val="20"/>
                <w:szCs w:val="20"/>
              </w:rPr>
              <w:t>Ministry of Mining and Energy</w:t>
            </w:r>
          </w:p>
        </w:tc>
      </w:tr>
      <w:tr w:rsidR="0094644B" w:rsidRPr="00F07779" w14:paraId="1B165B9D"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3EE2D7F5" w14:textId="77777777" w:rsidR="0094644B" w:rsidRPr="00F07779" w:rsidRDefault="0094644B" w:rsidP="00FB5086">
            <w:pPr>
              <w:rPr>
                <w:sz w:val="20"/>
                <w:szCs w:val="20"/>
              </w:rPr>
            </w:pPr>
            <w:r w:rsidRPr="00FA3F57">
              <w:rPr>
                <w:sz w:val="20"/>
                <w:szCs w:val="20"/>
              </w:rPr>
              <w:t>Year of project funding start</w:t>
            </w:r>
          </w:p>
        </w:tc>
        <w:tc>
          <w:tcPr>
            <w:tcW w:w="5667" w:type="dxa"/>
            <w:tcBorders>
              <w:top w:val="single" w:sz="4" w:space="0" w:color="auto"/>
              <w:left w:val="single" w:sz="4" w:space="0" w:color="auto"/>
              <w:bottom w:val="single" w:sz="4" w:space="0" w:color="auto"/>
              <w:right w:val="single" w:sz="4" w:space="0" w:color="auto"/>
            </w:tcBorders>
            <w:hideMark/>
          </w:tcPr>
          <w:p w14:paraId="1F83B729" w14:textId="77777777" w:rsidR="0094644B" w:rsidRPr="00F07779" w:rsidRDefault="0094644B" w:rsidP="00FB5086">
            <w:pPr>
              <w:rPr>
                <w:sz w:val="20"/>
                <w:szCs w:val="20"/>
              </w:rPr>
            </w:pPr>
            <w:r w:rsidRPr="00F07779">
              <w:rPr>
                <w:sz w:val="20"/>
                <w:szCs w:val="20"/>
              </w:rPr>
              <w:t xml:space="preserve">2021. </w:t>
            </w:r>
          </w:p>
        </w:tc>
      </w:tr>
      <w:tr w:rsidR="0094644B" w:rsidRPr="00F07779" w14:paraId="64D68AC2"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43C566F5" w14:textId="77777777" w:rsidR="0094644B" w:rsidRPr="00F07779" w:rsidRDefault="0094644B" w:rsidP="00FB5086">
            <w:pPr>
              <w:rPr>
                <w:sz w:val="20"/>
                <w:szCs w:val="20"/>
              </w:rPr>
            </w:pPr>
            <w:r w:rsidRPr="00FA3F57">
              <w:rPr>
                <w:sz w:val="20"/>
                <w:szCs w:val="20"/>
              </w:rPr>
              <w:t>Year of completion of project funding</w:t>
            </w:r>
          </w:p>
        </w:tc>
        <w:tc>
          <w:tcPr>
            <w:tcW w:w="5667" w:type="dxa"/>
            <w:tcBorders>
              <w:top w:val="single" w:sz="4" w:space="0" w:color="auto"/>
              <w:left w:val="single" w:sz="4" w:space="0" w:color="auto"/>
              <w:bottom w:val="single" w:sz="4" w:space="0" w:color="auto"/>
              <w:right w:val="single" w:sz="4" w:space="0" w:color="auto"/>
            </w:tcBorders>
            <w:hideMark/>
          </w:tcPr>
          <w:p w14:paraId="070BA571" w14:textId="77777777" w:rsidR="0094644B" w:rsidRPr="00F07779" w:rsidRDefault="0094644B" w:rsidP="00FB5086">
            <w:pPr>
              <w:rPr>
                <w:sz w:val="20"/>
                <w:szCs w:val="20"/>
              </w:rPr>
            </w:pPr>
            <w:r w:rsidRPr="00F07779">
              <w:rPr>
                <w:sz w:val="20"/>
                <w:szCs w:val="20"/>
              </w:rPr>
              <w:t>2028.</w:t>
            </w:r>
          </w:p>
        </w:tc>
      </w:tr>
      <w:tr w:rsidR="0094644B" w:rsidRPr="00F07779" w14:paraId="5C03ED83"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159622D9" w14:textId="77777777" w:rsidR="0094644B" w:rsidRPr="00F07779" w:rsidRDefault="0094644B" w:rsidP="00FB5086">
            <w:pPr>
              <w:rPr>
                <w:sz w:val="20"/>
                <w:szCs w:val="20"/>
              </w:rPr>
            </w:pPr>
            <w:r w:rsidRPr="00FA3F57">
              <w:rPr>
                <w:sz w:val="20"/>
                <w:szCs w:val="20"/>
              </w:rPr>
              <w:t>Total project value</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3BC3A7AA" w14:textId="77777777" w:rsidR="0094644B" w:rsidRPr="00F07779" w:rsidRDefault="0094644B" w:rsidP="00FB5086">
            <w:pPr>
              <w:rPr>
                <w:sz w:val="20"/>
                <w:szCs w:val="20"/>
              </w:rPr>
            </w:pPr>
            <w:r w:rsidRPr="00F07779">
              <w:rPr>
                <w:sz w:val="20"/>
                <w:szCs w:val="20"/>
              </w:rPr>
              <w:t>433,825 (3.7 million EUR)</w:t>
            </w:r>
          </w:p>
        </w:tc>
      </w:tr>
      <w:tr w:rsidR="0094644B" w:rsidRPr="00F07779" w14:paraId="554C4E5B"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1DBBA2BE" w14:textId="77777777" w:rsidR="0094644B" w:rsidRPr="00F07779" w:rsidRDefault="0094644B" w:rsidP="00FB5086">
            <w:pPr>
              <w:rPr>
                <w:sz w:val="20"/>
                <w:szCs w:val="20"/>
              </w:rPr>
            </w:pPr>
            <w:r w:rsidRPr="00FA3F57">
              <w:rPr>
                <w:sz w:val="20"/>
                <w:szCs w:val="20"/>
              </w:rPr>
              <w:t>Planned investments for 2026.</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425F18EF" w14:textId="77777777" w:rsidR="0094644B" w:rsidRPr="00F07779" w:rsidRDefault="0094644B" w:rsidP="00FB5086">
            <w:pPr>
              <w:rPr>
                <w:sz w:val="20"/>
                <w:szCs w:val="20"/>
              </w:rPr>
            </w:pPr>
            <w:r w:rsidRPr="00F07779">
              <w:rPr>
                <w:sz w:val="20"/>
                <w:szCs w:val="20"/>
              </w:rPr>
              <w:t>0</w:t>
            </w:r>
          </w:p>
        </w:tc>
      </w:tr>
      <w:tr w:rsidR="0094644B" w:rsidRPr="00F07779" w14:paraId="7A15121E"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6B66E87A" w14:textId="77777777" w:rsidR="0094644B" w:rsidRPr="00F07779" w:rsidRDefault="0094644B" w:rsidP="00FB5086">
            <w:pPr>
              <w:rPr>
                <w:sz w:val="20"/>
                <w:szCs w:val="20"/>
              </w:rPr>
            </w:pPr>
            <w:r w:rsidRPr="00FA3F57">
              <w:rPr>
                <w:sz w:val="20"/>
                <w:szCs w:val="20"/>
              </w:rPr>
              <w:t>Planned investments for 2027.</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65F16DFB" w14:textId="77777777" w:rsidR="0094644B" w:rsidRPr="00F07779" w:rsidRDefault="0094644B" w:rsidP="00FB5086">
            <w:pPr>
              <w:rPr>
                <w:sz w:val="20"/>
                <w:szCs w:val="20"/>
              </w:rPr>
            </w:pPr>
            <w:r w:rsidRPr="00F07779">
              <w:rPr>
                <w:sz w:val="20"/>
                <w:szCs w:val="20"/>
              </w:rPr>
              <w:t>129,174 (own funds of EMS JSC)</w:t>
            </w:r>
          </w:p>
        </w:tc>
      </w:tr>
      <w:tr w:rsidR="0094644B" w:rsidRPr="00F07779" w14:paraId="066BC124"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1565043C" w14:textId="77777777" w:rsidR="0094644B" w:rsidRPr="00F07779" w:rsidRDefault="0094644B" w:rsidP="00FB5086">
            <w:pPr>
              <w:rPr>
                <w:sz w:val="20"/>
                <w:szCs w:val="20"/>
              </w:rPr>
            </w:pPr>
            <w:r w:rsidRPr="00FA3F57">
              <w:rPr>
                <w:sz w:val="20"/>
                <w:szCs w:val="20"/>
              </w:rPr>
              <w:t>Planned investments for 2028.</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5F6024AC" w14:textId="77777777" w:rsidR="0094644B" w:rsidRPr="00F07779" w:rsidRDefault="0094644B" w:rsidP="00FB5086">
            <w:pPr>
              <w:rPr>
                <w:sz w:val="20"/>
                <w:szCs w:val="20"/>
              </w:rPr>
            </w:pPr>
            <w:r w:rsidRPr="00F07779">
              <w:rPr>
                <w:sz w:val="20"/>
                <w:szCs w:val="20"/>
              </w:rPr>
              <w:t>301,381 (own funds of EMS JSC)</w:t>
            </w:r>
          </w:p>
        </w:tc>
      </w:tr>
    </w:tbl>
    <w:p w14:paraId="6EDD2FB5" w14:textId="77777777" w:rsidR="0094644B" w:rsidRPr="00F07779" w:rsidRDefault="0094644B" w:rsidP="0094644B">
      <w:pPr>
        <w:tabs>
          <w:tab w:val="left" w:pos="1276"/>
          <w:tab w:val="left" w:pos="1560"/>
        </w:tabs>
        <w:ind w:left="1440" w:hanging="1440"/>
      </w:pPr>
    </w:p>
    <w:tbl>
      <w:tblPr>
        <w:tblStyle w:val="TableGrid"/>
        <w:tblW w:w="0" w:type="auto"/>
        <w:tblLook w:val="04A0" w:firstRow="1" w:lastRow="0" w:firstColumn="1" w:lastColumn="0" w:noHBand="0" w:noVBand="1"/>
      </w:tblPr>
      <w:tblGrid>
        <w:gridCol w:w="2973"/>
        <w:gridCol w:w="5667"/>
      </w:tblGrid>
      <w:tr w:rsidR="0094644B" w:rsidRPr="00F07779" w14:paraId="1D1FC78F"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67C2459" w14:textId="77777777" w:rsidR="0094644B" w:rsidRPr="00F07779" w:rsidRDefault="0094644B" w:rsidP="00FB5086">
            <w:pPr>
              <w:rPr>
                <w:sz w:val="20"/>
                <w:szCs w:val="20"/>
              </w:rPr>
            </w:pPr>
            <w:r w:rsidRPr="00F07779">
              <w:rPr>
                <w:sz w:val="20"/>
                <w:szCs w:val="20"/>
              </w:rPr>
              <w:t>Activity EL1.2</w:t>
            </w:r>
          </w:p>
        </w:tc>
        <w:tc>
          <w:tcPr>
            <w:tcW w:w="566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38B2BE5" w14:textId="77777777" w:rsidR="0094644B" w:rsidRPr="00F07779" w:rsidRDefault="0094644B" w:rsidP="00FB5086">
            <w:pPr>
              <w:rPr>
                <w:sz w:val="20"/>
                <w:szCs w:val="20"/>
              </w:rPr>
            </w:pPr>
            <w:r w:rsidRPr="00F07779">
              <w:rPr>
                <w:sz w:val="20"/>
                <w:szCs w:val="20"/>
              </w:rPr>
              <w:t>Investment projects focused on the reconstruction and construction of the transmission network</w:t>
            </w:r>
          </w:p>
        </w:tc>
      </w:tr>
      <w:tr w:rsidR="0094644B" w:rsidRPr="00F07779" w14:paraId="35641711"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67378AD8" w14:textId="77777777" w:rsidR="0094644B" w:rsidRPr="00F07779" w:rsidRDefault="0094644B" w:rsidP="00FB5086">
            <w:pPr>
              <w:rPr>
                <w:sz w:val="20"/>
                <w:szCs w:val="20"/>
              </w:rPr>
            </w:pPr>
            <w:r w:rsidRPr="00FA3F57">
              <w:rPr>
                <w:sz w:val="20"/>
                <w:szCs w:val="20"/>
              </w:rPr>
              <w:t>Name of the project</w:t>
            </w:r>
          </w:p>
        </w:tc>
        <w:tc>
          <w:tcPr>
            <w:tcW w:w="5667"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58D66EC3" w14:textId="77777777" w:rsidR="0094644B" w:rsidRPr="00F07779" w:rsidRDefault="0094644B" w:rsidP="00FB5086">
            <w:pPr>
              <w:rPr>
                <w:sz w:val="20"/>
                <w:szCs w:val="20"/>
              </w:rPr>
            </w:pPr>
            <w:r w:rsidRPr="00F07779">
              <w:rPr>
                <w:sz w:val="20"/>
                <w:szCs w:val="20"/>
              </w:rPr>
              <w:t xml:space="preserve">Adaptation of OHL 110 kV No. 115/4 TS </w:t>
            </w:r>
            <w:proofErr w:type="spellStart"/>
            <w:r w:rsidRPr="00F07779">
              <w:rPr>
                <w:sz w:val="20"/>
                <w:szCs w:val="20"/>
              </w:rPr>
              <w:t>Požega</w:t>
            </w:r>
            <w:proofErr w:type="spellEnd"/>
            <w:r w:rsidRPr="00F07779">
              <w:rPr>
                <w:sz w:val="20"/>
                <w:szCs w:val="20"/>
              </w:rPr>
              <w:t xml:space="preserve"> - </w:t>
            </w:r>
            <w:proofErr w:type="spellStart"/>
            <w:r w:rsidRPr="00F07779">
              <w:rPr>
                <w:sz w:val="20"/>
                <w:szCs w:val="20"/>
              </w:rPr>
              <w:t>Beljina</w:t>
            </w:r>
            <w:proofErr w:type="spellEnd"/>
            <w:r w:rsidRPr="00F07779">
              <w:rPr>
                <w:sz w:val="20"/>
                <w:szCs w:val="20"/>
              </w:rPr>
              <w:t xml:space="preserve"> node and No. 182 TS Gornji </w:t>
            </w:r>
            <w:proofErr w:type="spellStart"/>
            <w:r w:rsidRPr="00F07779">
              <w:rPr>
                <w:sz w:val="20"/>
                <w:szCs w:val="20"/>
              </w:rPr>
              <w:t>Milanovac</w:t>
            </w:r>
            <w:proofErr w:type="spellEnd"/>
            <w:r w:rsidRPr="00F07779">
              <w:rPr>
                <w:sz w:val="20"/>
                <w:szCs w:val="20"/>
              </w:rPr>
              <w:t xml:space="preserve"> - </w:t>
            </w:r>
            <w:proofErr w:type="spellStart"/>
            <w:r w:rsidRPr="00F07779">
              <w:rPr>
                <w:sz w:val="20"/>
                <w:szCs w:val="20"/>
              </w:rPr>
              <w:t>Beljina</w:t>
            </w:r>
            <w:proofErr w:type="spellEnd"/>
            <w:r w:rsidRPr="00F07779">
              <w:rPr>
                <w:sz w:val="20"/>
                <w:szCs w:val="20"/>
              </w:rPr>
              <w:t xml:space="preserve"> node and dismantling of transmission line No. 115/9 TS </w:t>
            </w:r>
            <w:proofErr w:type="spellStart"/>
            <w:r w:rsidRPr="00F07779">
              <w:rPr>
                <w:sz w:val="20"/>
                <w:szCs w:val="20"/>
              </w:rPr>
              <w:t>Atenica</w:t>
            </w:r>
            <w:proofErr w:type="spellEnd"/>
            <w:r w:rsidRPr="00F07779">
              <w:rPr>
                <w:sz w:val="20"/>
                <w:szCs w:val="20"/>
              </w:rPr>
              <w:t xml:space="preserve"> node - </w:t>
            </w:r>
            <w:proofErr w:type="spellStart"/>
            <w:r w:rsidRPr="00F07779">
              <w:rPr>
                <w:sz w:val="20"/>
                <w:szCs w:val="20"/>
              </w:rPr>
              <w:t>Beljina</w:t>
            </w:r>
            <w:proofErr w:type="spellEnd"/>
            <w:r w:rsidRPr="00F07779">
              <w:rPr>
                <w:sz w:val="20"/>
                <w:szCs w:val="20"/>
              </w:rPr>
              <w:t xml:space="preserve"> node</w:t>
            </w:r>
          </w:p>
        </w:tc>
      </w:tr>
      <w:tr w:rsidR="0094644B" w:rsidRPr="00F07779" w14:paraId="508F7DEE"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BD5B40D" w14:textId="77777777" w:rsidR="0094644B" w:rsidRPr="00F07779" w:rsidRDefault="0094644B" w:rsidP="00FB5086">
            <w:pPr>
              <w:rPr>
                <w:sz w:val="20"/>
                <w:szCs w:val="20"/>
              </w:rPr>
            </w:pPr>
            <w:r w:rsidRPr="00FA3F57">
              <w:rPr>
                <w:sz w:val="20"/>
                <w:szCs w:val="20"/>
              </w:rPr>
              <w:t xml:space="preserve">Name of the </w:t>
            </w:r>
            <w:r w:rsidRPr="00F07779">
              <w:rPr>
                <w:sz w:val="20"/>
                <w:szCs w:val="20"/>
              </w:rPr>
              <w:t>investment</w:t>
            </w:r>
          </w:p>
        </w:tc>
        <w:tc>
          <w:tcPr>
            <w:tcW w:w="566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0693E80" w14:textId="77777777" w:rsidR="0094644B" w:rsidRPr="00F07779" w:rsidRDefault="0094644B" w:rsidP="00FB5086">
            <w:pPr>
              <w:rPr>
                <w:sz w:val="20"/>
                <w:szCs w:val="20"/>
              </w:rPr>
            </w:pPr>
            <w:r w:rsidRPr="00F07779">
              <w:rPr>
                <w:sz w:val="20"/>
                <w:szCs w:val="20"/>
              </w:rPr>
              <w:t xml:space="preserve">OHL 110 kV No. 115/4 TS </w:t>
            </w:r>
            <w:proofErr w:type="spellStart"/>
            <w:r w:rsidRPr="00F07779">
              <w:rPr>
                <w:sz w:val="20"/>
                <w:szCs w:val="20"/>
              </w:rPr>
              <w:t>Požega</w:t>
            </w:r>
            <w:proofErr w:type="spellEnd"/>
            <w:r w:rsidRPr="00F07779">
              <w:rPr>
                <w:sz w:val="20"/>
                <w:szCs w:val="20"/>
              </w:rPr>
              <w:t xml:space="preserve"> - </w:t>
            </w:r>
            <w:proofErr w:type="spellStart"/>
            <w:r w:rsidRPr="00F07779">
              <w:rPr>
                <w:sz w:val="20"/>
                <w:szCs w:val="20"/>
              </w:rPr>
              <w:t>Beljina</w:t>
            </w:r>
            <w:proofErr w:type="spellEnd"/>
            <w:r w:rsidRPr="00F07779">
              <w:rPr>
                <w:sz w:val="20"/>
                <w:szCs w:val="20"/>
              </w:rPr>
              <w:t xml:space="preserve"> node and No. 182 TS Gornji </w:t>
            </w:r>
            <w:proofErr w:type="spellStart"/>
            <w:r w:rsidRPr="00F07779">
              <w:rPr>
                <w:sz w:val="20"/>
                <w:szCs w:val="20"/>
              </w:rPr>
              <w:t>Milanovac</w:t>
            </w:r>
            <w:proofErr w:type="spellEnd"/>
            <w:r w:rsidRPr="00F07779">
              <w:rPr>
                <w:sz w:val="20"/>
                <w:szCs w:val="20"/>
              </w:rPr>
              <w:t xml:space="preserve"> - </w:t>
            </w:r>
            <w:proofErr w:type="spellStart"/>
            <w:r w:rsidRPr="00F07779">
              <w:rPr>
                <w:sz w:val="20"/>
                <w:szCs w:val="20"/>
              </w:rPr>
              <w:t>Beljina</w:t>
            </w:r>
            <w:proofErr w:type="spellEnd"/>
            <w:r w:rsidRPr="00F07779">
              <w:rPr>
                <w:sz w:val="20"/>
                <w:szCs w:val="20"/>
              </w:rPr>
              <w:t xml:space="preserve"> node and dismantling of transmission line No. 115/9 TS </w:t>
            </w:r>
            <w:proofErr w:type="spellStart"/>
            <w:r w:rsidRPr="00F07779">
              <w:rPr>
                <w:sz w:val="20"/>
                <w:szCs w:val="20"/>
              </w:rPr>
              <w:t>Atenica</w:t>
            </w:r>
            <w:proofErr w:type="spellEnd"/>
            <w:r w:rsidRPr="00F07779">
              <w:rPr>
                <w:sz w:val="20"/>
                <w:szCs w:val="20"/>
              </w:rPr>
              <w:t xml:space="preserve"> node - </w:t>
            </w:r>
            <w:proofErr w:type="spellStart"/>
            <w:r w:rsidRPr="00F07779">
              <w:rPr>
                <w:sz w:val="20"/>
                <w:szCs w:val="20"/>
              </w:rPr>
              <w:t>Beljina</w:t>
            </w:r>
            <w:proofErr w:type="spellEnd"/>
            <w:r w:rsidRPr="00F07779">
              <w:rPr>
                <w:sz w:val="20"/>
                <w:szCs w:val="20"/>
              </w:rPr>
              <w:t xml:space="preserve"> node</w:t>
            </w:r>
          </w:p>
        </w:tc>
      </w:tr>
      <w:tr w:rsidR="0094644B" w:rsidRPr="00F07779" w14:paraId="26BAC563"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2BDEED9A" w14:textId="77777777" w:rsidR="0094644B" w:rsidRPr="00F07779" w:rsidRDefault="0094644B" w:rsidP="00FB5086">
            <w:pPr>
              <w:rPr>
                <w:sz w:val="20"/>
                <w:szCs w:val="20"/>
              </w:rPr>
            </w:pPr>
            <w:r w:rsidRPr="00FA3F57">
              <w:rPr>
                <w:sz w:val="20"/>
                <w:szCs w:val="20"/>
              </w:rPr>
              <w:t>Short description of the investment</w:t>
            </w:r>
          </w:p>
        </w:tc>
        <w:tc>
          <w:tcPr>
            <w:tcW w:w="5667" w:type="dxa"/>
            <w:tcBorders>
              <w:top w:val="single" w:sz="4" w:space="0" w:color="auto"/>
              <w:left w:val="single" w:sz="4" w:space="0" w:color="auto"/>
              <w:bottom w:val="single" w:sz="4" w:space="0" w:color="auto"/>
              <w:right w:val="single" w:sz="4" w:space="0" w:color="auto"/>
            </w:tcBorders>
            <w:hideMark/>
          </w:tcPr>
          <w:p w14:paraId="224DF421" w14:textId="77777777" w:rsidR="0094644B" w:rsidRPr="00F07779" w:rsidRDefault="0094644B" w:rsidP="00FB5086">
            <w:pPr>
              <w:rPr>
                <w:sz w:val="20"/>
                <w:szCs w:val="20"/>
              </w:rPr>
            </w:pPr>
            <w:r w:rsidRPr="00F07779">
              <w:rPr>
                <w:sz w:val="20"/>
                <w:szCs w:val="20"/>
              </w:rPr>
              <w:t>Replacement of conductors and ground wire, replacement of insulators, connecting and suspension equipment, replacement of grounding, rehabilitation of tower structures and foundations, and decommissioning of transmission line route No. 115/9.</w:t>
            </w:r>
          </w:p>
          <w:p w14:paraId="239B5EE5" w14:textId="77777777" w:rsidR="0094644B" w:rsidRPr="00F07779" w:rsidRDefault="0094644B" w:rsidP="00FB5086">
            <w:pPr>
              <w:rPr>
                <w:sz w:val="20"/>
                <w:szCs w:val="20"/>
              </w:rPr>
            </w:pPr>
            <w:r w:rsidRPr="00F07779">
              <w:rPr>
                <w:sz w:val="20"/>
                <w:szCs w:val="20"/>
              </w:rPr>
              <w:t>Expected dynamics of project implementation:</w:t>
            </w:r>
          </w:p>
          <w:p w14:paraId="1A9446EB" w14:textId="77777777" w:rsidR="0094644B" w:rsidRPr="00F07779" w:rsidRDefault="0094644B" w:rsidP="00FB5086">
            <w:pPr>
              <w:rPr>
                <w:sz w:val="20"/>
                <w:szCs w:val="20"/>
              </w:rPr>
            </w:pPr>
            <w:r w:rsidRPr="00F07779">
              <w:rPr>
                <w:sz w:val="20"/>
                <w:szCs w:val="20"/>
              </w:rPr>
              <w:t>2026. Preliminary design</w:t>
            </w:r>
          </w:p>
          <w:p w14:paraId="45716309" w14:textId="77777777" w:rsidR="0094644B" w:rsidRPr="00F07779" w:rsidRDefault="0094644B" w:rsidP="00FB5086">
            <w:pPr>
              <w:rPr>
                <w:sz w:val="20"/>
                <w:szCs w:val="20"/>
              </w:rPr>
            </w:pPr>
            <w:r w:rsidRPr="00F07779">
              <w:rPr>
                <w:sz w:val="20"/>
                <w:szCs w:val="20"/>
              </w:rPr>
              <w:t>2027. Building permit</w:t>
            </w:r>
          </w:p>
          <w:p w14:paraId="29F13CEB" w14:textId="77777777" w:rsidR="0094644B" w:rsidRPr="00F07779" w:rsidRDefault="0094644B" w:rsidP="00FB5086">
            <w:pPr>
              <w:rPr>
                <w:sz w:val="20"/>
                <w:szCs w:val="20"/>
              </w:rPr>
            </w:pPr>
            <w:r w:rsidRPr="00F07779">
              <w:rPr>
                <w:sz w:val="20"/>
                <w:szCs w:val="20"/>
              </w:rPr>
              <w:t>2028. Construction</w:t>
            </w:r>
          </w:p>
        </w:tc>
      </w:tr>
      <w:tr w:rsidR="0094644B" w:rsidRPr="00F07779" w14:paraId="575C1D2D"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66331B6A" w14:textId="77777777" w:rsidR="0094644B" w:rsidRPr="00F07779" w:rsidRDefault="0094644B" w:rsidP="00FB5086">
            <w:pPr>
              <w:rPr>
                <w:sz w:val="20"/>
                <w:szCs w:val="20"/>
              </w:rPr>
            </w:pPr>
            <w:r w:rsidRPr="00FA3F57">
              <w:rPr>
                <w:sz w:val="20"/>
                <w:szCs w:val="20"/>
              </w:rPr>
              <w:t>Institutions responsible for the implementation of measures and activities</w:t>
            </w:r>
          </w:p>
        </w:tc>
        <w:tc>
          <w:tcPr>
            <w:tcW w:w="5667" w:type="dxa"/>
            <w:tcBorders>
              <w:top w:val="single" w:sz="4" w:space="0" w:color="auto"/>
              <w:left w:val="single" w:sz="4" w:space="0" w:color="auto"/>
              <w:bottom w:val="single" w:sz="4" w:space="0" w:color="auto"/>
              <w:right w:val="single" w:sz="4" w:space="0" w:color="auto"/>
            </w:tcBorders>
            <w:hideMark/>
          </w:tcPr>
          <w:p w14:paraId="51AF910A" w14:textId="77777777" w:rsidR="0094644B" w:rsidRPr="00F07779" w:rsidRDefault="0094644B" w:rsidP="00FB5086">
            <w:pPr>
              <w:rPr>
                <w:sz w:val="20"/>
                <w:szCs w:val="20"/>
              </w:rPr>
            </w:pPr>
            <w:r w:rsidRPr="00FA3F57">
              <w:rPr>
                <w:sz w:val="20"/>
                <w:szCs w:val="20"/>
              </w:rPr>
              <w:t>EMS JSC Belgrade</w:t>
            </w:r>
          </w:p>
        </w:tc>
      </w:tr>
      <w:tr w:rsidR="0094644B" w:rsidRPr="00F07779" w14:paraId="2295FFAE"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03D81A72" w14:textId="77777777" w:rsidR="0094644B" w:rsidRPr="00F07779" w:rsidRDefault="0094644B" w:rsidP="00FB5086">
            <w:pPr>
              <w:rPr>
                <w:sz w:val="20"/>
                <w:szCs w:val="20"/>
              </w:rPr>
            </w:pPr>
            <w:r w:rsidRPr="00FA3F57">
              <w:rPr>
                <w:sz w:val="20"/>
                <w:szCs w:val="20"/>
              </w:rPr>
              <w:t>Institutions responsible for monitoring implementation and reporting on the realization</w:t>
            </w:r>
          </w:p>
        </w:tc>
        <w:tc>
          <w:tcPr>
            <w:tcW w:w="5667" w:type="dxa"/>
            <w:tcBorders>
              <w:top w:val="single" w:sz="4" w:space="0" w:color="auto"/>
              <w:left w:val="single" w:sz="4" w:space="0" w:color="auto"/>
              <w:bottom w:val="single" w:sz="4" w:space="0" w:color="auto"/>
              <w:right w:val="single" w:sz="4" w:space="0" w:color="auto"/>
            </w:tcBorders>
            <w:hideMark/>
          </w:tcPr>
          <w:p w14:paraId="147B4BC0" w14:textId="77777777" w:rsidR="0094644B" w:rsidRPr="00F07779" w:rsidRDefault="0094644B" w:rsidP="00FB5086">
            <w:pPr>
              <w:rPr>
                <w:sz w:val="20"/>
                <w:szCs w:val="20"/>
              </w:rPr>
            </w:pPr>
            <w:r w:rsidRPr="00FA3F57">
              <w:rPr>
                <w:sz w:val="20"/>
                <w:szCs w:val="20"/>
              </w:rPr>
              <w:t>EMS JSC Belgrade</w:t>
            </w:r>
          </w:p>
          <w:p w14:paraId="5915D167" w14:textId="77777777" w:rsidR="0094644B" w:rsidRPr="00FA3F57" w:rsidRDefault="0094644B" w:rsidP="00FB5086">
            <w:pPr>
              <w:rPr>
                <w:sz w:val="20"/>
                <w:szCs w:val="20"/>
              </w:rPr>
            </w:pPr>
            <w:r w:rsidRPr="00FA3F57">
              <w:rPr>
                <w:sz w:val="20"/>
                <w:szCs w:val="20"/>
              </w:rPr>
              <w:t>Republic Commission for Energy Networks</w:t>
            </w:r>
          </w:p>
          <w:p w14:paraId="350F2F4A" w14:textId="77777777" w:rsidR="0094644B" w:rsidRPr="00F07779" w:rsidRDefault="0094644B" w:rsidP="00FB5086">
            <w:pPr>
              <w:rPr>
                <w:sz w:val="20"/>
                <w:szCs w:val="20"/>
              </w:rPr>
            </w:pPr>
            <w:r w:rsidRPr="00F07779">
              <w:rPr>
                <w:sz w:val="20"/>
                <w:szCs w:val="20"/>
              </w:rPr>
              <w:t>Ministry of Mining and Energy</w:t>
            </w:r>
          </w:p>
        </w:tc>
      </w:tr>
      <w:tr w:rsidR="0094644B" w:rsidRPr="00F07779" w14:paraId="4165EB57"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6F7E68DC" w14:textId="77777777" w:rsidR="0094644B" w:rsidRPr="00F07779" w:rsidRDefault="0094644B" w:rsidP="00FB5086">
            <w:pPr>
              <w:rPr>
                <w:sz w:val="20"/>
                <w:szCs w:val="20"/>
              </w:rPr>
            </w:pPr>
            <w:r w:rsidRPr="00FA3F57">
              <w:rPr>
                <w:sz w:val="20"/>
                <w:szCs w:val="20"/>
              </w:rPr>
              <w:t>Year of project funding start</w:t>
            </w:r>
          </w:p>
        </w:tc>
        <w:tc>
          <w:tcPr>
            <w:tcW w:w="5667" w:type="dxa"/>
            <w:tcBorders>
              <w:top w:val="single" w:sz="4" w:space="0" w:color="auto"/>
              <w:left w:val="single" w:sz="4" w:space="0" w:color="auto"/>
              <w:bottom w:val="single" w:sz="4" w:space="0" w:color="auto"/>
              <w:right w:val="single" w:sz="4" w:space="0" w:color="auto"/>
            </w:tcBorders>
            <w:hideMark/>
          </w:tcPr>
          <w:p w14:paraId="5F89B808" w14:textId="77777777" w:rsidR="0094644B" w:rsidRPr="00F07779" w:rsidRDefault="0094644B" w:rsidP="00FB5086">
            <w:pPr>
              <w:rPr>
                <w:sz w:val="20"/>
                <w:szCs w:val="20"/>
              </w:rPr>
            </w:pPr>
            <w:r w:rsidRPr="00F07779">
              <w:rPr>
                <w:sz w:val="20"/>
                <w:szCs w:val="20"/>
              </w:rPr>
              <w:t xml:space="preserve">2020. </w:t>
            </w:r>
          </w:p>
        </w:tc>
      </w:tr>
      <w:tr w:rsidR="0094644B" w:rsidRPr="00F07779" w14:paraId="57887D3F"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7E0239AD" w14:textId="77777777" w:rsidR="0094644B" w:rsidRPr="00F07779" w:rsidRDefault="0094644B" w:rsidP="00FB5086">
            <w:pPr>
              <w:rPr>
                <w:sz w:val="20"/>
                <w:szCs w:val="20"/>
              </w:rPr>
            </w:pPr>
            <w:r w:rsidRPr="00FA3F57">
              <w:rPr>
                <w:sz w:val="20"/>
                <w:szCs w:val="20"/>
              </w:rPr>
              <w:t>Year of completion of project funding</w:t>
            </w:r>
          </w:p>
        </w:tc>
        <w:tc>
          <w:tcPr>
            <w:tcW w:w="5667" w:type="dxa"/>
            <w:tcBorders>
              <w:top w:val="single" w:sz="4" w:space="0" w:color="auto"/>
              <w:left w:val="single" w:sz="4" w:space="0" w:color="auto"/>
              <w:bottom w:val="single" w:sz="4" w:space="0" w:color="auto"/>
              <w:right w:val="single" w:sz="4" w:space="0" w:color="auto"/>
            </w:tcBorders>
            <w:hideMark/>
          </w:tcPr>
          <w:p w14:paraId="366B9038" w14:textId="77777777" w:rsidR="0094644B" w:rsidRPr="00F07779" w:rsidRDefault="0094644B" w:rsidP="00FB5086">
            <w:pPr>
              <w:rPr>
                <w:sz w:val="20"/>
                <w:szCs w:val="20"/>
              </w:rPr>
            </w:pPr>
            <w:r w:rsidRPr="00F07779">
              <w:rPr>
                <w:sz w:val="20"/>
                <w:szCs w:val="20"/>
              </w:rPr>
              <w:t>2028.</w:t>
            </w:r>
          </w:p>
        </w:tc>
      </w:tr>
      <w:tr w:rsidR="0094644B" w:rsidRPr="00F07779" w14:paraId="364AECB2"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2A39CFFA" w14:textId="77777777" w:rsidR="0094644B" w:rsidRPr="00F07779" w:rsidRDefault="0094644B" w:rsidP="00FB5086">
            <w:pPr>
              <w:rPr>
                <w:sz w:val="20"/>
                <w:szCs w:val="20"/>
              </w:rPr>
            </w:pPr>
            <w:r w:rsidRPr="00FA3F57">
              <w:rPr>
                <w:sz w:val="20"/>
                <w:szCs w:val="20"/>
              </w:rPr>
              <w:t>Total project value</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06EC677D" w14:textId="77777777" w:rsidR="0094644B" w:rsidRPr="00F07779" w:rsidRDefault="0094644B" w:rsidP="00FB5086">
            <w:pPr>
              <w:rPr>
                <w:sz w:val="20"/>
                <w:szCs w:val="20"/>
              </w:rPr>
            </w:pPr>
            <w:r w:rsidRPr="00F07779">
              <w:rPr>
                <w:sz w:val="20"/>
                <w:szCs w:val="20"/>
              </w:rPr>
              <w:t>281,400 (2.4 million EUR)</w:t>
            </w:r>
          </w:p>
        </w:tc>
      </w:tr>
      <w:tr w:rsidR="0094644B" w:rsidRPr="00F07779" w14:paraId="55C877ED"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73672AAC" w14:textId="77777777" w:rsidR="0094644B" w:rsidRPr="00F07779" w:rsidRDefault="0094644B" w:rsidP="00FB5086">
            <w:pPr>
              <w:rPr>
                <w:sz w:val="20"/>
                <w:szCs w:val="20"/>
              </w:rPr>
            </w:pPr>
            <w:r w:rsidRPr="00FA3F57">
              <w:rPr>
                <w:sz w:val="20"/>
                <w:szCs w:val="20"/>
              </w:rPr>
              <w:t>Planned investments for 2026.</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57DD09A9" w14:textId="77777777" w:rsidR="0094644B" w:rsidRPr="00F07779" w:rsidRDefault="0094644B" w:rsidP="00FB5086">
            <w:pPr>
              <w:rPr>
                <w:sz w:val="20"/>
                <w:szCs w:val="20"/>
              </w:rPr>
            </w:pPr>
            <w:r w:rsidRPr="00F07779">
              <w:rPr>
                <w:sz w:val="20"/>
                <w:szCs w:val="20"/>
              </w:rPr>
              <w:t>0</w:t>
            </w:r>
          </w:p>
        </w:tc>
      </w:tr>
      <w:tr w:rsidR="0094644B" w:rsidRPr="00F07779" w14:paraId="0E722630"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06ADAFA5" w14:textId="77777777" w:rsidR="0094644B" w:rsidRPr="00F07779" w:rsidRDefault="0094644B" w:rsidP="00FB5086">
            <w:pPr>
              <w:rPr>
                <w:sz w:val="20"/>
                <w:szCs w:val="20"/>
              </w:rPr>
            </w:pPr>
            <w:r w:rsidRPr="00FA3F57">
              <w:rPr>
                <w:sz w:val="20"/>
                <w:szCs w:val="20"/>
              </w:rPr>
              <w:t>Planned investments for 2027.</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5037F9AC" w14:textId="77777777" w:rsidR="0094644B" w:rsidRPr="00F07779" w:rsidRDefault="0094644B" w:rsidP="00FB5086">
            <w:pPr>
              <w:rPr>
                <w:sz w:val="20"/>
                <w:szCs w:val="20"/>
              </w:rPr>
            </w:pPr>
            <w:r w:rsidRPr="00F07779">
              <w:rPr>
                <w:sz w:val="20"/>
                <w:szCs w:val="20"/>
              </w:rPr>
              <w:t>280,458 (own funds of EMS JSC)</w:t>
            </w:r>
          </w:p>
        </w:tc>
      </w:tr>
      <w:tr w:rsidR="0094644B" w:rsidRPr="00F07779" w14:paraId="1C8BFBD9"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4C2FA5BA" w14:textId="77777777" w:rsidR="0094644B" w:rsidRPr="00F07779" w:rsidRDefault="0094644B" w:rsidP="00FB5086">
            <w:pPr>
              <w:rPr>
                <w:sz w:val="20"/>
                <w:szCs w:val="20"/>
              </w:rPr>
            </w:pPr>
            <w:r w:rsidRPr="00FA3F57">
              <w:rPr>
                <w:sz w:val="20"/>
                <w:szCs w:val="20"/>
              </w:rPr>
              <w:t>Planned investments for 2028.</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5AF5A371" w14:textId="77777777" w:rsidR="0094644B" w:rsidRPr="00F07779" w:rsidRDefault="0094644B" w:rsidP="00FB5086">
            <w:pPr>
              <w:rPr>
                <w:sz w:val="20"/>
                <w:szCs w:val="20"/>
              </w:rPr>
            </w:pPr>
            <w:r w:rsidRPr="00F07779">
              <w:rPr>
                <w:sz w:val="20"/>
                <w:szCs w:val="20"/>
              </w:rPr>
              <w:t>0</w:t>
            </w:r>
          </w:p>
        </w:tc>
      </w:tr>
    </w:tbl>
    <w:p w14:paraId="4149667C" w14:textId="77777777" w:rsidR="0094644B" w:rsidRPr="00F07779" w:rsidRDefault="0094644B" w:rsidP="0094644B">
      <w:pPr>
        <w:tabs>
          <w:tab w:val="left" w:pos="1276"/>
          <w:tab w:val="left" w:pos="1560"/>
        </w:tabs>
        <w:ind w:left="1440" w:hanging="1440"/>
      </w:pPr>
    </w:p>
    <w:tbl>
      <w:tblPr>
        <w:tblStyle w:val="TableGrid"/>
        <w:tblW w:w="0" w:type="auto"/>
        <w:tblLook w:val="04A0" w:firstRow="1" w:lastRow="0" w:firstColumn="1" w:lastColumn="0" w:noHBand="0" w:noVBand="1"/>
      </w:tblPr>
      <w:tblGrid>
        <w:gridCol w:w="2973"/>
        <w:gridCol w:w="5667"/>
      </w:tblGrid>
      <w:tr w:rsidR="0094644B" w:rsidRPr="00F07779" w14:paraId="2B2785EA"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7ED74CB" w14:textId="77777777" w:rsidR="0094644B" w:rsidRPr="00F07779" w:rsidRDefault="0094644B" w:rsidP="00FB5086">
            <w:pPr>
              <w:keepNext/>
              <w:rPr>
                <w:sz w:val="20"/>
                <w:szCs w:val="20"/>
              </w:rPr>
            </w:pPr>
            <w:r w:rsidRPr="00F07779">
              <w:rPr>
                <w:sz w:val="20"/>
                <w:szCs w:val="20"/>
              </w:rPr>
              <w:lastRenderedPageBreak/>
              <w:t>Activity EL1.2</w:t>
            </w:r>
          </w:p>
        </w:tc>
        <w:tc>
          <w:tcPr>
            <w:tcW w:w="566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BA6701B" w14:textId="77777777" w:rsidR="0094644B" w:rsidRPr="00F07779" w:rsidRDefault="0094644B" w:rsidP="00FB5086">
            <w:pPr>
              <w:keepNext/>
              <w:rPr>
                <w:sz w:val="20"/>
                <w:szCs w:val="20"/>
              </w:rPr>
            </w:pPr>
            <w:r w:rsidRPr="00F07779">
              <w:rPr>
                <w:sz w:val="20"/>
                <w:szCs w:val="20"/>
              </w:rPr>
              <w:t>Investment projects focused on the reconstruction and construction of the transmission network</w:t>
            </w:r>
          </w:p>
        </w:tc>
      </w:tr>
      <w:tr w:rsidR="0094644B" w:rsidRPr="00F07779" w14:paraId="06150D44"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26492E23" w14:textId="77777777" w:rsidR="0094644B" w:rsidRPr="00F07779" w:rsidRDefault="0094644B" w:rsidP="00FB5086">
            <w:pPr>
              <w:keepNext/>
              <w:rPr>
                <w:sz w:val="20"/>
                <w:szCs w:val="20"/>
              </w:rPr>
            </w:pPr>
            <w:r w:rsidRPr="00FA3F57">
              <w:rPr>
                <w:sz w:val="20"/>
                <w:szCs w:val="20"/>
              </w:rPr>
              <w:t>Name of the project</w:t>
            </w:r>
          </w:p>
        </w:tc>
        <w:tc>
          <w:tcPr>
            <w:tcW w:w="5667"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607BBD2B" w14:textId="77777777" w:rsidR="0094644B" w:rsidRPr="00F07779" w:rsidRDefault="0094644B" w:rsidP="00FB5086">
            <w:pPr>
              <w:keepNext/>
              <w:rPr>
                <w:sz w:val="20"/>
                <w:szCs w:val="20"/>
              </w:rPr>
            </w:pPr>
            <w:r w:rsidRPr="00F07779">
              <w:rPr>
                <w:sz w:val="20"/>
                <w:szCs w:val="20"/>
              </w:rPr>
              <w:t xml:space="preserve">Reconstruction OHL 110 kV No. 117/2 TS Belgrade 35 – TPP </w:t>
            </w:r>
            <w:proofErr w:type="spellStart"/>
            <w:r w:rsidRPr="00F07779">
              <w:rPr>
                <w:sz w:val="20"/>
                <w:szCs w:val="20"/>
              </w:rPr>
              <w:t>Kolubara</w:t>
            </w:r>
            <w:proofErr w:type="spellEnd"/>
          </w:p>
        </w:tc>
      </w:tr>
      <w:tr w:rsidR="0094644B" w:rsidRPr="00F07779" w14:paraId="1C7FE506"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0AA99BB" w14:textId="77777777" w:rsidR="0094644B" w:rsidRPr="00F07779" w:rsidRDefault="0094644B" w:rsidP="00FB5086">
            <w:pPr>
              <w:rPr>
                <w:sz w:val="20"/>
                <w:szCs w:val="20"/>
              </w:rPr>
            </w:pPr>
            <w:r w:rsidRPr="00FA3F57">
              <w:rPr>
                <w:sz w:val="20"/>
                <w:szCs w:val="20"/>
              </w:rPr>
              <w:t xml:space="preserve">Name of the </w:t>
            </w:r>
            <w:r w:rsidRPr="00F07779">
              <w:rPr>
                <w:sz w:val="20"/>
                <w:szCs w:val="20"/>
              </w:rPr>
              <w:t>investment</w:t>
            </w:r>
          </w:p>
        </w:tc>
        <w:tc>
          <w:tcPr>
            <w:tcW w:w="566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BD88555" w14:textId="77777777" w:rsidR="0094644B" w:rsidRPr="00F07779" w:rsidRDefault="0094644B" w:rsidP="00FB5086">
            <w:pPr>
              <w:rPr>
                <w:sz w:val="20"/>
                <w:szCs w:val="20"/>
              </w:rPr>
            </w:pPr>
            <w:r w:rsidRPr="00F07779">
              <w:rPr>
                <w:sz w:val="20"/>
                <w:szCs w:val="20"/>
              </w:rPr>
              <w:t xml:space="preserve">OHL 110 kV No. 117/2 TS Belgrade 35 – TPP </w:t>
            </w:r>
            <w:proofErr w:type="spellStart"/>
            <w:r w:rsidRPr="00F07779">
              <w:rPr>
                <w:sz w:val="20"/>
                <w:szCs w:val="20"/>
              </w:rPr>
              <w:t>Kolubara</w:t>
            </w:r>
            <w:proofErr w:type="spellEnd"/>
            <w:r w:rsidRPr="00F07779">
              <w:rPr>
                <w:sz w:val="20"/>
                <w:szCs w:val="20"/>
              </w:rPr>
              <w:t xml:space="preserve">, reconstruction </w:t>
            </w:r>
          </w:p>
        </w:tc>
      </w:tr>
      <w:tr w:rsidR="0094644B" w:rsidRPr="00F07779" w14:paraId="755F5D81"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7181D42B" w14:textId="77777777" w:rsidR="0094644B" w:rsidRPr="00F07779" w:rsidRDefault="0094644B" w:rsidP="00FB5086">
            <w:pPr>
              <w:rPr>
                <w:sz w:val="20"/>
                <w:szCs w:val="20"/>
              </w:rPr>
            </w:pPr>
            <w:r w:rsidRPr="00FA3F57">
              <w:rPr>
                <w:sz w:val="20"/>
                <w:szCs w:val="20"/>
              </w:rPr>
              <w:t>Short description of the investment</w:t>
            </w:r>
          </w:p>
        </w:tc>
        <w:tc>
          <w:tcPr>
            <w:tcW w:w="5667" w:type="dxa"/>
            <w:tcBorders>
              <w:top w:val="single" w:sz="4" w:space="0" w:color="auto"/>
              <w:left w:val="single" w:sz="4" w:space="0" w:color="auto"/>
              <w:bottom w:val="single" w:sz="4" w:space="0" w:color="auto"/>
              <w:right w:val="single" w:sz="4" w:space="0" w:color="auto"/>
            </w:tcBorders>
            <w:hideMark/>
          </w:tcPr>
          <w:p w14:paraId="1CB57048" w14:textId="77777777" w:rsidR="0094644B" w:rsidRPr="00F07779" w:rsidRDefault="0094644B" w:rsidP="00FB5086">
            <w:pPr>
              <w:rPr>
                <w:sz w:val="20"/>
                <w:szCs w:val="20"/>
              </w:rPr>
            </w:pPr>
            <w:r w:rsidRPr="00F07779">
              <w:rPr>
                <w:sz w:val="20"/>
                <w:szCs w:val="20"/>
              </w:rPr>
              <w:t>The reconstruction is due to the occurrence of landslides and the compromised vertical alignment of the reinforced concrete columns. A complete reconstruction of OHL No. 117/2 is planned, which includes replacing the concrete poles along the entire length.</w:t>
            </w:r>
          </w:p>
          <w:p w14:paraId="77A13AF7" w14:textId="77777777" w:rsidR="0094644B" w:rsidRPr="00F07779" w:rsidRDefault="0094644B" w:rsidP="00FB5086">
            <w:pPr>
              <w:rPr>
                <w:sz w:val="20"/>
                <w:szCs w:val="20"/>
              </w:rPr>
            </w:pPr>
            <w:r w:rsidRPr="00F07779">
              <w:rPr>
                <w:sz w:val="20"/>
                <w:szCs w:val="20"/>
              </w:rPr>
              <w:t>Expected dynamics of project implementation:</w:t>
            </w:r>
          </w:p>
          <w:p w14:paraId="7F601A80" w14:textId="77777777" w:rsidR="0094644B" w:rsidRPr="00F07779" w:rsidRDefault="0094644B" w:rsidP="00FB5086">
            <w:pPr>
              <w:rPr>
                <w:sz w:val="20"/>
                <w:szCs w:val="20"/>
              </w:rPr>
            </w:pPr>
            <w:r w:rsidRPr="00F07779">
              <w:rPr>
                <w:sz w:val="20"/>
                <w:szCs w:val="20"/>
              </w:rPr>
              <w:t>2026. Preliminary design</w:t>
            </w:r>
          </w:p>
          <w:p w14:paraId="24E59B9C" w14:textId="77777777" w:rsidR="0094644B" w:rsidRPr="00F07779" w:rsidRDefault="0094644B" w:rsidP="00FB5086">
            <w:pPr>
              <w:rPr>
                <w:sz w:val="20"/>
                <w:szCs w:val="20"/>
              </w:rPr>
            </w:pPr>
            <w:r w:rsidRPr="00F07779">
              <w:rPr>
                <w:sz w:val="20"/>
                <w:szCs w:val="20"/>
              </w:rPr>
              <w:t>2027. Building permit</w:t>
            </w:r>
          </w:p>
          <w:p w14:paraId="178F73EF" w14:textId="77777777" w:rsidR="0094644B" w:rsidRPr="00F07779" w:rsidRDefault="0094644B" w:rsidP="00FB5086">
            <w:pPr>
              <w:rPr>
                <w:sz w:val="20"/>
                <w:szCs w:val="20"/>
              </w:rPr>
            </w:pPr>
            <w:r w:rsidRPr="00F07779">
              <w:rPr>
                <w:sz w:val="20"/>
                <w:szCs w:val="20"/>
              </w:rPr>
              <w:t>2028. Construction</w:t>
            </w:r>
          </w:p>
        </w:tc>
      </w:tr>
      <w:tr w:rsidR="0094644B" w:rsidRPr="00F07779" w14:paraId="61C7DD3F"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66931B37" w14:textId="77777777" w:rsidR="0094644B" w:rsidRPr="00F07779" w:rsidRDefault="0094644B" w:rsidP="00FB5086">
            <w:pPr>
              <w:rPr>
                <w:sz w:val="20"/>
                <w:szCs w:val="20"/>
              </w:rPr>
            </w:pPr>
            <w:r w:rsidRPr="00FA3F57">
              <w:rPr>
                <w:sz w:val="20"/>
                <w:szCs w:val="20"/>
              </w:rPr>
              <w:t>Institutions responsible for the implementation of measures and activities</w:t>
            </w:r>
          </w:p>
        </w:tc>
        <w:tc>
          <w:tcPr>
            <w:tcW w:w="5667" w:type="dxa"/>
            <w:tcBorders>
              <w:top w:val="single" w:sz="4" w:space="0" w:color="auto"/>
              <w:left w:val="single" w:sz="4" w:space="0" w:color="auto"/>
              <w:bottom w:val="single" w:sz="4" w:space="0" w:color="auto"/>
              <w:right w:val="single" w:sz="4" w:space="0" w:color="auto"/>
            </w:tcBorders>
            <w:hideMark/>
          </w:tcPr>
          <w:p w14:paraId="348808D7" w14:textId="77777777" w:rsidR="0094644B" w:rsidRPr="00F07779" w:rsidRDefault="0094644B" w:rsidP="00FB5086">
            <w:pPr>
              <w:rPr>
                <w:sz w:val="20"/>
                <w:szCs w:val="20"/>
              </w:rPr>
            </w:pPr>
            <w:r w:rsidRPr="00FA3F57">
              <w:rPr>
                <w:sz w:val="20"/>
                <w:szCs w:val="20"/>
              </w:rPr>
              <w:t>EMS JSC Belgrade</w:t>
            </w:r>
          </w:p>
        </w:tc>
      </w:tr>
      <w:tr w:rsidR="0094644B" w:rsidRPr="00F07779" w14:paraId="428CD8BF"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4B7F9C1E" w14:textId="77777777" w:rsidR="0094644B" w:rsidRPr="00F07779" w:rsidRDefault="0094644B" w:rsidP="00FB5086">
            <w:pPr>
              <w:rPr>
                <w:sz w:val="20"/>
                <w:szCs w:val="20"/>
              </w:rPr>
            </w:pPr>
            <w:r w:rsidRPr="00FA3F57">
              <w:rPr>
                <w:sz w:val="20"/>
                <w:szCs w:val="20"/>
              </w:rPr>
              <w:t>Institutions responsible for monitoring implementation and reporting on the realization</w:t>
            </w:r>
          </w:p>
        </w:tc>
        <w:tc>
          <w:tcPr>
            <w:tcW w:w="5667" w:type="dxa"/>
            <w:tcBorders>
              <w:top w:val="single" w:sz="4" w:space="0" w:color="auto"/>
              <w:left w:val="single" w:sz="4" w:space="0" w:color="auto"/>
              <w:bottom w:val="single" w:sz="4" w:space="0" w:color="auto"/>
              <w:right w:val="single" w:sz="4" w:space="0" w:color="auto"/>
            </w:tcBorders>
            <w:hideMark/>
          </w:tcPr>
          <w:p w14:paraId="799509C1" w14:textId="77777777" w:rsidR="0094644B" w:rsidRPr="00F07779" w:rsidRDefault="0094644B" w:rsidP="00FB5086">
            <w:pPr>
              <w:rPr>
                <w:sz w:val="20"/>
                <w:szCs w:val="20"/>
              </w:rPr>
            </w:pPr>
            <w:r w:rsidRPr="00FA3F57">
              <w:rPr>
                <w:sz w:val="20"/>
                <w:szCs w:val="20"/>
              </w:rPr>
              <w:t>EMS JSC Belgrade</w:t>
            </w:r>
          </w:p>
          <w:p w14:paraId="65A42FAA" w14:textId="77777777" w:rsidR="0094644B" w:rsidRPr="00FA3F57" w:rsidRDefault="0094644B" w:rsidP="00FB5086">
            <w:pPr>
              <w:rPr>
                <w:sz w:val="20"/>
                <w:szCs w:val="20"/>
              </w:rPr>
            </w:pPr>
            <w:r w:rsidRPr="00FA3F57">
              <w:rPr>
                <w:sz w:val="20"/>
                <w:szCs w:val="20"/>
              </w:rPr>
              <w:t>Republic Commission for Energy Networks</w:t>
            </w:r>
          </w:p>
          <w:p w14:paraId="66C58504" w14:textId="77777777" w:rsidR="0094644B" w:rsidRPr="00F07779" w:rsidRDefault="0094644B" w:rsidP="00FB5086">
            <w:pPr>
              <w:rPr>
                <w:sz w:val="20"/>
                <w:szCs w:val="20"/>
              </w:rPr>
            </w:pPr>
            <w:r w:rsidRPr="00F07779">
              <w:rPr>
                <w:sz w:val="20"/>
                <w:szCs w:val="20"/>
              </w:rPr>
              <w:t>Ministry of Mining and Energy</w:t>
            </w:r>
          </w:p>
        </w:tc>
      </w:tr>
      <w:tr w:rsidR="0094644B" w:rsidRPr="00F07779" w14:paraId="6E7A306B"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3063FF9D" w14:textId="77777777" w:rsidR="0094644B" w:rsidRPr="00F07779" w:rsidRDefault="0094644B" w:rsidP="00FB5086">
            <w:pPr>
              <w:rPr>
                <w:sz w:val="20"/>
                <w:szCs w:val="20"/>
              </w:rPr>
            </w:pPr>
            <w:r w:rsidRPr="00FA3F57">
              <w:rPr>
                <w:sz w:val="20"/>
                <w:szCs w:val="20"/>
              </w:rPr>
              <w:t>Year of project funding start</w:t>
            </w:r>
          </w:p>
        </w:tc>
        <w:tc>
          <w:tcPr>
            <w:tcW w:w="5667" w:type="dxa"/>
            <w:tcBorders>
              <w:top w:val="single" w:sz="4" w:space="0" w:color="auto"/>
              <w:left w:val="single" w:sz="4" w:space="0" w:color="auto"/>
              <w:bottom w:val="single" w:sz="4" w:space="0" w:color="auto"/>
              <w:right w:val="single" w:sz="4" w:space="0" w:color="auto"/>
            </w:tcBorders>
            <w:hideMark/>
          </w:tcPr>
          <w:p w14:paraId="0751F6EA" w14:textId="77777777" w:rsidR="0094644B" w:rsidRPr="00F07779" w:rsidRDefault="0094644B" w:rsidP="00FB5086">
            <w:pPr>
              <w:rPr>
                <w:sz w:val="20"/>
                <w:szCs w:val="20"/>
              </w:rPr>
            </w:pPr>
            <w:r w:rsidRPr="00F07779">
              <w:rPr>
                <w:sz w:val="20"/>
                <w:szCs w:val="20"/>
              </w:rPr>
              <w:t xml:space="preserve">2025. </w:t>
            </w:r>
          </w:p>
        </w:tc>
      </w:tr>
      <w:tr w:rsidR="0094644B" w:rsidRPr="00F07779" w14:paraId="0B270DBD"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60A068AA" w14:textId="77777777" w:rsidR="0094644B" w:rsidRPr="00F07779" w:rsidRDefault="0094644B" w:rsidP="00FB5086">
            <w:pPr>
              <w:rPr>
                <w:sz w:val="20"/>
                <w:szCs w:val="20"/>
              </w:rPr>
            </w:pPr>
            <w:r w:rsidRPr="00FA3F57">
              <w:rPr>
                <w:sz w:val="20"/>
                <w:szCs w:val="20"/>
              </w:rPr>
              <w:t>Year of completion of project funding</w:t>
            </w:r>
          </w:p>
        </w:tc>
        <w:tc>
          <w:tcPr>
            <w:tcW w:w="5667" w:type="dxa"/>
            <w:tcBorders>
              <w:top w:val="single" w:sz="4" w:space="0" w:color="auto"/>
              <w:left w:val="single" w:sz="4" w:space="0" w:color="auto"/>
              <w:bottom w:val="single" w:sz="4" w:space="0" w:color="auto"/>
              <w:right w:val="single" w:sz="4" w:space="0" w:color="auto"/>
            </w:tcBorders>
            <w:hideMark/>
          </w:tcPr>
          <w:p w14:paraId="04DC1BE7" w14:textId="77777777" w:rsidR="0094644B" w:rsidRPr="00F07779" w:rsidRDefault="0094644B" w:rsidP="00FB5086">
            <w:pPr>
              <w:rPr>
                <w:sz w:val="20"/>
                <w:szCs w:val="20"/>
              </w:rPr>
            </w:pPr>
            <w:r w:rsidRPr="00F07779">
              <w:rPr>
                <w:sz w:val="20"/>
                <w:szCs w:val="20"/>
              </w:rPr>
              <w:t>2028.</w:t>
            </w:r>
          </w:p>
        </w:tc>
      </w:tr>
      <w:tr w:rsidR="0094644B" w:rsidRPr="00F07779" w14:paraId="5944C315"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7446D490" w14:textId="77777777" w:rsidR="0094644B" w:rsidRPr="00F07779" w:rsidRDefault="0094644B" w:rsidP="00FB5086">
            <w:pPr>
              <w:rPr>
                <w:sz w:val="20"/>
                <w:szCs w:val="20"/>
              </w:rPr>
            </w:pPr>
            <w:r w:rsidRPr="00FA3F57">
              <w:rPr>
                <w:sz w:val="20"/>
                <w:szCs w:val="20"/>
              </w:rPr>
              <w:t>Total project value</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5C558E66" w14:textId="77777777" w:rsidR="0094644B" w:rsidRPr="00F07779" w:rsidRDefault="0094644B" w:rsidP="00FB5086">
            <w:pPr>
              <w:rPr>
                <w:sz w:val="20"/>
                <w:szCs w:val="20"/>
              </w:rPr>
            </w:pPr>
            <w:r w:rsidRPr="00F07779">
              <w:rPr>
                <w:sz w:val="20"/>
                <w:szCs w:val="20"/>
              </w:rPr>
              <w:t>328,300 (2.8 million EUR)</w:t>
            </w:r>
          </w:p>
        </w:tc>
      </w:tr>
      <w:tr w:rsidR="0094644B" w:rsidRPr="00F07779" w14:paraId="26415BA7"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3DFCE946" w14:textId="77777777" w:rsidR="0094644B" w:rsidRPr="00F07779" w:rsidRDefault="0094644B" w:rsidP="00FB5086">
            <w:pPr>
              <w:rPr>
                <w:sz w:val="20"/>
                <w:szCs w:val="20"/>
              </w:rPr>
            </w:pPr>
            <w:r w:rsidRPr="00FA3F57">
              <w:rPr>
                <w:sz w:val="20"/>
                <w:szCs w:val="20"/>
              </w:rPr>
              <w:t>Planned investments for 2026.</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2A8E0ACE" w14:textId="77777777" w:rsidR="0094644B" w:rsidRPr="00F07779" w:rsidRDefault="0094644B" w:rsidP="00FB5086">
            <w:pPr>
              <w:rPr>
                <w:sz w:val="20"/>
                <w:szCs w:val="20"/>
              </w:rPr>
            </w:pPr>
            <w:r w:rsidRPr="00F07779">
              <w:rPr>
                <w:sz w:val="20"/>
                <w:szCs w:val="20"/>
              </w:rPr>
              <w:t>6,757 (own funds of EMS JSC)</w:t>
            </w:r>
          </w:p>
        </w:tc>
      </w:tr>
      <w:tr w:rsidR="0094644B" w:rsidRPr="00F07779" w14:paraId="27C23B9E"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3465CED7" w14:textId="77777777" w:rsidR="0094644B" w:rsidRPr="00F07779" w:rsidRDefault="0094644B" w:rsidP="00FB5086">
            <w:pPr>
              <w:rPr>
                <w:sz w:val="20"/>
                <w:szCs w:val="20"/>
              </w:rPr>
            </w:pPr>
            <w:r w:rsidRPr="00FA3F57">
              <w:rPr>
                <w:sz w:val="20"/>
                <w:szCs w:val="20"/>
              </w:rPr>
              <w:t>Planned investments for 2027.</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40BCD849" w14:textId="77777777" w:rsidR="0094644B" w:rsidRPr="00F07779" w:rsidRDefault="0094644B" w:rsidP="00FB5086">
            <w:pPr>
              <w:rPr>
                <w:sz w:val="20"/>
                <w:szCs w:val="20"/>
              </w:rPr>
            </w:pPr>
            <w:r w:rsidRPr="00F07779">
              <w:rPr>
                <w:sz w:val="20"/>
                <w:szCs w:val="20"/>
              </w:rPr>
              <w:t>36,765 (own funds of EMS JSC)</w:t>
            </w:r>
          </w:p>
        </w:tc>
      </w:tr>
      <w:tr w:rsidR="0094644B" w:rsidRPr="00F07779" w14:paraId="39D03526"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6175E0BB" w14:textId="77777777" w:rsidR="0094644B" w:rsidRPr="00F07779" w:rsidRDefault="0094644B" w:rsidP="00FB5086">
            <w:pPr>
              <w:rPr>
                <w:sz w:val="20"/>
                <w:szCs w:val="20"/>
              </w:rPr>
            </w:pPr>
            <w:r w:rsidRPr="00FA3F57">
              <w:rPr>
                <w:sz w:val="20"/>
                <w:szCs w:val="20"/>
              </w:rPr>
              <w:t>Planned investments for 2028.</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023B58F4" w14:textId="77777777" w:rsidR="0094644B" w:rsidRPr="00F07779" w:rsidRDefault="0094644B" w:rsidP="00FB5086">
            <w:pPr>
              <w:rPr>
                <w:sz w:val="20"/>
                <w:szCs w:val="20"/>
              </w:rPr>
            </w:pPr>
            <w:r w:rsidRPr="00F07779">
              <w:rPr>
                <w:sz w:val="20"/>
                <w:szCs w:val="20"/>
              </w:rPr>
              <w:t>282,692 (own funds of EMS JSC)</w:t>
            </w:r>
          </w:p>
        </w:tc>
      </w:tr>
    </w:tbl>
    <w:p w14:paraId="0393C89B" w14:textId="77777777" w:rsidR="0094644B" w:rsidRPr="00F07779" w:rsidRDefault="0094644B" w:rsidP="0094644B">
      <w:pPr>
        <w:tabs>
          <w:tab w:val="left" w:pos="1276"/>
          <w:tab w:val="left" w:pos="1560"/>
        </w:tabs>
        <w:ind w:left="1440" w:hanging="1440"/>
      </w:pPr>
    </w:p>
    <w:tbl>
      <w:tblPr>
        <w:tblStyle w:val="TableGrid"/>
        <w:tblW w:w="0" w:type="auto"/>
        <w:tblLook w:val="04A0" w:firstRow="1" w:lastRow="0" w:firstColumn="1" w:lastColumn="0" w:noHBand="0" w:noVBand="1"/>
      </w:tblPr>
      <w:tblGrid>
        <w:gridCol w:w="2973"/>
        <w:gridCol w:w="5667"/>
      </w:tblGrid>
      <w:tr w:rsidR="0094644B" w:rsidRPr="00F07779" w14:paraId="5448344E"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7838599" w14:textId="77777777" w:rsidR="0094644B" w:rsidRPr="00F07779" w:rsidRDefault="0094644B" w:rsidP="00FB5086">
            <w:pPr>
              <w:rPr>
                <w:sz w:val="20"/>
                <w:szCs w:val="20"/>
              </w:rPr>
            </w:pPr>
            <w:r w:rsidRPr="00F07779">
              <w:rPr>
                <w:sz w:val="20"/>
                <w:szCs w:val="20"/>
              </w:rPr>
              <w:t>Activity EL1.2</w:t>
            </w:r>
          </w:p>
        </w:tc>
        <w:tc>
          <w:tcPr>
            <w:tcW w:w="566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BA92DA0" w14:textId="77777777" w:rsidR="0094644B" w:rsidRPr="00F07779" w:rsidRDefault="0094644B" w:rsidP="00FB5086">
            <w:pPr>
              <w:rPr>
                <w:sz w:val="20"/>
                <w:szCs w:val="20"/>
              </w:rPr>
            </w:pPr>
            <w:r w:rsidRPr="00F07779">
              <w:rPr>
                <w:sz w:val="20"/>
                <w:szCs w:val="20"/>
              </w:rPr>
              <w:t>Investment projects focused on the reconstruction and construction of the transmission network</w:t>
            </w:r>
          </w:p>
        </w:tc>
      </w:tr>
      <w:tr w:rsidR="0094644B" w:rsidRPr="00F07779" w14:paraId="33C93230"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710B84CD" w14:textId="77777777" w:rsidR="0094644B" w:rsidRPr="00F07779" w:rsidRDefault="0094644B" w:rsidP="00FB5086">
            <w:pPr>
              <w:rPr>
                <w:sz w:val="20"/>
                <w:szCs w:val="20"/>
              </w:rPr>
            </w:pPr>
            <w:r w:rsidRPr="00FA3F57">
              <w:rPr>
                <w:sz w:val="20"/>
                <w:szCs w:val="20"/>
              </w:rPr>
              <w:t>Name of the project</w:t>
            </w:r>
          </w:p>
        </w:tc>
        <w:tc>
          <w:tcPr>
            <w:tcW w:w="5667"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61F29EF6" w14:textId="77777777" w:rsidR="0094644B" w:rsidRPr="00F07779" w:rsidRDefault="0094644B" w:rsidP="00FB5086">
            <w:pPr>
              <w:rPr>
                <w:sz w:val="20"/>
                <w:szCs w:val="20"/>
              </w:rPr>
            </w:pPr>
            <w:r w:rsidRPr="00F07779">
              <w:rPr>
                <w:sz w:val="20"/>
                <w:szCs w:val="20"/>
              </w:rPr>
              <w:t>Replacement of HV equipment in SS 400 kV Mladost</w:t>
            </w:r>
          </w:p>
        </w:tc>
      </w:tr>
      <w:tr w:rsidR="0094644B" w:rsidRPr="00F07779" w14:paraId="2212EE69"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89727B7" w14:textId="77777777" w:rsidR="0094644B" w:rsidRPr="00F07779" w:rsidRDefault="0094644B" w:rsidP="00FB5086">
            <w:pPr>
              <w:rPr>
                <w:sz w:val="20"/>
                <w:szCs w:val="20"/>
              </w:rPr>
            </w:pPr>
            <w:r w:rsidRPr="00FA3F57">
              <w:rPr>
                <w:sz w:val="20"/>
                <w:szCs w:val="20"/>
              </w:rPr>
              <w:t xml:space="preserve">Name of the </w:t>
            </w:r>
            <w:r w:rsidRPr="00F07779">
              <w:rPr>
                <w:sz w:val="20"/>
                <w:szCs w:val="20"/>
              </w:rPr>
              <w:t>investment</w:t>
            </w:r>
          </w:p>
        </w:tc>
        <w:tc>
          <w:tcPr>
            <w:tcW w:w="566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9DB6DDF" w14:textId="77777777" w:rsidR="0094644B" w:rsidRPr="00F07779" w:rsidRDefault="0094644B" w:rsidP="00FB5086">
            <w:pPr>
              <w:rPr>
                <w:sz w:val="20"/>
                <w:szCs w:val="20"/>
              </w:rPr>
            </w:pPr>
            <w:r w:rsidRPr="00F07779">
              <w:rPr>
                <w:sz w:val="20"/>
                <w:szCs w:val="20"/>
              </w:rPr>
              <w:t>SS 400 kV Mladost – replacement of HV equipment</w:t>
            </w:r>
          </w:p>
        </w:tc>
      </w:tr>
      <w:tr w:rsidR="0094644B" w:rsidRPr="00F07779" w14:paraId="1EC73E80"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4B510949" w14:textId="77777777" w:rsidR="0094644B" w:rsidRPr="00F07779" w:rsidRDefault="0094644B" w:rsidP="00FB5086">
            <w:pPr>
              <w:rPr>
                <w:sz w:val="20"/>
                <w:szCs w:val="20"/>
              </w:rPr>
            </w:pPr>
            <w:r w:rsidRPr="00FA3F57">
              <w:rPr>
                <w:sz w:val="20"/>
                <w:szCs w:val="20"/>
              </w:rPr>
              <w:t>Short description of the investment</w:t>
            </w:r>
          </w:p>
        </w:tc>
        <w:tc>
          <w:tcPr>
            <w:tcW w:w="5667" w:type="dxa"/>
            <w:tcBorders>
              <w:top w:val="single" w:sz="4" w:space="0" w:color="auto"/>
              <w:left w:val="single" w:sz="4" w:space="0" w:color="auto"/>
              <w:bottom w:val="single" w:sz="4" w:space="0" w:color="auto"/>
              <w:right w:val="single" w:sz="4" w:space="0" w:color="auto"/>
            </w:tcBorders>
            <w:hideMark/>
          </w:tcPr>
          <w:p w14:paraId="7EDE18DF" w14:textId="77777777" w:rsidR="0094644B" w:rsidRPr="00F07779" w:rsidRDefault="0094644B" w:rsidP="00FB5086">
            <w:pPr>
              <w:rPr>
                <w:sz w:val="20"/>
                <w:szCs w:val="20"/>
              </w:rPr>
            </w:pPr>
            <w:r w:rsidRPr="00F07779">
              <w:rPr>
                <w:sz w:val="20"/>
                <w:szCs w:val="20"/>
              </w:rPr>
              <w:t>Replacement of HV equipment is carried out due to obsolescence.</w:t>
            </w:r>
          </w:p>
          <w:p w14:paraId="296D1DAC" w14:textId="77777777" w:rsidR="0094644B" w:rsidRPr="00F07779" w:rsidRDefault="0094644B" w:rsidP="00FB5086">
            <w:pPr>
              <w:rPr>
                <w:sz w:val="20"/>
                <w:szCs w:val="20"/>
              </w:rPr>
            </w:pPr>
            <w:r w:rsidRPr="00F07779">
              <w:rPr>
                <w:sz w:val="20"/>
                <w:szCs w:val="20"/>
              </w:rPr>
              <w:t>Expected dynamics of project implementation:</w:t>
            </w:r>
          </w:p>
          <w:p w14:paraId="5A18104C" w14:textId="77777777" w:rsidR="0094644B" w:rsidRPr="00F07779" w:rsidRDefault="0094644B" w:rsidP="00FB5086">
            <w:pPr>
              <w:rPr>
                <w:sz w:val="20"/>
                <w:szCs w:val="20"/>
              </w:rPr>
            </w:pPr>
            <w:r w:rsidRPr="00F07779">
              <w:rPr>
                <w:sz w:val="20"/>
                <w:szCs w:val="20"/>
              </w:rPr>
              <w:t>2026. Location conditions</w:t>
            </w:r>
          </w:p>
          <w:p w14:paraId="68361204" w14:textId="77777777" w:rsidR="0094644B" w:rsidRPr="00F07779" w:rsidRDefault="0094644B" w:rsidP="00FB5086">
            <w:pPr>
              <w:rPr>
                <w:sz w:val="20"/>
                <w:szCs w:val="20"/>
              </w:rPr>
            </w:pPr>
            <w:r w:rsidRPr="00F07779">
              <w:rPr>
                <w:sz w:val="20"/>
                <w:szCs w:val="20"/>
              </w:rPr>
              <w:t>2027. Preliminary design</w:t>
            </w:r>
          </w:p>
          <w:p w14:paraId="7D5E1E8F" w14:textId="77777777" w:rsidR="0094644B" w:rsidRPr="00F07779" w:rsidRDefault="0094644B" w:rsidP="00FB5086">
            <w:pPr>
              <w:rPr>
                <w:sz w:val="20"/>
                <w:szCs w:val="20"/>
              </w:rPr>
            </w:pPr>
            <w:r w:rsidRPr="00F07779">
              <w:rPr>
                <w:sz w:val="20"/>
                <w:szCs w:val="20"/>
              </w:rPr>
              <w:t>2028. Construction</w:t>
            </w:r>
          </w:p>
        </w:tc>
      </w:tr>
      <w:tr w:rsidR="0094644B" w:rsidRPr="00F07779" w14:paraId="7D5BA18A"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5CB5735D" w14:textId="77777777" w:rsidR="0094644B" w:rsidRPr="00F07779" w:rsidRDefault="0094644B" w:rsidP="00FB5086">
            <w:pPr>
              <w:rPr>
                <w:sz w:val="20"/>
                <w:szCs w:val="20"/>
              </w:rPr>
            </w:pPr>
            <w:r w:rsidRPr="00FA3F57">
              <w:rPr>
                <w:sz w:val="20"/>
                <w:szCs w:val="20"/>
              </w:rPr>
              <w:t>Institutions responsible for the implementation of measures and activities</w:t>
            </w:r>
          </w:p>
        </w:tc>
        <w:tc>
          <w:tcPr>
            <w:tcW w:w="5667" w:type="dxa"/>
            <w:tcBorders>
              <w:top w:val="single" w:sz="4" w:space="0" w:color="auto"/>
              <w:left w:val="single" w:sz="4" w:space="0" w:color="auto"/>
              <w:bottom w:val="single" w:sz="4" w:space="0" w:color="auto"/>
              <w:right w:val="single" w:sz="4" w:space="0" w:color="auto"/>
            </w:tcBorders>
            <w:hideMark/>
          </w:tcPr>
          <w:p w14:paraId="38179FD6" w14:textId="77777777" w:rsidR="0094644B" w:rsidRPr="00F07779" w:rsidRDefault="0094644B" w:rsidP="00FB5086">
            <w:pPr>
              <w:rPr>
                <w:sz w:val="20"/>
                <w:szCs w:val="20"/>
              </w:rPr>
            </w:pPr>
            <w:r w:rsidRPr="00FA3F57">
              <w:rPr>
                <w:sz w:val="20"/>
                <w:szCs w:val="20"/>
              </w:rPr>
              <w:t>EMS JSC Belgrade</w:t>
            </w:r>
          </w:p>
        </w:tc>
      </w:tr>
      <w:tr w:rsidR="0094644B" w:rsidRPr="00F07779" w14:paraId="0836873B"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3F51324E" w14:textId="77777777" w:rsidR="0094644B" w:rsidRPr="00F07779" w:rsidRDefault="0094644B" w:rsidP="00FB5086">
            <w:pPr>
              <w:rPr>
                <w:sz w:val="20"/>
                <w:szCs w:val="20"/>
              </w:rPr>
            </w:pPr>
            <w:r w:rsidRPr="00FA3F57">
              <w:rPr>
                <w:sz w:val="20"/>
                <w:szCs w:val="20"/>
              </w:rPr>
              <w:t>Institutions responsible for monitoring implementation and reporting on the realization</w:t>
            </w:r>
          </w:p>
        </w:tc>
        <w:tc>
          <w:tcPr>
            <w:tcW w:w="5667" w:type="dxa"/>
            <w:tcBorders>
              <w:top w:val="single" w:sz="4" w:space="0" w:color="auto"/>
              <w:left w:val="single" w:sz="4" w:space="0" w:color="auto"/>
              <w:bottom w:val="single" w:sz="4" w:space="0" w:color="auto"/>
              <w:right w:val="single" w:sz="4" w:space="0" w:color="auto"/>
            </w:tcBorders>
            <w:hideMark/>
          </w:tcPr>
          <w:p w14:paraId="2903A7E3" w14:textId="77777777" w:rsidR="0094644B" w:rsidRPr="00F07779" w:rsidRDefault="0094644B" w:rsidP="00FB5086">
            <w:pPr>
              <w:rPr>
                <w:sz w:val="20"/>
                <w:szCs w:val="20"/>
              </w:rPr>
            </w:pPr>
            <w:r w:rsidRPr="00FA3F57">
              <w:rPr>
                <w:sz w:val="20"/>
                <w:szCs w:val="20"/>
              </w:rPr>
              <w:t>EMS JSC Belgrade</w:t>
            </w:r>
          </w:p>
          <w:p w14:paraId="0C4C893B" w14:textId="77777777" w:rsidR="0094644B" w:rsidRPr="00FA3F57" w:rsidRDefault="0094644B" w:rsidP="00FB5086">
            <w:pPr>
              <w:rPr>
                <w:sz w:val="20"/>
                <w:szCs w:val="20"/>
              </w:rPr>
            </w:pPr>
            <w:r w:rsidRPr="00FA3F57">
              <w:rPr>
                <w:sz w:val="20"/>
                <w:szCs w:val="20"/>
              </w:rPr>
              <w:t>Republic Commission for Energy Networks</w:t>
            </w:r>
          </w:p>
          <w:p w14:paraId="6F396722" w14:textId="77777777" w:rsidR="0094644B" w:rsidRPr="00F07779" w:rsidRDefault="0094644B" w:rsidP="00FB5086">
            <w:pPr>
              <w:rPr>
                <w:sz w:val="20"/>
                <w:szCs w:val="20"/>
              </w:rPr>
            </w:pPr>
            <w:r w:rsidRPr="00F07779">
              <w:rPr>
                <w:sz w:val="20"/>
                <w:szCs w:val="20"/>
              </w:rPr>
              <w:t>Ministry of Mining and Energy</w:t>
            </w:r>
          </w:p>
        </w:tc>
      </w:tr>
      <w:tr w:rsidR="0094644B" w:rsidRPr="00F07779" w14:paraId="4DAA174F"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2EEE89EC" w14:textId="77777777" w:rsidR="0094644B" w:rsidRPr="00F07779" w:rsidRDefault="0094644B" w:rsidP="00FB5086">
            <w:pPr>
              <w:rPr>
                <w:sz w:val="20"/>
                <w:szCs w:val="20"/>
              </w:rPr>
            </w:pPr>
            <w:r w:rsidRPr="00FA3F57">
              <w:rPr>
                <w:sz w:val="20"/>
                <w:szCs w:val="20"/>
              </w:rPr>
              <w:t>Year of project funding start</w:t>
            </w:r>
          </w:p>
        </w:tc>
        <w:tc>
          <w:tcPr>
            <w:tcW w:w="5667" w:type="dxa"/>
            <w:tcBorders>
              <w:top w:val="single" w:sz="4" w:space="0" w:color="auto"/>
              <w:left w:val="single" w:sz="4" w:space="0" w:color="auto"/>
              <w:bottom w:val="single" w:sz="4" w:space="0" w:color="auto"/>
              <w:right w:val="single" w:sz="4" w:space="0" w:color="auto"/>
            </w:tcBorders>
            <w:hideMark/>
          </w:tcPr>
          <w:p w14:paraId="102DF203" w14:textId="77777777" w:rsidR="0094644B" w:rsidRPr="00F07779" w:rsidRDefault="0094644B" w:rsidP="00FB5086">
            <w:pPr>
              <w:rPr>
                <w:sz w:val="20"/>
                <w:szCs w:val="20"/>
              </w:rPr>
            </w:pPr>
            <w:r w:rsidRPr="00F07779">
              <w:rPr>
                <w:sz w:val="20"/>
                <w:szCs w:val="20"/>
              </w:rPr>
              <w:t>2014.</w:t>
            </w:r>
          </w:p>
        </w:tc>
      </w:tr>
      <w:tr w:rsidR="0094644B" w:rsidRPr="00F07779" w14:paraId="53C808AE"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114D10B6" w14:textId="77777777" w:rsidR="0094644B" w:rsidRPr="00F07779" w:rsidRDefault="0094644B" w:rsidP="00FB5086">
            <w:pPr>
              <w:rPr>
                <w:sz w:val="20"/>
                <w:szCs w:val="20"/>
              </w:rPr>
            </w:pPr>
            <w:r w:rsidRPr="00FA3F57">
              <w:rPr>
                <w:sz w:val="20"/>
                <w:szCs w:val="20"/>
              </w:rPr>
              <w:t>Year of completion of project funding</w:t>
            </w:r>
          </w:p>
        </w:tc>
        <w:tc>
          <w:tcPr>
            <w:tcW w:w="5667" w:type="dxa"/>
            <w:tcBorders>
              <w:top w:val="single" w:sz="4" w:space="0" w:color="auto"/>
              <w:left w:val="single" w:sz="4" w:space="0" w:color="auto"/>
              <w:bottom w:val="single" w:sz="4" w:space="0" w:color="auto"/>
              <w:right w:val="single" w:sz="4" w:space="0" w:color="auto"/>
            </w:tcBorders>
            <w:hideMark/>
          </w:tcPr>
          <w:p w14:paraId="5486D5E1" w14:textId="77777777" w:rsidR="0094644B" w:rsidRPr="00F07779" w:rsidRDefault="0094644B" w:rsidP="00FB5086">
            <w:pPr>
              <w:rPr>
                <w:sz w:val="20"/>
                <w:szCs w:val="20"/>
              </w:rPr>
            </w:pPr>
            <w:r w:rsidRPr="00F07779">
              <w:rPr>
                <w:sz w:val="20"/>
                <w:szCs w:val="20"/>
              </w:rPr>
              <w:t>2029.</w:t>
            </w:r>
          </w:p>
        </w:tc>
      </w:tr>
      <w:tr w:rsidR="0094644B" w:rsidRPr="00F07779" w14:paraId="5B85044E"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3C01E349" w14:textId="77777777" w:rsidR="0094644B" w:rsidRPr="00F07779" w:rsidRDefault="0094644B" w:rsidP="00FB5086">
            <w:pPr>
              <w:rPr>
                <w:sz w:val="20"/>
                <w:szCs w:val="20"/>
              </w:rPr>
            </w:pPr>
            <w:r w:rsidRPr="00FA3F57">
              <w:rPr>
                <w:sz w:val="20"/>
                <w:szCs w:val="20"/>
              </w:rPr>
              <w:t>Total project value</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2F794CD3" w14:textId="77777777" w:rsidR="0094644B" w:rsidRPr="00F07779" w:rsidRDefault="0094644B" w:rsidP="00FB5086">
            <w:pPr>
              <w:rPr>
                <w:sz w:val="20"/>
                <w:szCs w:val="20"/>
              </w:rPr>
            </w:pPr>
            <w:r w:rsidRPr="00F07779">
              <w:rPr>
                <w:sz w:val="20"/>
                <w:szCs w:val="20"/>
              </w:rPr>
              <w:t>1,125,600 (9.6 million EUR)</w:t>
            </w:r>
          </w:p>
        </w:tc>
      </w:tr>
      <w:tr w:rsidR="0094644B" w:rsidRPr="00F07779" w14:paraId="1B3F6644"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19031362" w14:textId="77777777" w:rsidR="0094644B" w:rsidRPr="00F07779" w:rsidRDefault="0094644B" w:rsidP="00FB5086">
            <w:pPr>
              <w:rPr>
                <w:sz w:val="20"/>
                <w:szCs w:val="20"/>
              </w:rPr>
            </w:pPr>
            <w:r w:rsidRPr="00FA3F57">
              <w:rPr>
                <w:sz w:val="20"/>
                <w:szCs w:val="20"/>
              </w:rPr>
              <w:t>Planned investments for 2026.</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260B516C" w14:textId="77777777" w:rsidR="0094644B" w:rsidRPr="00F07779" w:rsidRDefault="0094644B" w:rsidP="00FB5086">
            <w:pPr>
              <w:rPr>
                <w:sz w:val="20"/>
                <w:szCs w:val="20"/>
              </w:rPr>
            </w:pPr>
            <w:r w:rsidRPr="00F07779">
              <w:rPr>
                <w:sz w:val="20"/>
                <w:szCs w:val="20"/>
              </w:rPr>
              <w:t>2,981 (own funds of EMS JSC)</w:t>
            </w:r>
          </w:p>
        </w:tc>
      </w:tr>
      <w:tr w:rsidR="0094644B" w:rsidRPr="00F07779" w14:paraId="706C472F"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6A4303DC" w14:textId="77777777" w:rsidR="0094644B" w:rsidRPr="00F07779" w:rsidRDefault="0094644B" w:rsidP="00FB5086">
            <w:pPr>
              <w:rPr>
                <w:sz w:val="20"/>
                <w:szCs w:val="20"/>
              </w:rPr>
            </w:pPr>
            <w:r w:rsidRPr="00FA3F57">
              <w:rPr>
                <w:sz w:val="20"/>
                <w:szCs w:val="20"/>
              </w:rPr>
              <w:t>Planned investments for 2027.</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27F801DD" w14:textId="77777777" w:rsidR="0094644B" w:rsidRPr="00F07779" w:rsidRDefault="0094644B" w:rsidP="00FB5086">
            <w:pPr>
              <w:rPr>
                <w:sz w:val="20"/>
                <w:szCs w:val="20"/>
              </w:rPr>
            </w:pPr>
            <w:r w:rsidRPr="00F07779">
              <w:rPr>
                <w:sz w:val="20"/>
                <w:szCs w:val="20"/>
              </w:rPr>
              <w:t>299,096</w:t>
            </w:r>
            <w:r w:rsidRPr="00FA3F57">
              <w:rPr>
                <w:sz w:val="20"/>
                <w:szCs w:val="20"/>
              </w:rPr>
              <w:t xml:space="preserve"> </w:t>
            </w:r>
            <w:r w:rsidRPr="00F07779">
              <w:rPr>
                <w:sz w:val="20"/>
                <w:szCs w:val="20"/>
              </w:rPr>
              <w:t>(own funds of EMS JSC)</w:t>
            </w:r>
          </w:p>
        </w:tc>
      </w:tr>
      <w:tr w:rsidR="0094644B" w:rsidRPr="00F07779" w14:paraId="6EB99F82"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04F3D65B" w14:textId="77777777" w:rsidR="0094644B" w:rsidRPr="00F07779" w:rsidRDefault="0094644B" w:rsidP="00FB5086">
            <w:pPr>
              <w:rPr>
                <w:sz w:val="20"/>
                <w:szCs w:val="20"/>
              </w:rPr>
            </w:pPr>
            <w:r w:rsidRPr="00FA3F57">
              <w:rPr>
                <w:sz w:val="20"/>
                <w:szCs w:val="20"/>
              </w:rPr>
              <w:t>Planned investments for 2028.</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19731357" w14:textId="77777777" w:rsidR="0094644B" w:rsidRPr="00F07779" w:rsidRDefault="0094644B" w:rsidP="00FB5086">
            <w:pPr>
              <w:rPr>
                <w:sz w:val="20"/>
                <w:szCs w:val="20"/>
              </w:rPr>
            </w:pPr>
            <w:r w:rsidRPr="00F07779">
              <w:rPr>
                <w:sz w:val="20"/>
                <w:szCs w:val="20"/>
              </w:rPr>
              <w:t>409,536 (own funds of EMS JSC)</w:t>
            </w:r>
          </w:p>
        </w:tc>
      </w:tr>
    </w:tbl>
    <w:p w14:paraId="62293330" w14:textId="77777777" w:rsidR="0094644B" w:rsidRPr="00F07779" w:rsidRDefault="0094644B" w:rsidP="0094644B">
      <w:pPr>
        <w:tabs>
          <w:tab w:val="left" w:pos="1276"/>
          <w:tab w:val="left" w:pos="1560"/>
        </w:tabs>
        <w:ind w:left="1440" w:hanging="1440"/>
      </w:pPr>
    </w:p>
    <w:tbl>
      <w:tblPr>
        <w:tblStyle w:val="TableGrid"/>
        <w:tblW w:w="0" w:type="auto"/>
        <w:tblLook w:val="04A0" w:firstRow="1" w:lastRow="0" w:firstColumn="1" w:lastColumn="0" w:noHBand="0" w:noVBand="1"/>
      </w:tblPr>
      <w:tblGrid>
        <w:gridCol w:w="2973"/>
        <w:gridCol w:w="5667"/>
      </w:tblGrid>
      <w:tr w:rsidR="0094644B" w:rsidRPr="00F07779" w14:paraId="15FACF3A"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19DA71B" w14:textId="77777777" w:rsidR="0094644B" w:rsidRPr="00F07779" w:rsidRDefault="0094644B" w:rsidP="00FB5086">
            <w:pPr>
              <w:keepNext/>
              <w:rPr>
                <w:sz w:val="20"/>
                <w:szCs w:val="20"/>
              </w:rPr>
            </w:pPr>
            <w:r w:rsidRPr="00F07779">
              <w:rPr>
                <w:sz w:val="20"/>
                <w:szCs w:val="20"/>
              </w:rPr>
              <w:lastRenderedPageBreak/>
              <w:t>Activity EL1.2</w:t>
            </w:r>
          </w:p>
        </w:tc>
        <w:tc>
          <w:tcPr>
            <w:tcW w:w="566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8209B82" w14:textId="77777777" w:rsidR="0094644B" w:rsidRPr="00F07779" w:rsidRDefault="0094644B" w:rsidP="00FB5086">
            <w:pPr>
              <w:keepNext/>
              <w:rPr>
                <w:sz w:val="20"/>
                <w:szCs w:val="20"/>
              </w:rPr>
            </w:pPr>
            <w:r w:rsidRPr="00F07779">
              <w:rPr>
                <w:sz w:val="20"/>
                <w:szCs w:val="20"/>
              </w:rPr>
              <w:t>Investment projects focused on the reconstruction and construction of the transmission network</w:t>
            </w:r>
          </w:p>
        </w:tc>
      </w:tr>
      <w:tr w:rsidR="0094644B" w:rsidRPr="00F07779" w14:paraId="743D969D"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51ECA76E" w14:textId="77777777" w:rsidR="0094644B" w:rsidRPr="00F07779" w:rsidRDefault="0094644B" w:rsidP="00FB5086">
            <w:pPr>
              <w:rPr>
                <w:sz w:val="20"/>
                <w:szCs w:val="20"/>
              </w:rPr>
            </w:pPr>
            <w:r w:rsidRPr="00FA3F57">
              <w:rPr>
                <w:sz w:val="20"/>
                <w:szCs w:val="20"/>
              </w:rPr>
              <w:t>Name of the project</w:t>
            </w:r>
          </w:p>
        </w:tc>
        <w:tc>
          <w:tcPr>
            <w:tcW w:w="5667"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7EE00C1C" w14:textId="77777777" w:rsidR="0094644B" w:rsidRPr="00F07779" w:rsidRDefault="0094644B" w:rsidP="00FB5086">
            <w:pPr>
              <w:rPr>
                <w:sz w:val="20"/>
                <w:szCs w:val="20"/>
              </w:rPr>
            </w:pPr>
            <w:r w:rsidRPr="00F07779">
              <w:rPr>
                <w:sz w:val="20"/>
                <w:szCs w:val="20"/>
              </w:rPr>
              <w:t xml:space="preserve">Reconstruction of OHL 110 kV No. 105/1 TS </w:t>
            </w:r>
            <w:proofErr w:type="spellStart"/>
            <w:r w:rsidRPr="00F07779">
              <w:rPr>
                <w:sz w:val="20"/>
                <w:szCs w:val="20"/>
              </w:rPr>
              <w:t>Petrovac</w:t>
            </w:r>
            <w:proofErr w:type="spellEnd"/>
            <w:r w:rsidRPr="00F07779">
              <w:rPr>
                <w:sz w:val="20"/>
                <w:szCs w:val="20"/>
              </w:rPr>
              <w:t xml:space="preserve"> – TPP Morava</w:t>
            </w:r>
          </w:p>
        </w:tc>
      </w:tr>
      <w:tr w:rsidR="0094644B" w:rsidRPr="00F07779" w14:paraId="64CFC39D"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9C7FC65" w14:textId="77777777" w:rsidR="0094644B" w:rsidRPr="00F07779" w:rsidRDefault="0094644B" w:rsidP="00FB5086">
            <w:pPr>
              <w:rPr>
                <w:sz w:val="20"/>
                <w:szCs w:val="20"/>
              </w:rPr>
            </w:pPr>
            <w:r w:rsidRPr="00FA3F57">
              <w:rPr>
                <w:sz w:val="20"/>
                <w:szCs w:val="20"/>
              </w:rPr>
              <w:t xml:space="preserve">Name of the </w:t>
            </w:r>
            <w:r w:rsidRPr="00F07779">
              <w:rPr>
                <w:sz w:val="20"/>
                <w:szCs w:val="20"/>
              </w:rPr>
              <w:t>investment</w:t>
            </w:r>
          </w:p>
        </w:tc>
        <w:tc>
          <w:tcPr>
            <w:tcW w:w="566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82A962C" w14:textId="77777777" w:rsidR="0094644B" w:rsidRPr="00F07779" w:rsidRDefault="0094644B" w:rsidP="00FB5086">
            <w:pPr>
              <w:rPr>
                <w:sz w:val="20"/>
                <w:szCs w:val="20"/>
              </w:rPr>
            </w:pPr>
            <w:r w:rsidRPr="00F07779">
              <w:rPr>
                <w:sz w:val="20"/>
                <w:szCs w:val="20"/>
              </w:rPr>
              <w:t xml:space="preserve">OHL 110 kV No. 105/1 TS </w:t>
            </w:r>
            <w:proofErr w:type="spellStart"/>
            <w:r w:rsidRPr="00F07779">
              <w:rPr>
                <w:sz w:val="20"/>
                <w:szCs w:val="20"/>
              </w:rPr>
              <w:t>Petrovac</w:t>
            </w:r>
            <w:proofErr w:type="spellEnd"/>
            <w:r w:rsidRPr="00F07779">
              <w:rPr>
                <w:sz w:val="20"/>
                <w:szCs w:val="20"/>
              </w:rPr>
              <w:t xml:space="preserve"> – TPP Morava, reconstruction</w:t>
            </w:r>
          </w:p>
        </w:tc>
      </w:tr>
      <w:tr w:rsidR="0094644B" w:rsidRPr="00F07779" w14:paraId="00606E16"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11904FA1" w14:textId="77777777" w:rsidR="0094644B" w:rsidRPr="00F07779" w:rsidRDefault="0094644B" w:rsidP="00FB5086">
            <w:pPr>
              <w:rPr>
                <w:sz w:val="20"/>
                <w:szCs w:val="20"/>
              </w:rPr>
            </w:pPr>
            <w:r w:rsidRPr="00FA3F57">
              <w:rPr>
                <w:sz w:val="20"/>
                <w:szCs w:val="20"/>
              </w:rPr>
              <w:t>Short description of the investment</w:t>
            </w:r>
          </w:p>
        </w:tc>
        <w:tc>
          <w:tcPr>
            <w:tcW w:w="5667" w:type="dxa"/>
            <w:tcBorders>
              <w:top w:val="single" w:sz="4" w:space="0" w:color="auto"/>
              <w:left w:val="single" w:sz="4" w:space="0" w:color="auto"/>
              <w:bottom w:val="single" w:sz="4" w:space="0" w:color="auto"/>
              <w:right w:val="single" w:sz="4" w:space="0" w:color="auto"/>
            </w:tcBorders>
            <w:hideMark/>
          </w:tcPr>
          <w:p w14:paraId="684B950C" w14:textId="77777777" w:rsidR="0094644B" w:rsidRPr="00F07779" w:rsidRDefault="0094644B" w:rsidP="00FB5086">
            <w:pPr>
              <w:rPr>
                <w:sz w:val="20"/>
                <w:szCs w:val="20"/>
              </w:rPr>
            </w:pPr>
            <w:r w:rsidRPr="00F07779">
              <w:rPr>
                <w:sz w:val="20"/>
                <w:szCs w:val="20"/>
              </w:rPr>
              <w:t>The reconstruction is necessitated by the age and poor condition of the power line, as well as the importance of the route to which this power line belongs for the transmission of energy produced from renewable sources in eastern Serbia to consumers located in the central Serbia region. This issue will gain importance following the planned shutdown of the TPP Morava.</w:t>
            </w:r>
          </w:p>
          <w:p w14:paraId="36A1EB17" w14:textId="77777777" w:rsidR="0094644B" w:rsidRPr="00F07779" w:rsidRDefault="0094644B" w:rsidP="00FB5086">
            <w:pPr>
              <w:rPr>
                <w:sz w:val="20"/>
                <w:szCs w:val="20"/>
              </w:rPr>
            </w:pPr>
            <w:r w:rsidRPr="00F07779">
              <w:rPr>
                <w:sz w:val="20"/>
                <w:szCs w:val="20"/>
              </w:rPr>
              <w:t>Expected dynamics of project implementation:</w:t>
            </w:r>
          </w:p>
          <w:p w14:paraId="7CC4A340" w14:textId="77777777" w:rsidR="0094644B" w:rsidRPr="00F07779" w:rsidRDefault="0094644B" w:rsidP="00FB5086">
            <w:pPr>
              <w:rPr>
                <w:sz w:val="20"/>
                <w:szCs w:val="20"/>
              </w:rPr>
            </w:pPr>
            <w:r w:rsidRPr="00F07779">
              <w:rPr>
                <w:sz w:val="20"/>
                <w:szCs w:val="20"/>
              </w:rPr>
              <w:t>2026. Preliminary design</w:t>
            </w:r>
          </w:p>
          <w:p w14:paraId="1EB7BC8C" w14:textId="77777777" w:rsidR="0094644B" w:rsidRPr="00F07779" w:rsidRDefault="0094644B" w:rsidP="00FB5086">
            <w:pPr>
              <w:rPr>
                <w:sz w:val="20"/>
                <w:szCs w:val="20"/>
              </w:rPr>
            </w:pPr>
            <w:r w:rsidRPr="00F07779">
              <w:rPr>
                <w:sz w:val="20"/>
                <w:szCs w:val="20"/>
              </w:rPr>
              <w:t>2027. Building permit</w:t>
            </w:r>
          </w:p>
          <w:p w14:paraId="09C908BA" w14:textId="77777777" w:rsidR="0094644B" w:rsidRPr="00F07779" w:rsidRDefault="0094644B" w:rsidP="00FB5086">
            <w:pPr>
              <w:rPr>
                <w:sz w:val="20"/>
                <w:szCs w:val="20"/>
              </w:rPr>
            </w:pPr>
            <w:r w:rsidRPr="00F07779">
              <w:rPr>
                <w:sz w:val="20"/>
                <w:szCs w:val="20"/>
              </w:rPr>
              <w:t>2028. Construction</w:t>
            </w:r>
          </w:p>
        </w:tc>
      </w:tr>
      <w:tr w:rsidR="0094644B" w:rsidRPr="00F07779" w14:paraId="7882DE1F"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0E6C0368" w14:textId="77777777" w:rsidR="0094644B" w:rsidRPr="00F07779" w:rsidRDefault="0094644B" w:rsidP="00FB5086">
            <w:pPr>
              <w:rPr>
                <w:sz w:val="20"/>
                <w:szCs w:val="20"/>
              </w:rPr>
            </w:pPr>
            <w:r w:rsidRPr="00FA3F57">
              <w:rPr>
                <w:sz w:val="20"/>
                <w:szCs w:val="20"/>
              </w:rPr>
              <w:t>Institutions responsible for the implementation of measures and activities</w:t>
            </w:r>
          </w:p>
        </w:tc>
        <w:tc>
          <w:tcPr>
            <w:tcW w:w="5667" w:type="dxa"/>
            <w:tcBorders>
              <w:top w:val="single" w:sz="4" w:space="0" w:color="auto"/>
              <w:left w:val="single" w:sz="4" w:space="0" w:color="auto"/>
              <w:bottom w:val="single" w:sz="4" w:space="0" w:color="auto"/>
              <w:right w:val="single" w:sz="4" w:space="0" w:color="auto"/>
            </w:tcBorders>
            <w:hideMark/>
          </w:tcPr>
          <w:p w14:paraId="60CB7636" w14:textId="77777777" w:rsidR="0094644B" w:rsidRPr="00F07779" w:rsidRDefault="0094644B" w:rsidP="00FB5086">
            <w:pPr>
              <w:rPr>
                <w:sz w:val="20"/>
                <w:szCs w:val="20"/>
              </w:rPr>
            </w:pPr>
            <w:r w:rsidRPr="00FA3F57">
              <w:rPr>
                <w:sz w:val="20"/>
                <w:szCs w:val="20"/>
              </w:rPr>
              <w:t>EMS JSC Belgrade</w:t>
            </w:r>
          </w:p>
        </w:tc>
      </w:tr>
      <w:tr w:rsidR="0094644B" w:rsidRPr="00F07779" w14:paraId="1681DF0C"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4F903BE1" w14:textId="77777777" w:rsidR="0094644B" w:rsidRPr="00F07779" w:rsidRDefault="0094644B" w:rsidP="00FB5086">
            <w:pPr>
              <w:rPr>
                <w:sz w:val="20"/>
                <w:szCs w:val="20"/>
              </w:rPr>
            </w:pPr>
            <w:r w:rsidRPr="00FA3F57">
              <w:rPr>
                <w:sz w:val="20"/>
                <w:szCs w:val="20"/>
              </w:rPr>
              <w:t>Institutions responsible for monitoring implementation and reporting on the realization</w:t>
            </w:r>
          </w:p>
        </w:tc>
        <w:tc>
          <w:tcPr>
            <w:tcW w:w="5667" w:type="dxa"/>
            <w:tcBorders>
              <w:top w:val="single" w:sz="4" w:space="0" w:color="auto"/>
              <w:left w:val="single" w:sz="4" w:space="0" w:color="auto"/>
              <w:bottom w:val="single" w:sz="4" w:space="0" w:color="auto"/>
              <w:right w:val="single" w:sz="4" w:space="0" w:color="auto"/>
            </w:tcBorders>
            <w:hideMark/>
          </w:tcPr>
          <w:p w14:paraId="6B5600E0" w14:textId="77777777" w:rsidR="0094644B" w:rsidRPr="00F07779" w:rsidRDefault="0094644B" w:rsidP="00FB5086">
            <w:pPr>
              <w:rPr>
                <w:sz w:val="20"/>
                <w:szCs w:val="20"/>
              </w:rPr>
            </w:pPr>
            <w:r w:rsidRPr="00FA3F57">
              <w:rPr>
                <w:sz w:val="20"/>
                <w:szCs w:val="20"/>
              </w:rPr>
              <w:t>EMS JSC Belgrade</w:t>
            </w:r>
          </w:p>
          <w:p w14:paraId="5D6C7EEB" w14:textId="77777777" w:rsidR="0094644B" w:rsidRPr="00FA3F57" w:rsidRDefault="0094644B" w:rsidP="00FB5086">
            <w:pPr>
              <w:rPr>
                <w:sz w:val="20"/>
                <w:szCs w:val="20"/>
              </w:rPr>
            </w:pPr>
            <w:r w:rsidRPr="00FA3F57">
              <w:rPr>
                <w:sz w:val="20"/>
                <w:szCs w:val="20"/>
              </w:rPr>
              <w:t>Republic Commission for Energy Networks</w:t>
            </w:r>
          </w:p>
          <w:p w14:paraId="264DECCB" w14:textId="77777777" w:rsidR="0094644B" w:rsidRPr="00F07779" w:rsidRDefault="0094644B" w:rsidP="00FB5086">
            <w:pPr>
              <w:rPr>
                <w:sz w:val="20"/>
                <w:szCs w:val="20"/>
              </w:rPr>
            </w:pPr>
            <w:r w:rsidRPr="00F07779">
              <w:rPr>
                <w:sz w:val="20"/>
                <w:szCs w:val="20"/>
              </w:rPr>
              <w:t>Ministry of Mining and Energy</w:t>
            </w:r>
          </w:p>
        </w:tc>
      </w:tr>
      <w:tr w:rsidR="0094644B" w:rsidRPr="00F07779" w14:paraId="3E2A060E"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0F5684C9" w14:textId="77777777" w:rsidR="0094644B" w:rsidRPr="00F07779" w:rsidRDefault="0094644B" w:rsidP="00FB5086">
            <w:pPr>
              <w:rPr>
                <w:sz w:val="20"/>
                <w:szCs w:val="20"/>
              </w:rPr>
            </w:pPr>
            <w:r w:rsidRPr="00FA3F57">
              <w:rPr>
                <w:sz w:val="20"/>
                <w:szCs w:val="20"/>
              </w:rPr>
              <w:t>Year of project funding start</w:t>
            </w:r>
          </w:p>
        </w:tc>
        <w:tc>
          <w:tcPr>
            <w:tcW w:w="5667" w:type="dxa"/>
            <w:tcBorders>
              <w:top w:val="single" w:sz="4" w:space="0" w:color="auto"/>
              <w:left w:val="single" w:sz="4" w:space="0" w:color="auto"/>
              <w:bottom w:val="single" w:sz="4" w:space="0" w:color="auto"/>
              <w:right w:val="single" w:sz="4" w:space="0" w:color="auto"/>
            </w:tcBorders>
            <w:hideMark/>
          </w:tcPr>
          <w:p w14:paraId="0530DA0E" w14:textId="77777777" w:rsidR="0094644B" w:rsidRPr="00F07779" w:rsidRDefault="0094644B" w:rsidP="00FB5086">
            <w:pPr>
              <w:rPr>
                <w:sz w:val="20"/>
                <w:szCs w:val="20"/>
              </w:rPr>
            </w:pPr>
            <w:r w:rsidRPr="00F07779">
              <w:rPr>
                <w:sz w:val="20"/>
                <w:szCs w:val="20"/>
              </w:rPr>
              <w:t>2024.</w:t>
            </w:r>
          </w:p>
        </w:tc>
      </w:tr>
      <w:tr w:rsidR="0094644B" w:rsidRPr="00F07779" w14:paraId="365F08C4"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6D371F0D" w14:textId="77777777" w:rsidR="0094644B" w:rsidRPr="00F07779" w:rsidRDefault="0094644B" w:rsidP="00FB5086">
            <w:pPr>
              <w:rPr>
                <w:sz w:val="20"/>
                <w:szCs w:val="20"/>
              </w:rPr>
            </w:pPr>
            <w:r w:rsidRPr="00FA3F57">
              <w:rPr>
                <w:sz w:val="20"/>
                <w:szCs w:val="20"/>
              </w:rPr>
              <w:t>Year of completion of project funding</w:t>
            </w:r>
          </w:p>
        </w:tc>
        <w:tc>
          <w:tcPr>
            <w:tcW w:w="5667" w:type="dxa"/>
            <w:tcBorders>
              <w:top w:val="single" w:sz="4" w:space="0" w:color="auto"/>
              <w:left w:val="single" w:sz="4" w:space="0" w:color="auto"/>
              <w:bottom w:val="single" w:sz="4" w:space="0" w:color="auto"/>
              <w:right w:val="single" w:sz="4" w:space="0" w:color="auto"/>
            </w:tcBorders>
            <w:hideMark/>
          </w:tcPr>
          <w:p w14:paraId="76AF1900" w14:textId="77777777" w:rsidR="0094644B" w:rsidRPr="00F07779" w:rsidRDefault="0094644B" w:rsidP="00FB5086">
            <w:pPr>
              <w:rPr>
                <w:sz w:val="20"/>
                <w:szCs w:val="20"/>
              </w:rPr>
            </w:pPr>
            <w:r w:rsidRPr="00F07779">
              <w:rPr>
                <w:sz w:val="20"/>
                <w:szCs w:val="20"/>
              </w:rPr>
              <w:t>2029.</w:t>
            </w:r>
          </w:p>
        </w:tc>
      </w:tr>
      <w:tr w:rsidR="0094644B" w:rsidRPr="00F07779" w14:paraId="633FADD8"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76E0131A" w14:textId="77777777" w:rsidR="0094644B" w:rsidRPr="00F07779" w:rsidRDefault="0094644B" w:rsidP="00FB5086">
            <w:pPr>
              <w:rPr>
                <w:sz w:val="20"/>
                <w:szCs w:val="20"/>
              </w:rPr>
            </w:pPr>
            <w:r w:rsidRPr="00FA3F57">
              <w:rPr>
                <w:sz w:val="20"/>
                <w:szCs w:val="20"/>
              </w:rPr>
              <w:t>Total project value</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0D49CCBA" w14:textId="77777777" w:rsidR="0094644B" w:rsidRPr="00F07779" w:rsidRDefault="0094644B" w:rsidP="00FB5086">
            <w:pPr>
              <w:rPr>
                <w:sz w:val="20"/>
                <w:szCs w:val="20"/>
              </w:rPr>
            </w:pPr>
            <w:r w:rsidRPr="00F07779">
              <w:rPr>
                <w:sz w:val="20"/>
                <w:szCs w:val="20"/>
              </w:rPr>
              <w:t>480,725 (4.1 million EUR)</w:t>
            </w:r>
          </w:p>
        </w:tc>
      </w:tr>
      <w:tr w:rsidR="0094644B" w:rsidRPr="00F07779" w14:paraId="294C0398"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1CFD331A" w14:textId="77777777" w:rsidR="0094644B" w:rsidRPr="00F07779" w:rsidRDefault="0094644B" w:rsidP="00FB5086">
            <w:pPr>
              <w:rPr>
                <w:sz w:val="20"/>
                <w:szCs w:val="20"/>
              </w:rPr>
            </w:pPr>
            <w:r w:rsidRPr="00FA3F57">
              <w:rPr>
                <w:sz w:val="20"/>
                <w:szCs w:val="20"/>
              </w:rPr>
              <w:t>Planned investments for 2026.</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389E3B0C" w14:textId="77777777" w:rsidR="0094644B" w:rsidRPr="00F07779" w:rsidRDefault="0094644B" w:rsidP="00FB5086">
            <w:pPr>
              <w:rPr>
                <w:sz w:val="20"/>
                <w:szCs w:val="20"/>
              </w:rPr>
            </w:pPr>
            <w:r w:rsidRPr="00F07779">
              <w:rPr>
                <w:sz w:val="20"/>
                <w:szCs w:val="20"/>
              </w:rPr>
              <w:t>11,656 (own funds of EMS JSC)</w:t>
            </w:r>
          </w:p>
        </w:tc>
      </w:tr>
      <w:tr w:rsidR="0094644B" w:rsidRPr="00F07779" w14:paraId="6B34DDF2"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64329597" w14:textId="77777777" w:rsidR="0094644B" w:rsidRPr="00F07779" w:rsidRDefault="0094644B" w:rsidP="00FB5086">
            <w:pPr>
              <w:rPr>
                <w:sz w:val="20"/>
                <w:szCs w:val="20"/>
              </w:rPr>
            </w:pPr>
            <w:r w:rsidRPr="00FA3F57">
              <w:rPr>
                <w:sz w:val="20"/>
                <w:szCs w:val="20"/>
              </w:rPr>
              <w:t>Planned investments for 2027.</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03A1A49D" w14:textId="77777777" w:rsidR="0094644B" w:rsidRPr="00F07779" w:rsidRDefault="0094644B" w:rsidP="00FB5086">
            <w:pPr>
              <w:rPr>
                <w:sz w:val="20"/>
                <w:szCs w:val="20"/>
              </w:rPr>
            </w:pPr>
            <w:r w:rsidRPr="00F07779">
              <w:rPr>
                <w:sz w:val="20"/>
                <w:szCs w:val="20"/>
              </w:rPr>
              <w:t>72,536 (own funds of EMS JSC)</w:t>
            </w:r>
          </w:p>
        </w:tc>
      </w:tr>
      <w:tr w:rsidR="0094644B" w:rsidRPr="00F07779" w14:paraId="30ED25EE"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66336E9E" w14:textId="77777777" w:rsidR="0094644B" w:rsidRPr="00F07779" w:rsidRDefault="0094644B" w:rsidP="00FB5086">
            <w:pPr>
              <w:rPr>
                <w:sz w:val="20"/>
                <w:szCs w:val="20"/>
              </w:rPr>
            </w:pPr>
            <w:r w:rsidRPr="00FA3F57">
              <w:rPr>
                <w:sz w:val="20"/>
                <w:szCs w:val="20"/>
              </w:rPr>
              <w:t>Planned investments for 2028.</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5E279E34" w14:textId="77777777" w:rsidR="0094644B" w:rsidRPr="00F07779" w:rsidRDefault="0094644B" w:rsidP="00FB5086">
            <w:pPr>
              <w:rPr>
                <w:sz w:val="20"/>
                <w:szCs w:val="20"/>
              </w:rPr>
            </w:pPr>
            <w:r w:rsidRPr="00F07779">
              <w:rPr>
                <w:sz w:val="20"/>
                <w:szCs w:val="20"/>
              </w:rPr>
              <w:t>192,949 (own funds of EMS JSC)</w:t>
            </w:r>
          </w:p>
        </w:tc>
      </w:tr>
    </w:tbl>
    <w:p w14:paraId="14D4EAAA" w14:textId="77777777" w:rsidR="0094644B" w:rsidRPr="00F07779" w:rsidRDefault="0094644B" w:rsidP="0094644B">
      <w:pPr>
        <w:tabs>
          <w:tab w:val="left" w:pos="1276"/>
          <w:tab w:val="left" w:pos="1560"/>
        </w:tabs>
        <w:ind w:left="1440" w:hanging="1440"/>
      </w:pPr>
    </w:p>
    <w:tbl>
      <w:tblPr>
        <w:tblStyle w:val="TableGrid"/>
        <w:tblW w:w="0" w:type="auto"/>
        <w:tblLook w:val="04A0" w:firstRow="1" w:lastRow="0" w:firstColumn="1" w:lastColumn="0" w:noHBand="0" w:noVBand="1"/>
      </w:tblPr>
      <w:tblGrid>
        <w:gridCol w:w="2973"/>
        <w:gridCol w:w="5667"/>
      </w:tblGrid>
      <w:tr w:rsidR="0094644B" w:rsidRPr="00F07779" w14:paraId="141CB150"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73B2F02" w14:textId="77777777" w:rsidR="0094644B" w:rsidRPr="00F07779" w:rsidRDefault="0094644B" w:rsidP="00FB5086">
            <w:pPr>
              <w:rPr>
                <w:sz w:val="20"/>
                <w:szCs w:val="20"/>
              </w:rPr>
            </w:pPr>
            <w:r w:rsidRPr="00F07779">
              <w:rPr>
                <w:sz w:val="20"/>
                <w:szCs w:val="20"/>
              </w:rPr>
              <w:t>Activity EL1.2</w:t>
            </w:r>
          </w:p>
        </w:tc>
        <w:tc>
          <w:tcPr>
            <w:tcW w:w="566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48742DB" w14:textId="77777777" w:rsidR="0094644B" w:rsidRPr="00F07779" w:rsidRDefault="0094644B" w:rsidP="00FB5086">
            <w:pPr>
              <w:rPr>
                <w:sz w:val="20"/>
                <w:szCs w:val="20"/>
              </w:rPr>
            </w:pPr>
            <w:r w:rsidRPr="00F07779">
              <w:rPr>
                <w:sz w:val="20"/>
                <w:szCs w:val="20"/>
              </w:rPr>
              <w:t>Investment projects focused on the reconstruction and construction of the transmission network</w:t>
            </w:r>
          </w:p>
        </w:tc>
      </w:tr>
      <w:tr w:rsidR="0094644B" w:rsidRPr="00F07779" w14:paraId="436BF6D5"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2BCB172A" w14:textId="77777777" w:rsidR="0094644B" w:rsidRPr="00F07779" w:rsidRDefault="0094644B" w:rsidP="00FB5086">
            <w:pPr>
              <w:rPr>
                <w:sz w:val="20"/>
                <w:szCs w:val="20"/>
              </w:rPr>
            </w:pPr>
            <w:r w:rsidRPr="00FA3F57">
              <w:rPr>
                <w:sz w:val="20"/>
                <w:szCs w:val="20"/>
              </w:rPr>
              <w:t>Name of the project</w:t>
            </w:r>
          </w:p>
        </w:tc>
        <w:tc>
          <w:tcPr>
            <w:tcW w:w="5667"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29447C94" w14:textId="77777777" w:rsidR="0094644B" w:rsidRPr="00F07779" w:rsidRDefault="0094644B" w:rsidP="00FB5086">
            <w:pPr>
              <w:rPr>
                <w:sz w:val="20"/>
                <w:szCs w:val="20"/>
              </w:rPr>
            </w:pPr>
            <w:r w:rsidRPr="00F07779">
              <w:rPr>
                <w:sz w:val="20"/>
                <w:szCs w:val="20"/>
              </w:rPr>
              <w:t>Reconstruction of the OHL 110 kV No. 123/4 TS Kragujevac 1 – TS Kragujevac 2</w:t>
            </w:r>
          </w:p>
        </w:tc>
      </w:tr>
      <w:tr w:rsidR="0094644B" w:rsidRPr="00F07779" w14:paraId="10E367C5"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FE924A5" w14:textId="77777777" w:rsidR="0094644B" w:rsidRPr="00F07779" w:rsidRDefault="0094644B" w:rsidP="00FB5086">
            <w:pPr>
              <w:rPr>
                <w:sz w:val="20"/>
                <w:szCs w:val="20"/>
              </w:rPr>
            </w:pPr>
            <w:r w:rsidRPr="00FA3F57">
              <w:rPr>
                <w:sz w:val="20"/>
                <w:szCs w:val="20"/>
              </w:rPr>
              <w:t xml:space="preserve">Name of the </w:t>
            </w:r>
            <w:r w:rsidRPr="00F07779">
              <w:rPr>
                <w:sz w:val="20"/>
                <w:szCs w:val="20"/>
              </w:rPr>
              <w:t>investment</w:t>
            </w:r>
          </w:p>
        </w:tc>
        <w:tc>
          <w:tcPr>
            <w:tcW w:w="5667"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E2F8A8F" w14:textId="77777777" w:rsidR="0094644B" w:rsidRPr="00F07779" w:rsidRDefault="0094644B" w:rsidP="00FB5086">
            <w:pPr>
              <w:rPr>
                <w:sz w:val="20"/>
                <w:szCs w:val="20"/>
              </w:rPr>
            </w:pPr>
            <w:r w:rsidRPr="00F07779">
              <w:rPr>
                <w:sz w:val="20"/>
                <w:szCs w:val="20"/>
              </w:rPr>
              <w:t>OHL 110 kV No. 123/4 TS Kragujevac 1 – TS Kragujevac 2, reconstruction</w:t>
            </w:r>
          </w:p>
        </w:tc>
      </w:tr>
      <w:tr w:rsidR="0094644B" w:rsidRPr="00F07779" w14:paraId="4BD7A2CA"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7F109F8B" w14:textId="77777777" w:rsidR="0094644B" w:rsidRPr="00F07779" w:rsidRDefault="0094644B" w:rsidP="00FB5086">
            <w:pPr>
              <w:rPr>
                <w:sz w:val="20"/>
                <w:szCs w:val="20"/>
              </w:rPr>
            </w:pPr>
            <w:r w:rsidRPr="00FA3F57">
              <w:rPr>
                <w:sz w:val="20"/>
                <w:szCs w:val="20"/>
              </w:rPr>
              <w:t>Short description of the investment</w:t>
            </w:r>
          </w:p>
        </w:tc>
        <w:tc>
          <w:tcPr>
            <w:tcW w:w="5667" w:type="dxa"/>
            <w:tcBorders>
              <w:top w:val="single" w:sz="4" w:space="0" w:color="auto"/>
              <w:left w:val="single" w:sz="4" w:space="0" w:color="auto"/>
              <w:bottom w:val="single" w:sz="4" w:space="0" w:color="auto"/>
              <w:right w:val="single" w:sz="4" w:space="0" w:color="auto"/>
            </w:tcBorders>
            <w:hideMark/>
          </w:tcPr>
          <w:p w14:paraId="3BC5936E" w14:textId="77777777" w:rsidR="0094644B" w:rsidRPr="00F07779" w:rsidRDefault="0094644B" w:rsidP="00FB5086">
            <w:pPr>
              <w:rPr>
                <w:sz w:val="20"/>
                <w:szCs w:val="20"/>
              </w:rPr>
            </w:pPr>
            <w:r w:rsidRPr="00F07779">
              <w:rPr>
                <w:sz w:val="20"/>
                <w:szCs w:val="20"/>
              </w:rPr>
              <w:t>The reconstruction is due to the ageing of the transmission lines and the need to expand the transmission system.</w:t>
            </w:r>
          </w:p>
          <w:p w14:paraId="25B5A739" w14:textId="77777777" w:rsidR="0094644B" w:rsidRPr="00F07779" w:rsidRDefault="0094644B" w:rsidP="00FB5086">
            <w:pPr>
              <w:rPr>
                <w:sz w:val="20"/>
                <w:szCs w:val="20"/>
              </w:rPr>
            </w:pPr>
            <w:r w:rsidRPr="00F07779">
              <w:rPr>
                <w:sz w:val="20"/>
                <w:szCs w:val="20"/>
              </w:rPr>
              <w:t>Expected dynamics of project implementation:</w:t>
            </w:r>
          </w:p>
          <w:p w14:paraId="44DCFB64" w14:textId="77777777" w:rsidR="0094644B" w:rsidRPr="00F07779" w:rsidRDefault="0094644B" w:rsidP="00FB5086">
            <w:pPr>
              <w:rPr>
                <w:sz w:val="20"/>
                <w:szCs w:val="20"/>
              </w:rPr>
            </w:pPr>
            <w:r w:rsidRPr="00F07779">
              <w:rPr>
                <w:sz w:val="20"/>
                <w:szCs w:val="20"/>
              </w:rPr>
              <w:t>2026. Preliminary design</w:t>
            </w:r>
          </w:p>
          <w:p w14:paraId="6CA50251" w14:textId="77777777" w:rsidR="0094644B" w:rsidRPr="00F07779" w:rsidRDefault="0094644B" w:rsidP="00FB5086">
            <w:pPr>
              <w:rPr>
                <w:sz w:val="20"/>
                <w:szCs w:val="20"/>
              </w:rPr>
            </w:pPr>
            <w:r w:rsidRPr="00F07779">
              <w:rPr>
                <w:sz w:val="20"/>
                <w:szCs w:val="20"/>
              </w:rPr>
              <w:t>2027. Building permit</w:t>
            </w:r>
          </w:p>
          <w:p w14:paraId="1156D936" w14:textId="77777777" w:rsidR="0094644B" w:rsidRPr="00F07779" w:rsidRDefault="0094644B" w:rsidP="00FB5086">
            <w:pPr>
              <w:rPr>
                <w:sz w:val="20"/>
                <w:szCs w:val="20"/>
              </w:rPr>
            </w:pPr>
            <w:r w:rsidRPr="00F07779">
              <w:rPr>
                <w:sz w:val="20"/>
                <w:szCs w:val="20"/>
              </w:rPr>
              <w:t>2028. Construction</w:t>
            </w:r>
          </w:p>
        </w:tc>
      </w:tr>
      <w:tr w:rsidR="0094644B" w:rsidRPr="00F07779" w14:paraId="50F9635E"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2A8D05BD" w14:textId="77777777" w:rsidR="0094644B" w:rsidRPr="00F07779" w:rsidRDefault="0094644B" w:rsidP="00FB5086">
            <w:pPr>
              <w:rPr>
                <w:sz w:val="20"/>
                <w:szCs w:val="20"/>
              </w:rPr>
            </w:pPr>
            <w:r w:rsidRPr="00FA3F57">
              <w:rPr>
                <w:sz w:val="20"/>
                <w:szCs w:val="20"/>
              </w:rPr>
              <w:t>Institutions responsible for the implementation of measures and activities</w:t>
            </w:r>
          </w:p>
        </w:tc>
        <w:tc>
          <w:tcPr>
            <w:tcW w:w="5667" w:type="dxa"/>
            <w:tcBorders>
              <w:top w:val="single" w:sz="4" w:space="0" w:color="auto"/>
              <w:left w:val="single" w:sz="4" w:space="0" w:color="auto"/>
              <w:bottom w:val="single" w:sz="4" w:space="0" w:color="auto"/>
              <w:right w:val="single" w:sz="4" w:space="0" w:color="auto"/>
            </w:tcBorders>
            <w:hideMark/>
          </w:tcPr>
          <w:p w14:paraId="7F21DBC7" w14:textId="77777777" w:rsidR="0094644B" w:rsidRPr="00F07779" w:rsidRDefault="0094644B" w:rsidP="00FB5086">
            <w:pPr>
              <w:rPr>
                <w:sz w:val="20"/>
                <w:szCs w:val="20"/>
              </w:rPr>
            </w:pPr>
            <w:r w:rsidRPr="00FA3F57">
              <w:rPr>
                <w:sz w:val="20"/>
                <w:szCs w:val="20"/>
              </w:rPr>
              <w:t>EMS JSC Belgrade</w:t>
            </w:r>
          </w:p>
        </w:tc>
      </w:tr>
      <w:tr w:rsidR="0094644B" w:rsidRPr="00F07779" w14:paraId="0D23043E"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0A65F394" w14:textId="77777777" w:rsidR="0094644B" w:rsidRPr="00F07779" w:rsidRDefault="0094644B" w:rsidP="00FB5086">
            <w:pPr>
              <w:rPr>
                <w:sz w:val="20"/>
                <w:szCs w:val="20"/>
              </w:rPr>
            </w:pPr>
            <w:r w:rsidRPr="00FA3F57">
              <w:rPr>
                <w:sz w:val="20"/>
                <w:szCs w:val="20"/>
              </w:rPr>
              <w:t>Institutions responsible for monitoring implementation and reporting on the realization</w:t>
            </w:r>
          </w:p>
        </w:tc>
        <w:tc>
          <w:tcPr>
            <w:tcW w:w="5667" w:type="dxa"/>
            <w:tcBorders>
              <w:top w:val="single" w:sz="4" w:space="0" w:color="auto"/>
              <w:left w:val="single" w:sz="4" w:space="0" w:color="auto"/>
              <w:bottom w:val="single" w:sz="4" w:space="0" w:color="auto"/>
              <w:right w:val="single" w:sz="4" w:space="0" w:color="auto"/>
            </w:tcBorders>
            <w:hideMark/>
          </w:tcPr>
          <w:p w14:paraId="043E33DC" w14:textId="77777777" w:rsidR="0094644B" w:rsidRPr="00F07779" w:rsidRDefault="0094644B" w:rsidP="00FB5086">
            <w:pPr>
              <w:rPr>
                <w:sz w:val="20"/>
                <w:szCs w:val="20"/>
              </w:rPr>
            </w:pPr>
            <w:r w:rsidRPr="00FA3F57">
              <w:rPr>
                <w:sz w:val="20"/>
                <w:szCs w:val="20"/>
              </w:rPr>
              <w:t>EMS JSC Belgrade</w:t>
            </w:r>
          </w:p>
          <w:p w14:paraId="61583026" w14:textId="77777777" w:rsidR="0094644B" w:rsidRPr="00FA3F57" w:rsidRDefault="0094644B" w:rsidP="00FB5086">
            <w:pPr>
              <w:rPr>
                <w:sz w:val="20"/>
                <w:szCs w:val="20"/>
              </w:rPr>
            </w:pPr>
            <w:r w:rsidRPr="00FA3F57">
              <w:rPr>
                <w:sz w:val="20"/>
                <w:szCs w:val="20"/>
              </w:rPr>
              <w:t>Republic Commission for Energy Networks</w:t>
            </w:r>
          </w:p>
          <w:p w14:paraId="0F3C089C" w14:textId="77777777" w:rsidR="0094644B" w:rsidRPr="00F07779" w:rsidRDefault="0094644B" w:rsidP="00FB5086">
            <w:pPr>
              <w:rPr>
                <w:sz w:val="20"/>
                <w:szCs w:val="20"/>
              </w:rPr>
            </w:pPr>
            <w:r w:rsidRPr="00F07779">
              <w:rPr>
                <w:sz w:val="20"/>
                <w:szCs w:val="20"/>
              </w:rPr>
              <w:t>Ministry of Mining and Energy</w:t>
            </w:r>
          </w:p>
        </w:tc>
      </w:tr>
      <w:tr w:rsidR="0094644B" w:rsidRPr="00F07779" w14:paraId="6C5DAE3D"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13668183" w14:textId="77777777" w:rsidR="0094644B" w:rsidRPr="00F07779" w:rsidRDefault="0094644B" w:rsidP="00FB5086">
            <w:pPr>
              <w:rPr>
                <w:sz w:val="20"/>
                <w:szCs w:val="20"/>
              </w:rPr>
            </w:pPr>
            <w:r w:rsidRPr="00FA3F57">
              <w:rPr>
                <w:sz w:val="20"/>
                <w:szCs w:val="20"/>
              </w:rPr>
              <w:t>Year of project funding start</w:t>
            </w:r>
          </w:p>
        </w:tc>
        <w:tc>
          <w:tcPr>
            <w:tcW w:w="5667" w:type="dxa"/>
            <w:tcBorders>
              <w:top w:val="single" w:sz="4" w:space="0" w:color="auto"/>
              <w:left w:val="single" w:sz="4" w:space="0" w:color="auto"/>
              <w:bottom w:val="single" w:sz="4" w:space="0" w:color="auto"/>
              <w:right w:val="single" w:sz="4" w:space="0" w:color="auto"/>
            </w:tcBorders>
            <w:hideMark/>
          </w:tcPr>
          <w:p w14:paraId="5E8340E6" w14:textId="77777777" w:rsidR="0094644B" w:rsidRPr="00F07779" w:rsidRDefault="0094644B" w:rsidP="00FB5086">
            <w:pPr>
              <w:rPr>
                <w:sz w:val="20"/>
                <w:szCs w:val="20"/>
              </w:rPr>
            </w:pPr>
            <w:r w:rsidRPr="00F07779">
              <w:rPr>
                <w:sz w:val="20"/>
                <w:szCs w:val="20"/>
              </w:rPr>
              <w:t>2023.</w:t>
            </w:r>
          </w:p>
        </w:tc>
      </w:tr>
      <w:tr w:rsidR="0094644B" w:rsidRPr="00F07779" w14:paraId="159E7883"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60F24F92" w14:textId="77777777" w:rsidR="0094644B" w:rsidRPr="00F07779" w:rsidRDefault="0094644B" w:rsidP="00FB5086">
            <w:pPr>
              <w:rPr>
                <w:sz w:val="20"/>
                <w:szCs w:val="20"/>
              </w:rPr>
            </w:pPr>
            <w:r w:rsidRPr="00FA3F57">
              <w:rPr>
                <w:sz w:val="20"/>
                <w:szCs w:val="20"/>
              </w:rPr>
              <w:t>Year of completion of project funding</w:t>
            </w:r>
          </w:p>
        </w:tc>
        <w:tc>
          <w:tcPr>
            <w:tcW w:w="5667" w:type="dxa"/>
            <w:tcBorders>
              <w:top w:val="single" w:sz="4" w:space="0" w:color="auto"/>
              <w:left w:val="single" w:sz="4" w:space="0" w:color="auto"/>
              <w:bottom w:val="single" w:sz="4" w:space="0" w:color="auto"/>
              <w:right w:val="single" w:sz="4" w:space="0" w:color="auto"/>
            </w:tcBorders>
            <w:hideMark/>
          </w:tcPr>
          <w:p w14:paraId="4AE38628" w14:textId="77777777" w:rsidR="0094644B" w:rsidRPr="00F07779" w:rsidRDefault="0094644B" w:rsidP="00FB5086">
            <w:pPr>
              <w:rPr>
                <w:sz w:val="20"/>
                <w:szCs w:val="20"/>
              </w:rPr>
            </w:pPr>
            <w:r w:rsidRPr="00F07779">
              <w:rPr>
                <w:sz w:val="20"/>
                <w:szCs w:val="20"/>
              </w:rPr>
              <w:t>2029.</w:t>
            </w:r>
          </w:p>
        </w:tc>
      </w:tr>
      <w:tr w:rsidR="0094644B" w:rsidRPr="00F07779" w14:paraId="6D671DF1"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7B81F41B" w14:textId="77777777" w:rsidR="0094644B" w:rsidRPr="00F07779" w:rsidRDefault="0094644B" w:rsidP="00FB5086">
            <w:pPr>
              <w:rPr>
                <w:sz w:val="20"/>
                <w:szCs w:val="20"/>
              </w:rPr>
            </w:pPr>
            <w:r w:rsidRPr="00FA3F57">
              <w:rPr>
                <w:sz w:val="20"/>
                <w:szCs w:val="20"/>
              </w:rPr>
              <w:t>Total project value</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437EAAB1" w14:textId="77777777" w:rsidR="0094644B" w:rsidRPr="00F07779" w:rsidRDefault="0094644B" w:rsidP="00FB5086">
            <w:pPr>
              <w:rPr>
                <w:sz w:val="20"/>
                <w:szCs w:val="20"/>
              </w:rPr>
            </w:pPr>
            <w:r w:rsidRPr="00F07779">
              <w:rPr>
                <w:sz w:val="20"/>
                <w:szCs w:val="20"/>
              </w:rPr>
              <w:t>105,525 (0.9 million EUR)</w:t>
            </w:r>
          </w:p>
        </w:tc>
      </w:tr>
      <w:tr w:rsidR="0094644B" w:rsidRPr="00F07779" w14:paraId="26DD3AB1"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27F497FE" w14:textId="77777777" w:rsidR="0094644B" w:rsidRPr="00F07779" w:rsidRDefault="0094644B" w:rsidP="00FB5086">
            <w:pPr>
              <w:rPr>
                <w:sz w:val="20"/>
                <w:szCs w:val="20"/>
              </w:rPr>
            </w:pPr>
            <w:r w:rsidRPr="00FA3F57">
              <w:rPr>
                <w:sz w:val="20"/>
                <w:szCs w:val="20"/>
              </w:rPr>
              <w:t>Planned investments for 2026.</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6D77C569" w14:textId="77777777" w:rsidR="0094644B" w:rsidRPr="00F07779" w:rsidRDefault="0094644B" w:rsidP="00FB5086">
            <w:pPr>
              <w:rPr>
                <w:sz w:val="20"/>
                <w:szCs w:val="20"/>
              </w:rPr>
            </w:pPr>
            <w:r w:rsidRPr="00F07779">
              <w:rPr>
                <w:sz w:val="20"/>
                <w:szCs w:val="20"/>
              </w:rPr>
              <w:t>4,657 (own funds of EMS JSC)</w:t>
            </w:r>
          </w:p>
        </w:tc>
      </w:tr>
      <w:tr w:rsidR="0094644B" w:rsidRPr="00F07779" w14:paraId="109B17A2"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1021615C" w14:textId="77777777" w:rsidR="0094644B" w:rsidRPr="00F07779" w:rsidRDefault="0094644B" w:rsidP="00FB5086">
            <w:pPr>
              <w:rPr>
                <w:sz w:val="20"/>
                <w:szCs w:val="20"/>
              </w:rPr>
            </w:pPr>
            <w:r w:rsidRPr="00FA3F57">
              <w:rPr>
                <w:sz w:val="20"/>
                <w:szCs w:val="20"/>
              </w:rPr>
              <w:t>Planned investments for 2027.</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6BA0BDB7" w14:textId="77777777" w:rsidR="0094644B" w:rsidRPr="00F07779" w:rsidRDefault="0094644B" w:rsidP="00FB5086">
            <w:pPr>
              <w:rPr>
                <w:sz w:val="20"/>
                <w:szCs w:val="20"/>
              </w:rPr>
            </w:pPr>
            <w:r w:rsidRPr="00F07779">
              <w:rPr>
                <w:sz w:val="20"/>
                <w:szCs w:val="20"/>
              </w:rPr>
              <w:t>35,175 (own funds of EMS JSC)</w:t>
            </w:r>
          </w:p>
        </w:tc>
      </w:tr>
      <w:tr w:rsidR="0094644B" w:rsidRPr="00F07779" w14:paraId="2968EF2F"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28E668F6" w14:textId="77777777" w:rsidR="0094644B" w:rsidRPr="00F07779" w:rsidRDefault="0094644B" w:rsidP="00FB5086">
            <w:pPr>
              <w:rPr>
                <w:sz w:val="20"/>
                <w:szCs w:val="20"/>
              </w:rPr>
            </w:pPr>
            <w:r w:rsidRPr="00FA3F57">
              <w:rPr>
                <w:sz w:val="20"/>
                <w:szCs w:val="20"/>
              </w:rPr>
              <w:t>Planned investments for 2028.</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2A55674E" w14:textId="77777777" w:rsidR="0094644B" w:rsidRPr="00F07779" w:rsidRDefault="0094644B" w:rsidP="00FB5086">
            <w:pPr>
              <w:rPr>
                <w:sz w:val="20"/>
                <w:szCs w:val="20"/>
              </w:rPr>
            </w:pPr>
            <w:r w:rsidRPr="00F07779">
              <w:rPr>
                <w:sz w:val="20"/>
                <w:szCs w:val="20"/>
              </w:rPr>
              <w:t>1,576 (own funds of EMS JSC)</w:t>
            </w:r>
          </w:p>
        </w:tc>
      </w:tr>
    </w:tbl>
    <w:p w14:paraId="39AC9B5E" w14:textId="77777777" w:rsidR="0094644B" w:rsidRPr="00F07779" w:rsidRDefault="0094644B" w:rsidP="0094644B">
      <w:pPr>
        <w:tabs>
          <w:tab w:val="left" w:pos="1276"/>
          <w:tab w:val="left" w:pos="1560"/>
        </w:tabs>
        <w:ind w:left="1440" w:hanging="1440"/>
      </w:pPr>
    </w:p>
    <w:tbl>
      <w:tblPr>
        <w:tblStyle w:val="TableGrid"/>
        <w:tblW w:w="0" w:type="auto"/>
        <w:tblLook w:val="04A0" w:firstRow="1" w:lastRow="0" w:firstColumn="1" w:lastColumn="0" w:noHBand="0" w:noVBand="1"/>
      </w:tblPr>
      <w:tblGrid>
        <w:gridCol w:w="2973"/>
        <w:gridCol w:w="5667"/>
      </w:tblGrid>
      <w:tr w:rsidR="0094644B" w:rsidRPr="00F07779" w14:paraId="0B8645EC"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DD12EF4" w14:textId="77777777" w:rsidR="0094644B" w:rsidRPr="00F07779" w:rsidRDefault="0094644B" w:rsidP="00FB5086">
            <w:pPr>
              <w:rPr>
                <w:sz w:val="20"/>
                <w:szCs w:val="20"/>
              </w:rPr>
            </w:pPr>
            <w:r w:rsidRPr="00F07779">
              <w:rPr>
                <w:sz w:val="20"/>
                <w:szCs w:val="20"/>
              </w:rPr>
              <w:t>Activity EL1.2</w:t>
            </w:r>
          </w:p>
        </w:tc>
        <w:tc>
          <w:tcPr>
            <w:tcW w:w="566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D031D42" w14:textId="77777777" w:rsidR="0094644B" w:rsidRPr="00F07779" w:rsidRDefault="0094644B" w:rsidP="00FB5086">
            <w:pPr>
              <w:rPr>
                <w:sz w:val="20"/>
                <w:szCs w:val="20"/>
              </w:rPr>
            </w:pPr>
            <w:r w:rsidRPr="00F07779">
              <w:rPr>
                <w:sz w:val="20"/>
                <w:szCs w:val="20"/>
              </w:rPr>
              <w:t>Investment projects focused on the reconstruction and construction of the transmission network</w:t>
            </w:r>
          </w:p>
        </w:tc>
      </w:tr>
      <w:tr w:rsidR="0094644B" w:rsidRPr="00F07779" w14:paraId="79CF233F"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39351326" w14:textId="77777777" w:rsidR="0094644B" w:rsidRPr="00F07779" w:rsidRDefault="0094644B" w:rsidP="00FB5086">
            <w:pPr>
              <w:rPr>
                <w:sz w:val="20"/>
                <w:szCs w:val="20"/>
              </w:rPr>
            </w:pPr>
            <w:r w:rsidRPr="00FA3F57">
              <w:rPr>
                <w:sz w:val="20"/>
                <w:szCs w:val="20"/>
              </w:rPr>
              <w:t>Name of the project</w:t>
            </w:r>
          </w:p>
        </w:tc>
        <w:tc>
          <w:tcPr>
            <w:tcW w:w="5667"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442C7D49" w14:textId="77777777" w:rsidR="0094644B" w:rsidRPr="00F07779" w:rsidRDefault="0094644B" w:rsidP="00FB5086">
            <w:pPr>
              <w:rPr>
                <w:sz w:val="20"/>
                <w:szCs w:val="20"/>
              </w:rPr>
            </w:pPr>
            <w:r w:rsidRPr="00F07779">
              <w:rPr>
                <w:sz w:val="20"/>
                <w:szCs w:val="20"/>
              </w:rPr>
              <w:t xml:space="preserve">Reconstruction of the OHL 110 kV No. 108 TS </w:t>
            </w:r>
            <w:proofErr w:type="spellStart"/>
            <w:r w:rsidRPr="00F07779">
              <w:rPr>
                <w:sz w:val="20"/>
                <w:szCs w:val="20"/>
              </w:rPr>
              <w:t>Jagodina</w:t>
            </w:r>
            <w:proofErr w:type="spellEnd"/>
            <w:r w:rsidRPr="00F07779">
              <w:rPr>
                <w:sz w:val="20"/>
                <w:szCs w:val="20"/>
              </w:rPr>
              <w:t xml:space="preserve"> – TS </w:t>
            </w:r>
            <w:proofErr w:type="spellStart"/>
            <w:r w:rsidRPr="00F07779">
              <w:rPr>
                <w:sz w:val="20"/>
                <w:szCs w:val="20"/>
              </w:rPr>
              <w:t>Kruševac</w:t>
            </w:r>
            <w:proofErr w:type="spellEnd"/>
            <w:r w:rsidRPr="00F07779">
              <w:rPr>
                <w:sz w:val="20"/>
                <w:szCs w:val="20"/>
              </w:rPr>
              <w:t xml:space="preserve"> 1 </w:t>
            </w:r>
          </w:p>
        </w:tc>
      </w:tr>
      <w:tr w:rsidR="0094644B" w:rsidRPr="00F07779" w14:paraId="7718A0AB"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A881DE7" w14:textId="77777777" w:rsidR="0094644B" w:rsidRPr="00F07779" w:rsidRDefault="0094644B" w:rsidP="00FB5086">
            <w:pPr>
              <w:rPr>
                <w:sz w:val="20"/>
                <w:szCs w:val="20"/>
              </w:rPr>
            </w:pPr>
            <w:r w:rsidRPr="00FA3F57">
              <w:rPr>
                <w:sz w:val="20"/>
                <w:szCs w:val="20"/>
              </w:rPr>
              <w:t xml:space="preserve">Name of the </w:t>
            </w:r>
            <w:r w:rsidRPr="00F07779">
              <w:rPr>
                <w:sz w:val="20"/>
                <w:szCs w:val="20"/>
              </w:rPr>
              <w:t>investment</w:t>
            </w:r>
          </w:p>
        </w:tc>
        <w:tc>
          <w:tcPr>
            <w:tcW w:w="566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2EFDDB0" w14:textId="77777777" w:rsidR="0094644B" w:rsidRPr="00F07779" w:rsidRDefault="0094644B" w:rsidP="00FB5086">
            <w:pPr>
              <w:rPr>
                <w:sz w:val="20"/>
                <w:szCs w:val="20"/>
              </w:rPr>
            </w:pPr>
            <w:r w:rsidRPr="00F07779">
              <w:rPr>
                <w:sz w:val="20"/>
                <w:szCs w:val="20"/>
              </w:rPr>
              <w:t xml:space="preserve">OHL 110 kV No. 108 TS </w:t>
            </w:r>
            <w:proofErr w:type="spellStart"/>
            <w:r w:rsidRPr="00F07779">
              <w:rPr>
                <w:sz w:val="20"/>
                <w:szCs w:val="20"/>
              </w:rPr>
              <w:t>Jagodina</w:t>
            </w:r>
            <w:proofErr w:type="spellEnd"/>
            <w:r w:rsidRPr="00F07779">
              <w:rPr>
                <w:sz w:val="20"/>
                <w:szCs w:val="20"/>
              </w:rPr>
              <w:t xml:space="preserve"> – TS </w:t>
            </w:r>
            <w:proofErr w:type="spellStart"/>
            <w:r w:rsidRPr="00F07779">
              <w:rPr>
                <w:sz w:val="20"/>
                <w:szCs w:val="20"/>
              </w:rPr>
              <w:t>Kruševac</w:t>
            </w:r>
            <w:proofErr w:type="spellEnd"/>
            <w:r w:rsidRPr="00F07779">
              <w:rPr>
                <w:sz w:val="20"/>
                <w:szCs w:val="20"/>
              </w:rPr>
              <w:t xml:space="preserve"> 1, reconstruction into a dual-system and the equipping of one of the systems </w:t>
            </w:r>
          </w:p>
        </w:tc>
      </w:tr>
      <w:tr w:rsidR="0094644B" w:rsidRPr="00F07779" w14:paraId="1C130228"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06D8CA84" w14:textId="77777777" w:rsidR="0094644B" w:rsidRPr="00F07779" w:rsidRDefault="0094644B" w:rsidP="00FB5086">
            <w:pPr>
              <w:rPr>
                <w:sz w:val="20"/>
                <w:szCs w:val="20"/>
              </w:rPr>
            </w:pPr>
            <w:r w:rsidRPr="00FA3F57">
              <w:rPr>
                <w:sz w:val="20"/>
                <w:szCs w:val="20"/>
              </w:rPr>
              <w:t>Short description of the investment</w:t>
            </w:r>
          </w:p>
        </w:tc>
        <w:tc>
          <w:tcPr>
            <w:tcW w:w="5667" w:type="dxa"/>
            <w:tcBorders>
              <w:top w:val="single" w:sz="4" w:space="0" w:color="auto"/>
              <w:left w:val="single" w:sz="4" w:space="0" w:color="auto"/>
              <w:bottom w:val="single" w:sz="4" w:space="0" w:color="auto"/>
              <w:right w:val="single" w:sz="4" w:space="0" w:color="auto"/>
            </w:tcBorders>
            <w:hideMark/>
          </w:tcPr>
          <w:p w14:paraId="45DDF050" w14:textId="77777777" w:rsidR="0094644B" w:rsidRPr="00F07779" w:rsidRDefault="0094644B" w:rsidP="00FB5086">
            <w:pPr>
              <w:rPr>
                <w:sz w:val="20"/>
                <w:szCs w:val="20"/>
              </w:rPr>
            </w:pPr>
            <w:r w:rsidRPr="00F07779">
              <w:rPr>
                <w:sz w:val="20"/>
                <w:szCs w:val="20"/>
              </w:rPr>
              <w:t>The reconstruction is due to the age of the transmission line (poor condition of the concrete poles). A complete reconstruction of the transmission line into a dual-system system and the equipping of one of the systems are planned.</w:t>
            </w:r>
          </w:p>
          <w:p w14:paraId="6E58F60A" w14:textId="77777777" w:rsidR="0094644B" w:rsidRPr="00F07779" w:rsidRDefault="0094644B" w:rsidP="00FB5086">
            <w:pPr>
              <w:rPr>
                <w:sz w:val="20"/>
                <w:szCs w:val="20"/>
              </w:rPr>
            </w:pPr>
            <w:r w:rsidRPr="00F07779">
              <w:rPr>
                <w:sz w:val="20"/>
                <w:szCs w:val="20"/>
              </w:rPr>
              <w:t>Expected dynamics of project implementation:</w:t>
            </w:r>
          </w:p>
          <w:p w14:paraId="65E3DAB0" w14:textId="77777777" w:rsidR="0094644B" w:rsidRPr="00F07779" w:rsidRDefault="0094644B" w:rsidP="00FB5086">
            <w:pPr>
              <w:rPr>
                <w:sz w:val="20"/>
                <w:szCs w:val="20"/>
              </w:rPr>
            </w:pPr>
            <w:r w:rsidRPr="00F07779">
              <w:rPr>
                <w:sz w:val="20"/>
                <w:szCs w:val="20"/>
              </w:rPr>
              <w:t>2026. Preliminary design</w:t>
            </w:r>
          </w:p>
          <w:p w14:paraId="714971EB" w14:textId="77777777" w:rsidR="0094644B" w:rsidRPr="00F07779" w:rsidRDefault="0094644B" w:rsidP="00FB5086">
            <w:pPr>
              <w:rPr>
                <w:sz w:val="20"/>
                <w:szCs w:val="20"/>
              </w:rPr>
            </w:pPr>
            <w:r w:rsidRPr="00F07779">
              <w:rPr>
                <w:sz w:val="20"/>
                <w:szCs w:val="20"/>
              </w:rPr>
              <w:t>2027. Building permit</w:t>
            </w:r>
          </w:p>
          <w:p w14:paraId="29A4385D" w14:textId="77777777" w:rsidR="0094644B" w:rsidRPr="00F07779" w:rsidRDefault="0094644B" w:rsidP="00FB5086">
            <w:pPr>
              <w:rPr>
                <w:sz w:val="20"/>
                <w:szCs w:val="20"/>
              </w:rPr>
            </w:pPr>
            <w:r w:rsidRPr="00F07779">
              <w:rPr>
                <w:sz w:val="20"/>
                <w:szCs w:val="20"/>
              </w:rPr>
              <w:t>2028. Construction</w:t>
            </w:r>
          </w:p>
        </w:tc>
      </w:tr>
      <w:tr w:rsidR="0094644B" w:rsidRPr="00F07779" w14:paraId="227E4E91"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20467F1E" w14:textId="77777777" w:rsidR="0094644B" w:rsidRPr="00F07779" w:rsidRDefault="0094644B" w:rsidP="00FB5086">
            <w:pPr>
              <w:rPr>
                <w:sz w:val="20"/>
                <w:szCs w:val="20"/>
              </w:rPr>
            </w:pPr>
            <w:r w:rsidRPr="00FA3F57">
              <w:rPr>
                <w:sz w:val="20"/>
                <w:szCs w:val="20"/>
              </w:rPr>
              <w:t>Institutions responsible for the implementation of measures and activities</w:t>
            </w:r>
          </w:p>
        </w:tc>
        <w:tc>
          <w:tcPr>
            <w:tcW w:w="5667" w:type="dxa"/>
            <w:tcBorders>
              <w:top w:val="single" w:sz="4" w:space="0" w:color="auto"/>
              <w:left w:val="single" w:sz="4" w:space="0" w:color="auto"/>
              <w:bottom w:val="single" w:sz="4" w:space="0" w:color="auto"/>
              <w:right w:val="single" w:sz="4" w:space="0" w:color="auto"/>
            </w:tcBorders>
            <w:hideMark/>
          </w:tcPr>
          <w:p w14:paraId="4B87596C" w14:textId="77777777" w:rsidR="0094644B" w:rsidRPr="00F07779" w:rsidRDefault="0094644B" w:rsidP="00FB5086">
            <w:pPr>
              <w:rPr>
                <w:sz w:val="20"/>
                <w:szCs w:val="20"/>
              </w:rPr>
            </w:pPr>
            <w:r w:rsidRPr="00FA3F57">
              <w:rPr>
                <w:sz w:val="20"/>
                <w:szCs w:val="20"/>
              </w:rPr>
              <w:t>EMS JSC Belgrade</w:t>
            </w:r>
          </w:p>
        </w:tc>
      </w:tr>
      <w:tr w:rsidR="0094644B" w:rsidRPr="00F07779" w14:paraId="52A8E6F6"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6298CB58" w14:textId="77777777" w:rsidR="0094644B" w:rsidRPr="00F07779" w:rsidRDefault="0094644B" w:rsidP="00FB5086">
            <w:pPr>
              <w:rPr>
                <w:sz w:val="20"/>
                <w:szCs w:val="20"/>
              </w:rPr>
            </w:pPr>
            <w:r w:rsidRPr="00FA3F57">
              <w:rPr>
                <w:sz w:val="20"/>
                <w:szCs w:val="20"/>
              </w:rPr>
              <w:t>Institutions responsible for monitoring implementation and reporting on the realization</w:t>
            </w:r>
          </w:p>
        </w:tc>
        <w:tc>
          <w:tcPr>
            <w:tcW w:w="5667" w:type="dxa"/>
            <w:tcBorders>
              <w:top w:val="single" w:sz="4" w:space="0" w:color="auto"/>
              <w:left w:val="single" w:sz="4" w:space="0" w:color="auto"/>
              <w:bottom w:val="single" w:sz="4" w:space="0" w:color="auto"/>
              <w:right w:val="single" w:sz="4" w:space="0" w:color="auto"/>
            </w:tcBorders>
            <w:hideMark/>
          </w:tcPr>
          <w:p w14:paraId="1ABDD16D" w14:textId="77777777" w:rsidR="0094644B" w:rsidRPr="00F07779" w:rsidRDefault="0094644B" w:rsidP="00FB5086">
            <w:pPr>
              <w:rPr>
                <w:sz w:val="20"/>
                <w:szCs w:val="20"/>
              </w:rPr>
            </w:pPr>
            <w:r w:rsidRPr="00FA3F57">
              <w:rPr>
                <w:sz w:val="20"/>
                <w:szCs w:val="20"/>
              </w:rPr>
              <w:t>EMS JSC Belgrade</w:t>
            </w:r>
          </w:p>
          <w:p w14:paraId="7F180FFF" w14:textId="77777777" w:rsidR="0094644B" w:rsidRPr="00FA3F57" w:rsidRDefault="0094644B" w:rsidP="00FB5086">
            <w:pPr>
              <w:rPr>
                <w:sz w:val="20"/>
                <w:szCs w:val="20"/>
              </w:rPr>
            </w:pPr>
            <w:r w:rsidRPr="00FA3F57">
              <w:rPr>
                <w:sz w:val="20"/>
                <w:szCs w:val="20"/>
              </w:rPr>
              <w:t>Republic Commission for Energy Networks</w:t>
            </w:r>
          </w:p>
          <w:p w14:paraId="592A9BD4" w14:textId="77777777" w:rsidR="0094644B" w:rsidRPr="00F07779" w:rsidRDefault="0094644B" w:rsidP="00FB5086">
            <w:pPr>
              <w:rPr>
                <w:sz w:val="20"/>
                <w:szCs w:val="20"/>
              </w:rPr>
            </w:pPr>
            <w:r w:rsidRPr="00F07779">
              <w:rPr>
                <w:sz w:val="20"/>
                <w:szCs w:val="20"/>
              </w:rPr>
              <w:t>Ministry of Mining and Energy</w:t>
            </w:r>
          </w:p>
        </w:tc>
      </w:tr>
      <w:tr w:rsidR="0094644B" w:rsidRPr="00F07779" w14:paraId="0D61263A"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34B14821" w14:textId="77777777" w:rsidR="0094644B" w:rsidRPr="00F07779" w:rsidRDefault="0094644B" w:rsidP="00FB5086">
            <w:pPr>
              <w:rPr>
                <w:sz w:val="20"/>
                <w:szCs w:val="20"/>
              </w:rPr>
            </w:pPr>
            <w:r w:rsidRPr="00FA3F57">
              <w:rPr>
                <w:sz w:val="20"/>
                <w:szCs w:val="20"/>
              </w:rPr>
              <w:t>Year of project funding start</w:t>
            </w:r>
          </w:p>
        </w:tc>
        <w:tc>
          <w:tcPr>
            <w:tcW w:w="5667" w:type="dxa"/>
            <w:tcBorders>
              <w:top w:val="single" w:sz="4" w:space="0" w:color="auto"/>
              <w:left w:val="single" w:sz="4" w:space="0" w:color="auto"/>
              <w:bottom w:val="single" w:sz="4" w:space="0" w:color="auto"/>
              <w:right w:val="single" w:sz="4" w:space="0" w:color="auto"/>
            </w:tcBorders>
            <w:hideMark/>
          </w:tcPr>
          <w:p w14:paraId="1028EEE3" w14:textId="77777777" w:rsidR="0094644B" w:rsidRPr="00F07779" w:rsidRDefault="0094644B" w:rsidP="00FB5086">
            <w:pPr>
              <w:rPr>
                <w:sz w:val="20"/>
                <w:szCs w:val="20"/>
              </w:rPr>
            </w:pPr>
            <w:r w:rsidRPr="00F07779">
              <w:rPr>
                <w:sz w:val="20"/>
                <w:szCs w:val="20"/>
              </w:rPr>
              <w:t>2024.</w:t>
            </w:r>
          </w:p>
        </w:tc>
      </w:tr>
      <w:tr w:rsidR="0094644B" w:rsidRPr="00F07779" w14:paraId="5AE6246C"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6304358B" w14:textId="77777777" w:rsidR="0094644B" w:rsidRPr="00F07779" w:rsidRDefault="0094644B" w:rsidP="00FB5086">
            <w:pPr>
              <w:rPr>
                <w:sz w:val="20"/>
                <w:szCs w:val="20"/>
              </w:rPr>
            </w:pPr>
            <w:r w:rsidRPr="00FA3F57">
              <w:rPr>
                <w:sz w:val="20"/>
                <w:szCs w:val="20"/>
              </w:rPr>
              <w:t>Year of completion of project funding</w:t>
            </w:r>
          </w:p>
        </w:tc>
        <w:tc>
          <w:tcPr>
            <w:tcW w:w="5667" w:type="dxa"/>
            <w:tcBorders>
              <w:top w:val="single" w:sz="4" w:space="0" w:color="auto"/>
              <w:left w:val="single" w:sz="4" w:space="0" w:color="auto"/>
              <w:bottom w:val="single" w:sz="4" w:space="0" w:color="auto"/>
              <w:right w:val="single" w:sz="4" w:space="0" w:color="auto"/>
            </w:tcBorders>
            <w:hideMark/>
          </w:tcPr>
          <w:p w14:paraId="3386F15C" w14:textId="77777777" w:rsidR="0094644B" w:rsidRPr="00F07779" w:rsidRDefault="0094644B" w:rsidP="00FB5086">
            <w:pPr>
              <w:rPr>
                <w:sz w:val="20"/>
                <w:szCs w:val="20"/>
              </w:rPr>
            </w:pPr>
            <w:r w:rsidRPr="00F07779">
              <w:rPr>
                <w:sz w:val="20"/>
                <w:szCs w:val="20"/>
              </w:rPr>
              <w:t>2030.</w:t>
            </w:r>
          </w:p>
        </w:tc>
      </w:tr>
      <w:tr w:rsidR="0094644B" w:rsidRPr="00F07779" w14:paraId="548004DF"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4A102072" w14:textId="77777777" w:rsidR="0094644B" w:rsidRPr="00F07779" w:rsidRDefault="0094644B" w:rsidP="00FB5086">
            <w:pPr>
              <w:rPr>
                <w:sz w:val="20"/>
                <w:szCs w:val="20"/>
              </w:rPr>
            </w:pPr>
            <w:r w:rsidRPr="00FA3F57">
              <w:rPr>
                <w:sz w:val="20"/>
                <w:szCs w:val="20"/>
              </w:rPr>
              <w:t>Total project value</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67B98DC1" w14:textId="77777777" w:rsidR="0094644B" w:rsidRPr="00F07779" w:rsidRDefault="0094644B" w:rsidP="00FB5086">
            <w:pPr>
              <w:rPr>
                <w:sz w:val="20"/>
                <w:szCs w:val="20"/>
              </w:rPr>
            </w:pPr>
            <w:r w:rsidRPr="00F07779">
              <w:rPr>
                <w:sz w:val="20"/>
                <w:szCs w:val="20"/>
              </w:rPr>
              <w:t>820,750 (7 million EUR)</w:t>
            </w:r>
          </w:p>
        </w:tc>
      </w:tr>
      <w:tr w:rsidR="0094644B" w:rsidRPr="00F07779" w14:paraId="13849663"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4E47BE18" w14:textId="77777777" w:rsidR="0094644B" w:rsidRPr="00F07779" w:rsidRDefault="0094644B" w:rsidP="00FB5086">
            <w:pPr>
              <w:rPr>
                <w:sz w:val="20"/>
                <w:szCs w:val="20"/>
              </w:rPr>
            </w:pPr>
            <w:r w:rsidRPr="00FA3F57">
              <w:rPr>
                <w:sz w:val="20"/>
                <w:szCs w:val="20"/>
              </w:rPr>
              <w:t>Planned investments for 2026.</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31548BD1" w14:textId="77777777" w:rsidR="0094644B" w:rsidRPr="00F07779" w:rsidRDefault="0094644B" w:rsidP="00FB5086">
            <w:pPr>
              <w:rPr>
                <w:sz w:val="20"/>
                <w:szCs w:val="20"/>
              </w:rPr>
            </w:pPr>
            <w:r w:rsidRPr="00F07779">
              <w:rPr>
                <w:sz w:val="20"/>
                <w:szCs w:val="20"/>
              </w:rPr>
              <w:t>23,947 (own funds of EMS JSC)</w:t>
            </w:r>
          </w:p>
        </w:tc>
      </w:tr>
      <w:tr w:rsidR="0094644B" w:rsidRPr="00F07779" w14:paraId="4BA47A47"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608A160D" w14:textId="77777777" w:rsidR="0094644B" w:rsidRPr="00F07779" w:rsidRDefault="0094644B" w:rsidP="00FB5086">
            <w:pPr>
              <w:rPr>
                <w:sz w:val="20"/>
                <w:szCs w:val="20"/>
              </w:rPr>
            </w:pPr>
            <w:r w:rsidRPr="00FA3F57">
              <w:rPr>
                <w:sz w:val="20"/>
                <w:szCs w:val="20"/>
              </w:rPr>
              <w:t>Planned investments for 2027.</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2C7CD281" w14:textId="77777777" w:rsidR="0094644B" w:rsidRPr="00F07779" w:rsidRDefault="0094644B" w:rsidP="00FB5086">
            <w:pPr>
              <w:rPr>
                <w:sz w:val="20"/>
                <w:szCs w:val="20"/>
              </w:rPr>
            </w:pPr>
            <w:r w:rsidRPr="00F07779">
              <w:rPr>
                <w:sz w:val="20"/>
                <w:szCs w:val="20"/>
              </w:rPr>
              <w:t>30,598 (own funds of EMS JSC)</w:t>
            </w:r>
          </w:p>
        </w:tc>
      </w:tr>
      <w:tr w:rsidR="0094644B" w:rsidRPr="00F07779" w14:paraId="004ECB87"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7FF3C058" w14:textId="77777777" w:rsidR="0094644B" w:rsidRPr="00F07779" w:rsidRDefault="0094644B" w:rsidP="00FB5086">
            <w:pPr>
              <w:rPr>
                <w:sz w:val="20"/>
                <w:szCs w:val="20"/>
              </w:rPr>
            </w:pPr>
            <w:r w:rsidRPr="00FA3F57">
              <w:rPr>
                <w:sz w:val="20"/>
                <w:szCs w:val="20"/>
              </w:rPr>
              <w:t>Planned investments for 2028.</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4526E5E8" w14:textId="77777777" w:rsidR="0094644B" w:rsidRPr="00F07779" w:rsidRDefault="0094644B" w:rsidP="00FB5086">
            <w:pPr>
              <w:rPr>
                <w:sz w:val="20"/>
                <w:szCs w:val="20"/>
              </w:rPr>
            </w:pPr>
            <w:r w:rsidRPr="00F07779">
              <w:rPr>
                <w:sz w:val="20"/>
                <w:szCs w:val="20"/>
              </w:rPr>
              <w:t>253,013 (own funds of EMS JSC)</w:t>
            </w:r>
          </w:p>
        </w:tc>
      </w:tr>
    </w:tbl>
    <w:p w14:paraId="69E2B024" w14:textId="77777777" w:rsidR="0094644B" w:rsidRPr="00F07779" w:rsidRDefault="0094644B" w:rsidP="0094644B">
      <w:pPr>
        <w:tabs>
          <w:tab w:val="left" w:pos="1276"/>
          <w:tab w:val="left" w:pos="1560"/>
        </w:tabs>
        <w:ind w:left="1440" w:hanging="1440"/>
      </w:pPr>
    </w:p>
    <w:tbl>
      <w:tblPr>
        <w:tblStyle w:val="TableGrid"/>
        <w:tblW w:w="0" w:type="auto"/>
        <w:tblLook w:val="04A0" w:firstRow="1" w:lastRow="0" w:firstColumn="1" w:lastColumn="0" w:noHBand="0" w:noVBand="1"/>
      </w:tblPr>
      <w:tblGrid>
        <w:gridCol w:w="2973"/>
        <w:gridCol w:w="5667"/>
      </w:tblGrid>
      <w:tr w:rsidR="0094644B" w:rsidRPr="00F07779" w14:paraId="35606577"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88C3477" w14:textId="77777777" w:rsidR="0094644B" w:rsidRPr="00F07779" w:rsidRDefault="0094644B" w:rsidP="00FB5086">
            <w:pPr>
              <w:rPr>
                <w:sz w:val="20"/>
                <w:szCs w:val="20"/>
              </w:rPr>
            </w:pPr>
            <w:r w:rsidRPr="00F07779">
              <w:rPr>
                <w:sz w:val="20"/>
                <w:szCs w:val="20"/>
              </w:rPr>
              <w:t>Activity EL1.2</w:t>
            </w:r>
          </w:p>
        </w:tc>
        <w:tc>
          <w:tcPr>
            <w:tcW w:w="566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5C583DB" w14:textId="77777777" w:rsidR="0094644B" w:rsidRPr="00F07779" w:rsidRDefault="0094644B" w:rsidP="00FB5086">
            <w:pPr>
              <w:rPr>
                <w:sz w:val="20"/>
                <w:szCs w:val="20"/>
              </w:rPr>
            </w:pPr>
            <w:r w:rsidRPr="00F07779">
              <w:rPr>
                <w:sz w:val="20"/>
                <w:szCs w:val="20"/>
              </w:rPr>
              <w:t>Investment projects focused on the reconstruction and construction of the transmission network</w:t>
            </w:r>
          </w:p>
        </w:tc>
      </w:tr>
      <w:tr w:rsidR="0094644B" w:rsidRPr="00F07779" w14:paraId="0CC94062"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4E215847" w14:textId="77777777" w:rsidR="0094644B" w:rsidRPr="00F07779" w:rsidRDefault="0094644B" w:rsidP="00FB5086">
            <w:pPr>
              <w:rPr>
                <w:sz w:val="20"/>
                <w:szCs w:val="20"/>
              </w:rPr>
            </w:pPr>
            <w:r w:rsidRPr="00FA3F57">
              <w:rPr>
                <w:sz w:val="20"/>
                <w:szCs w:val="20"/>
              </w:rPr>
              <w:t>Name of the project</w:t>
            </w:r>
          </w:p>
        </w:tc>
        <w:tc>
          <w:tcPr>
            <w:tcW w:w="5667"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704471A8" w14:textId="77777777" w:rsidR="0094644B" w:rsidRPr="00F07779" w:rsidRDefault="0094644B" w:rsidP="00FB5086">
            <w:pPr>
              <w:rPr>
                <w:sz w:val="20"/>
                <w:szCs w:val="20"/>
              </w:rPr>
            </w:pPr>
            <w:r w:rsidRPr="00F07779">
              <w:rPr>
                <w:sz w:val="20"/>
                <w:szCs w:val="20"/>
              </w:rPr>
              <w:t>Replacement of OHL 110 kV No. 130/3 TS Belgrade 16 – TS Belgrade 3 with a cable line</w:t>
            </w:r>
          </w:p>
        </w:tc>
      </w:tr>
      <w:tr w:rsidR="0094644B" w:rsidRPr="00F07779" w14:paraId="17C6594B"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FB796F1" w14:textId="77777777" w:rsidR="0094644B" w:rsidRPr="00F07779" w:rsidRDefault="0094644B" w:rsidP="00FB5086">
            <w:pPr>
              <w:rPr>
                <w:sz w:val="20"/>
                <w:szCs w:val="20"/>
              </w:rPr>
            </w:pPr>
            <w:r w:rsidRPr="00FA3F57">
              <w:rPr>
                <w:sz w:val="20"/>
                <w:szCs w:val="20"/>
              </w:rPr>
              <w:t xml:space="preserve">Name of the </w:t>
            </w:r>
            <w:r w:rsidRPr="00F07779">
              <w:rPr>
                <w:sz w:val="20"/>
                <w:szCs w:val="20"/>
              </w:rPr>
              <w:t>investment</w:t>
            </w:r>
          </w:p>
        </w:tc>
        <w:tc>
          <w:tcPr>
            <w:tcW w:w="566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1265CE3" w14:textId="77777777" w:rsidR="0094644B" w:rsidRPr="00F07779" w:rsidRDefault="0094644B" w:rsidP="00FB5086">
            <w:pPr>
              <w:rPr>
                <w:sz w:val="20"/>
                <w:szCs w:val="20"/>
              </w:rPr>
            </w:pPr>
            <w:r w:rsidRPr="00F07779">
              <w:rPr>
                <w:sz w:val="20"/>
                <w:szCs w:val="20"/>
              </w:rPr>
              <w:t>Replacement of OHL 110 kV No. 130/3 TS Belgrade 16 – TS Belgrade 3 with a cable line</w:t>
            </w:r>
          </w:p>
        </w:tc>
      </w:tr>
      <w:tr w:rsidR="0094644B" w:rsidRPr="00F07779" w14:paraId="05D26CDD"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2F5C4A25" w14:textId="77777777" w:rsidR="0094644B" w:rsidRPr="00F07779" w:rsidRDefault="0094644B" w:rsidP="00FB5086">
            <w:pPr>
              <w:rPr>
                <w:sz w:val="20"/>
                <w:szCs w:val="20"/>
              </w:rPr>
            </w:pPr>
            <w:r w:rsidRPr="00FA3F57">
              <w:rPr>
                <w:sz w:val="20"/>
                <w:szCs w:val="20"/>
              </w:rPr>
              <w:t>Short description of the investment</w:t>
            </w:r>
          </w:p>
        </w:tc>
        <w:tc>
          <w:tcPr>
            <w:tcW w:w="5667" w:type="dxa"/>
            <w:tcBorders>
              <w:top w:val="single" w:sz="4" w:space="0" w:color="auto"/>
              <w:left w:val="single" w:sz="4" w:space="0" w:color="auto"/>
              <w:bottom w:val="single" w:sz="4" w:space="0" w:color="auto"/>
              <w:right w:val="single" w:sz="4" w:space="0" w:color="auto"/>
            </w:tcBorders>
            <w:hideMark/>
          </w:tcPr>
          <w:p w14:paraId="02953441" w14:textId="77777777" w:rsidR="0094644B" w:rsidRPr="00F07779" w:rsidRDefault="0094644B" w:rsidP="00FB5086">
            <w:pPr>
              <w:rPr>
                <w:sz w:val="20"/>
                <w:szCs w:val="20"/>
              </w:rPr>
            </w:pPr>
            <w:r w:rsidRPr="00F07779">
              <w:rPr>
                <w:sz w:val="20"/>
                <w:szCs w:val="20"/>
              </w:rPr>
              <w:t>The reconstruction itself is due to the age of the transmission line and the need to increase its capacity. Replacement of the existing transmission line No. 130/3 TS Belgrade 3 - TS Belgrade 16 with a cable line, with a cross-section of no less than 1,000 mm2, which would connect these transformer stations.</w:t>
            </w:r>
          </w:p>
          <w:p w14:paraId="310247AE" w14:textId="77777777" w:rsidR="0094644B" w:rsidRPr="00F07779" w:rsidRDefault="0094644B" w:rsidP="00FB5086">
            <w:pPr>
              <w:rPr>
                <w:sz w:val="20"/>
                <w:szCs w:val="20"/>
              </w:rPr>
            </w:pPr>
            <w:r w:rsidRPr="00F07779">
              <w:rPr>
                <w:sz w:val="20"/>
                <w:szCs w:val="20"/>
              </w:rPr>
              <w:t>Expected dynamics of project implementation:</w:t>
            </w:r>
          </w:p>
          <w:p w14:paraId="3F849C2E" w14:textId="77777777" w:rsidR="0094644B" w:rsidRPr="00F07779" w:rsidRDefault="0094644B" w:rsidP="00FB5086">
            <w:pPr>
              <w:rPr>
                <w:sz w:val="20"/>
                <w:szCs w:val="20"/>
              </w:rPr>
            </w:pPr>
            <w:r w:rsidRPr="00F07779">
              <w:rPr>
                <w:sz w:val="20"/>
                <w:szCs w:val="20"/>
              </w:rPr>
              <w:t>2026. Location conditions</w:t>
            </w:r>
          </w:p>
          <w:p w14:paraId="5D686381" w14:textId="77777777" w:rsidR="0094644B" w:rsidRPr="00F07779" w:rsidRDefault="0094644B" w:rsidP="00FB5086">
            <w:pPr>
              <w:rPr>
                <w:sz w:val="20"/>
                <w:szCs w:val="20"/>
              </w:rPr>
            </w:pPr>
            <w:r w:rsidRPr="00F07779">
              <w:rPr>
                <w:sz w:val="20"/>
                <w:szCs w:val="20"/>
              </w:rPr>
              <w:t>2027. Preliminary design</w:t>
            </w:r>
          </w:p>
          <w:p w14:paraId="08BE410E" w14:textId="77777777" w:rsidR="0094644B" w:rsidRPr="00F07779" w:rsidRDefault="0094644B" w:rsidP="00FB5086">
            <w:pPr>
              <w:rPr>
                <w:sz w:val="20"/>
                <w:szCs w:val="20"/>
              </w:rPr>
            </w:pPr>
            <w:r w:rsidRPr="00F07779">
              <w:rPr>
                <w:sz w:val="20"/>
                <w:szCs w:val="20"/>
              </w:rPr>
              <w:t>2028. Construction</w:t>
            </w:r>
          </w:p>
        </w:tc>
      </w:tr>
      <w:tr w:rsidR="0094644B" w:rsidRPr="00F07779" w14:paraId="288F9469"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74A7054B" w14:textId="77777777" w:rsidR="0094644B" w:rsidRPr="00F07779" w:rsidRDefault="0094644B" w:rsidP="00FB5086">
            <w:pPr>
              <w:rPr>
                <w:sz w:val="20"/>
                <w:szCs w:val="20"/>
              </w:rPr>
            </w:pPr>
            <w:r w:rsidRPr="00FA3F57">
              <w:rPr>
                <w:sz w:val="20"/>
                <w:szCs w:val="20"/>
              </w:rPr>
              <w:t>Institutions responsible for the implementation of measures and activities</w:t>
            </w:r>
          </w:p>
        </w:tc>
        <w:tc>
          <w:tcPr>
            <w:tcW w:w="5667" w:type="dxa"/>
            <w:tcBorders>
              <w:top w:val="single" w:sz="4" w:space="0" w:color="auto"/>
              <w:left w:val="single" w:sz="4" w:space="0" w:color="auto"/>
              <w:bottom w:val="single" w:sz="4" w:space="0" w:color="auto"/>
              <w:right w:val="single" w:sz="4" w:space="0" w:color="auto"/>
            </w:tcBorders>
            <w:hideMark/>
          </w:tcPr>
          <w:p w14:paraId="4682F220" w14:textId="77777777" w:rsidR="0094644B" w:rsidRPr="00F07779" w:rsidRDefault="0094644B" w:rsidP="00FB5086">
            <w:pPr>
              <w:rPr>
                <w:sz w:val="20"/>
                <w:szCs w:val="20"/>
              </w:rPr>
            </w:pPr>
            <w:r w:rsidRPr="00FA3F57">
              <w:rPr>
                <w:sz w:val="20"/>
                <w:szCs w:val="20"/>
              </w:rPr>
              <w:t>EMS JSC Belgrade</w:t>
            </w:r>
          </w:p>
        </w:tc>
      </w:tr>
      <w:tr w:rsidR="0094644B" w:rsidRPr="00F07779" w14:paraId="3BE429D1"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273D515E" w14:textId="77777777" w:rsidR="0094644B" w:rsidRPr="00F07779" w:rsidRDefault="0094644B" w:rsidP="00FB5086">
            <w:pPr>
              <w:rPr>
                <w:sz w:val="20"/>
                <w:szCs w:val="20"/>
              </w:rPr>
            </w:pPr>
            <w:r w:rsidRPr="00FA3F57">
              <w:rPr>
                <w:sz w:val="20"/>
                <w:szCs w:val="20"/>
              </w:rPr>
              <w:t>Institutions responsible for monitoring implementation and reporting on the realization</w:t>
            </w:r>
          </w:p>
        </w:tc>
        <w:tc>
          <w:tcPr>
            <w:tcW w:w="5667" w:type="dxa"/>
            <w:tcBorders>
              <w:top w:val="single" w:sz="4" w:space="0" w:color="auto"/>
              <w:left w:val="single" w:sz="4" w:space="0" w:color="auto"/>
              <w:bottom w:val="single" w:sz="4" w:space="0" w:color="auto"/>
              <w:right w:val="single" w:sz="4" w:space="0" w:color="auto"/>
            </w:tcBorders>
            <w:hideMark/>
          </w:tcPr>
          <w:p w14:paraId="76675917" w14:textId="77777777" w:rsidR="0094644B" w:rsidRPr="00F07779" w:rsidRDefault="0094644B" w:rsidP="00FB5086">
            <w:pPr>
              <w:rPr>
                <w:sz w:val="20"/>
                <w:szCs w:val="20"/>
              </w:rPr>
            </w:pPr>
            <w:r w:rsidRPr="00FA3F57">
              <w:rPr>
                <w:sz w:val="20"/>
                <w:szCs w:val="20"/>
              </w:rPr>
              <w:t>EMS JSC Belgrade</w:t>
            </w:r>
          </w:p>
          <w:p w14:paraId="75D1AE4E" w14:textId="77777777" w:rsidR="0094644B" w:rsidRPr="00FA3F57" w:rsidRDefault="0094644B" w:rsidP="00FB5086">
            <w:pPr>
              <w:rPr>
                <w:sz w:val="20"/>
                <w:szCs w:val="20"/>
              </w:rPr>
            </w:pPr>
            <w:r w:rsidRPr="00FA3F57">
              <w:rPr>
                <w:sz w:val="20"/>
                <w:szCs w:val="20"/>
              </w:rPr>
              <w:t>Republic Commission for Energy Networks</w:t>
            </w:r>
          </w:p>
          <w:p w14:paraId="0818D65C" w14:textId="77777777" w:rsidR="0094644B" w:rsidRPr="00F07779" w:rsidRDefault="0094644B" w:rsidP="00FB5086">
            <w:pPr>
              <w:rPr>
                <w:sz w:val="20"/>
                <w:szCs w:val="20"/>
              </w:rPr>
            </w:pPr>
            <w:r w:rsidRPr="00F07779">
              <w:rPr>
                <w:sz w:val="20"/>
                <w:szCs w:val="20"/>
              </w:rPr>
              <w:t>Ministry of Mining and Energy</w:t>
            </w:r>
          </w:p>
        </w:tc>
      </w:tr>
      <w:tr w:rsidR="0094644B" w:rsidRPr="00F07779" w14:paraId="3340A3DD"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3B24F8B7" w14:textId="77777777" w:rsidR="0094644B" w:rsidRPr="00F07779" w:rsidRDefault="0094644B" w:rsidP="00FB5086">
            <w:pPr>
              <w:rPr>
                <w:sz w:val="20"/>
                <w:szCs w:val="20"/>
              </w:rPr>
            </w:pPr>
            <w:r w:rsidRPr="00FA3F57">
              <w:rPr>
                <w:sz w:val="20"/>
                <w:szCs w:val="20"/>
              </w:rPr>
              <w:t>Year of project funding start</w:t>
            </w:r>
          </w:p>
        </w:tc>
        <w:tc>
          <w:tcPr>
            <w:tcW w:w="5667" w:type="dxa"/>
            <w:tcBorders>
              <w:top w:val="single" w:sz="4" w:space="0" w:color="auto"/>
              <w:left w:val="single" w:sz="4" w:space="0" w:color="auto"/>
              <w:bottom w:val="single" w:sz="4" w:space="0" w:color="auto"/>
              <w:right w:val="single" w:sz="4" w:space="0" w:color="auto"/>
            </w:tcBorders>
            <w:hideMark/>
          </w:tcPr>
          <w:p w14:paraId="14664A64" w14:textId="77777777" w:rsidR="0094644B" w:rsidRPr="00F07779" w:rsidRDefault="0094644B" w:rsidP="00FB5086">
            <w:pPr>
              <w:rPr>
                <w:sz w:val="20"/>
                <w:szCs w:val="20"/>
              </w:rPr>
            </w:pPr>
            <w:r w:rsidRPr="00F07779">
              <w:rPr>
                <w:sz w:val="20"/>
                <w:szCs w:val="20"/>
              </w:rPr>
              <w:t>2025.</w:t>
            </w:r>
          </w:p>
        </w:tc>
      </w:tr>
      <w:tr w:rsidR="0094644B" w:rsidRPr="00F07779" w14:paraId="37FA857E"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51DB1E57" w14:textId="77777777" w:rsidR="0094644B" w:rsidRPr="00F07779" w:rsidRDefault="0094644B" w:rsidP="00FB5086">
            <w:pPr>
              <w:rPr>
                <w:sz w:val="20"/>
                <w:szCs w:val="20"/>
              </w:rPr>
            </w:pPr>
            <w:r w:rsidRPr="00FA3F57">
              <w:rPr>
                <w:sz w:val="20"/>
                <w:szCs w:val="20"/>
              </w:rPr>
              <w:t>Year of completion of project funding</w:t>
            </w:r>
          </w:p>
        </w:tc>
        <w:tc>
          <w:tcPr>
            <w:tcW w:w="5667" w:type="dxa"/>
            <w:tcBorders>
              <w:top w:val="single" w:sz="4" w:space="0" w:color="auto"/>
              <w:left w:val="single" w:sz="4" w:space="0" w:color="auto"/>
              <w:bottom w:val="single" w:sz="4" w:space="0" w:color="auto"/>
              <w:right w:val="single" w:sz="4" w:space="0" w:color="auto"/>
            </w:tcBorders>
            <w:hideMark/>
          </w:tcPr>
          <w:p w14:paraId="5E27CD44" w14:textId="77777777" w:rsidR="0094644B" w:rsidRPr="00F07779" w:rsidRDefault="0094644B" w:rsidP="00FB5086">
            <w:pPr>
              <w:rPr>
                <w:sz w:val="20"/>
                <w:szCs w:val="20"/>
              </w:rPr>
            </w:pPr>
            <w:r w:rsidRPr="00F07779">
              <w:rPr>
                <w:sz w:val="20"/>
                <w:szCs w:val="20"/>
              </w:rPr>
              <w:t>2031.</w:t>
            </w:r>
          </w:p>
        </w:tc>
      </w:tr>
      <w:tr w:rsidR="0094644B" w:rsidRPr="00F07779" w14:paraId="6A278A96"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20DFF9CF" w14:textId="77777777" w:rsidR="0094644B" w:rsidRPr="00F07779" w:rsidRDefault="0094644B" w:rsidP="00FB5086">
            <w:pPr>
              <w:rPr>
                <w:sz w:val="20"/>
                <w:szCs w:val="20"/>
              </w:rPr>
            </w:pPr>
            <w:r w:rsidRPr="00FA3F57">
              <w:rPr>
                <w:sz w:val="20"/>
                <w:szCs w:val="20"/>
              </w:rPr>
              <w:t>Total project value</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4B7F352B" w14:textId="77777777" w:rsidR="0094644B" w:rsidRPr="00F07779" w:rsidRDefault="0094644B" w:rsidP="00FB5086">
            <w:pPr>
              <w:rPr>
                <w:sz w:val="20"/>
                <w:szCs w:val="20"/>
              </w:rPr>
            </w:pPr>
            <w:r w:rsidRPr="00F07779">
              <w:rPr>
                <w:sz w:val="20"/>
                <w:szCs w:val="20"/>
              </w:rPr>
              <w:t>1,066,975 (9.1 million EUR)</w:t>
            </w:r>
          </w:p>
        </w:tc>
      </w:tr>
      <w:tr w:rsidR="0094644B" w:rsidRPr="00F07779" w14:paraId="497D54D6"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09FC7FC7" w14:textId="77777777" w:rsidR="0094644B" w:rsidRPr="00F07779" w:rsidRDefault="0094644B" w:rsidP="00FB5086">
            <w:pPr>
              <w:rPr>
                <w:sz w:val="20"/>
                <w:szCs w:val="20"/>
              </w:rPr>
            </w:pPr>
            <w:r w:rsidRPr="00FA3F57">
              <w:rPr>
                <w:sz w:val="20"/>
                <w:szCs w:val="20"/>
              </w:rPr>
              <w:t>Planned investments for 2026.</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36BE9C42" w14:textId="77777777" w:rsidR="0094644B" w:rsidRPr="00F07779" w:rsidRDefault="0094644B" w:rsidP="00FB5086">
            <w:pPr>
              <w:rPr>
                <w:sz w:val="20"/>
                <w:szCs w:val="20"/>
              </w:rPr>
            </w:pPr>
            <w:r w:rsidRPr="00F07779">
              <w:rPr>
                <w:sz w:val="20"/>
                <w:szCs w:val="20"/>
              </w:rPr>
              <w:t>99 (own funds of EMS JSC)</w:t>
            </w:r>
          </w:p>
        </w:tc>
      </w:tr>
      <w:tr w:rsidR="0094644B" w:rsidRPr="00F07779" w14:paraId="2816DBE9"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682C6CCF" w14:textId="77777777" w:rsidR="0094644B" w:rsidRPr="00F07779" w:rsidRDefault="0094644B" w:rsidP="00FB5086">
            <w:pPr>
              <w:rPr>
                <w:sz w:val="20"/>
                <w:szCs w:val="20"/>
              </w:rPr>
            </w:pPr>
            <w:r w:rsidRPr="00FA3F57">
              <w:rPr>
                <w:sz w:val="20"/>
                <w:szCs w:val="20"/>
              </w:rPr>
              <w:lastRenderedPageBreak/>
              <w:t>Planned investments for 2027.</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0B571D97" w14:textId="77777777" w:rsidR="0094644B" w:rsidRPr="00F07779" w:rsidRDefault="0094644B" w:rsidP="00FB5086">
            <w:pPr>
              <w:rPr>
                <w:sz w:val="20"/>
                <w:szCs w:val="20"/>
              </w:rPr>
            </w:pPr>
            <w:r w:rsidRPr="00F07779">
              <w:rPr>
                <w:sz w:val="20"/>
                <w:szCs w:val="20"/>
              </w:rPr>
              <w:t>58,526 (own funds of EMS JSC)</w:t>
            </w:r>
          </w:p>
        </w:tc>
      </w:tr>
      <w:tr w:rsidR="0094644B" w:rsidRPr="00F07779" w14:paraId="25EF0269"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0FFF3A03" w14:textId="77777777" w:rsidR="0094644B" w:rsidRPr="00F07779" w:rsidRDefault="0094644B" w:rsidP="00FB5086">
            <w:pPr>
              <w:rPr>
                <w:sz w:val="20"/>
                <w:szCs w:val="20"/>
              </w:rPr>
            </w:pPr>
            <w:r w:rsidRPr="00FA3F57">
              <w:rPr>
                <w:sz w:val="20"/>
                <w:szCs w:val="20"/>
              </w:rPr>
              <w:t>Planned investments for 2028.</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4D6139B0" w14:textId="77777777" w:rsidR="0094644B" w:rsidRPr="00F07779" w:rsidRDefault="0094644B" w:rsidP="00FB5086">
            <w:pPr>
              <w:rPr>
                <w:sz w:val="20"/>
                <w:szCs w:val="20"/>
              </w:rPr>
            </w:pPr>
            <w:r w:rsidRPr="00F07779">
              <w:rPr>
                <w:sz w:val="20"/>
                <w:szCs w:val="20"/>
              </w:rPr>
              <w:t>247,865 (own funds of EMS JSC)</w:t>
            </w:r>
          </w:p>
        </w:tc>
      </w:tr>
    </w:tbl>
    <w:p w14:paraId="5D3C3814" w14:textId="77777777" w:rsidR="0094644B" w:rsidRPr="00F07779" w:rsidRDefault="0094644B" w:rsidP="0094644B">
      <w:pPr>
        <w:tabs>
          <w:tab w:val="left" w:pos="1276"/>
          <w:tab w:val="left" w:pos="1560"/>
        </w:tabs>
        <w:ind w:left="1440" w:hanging="1440"/>
      </w:pPr>
    </w:p>
    <w:tbl>
      <w:tblPr>
        <w:tblStyle w:val="TableGrid"/>
        <w:tblW w:w="0" w:type="auto"/>
        <w:tblLook w:val="04A0" w:firstRow="1" w:lastRow="0" w:firstColumn="1" w:lastColumn="0" w:noHBand="0" w:noVBand="1"/>
      </w:tblPr>
      <w:tblGrid>
        <w:gridCol w:w="2973"/>
        <w:gridCol w:w="5667"/>
      </w:tblGrid>
      <w:tr w:rsidR="0094644B" w:rsidRPr="00F07779" w14:paraId="6773BAD6"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A405179" w14:textId="77777777" w:rsidR="0094644B" w:rsidRPr="00F07779" w:rsidRDefault="0094644B" w:rsidP="00FB5086">
            <w:pPr>
              <w:rPr>
                <w:sz w:val="20"/>
                <w:szCs w:val="20"/>
              </w:rPr>
            </w:pPr>
            <w:r w:rsidRPr="00F07779">
              <w:rPr>
                <w:sz w:val="20"/>
                <w:szCs w:val="20"/>
              </w:rPr>
              <w:t>Activity EL1.2</w:t>
            </w:r>
          </w:p>
        </w:tc>
        <w:tc>
          <w:tcPr>
            <w:tcW w:w="566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082729D" w14:textId="77777777" w:rsidR="0094644B" w:rsidRPr="00F07779" w:rsidRDefault="0094644B" w:rsidP="00FB5086">
            <w:pPr>
              <w:rPr>
                <w:sz w:val="20"/>
                <w:szCs w:val="20"/>
              </w:rPr>
            </w:pPr>
            <w:r w:rsidRPr="00F07779">
              <w:rPr>
                <w:sz w:val="20"/>
                <w:szCs w:val="20"/>
              </w:rPr>
              <w:t>Investment projects focused on the reconstruction and construction of the transmission network</w:t>
            </w:r>
          </w:p>
        </w:tc>
      </w:tr>
      <w:tr w:rsidR="0094644B" w:rsidRPr="00F07779" w14:paraId="46C42695"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5DD3A0B9" w14:textId="77777777" w:rsidR="0094644B" w:rsidRPr="00F07779" w:rsidRDefault="0094644B" w:rsidP="00FB5086">
            <w:pPr>
              <w:rPr>
                <w:sz w:val="20"/>
                <w:szCs w:val="20"/>
              </w:rPr>
            </w:pPr>
            <w:r w:rsidRPr="00FA3F57">
              <w:rPr>
                <w:sz w:val="20"/>
                <w:szCs w:val="20"/>
              </w:rPr>
              <w:t>Name of the project</w:t>
            </w:r>
          </w:p>
        </w:tc>
        <w:tc>
          <w:tcPr>
            <w:tcW w:w="5667"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1AC9B226" w14:textId="77777777" w:rsidR="0094644B" w:rsidRPr="00F07779" w:rsidRDefault="0094644B" w:rsidP="00FB5086">
            <w:pPr>
              <w:rPr>
                <w:sz w:val="20"/>
                <w:szCs w:val="20"/>
              </w:rPr>
            </w:pPr>
            <w:r w:rsidRPr="00F07779">
              <w:rPr>
                <w:sz w:val="20"/>
                <w:szCs w:val="20"/>
              </w:rPr>
              <w:t>Replacement of sections of lines No. 117/1 and No. 1247 with a cable line</w:t>
            </w:r>
          </w:p>
        </w:tc>
      </w:tr>
      <w:tr w:rsidR="0094644B" w:rsidRPr="00F07779" w14:paraId="22F06450"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E09069B" w14:textId="77777777" w:rsidR="0094644B" w:rsidRPr="00F07779" w:rsidRDefault="0094644B" w:rsidP="00FB5086">
            <w:pPr>
              <w:rPr>
                <w:sz w:val="20"/>
                <w:szCs w:val="20"/>
              </w:rPr>
            </w:pPr>
            <w:r w:rsidRPr="00FA3F57">
              <w:rPr>
                <w:sz w:val="20"/>
                <w:szCs w:val="20"/>
              </w:rPr>
              <w:t xml:space="preserve">Name of the </w:t>
            </w:r>
            <w:r w:rsidRPr="00F07779">
              <w:rPr>
                <w:sz w:val="20"/>
                <w:szCs w:val="20"/>
              </w:rPr>
              <w:t>investment</w:t>
            </w:r>
          </w:p>
        </w:tc>
        <w:tc>
          <w:tcPr>
            <w:tcW w:w="566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B4F5866" w14:textId="77777777" w:rsidR="0094644B" w:rsidRPr="00F07779" w:rsidRDefault="0094644B" w:rsidP="00FB5086">
            <w:pPr>
              <w:rPr>
                <w:sz w:val="20"/>
                <w:szCs w:val="20"/>
              </w:rPr>
            </w:pPr>
            <w:r w:rsidRPr="00F07779">
              <w:rPr>
                <w:sz w:val="20"/>
                <w:szCs w:val="20"/>
              </w:rPr>
              <w:t>CB 110 kV on the section of the OHL 110 kV route No. 117/1 from TS Belgrade 2 to pole No. 116</w:t>
            </w:r>
          </w:p>
          <w:p w14:paraId="5DFF3711" w14:textId="77777777" w:rsidR="0094644B" w:rsidRPr="00F07779" w:rsidRDefault="0094644B" w:rsidP="00FB5086">
            <w:pPr>
              <w:rPr>
                <w:sz w:val="20"/>
                <w:szCs w:val="20"/>
              </w:rPr>
            </w:pPr>
            <w:r w:rsidRPr="00F07779">
              <w:rPr>
                <w:sz w:val="20"/>
                <w:szCs w:val="20"/>
              </w:rPr>
              <w:t>CB 110 kV on the section of the OHL 110 kV route No. 1247 from TS Belgrade 2 to pole No. 203</w:t>
            </w:r>
          </w:p>
        </w:tc>
      </w:tr>
      <w:tr w:rsidR="0094644B" w:rsidRPr="00F07779" w14:paraId="78EAEEB7"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7B45226E" w14:textId="77777777" w:rsidR="0094644B" w:rsidRPr="00F07779" w:rsidRDefault="0094644B" w:rsidP="00FB5086">
            <w:pPr>
              <w:rPr>
                <w:sz w:val="20"/>
                <w:szCs w:val="20"/>
              </w:rPr>
            </w:pPr>
            <w:r w:rsidRPr="00FA3F57">
              <w:rPr>
                <w:sz w:val="20"/>
                <w:szCs w:val="20"/>
              </w:rPr>
              <w:t>Short description of the investment</w:t>
            </w:r>
          </w:p>
        </w:tc>
        <w:tc>
          <w:tcPr>
            <w:tcW w:w="5667" w:type="dxa"/>
            <w:tcBorders>
              <w:top w:val="single" w:sz="4" w:space="0" w:color="auto"/>
              <w:left w:val="single" w:sz="4" w:space="0" w:color="auto"/>
              <w:bottom w:val="single" w:sz="4" w:space="0" w:color="auto"/>
              <w:right w:val="single" w:sz="4" w:space="0" w:color="auto"/>
            </w:tcBorders>
            <w:hideMark/>
          </w:tcPr>
          <w:p w14:paraId="2646E035" w14:textId="77777777" w:rsidR="0094644B" w:rsidRPr="00F07779" w:rsidRDefault="0094644B" w:rsidP="00FB5086">
            <w:pPr>
              <w:rPr>
                <w:sz w:val="20"/>
                <w:szCs w:val="20"/>
              </w:rPr>
            </w:pPr>
            <w:r w:rsidRPr="00F07779">
              <w:rPr>
                <w:sz w:val="20"/>
                <w:szCs w:val="20"/>
              </w:rPr>
              <w:t xml:space="preserve">The </w:t>
            </w:r>
            <w:proofErr w:type="spellStart"/>
            <w:r w:rsidRPr="00F07779">
              <w:rPr>
                <w:sz w:val="20"/>
                <w:szCs w:val="20"/>
              </w:rPr>
              <w:t>underconstruction</w:t>
            </w:r>
            <w:proofErr w:type="spellEnd"/>
            <w:r w:rsidRPr="00F07779">
              <w:rPr>
                <w:sz w:val="20"/>
                <w:szCs w:val="20"/>
              </w:rPr>
              <w:t xml:space="preserve"> on the sections of lines No. 117/1 (TS Belgrade 2 – TS Belgrade 35) and No. 1247 (TS Belgrade 2 – TS Belgrade 22) is being resolved by cabling critical sections. In addition, the cabling of the </w:t>
            </w:r>
            <w:proofErr w:type="gramStart"/>
            <w:r w:rsidRPr="00F07779">
              <w:rPr>
                <w:sz w:val="20"/>
                <w:szCs w:val="20"/>
              </w:rPr>
              <w:t>aforementioned section</w:t>
            </w:r>
            <w:proofErr w:type="gramEnd"/>
            <w:r w:rsidRPr="00F07779">
              <w:rPr>
                <w:sz w:val="20"/>
                <w:szCs w:val="20"/>
              </w:rPr>
              <w:t xml:space="preserve"> will contribute to the reliability of electricity transmission on this route.</w:t>
            </w:r>
          </w:p>
          <w:p w14:paraId="081409AE" w14:textId="77777777" w:rsidR="0094644B" w:rsidRPr="00F07779" w:rsidRDefault="0094644B" w:rsidP="00FB5086">
            <w:pPr>
              <w:rPr>
                <w:sz w:val="20"/>
                <w:szCs w:val="20"/>
              </w:rPr>
            </w:pPr>
            <w:r w:rsidRPr="00F07779">
              <w:rPr>
                <w:sz w:val="20"/>
                <w:szCs w:val="20"/>
              </w:rPr>
              <w:t>Expected dynamics of project implementation:</w:t>
            </w:r>
          </w:p>
          <w:p w14:paraId="03C40313" w14:textId="77777777" w:rsidR="0094644B" w:rsidRPr="00F07779" w:rsidRDefault="0094644B" w:rsidP="00FB5086">
            <w:pPr>
              <w:rPr>
                <w:sz w:val="20"/>
                <w:szCs w:val="20"/>
              </w:rPr>
            </w:pPr>
            <w:r w:rsidRPr="00F07779">
              <w:rPr>
                <w:sz w:val="20"/>
                <w:szCs w:val="20"/>
              </w:rPr>
              <w:t>2026. Location conditions</w:t>
            </w:r>
          </w:p>
          <w:p w14:paraId="11B69F7C" w14:textId="77777777" w:rsidR="0094644B" w:rsidRPr="00F07779" w:rsidRDefault="0094644B" w:rsidP="00FB5086">
            <w:pPr>
              <w:rPr>
                <w:sz w:val="20"/>
                <w:szCs w:val="20"/>
              </w:rPr>
            </w:pPr>
            <w:r w:rsidRPr="00F07779">
              <w:rPr>
                <w:sz w:val="20"/>
                <w:szCs w:val="20"/>
              </w:rPr>
              <w:t>2027. Preliminary design</w:t>
            </w:r>
          </w:p>
          <w:p w14:paraId="261118A3" w14:textId="77777777" w:rsidR="0094644B" w:rsidRPr="00F07779" w:rsidRDefault="0094644B" w:rsidP="00FB5086">
            <w:pPr>
              <w:rPr>
                <w:sz w:val="20"/>
                <w:szCs w:val="20"/>
              </w:rPr>
            </w:pPr>
            <w:r w:rsidRPr="00F07779">
              <w:rPr>
                <w:sz w:val="20"/>
                <w:szCs w:val="20"/>
              </w:rPr>
              <w:t>2028. Construction</w:t>
            </w:r>
          </w:p>
        </w:tc>
      </w:tr>
      <w:tr w:rsidR="0094644B" w:rsidRPr="00F07779" w14:paraId="5B94DAAB"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67D4E9F3" w14:textId="77777777" w:rsidR="0094644B" w:rsidRPr="00F07779" w:rsidRDefault="0094644B" w:rsidP="00FB5086">
            <w:pPr>
              <w:rPr>
                <w:sz w:val="20"/>
                <w:szCs w:val="20"/>
              </w:rPr>
            </w:pPr>
            <w:r w:rsidRPr="00FA3F57">
              <w:rPr>
                <w:sz w:val="20"/>
                <w:szCs w:val="20"/>
              </w:rPr>
              <w:t>Institutions responsible for the implementation of measures and activities</w:t>
            </w:r>
          </w:p>
        </w:tc>
        <w:tc>
          <w:tcPr>
            <w:tcW w:w="5667" w:type="dxa"/>
            <w:tcBorders>
              <w:top w:val="single" w:sz="4" w:space="0" w:color="auto"/>
              <w:left w:val="single" w:sz="4" w:space="0" w:color="auto"/>
              <w:bottom w:val="single" w:sz="4" w:space="0" w:color="auto"/>
              <w:right w:val="single" w:sz="4" w:space="0" w:color="auto"/>
            </w:tcBorders>
            <w:hideMark/>
          </w:tcPr>
          <w:p w14:paraId="6E1FF8B3" w14:textId="77777777" w:rsidR="0094644B" w:rsidRPr="00F07779" w:rsidRDefault="0094644B" w:rsidP="00FB5086">
            <w:pPr>
              <w:rPr>
                <w:sz w:val="20"/>
                <w:szCs w:val="20"/>
              </w:rPr>
            </w:pPr>
            <w:r w:rsidRPr="00FA3F57">
              <w:rPr>
                <w:sz w:val="20"/>
                <w:szCs w:val="20"/>
              </w:rPr>
              <w:t>EMS JSC Belgrade</w:t>
            </w:r>
          </w:p>
        </w:tc>
      </w:tr>
      <w:tr w:rsidR="0094644B" w:rsidRPr="00F07779" w14:paraId="4999CED2"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7895C4D5" w14:textId="77777777" w:rsidR="0094644B" w:rsidRPr="00F07779" w:rsidRDefault="0094644B" w:rsidP="00FB5086">
            <w:pPr>
              <w:rPr>
                <w:sz w:val="20"/>
                <w:szCs w:val="20"/>
              </w:rPr>
            </w:pPr>
            <w:r w:rsidRPr="00FA3F57">
              <w:rPr>
                <w:sz w:val="20"/>
                <w:szCs w:val="20"/>
              </w:rPr>
              <w:t>Institutions responsible for monitoring implementation and reporting on the realization</w:t>
            </w:r>
          </w:p>
        </w:tc>
        <w:tc>
          <w:tcPr>
            <w:tcW w:w="5667" w:type="dxa"/>
            <w:tcBorders>
              <w:top w:val="single" w:sz="4" w:space="0" w:color="auto"/>
              <w:left w:val="single" w:sz="4" w:space="0" w:color="auto"/>
              <w:bottom w:val="single" w:sz="4" w:space="0" w:color="auto"/>
              <w:right w:val="single" w:sz="4" w:space="0" w:color="auto"/>
            </w:tcBorders>
            <w:hideMark/>
          </w:tcPr>
          <w:p w14:paraId="24AD231B" w14:textId="77777777" w:rsidR="0094644B" w:rsidRPr="00F07779" w:rsidRDefault="0094644B" w:rsidP="00FB5086">
            <w:pPr>
              <w:rPr>
                <w:sz w:val="20"/>
                <w:szCs w:val="20"/>
              </w:rPr>
            </w:pPr>
            <w:r w:rsidRPr="00FA3F57">
              <w:rPr>
                <w:sz w:val="20"/>
                <w:szCs w:val="20"/>
              </w:rPr>
              <w:t>EMS JSC Belgrade</w:t>
            </w:r>
          </w:p>
          <w:p w14:paraId="212882E0" w14:textId="77777777" w:rsidR="0094644B" w:rsidRPr="00FA3F57" w:rsidRDefault="0094644B" w:rsidP="00FB5086">
            <w:pPr>
              <w:rPr>
                <w:sz w:val="20"/>
                <w:szCs w:val="20"/>
              </w:rPr>
            </w:pPr>
            <w:r w:rsidRPr="00FA3F57">
              <w:rPr>
                <w:sz w:val="20"/>
                <w:szCs w:val="20"/>
              </w:rPr>
              <w:t>Republic Commission for Energy Networks</w:t>
            </w:r>
          </w:p>
          <w:p w14:paraId="2A318A77" w14:textId="77777777" w:rsidR="0094644B" w:rsidRPr="00F07779" w:rsidRDefault="0094644B" w:rsidP="00FB5086">
            <w:pPr>
              <w:rPr>
                <w:sz w:val="20"/>
                <w:szCs w:val="20"/>
              </w:rPr>
            </w:pPr>
            <w:r w:rsidRPr="00F07779">
              <w:rPr>
                <w:sz w:val="20"/>
                <w:szCs w:val="20"/>
              </w:rPr>
              <w:t>Ministry of Mining and Energy</w:t>
            </w:r>
          </w:p>
        </w:tc>
      </w:tr>
      <w:tr w:rsidR="0094644B" w:rsidRPr="00F07779" w14:paraId="3868FADF"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2CA03518" w14:textId="77777777" w:rsidR="0094644B" w:rsidRPr="00F07779" w:rsidRDefault="0094644B" w:rsidP="00FB5086">
            <w:pPr>
              <w:rPr>
                <w:sz w:val="20"/>
                <w:szCs w:val="20"/>
              </w:rPr>
            </w:pPr>
            <w:r w:rsidRPr="00FA3F57">
              <w:rPr>
                <w:sz w:val="20"/>
                <w:szCs w:val="20"/>
              </w:rPr>
              <w:t>Year of project funding start</w:t>
            </w:r>
          </w:p>
        </w:tc>
        <w:tc>
          <w:tcPr>
            <w:tcW w:w="5667" w:type="dxa"/>
            <w:tcBorders>
              <w:top w:val="single" w:sz="4" w:space="0" w:color="auto"/>
              <w:left w:val="single" w:sz="4" w:space="0" w:color="auto"/>
              <w:bottom w:val="single" w:sz="4" w:space="0" w:color="auto"/>
              <w:right w:val="single" w:sz="4" w:space="0" w:color="auto"/>
            </w:tcBorders>
            <w:hideMark/>
          </w:tcPr>
          <w:p w14:paraId="1921954A" w14:textId="77777777" w:rsidR="0094644B" w:rsidRPr="00F07779" w:rsidRDefault="0094644B" w:rsidP="00FB5086">
            <w:pPr>
              <w:rPr>
                <w:sz w:val="20"/>
                <w:szCs w:val="20"/>
              </w:rPr>
            </w:pPr>
            <w:r w:rsidRPr="00F07779">
              <w:rPr>
                <w:sz w:val="20"/>
                <w:szCs w:val="20"/>
              </w:rPr>
              <w:t>2023.</w:t>
            </w:r>
          </w:p>
        </w:tc>
      </w:tr>
      <w:tr w:rsidR="0094644B" w:rsidRPr="00F07779" w14:paraId="5FA28E5E"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2E6CFF53" w14:textId="77777777" w:rsidR="0094644B" w:rsidRPr="00F07779" w:rsidRDefault="0094644B" w:rsidP="00FB5086">
            <w:pPr>
              <w:rPr>
                <w:sz w:val="20"/>
                <w:szCs w:val="20"/>
              </w:rPr>
            </w:pPr>
            <w:r w:rsidRPr="00FA3F57">
              <w:rPr>
                <w:sz w:val="20"/>
                <w:szCs w:val="20"/>
              </w:rPr>
              <w:t>Year of completion of project funding</w:t>
            </w:r>
          </w:p>
        </w:tc>
        <w:tc>
          <w:tcPr>
            <w:tcW w:w="5667" w:type="dxa"/>
            <w:tcBorders>
              <w:top w:val="single" w:sz="4" w:space="0" w:color="auto"/>
              <w:left w:val="single" w:sz="4" w:space="0" w:color="auto"/>
              <w:bottom w:val="single" w:sz="4" w:space="0" w:color="auto"/>
              <w:right w:val="single" w:sz="4" w:space="0" w:color="auto"/>
            </w:tcBorders>
            <w:hideMark/>
          </w:tcPr>
          <w:p w14:paraId="268BE37A" w14:textId="77777777" w:rsidR="0094644B" w:rsidRPr="00F07779" w:rsidRDefault="0094644B" w:rsidP="00FB5086">
            <w:pPr>
              <w:rPr>
                <w:sz w:val="20"/>
                <w:szCs w:val="20"/>
              </w:rPr>
            </w:pPr>
            <w:r w:rsidRPr="00F07779">
              <w:rPr>
                <w:sz w:val="20"/>
                <w:szCs w:val="20"/>
              </w:rPr>
              <w:t>2029.</w:t>
            </w:r>
          </w:p>
        </w:tc>
      </w:tr>
      <w:tr w:rsidR="0094644B" w:rsidRPr="00F07779" w14:paraId="09E02448"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7A3C9E30" w14:textId="77777777" w:rsidR="0094644B" w:rsidRPr="00F07779" w:rsidRDefault="0094644B" w:rsidP="00FB5086">
            <w:pPr>
              <w:rPr>
                <w:sz w:val="20"/>
                <w:szCs w:val="20"/>
              </w:rPr>
            </w:pPr>
            <w:r w:rsidRPr="00FA3F57">
              <w:rPr>
                <w:sz w:val="20"/>
                <w:szCs w:val="20"/>
              </w:rPr>
              <w:t>Total project value</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028D82D0" w14:textId="77777777" w:rsidR="0094644B" w:rsidRPr="00F07779" w:rsidRDefault="0094644B" w:rsidP="00FB5086">
            <w:pPr>
              <w:rPr>
                <w:sz w:val="20"/>
                <w:szCs w:val="20"/>
              </w:rPr>
            </w:pPr>
            <w:r w:rsidRPr="00F07779">
              <w:rPr>
                <w:sz w:val="20"/>
                <w:szCs w:val="20"/>
              </w:rPr>
              <w:t>1,254,575 (10.7 million EUR)</w:t>
            </w:r>
          </w:p>
        </w:tc>
      </w:tr>
      <w:tr w:rsidR="0094644B" w:rsidRPr="00F07779" w14:paraId="2884A3A6"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76DC92E8" w14:textId="77777777" w:rsidR="0094644B" w:rsidRPr="00F07779" w:rsidRDefault="0094644B" w:rsidP="00FB5086">
            <w:pPr>
              <w:rPr>
                <w:sz w:val="20"/>
                <w:szCs w:val="20"/>
              </w:rPr>
            </w:pPr>
            <w:r w:rsidRPr="00FA3F57">
              <w:rPr>
                <w:sz w:val="20"/>
                <w:szCs w:val="20"/>
              </w:rPr>
              <w:t>Planned investments for 2026.</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06FCBA53" w14:textId="77777777" w:rsidR="0094644B" w:rsidRPr="00F07779" w:rsidRDefault="0094644B" w:rsidP="00FB5086">
            <w:pPr>
              <w:rPr>
                <w:sz w:val="20"/>
                <w:szCs w:val="20"/>
              </w:rPr>
            </w:pPr>
            <w:r w:rsidRPr="00F07779">
              <w:rPr>
                <w:sz w:val="20"/>
                <w:szCs w:val="20"/>
              </w:rPr>
              <w:t>4,151 (own funds of EMS JSC)</w:t>
            </w:r>
          </w:p>
        </w:tc>
      </w:tr>
      <w:tr w:rsidR="0094644B" w:rsidRPr="00F07779" w14:paraId="76D25F14"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0386D234" w14:textId="77777777" w:rsidR="0094644B" w:rsidRPr="00F07779" w:rsidRDefault="0094644B" w:rsidP="00FB5086">
            <w:pPr>
              <w:rPr>
                <w:sz w:val="20"/>
                <w:szCs w:val="20"/>
              </w:rPr>
            </w:pPr>
            <w:r w:rsidRPr="00FA3F57">
              <w:rPr>
                <w:sz w:val="20"/>
                <w:szCs w:val="20"/>
              </w:rPr>
              <w:t>Planned investments for 2027.</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663ABF86" w14:textId="77777777" w:rsidR="0094644B" w:rsidRPr="00F07779" w:rsidRDefault="0094644B" w:rsidP="00FB5086">
            <w:pPr>
              <w:rPr>
                <w:sz w:val="20"/>
                <w:szCs w:val="20"/>
              </w:rPr>
            </w:pPr>
            <w:r w:rsidRPr="00F07779">
              <w:rPr>
                <w:sz w:val="20"/>
                <w:szCs w:val="20"/>
              </w:rPr>
              <w:t>397,478 (own funds of EMS JSC)</w:t>
            </w:r>
          </w:p>
        </w:tc>
      </w:tr>
      <w:tr w:rsidR="0094644B" w:rsidRPr="00F07779" w14:paraId="398F4FD8"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7F967594" w14:textId="77777777" w:rsidR="0094644B" w:rsidRPr="00F07779" w:rsidRDefault="0094644B" w:rsidP="00FB5086">
            <w:pPr>
              <w:rPr>
                <w:sz w:val="20"/>
                <w:szCs w:val="20"/>
              </w:rPr>
            </w:pPr>
            <w:r w:rsidRPr="00FA3F57">
              <w:rPr>
                <w:sz w:val="20"/>
                <w:szCs w:val="20"/>
              </w:rPr>
              <w:t>Planned investments for 2028.</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4A299D96" w14:textId="77777777" w:rsidR="0094644B" w:rsidRPr="00F07779" w:rsidRDefault="0094644B" w:rsidP="00FB5086">
            <w:pPr>
              <w:rPr>
                <w:sz w:val="20"/>
                <w:szCs w:val="20"/>
              </w:rPr>
            </w:pPr>
            <w:r w:rsidRPr="00F07779">
              <w:rPr>
                <w:sz w:val="20"/>
                <w:szCs w:val="20"/>
              </w:rPr>
              <w:t>415,065 (own funds of EMS JSC)</w:t>
            </w:r>
          </w:p>
        </w:tc>
      </w:tr>
    </w:tbl>
    <w:p w14:paraId="49F6EED4" w14:textId="77777777" w:rsidR="0094644B" w:rsidRPr="00FA3F57" w:rsidRDefault="0094644B" w:rsidP="0094644B">
      <w:pPr>
        <w:tabs>
          <w:tab w:val="left" w:pos="1276"/>
          <w:tab w:val="left" w:pos="1560"/>
        </w:tabs>
        <w:ind w:left="1440" w:hanging="1440"/>
      </w:pPr>
    </w:p>
    <w:tbl>
      <w:tblPr>
        <w:tblStyle w:val="TableGrid"/>
        <w:tblW w:w="0" w:type="auto"/>
        <w:tblLook w:val="04A0" w:firstRow="1" w:lastRow="0" w:firstColumn="1" w:lastColumn="0" w:noHBand="0" w:noVBand="1"/>
      </w:tblPr>
      <w:tblGrid>
        <w:gridCol w:w="2973"/>
        <w:gridCol w:w="5667"/>
      </w:tblGrid>
      <w:tr w:rsidR="0094644B" w:rsidRPr="00F07779" w14:paraId="70F545AC"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135214C" w14:textId="77777777" w:rsidR="0094644B" w:rsidRPr="00F07779" w:rsidRDefault="0094644B" w:rsidP="00FB5086">
            <w:pPr>
              <w:rPr>
                <w:sz w:val="20"/>
                <w:szCs w:val="20"/>
              </w:rPr>
            </w:pPr>
            <w:r w:rsidRPr="00F07779">
              <w:rPr>
                <w:sz w:val="20"/>
                <w:szCs w:val="20"/>
              </w:rPr>
              <w:t>Activity EL1.2</w:t>
            </w:r>
          </w:p>
        </w:tc>
        <w:tc>
          <w:tcPr>
            <w:tcW w:w="566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E4B11C4" w14:textId="77777777" w:rsidR="0094644B" w:rsidRPr="00F07779" w:rsidRDefault="0094644B" w:rsidP="00FB5086">
            <w:pPr>
              <w:rPr>
                <w:sz w:val="20"/>
                <w:szCs w:val="20"/>
              </w:rPr>
            </w:pPr>
            <w:r w:rsidRPr="00F07779">
              <w:rPr>
                <w:sz w:val="20"/>
                <w:szCs w:val="20"/>
              </w:rPr>
              <w:t>Investment projects focused on the reconstruction and construction of the transmission network</w:t>
            </w:r>
          </w:p>
        </w:tc>
      </w:tr>
      <w:tr w:rsidR="0094644B" w:rsidRPr="00F07779" w14:paraId="510039F6"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0C7EBD8A" w14:textId="77777777" w:rsidR="0094644B" w:rsidRPr="00F07779" w:rsidRDefault="0094644B" w:rsidP="00FB5086">
            <w:pPr>
              <w:rPr>
                <w:sz w:val="20"/>
                <w:szCs w:val="20"/>
              </w:rPr>
            </w:pPr>
            <w:r w:rsidRPr="00FA3F57">
              <w:rPr>
                <w:sz w:val="20"/>
                <w:szCs w:val="20"/>
              </w:rPr>
              <w:t>Name of the project</w:t>
            </w:r>
          </w:p>
        </w:tc>
        <w:tc>
          <w:tcPr>
            <w:tcW w:w="5667"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753A19E4" w14:textId="77777777" w:rsidR="0094644B" w:rsidRPr="00F07779" w:rsidRDefault="0094644B" w:rsidP="00FB5086">
            <w:pPr>
              <w:rPr>
                <w:sz w:val="20"/>
                <w:szCs w:val="20"/>
              </w:rPr>
            </w:pPr>
            <w:r w:rsidRPr="00F07779">
              <w:rPr>
                <w:sz w:val="20"/>
                <w:szCs w:val="20"/>
              </w:rPr>
              <w:t xml:space="preserve">Reconstruction of the OHL 110 kV No. 147/2 TS </w:t>
            </w:r>
            <w:proofErr w:type="spellStart"/>
            <w:r w:rsidRPr="00F07779">
              <w:rPr>
                <w:sz w:val="20"/>
                <w:szCs w:val="20"/>
              </w:rPr>
              <w:t>Bor</w:t>
            </w:r>
            <w:proofErr w:type="spellEnd"/>
            <w:r w:rsidRPr="00F07779">
              <w:rPr>
                <w:sz w:val="20"/>
                <w:szCs w:val="20"/>
              </w:rPr>
              <w:t xml:space="preserve"> 2 – TS </w:t>
            </w:r>
            <w:proofErr w:type="spellStart"/>
            <w:r w:rsidRPr="00F07779">
              <w:rPr>
                <w:sz w:val="20"/>
                <w:szCs w:val="20"/>
              </w:rPr>
              <w:t>Negotin</w:t>
            </w:r>
            <w:proofErr w:type="spellEnd"/>
          </w:p>
        </w:tc>
      </w:tr>
      <w:tr w:rsidR="0094644B" w:rsidRPr="00F07779" w14:paraId="15342F1E"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0BC6F35" w14:textId="77777777" w:rsidR="0094644B" w:rsidRPr="00F07779" w:rsidRDefault="0094644B" w:rsidP="00FB5086">
            <w:pPr>
              <w:rPr>
                <w:sz w:val="20"/>
                <w:szCs w:val="20"/>
              </w:rPr>
            </w:pPr>
            <w:r w:rsidRPr="00FA3F57">
              <w:rPr>
                <w:sz w:val="20"/>
                <w:szCs w:val="20"/>
              </w:rPr>
              <w:t xml:space="preserve">Name of the </w:t>
            </w:r>
            <w:r w:rsidRPr="00F07779">
              <w:rPr>
                <w:sz w:val="20"/>
                <w:szCs w:val="20"/>
              </w:rPr>
              <w:t>investment</w:t>
            </w:r>
          </w:p>
        </w:tc>
        <w:tc>
          <w:tcPr>
            <w:tcW w:w="566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802F9C1" w14:textId="77777777" w:rsidR="0094644B" w:rsidRPr="00F07779" w:rsidRDefault="0094644B" w:rsidP="00FB5086">
            <w:pPr>
              <w:rPr>
                <w:sz w:val="20"/>
                <w:szCs w:val="20"/>
              </w:rPr>
            </w:pPr>
            <w:r w:rsidRPr="00F07779">
              <w:rPr>
                <w:sz w:val="20"/>
                <w:szCs w:val="20"/>
              </w:rPr>
              <w:t xml:space="preserve">OHL 110 kV No. 147/2 TS </w:t>
            </w:r>
            <w:proofErr w:type="spellStart"/>
            <w:r w:rsidRPr="00F07779">
              <w:rPr>
                <w:sz w:val="20"/>
                <w:szCs w:val="20"/>
              </w:rPr>
              <w:t>Bor</w:t>
            </w:r>
            <w:proofErr w:type="spellEnd"/>
            <w:r w:rsidRPr="00F07779">
              <w:rPr>
                <w:sz w:val="20"/>
                <w:szCs w:val="20"/>
              </w:rPr>
              <w:t xml:space="preserve"> 2 – TS </w:t>
            </w:r>
            <w:proofErr w:type="spellStart"/>
            <w:r w:rsidRPr="00F07779">
              <w:rPr>
                <w:sz w:val="20"/>
                <w:szCs w:val="20"/>
              </w:rPr>
              <w:t>Negotin</w:t>
            </w:r>
            <w:proofErr w:type="spellEnd"/>
            <w:r w:rsidRPr="00F07779">
              <w:rPr>
                <w:sz w:val="20"/>
                <w:szCs w:val="20"/>
              </w:rPr>
              <w:t>, reconstruction</w:t>
            </w:r>
          </w:p>
        </w:tc>
      </w:tr>
      <w:tr w:rsidR="0094644B" w:rsidRPr="00F07779" w14:paraId="6FBD9592"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0E0048C0" w14:textId="77777777" w:rsidR="0094644B" w:rsidRPr="00F07779" w:rsidRDefault="0094644B" w:rsidP="00FB5086">
            <w:pPr>
              <w:rPr>
                <w:sz w:val="20"/>
                <w:szCs w:val="20"/>
              </w:rPr>
            </w:pPr>
            <w:r w:rsidRPr="00FA3F57">
              <w:rPr>
                <w:sz w:val="20"/>
                <w:szCs w:val="20"/>
              </w:rPr>
              <w:t>Short description of the investment</w:t>
            </w:r>
          </w:p>
        </w:tc>
        <w:tc>
          <w:tcPr>
            <w:tcW w:w="5667" w:type="dxa"/>
            <w:tcBorders>
              <w:top w:val="single" w:sz="4" w:space="0" w:color="auto"/>
              <w:left w:val="single" w:sz="4" w:space="0" w:color="auto"/>
              <w:bottom w:val="single" w:sz="4" w:space="0" w:color="auto"/>
              <w:right w:val="single" w:sz="4" w:space="0" w:color="auto"/>
            </w:tcBorders>
            <w:hideMark/>
          </w:tcPr>
          <w:p w14:paraId="3BF39FBA" w14:textId="77777777" w:rsidR="0094644B" w:rsidRPr="00F07779" w:rsidRDefault="0094644B" w:rsidP="00FB5086">
            <w:pPr>
              <w:rPr>
                <w:sz w:val="20"/>
                <w:szCs w:val="20"/>
              </w:rPr>
            </w:pPr>
            <w:r w:rsidRPr="00F07779">
              <w:rPr>
                <w:sz w:val="20"/>
                <w:szCs w:val="20"/>
              </w:rPr>
              <w:t xml:space="preserve">Reconstruction of the existing transmission line into a dual-system one with the equipment of one system, with the installation of OPGW protective </w:t>
            </w:r>
            <w:proofErr w:type="spellStart"/>
            <w:proofErr w:type="gramStart"/>
            <w:r w:rsidRPr="00F07779">
              <w:rPr>
                <w:sz w:val="20"/>
                <w:szCs w:val="20"/>
              </w:rPr>
              <w:t>cables.Replacing</w:t>
            </w:r>
            <w:proofErr w:type="spellEnd"/>
            <w:proofErr w:type="gramEnd"/>
            <w:r w:rsidRPr="00F07779">
              <w:rPr>
                <w:sz w:val="20"/>
                <w:szCs w:val="20"/>
              </w:rPr>
              <w:t xml:space="preserve"> current conductors with conductors of larger cross-section. The reconstruction is due to the age of the transmission lines and the need to facilitate the evacuation of energy produced at the HPP </w:t>
            </w:r>
            <w:proofErr w:type="spellStart"/>
            <w:r w:rsidRPr="00F07779">
              <w:rPr>
                <w:sz w:val="20"/>
                <w:szCs w:val="20"/>
              </w:rPr>
              <w:t>Đerdap</w:t>
            </w:r>
            <w:proofErr w:type="spellEnd"/>
            <w:r w:rsidRPr="00F07779">
              <w:rPr>
                <w:sz w:val="20"/>
                <w:szCs w:val="20"/>
              </w:rPr>
              <w:t xml:space="preserve"> 2.</w:t>
            </w:r>
          </w:p>
          <w:p w14:paraId="0C438255" w14:textId="77777777" w:rsidR="0094644B" w:rsidRPr="00F07779" w:rsidRDefault="0094644B" w:rsidP="00FB5086">
            <w:pPr>
              <w:rPr>
                <w:sz w:val="20"/>
                <w:szCs w:val="20"/>
              </w:rPr>
            </w:pPr>
            <w:r w:rsidRPr="00F07779">
              <w:rPr>
                <w:sz w:val="20"/>
                <w:szCs w:val="20"/>
              </w:rPr>
              <w:t>Expected dynamics of project implementation:</w:t>
            </w:r>
          </w:p>
          <w:p w14:paraId="14EBAF9A" w14:textId="77777777" w:rsidR="0094644B" w:rsidRPr="00F07779" w:rsidRDefault="0094644B" w:rsidP="00FB5086">
            <w:pPr>
              <w:rPr>
                <w:sz w:val="20"/>
                <w:szCs w:val="20"/>
              </w:rPr>
            </w:pPr>
            <w:r w:rsidRPr="00F07779">
              <w:rPr>
                <w:sz w:val="20"/>
                <w:szCs w:val="20"/>
              </w:rPr>
              <w:t>2026. Location conditions</w:t>
            </w:r>
          </w:p>
          <w:p w14:paraId="30BC6DAE" w14:textId="77777777" w:rsidR="0094644B" w:rsidRPr="00F07779" w:rsidRDefault="0094644B" w:rsidP="00FB5086">
            <w:pPr>
              <w:rPr>
                <w:sz w:val="20"/>
                <w:szCs w:val="20"/>
              </w:rPr>
            </w:pPr>
            <w:r w:rsidRPr="00F07779">
              <w:rPr>
                <w:sz w:val="20"/>
                <w:szCs w:val="20"/>
              </w:rPr>
              <w:t>2027. Preliminary design</w:t>
            </w:r>
          </w:p>
          <w:p w14:paraId="47C871AB" w14:textId="77777777" w:rsidR="0094644B" w:rsidRPr="00F07779" w:rsidRDefault="0094644B" w:rsidP="00FB5086">
            <w:pPr>
              <w:rPr>
                <w:sz w:val="20"/>
                <w:szCs w:val="20"/>
              </w:rPr>
            </w:pPr>
            <w:r w:rsidRPr="00F07779">
              <w:rPr>
                <w:sz w:val="20"/>
                <w:szCs w:val="20"/>
              </w:rPr>
              <w:t>2028. Construction</w:t>
            </w:r>
          </w:p>
        </w:tc>
      </w:tr>
      <w:tr w:rsidR="0094644B" w:rsidRPr="00F07779" w14:paraId="5E3705D0"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571FE3D2" w14:textId="77777777" w:rsidR="0094644B" w:rsidRPr="00F07779" w:rsidRDefault="0094644B" w:rsidP="00FB5086">
            <w:pPr>
              <w:rPr>
                <w:sz w:val="20"/>
                <w:szCs w:val="20"/>
              </w:rPr>
            </w:pPr>
            <w:r w:rsidRPr="00FA3F57">
              <w:rPr>
                <w:sz w:val="20"/>
                <w:szCs w:val="20"/>
              </w:rPr>
              <w:t>Institutions responsible for the implementation of measures and activities</w:t>
            </w:r>
          </w:p>
        </w:tc>
        <w:tc>
          <w:tcPr>
            <w:tcW w:w="5667" w:type="dxa"/>
            <w:tcBorders>
              <w:top w:val="single" w:sz="4" w:space="0" w:color="auto"/>
              <w:left w:val="single" w:sz="4" w:space="0" w:color="auto"/>
              <w:bottom w:val="single" w:sz="4" w:space="0" w:color="auto"/>
              <w:right w:val="single" w:sz="4" w:space="0" w:color="auto"/>
            </w:tcBorders>
            <w:hideMark/>
          </w:tcPr>
          <w:p w14:paraId="7D73CAC6" w14:textId="77777777" w:rsidR="0094644B" w:rsidRPr="00F07779" w:rsidRDefault="0094644B" w:rsidP="00FB5086">
            <w:pPr>
              <w:rPr>
                <w:sz w:val="20"/>
                <w:szCs w:val="20"/>
              </w:rPr>
            </w:pPr>
            <w:r w:rsidRPr="00FA3F57">
              <w:rPr>
                <w:sz w:val="20"/>
                <w:szCs w:val="20"/>
              </w:rPr>
              <w:t>EMS JSC Belgrade</w:t>
            </w:r>
          </w:p>
        </w:tc>
      </w:tr>
      <w:tr w:rsidR="0094644B" w:rsidRPr="00F07779" w14:paraId="3A06D3A6"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7FE6EE60" w14:textId="77777777" w:rsidR="0094644B" w:rsidRPr="00F07779" w:rsidRDefault="0094644B" w:rsidP="00FB5086">
            <w:pPr>
              <w:rPr>
                <w:sz w:val="20"/>
                <w:szCs w:val="20"/>
              </w:rPr>
            </w:pPr>
            <w:r w:rsidRPr="00FA3F57">
              <w:rPr>
                <w:sz w:val="20"/>
                <w:szCs w:val="20"/>
              </w:rPr>
              <w:t>Institutions responsible for monitoring implementation and reporting on the realization</w:t>
            </w:r>
          </w:p>
        </w:tc>
        <w:tc>
          <w:tcPr>
            <w:tcW w:w="5667" w:type="dxa"/>
            <w:tcBorders>
              <w:top w:val="single" w:sz="4" w:space="0" w:color="auto"/>
              <w:left w:val="single" w:sz="4" w:space="0" w:color="auto"/>
              <w:bottom w:val="single" w:sz="4" w:space="0" w:color="auto"/>
              <w:right w:val="single" w:sz="4" w:space="0" w:color="auto"/>
            </w:tcBorders>
            <w:hideMark/>
          </w:tcPr>
          <w:p w14:paraId="5953D5B4" w14:textId="77777777" w:rsidR="0094644B" w:rsidRPr="00F07779" w:rsidRDefault="0094644B" w:rsidP="00FB5086">
            <w:pPr>
              <w:rPr>
                <w:sz w:val="20"/>
                <w:szCs w:val="20"/>
              </w:rPr>
            </w:pPr>
            <w:r w:rsidRPr="00FA3F57">
              <w:rPr>
                <w:sz w:val="20"/>
                <w:szCs w:val="20"/>
              </w:rPr>
              <w:t>EMS JSC Belgrade</w:t>
            </w:r>
          </w:p>
          <w:p w14:paraId="003A4BE9" w14:textId="77777777" w:rsidR="0094644B" w:rsidRPr="00FA3F57" w:rsidRDefault="0094644B" w:rsidP="00FB5086">
            <w:pPr>
              <w:rPr>
                <w:sz w:val="20"/>
                <w:szCs w:val="20"/>
              </w:rPr>
            </w:pPr>
            <w:r w:rsidRPr="00FA3F57">
              <w:rPr>
                <w:sz w:val="20"/>
                <w:szCs w:val="20"/>
              </w:rPr>
              <w:t>Republic Commission for Energy Networks</w:t>
            </w:r>
          </w:p>
          <w:p w14:paraId="577EE43D" w14:textId="77777777" w:rsidR="0094644B" w:rsidRPr="00F07779" w:rsidRDefault="0094644B" w:rsidP="00FB5086">
            <w:pPr>
              <w:rPr>
                <w:sz w:val="20"/>
                <w:szCs w:val="20"/>
              </w:rPr>
            </w:pPr>
            <w:r w:rsidRPr="00F07779">
              <w:rPr>
                <w:sz w:val="20"/>
                <w:szCs w:val="20"/>
              </w:rPr>
              <w:t>Ministry of Mining and Energy</w:t>
            </w:r>
          </w:p>
        </w:tc>
      </w:tr>
      <w:tr w:rsidR="0094644B" w:rsidRPr="00F07779" w14:paraId="5FBDA511"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32F26737" w14:textId="77777777" w:rsidR="0094644B" w:rsidRPr="00F07779" w:rsidRDefault="0094644B" w:rsidP="00FB5086">
            <w:pPr>
              <w:rPr>
                <w:sz w:val="20"/>
                <w:szCs w:val="20"/>
              </w:rPr>
            </w:pPr>
            <w:r w:rsidRPr="00FA3F57">
              <w:rPr>
                <w:sz w:val="20"/>
                <w:szCs w:val="20"/>
              </w:rPr>
              <w:lastRenderedPageBreak/>
              <w:t>Year of project funding start</w:t>
            </w:r>
          </w:p>
        </w:tc>
        <w:tc>
          <w:tcPr>
            <w:tcW w:w="5667" w:type="dxa"/>
            <w:tcBorders>
              <w:top w:val="single" w:sz="4" w:space="0" w:color="auto"/>
              <w:left w:val="single" w:sz="4" w:space="0" w:color="auto"/>
              <w:bottom w:val="single" w:sz="4" w:space="0" w:color="auto"/>
              <w:right w:val="single" w:sz="4" w:space="0" w:color="auto"/>
            </w:tcBorders>
            <w:hideMark/>
          </w:tcPr>
          <w:p w14:paraId="186E6FA4" w14:textId="77777777" w:rsidR="0094644B" w:rsidRPr="00F07779" w:rsidRDefault="0094644B" w:rsidP="00FB5086">
            <w:pPr>
              <w:rPr>
                <w:sz w:val="20"/>
                <w:szCs w:val="20"/>
              </w:rPr>
            </w:pPr>
            <w:r w:rsidRPr="00F07779">
              <w:rPr>
                <w:sz w:val="20"/>
                <w:szCs w:val="20"/>
              </w:rPr>
              <w:t xml:space="preserve">2021. </w:t>
            </w:r>
          </w:p>
        </w:tc>
      </w:tr>
      <w:tr w:rsidR="0094644B" w:rsidRPr="00F07779" w14:paraId="5B983BAE"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097269C0" w14:textId="77777777" w:rsidR="0094644B" w:rsidRPr="00F07779" w:rsidRDefault="0094644B" w:rsidP="00FB5086">
            <w:pPr>
              <w:rPr>
                <w:sz w:val="20"/>
                <w:szCs w:val="20"/>
              </w:rPr>
            </w:pPr>
            <w:r w:rsidRPr="00FA3F57">
              <w:rPr>
                <w:sz w:val="20"/>
                <w:szCs w:val="20"/>
              </w:rPr>
              <w:t>Year of completion of project funding</w:t>
            </w:r>
          </w:p>
        </w:tc>
        <w:tc>
          <w:tcPr>
            <w:tcW w:w="5667" w:type="dxa"/>
            <w:tcBorders>
              <w:top w:val="single" w:sz="4" w:space="0" w:color="auto"/>
              <w:left w:val="single" w:sz="4" w:space="0" w:color="auto"/>
              <w:bottom w:val="single" w:sz="4" w:space="0" w:color="auto"/>
              <w:right w:val="single" w:sz="4" w:space="0" w:color="auto"/>
            </w:tcBorders>
            <w:hideMark/>
          </w:tcPr>
          <w:p w14:paraId="054FA5CC" w14:textId="77777777" w:rsidR="0094644B" w:rsidRPr="00F07779" w:rsidRDefault="0094644B" w:rsidP="00FB5086">
            <w:pPr>
              <w:rPr>
                <w:sz w:val="20"/>
                <w:szCs w:val="20"/>
              </w:rPr>
            </w:pPr>
            <w:r w:rsidRPr="00F07779">
              <w:rPr>
                <w:sz w:val="20"/>
                <w:szCs w:val="20"/>
              </w:rPr>
              <w:t>2028.</w:t>
            </w:r>
          </w:p>
        </w:tc>
      </w:tr>
      <w:tr w:rsidR="0094644B" w:rsidRPr="00F07779" w14:paraId="70B2CA64"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7A36615E" w14:textId="77777777" w:rsidR="0094644B" w:rsidRPr="00F07779" w:rsidRDefault="0094644B" w:rsidP="00FB5086">
            <w:pPr>
              <w:rPr>
                <w:sz w:val="20"/>
                <w:szCs w:val="20"/>
              </w:rPr>
            </w:pPr>
            <w:r w:rsidRPr="00FA3F57">
              <w:rPr>
                <w:sz w:val="20"/>
                <w:szCs w:val="20"/>
              </w:rPr>
              <w:t>Total project value</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13424737" w14:textId="77777777" w:rsidR="0094644B" w:rsidRPr="00F07779" w:rsidRDefault="0094644B" w:rsidP="00FB5086">
            <w:pPr>
              <w:rPr>
                <w:sz w:val="20"/>
                <w:szCs w:val="20"/>
              </w:rPr>
            </w:pPr>
            <w:r w:rsidRPr="00F07779">
              <w:rPr>
                <w:sz w:val="20"/>
                <w:szCs w:val="20"/>
              </w:rPr>
              <w:t>1,711,850 (14.6 million EUR)</w:t>
            </w:r>
          </w:p>
        </w:tc>
      </w:tr>
      <w:tr w:rsidR="0094644B" w:rsidRPr="00F07779" w14:paraId="62C79799"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160B4E20" w14:textId="77777777" w:rsidR="0094644B" w:rsidRPr="00F07779" w:rsidRDefault="0094644B" w:rsidP="00FB5086">
            <w:pPr>
              <w:rPr>
                <w:sz w:val="20"/>
                <w:szCs w:val="20"/>
              </w:rPr>
            </w:pPr>
            <w:r w:rsidRPr="00FA3F57">
              <w:rPr>
                <w:sz w:val="20"/>
                <w:szCs w:val="20"/>
              </w:rPr>
              <w:t>Planned investments for 2026.</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4AC0D566" w14:textId="77777777" w:rsidR="0094644B" w:rsidRPr="00F07779" w:rsidRDefault="0094644B" w:rsidP="00FB5086">
            <w:pPr>
              <w:rPr>
                <w:sz w:val="20"/>
                <w:szCs w:val="20"/>
              </w:rPr>
            </w:pPr>
            <w:r w:rsidRPr="00F07779">
              <w:rPr>
                <w:sz w:val="20"/>
                <w:szCs w:val="20"/>
              </w:rPr>
              <w:t>1,935 (own funds of EMS JSC)</w:t>
            </w:r>
          </w:p>
        </w:tc>
      </w:tr>
      <w:tr w:rsidR="0094644B" w:rsidRPr="00F07779" w14:paraId="78431C66"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1E0FB7DA" w14:textId="77777777" w:rsidR="0094644B" w:rsidRPr="00F07779" w:rsidRDefault="0094644B" w:rsidP="00FB5086">
            <w:pPr>
              <w:rPr>
                <w:sz w:val="20"/>
                <w:szCs w:val="20"/>
              </w:rPr>
            </w:pPr>
            <w:r w:rsidRPr="00FA3F57">
              <w:rPr>
                <w:sz w:val="20"/>
                <w:szCs w:val="20"/>
              </w:rPr>
              <w:t>Planned investments for 2027.</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5C0CF5EB" w14:textId="77777777" w:rsidR="0094644B" w:rsidRPr="00F07779" w:rsidRDefault="0094644B" w:rsidP="00FB5086">
            <w:pPr>
              <w:rPr>
                <w:sz w:val="20"/>
                <w:szCs w:val="20"/>
              </w:rPr>
            </w:pPr>
            <w:r w:rsidRPr="00F07779">
              <w:rPr>
                <w:sz w:val="20"/>
                <w:szCs w:val="20"/>
              </w:rPr>
              <w:t>215,193 (own funds of EMS JSC)</w:t>
            </w:r>
          </w:p>
        </w:tc>
      </w:tr>
      <w:tr w:rsidR="0094644B" w:rsidRPr="00F07779" w14:paraId="60C921F9"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41A561B3" w14:textId="77777777" w:rsidR="0094644B" w:rsidRPr="00F07779" w:rsidRDefault="0094644B" w:rsidP="00FB5086">
            <w:pPr>
              <w:rPr>
                <w:sz w:val="20"/>
                <w:szCs w:val="20"/>
              </w:rPr>
            </w:pPr>
            <w:r w:rsidRPr="00FA3F57">
              <w:rPr>
                <w:sz w:val="20"/>
                <w:szCs w:val="20"/>
              </w:rPr>
              <w:t>Planned investments for 2028.</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00A1F88E" w14:textId="77777777" w:rsidR="0094644B" w:rsidRPr="00F07779" w:rsidRDefault="0094644B" w:rsidP="00FB5086">
            <w:pPr>
              <w:rPr>
                <w:sz w:val="20"/>
                <w:szCs w:val="20"/>
              </w:rPr>
            </w:pPr>
            <w:r w:rsidRPr="00F07779">
              <w:rPr>
                <w:sz w:val="20"/>
                <w:szCs w:val="20"/>
              </w:rPr>
              <w:t>1,466,46</w:t>
            </w:r>
            <w:r w:rsidRPr="00FA3F57">
              <w:rPr>
                <w:sz w:val="20"/>
                <w:szCs w:val="20"/>
              </w:rPr>
              <w:t>3</w:t>
            </w:r>
            <w:r w:rsidRPr="00F07779">
              <w:rPr>
                <w:sz w:val="20"/>
                <w:szCs w:val="20"/>
              </w:rPr>
              <w:t xml:space="preserve"> (own funds of EMS JSC)</w:t>
            </w:r>
          </w:p>
        </w:tc>
      </w:tr>
    </w:tbl>
    <w:p w14:paraId="1F2924C1" w14:textId="77777777" w:rsidR="0094644B" w:rsidRPr="00F07779" w:rsidRDefault="0094644B" w:rsidP="0094644B">
      <w:pPr>
        <w:tabs>
          <w:tab w:val="left" w:pos="1276"/>
          <w:tab w:val="left" w:pos="1560"/>
        </w:tabs>
        <w:ind w:left="1440" w:hanging="1440"/>
      </w:pPr>
    </w:p>
    <w:tbl>
      <w:tblPr>
        <w:tblStyle w:val="TableGrid"/>
        <w:tblW w:w="0" w:type="auto"/>
        <w:tblLook w:val="04A0" w:firstRow="1" w:lastRow="0" w:firstColumn="1" w:lastColumn="0" w:noHBand="0" w:noVBand="1"/>
      </w:tblPr>
      <w:tblGrid>
        <w:gridCol w:w="2973"/>
        <w:gridCol w:w="5667"/>
      </w:tblGrid>
      <w:tr w:rsidR="0094644B" w:rsidRPr="00F07779" w14:paraId="04450277"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873B025" w14:textId="77777777" w:rsidR="0094644B" w:rsidRPr="00F07779" w:rsidRDefault="0094644B" w:rsidP="00FB5086">
            <w:pPr>
              <w:rPr>
                <w:sz w:val="20"/>
                <w:szCs w:val="20"/>
              </w:rPr>
            </w:pPr>
            <w:r w:rsidRPr="00F07779">
              <w:rPr>
                <w:sz w:val="20"/>
                <w:szCs w:val="20"/>
              </w:rPr>
              <w:t>Activity EL1.2</w:t>
            </w:r>
          </w:p>
        </w:tc>
        <w:tc>
          <w:tcPr>
            <w:tcW w:w="566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9393F7A" w14:textId="77777777" w:rsidR="0094644B" w:rsidRPr="00F07779" w:rsidRDefault="0094644B" w:rsidP="00FB5086">
            <w:pPr>
              <w:rPr>
                <w:sz w:val="20"/>
                <w:szCs w:val="20"/>
              </w:rPr>
            </w:pPr>
            <w:r w:rsidRPr="00F07779">
              <w:rPr>
                <w:sz w:val="20"/>
                <w:szCs w:val="20"/>
              </w:rPr>
              <w:t>Investment projects focused on the reconstruction and construction of the transmission network</w:t>
            </w:r>
          </w:p>
        </w:tc>
      </w:tr>
      <w:tr w:rsidR="0094644B" w:rsidRPr="00F07779" w14:paraId="0D9E161B"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667C4C38" w14:textId="77777777" w:rsidR="0094644B" w:rsidRPr="00F07779" w:rsidRDefault="0094644B" w:rsidP="00FB5086">
            <w:pPr>
              <w:rPr>
                <w:sz w:val="20"/>
                <w:szCs w:val="20"/>
              </w:rPr>
            </w:pPr>
            <w:r w:rsidRPr="00FA3F57">
              <w:rPr>
                <w:sz w:val="20"/>
                <w:szCs w:val="20"/>
              </w:rPr>
              <w:t>Name of the project</w:t>
            </w:r>
          </w:p>
        </w:tc>
        <w:tc>
          <w:tcPr>
            <w:tcW w:w="5667"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4984FB00" w14:textId="77777777" w:rsidR="0094644B" w:rsidRPr="00F07779" w:rsidRDefault="0094644B" w:rsidP="00FB5086">
            <w:pPr>
              <w:rPr>
                <w:sz w:val="20"/>
                <w:szCs w:val="20"/>
              </w:rPr>
            </w:pPr>
            <w:r w:rsidRPr="00F07779">
              <w:rPr>
                <w:sz w:val="20"/>
                <w:szCs w:val="20"/>
              </w:rPr>
              <w:t xml:space="preserve">Strengthening of the transmission network between the TS </w:t>
            </w:r>
            <w:proofErr w:type="spellStart"/>
            <w:r w:rsidRPr="00F07779">
              <w:rPr>
                <w:sz w:val="20"/>
                <w:szCs w:val="20"/>
              </w:rPr>
              <w:t>Bor</w:t>
            </w:r>
            <w:proofErr w:type="spellEnd"/>
            <w:r w:rsidRPr="00F07779">
              <w:rPr>
                <w:sz w:val="20"/>
                <w:szCs w:val="20"/>
              </w:rPr>
              <w:t xml:space="preserve"> 2 and the TS </w:t>
            </w:r>
            <w:proofErr w:type="spellStart"/>
            <w:r w:rsidRPr="00F07779">
              <w:rPr>
                <w:sz w:val="20"/>
                <w:szCs w:val="20"/>
              </w:rPr>
              <w:t>Zaječar</w:t>
            </w:r>
            <w:proofErr w:type="spellEnd"/>
            <w:r w:rsidRPr="00F07779">
              <w:rPr>
                <w:sz w:val="20"/>
                <w:szCs w:val="20"/>
              </w:rPr>
              <w:t xml:space="preserve"> 2</w:t>
            </w:r>
          </w:p>
        </w:tc>
      </w:tr>
      <w:tr w:rsidR="0094644B" w:rsidRPr="00F07779" w14:paraId="6C7C7094"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4C2BAE4" w14:textId="77777777" w:rsidR="0094644B" w:rsidRPr="00F07779" w:rsidRDefault="0094644B" w:rsidP="00FB5086">
            <w:pPr>
              <w:rPr>
                <w:sz w:val="20"/>
                <w:szCs w:val="20"/>
              </w:rPr>
            </w:pPr>
            <w:r w:rsidRPr="00FA3F57">
              <w:rPr>
                <w:sz w:val="20"/>
                <w:szCs w:val="20"/>
              </w:rPr>
              <w:t xml:space="preserve">Name of the </w:t>
            </w:r>
            <w:r w:rsidRPr="00F07779">
              <w:rPr>
                <w:sz w:val="20"/>
                <w:szCs w:val="20"/>
              </w:rPr>
              <w:t>investment</w:t>
            </w:r>
          </w:p>
        </w:tc>
        <w:tc>
          <w:tcPr>
            <w:tcW w:w="566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D886F55" w14:textId="77777777" w:rsidR="0094644B" w:rsidRPr="00F07779" w:rsidRDefault="0094644B" w:rsidP="00FB5086">
            <w:pPr>
              <w:rPr>
                <w:sz w:val="20"/>
                <w:szCs w:val="20"/>
              </w:rPr>
            </w:pPr>
            <w:r w:rsidRPr="00F07779">
              <w:rPr>
                <w:sz w:val="20"/>
                <w:szCs w:val="20"/>
              </w:rPr>
              <w:t xml:space="preserve">CSS 110 kV </w:t>
            </w:r>
            <w:proofErr w:type="spellStart"/>
            <w:r w:rsidRPr="00F07779">
              <w:rPr>
                <w:sz w:val="20"/>
                <w:szCs w:val="20"/>
              </w:rPr>
              <w:t>Bor</w:t>
            </w:r>
            <w:proofErr w:type="spellEnd"/>
            <w:r w:rsidRPr="00F07779">
              <w:rPr>
                <w:sz w:val="20"/>
                <w:szCs w:val="20"/>
              </w:rPr>
              <w:t xml:space="preserve"> 4, </w:t>
            </w:r>
            <w:proofErr w:type="gramStart"/>
            <w:r w:rsidRPr="00F07779">
              <w:rPr>
                <w:sz w:val="20"/>
                <w:szCs w:val="20"/>
              </w:rPr>
              <w:t>equipping</w:t>
            </w:r>
            <w:proofErr w:type="gramEnd"/>
            <w:r w:rsidRPr="00F07779">
              <w:rPr>
                <w:sz w:val="20"/>
                <w:szCs w:val="20"/>
              </w:rPr>
              <w:t xml:space="preserve"> two OHL bays</w:t>
            </w:r>
          </w:p>
          <w:p w14:paraId="3623D3B1" w14:textId="77777777" w:rsidR="0094644B" w:rsidRPr="00F07779" w:rsidRDefault="0094644B" w:rsidP="00FB5086">
            <w:pPr>
              <w:rPr>
                <w:sz w:val="20"/>
                <w:szCs w:val="20"/>
              </w:rPr>
            </w:pPr>
            <w:r w:rsidRPr="00F07779">
              <w:rPr>
                <w:sz w:val="20"/>
                <w:szCs w:val="20"/>
              </w:rPr>
              <w:t xml:space="preserve">TS 110 kV </w:t>
            </w:r>
            <w:proofErr w:type="spellStart"/>
            <w:r w:rsidRPr="00F07779">
              <w:rPr>
                <w:sz w:val="20"/>
                <w:szCs w:val="20"/>
              </w:rPr>
              <w:t>Bor</w:t>
            </w:r>
            <w:proofErr w:type="spellEnd"/>
            <w:r w:rsidRPr="00F07779">
              <w:rPr>
                <w:sz w:val="20"/>
                <w:szCs w:val="20"/>
              </w:rPr>
              <w:t xml:space="preserve"> 2, equipping OHL bay</w:t>
            </w:r>
          </w:p>
          <w:p w14:paraId="177CEF8A" w14:textId="77777777" w:rsidR="0094644B" w:rsidRPr="00F07779" w:rsidRDefault="0094644B" w:rsidP="00FB5086">
            <w:pPr>
              <w:rPr>
                <w:sz w:val="20"/>
                <w:szCs w:val="20"/>
              </w:rPr>
            </w:pPr>
            <w:r w:rsidRPr="00F07779">
              <w:rPr>
                <w:sz w:val="20"/>
                <w:szCs w:val="20"/>
              </w:rPr>
              <w:t xml:space="preserve">OHL 110 kV TS </w:t>
            </w:r>
            <w:proofErr w:type="spellStart"/>
            <w:r w:rsidRPr="00F07779">
              <w:rPr>
                <w:sz w:val="20"/>
                <w:szCs w:val="20"/>
              </w:rPr>
              <w:t>Bor</w:t>
            </w:r>
            <w:proofErr w:type="spellEnd"/>
            <w:r w:rsidRPr="00F07779">
              <w:rPr>
                <w:sz w:val="20"/>
                <w:szCs w:val="20"/>
              </w:rPr>
              <w:t xml:space="preserve"> 2 - CSS </w:t>
            </w:r>
            <w:proofErr w:type="spellStart"/>
            <w:r w:rsidRPr="00F07779">
              <w:rPr>
                <w:sz w:val="20"/>
                <w:szCs w:val="20"/>
              </w:rPr>
              <w:t>Bor</w:t>
            </w:r>
            <w:proofErr w:type="spellEnd"/>
            <w:r w:rsidRPr="00F07779">
              <w:rPr>
                <w:sz w:val="20"/>
                <w:szCs w:val="20"/>
              </w:rPr>
              <w:t xml:space="preserve"> 4, equipping the 2nd system</w:t>
            </w:r>
          </w:p>
          <w:p w14:paraId="2EFE4A7D" w14:textId="77777777" w:rsidR="0094644B" w:rsidRPr="00F07779" w:rsidRDefault="0094644B" w:rsidP="00FB5086">
            <w:pPr>
              <w:rPr>
                <w:sz w:val="20"/>
                <w:szCs w:val="20"/>
              </w:rPr>
            </w:pPr>
            <w:r w:rsidRPr="00F07779">
              <w:rPr>
                <w:sz w:val="20"/>
                <w:szCs w:val="20"/>
              </w:rPr>
              <w:t xml:space="preserve">OHL 110 kV CSS </w:t>
            </w:r>
            <w:proofErr w:type="spellStart"/>
            <w:r w:rsidRPr="00F07779">
              <w:rPr>
                <w:sz w:val="20"/>
                <w:szCs w:val="20"/>
              </w:rPr>
              <w:t>Bor</w:t>
            </w:r>
            <w:proofErr w:type="spellEnd"/>
            <w:r w:rsidRPr="00F07779">
              <w:rPr>
                <w:sz w:val="20"/>
                <w:szCs w:val="20"/>
              </w:rPr>
              <w:t xml:space="preserve"> 4 - TS </w:t>
            </w:r>
            <w:proofErr w:type="spellStart"/>
            <w:r w:rsidRPr="00F07779">
              <w:rPr>
                <w:sz w:val="20"/>
                <w:szCs w:val="20"/>
              </w:rPr>
              <w:t>Zaječar</w:t>
            </w:r>
            <w:proofErr w:type="spellEnd"/>
            <w:r w:rsidRPr="00F07779">
              <w:rPr>
                <w:sz w:val="20"/>
                <w:szCs w:val="20"/>
              </w:rPr>
              <w:t xml:space="preserve"> 2, extension of the OHL</w:t>
            </w:r>
          </w:p>
        </w:tc>
      </w:tr>
      <w:tr w:rsidR="0094644B" w:rsidRPr="00F07779" w14:paraId="3F8991A5"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7CF7CF6E" w14:textId="77777777" w:rsidR="0094644B" w:rsidRPr="00F07779" w:rsidRDefault="0094644B" w:rsidP="00FB5086">
            <w:pPr>
              <w:rPr>
                <w:sz w:val="20"/>
                <w:szCs w:val="20"/>
              </w:rPr>
            </w:pPr>
            <w:r w:rsidRPr="00FA3F57">
              <w:rPr>
                <w:sz w:val="20"/>
                <w:szCs w:val="20"/>
              </w:rPr>
              <w:t>Short description of the investment</w:t>
            </w:r>
          </w:p>
        </w:tc>
        <w:tc>
          <w:tcPr>
            <w:tcW w:w="5667" w:type="dxa"/>
            <w:tcBorders>
              <w:top w:val="single" w:sz="4" w:space="0" w:color="auto"/>
              <w:left w:val="single" w:sz="4" w:space="0" w:color="auto"/>
              <w:bottom w:val="single" w:sz="4" w:space="0" w:color="auto"/>
              <w:right w:val="single" w:sz="4" w:space="0" w:color="auto"/>
            </w:tcBorders>
            <w:hideMark/>
          </w:tcPr>
          <w:p w14:paraId="49DD9DEE" w14:textId="77777777" w:rsidR="0094644B" w:rsidRPr="00F07779" w:rsidRDefault="0094644B" w:rsidP="00FB5086">
            <w:pPr>
              <w:rPr>
                <w:sz w:val="20"/>
                <w:szCs w:val="20"/>
              </w:rPr>
            </w:pPr>
            <w:r w:rsidRPr="00F07779">
              <w:rPr>
                <w:sz w:val="20"/>
                <w:szCs w:val="20"/>
              </w:rPr>
              <w:t xml:space="preserve">Equipping two 110 kV overhead lines in CSS </w:t>
            </w:r>
            <w:proofErr w:type="spellStart"/>
            <w:r w:rsidRPr="00F07779">
              <w:rPr>
                <w:sz w:val="20"/>
                <w:szCs w:val="20"/>
              </w:rPr>
              <w:t>Bor</w:t>
            </w:r>
            <w:proofErr w:type="spellEnd"/>
            <w:r w:rsidRPr="00F07779">
              <w:rPr>
                <w:sz w:val="20"/>
                <w:szCs w:val="20"/>
              </w:rPr>
              <w:t xml:space="preserve"> 4 due to the extension of overhead line 148/5 and equipping the second system from CSS </w:t>
            </w:r>
            <w:proofErr w:type="spellStart"/>
            <w:r w:rsidRPr="00F07779">
              <w:rPr>
                <w:sz w:val="20"/>
                <w:szCs w:val="20"/>
              </w:rPr>
              <w:t>Bor</w:t>
            </w:r>
            <w:proofErr w:type="spellEnd"/>
            <w:r w:rsidRPr="00F07779">
              <w:rPr>
                <w:sz w:val="20"/>
                <w:szCs w:val="20"/>
              </w:rPr>
              <w:t xml:space="preserve"> 4 to TS </w:t>
            </w:r>
            <w:proofErr w:type="spellStart"/>
            <w:r w:rsidRPr="00F07779">
              <w:rPr>
                <w:sz w:val="20"/>
                <w:szCs w:val="20"/>
              </w:rPr>
              <w:t>Zaječar</w:t>
            </w:r>
            <w:proofErr w:type="spellEnd"/>
            <w:r w:rsidRPr="00F07779">
              <w:rPr>
                <w:sz w:val="20"/>
                <w:szCs w:val="20"/>
              </w:rPr>
              <w:t xml:space="preserve"> 2. </w:t>
            </w:r>
            <w:proofErr w:type="gramStart"/>
            <w:r w:rsidRPr="00F07779">
              <w:rPr>
                <w:sz w:val="20"/>
                <w:szCs w:val="20"/>
              </w:rPr>
              <w:t>Equipping of</w:t>
            </w:r>
            <w:proofErr w:type="gramEnd"/>
            <w:r w:rsidRPr="00F07779">
              <w:rPr>
                <w:sz w:val="20"/>
                <w:szCs w:val="20"/>
              </w:rPr>
              <w:t xml:space="preserve"> 110 kV overhead line bays at TS </w:t>
            </w:r>
            <w:proofErr w:type="spellStart"/>
            <w:r w:rsidRPr="00F07779">
              <w:rPr>
                <w:sz w:val="20"/>
                <w:szCs w:val="20"/>
              </w:rPr>
              <w:t>Bor</w:t>
            </w:r>
            <w:proofErr w:type="spellEnd"/>
            <w:r w:rsidRPr="00F07779">
              <w:rPr>
                <w:sz w:val="20"/>
                <w:szCs w:val="20"/>
              </w:rPr>
              <w:t xml:space="preserve"> 2 due to the need to equip another system on transmission line No. 148/4 TS </w:t>
            </w:r>
            <w:proofErr w:type="spellStart"/>
            <w:r w:rsidRPr="00F07779">
              <w:rPr>
                <w:sz w:val="20"/>
                <w:szCs w:val="20"/>
              </w:rPr>
              <w:t>Bor</w:t>
            </w:r>
            <w:proofErr w:type="spellEnd"/>
            <w:r w:rsidRPr="00F07779">
              <w:rPr>
                <w:sz w:val="20"/>
                <w:szCs w:val="20"/>
              </w:rPr>
              <w:t xml:space="preserve"> 2 - CSS </w:t>
            </w:r>
            <w:proofErr w:type="spellStart"/>
            <w:r w:rsidRPr="00F07779">
              <w:rPr>
                <w:sz w:val="20"/>
                <w:szCs w:val="20"/>
              </w:rPr>
              <w:t>Bor</w:t>
            </w:r>
            <w:proofErr w:type="spellEnd"/>
            <w:r w:rsidRPr="00F07779">
              <w:rPr>
                <w:sz w:val="20"/>
                <w:szCs w:val="20"/>
              </w:rPr>
              <w:t xml:space="preserve"> 4. The adaptation of the dual-system 110 kV transmission line TS </w:t>
            </w:r>
            <w:proofErr w:type="spellStart"/>
            <w:r w:rsidRPr="00F07779">
              <w:rPr>
                <w:sz w:val="20"/>
                <w:szCs w:val="20"/>
              </w:rPr>
              <w:t>Bor</w:t>
            </w:r>
            <w:proofErr w:type="spellEnd"/>
            <w:r w:rsidRPr="00F07779">
              <w:rPr>
                <w:sz w:val="20"/>
                <w:szCs w:val="20"/>
              </w:rPr>
              <w:t xml:space="preserve"> 2 - CSS </w:t>
            </w:r>
            <w:proofErr w:type="spellStart"/>
            <w:r w:rsidRPr="00F07779">
              <w:rPr>
                <w:sz w:val="20"/>
                <w:szCs w:val="20"/>
              </w:rPr>
              <w:t>Bor</w:t>
            </w:r>
            <w:proofErr w:type="spellEnd"/>
            <w:r w:rsidRPr="00F07779">
              <w:rPr>
                <w:sz w:val="20"/>
                <w:szCs w:val="20"/>
              </w:rPr>
              <w:t xml:space="preserve"> 4 involves the installation of a second system on existing poles. Extension of the 110 kV transmission line from pole no. 53c on the OHL 148/5 to the </w:t>
            </w:r>
            <w:proofErr w:type="spellStart"/>
            <w:r w:rsidRPr="00F07779">
              <w:rPr>
                <w:sz w:val="20"/>
                <w:szCs w:val="20"/>
              </w:rPr>
              <w:t>Zaječar</w:t>
            </w:r>
            <w:proofErr w:type="spellEnd"/>
            <w:r w:rsidRPr="00F07779">
              <w:rPr>
                <w:sz w:val="20"/>
                <w:szCs w:val="20"/>
              </w:rPr>
              <w:t xml:space="preserve"> 2 substation.</w:t>
            </w:r>
          </w:p>
          <w:p w14:paraId="56008DC0" w14:textId="77777777" w:rsidR="0094644B" w:rsidRPr="00F07779" w:rsidRDefault="0094644B" w:rsidP="00FB5086">
            <w:pPr>
              <w:rPr>
                <w:sz w:val="20"/>
                <w:szCs w:val="20"/>
              </w:rPr>
            </w:pPr>
            <w:r w:rsidRPr="00F07779">
              <w:rPr>
                <w:sz w:val="20"/>
                <w:szCs w:val="20"/>
              </w:rPr>
              <w:t>Expected dynamics of project implementation:</w:t>
            </w:r>
          </w:p>
          <w:p w14:paraId="6E4AD3DE" w14:textId="77777777" w:rsidR="0094644B" w:rsidRPr="00F07779" w:rsidRDefault="0094644B" w:rsidP="00FB5086">
            <w:pPr>
              <w:rPr>
                <w:sz w:val="20"/>
                <w:szCs w:val="20"/>
              </w:rPr>
            </w:pPr>
            <w:r w:rsidRPr="00F07779">
              <w:rPr>
                <w:sz w:val="20"/>
                <w:szCs w:val="20"/>
              </w:rPr>
              <w:t>2026. Construction</w:t>
            </w:r>
          </w:p>
          <w:p w14:paraId="47AED2AD" w14:textId="77777777" w:rsidR="0094644B" w:rsidRPr="00F07779" w:rsidRDefault="0094644B" w:rsidP="00FB5086">
            <w:pPr>
              <w:rPr>
                <w:sz w:val="20"/>
                <w:szCs w:val="20"/>
              </w:rPr>
            </w:pPr>
            <w:r w:rsidRPr="00F07779">
              <w:rPr>
                <w:sz w:val="20"/>
                <w:szCs w:val="20"/>
              </w:rPr>
              <w:t>2027. Construction</w:t>
            </w:r>
          </w:p>
          <w:p w14:paraId="18D50766" w14:textId="77777777" w:rsidR="0094644B" w:rsidRPr="00F07779" w:rsidRDefault="0094644B" w:rsidP="00FB5086">
            <w:pPr>
              <w:rPr>
                <w:sz w:val="20"/>
                <w:szCs w:val="20"/>
              </w:rPr>
            </w:pPr>
            <w:r w:rsidRPr="00F07779">
              <w:rPr>
                <w:sz w:val="20"/>
                <w:szCs w:val="20"/>
              </w:rPr>
              <w:t>2028. Construction</w:t>
            </w:r>
          </w:p>
        </w:tc>
      </w:tr>
      <w:tr w:rsidR="0094644B" w:rsidRPr="00F07779" w14:paraId="58156CA1"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1BA54C9F" w14:textId="77777777" w:rsidR="0094644B" w:rsidRPr="00F07779" w:rsidRDefault="0094644B" w:rsidP="00FB5086">
            <w:pPr>
              <w:rPr>
                <w:sz w:val="20"/>
                <w:szCs w:val="20"/>
              </w:rPr>
            </w:pPr>
            <w:r w:rsidRPr="00FA3F57">
              <w:rPr>
                <w:sz w:val="20"/>
                <w:szCs w:val="20"/>
              </w:rPr>
              <w:t>Institutions responsible for the implementation of measures and activities</w:t>
            </w:r>
          </w:p>
        </w:tc>
        <w:tc>
          <w:tcPr>
            <w:tcW w:w="5667" w:type="dxa"/>
            <w:tcBorders>
              <w:top w:val="single" w:sz="4" w:space="0" w:color="auto"/>
              <w:left w:val="single" w:sz="4" w:space="0" w:color="auto"/>
              <w:bottom w:val="single" w:sz="4" w:space="0" w:color="auto"/>
              <w:right w:val="single" w:sz="4" w:space="0" w:color="auto"/>
            </w:tcBorders>
            <w:hideMark/>
          </w:tcPr>
          <w:p w14:paraId="2F7935E5" w14:textId="77777777" w:rsidR="0094644B" w:rsidRPr="00F07779" w:rsidRDefault="0094644B" w:rsidP="00FB5086">
            <w:pPr>
              <w:rPr>
                <w:sz w:val="20"/>
                <w:szCs w:val="20"/>
              </w:rPr>
            </w:pPr>
            <w:r w:rsidRPr="00FA3F57">
              <w:rPr>
                <w:sz w:val="20"/>
                <w:szCs w:val="20"/>
              </w:rPr>
              <w:t>EMS JSC Belgrade</w:t>
            </w:r>
          </w:p>
        </w:tc>
      </w:tr>
      <w:tr w:rsidR="0094644B" w:rsidRPr="00F07779" w14:paraId="5D28EFA9"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48F53F8B" w14:textId="77777777" w:rsidR="0094644B" w:rsidRPr="00F07779" w:rsidRDefault="0094644B" w:rsidP="00FB5086">
            <w:pPr>
              <w:rPr>
                <w:sz w:val="20"/>
                <w:szCs w:val="20"/>
              </w:rPr>
            </w:pPr>
            <w:r w:rsidRPr="00FA3F57">
              <w:rPr>
                <w:sz w:val="20"/>
                <w:szCs w:val="20"/>
              </w:rPr>
              <w:t>Institutions responsible for monitoring implementation and reporting on the realization</w:t>
            </w:r>
          </w:p>
        </w:tc>
        <w:tc>
          <w:tcPr>
            <w:tcW w:w="5667" w:type="dxa"/>
            <w:tcBorders>
              <w:top w:val="single" w:sz="4" w:space="0" w:color="auto"/>
              <w:left w:val="single" w:sz="4" w:space="0" w:color="auto"/>
              <w:bottom w:val="single" w:sz="4" w:space="0" w:color="auto"/>
              <w:right w:val="single" w:sz="4" w:space="0" w:color="auto"/>
            </w:tcBorders>
            <w:hideMark/>
          </w:tcPr>
          <w:p w14:paraId="03939649" w14:textId="77777777" w:rsidR="0094644B" w:rsidRPr="00F07779" w:rsidRDefault="0094644B" w:rsidP="00FB5086">
            <w:pPr>
              <w:rPr>
                <w:sz w:val="20"/>
                <w:szCs w:val="20"/>
              </w:rPr>
            </w:pPr>
            <w:r w:rsidRPr="00FA3F57">
              <w:rPr>
                <w:sz w:val="20"/>
                <w:szCs w:val="20"/>
              </w:rPr>
              <w:t>EMS JSC Belgrade</w:t>
            </w:r>
          </w:p>
          <w:p w14:paraId="4FF91961" w14:textId="77777777" w:rsidR="0094644B" w:rsidRPr="00FA3F57" w:rsidRDefault="0094644B" w:rsidP="00FB5086">
            <w:pPr>
              <w:rPr>
                <w:sz w:val="20"/>
                <w:szCs w:val="20"/>
              </w:rPr>
            </w:pPr>
            <w:r w:rsidRPr="00FA3F57">
              <w:rPr>
                <w:sz w:val="20"/>
                <w:szCs w:val="20"/>
              </w:rPr>
              <w:t>Republic Commission for Energy Networks</w:t>
            </w:r>
          </w:p>
          <w:p w14:paraId="224F742F" w14:textId="77777777" w:rsidR="0094644B" w:rsidRPr="00F07779" w:rsidRDefault="0094644B" w:rsidP="00FB5086">
            <w:pPr>
              <w:rPr>
                <w:sz w:val="20"/>
                <w:szCs w:val="20"/>
              </w:rPr>
            </w:pPr>
            <w:r w:rsidRPr="00F07779">
              <w:rPr>
                <w:sz w:val="20"/>
                <w:szCs w:val="20"/>
              </w:rPr>
              <w:t>Ministry of Mining and Energy</w:t>
            </w:r>
          </w:p>
        </w:tc>
      </w:tr>
      <w:tr w:rsidR="0094644B" w:rsidRPr="00F07779" w14:paraId="3059A3D7"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067F1644" w14:textId="77777777" w:rsidR="0094644B" w:rsidRPr="00F07779" w:rsidRDefault="0094644B" w:rsidP="00FB5086">
            <w:pPr>
              <w:rPr>
                <w:sz w:val="20"/>
                <w:szCs w:val="20"/>
              </w:rPr>
            </w:pPr>
            <w:r w:rsidRPr="00FA3F57">
              <w:rPr>
                <w:sz w:val="20"/>
                <w:szCs w:val="20"/>
              </w:rPr>
              <w:t>Year of project funding start</w:t>
            </w:r>
          </w:p>
        </w:tc>
        <w:tc>
          <w:tcPr>
            <w:tcW w:w="5667" w:type="dxa"/>
            <w:tcBorders>
              <w:top w:val="single" w:sz="4" w:space="0" w:color="auto"/>
              <w:left w:val="single" w:sz="4" w:space="0" w:color="auto"/>
              <w:bottom w:val="single" w:sz="4" w:space="0" w:color="auto"/>
              <w:right w:val="single" w:sz="4" w:space="0" w:color="auto"/>
            </w:tcBorders>
            <w:hideMark/>
          </w:tcPr>
          <w:p w14:paraId="5485E972" w14:textId="77777777" w:rsidR="0094644B" w:rsidRPr="00F07779" w:rsidRDefault="0094644B" w:rsidP="00FB5086">
            <w:pPr>
              <w:rPr>
                <w:sz w:val="20"/>
                <w:szCs w:val="20"/>
              </w:rPr>
            </w:pPr>
            <w:r w:rsidRPr="00F07779">
              <w:rPr>
                <w:sz w:val="20"/>
                <w:szCs w:val="20"/>
              </w:rPr>
              <w:t>2022.</w:t>
            </w:r>
          </w:p>
        </w:tc>
      </w:tr>
      <w:tr w:rsidR="0094644B" w:rsidRPr="00F07779" w14:paraId="2F54131F"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79EF3862" w14:textId="77777777" w:rsidR="0094644B" w:rsidRPr="00F07779" w:rsidRDefault="0094644B" w:rsidP="00FB5086">
            <w:pPr>
              <w:rPr>
                <w:sz w:val="20"/>
                <w:szCs w:val="20"/>
              </w:rPr>
            </w:pPr>
            <w:r w:rsidRPr="00FA3F57">
              <w:rPr>
                <w:sz w:val="20"/>
                <w:szCs w:val="20"/>
              </w:rPr>
              <w:t>Year of completion of project funding</w:t>
            </w:r>
          </w:p>
        </w:tc>
        <w:tc>
          <w:tcPr>
            <w:tcW w:w="5667" w:type="dxa"/>
            <w:tcBorders>
              <w:top w:val="single" w:sz="4" w:space="0" w:color="auto"/>
              <w:left w:val="single" w:sz="4" w:space="0" w:color="auto"/>
              <w:bottom w:val="single" w:sz="4" w:space="0" w:color="auto"/>
              <w:right w:val="single" w:sz="4" w:space="0" w:color="auto"/>
            </w:tcBorders>
            <w:hideMark/>
          </w:tcPr>
          <w:p w14:paraId="6952FA2A" w14:textId="77777777" w:rsidR="0094644B" w:rsidRPr="00F07779" w:rsidRDefault="0094644B" w:rsidP="00FB5086">
            <w:pPr>
              <w:rPr>
                <w:sz w:val="20"/>
                <w:szCs w:val="20"/>
              </w:rPr>
            </w:pPr>
            <w:r w:rsidRPr="00F07779">
              <w:rPr>
                <w:sz w:val="20"/>
                <w:szCs w:val="20"/>
              </w:rPr>
              <w:t>2028.</w:t>
            </w:r>
          </w:p>
        </w:tc>
      </w:tr>
      <w:tr w:rsidR="0094644B" w:rsidRPr="00F07779" w14:paraId="02F4C2ED"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476E5B63" w14:textId="77777777" w:rsidR="0094644B" w:rsidRPr="00F07779" w:rsidRDefault="0094644B" w:rsidP="00FB5086">
            <w:pPr>
              <w:rPr>
                <w:sz w:val="20"/>
                <w:szCs w:val="20"/>
              </w:rPr>
            </w:pPr>
            <w:r w:rsidRPr="00FA3F57">
              <w:rPr>
                <w:sz w:val="20"/>
                <w:szCs w:val="20"/>
              </w:rPr>
              <w:t>Total project value</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6FB4B79C" w14:textId="77777777" w:rsidR="0094644B" w:rsidRPr="00F07779" w:rsidRDefault="0094644B" w:rsidP="00FB5086">
            <w:pPr>
              <w:rPr>
                <w:sz w:val="20"/>
                <w:szCs w:val="20"/>
              </w:rPr>
            </w:pPr>
            <w:r w:rsidRPr="00F07779">
              <w:rPr>
                <w:sz w:val="20"/>
                <w:szCs w:val="20"/>
              </w:rPr>
              <w:t>410,375 (3.5 million EUR)</w:t>
            </w:r>
          </w:p>
        </w:tc>
      </w:tr>
      <w:tr w:rsidR="0094644B" w:rsidRPr="00F07779" w14:paraId="7CA51E3B"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02E6BD44" w14:textId="77777777" w:rsidR="0094644B" w:rsidRPr="00F07779" w:rsidRDefault="0094644B" w:rsidP="00FB5086">
            <w:pPr>
              <w:rPr>
                <w:sz w:val="20"/>
                <w:szCs w:val="20"/>
              </w:rPr>
            </w:pPr>
            <w:r w:rsidRPr="00FA3F57">
              <w:rPr>
                <w:sz w:val="20"/>
                <w:szCs w:val="20"/>
              </w:rPr>
              <w:t>Planned investments for 2026.</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68F791E6" w14:textId="77777777" w:rsidR="0094644B" w:rsidRPr="00F07779" w:rsidRDefault="0094644B" w:rsidP="00FB5086">
            <w:pPr>
              <w:rPr>
                <w:sz w:val="20"/>
                <w:szCs w:val="20"/>
              </w:rPr>
            </w:pPr>
            <w:r w:rsidRPr="00F07779">
              <w:rPr>
                <w:sz w:val="20"/>
                <w:szCs w:val="20"/>
              </w:rPr>
              <w:t>85,965 (own funds of EMS JSC)</w:t>
            </w:r>
          </w:p>
        </w:tc>
      </w:tr>
      <w:tr w:rsidR="0094644B" w:rsidRPr="00F07779" w14:paraId="123628C1"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6585B564" w14:textId="77777777" w:rsidR="0094644B" w:rsidRPr="00F07779" w:rsidRDefault="0094644B" w:rsidP="00FB5086">
            <w:pPr>
              <w:rPr>
                <w:sz w:val="20"/>
                <w:szCs w:val="20"/>
              </w:rPr>
            </w:pPr>
            <w:r w:rsidRPr="00FA3F57">
              <w:rPr>
                <w:sz w:val="20"/>
                <w:szCs w:val="20"/>
              </w:rPr>
              <w:t>Planned investments for 2027.</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558CB630" w14:textId="77777777" w:rsidR="0094644B" w:rsidRPr="00F07779" w:rsidRDefault="0094644B" w:rsidP="00FB5086">
            <w:pPr>
              <w:rPr>
                <w:sz w:val="20"/>
                <w:szCs w:val="20"/>
              </w:rPr>
            </w:pPr>
            <w:r w:rsidRPr="00F07779">
              <w:rPr>
                <w:sz w:val="20"/>
                <w:szCs w:val="20"/>
              </w:rPr>
              <w:t>64,071 (own funds of EMS JSC)</w:t>
            </w:r>
          </w:p>
        </w:tc>
      </w:tr>
      <w:tr w:rsidR="0094644B" w:rsidRPr="00F07779" w14:paraId="43EA5091"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42C63B5F" w14:textId="77777777" w:rsidR="0094644B" w:rsidRPr="00F07779" w:rsidRDefault="0094644B" w:rsidP="00FB5086">
            <w:pPr>
              <w:rPr>
                <w:sz w:val="20"/>
                <w:szCs w:val="20"/>
              </w:rPr>
            </w:pPr>
            <w:r w:rsidRPr="00FA3F57">
              <w:rPr>
                <w:sz w:val="20"/>
                <w:szCs w:val="20"/>
              </w:rPr>
              <w:t>Planned investments for 2028.</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49E07B63" w14:textId="77777777" w:rsidR="0094644B" w:rsidRPr="00F07779" w:rsidRDefault="0094644B" w:rsidP="00FB5086">
            <w:pPr>
              <w:rPr>
                <w:sz w:val="20"/>
                <w:szCs w:val="20"/>
              </w:rPr>
            </w:pPr>
            <w:r w:rsidRPr="00F07779">
              <w:rPr>
                <w:sz w:val="20"/>
                <w:szCs w:val="20"/>
              </w:rPr>
              <w:t>64,071 (own funds of EMS JSC)</w:t>
            </w:r>
          </w:p>
        </w:tc>
      </w:tr>
    </w:tbl>
    <w:p w14:paraId="0F21AF15" w14:textId="77777777" w:rsidR="0094644B" w:rsidRPr="00F07779" w:rsidRDefault="0094644B" w:rsidP="0094644B">
      <w:pPr>
        <w:tabs>
          <w:tab w:val="left" w:pos="1276"/>
          <w:tab w:val="left" w:pos="1560"/>
        </w:tabs>
        <w:ind w:left="1440" w:hanging="1440"/>
      </w:pPr>
    </w:p>
    <w:tbl>
      <w:tblPr>
        <w:tblStyle w:val="TableGrid"/>
        <w:tblW w:w="0" w:type="auto"/>
        <w:tblLook w:val="04A0" w:firstRow="1" w:lastRow="0" w:firstColumn="1" w:lastColumn="0" w:noHBand="0" w:noVBand="1"/>
      </w:tblPr>
      <w:tblGrid>
        <w:gridCol w:w="2973"/>
        <w:gridCol w:w="5667"/>
      </w:tblGrid>
      <w:tr w:rsidR="0094644B" w:rsidRPr="00F07779" w14:paraId="0430BEC6"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A467B65" w14:textId="77777777" w:rsidR="0094644B" w:rsidRPr="00F07779" w:rsidRDefault="0094644B" w:rsidP="00FB5086">
            <w:pPr>
              <w:rPr>
                <w:sz w:val="20"/>
                <w:szCs w:val="20"/>
              </w:rPr>
            </w:pPr>
            <w:r w:rsidRPr="00F07779">
              <w:rPr>
                <w:sz w:val="20"/>
                <w:szCs w:val="20"/>
              </w:rPr>
              <w:t>Activity EL1.2</w:t>
            </w:r>
          </w:p>
        </w:tc>
        <w:tc>
          <w:tcPr>
            <w:tcW w:w="566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CF87F1A" w14:textId="77777777" w:rsidR="0094644B" w:rsidRPr="00F07779" w:rsidRDefault="0094644B" w:rsidP="00FB5086">
            <w:pPr>
              <w:rPr>
                <w:sz w:val="20"/>
                <w:szCs w:val="20"/>
              </w:rPr>
            </w:pPr>
            <w:r w:rsidRPr="00F07779">
              <w:rPr>
                <w:sz w:val="20"/>
                <w:szCs w:val="20"/>
              </w:rPr>
              <w:t>Investment projects focused on the reconstruction and construction of the transmission network</w:t>
            </w:r>
          </w:p>
        </w:tc>
      </w:tr>
      <w:tr w:rsidR="0094644B" w:rsidRPr="00F07779" w14:paraId="6EC92EE9"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5D13597E" w14:textId="77777777" w:rsidR="0094644B" w:rsidRPr="00F07779" w:rsidRDefault="0094644B" w:rsidP="00FB5086">
            <w:pPr>
              <w:rPr>
                <w:sz w:val="20"/>
                <w:szCs w:val="20"/>
              </w:rPr>
            </w:pPr>
            <w:r w:rsidRPr="00FA3F57">
              <w:rPr>
                <w:sz w:val="20"/>
                <w:szCs w:val="20"/>
              </w:rPr>
              <w:t>Name of the project</w:t>
            </w:r>
          </w:p>
        </w:tc>
        <w:tc>
          <w:tcPr>
            <w:tcW w:w="5667"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4A5D0D04" w14:textId="77777777" w:rsidR="0094644B" w:rsidRPr="00F07779" w:rsidRDefault="0094644B" w:rsidP="00FB5086">
            <w:pPr>
              <w:rPr>
                <w:sz w:val="20"/>
                <w:szCs w:val="20"/>
              </w:rPr>
            </w:pPr>
            <w:r w:rsidRPr="00F07779">
              <w:rPr>
                <w:sz w:val="20"/>
                <w:szCs w:val="20"/>
              </w:rPr>
              <w:t xml:space="preserve">OHL 110 kV TS Perlez – TS </w:t>
            </w:r>
            <w:proofErr w:type="spellStart"/>
            <w:r w:rsidRPr="00F07779">
              <w:rPr>
                <w:sz w:val="20"/>
                <w:szCs w:val="20"/>
              </w:rPr>
              <w:t>Žabalj</w:t>
            </w:r>
            <w:proofErr w:type="spellEnd"/>
          </w:p>
        </w:tc>
      </w:tr>
      <w:tr w:rsidR="0094644B" w:rsidRPr="00F07779" w14:paraId="23F88809"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719A664" w14:textId="77777777" w:rsidR="0094644B" w:rsidRPr="00F07779" w:rsidRDefault="0094644B" w:rsidP="00FB5086">
            <w:pPr>
              <w:rPr>
                <w:sz w:val="20"/>
                <w:szCs w:val="20"/>
              </w:rPr>
            </w:pPr>
            <w:r w:rsidRPr="00FA3F57">
              <w:rPr>
                <w:sz w:val="20"/>
                <w:szCs w:val="20"/>
              </w:rPr>
              <w:t xml:space="preserve">Name of the </w:t>
            </w:r>
            <w:r w:rsidRPr="00F07779">
              <w:rPr>
                <w:sz w:val="20"/>
                <w:szCs w:val="20"/>
              </w:rPr>
              <w:t>investment</w:t>
            </w:r>
          </w:p>
        </w:tc>
        <w:tc>
          <w:tcPr>
            <w:tcW w:w="566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E112D02" w14:textId="77777777" w:rsidR="0094644B" w:rsidRPr="00F07779" w:rsidRDefault="0094644B" w:rsidP="00FB5086">
            <w:pPr>
              <w:rPr>
                <w:sz w:val="20"/>
                <w:szCs w:val="20"/>
              </w:rPr>
            </w:pPr>
            <w:r w:rsidRPr="00F07779">
              <w:rPr>
                <w:sz w:val="20"/>
                <w:szCs w:val="20"/>
              </w:rPr>
              <w:t xml:space="preserve">OHL 110 kV TS Perlez – TS </w:t>
            </w:r>
            <w:proofErr w:type="spellStart"/>
            <w:r w:rsidRPr="00F07779">
              <w:rPr>
                <w:sz w:val="20"/>
                <w:szCs w:val="20"/>
              </w:rPr>
              <w:t>Žabalj</w:t>
            </w:r>
            <w:proofErr w:type="spellEnd"/>
          </w:p>
        </w:tc>
      </w:tr>
      <w:tr w:rsidR="0094644B" w:rsidRPr="00F07779" w14:paraId="201BB79D"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108780BD" w14:textId="77777777" w:rsidR="0094644B" w:rsidRPr="00F07779" w:rsidRDefault="0094644B" w:rsidP="00FB5086">
            <w:pPr>
              <w:rPr>
                <w:sz w:val="20"/>
                <w:szCs w:val="20"/>
              </w:rPr>
            </w:pPr>
            <w:r w:rsidRPr="00FA3F57">
              <w:rPr>
                <w:sz w:val="20"/>
                <w:szCs w:val="20"/>
              </w:rPr>
              <w:t>Short description of the investment</w:t>
            </w:r>
          </w:p>
        </w:tc>
        <w:tc>
          <w:tcPr>
            <w:tcW w:w="5667" w:type="dxa"/>
            <w:tcBorders>
              <w:top w:val="single" w:sz="4" w:space="0" w:color="auto"/>
              <w:left w:val="single" w:sz="4" w:space="0" w:color="auto"/>
              <w:bottom w:val="single" w:sz="4" w:space="0" w:color="auto"/>
              <w:right w:val="single" w:sz="4" w:space="0" w:color="auto"/>
            </w:tcBorders>
            <w:hideMark/>
          </w:tcPr>
          <w:p w14:paraId="3962805E" w14:textId="77777777" w:rsidR="0094644B" w:rsidRPr="00F07779" w:rsidRDefault="0094644B" w:rsidP="00FB5086">
            <w:pPr>
              <w:rPr>
                <w:sz w:val="20"/>
                <w:szCs w:val="20"/>
              </w:rPr>
            </w:pPr>
            <w:r w:rsidRPr="00F07779">
              <w:rPr>
                <w:sz w:val="20"/>
                <w:szCs w:val="20"/>
              </w:rPr>
              <w:t xml:space="preserve">The project envisages the construction of a 44 km single-system 110 kV transmission line between TS </w:t>
            </w:r>
            <w:proofErr w:type="spellStart"/>
            <w:r w:rsidRPr="00F07779">
              <w:rPr>
                <w:sz w:val="20"/>
                <w:szCs w:val="20"/>
              </w:rPr>
              <w:t>Žabalj</w:t>
            </w:r>
            <w:proofErr w:type="spellEnd"/>
            <w:r w:rsidRPr="00F07779">
              <w:rPr>
                <w:sz w:val="20"/>
                <w:szCs w:val="20"/>
              </w:rPr>
              <w:t xml:space="preserve"> and TS Perlez.</w:t>
            </w:r>
          </w:p>
          <w:p w14:paraId="12E36859" w14:textId="77777777" w:rsidR="0094644B" w:rsidRPr="00F07779" w:rsidRDefault="0094644B" w:rsidP="00FB5086">
            <w:pPr>
              <w:rPr>
                <w:sz w:val="20"/>
                <w:szCs w:val="20"/>
              </w:rPr>
            </w:pPr>
            <w:r w:rsidRPr="00F07779">
              <w:rPr>
                <w:sz w:val="20"/>
                <w:szCs w:val="20"/>
              </w:rPr>
              <w:t>Expected dynamics of project implementation:</w:t>
            </w:r>
          </w:p>
          <w:p w14:paraId="3926DBC6" w14:textId="77777777" w:rsidR="0094644B" w:rsidRPr="00F07779" w:rsidRDefault="0094644B" w:rsidP="00FB5086">
            <w:pPr>
              <w:rPr>
                <w:sz w:val="20"/>
                <w:szCs w:val="20"/>
              </w:rPr>
            </w:pPr>
            <w:r w:rsidRPr="00F07779">
              <w:rPr>
                <w:sz w:val="20"/>
                <w:szCs w:val="20"/>
              </w:rPr>
              <w:t>2026. Location conditions</w:t>
            </w:r>
          </w:p>
          <w:p w14:paraId="22CA12AC" w14:textId="77777777" w:rsidR="0094644B" w:rsidRPr="00F07779" w:rsidRDefault="0094644B" w:rsidP="00FB5086">
            <w:pPr>
              <w:rPr>
                <w:sz w:val="20"/>
                <w:szCs w:val="20"/>
              </w:rPr>
            </w:pPr>
            <w:r w:rsidRPr="00F07779">
              <w:rPr>
                <w:sz w:val="20"/>
                <w:szCs w:val="20"/>
              </w:rPr>
              <w:t>2027. Preliminary design</w:t>
            </w:r>
          </w:p>
          <w:p w14:paraId="3D3B1EDC" w14:textId="77777777" w:rsidR="0094644B" w:rsidRPr="00F07779" w:rsidRDefault="0094644B" w:rsidP="00FB5086">
            <w:pPr>
              <w:rPr>
                <w:sz w:val="20"/>
                <w:szCs w:val="20"/>
              </w:rPr>
            </w:pPr>
            <w:r w:rsidRPr="00F07779">
              <w:rPr>
                <w:sz w:val="20"/>
                <w:szCs w:val="20"/>
              </w:rPr>
              <w:t>2028. Construction</w:t>
            </w:r>
          </w:p>
        </w:tc>
      </w:tr>
      <w:tr w:rsidR="0094644B" w:rsidRPr="00F07779" w14:paraId="31688A01"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625FC5C5" w14:textId="77777777" w:rsidR="0094644B" w:rsidRPr="00F07779" w:rsidRDefault="0094644B" w:rsidP="00FB5086">
            <w:pPr>
              <w:rPr>
                <w:sz w:val="20"/>
                <w:szCs w:val="20"/>
              </w:rPr>
            </w:pPr>
            <w:r w:rsidRPr="00FA3F57">
              <w:rPr>
                <w:sz w:val="20"/>
                <w:szCs w:val="20"/>
              </w:rPr>
              <w:lastRenderedPageBreak/>
              <w:t>Institutions responsible for the implementation of measures and activities</w:t>
            </w:r>
          </w:p>
        </w:tc>
        <w:tc>
          <w:tcPr>
            <w:tcW w:w="5667" w:type="dxa"/>
            <w:tcBorders>
              <w:top w:val="single" w:sz="4" w:space="0" w:color="auto"/>
              <w:left w:val="single" w:sz="4" w:space="0" w:color="auto"/>
              <w:bottom w:val="single" w:sz="4" w:space="0" w:color="auto"/>
              <w:right w:val="single" w:sz="4" w:space="0" w:color="auto"/>
            </w:tcBorders>
            <w:hideMark/>
          </w:tcPr>
          <w:p w14:paraId="0F32F834" w14:textId="77777777" w:rsidR="0094644B" w:rsidRPr="00F07779" w:rsidRDefault="0094644B" w:rsidP="00FB5086">
            <w:pPr>
              <w:rPr>
                <w:sz w:val="20"/>
                <w:szCs w:val="20"/>
              </w:rPr>
            </w:pPr>
            <w:r w:rsidRPr="00FA3F57">
              <w:rPr>
                <w:sz w:val="20"/>
                <w:szCs w:val="20"/>
              </w:rPr>
              <w:t>EMS JSC Belgrade</w:t>
            </w:r>
          </w:p>
        </w:tc>
      </w:tr>
      <w:tr w:rsidR="0094644B" w:rsidRPr="00F07779" w14:paraId="51971277"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12831B2A" w14:textId="77777777" w:rsidR="0094644B" w:rsidRPr="00F07779" w:rsidRDefault="0094644B" w:rsidP="00FB5086">
            <w:pPr>
              <w:rPr>
                <w:sz w:val="20"/>
                <w:szCs w:val="20"/>
              </w:rPr>
            </w:pPr>
            <w:r w:rsidRPr="00FA3F57">
              <w:rPr>
                <w:sz w:val="20"/>
                <w:szCs w:val="20"/>
              </w:rPr>
              <w:t>Institutions responsible for monitoring implementation and reporting on the realization</w:t>
            </w:r>
          </w:p>
        </w:tc>
        <w:tc>
          <w:tcPr>
            <w:tcW w:w="5667" w:type="dxa"/>
            <w:tcBorders>
              <w:top w:val="single" w:sz="4" w:space="0" w:color="auto"/>
              <w:left w:val="single" w:sz="4" w:space="0" w:color="auto"/>
              <w:bottom w:val="single" w:sz="4" w:space="0" w:color="auto"/>
              <w:right w:val="single" w:sz="4" w:space="0" w:color="auto"/>
            </w:tcBorders>
            <w:hideMark/>
          </w:tcPr>
          <w:p w14:paraId="4AB5C2B8" w14:textId="77777777" w:rsidR="0094644B" w:rsidRPr="00F07779" w:rsidRDefault="0094644B" w:rsidP="00FB5086">
            <w:pPr>
              <w:rPr>
                <w:sz w:val="20"/>
                <w:szCs w:val="20"/>
              </w:rPr>
            </w:pPr>
            <w:r w:rsidRPr="00FA3F57">
              <w:rPr>
                <w:sz w:val="20"/>
                <w:szCs w:val="20"/>
              </w:rPr>
              <w:t>EMS JSC Belgrade</w:t>
            </w:r>
          </w:p>
          <w:p w14:paraId="39FBE9FB" w14:textId="77777777" w:rsidR="0094644B" w:rsidRPr="00FA3F57" w:rsidRDefault="0094644B" w:rsidP="00FB5086">
            <w:pPr>
              <w:rPr>
                <w:sz w:val="20"/>
                <w:szCs w:val="20"/>
              </w:rPr>
            </w:pPr>
            <w:r w:rsidRPr="00FA3F57">
              <w:rPr>
                <w:sz w:val="20"/>
                <w:szCs w:val="20"/>
              </w:rPr>
              <w:t>Republic Commission for Energy Networks</w:t>
            </w:r>
          </w:p>
          <w:p w14:paraId="104C138F" w14:textId="77777777" w:rsidR="0094644B" w:rsidRPr="00F07779" w:rsidRDefault="0094644B" w:rsidP="00FB5086">
            <w:pPr>
              <w:rPr>
                <w:sz w:val="20"/>
                <w:szCs w:val="20"/>
              </w:rPr>
            </w:pPr>
            <w:r w:rsidRPr="00F07779">
              <w:rPr>
                <w:sz w:val="20"/>
                <w:szCs w:val="20"/>
              </w:rPr>
              <w:t>Ministry of Mining and Energy</w:t>
            </w:r>
          </w:p>
        </w:tc>
      </w:tr>
      <w:tr w:rsidR="0094644B" w:rsidRPr="00F07779" w14:paraId="347E88E7"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2BAC3DF1" w14:textId="77777777" w:rsidR="0094644B" w:rsidRPr="00F07779" w:rsidRDefault="0094644B" w:rsidP="00FB5086">
            <w:pPr>
              <w:rPr>
                <w:sz w:val="20"/>
                <w:szCs w:val="20"/>
              </w:rPr>
            </w:pPr>
            <w:r w:rsidRPr="00FA3F57">
              <w:rPr>
                <w:sz w:val="20"/>
                <w:szCs w:val="20"/>
              </w:rPr>
              <w:t>Year of project funding start</w:t>
            </w:r>
          </w:p>
        </w:tc>
        <w:tc>
          <w:tcPr>
            <w:tcW w:w="5667" w:type="dxa"/>
            <w:tcBorders>
              <w:top w:val="single" w:sz="4" w:space="0" w:color="auto"/>
              <w:left w:val="single" w:sz="4" w:space="0" w:color="auto"/>
              <w:bottom w:val="single" w:sz="4" w:space="0" w:color="auto"/>
              <w:right w:val="single" w:sz="4" w:space="0" w:color="auto"/>
            </w:tcBorders>
            <w:hideMark/>
          </w:tcPr>
          <w:p w14:paraId="09D110CF" w14:textId="77777777" w:rsidR="0094644B" w:rsidRPr="00F07779" w:rsidRDefault="0094644B" w:rsidP="00FB5086">
            <w:pPr>
              <w:rPr>
                <w:sz w:val="20"/>
                <w:szCs w:val="20"/>
              </w:rPr>
            </w:pPr>
            <w:r w:rsidRPr="00F07779">
              <w:rPr>
                <w:sz w:val="20"/>
                <w:szCs w:val="20"/>
              </w:rPr>
              <w:t>2021.</w:t>
            </w:r>
          </w:p>
        </w:tc>
      </w:tr>
      <w:tr w:rsidR="0094644B" w:rsidRPr="00F07779" w14:paraId="03E8FF97"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7556C621" w14:textId="77777777" w:rsidR="0094644B" w:rsidRPr="00F07779" w:rsidRDefault="0094644B" w:rsidP="00FB5086">
            <w:pPr>
              <w:rPr>
                <w:sz w:val="20"/>
                <w:szCs w:val="20"/>
              </w:rPr>
            </w:pPr>
            <w:r w:rsidRPr="00FA3F57">
              <w:rPr>
                <w:sz w:val="20"/>
                <w:szCs w:val="20"/>
              </w:rPr>
              <w:t>Year of completion of project funding</w:t>
            </w:r>
          </w:p>
        </w:tc>
        <w:tc>
          <w:tcPr>
            <w:tcW w:w="5667" w:type="dxa"/>
            <w:tcBorders>
              <w:top w:val="single" w:sz="4" w:space="0" w:color="auto"/>
              <w:left w:val="single" w:sz="4" w:space="0" w:color="auto"/>
              <w:bottom w:val="single" w:sz="4" w:space="0" w:color="auto"/>
              <w:right w:val="single" w:sz="4" w:space="0" w:color="auto"/>
            </w:tcBorders>
            <w:hideMark/>
          </w:tcPr>
          <w:p w14:paraId="1CFBD361" w14:textId="77777777" w:rsidR="0094644B" w:rsidRPr="00F07779" w:rsidRDefault="0094644B" w:rsidP="00FB5086">
            <w:pPr>
              <w:rPr>
                <w:sz w:val="20"/>
                <w:szCs w:val="20"/>
              </w:rPr>
            </w:pPr>
            <w:r w:rsidRPr="00F07779">
              <w:rPr>
                <w:sz w:val="20"/>
                <w:szCs w:val="20"/>
              </w:rPr>
              <w:t>2028.</w:t>
            </w:r>
          </w:p>
        </w:tc>
      </w:tr>
      <w:tr w:rsidR="0094644B" w:rsidRPr="00F07779" w14:paraId="6A5A319A"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1CA2050C" w14:textId="77777777" w:rsidR="0094644B" w:rsidRPr="00F07779" w:rsidRDefault="0094644B" w:rsidP="00FB5086">
            <w:pPr>
              <w:rPr>
                <w:sz w:val="20"/>
                <w:szCs w:val="20"/>
              </w:rPr>
            </w:pPr>
            <w:r w:rsidRPr="00FA3F57">
              <w:rPr>
                <w:sz w:val="20"/>
                <w:szCs w:val="20"/>
              </w:rPr>
              <w:t>Total project value</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0EA851E3" w14:textId="77777777" w:rsidR="0094644B" w:rsidRPr="00F07779" w:rsidRDefault="0094644B" w:rsidP="00FB5086">
            <w:pPr>
              <w:rPr>
                <w:sz w:val="20"/>
                <w:szCs w:val="20"/>
              </w:rPr>
            </w:pPr>
            <w:r w:rsidRPr="00F07779">
              <w:rPr>
                <w:sz w:val="20"/>
                <w:szCs w:val="20"/>
              </w:rPr>
              <w:t>762,125 (6.5 million EUR)</w:t>
            </w:r>
          </w:p>
        </w:tc>
      </w:tr>
      <w:tr w:rsidR="0094644B" w:rsidRPr="00F07779" w14:paraId="42D02E93"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212DCD5E" w14:textId="77777777" w:rsidR="0094644B" w:rsidRPr="00F07779" w:rsidRDefault="0094644B" w:rsidP="00FB5086">
            <w:pPr>
              <w:rPr>
                <w:sz w:val="20"/>
                <w:szCs w:val="20"/>
              </w:rPr>
            </w:pPr>
            <w:r w:rsidRPr="00FA3F57">
              <w:rPr>
                <w:sz w:val="20"/>
                <w:szCs w:val="20"/>
              </w:rPr>
              <w:t>Planned investments for 2026.</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752C629E" w14:textId="77777777" w:rsidR="0094644B" w:rsidRPr="00F07779" w:rsidRDefault="0094644B" w:rsidP="00FB5086">
            <w:pPr>
              <w:rPr>
                <w:sz w:val="20"/>
                <w:szCs w:val="20"/>
              </w:rPr>
            </w:pPr>
            <w:r w:rsidRPr="00F07779">
              <w:rPr>
                <w:sz w:val="20"/>
                <w:szCs w:val="20"/>
              </w:rPr>
              <w:t>9,936 (own funds of EMS JSC)</w:t>
            </w:r>
          </w:p>
        </w:tc>
      </w:tr>
      <w:tr w:rsidR="0094644B" w:rsidRPr="00F07779" w14:paraId="38D2B7C7"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47979BE3" w14:textId="77777777" w:rsidR="0094644B" w:rsidRPr="00F07779" w:rsidRDefault="0094644B" w:rsidP="00FB5086">
            <w:pPr>
              <w:rPr>
                <w:sz w:val="20"/>
                <w:szCs w:val="20"/>
              </w:rPr>
            </w:pPr>
            <w:r w:rsidRPr="00FA3F57">
              <w:rPr>
                <w:sz w:val="20"/>
                <w:szCs w:val="20"/>
              </w:rPr>
              <w:t>Planned investments for 2027.</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1E442F2E" w14:textId="77777777" w:rsidR="0094644B" w:rsidRPr="00F07779" w:rsidRDefault="0094644B" w:rsidP="00FB5086">
            <w:pPr>
              <w:rPr>
                <w:sz w:val="20"/>
                <w:szCs w:val="20"/>
              </w:rPr>
            </w:pPr>
            <w:r w:rsidRPr="00F07779">
              <w:rPr>
                <w:sz w:val="20"/>
                <w:szCs w:val="20"/>
              </w:rPr>
              <w:t>19,873 (own funds of EMS JSC)</w:t>
            </w:r>
          </w:p>
        </w:tc>
      </w:tr>
      <w:tr w:rsidR="0094644B" w:rsidRPr="00F07779" w14:paraId="0AACB59B"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06E10C63" w14:textId="77777777" w:rsidR="0094644B" w:rsidRPr="00F07779" w:rsidRDefault="0094644B" w:rsidP="00FB5086">
            <w:pPr>
              <w:rPr>
                <w:sz w:val="20"/>
                <w:szCs w:val="20"/>
              </w:rPr>
            </w:pPr>
            <w:r w:rsidRPr="00FA3F57">
              <w:rPr>
                <w:sz w:val="20"/>
                <w:szCs w:val="20"/>
              </w:rPr>
              <w:t>Planned investments for 2028.</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02A4E332" w14:textId="77777777" w:rsidR="0094644B" w:rsidRPr="00F07779" w:rsidRDefault="0094644B" w:rsidP="00FB5086">
            <w:pPr>
              <w:rPr>
                <w:sz w:val="20"/>
                <w:szCs w:val="20"/>
              </w:rPr>
            </w:pPr>
            <w:r w:rsidRPr="00F07779">
              <w:rPr>
                <w:sz w:val="20"/>
                <w:szCs w:val="20"/>
              </w:rPr>
              <w:t>719,183 (own funds of EMS JSC)</w:t>
            </w:r>
          </w:p>
        </w:tc>
      </w:tr>
    </w:tbl>
    <w:p w14:paraId="1EBFB6E2" w14:textId="77777777" w:rsidR="0094644B" w:rsidRPr="00F07779" w:rsidRDefault="0094644B" w:rsidP="0094644B">
      <w:pPr>
        <w:tabs>
          <w:tab w:val="left" w:pos="1276"/>
          <w:tab w:val="left" w:pos="1560"/>
        </w:tabs>
        <w:ind w:left="1440" w:hanging="1440"/>
      </w:pPr>
    </w:p>
    <w:tbl>
      <w:tblPr>
        <w:tblStyle w:val="TableGrid"/>
        <w:tblW w:w="0" w:type="auto"/>
        <w:tblLook w:val="04A0" w:firstRow="1" w:lastRow="0" w:firstColumn="1" w:lastColumn="0" w:noHBand="0" w:noVBand="1"/>
      </w:tblPr>
      <w:tblGrid>
        <w:gridCol w:w="2973"/>
        <w:gridCol w:w="5667"/>
      </w:tblGrid>
      <w:tr w:rsidR="0094644B" w:rsidRPr="00F07779" w14:paraId="40FE0EA5"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BD7AFB8" w14:textId="77777777" w:rsidR="0094644B" w:rsidRPr="00F07779" w:rsidRDefault="0094644B" w:rsidP="00FB5086">
            <w:pPr>
              <w:rPr>
                <w:sz w:val="20"/>
                <w:szCs w:val="20"/>
              </w:rPr>
            </w:pPr>
            <w:r w:rsidRPr="00F07779">
              <w:rPr>
                <w:sz w:val="20"/>
                <w:szCs w:val="20"/>
              </w:rPr>
              <w:t>Activity EL1.2</w:t>
            </w:r>
          </w:p>
        </w:tc>
        <w:tc>
          <w:tcPr>
            <w:tcW w:w="566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C7CF634" w14:textId="77777777" w:rsidR="0094644B" w:rsidRPr="00F07779" w:rsidRDefault="0094644B" w:rsidP="00FB5086">
            <w:pPr>
              <w:rPr>
                <w:sz w:val="20"/>
                <w:szCs w:val="20"/>
              </w:rPr>
            </w:pPr>
            <w:r w:rsidRPr="00F07779">
              <w:rPr>
                <w:sz w:val="20"/>
                <w:szCs w:val="20"/>
              </w:rPr>
              <w:t>Investment projects focused on the reconstruction and construction of the transmission network</w:t>
            </w:r>
          </w:p>
        </w:tc>
      </w:tr>
      <w:tr w:rsidR="0094644B" w:rsidRPr="00F07779" w14:paraId="1DCC317F"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6D849D0A" w14:textId="77777777" w:rsidR="0094644B" w:rsidRPr="00F07779" w:rsidRDefault="0094644B" w:rsidP="00FB5086">
            <w:pPr>
              <w:rPr>
                <w:sz w:val="20"/>
                <w:szCs w:val="20"/>
              </w:rPr>
            </w:pPr>
            <w:r w:rsidRPr="00FA3F57">
              <w:rPr>
                <w:sz w:val="20"/>
                <w:szCs w:val="20"/>
              </w:rPr>
              <w:t>Name of the project</w:t>
            </w:r>
          </w:p>
        </w:tc>
        <w:tc>
          <w:tcPr>
            <w:tcW w:w="5667"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13898551" w14:textId="77777777" w:rsidR="0094644B" w:rsidRPr="00F07779" w:rsidRDefault="0094644B" w:rsidP="00FB5086">
            <w:pPr>
              <w:rPr>
                <w:sz w:val="20"/>
                <w:szCs w:val="20"/>
              </w:rPr>
            </w:pPr>
            <w:r w:rsidRPr="00F07779">
              <w:rPr>
                <w:sz w:val="20"/>
                <w:szCs w:val="20"/>
              </w:rPr>
              <w:t xml:space="preserve">Connecting lines for TS 110/35 kV </w:t>
            </w:r>
            <w:proofErr w:type="spellStart"/>
            <w:r w:rsidRPr="00F07779">
              <w:rPr>
                <w:sz w:val="20"/>
                <w:szCs w:val="20"/>
              </w:rPr>
              <w:t>Niš</w:t>
            </w:r>
            <w:proofErr w:type="spellEnd"/>
            <w:r w:rsidRPr="00F07779">
              <w:rPr>
                <w:sz w:val="20"/>
                <w:szCs w:val="20"/>
              </w:rPr>
              <w:t xml:space="preserve"> 9</w:t>
            </w:r>
          </w:p>
        </w:tc>
      </w:tr>
      <w:tr w:rsidR="0094644B" w:rsidRPr="00F07779" w14:paraId="00DA8286"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D938A09" w14:textId="77777777" w:rsidR="0094644B" w:rsidRPr="00F07779" w:rsidRDefault="0094644B" w:rsidP="00FB5086">
            <w:pPr>
              <w:rPr>
                <w:sz w:val="20"/>
                <w:szCs w:val="20"/>
              </w:rPr>
            </w:pPr>
            <w:r w:rsidRPr="00FA3F57">
              <w:rPr>
                <w:sz w:val="20"/>
                <w:szCs w:val="20"/>
              </w:rPr>
              <w:t xml:space="preserve">Name of the </w:t>
            </w:r>
            <w:r w:rsidRPr="00F07779">
              <w:rPr>
                <w:sz w:val="20"/>
                <w:szCs w:val="20"/>
              </w:rPr>
              <w:t>investment</w:t>
            </w:r>
          </w:p>
        </w:tc>
        <w:tc>
          <w:tcPr>
            <w:tcW w:w="566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0235E40" w14:textId="77777777" w:rsidR="0094644B" w:rsidRPr="00F07779" w:rsidRDefault="0094644B" w:rsidP="00FB5086">
            <w:pPr>
              <w:rPr>
                <w:sz w:val="20"/>
                <w:szCs w:val="20"/>
              </w:rPr>
            </w:pPr>
            <w:r w:rsidRPr="00F07779">
              <w:rPr>
                <w:sz w:val="20"/>
                <w:szCs w:val="20"/>
              </w:rPr>
              <w:t xml:space="preserve">CB 110 kV TS </w:t>
            </w:r>
            <w:proofErr w:type="spellStart"/>
            <w:r w:rsidRPr="00F07779">
              <w:rPr>
                <w:sz w:val="20"/>
                <w:szCs w:val="20"/>
              </w:rPr>
              <w:t>Niš</w:t>
            </w:r>
            <w:proofErr w:type="spellEnd"/>
            <w:r w:rsidRPr="00F07779">
              <w:rPr>
                <w:sz w:val="20"/>
                <w:szCs w:val="20"/>
              </w:rPr>
              <w:t xml:space="preserve"> 9 – TS </w:t>
            </w:r>
            <w:proofErr w:type="spellStart"/>
            <w:r w:rsidRPr="00F07779">
              <w:rPr>
                <w:sz w:val="20"/>
                <w:szCs w:val="20"/>
              </w:rPr>
              <w:t>Niš</w:t>
            </w:r>
            <w:proofErr w:type="spellEnd"/>
            <w:r w:rsidRPr="00F07779">
              <w:rPr>
                <w:sz w:val="20"/>
                <w:szCs w:val="20"/>
              </w:rPr>
              <w:t xml:space="preserve"> 10</w:t>
            </w:r>
          </w:p>
          <w:p w14:paraId="47E39511" w14:textId="77777777" w:rsidR="0094644B" w:rsidRPr="00F07779" w:rsidRDefault="0094644B" w:rsidP="00FB5086">
            <w:pPr>
              <w:rPr>
                <w:sz w:val="20"/>
                <w:szCs w:val="20"/>
              </w:rPr>
            </w:pPr>
            <w:r w:rsidRPr="00F07779">
              <w:rPr>
                <w:sz w:val="20"/>
                <w:szCs w:val="20"/>
              </w:rPr>
              <w:t xml:space="preserve">CB 110 kV TS </w:t>
            </w:r>
            <w:proofErr w:type="spellStart"/>
            <w:r w:rsidRPr="00F07779">
              <w:rPr>
                <w:sz w:val="20"/>
                <w:szCs w:val="20"/>
              </w:rPr>
              <w:t>Niš</w:t>
            </w:r>
            <w:proofErr w:type="spellEnd"/>
            <w:r w:rsidRPr="00F07779">
              <w:rPr>
                <w:sz w:val="20"/>
                <w:szCs w:val="20"/>
              </w:rPr>
              <w:t xml:space="preserve"> 6 – TS </w:t>
            </w:r>
            <w:proofErr w:type="spellStart"/>
            <w:r w:rsidRPr="00F07779">
              <w:rPr>
                <w:sz w:val="20"/>
                <w:szCs w:val="20"/>
              </w:rPr>
              <w:t>Niš</w:t>
            </w:r>
            <w:proofErr w:type="spellEnd"/>
            <w:r w:rsidRPr="00F07779">
              <w:rPr>
                <w:sz w:val="20"/>
                <w:szCs w:val="20"/>
              </w:rPr>
              <w:t xml:space="preserve"> 9</w:t>
            </w:r>
          </w:p>
        </w:tc>
      </w:tr>
      <w:tr w:rsidR="0094644B" w:rsidRPr="00F07779" w14:paraId="5FFE8CAC"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59CDFDE2" w14:textId="77777777" w:rsidR="0094644B" w:rsidRPr="00F07779" w:rsidRDefault="0094644B" w:rsidP="00FB5086">
            <w:pPr>
              <w:rPr>
                <w:sz w:val="20"/>
                <w:szCs w:val="20"/>
              </w:rPr>
            </w:pPr>
            <w:r w:rsidRPr="00FA3F57">
              <w:rPr>
                <w:sz w:val="20"/>
                <w:szCs w:val="20"/>
              </w:rPr>
              <w:t>Short description of the investment</w:t>
            </w:r>
          </w:p>
        </w:tc>
        <w:tc>
          <w:tcPr>
            <w:tcW w:w="5667" w:type="dxa"/>
            <w:tcBorders>
              <w:top w:val="single" w:sz="4" w:space="0" w:color="auto"/>
              <w:left w:val="single" w:sz="4" w:space="0" w:color="auto"/>
              <w:bottom w:val="single" w:sz="4" w:space="0" w:color="auto"/>
              <w:right w:val="single" w:sz="4" w:space="0" w:color="auto"/>
            </w:tcBorders>
            <w:hideMark/>
          </w:tcPr>
          <w:p w14:paraId="4E91B193" w14:textId="77777777" w:rsidR="0094644B" w:rsidRPr="00F07779" w:rsidRDefault="0094644B" w:rsidP="00FB5086">
            <w:pPr>
              <w:rPr>
                <w:sz w:val="20"/>
                <w:szCs w:val="20"/>
              </w:rPr>
            </w:pPr>
            <w:r w:rsidRPr="00F07779">
              <w:rPr>
                <w:sz w:val="20"/>
                <w:szCs w:val="20"/>
              </w:rPr>
              <w:t xml:space="preserve">The connection of the new TS </w:t>
            </w:r>
            <w:proofErr w:type="spellStart"/>
            <w:r w:rsidRPr="00F07779">
              <w:rPr>
                <w:sz w:val="20"/>
                <w:szCs w:val="20"/>
              </w:rPr>
              <w:t>Niš</w:t>
            </w:r>
            <w:proofErr w:type="spellEnd"/>
            <w:r w:rsidRPr="00F07779">
              <w:rPr>
                <w:sz w:val="20"/>
                <w:szCs w:val="20"/>
              </w:rPr>
              <w:t xml:space="preserve"> 9 to the transmission network is planned with new 110 kV cable lines to the existing TS </w:t>
            </w:r>
            <w:proofErr w:type="spellStart"/>
            <w:r w:rsidRPr="00F07779">
              <w:rPr>
                <w:sz w:val="20"/>
                <w:szCs w:val="20"/>
              </w:rPr>
              <w:t>Niš</w:t>
            </w:r>
            <w:proofErr w:type="spellEnd"/>
            <w:r w:rsidRPr="00F07779">
              <w:rPr>
                <w:sz w:val="20"/>
                <w:szCs w:val="20"/>
              </w:rPr>
              <w:t xml:space="preserve"> 10 and to the new TS </w:t>
            </w:r>
            <w:proofErr w:type="spellStart"/>
            <w:r w:rsidRPr="00F07779">
              <w:rPr>
                <w:sz w:val="20"/>
                <w:szCs w:val="20"/>
              </w:rPr>
              <w:t>Niš</w:t>
            </w:r>
            <w:proofErr w:type="spellEnd"/>
            <w:r w:rsidRPr="00F07779">
              <w:rPr>
                <w:sz w:val="20"/>
                <w:szCs w:val="20"/>
              </w:rPr>
              <w:t xml:space="preserve"> 6.</w:t>
            </w:r>
          </w:p>
          <w:p w14:paraId="46563DFA" w14:textId="77777777" w:rsidR="0094644B" w:rsidRPr="00F07779" w:rsidRDefault="0094644B" w:rsidP="00FB5086">
            <w:pPr>
              <w:rPr>
                <w:sz w:val="20"/>
                <w:szCs w:val="20"/>
              </w:rPr>
            </w:pPr>
            <w:r w:rsidRPr="00F07779">
              <w:rPr>
                <w:sz w:val="20"/>
                <w:szCs w:val="20"/>
              </w:rPr>
              <w:t>Expected dynamics of project implementation:</w:t>
            </w:r>
          </w:p>
          <w:p w14:paraId="75947709" w14:textId="77777777" w:rsidR="0094644B" w:rsidRPr="00F07779" w:rsidRDefault="0094644B" w:rsidP="00FB5086">
            <w:pPr>
              <w:rPr>
                <w:sz w:val="20"/>
                <w:szCs w:val="20"/>
              </w:rPr>
            </w:pPr>
            <w:r w:rsidRPr="00F07779">
              <w:rPr>
                <w:sz w:val="20"/>
                <w:szCs w:val="20"/>
              </w:rPr>
              <w:t>2026. Location conditions</w:t>
            </w:r>
          </w:p>
          <w:p w14:paraId="5BA77E97" w14:textId="77777777" w:rsidR="0094644B" w:rsidRPr="00F07779" w:rsidRDefault="0094644B" w:rsidP="00FB5086">
            <w:pPr>
              <w:rPr>
                <w:sz w:val="20"/>
                <w:szCs w:val="20"/>
              </w:rPr>
            </w:pPr>
            <w:r w:rsidRPr="00F07779">
              <w:rPr>
                <w:sz w:val="20"/>
                <w:szCs w:val="20"/>
              </w:rPr>
              <w:t>2027. Preliminary design</w:t>
            </w:r>
          </w:p>
          <w:p w14:paraId="43B05D78" w14:textId="77777777" w:rsidR="0094644B" w:rsidRPr="00F07779" w:rsidRDefault="0094644B" w:rsidP="00FB5086">
            <w:pPr>
              <w:rPr>
                <w:sz w:val="20"/>
                <w:szCs w:val="20"/>
              </w:rPr>
            </w:pPr>
            <w:r w:rsidRPr="00F07779">
              <w:rPr>
                <w:sz w:val="20"/>
                <w:szCs w:val="20"/>
              </w:rPr>
              <w:t>2028. Construction</w:t>
            </w:r>
          </w:p>
        </w:tc>
      </w:tr>
      <w:tr w:rsidR="0094644B" w:rsidRPr="00F07779" w14:paraId="5DC3CBB6"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436798A5" w14:textId="77777777" w:rsidR="0094644B" w:rsidRPr="00F07779" w:rsidRDefault="0094644B" w:rsidP="00FB5086">
            <w:pPr>
              <w:rPr>
                <w:sz w:val="20"/>
                <w:szCs w:val="20"/>
              </w:rPr>
            </w:pPr>
            <w:r w:rsidRPr="00FA3F57">
              <w:rPr>
                <w:sz w:val="20"/>
                <w:szCs w:val="20"/>
              </w:rPr>
              <w:t>Institutions responsible for the implementation of measures and activities</w:t>
            </w:r>
          </w:p>
        </w:tc>
        <w:tc>
          <w:tcPr>
            <w:tcW w:w="5667" w:type="dxa"/>
            <w:tcBorders>
              <w:top w:val="single" w:sz="4" w:space="0" w:color="auto"/>
              <w:left w:val="single" w:sz="4" w:space="0" w:color="auto"/>
              <w:bottom w:val="single" w:sz="4" w:space="0" w:color="auto"/>
              <w:right w:val="single" w:sz="4" w:space="0" w:color="auto"/>
            </w:tcBorders>
            <w:hideMark/>
          </w:tcPr>
          <w:p w14:paraId="7857DCF0" w14:textId="77777777" w:rsidR="0094644B" w:rsidRPr="00F07779" w:rsidRDefault="0094644B" w:rsidP="00FB5086">
            <w:pPr>
              <w:rPr>
                <w:sz w:val="20"/>
                <w:szCs w:val="20"/>
              </w:rPr>
            </w:pPr>
            <w:r w:rsidRPr="00FA3F57">
              <w:rPr>
                <w:sz w:val="20"/>
                <w:szCs w:val="20"/>
              </w:rPr>
              <w:t>EMS JSC Belgrade</w:t>
            </w:r>
          </w:p>
        </w:tc>
      </w:tr>
      <w:tr w:rsidR="0094644B" w:rsidRPr="00F07779" w14:paraId="21112985"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3B6AEDF1" w14:textId="77777777" w:rsidR="0094644B" w:rsidRPr="00F07779" w:rsidRDefault="0094644B" w:rsidP="00FB5086">
            <w:pPr>
              <w:rPr>
                <w:sz w:val="20"/>
                <w:szCs w:val="20"/>
              </w:rPr>
            </w:pPr>
            <w:r w:rsidRPr="00FA3F57">
              <w:rPr>
                <w:sz w:val="20"/>
                <w:szCs w:val="20"/>
              </w:rPr>
              <w:t>Institutions responsible for monitoring implementation and reporting on the realization</w:t>
            </w:r>
          </w:p>
        </w:tc>
        <w:tc>
          <w:tcPr>
            <w:tcW w:w="5667" w:type="dxa"/>
            <w:tcBorders>
              <w:top w:val="single" w:sz="4" w:space="0" w:color="auto"/>
              <w:left w:val="single" w:sz="4" w:space="0" w:color="auto"/>
              <w:bottom w:val="single" w:sz="4" w:space="0" w:color="auto"/>
              <w:right w:val="single" w:sz="4" w:space="0" w:color="auto"/>
            </w:tcBorders>
            <w:hideMark/>
          </w:tcPr>
          <w:p w14:paraId="103714D0" w14:textId="77777777" w:rsidR="0094644B" w:rsidRPr="00F07779" w:rsidRDefault="0094644B" w:rsidP="00FB5086">
            <w:pPr>
              <w:rPr>
                <w:sz w:val="20"/>
                <w:szCs w:val="20"/>
              </w:rPr>
            </w:pPr>
            <w:r w:rsidRPr="00FA3F57">
              <w:rPr>
                <w:sz w:val="20"/>
                <w:szCs w:val="20"/>
              </w:rPr>
              <w:t>EMS JSC Belgrade</w:t>
            </w:r>
          </w:p>
          <w:p w14:paraId="2C26365F" w14:textId="77777777" w:rsidR="0094644B" w:rsidRPr="00FA3F57" w:rsidRDefault="0094644B" w:rsidP="00FB5086">
            <w:pPr>
              <w:rPr>
                <w:sz w:val="20"/>
                <w:szCs w:val="20"/>
              </w:rPr>
            </w:pPr>
            <w:r w:rsidRPr="00FA3F57">
              <w:rPr>
                <w:sz w:val="20"/>
                <w:szCs w:val="20"/>
              </w:rPr>
              <w:t>Republic Commission for Energy Networks</w:t>
            </w:r>
          </w:p>
          <w:p w14:paraId="5100A6F0" w14:textId="77777777" w:rsidR="0094644B" w:rsidRPr="00F07779" w:rsidRDefault="0094644B" w:rsidP="00FB5086">
            <w:pPr>
              <w:rPr>
                <w:sz w:val="20"/>
                <w:szCs w:val="20"/>
              </w:rPr>
            </w:pPr>
            <w:r w:rsidRPr="00F07779">
              <w:rPr>
                <w:sz w:val="20"/>
                <w:szCs w:val="20"/>
              </w:rPr>
              <w:t>Ministry of Mining and Energy</w:t>
            </w:r>
          </w:p>
        </w:tc>
      </w:tr>
      <w:tr w:rsidR="0094644B" w:rsidRPr="00F07779" w14:paraId="10412B21"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2A728F1C" w14:textId="77777777" w:rsidR="0094644B" w:rsidRPr="00F07779" w:rsidRDefault="0094644B" w:rsidP="00FB5086">
            <w:pPr>
              <w:rPr>
                <w:sz w:val="20"/>
                <w:szCs w:val="20"/>
              </w:rPr>
            </w:pPr>
            <w:r w:rsidRPr="00FA3F57">
              <w:rPr>
                <w:sz w:val="20"/>
                <w:szCs w:val="20"/>
              </w:rPr>
              <w:t>Year of project funding start</w:t>
            </w:r>
          </w:p>
        </w:tc>
        <w:tc>
          <w:tcPr>
            <w:tcW w:w="5667" w:type="dxa"/>
            <w:tcBorders>
              <w:top w:val="single" w:sz="4" w:space="0" w:color="auto"/>
              <w:left w:val="single" w:sz="4" w:space="0" w:color="auto"/>
              <w:bottom w:val="single" w:sz="4" w:space="0" w:color="auto"/>
              <w:right w:val="single" w:sz="4" w:space="0" w:color="auto"/>
            </w:tcBorders>
            <w:hideMark/>
          </w:tcPr>
          <w:p w14:paraId="07E8FD11" w14:textId="77777777" w:rsidR="0094644B" w:rsidRPr="00F07779" w:rsidRDefault="0094644B" w:rsidP="00FB5086">
            <w:pPr>
              <w:rPr>
                <w:sz w:val="20"/>
                <w:szCs w:val="20"/>
              </w:rPr>
            </w:pPr>
            <w:r w:rsidRPr="00F07779">
              <w:rPr>
                <w:sz w:val="20"/>
                <w:szCs w:val="20"/>
              </w:rPr>
              <w:t>2023.</w:t>
            </w:r>
          </w:p>
        </w:tc>
      </w:tr>
      <w:tr w:rsidR="0094644B" w:rsidRPr="00F07779" w14:paraId="51B0D58D"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2F203C13" w14:textId="77777777" w:rsidR="0094644B" w:rsidRPr="00F07779" w:rsidRDefault="0094644B" w:rsidP="00FB5086">
            <w:pPr>
              <w:rPr>
                <w:sz w:val="20"/>
                <w:szCs w:val="20"/>
              </w:rPr>
            </w:pPr>
            <w:r w:rsidRPr="00FA3F57">
              <w:rPr>
                <w:sz w:val="20"/>
                <w:szCs w:val="20"/>
              </w:rPr>
              <w:t>Year of completion of project funding</w:t>
            </w:r>
          </w:p>
        </w:tc>
        <w:tc>
          <w:tcPr>
            <w:tcW w:w="5667" w:type="dxa"/>
            <w:tcBorders>
              <w:top w:val="single" w:sz="4" w:space="0" w:color="auto"/>
              <w:left w:val="single" w:sz="4" w:space="0" w:color="auto"/>
              <w:bottom w:val="single" w:sz="4" w:space="0" w:color="auto"/>
              <w:right w:val="single" w:sz="4" w:space="0" w:color="auto"/>
            </w:tcBorders>
            <w:hideMark/>
          </w:tcPr>
          <w:p w14:paraId="02AD6964" w14:textId="77777777" w:rsidR="0094644B" w:rsidRPr="00F07779" w:rsidRDefault="0094644B" w:rsidP="00FB5086">
            <w:pPr>
              <w:rPr>
                <w:sz w:val="20"/>
                <w:szCs w:val="20"/>
              </w:rPr>
            </w:pPr>
            <w:r w:rsidRPr="00F07779">
              <w:rPr>
                <w:sz w:val="20"/>
                <w:szCs w:val="20"/>
              </w:rPr>
              <w:t>2029.</w:t>
            </w:r>
          </w:p>
        </w:tc>
      </w:tr>
      <w:tr w:rsidR="0094644B" w:rsidRPr="00F07779" w14:paraId="4719EDF3"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07FD7338" w14:textId="77777777" w:rsidR="0094644B" w:rsidRPr="00F07779" w:rsidRDefault="0094644B" w:rsidP="00FB5086">
            <w:pPr>
              <w:rPr>
                <w:sz w:val="20"/>
                <w:szCs w:val="20"/>
              </w:rPr>
            </w:pPr>
            <w:r w:rsidRPr="00FA3F57">
              <w:rPr>
                <w:sz w:val="20"/>
                <w:szCs w:val="20"/>
              </w:rPr>
              <w:t>Total project value</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2139F287" w14:textId="77777777" w:rsidR="0094644B" w:rsidRPr="00F07779" w:rsidRDefault="0094644B" w:rsidP="00FB5086">
            <w:pPr>
              <w:rPr>
                <w:sz w:val="20"/>
                <w:szCs w:val="20"/>
              </w:rPr>
            </w:pPr>
            <w:r w:rsidRPr="00F07779">
              <w:rPr>
                <w:sz w:val="20"/>
                <w:szCs w:val="20"/>
              </w:rPr>
              <w:t>926,275 (7.9 million EUR)</w:t>
            </w:r>
          </w:p>
        </w:tc>
      </w:tr>
      <w:tr w:rsidR="0094644B" w:rsidRPr="00F07779" w14:paraId="4BB6F830"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48CA5300" w14:textId="77777777" w:rsidR="0094644B" w:rsidRPr="00F07779" w:rsidRDefault="0094644B" w:rsidP="00FB5086">
            <w:pPr>
              <w:rPr>
                <w:sz w:val="20"/>
                <w:szCs w:val="20"/>
              </w:rPr>
            </w:pPr>
            <w:r w:rsidRPr="00FA3F57">
              <w:rPr>
                <w:sz w:val="20"/>
                <w:szCs w:val="20"/>
              </w:rPr>
              <w:t>Planned investments for 2026.</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14DF0B08" w14:textId="77777777" w:rsidR="0094644B" w:rsidRPr="00F07779" w:rsidRDefault="0094644B" w:rsidP="00FB5086">
            <w:pPr>
              <w:rPr>
                <w:sz w:val="20"/>
                <w:szCs w:val="20"/>
              </w:rPr>
            </w:pPr>
            <w:r w:rsidRPr="00F07779">
              <w:rPr>
                <w:sz w:val="20"/>
                <w:szCs w:val="20"/>
              </w:rPr>
              <w:t>94,376 (own funds of EMS JSC)</w:t>
            </w:r>
          </w:p>
        </w:tc>
      </w:tr>
      <w:tr w:rsidR="0094644B" w:rsidRPr="00F07779" w14:paraId="178CE969"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455C31D0" w14:textId="77777777" w:rsidR="0094644B" w:rsidRPr="00F07779" w:rsidRDefault="0094644B" w:rsidP="00FB5086">
            <w:pPr>
              <w:rPr>
                <w:sz w:val="20"/>
                <w:szCs w:val="20"/>
              </w:rPr>
            </w:pPr>
            <w:r w:rsidRPr="00FA3F57">
              <w:rPr>
                <w:sz w:val="20"/>
                <w:szCs w:val="20"/>
              </w:rPr>
              <w:t>Planned investments for 2027.</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7CEFD35F" w14:textId="77777777" w:rsidR="0094644B" w:rsidRPr="00F07779" w:rsidRDefault="0094644B" w:rsidP="00FB5086">
            <w:pPr>
              <w:rPr>
                <w:sz w:val="20"/>
                <w:szCs w:val="20"/>
              </w:rPr>
            </w:pPr>
            <w:r w:rsidRPr="00F07779">
              <w:rPr>
                <w:sz w:val="20"/>
                <w:szCs w:val="20"/>
              </w:rPr>
              <w:t>381,122 (own funds of EMS JSC)</w:t>
            </w:r>
          </w:p>
        </w:tc>
      </w:tr>
      <w:tr w:rsidR="0094644B" w:rsidRPr="00F07779" w14:paraId="0A97DF7B"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13E32B67" w14:textId="77777777" w:rsidR="0094644B" w:rsidRPr="00F07779" w:rsidRDefault="0094644B" w:rsidP="00FB5086">
            <w:pPr>
              <w:rPr>
                <w:sz w:val="20"/>
                <w:szCs w:val="20"/>
              </w:rPr>
            </w:pPr>
            <w:r w:rsidRPr="00FA3F57">
              <w:rPr>
                <w:sz w:val="20"/>
                <w:szCs w:val="20"/>
              </w:rPr>
              <w:t>Planned investments for 2028.</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0D04C21F" w14:textId="77777777" w:rsidR="0094644B" w:rsidRPr="00F07779" w:rsidRDefault="0094644B" w:rsidP="00FB5086">
            <w:pPr>
              <w:rPr>
                <w:sz w:val="20"/>
                <w:szCs w:val="20"/>
              </w:rPr>
            </w:pPr>
            <w:r w:rsidRPr="00F07779">
              <w:rPr>
                <w:sz w:val="20"/>
                <w:szCs w:val="20"/>
              </w:rPr>
              <w:t>214,160 (own funds of EMS JSC)</w:t>
            </w:r>
          </w:p>
        </w:tc>
      </w:tr>
    </w:tbl>
    <w:p w14:paraId="7F651858" w14:textId="77777777" w:rsidR="0094644B" w:rsidRPr="00F07779" w:rsidRDefault="0094644B" w:rsidP="0094644B">
      <w:pPr>
        <w:tabs>
          <w:tab w:val="left" w:pos="1276"/>
          <w:tab w:val="left" w:pos="1560"/>
        </w:tabs>
        <w:ind w:left="1440" w:hanging="1440"/>
      </w:pPr>
    </w:p>
    <w:tbl>
      <w:tblPr>
        <w:tblStyle w:val="TableGrid"/>
        <w:tblW w:w="0" w:type="auto"/>
        <w:tblLook w:val="04A0" w:firstRow="1" w:lastRow="0" w:firstColumn="1" w:lastColumn="0" w:noHBand="0" w:noVBand="1"/>
      </w:tblPr>
      <w:tblGrid>
        <w:gridCol w:w="2973"/>
        <w:gridCol w:w="5667"/>
      </w:tblGrid>
      <w:tr w:rsidR="0094644B" w:rsidRPr="00F07779" w14:paraId="31034A9A"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463DDAE" w14:textId="77777777" w:rsidR="0094644B" w:rsidRPr="00F07779" w:rsidRDefault="0094644B" w:rsidP="00FB5086">
            <w:pPr>
              <w:rPr>
                <w:sz w:val="20"/>
                <w:szCs w:val="20"/>
              </w:rPr>
            </w:pPr>
            <w:r w:rsidRPr="00F07779">
              <w:rPr>
                <w:sz w:val="20"/>
                <w:szCs w:val="20"/>
              </w:rPr>
              <w:t>Activity EL1.2</w:t>
            </w:r>
          </w:p>
        </w:tc>
        <w:tc>
          <w:tcPr>
            <w:tcW w:w="566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63C43D6" w14:textId="77777777" w:rsidR="0094644B" w:rsidRPr="00F07779" w:rsidRDefault="0094644B" w:rsidP="00FB5086">
            <w:pPr>
              <w:rPr>
                <w:sz w:val="20"/>
                <w:szCs w:val="20"/>
              </w:rPr>
            </w:pPr>
            <w:r w:rsidRPr="00F07779">
              <w:rPr>
                <w:sz w:val="20"/>
                <w:szCs w:val="20"/>
              </w:rPr>
              <w:t>Investment projects focused on the reconstruction and construction of the transmission network</w:t>
            </w:r>
          </w:p>
        </w:tc>
      </w:tr>
      <w:tr w:rsidR="0094644B" w:rsidRPr="00F07779" w14:paraId="14F67636"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6651B1F6" w14:textId="77777777" w:rsidR="0094644B" w:rsidRPr="00F07779" w:rsidRDefault="0094644B" w:rsidP="00FB5086">
            <w:pPr>
              <w:rPr>
                <w:sz w:val="20"/>
                <w:szCs w:val="20"/>
              </w:rPr>
            </w:pPr>
            <w:r w:rsidRPr="00FA3F57">
              <w:rPr>
                <w:sz w:val="20"/>
                <w:szCs w:val="20"/>
              </w:rPr>
              <w:t>Name of the project</w:t>
            </w:r>
          </w:p>
        </w:tc>
        <w:tc>
          <w:tcPr>
            <w:tcW w:w="5667"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67251729" w14:textId="77777777" w:rsidR="0094644B" w:rsidRPr="00F07779" w:rsidRDefault="0094644B" w:rsidP="00FB5086">
            <w:pPr>
              <w:rPr>
                <w:sz w:val="20"/>
                <w:szCs w:val="20"/>
              </w:rPr>
            </w:pPr>
            <w:r w:rsidRPr="00F07779">
              <w:rPr>
                <w:sz w:val="20"/>
                <w:szCs w:val="20"/>
              </w:rPr>
              <w:t xml:space="preserve">OHL 110 kV TS Valjevo 3 – TS </w:t>
            </w:r>
            <w:proofErr w:type="spellStart"/>
            <w:r w:rsidRPr="00F07779">
              <w:rPr>
                <w:sz w:val="20"/>
                <w:szCs w:val="20"/>
              </w:rPr>
              <w:t>Ljig</w:t>
            </w:r>
            <w:proofErr w:type="spellEnd"/>
          </w:p>
        </w:tc>
      </w:tr>
      <w:tr w:rsidR="0094644B" w:rsidRPr="00F07779" w14:paraId="6052E952"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E21A1D3" w14:textId="77777777" w:rsidR="0094644B" w:rsidRPr="00F07779" w:rsidRDefault="0094644B" w:rsidP="00FB5086">
            <w:pPr>
              <w:rPr>
                <w:sz w:val="20"/>
                <w:szCs w:val="20"/>
              </w:rPr>
            </w:pPr>
            <w:r w:rsidRPr="00FA3F57">
              <w:rPr>
                <w:sz w:val="20"/>
                <w:szCs w:val="20"/>
              </w:rPr>
              <w:t xml:space="preserve">Name of the </w:t>
            </w:r>
            <w:r w:rsidRPr="00F07779">
              <w:rPr>
                <w:sz w:val="20"/>
                <w:szCs w:val="20"/>
              </w:rPr>
              <w:t>investment</w:t>
            </w:r>
          </w:p>
        </w:tc>
        <w:tc>
          <w:tcPr>
            <w:tcW w:w="566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B49FBEF" w14:textId="77777777" w:rsidR="0094644B" w:rsidRPr="00F07779" w:rsidRDefault="0094644B" w:rsidP="00FB5086">
            <w:pPr>
              <w:rPr>
                <w:sz w:val="20"/>
                <w:szCs w:val="20"/>
              </w:rPr>
            </w:pPr>
            <w:r w:rsidRPr="00F07779">
              <w:rPr>
                <w:sz w:val="20"/>
                <w:szCs w:val="20"/>
              </w:rPr>
              <w:t xml:space="preserve">OHL 110 kV TS Valjevo 3 – TS </w:t>
            </w:r>
            <w:proofErr w:type="spellStart"/>
            <w:r w:rsidRPr="00F07779">
              <w:rPr>
                <w:sz w:val="20"/>
                <w:szCs w:val="20"/>
              </w:rPr>
              <w:t>Ljig</w:t>
            </w:r>
            <w:proofErr w:type="spellEnd"/>
          </w:p>
        </w:tc>
      </w:tr>
      <w:tr w:rsidR="0094644B" w:rsidRPr="00F07779" w14:paraId="2C262394"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67CDE566" w14:textId="77777777" w:rsidR="0094644B" w:rsidRPr="00F07779" w:rsidRDefault="0094644B" w:rsidP="00FB5086">
            <w:pPr>
              <w:rPr>
                <w:sz w:val="20"/>
                <w:szCs w:val="20"/>
              </w:rPr>
            </w:pPr>
            <w:r w:rsidRPr="00FA3F57">
              <w:rPr>
                <w:sz w:val="20"/>
                <w:szCs w:val="20"/>
              </w:rPr>
              <w:t>Short description of the investment</w:t>
            </w:r>
          </w:p>
        </w:tc>
        <w:tc>
          <w:tcPr>
            <w:tcW w:w="5667" w:type="dxa"/>
            <w:tcBorders>
              <w:top w:val="single" w:sz="4" w:space="0" w:color="auto"/>
              <w:left w:val="single" w:sz="4" w:space="0" w:color="auto"/>
              <w:bottom w:val="single" w:sz="4" w:space="0" w:color="auto"/>
              <w:right w:val="single" w:sz="4" w:space="0" w:color="auto"/>
            </w:tcBorders>
            <w:hideMark/>
          </w:tcPr>
          <w:p w14:paraId="60E6687F" w14:textId="77777777" w:rsidR="0094644B" w:rsidRPr="00F07779" w:rsidRDefault="0094644B" w:rsidP="00FB5086">
            <w:pPr>
              <w:rPr>
                <w:sz w:val="20"/>
                <w:szCs w:val="20"/>
              </w:rPr>
            </w:pPr>
            <w:r w:rsidRPr="00F07779">
              <w:rPr>
                <w:sz w:val="20"/>
                <w:szCs w:val="20"/>
              </w:rPr>
              <w:t xml:space="preserve">Construction of a new single-system transmission line between the existing TS </w:t>
            </w:r>
            <w:proofErr w:type="spellStart"/>
            <w:r w:rsidRPr="00F07779">
              <w:rPr>
                <w:sz w:val="20"/>
                <w:szCs w:val="20"/>
              </w:rPr>
              <w:t>Ljig</w:t>
            </w:r>
            <w:proofErr w:type="spellEnd"/>
            <w:r w:rsidRPr="00F07779">
              <w:rPr>
                <w:sz w:val="20"/>
                <w:szCs w:val="20"/>
              </w:rPr>
              <w:t xml:space="preserve"> and TS Valjevo 3. The implementation of this project solves the radial power supply problem of TS </w:t>
            </w:r>
            <w:proofErr w:type="spellStart"/>
            <w:r w:rsidRPr="00F07779">
              <w:rPr>
                <w:sz w:val="20"/>
                <w:szCs w:val="20"/>
              </w:rPr>
              <w:t>Ljig</w:t>
            </w:r>
            <w:proofErr w:type="spellEnd"/>
            <w:r w:rsidRPr="00F07779">
              <w:rPr>
                <w:sz w:val="20"/>
                <w:szCs w:val="20"/>
              </w:rPr>
              <w:t xml:space="preserve">. It is also expected that the connection of the future TS </w:t>
            </w:r>
            <w:proofErr w:type="spellStart"/>
            <w:r w:rsidRPr="00F07779">
              <w:rPr>
                <w:sz w:val="20"/>
                <w:szCs w:val="20"/>
              </w:rPr>
              <w:t>Mionica</w:t>
            </w:r>
            <w:proofErr w:type="spellEnd"/>
            <w:r w:rsidRPr="00F07779">
              <w:rPr>
                <w:sz w:val="20"/>
                <w:szCs w:val="20"/>
              </w:rPr>
              <w:t xml:space="preserve"> to the transmission system will be carried out by cutting this transmission line and introducing it into it according to the "input-output" principle.</w:t>
            </w:r>
          </w:p>
          <w:p w14:paraId="0243C64D" w14:textId="77777777" w:rsidR="0094644B" w:rsidRPr="00F07779" w:rsidRDefault="0094644B" w:rsidP="00FB5086">
            <w:pPr>
              <w:rPr>
                <w:sz w:val="20"/>
                <w:szCs w:val="20"/>
              </w:rPr>
            </w:pPr>
            <w:r w:rsidRPr="00F07779">
              <w:rPr>
                <w:sz w:val="20"/>
                <w:szCs w:val="20"/>
              </w:rPr>
              <w:t>Expected dynamics of project implementation:</w:t>
            </w:r>
          </w:p>
          <w:p w14:paraId="7D1B3C9B" w14:textId="77777777" w:rsidR="0094644B" w:rsidRPr="00F07779" w:rsidRDefault="0094644B" w:rsidP="00FB5086">
            <w:pPr>
              <w:rPr>
                <w:sz w:val="20"/>
                <w:szCs w:val="20"/>
              </w:rPr>
            </w:pPr>
            <w:r w:rsidRPr="00F07779">
              <w:rPr>
                <w:sz w:val="20"/>
                <w:szCs w:val="20"/>
              </w:rPr>
              <w:t>2026. Location conditions</w:t>
            </w:r>
          </w:p>
          <w:p w14:paraId="18F0EED7" w14:textId="77777777" w:rsidR="0094644B" w:rsidRPr="00F07779" w:rsidRDefault="0094644B" w:rsidP="00FB5086">
            <w:pPr>
              <w:rPr>
                <w:sz w:val="20"/>
                <w:szCs w:val="20"/>
              </w:rPr>
            </w:pPr>
            <w:r w:rsidRPr="00F07779">
              <w:rPr>
                <w:sz w:val="20"/>
                <w:szCs w:val="20"/>
              </w:rPr>
              <w:lastRenderedPageBreak/>
              <w:t>2027. Preliminary design</w:t>
            </w:r>
          </w:p>
          <w:p w14:paraId="6E076121" w14:textId="77777777" w:rsidR="0094644B" w:rsidRPr="00F07779" w:rsidRDefault="0094644B" w:rsidP="00FB5086">
            <w:pPr>
              <w:rPr>
                <w:sz w:val="20"/>
                <w:szCs w:val="20"/>
              </w:rPr>
            </w:pPr>
            <w:r w:rsidRPr="00F07779">
              <w:rPr>
                <w:sz w:val="20"/>
                <w:szCs w:val="20"/>
              </w:rPr>
              <w:t>2028. Construction</w:t>
            </w:r>
          </w:p>
        </w:tc>
      </w:tr>
      <w:tr w:rsidR="0094644B" w:rsidRPr="00F07779" w14:paraId="39F8E021"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4E2FB085" w14:textId="77777777" w:rsidR="0094644B" w:rsidRPr="00F07779" w:rsidRDefault="0094644B" w:rsidP="00FB5086">
            <w:pPr>
              <w:rPr>
                <w:sz w:val="20"/>
                <w:szCs w:val="20"/>
              </w:rPr>
            </w:pPr>
            <w:r w:rsidRPr="00FA3F57">
              <w:rPr>
                <w:sz w:val="20"/>
                <w:szCs w:val="20"/>
              </w:rPr>
              <w:lastRenderedPageBreak/>
              <w:t>Institutions responsible for the implementation of measures and activities</w:t>
            </w:r>
          </w:p>
        </w:tc>
        <w:tc>
          <w:tcPr>
            <w:tcW w:w="5667" w:type="dxa"/>
            <w:tcBorders>
              <w:top w:val="single" w:sz="4" w:space="0" w:color="auto"/>
              <w:left w:val="single" w:sz="4" w:space="0" w:color="auto"/>
              <w:bottom w:val="single" w:sz="4" w:space="0" w:color="auto"/>
              <w:right w:val="single" w:sz="4" w:space="0" w:color="auto"/>
            </w:tcBorders>
            <w:hideMark/>
          </w:tcPr>
          <w:p w14:paraId="1693AA4C" w14:textId="77777777" w:rsidR="0094644B" w:rsidRPr="00F07779" w:rsidRDefault="0094644B" w:rsidP="00FB5086">
            <w:pPr>
              <w:rPr>
                <w:sz w:val="20"/>
                <w:szCs w:val="20"/>
              </w:rPr>
            </w:pPr>
            <w:r w:rsidRPr="00FA3F57">
              <w:rPr>
                <w:sz w:val="20"/>
                <w:szCs w:val="20"/>
              </w:rPr>
              <w:t>EMS JSC Belgrade</w:t>
            </w:r>
          </w:p>
        </w:tc>
      </w:tr>
      <w:tr w:rsidR="0094644B" w:rsidRPr="00F07779" w14:paraId="00AF6753"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1BBB2683" w14:textId="77777777" w:rsidR="0094644B" w:rsidRPr="00F07779" w:rsidRDefault="0094644B" w:rsidP="00FB5086">
            <w:pPr>
              <w:rPr>
                <w:sz w:val="20"/>
                <w:szCs w:val="20"/>
              </w:rPr>
            </w:pPr>
            <w:r w:rsidRPr="00FA3F57">
              <w:rPr>
                <w:sz w:val="20"/>
                <w:szCs w:val="20"/>
              </w:rPr>
              <w:t>Institutions responsible for monitoring implementation and reporting on the realization</w:t>
            </w:r>
          </w:p>
        </w:tc>
        <w:tc>
          <w:tcPr>
            <w:tcW w:w="5667" w:type="dxa"/>
            <w:tcBorders>
              <w:top w:val="single" w:sz="4" w:space="0" w:color="auto"/>
              <w:left w:val="single" w:sz="4" w:space="0" w:color="auto"/>
              <w:bottom w:val="single" w:sz="4" w:space="0" w:color="auto"/>
              <w:right w:val="single" w:sz="4" w:space="0" w:color="auto"/>
            </w:tcBorders>
            <w:hideMark/>
          </w:tcPr>
          <w:p w14:paraId="75C11EDE" w14:textId="77777777" w:rsidR="0094644B" w:rsidRPr="00F07779" w:rsidRDefault="0094644B" w:rsidP="00FB5086">
            <w:pPr>
              <w:rPr>
                <w:sz w:val="20"/>
                <w:szCs w:val="20"/>
              </w:rPr>
            </w:pPr>
            <w:r w:rsidRPr="00FA3F57">
              <w:rPr>
                <w:sz w:val="20"/>
                <w:szCs w:val="20"/>
              </w:rPr>
              <w:t>EMS JSC Belgrade</w:t>
            </w:r>
          </w:p>
          <w:p w14:paraId="0CCA1C18" w14:textId="77777777" w:rsidR="0094644B" w:rsidRPr="00FA3F57" w:rsidRDefault="0094644B" w:rsidP="00FB5086">
            <w:pPr>
              <w:rPr>
                <w:sz w:val="20"/>
                <w:szCs w:val="20"/>
              </w:rPr>
            </w:pPr>
            <w:r w:rsidRPr="00FA3F57">
              <w:rPr>
                <w:sz w:val="20"/>
                <w:szCs w:val="20"/>
              </w:rPr>
              <w:t>Republic Commission for Energy Networks</w:t>
            </w:r>
          </w:p>
          <w:p w14:paraId="40A4787F" w14:textId="77777777" w:rsidR="0094644B" w:rsidRPr="00F07779" w:rsidRDefault="0094644B" w:rsidP="00FB5086">
            <w:pPr>
              <w:rPr>
                <w:sz w:val="20"/>
                <w:szCs w:val="20"/>
              </w:rPr>
            </w:pPr>
            <w:r w:rsidRPr="00F07779">
              <w:rPr>
                <w:sz w:val="20"/>
                <w:szCs w:val="20"/>
              </w:rPr>
              <w:t>Ministry of Mining and Energy</w:t>
            </w:r>
          </w:p>
        </w:tc>
      </w:tr>
      <w:tr w:rsidR="0094644B" w:rsidRPr="00F07779" w14:paraId="7CB9F674"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641B7DB1" w14:textId="77777777" w:rsidR="0094644B" w:rsidRPr="00F07779" w:rsidRDefault="0094644B" w:rsidP="00FB5086">
            <w:pPr>
              <w:rPr>
                <w:sz w:val="20"/>
                <w:szCs w:val="20"/>
              </w:rPr>
            </w:pPr>
            <w:r w:rsidRPr="00FA3F57">
              <w:rPr>
                <w:sz w:val="20"/>
                <w:szCs w:val="20"/>
              </w:rPr>
              <w:t>Year of project funding start</w:t>
            </w:r>
          </w:p>
        </w:tc>
        <w:tc>
          <w:tcPr>
            <w:tcW w:w="5667" w:type="dxa"/>
            <w:tcBorders>
              <w:top w:val="single" w:sz="4" w:space="0" w:color="auto"/>
              <w:left w:val="single" w:sz="4" w:space="0" w:color="auto"/>
              <w:bottom w:val="single" w:sz="4" w:space="0" w:color="auto"/>
              <w:right w:val="single" w:sz="4" w:space="0" w:color="auto"/>
            </w:tcBorders>
            <w:hideMark/>
          </w:tcPr>
          <w:p w14:paraId="0DB1E564" w14:textId="77777777" w:rsidR="0094644B" w:rsidRPr="00F07779" w:rsidRDefault="0094644B" w:rsidP="00FB5086">
            <w:pPr>
              <w:rPr>
                <w:sz w:val="20"/>
                <w:szCs w:val="20"/>
              </w:rPr>
            </w:pPr>
            <w:r w:rsidRPr="00F07779">
              <w:rPr>
                <w:sz w:val="20"/>
                <w:szCs w:val="20"/>
              </w:rPr>
              <w:t>2023.</w:t>
            </w:r>
          </w:p>
        </w:tc>
      </w:tr>
      <w:tr w:rsidR="0094644B" w:rsidRPr="00F07779" w14:paraId="2862FA18"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0530CB23" w14:textId="77777777" w:rsidR="0094644B" w:rsidRPr="00F07779" w:rsidRDefault="0094644B" w:rsidP="00FB5086">
            <w:pPr>
              <w:rPr>
                <w:sz w:val="20"/>
                <w:szCs w:val="20"/>
              </w:rPr>
            </w:pPr>
            <w:r w:rsidRPr="00FA3F57">
              <w:rPr>
                <w:sz w:val="20"/>
                <w:szCs w:val="20"/>
              </w:rPr>
              <w:t>Year of completion of project funding</w:t>
            </w:r>
          </w:p>
        </w:tc>
        <w:tc>
          <w:tcPr>
            <w:tcW w:w="5667" w:type="dxa"/>
            <w:tcBorders>
              <w:top w:val="single" w:sz="4" w:space="0" w:color="auto"/>
              <w:left w:val="single" w:sz="4" w:space="0" w:color="auto"/>
              <w:bottom w:val="single" w:sz="4" w:space="0" w:color="auto"/>
              <w:right w:val="single" w:sz="4" w:space="0" w:color="auto"/>
            </w:tcBorders>
            <w:hideMark/>
          </w:tcPr>
          <w:p w14:paraId="3BEDAF18" w14:textId="77777777" w:rsidR="0094644B" w:rsidRPr="00F07779" w:rsidRDefault="0094644B" w:rsidP="00FB5086">
            <w:pPr>
              <w:rPr>
                <w:sz w:val="20"/>
                <w:szCs w:val="20"/>
              </w:rPr>
            </w:pPr>
            <w:r w:rsidRPr="00F07779">
              <w:rPr>
                <w:sz w:val="20"/>
                <w:szCs w:val="20"/>
              </w:rPr>
              <w:t>2028.</w:t>
            </w:r>
          </w:p>
        </w:tc>
      </w:tr>
      <w:tr w:rsidR="0094644B" w:rsidRPr="00F07779" w14:paraId="4CB5205F"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78214468" w14:textId="77777777" w:rsidR="0094644B" w:rsidRPr="00F07779" w:rsidRDefault="0094644B" w:rsidP="00FB5086">
            <w:pPr>
              <w:rPr>
                <w:sz w:val="20"/>
                <w:szCs w:val="20"/>
              </w:rPr>
            </w:pPr>
            <w:r w:rsidRPr="00FA3F57">
              <w:rPr>
                <w:sz w:val="20"/>
                <w:szCs w:val="20"/>
              </w:rPr>
              <w:t>Total project value</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2F4A33E2" w14:textId="77777777" w:rsidR="0094644B" w:rsidRPr="00F07779" w:rsidRDefault="0094644B" w:rsidP="00FB5086">
            <w:pPr>
              <w:rPr>
                <w:sz w:val="20"/>
                <w:szCs w:val="20"/>
              </w:rPr>
            </w:pPr>
            <w:r w:rsidRPr="00F07779">
              <w:rPr>
                <w:sz w:val="20"/>
                <w:szCs w:val="20"/>
              </w:rPr>
              <w:t>504,175 (4.3 million EUR)</w:t>
            </w:r>
          </w:p>
        </w:tc>
      </w:tr>
      <w:tr w:rsidR="0094644B" w:rsidRPr="00F07779" w14:paraId="59E6EB94"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5BA7A9FC" w14:textId="77777777" w:rsidR="0094644B" w:rsidRPr="00F07779" w:rsidRDefault="0094644B" w:rsidP="00FB5086">
            <w:pPr>
              <w:rPr>
                <w:sz w:val="20"/>
                <w:szCs w:val="20"/>
              </w:rPr>
            </w:pPr>
            <w:r w:rsidRPr="00FA3F57">
              <w:rPr>
                <w:sz w:val="20"/>
                <w:szCs w:val="20"/>
              </w:rPr>
              <w:t>Planned investments for 2026.</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4A3121B5" w14:textId="77777777" w:rsidR="0094644B" w:rsidRPr="00F07779" w:rsidRDefault="0094644B" w:rsidP="00FB5086">
            <w:pPr>
              <w:rPr>
                <w:sz w:val="20"/>
                <w:szCs w:val="20"/>
              </w:rPr>
            </w:pPr>
            <w:r w:rsidRPr="00F07779">
              <w:rPr>
                <w:sz w:val="20"/>
                <w:szCs w:val="20"/>
              </w:rPr>
              <w:t>9,380 (own funds of EMS JSC)</w:t>
            </w:r>
          </w:p>
        </w:tc>
      </w:tr>
      <w:tr w:rsidR="0094644B" w:rsidRPr="00F07779" w14:paraId="02CCBEC4"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0AE869E8" w14:textId="77777777" w:rsidR="0094644B" w:rsidRPr="00F07779" w:rsidRDefault="0094644B" w:rsidP="00FB5086">
            <w:pPr>
              <w:rPr>
                <w:sz w:val="20"/>
                <w:szCs w:val="20"/>
              </w:rPr>
            </w:pPr>
            <w:r w:rsidRPr="00FA3F57">
              <w:rPr>
                <w:sz w:val="20"/>
                <w:szCs w:val="20"/>
              </w:rPr>
              <w:t>Planned investments for 2027.</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1133944B" w14:textId="77777777" w:rsidR="0094644B" w:rsidRPr="00F07779" w:rsidRDefault="0094644B" w:rsidP="00FB5086">
            <w:pPr>
              <w:rPr>
                <w:sz w:val="20"/>
                <w:szCs w:val="20"/>
              </w:rPr>
            </w:pPr>
            <w:r w:rsidRPr="00F07779">
              <w:rPr>
                <w:sz w:val="20"/>
                <w:szCs w:val="20"/>
              </w:rPr>
              <w:t>259,300 (own funds of EMS JSC)</w:t>
            </w:r>
          </w:p>
        </w:tc>
      </w:tr>
      <w:tr w:rsidR="0094644B" w:rsidRPr="00F07779" w14:paraId="2BCA5D61"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03BF1D8E" w14:textId="77777777" w:rsidR="0094644B" w:rsidRPr="00F07779" w:rsidRDefault="0094644B" w:rsidP="00FB5086">
            <w:pPr>
              <w:rPr>
                <w:sz w:val="20"/>
                <w:szCs w:val="20"/>
              </w:rPr>
            </w:pPr>
            <w:r w:rsidRPr="00FA3F57">
              <w:rPr>
                <w:sz w:val="20"/>
                <w:szCs w:val="20"/>
              </w:rPr>
              <w:t>Planned investments for 2028.</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55DD747A" w14:textId="77777777" w:rsidR="0094644B" w:rsidRPr="00F07779" w:rsidRDefault="0094644B" w:rsidP="00FB5086">
            <w:pPr>
              <w:rPr>
                <w:sz w:val="20"/>
                <w:szCs w:val="20"/>
              </w:rPr>
            </w:pPr>
            <w:r w:rsidRPr="00F07779">
              <w:rPr>
                <w:sz w:val="20"/>
                <w:szCs w:val="20"/>
              </w:rPr>
              <w:t>227,756 (own funds of EMS JSC)</w:t>
            </w:r>
          </w:p>
        </w:tc>
      </w:tr>
    </w:tbl>
    <w:p w14:paraId="0D6D2078" w14:textId="77777777" w:rsidR="0094644B" w:rsidRPr="00F07779" w:rsidRDefault="0094644B" w:rsidP="0094644B">
      <w:pPr>
        <w:tabs>
          <w:tab w:val="left" w:pos="1276"/>
          <w:tab w:val="left" w:pos="1560"/>
        </w:tabs>
        <w:ind w:left="1440" w:hanging="1440"/>
      </w:pPr>
    </w:p>
    <w:tbl>
      <w:tblPr>
        <w:tblStyle w:val="TableGrid"/>
        <w:tblW w:w="0" w:type="auto"/>
        <w:tblLook w:val="04A0" w:firstRow="1" w:lastRow="0" w:firstColumn="1" w:lastColumn="0" w:noHBand="0" w:noVBand="1"/>
      </w:tblPr>
      <w:tblGrid>
        <w:gridCol w:w="2973"/>
        <w:gridCol w:w="5667"/>
      </w:tblGrid>
      <w:tr w:rsidR="0094644B" w:rsidRPr="00F07779" w14:paraId="29062890"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E8340FC" w14:textId="77777777" w:rsidR="0094644B" w:rsidRPr="00F07779" w:rsidRDefault="0094644B" w:rsidP="00FB5086">
            <w:pPr>
              <w:rPr>
                <w:sz w:val="20"/>
                <w:szCs w:val="20"/>
              </w:rPr>
            </w:pPr>
            <w:r w:rsidRPr="00F07779">
              <w:rPr>
                <w:sz w:val="20"/>
                <w:szCs w:val="20"/>
              </w:rPr>
              <w:t>Activity EL1.2</w:t>
            </w:r>
          </w:p>
        </w:tc>
        <w:tc>
          <w:tcPr>
            <w:tcW w:w="566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C60CF85" w14:textId="77777777" w:rsidR="0094644B" w:rsidRPr="00F07779" w:rsidRDefault="0094644B" w:rsidP="00FB5086">
            <w:pPr>
              <w:rPr>
                <w:sz w:val="20"/>
                <w:szCs w:val="20"/>
              </w:rPr>
            </w:pPr>
            <w:r w:rsidRPr="00F07779">
              <w:rPr>
                <w:sz w:val="20"/>
                <w:szCs w:val="20"/>
              </w:rPr>
              <w:t>Investment projects focused on the reconstruction and construction of the transmission network</w:t>
            </w:r>
          </w:p>
        </w:tc>
      </w:tr>
      <w:tr w:rsidR="0094644B" w:rsidRPr="00F07779" w14:paraId="6E66A825"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6C4EF0E7" w14:textId="77777777" w:rsidR="0094644B" w:rsidRPr="00F07779" w:rsidRDefault="0094644B" w:rsidP="00FB5086">
            <w:pPr>
              <w:rPr>
                <w:sz w:val="20"/>
                <w:szCs w:val="20"/>
              </w:rPr>
            </w:pPr>
            <w:r w:rsidRPr="00FA3F57">
              <w:rPr>
                <w:sz w:val="20"/>
                <w:szCs w:val="20"/>
              </w:rPr>
              <w:t>Name of the project</w:t>
            </w:r>
          </w:p>
        </w:tc>
        <w:tc>
          <w:tcPr>
            <w:tcW w:w="5667"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2B7CD0E5" w14:textId="77777777" w:rsidR="0094644B" w:rsidRPr="00F07779" w:rsidRDefault="0094644B" w:rsidP="00FB5086">
            <w:pPr>
              <w:rPr>
                <w:sz w:val="20"/>
                <w:szCs w:val="20"/>
              </w:rPr>
            </w:pPr>
            <w:r w:rsidRPr="00F07779">
              <w:rPr>
                <w:sz w:val="20"/>
                <w:szCs w:val="20"/>
              </w:rPr>
              <w:t>Replacement of one cable section of CB 110 kV No. 172/1 TS Belgrade 6 – TS Belgrade 45</w:t>
            </w:r>
          </w:p>
        </w:tc>
      </w:tr>
      <w:tr w:rsidR="0094644B" w:rsidRPr="00F07779" w14:paraId="08CBEF7B"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34D942A" w14:textId="77777777" w:rsidR="0094644B" w:rsidRPr="00F07779" w:rsidRDefault="0094644B" w:rsidP="00FB5086">
            <w:pPr>
              <w:rPr>
                <w:sz w:val="20"/>
                <w:szCs w:val="20"/>
              </w:rPr>
            </w:pPr>
            <w:r w:rsidRPr="00FA3F57">
              <w:rPr>
                <w:sz w:val="20"/>
                <w:szCs w:val="20"/>
              </w:rPr>
              <w:t xml:space="preserve">Name of the </w:t>
            </w:r>
            <w:r w:rsidRPr="00F07779">
              <w:rPr>
                <w:sz w:val="20"/>
                <w:szCs w:val="20"/>
              </w:rPr>
              <w:t>investment</w:t>
            </w:r>
          </w:p>
        </w:tc>
        <w:tc>
          <w:tcPr>
            <w:tcW w:w="566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23A11DD" w14:textId="77777777" w:rsidR="0094644B" w:rsidRPr="00F07779" w:rsidRDefault="0094644B" w:rsidP="00FB5086">
            <w:pPr>
              <w:rPr>
                <w:sz w:val="20"/>
                <w:szCs w:val="20"/>
              </w:rPr>
            </w:pPr>
            <w:r w:rsidRPr="00F07779">
              <w:rPr>
                <w:sz w:val="20"/>
                <w:szCs w:val="20"/>
              </w:rPr>
              <w:t>CB 110 kV No. 172/1 TS Belgrade 6 – TS Belgrade 45, replacement of a section</w:t>
            </w:r>
          </w:p>
        </w:tc>
      </w:tr>
      <w:tr w:rsidR="0094644B" w:rsidRPr="00F07779" w14:paraId="1CD7BA39"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12AEEAE6" w14:textId="77777777" w:rsidR="0094644B" w:rsidRPr="00F07779" w:rsidRDefault="0094644B" w:rsidP="00FB5086">
            <w:pPr>
              <w:rPr>
                <w:sz w:val="20"/>
                <w:szCs w:val="20"/>
              </w:rPr>
            </w:pPr>
            <w:r w:rsidRPr="00FA3F57">
              <w:rPr>
                <w:sz w:val="20"/>
                <w:szCs w:val="20"/>
              </w:rPr>
              <w:t>Short description of the investment</w:t>
            </w:r>
          </w:p>
        </w:tc>
        <w:tc>
          <w:tcPr>
            <w:tcW w:w="5667" w:type="dxa"/>
            <w:tcBorders>
              <w:top w:val="single" w:sz="4" w:space="0" w:color="auto"/>
              <w:left w:val="single" w:sz="4" w:space="0" w:color="auto"/>
              <w:bottom w:val="single" w:sz="4" w:space="0" w:color="auto"/>
              <w:right w:val="single" w:sz="4" w:space="0" w:color="auto"/>
            </w:tcBorders>
            <w:hideMark/>
          </w:tcPr>
          <w:p w14:paraId="5B764047" w14:textId="77777777" w:rsidR="0094644B" w:rsidRPr="00F07779" w:rsidRDefault="0094644B" w:rsidP="00FB5086">
            <w:pPr>
              <w:rPr>
                <w:sz w:val="20"/>
                <w:szCs w:val="20"/>
              </w:rPr>
            </w:pPr>
            <w:r w:rsidRPr="00F07779">
              <w:rPr>
                <w:sz w:val="20"/>
                <w:szCs w:val="20"/>
              </w:rPr>
              <w:t xml:space="preserve">Construction of a cable along a new route, with cross-linked polyethylene insulation, from the existing cable at TS Belgrade 6 to the transition joint in Admiral </w:t>
            </w:r>
            <w:proofErr w:type="spellStart"/>
            <w:r w:rsidRPr="00F07779">
              <w:rPr>
                <w:sz w:val="20"/>
                <w:szCs w:val="20"/>
              </w:rPr>
              <w:t>Geprat</w:t>
            </w:r>
            <w:proofErr w:type="spellEnd"/>
            <w:r w:rsidRPr="00F07779">
              <w:rPr>
                <w:sz w:val="20"/>
                <w:szCs w:val="20"/>
              </w:rPr>
              <w:t xml:space="preserve"> Street.</w:t>
            </w:r>
          </w:p>
          <w:p w14:paraId="628CC05D" w14:textId="77777777" w:rsidR="0094644B" w:rsidRPr="00F07779" w:rsidRDefault="0094644B" w:rsidP="00FB5086">
            <w:pPr>
              <w:rPr>
                <w:sz w:val="20"/>
                <w:szCs w:val="20"/>
              </w:rPr>
            </w:pPr>
            <w:r w:rsidRPr="00F07779">
              <w:rPr>
                <w:sz w:val="20"/>
                <w:szCs w:val="20"/>
              </w:rPr>
              <w:t>Expected dynamics of project implementation:</w:t>
            </w:r>
          </w:p>
          <w:p w14:paraId="4CBCACC4" w14:textId="77777777" w:rsidR="0094644B" w:rsidRPr="00F07779" w:rsidRDefault="0094644B" w:rsidP="00FB5086">
            <w:pPr>
              <w:rPr>
                <w:sz w:val="20"/>
                <w:szCs w:val="20"/>
              </w:rPr>
            </w:pPr>
            <w:r w:rsidRPr="00F07779">
              <w:rPr>
                <w:sz w:val="20"/>
                <w:szCs w:val="20"/>
              </w:rPr>
              <w:t>2026. Construction</w:t>
            </w:r>
          </w:p>
          <w:p w14:paraId="7D3CB424" w14:textId="77777777" w:rsidR="0094644B" w:rsidRPr="00F07779" w:rsidRDefault="0094644B" w:rsidP="00FB5086">
            <w:pPr>
              <w:rPr>
                <w:sz w:val="20"/>
                <w:szCs w:val="20"/>
              </w:rPr>
            </w:pPr>
            <w:r w:rsidRPr="00F07779">
              <w:rPr>
                <w:sz w:val="20"/>
                <w:szCs w:val="20"/>
              </w:rPr>
              <w:t>2027. Use permit; end of project</w:t>
            </w:r>
          </w:p>
        </w:tc>
      </w:tr>
      <w:tr w:rsidR="0094644B" w:rsidRPr="00F07779" w14:paraId="079E4509"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1B0FDAFA" w14:textId="77777777" w:rsidR="0094644B" w:rsidRPr="00F07779" w:rsidRDefault="0094644B" w:rsidP="00FB5086">
            <w:pPr>
              <w:rPr>
                <w:sz w:val="20"/>
                <w:szCs w:val="20"/>
              </w:rPr>
            </w:pPr>
            <w:r w:rsidRPr="00FA3F57">
              <w:rPr>
                <w:sz w:val="20"/>
                <w:szCs w:val="20"/>
              </w:rPr>
              <w:t>Institutions responsible for the implementation of measures and activities</w:t>
            </w:r>
          </w:p>
        </w:tc>
        <w:tc>
          <w:tcPr>
            <w:tcW w:w="5667" w:type="dxa"/>
            <w:tcBorders>
              <w:top w:val="single" w:sz="4" w:space="0" w:color="auto"/>
              <w:left w:val="single" w:sz="4" w:space="0" w:color="auto"/>
              <w:bottom w:val="single" w:sz="4" w:space="0" w:color="auto"/>
              <w:right w:val="single" w:sz="4" w:space="0" w:color="auto"/>
            </w:tcBorders>
            <w:hideMark/>
          </w:tcPr>
          <w:p w14:paraId="4A505A1F" w14:textId="77777777" w:rsidR="0094644B" w:rsidRPr="00F07779" w:rsidRDefault="0094644B" w:rsidP="00FB5086">
            <w:pPr>
              <w:rPr>
                <w:sz w:val="20"/>
                <w:szCs w:val="20"/>
              </w:rPr>
            </w:pPr>
            <w:r w:rsidRPr="00FA3F57">
              <w:rPr>
                <w:sz w:val="20"/>
                <w:szCs w:val="20"/>
              </w:rPr>
              <w:t>EMS JSC Belgrade</w:t>
            </w:r>
          </w:p>
        </w:tc>
      </w:tr>
      <w:tr w:rsidR="0094644B" w:rsidRPr="00F07779" w14:paraId="4ACC0730"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5DCB21B7" w14:textId="77777777" w:rsidR="0094644B" w:rsidRPr="00F07779" w:rsidRDefault="0094644B" w:rsidP="00FB5086">
            <w:pPr>
              <w:rPr>
                <w:sz w:val="20"/>
                <w:szCs w:val="20"/>
              </w:rPr>
            </w:pPr>
            <w:r w:rsidRPr="00FA3F57">
              <w:rPr>
                <w:sz w:val="20"/>
                <w:szCs w:val="20"/>
              </w:rPr>
              <w:t>Institutions responsible for monitoring implementation and reporting on the realization</w:t>
            </w:r>
          </w:p>
        </w:tc>
        <w:tc>
          <w:tcPr>
            <w:tcW w:w="5667" w:type="dxa"/>
            <w:tcBorders>
              <w:top w:val="single" w:sz="4" w:space="0" w:color="auto"/>
              <w:left w:val="single" w:sz="4" w:space="0" w:color="auto"/>
              <w:bottom w:val="single" w:sz="4" w:space="0" w:color="auto"/>
              <w:right w:val="single" w:sz="4" w:space="0" w:color="auto"/>
            </w:tcBorders>
            <w:hideMark/>
          </w:tcPr>
          <w:p w14:paraId="54D95334" w14:textId="77777777" w:rsidR="0094644B" w:rsidRPr="00F07779" w:rsidRDefault="0094644B" w:rsidP="00FB5086">
            <w:pPr>
              <w:rPr>
                <w:sz w:val="20"/>
                <w:szCs w:val="20"/>
              </w:rPr>
            </w:pPr>
            <w:r w:rsidRPr="00FA3F57">
              <w:rPr>
                <w:sz w:val="20"/>
                <w:szCs w:val="20"/>
              </w:rPr>
              <w:t>EMS JSC Belgrade</w:t>
            </w:r>
          </w:p>
          <w:p w14:paraId="3059D70C" w14:textId="77777777" w:rsidR="0094644B" w:rsidRPr="00FA3F57" w:rsidRDefault="0094644B" w:rsidP="00FB5086">
            <w:pPr>
              <w:rPr>
                <w:sz w:val="20"/>
                <w:szCs w:val="20"/>
              </w:rPr>
            </w:pPr>
            <w:r w:rsidRPr="00FA3F57">
              <w:rPr>
                <w:sz w:val="20"/>
                <w:szCs w:val="20"/>
              </w:rPr>
              <w:t>Republic Commission for Energy Networks</w:t>
            </w:r>
          </w:p>
          <w:p w14:paraId="019BA315" w14:textId="77777777" w:rsidR="0094644B" w:rsidRPr="00F07779" w:rsidRDefault="0094644B" w:rsidP="00FB5086">
            <w:pPr>
              <w:rPr>
                <w:sz w:val="20"/>
                <w:szCs w:val="20"/>
              </w:rPr>
            </w:pPr>
            <w:r w:rsidRPr="00F07779">
              <w:rPr>
                <w:sz w:val="20"/>
                <w:szCs w:val="20"/>
              </w:rPr>
              <w:t>Ministry of Mining and Energy</w:t>
            </w:r>
          </w:p>
        </w:tc>
      </w:tr>
      <w:tr w:rsidR="0094644B" w:rsidRPr="00F07779" w14:paraId="3C3E2836"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103C9CE0" w14:textId="77777777" w:rsidR="0094644B" w:rsidRPr="00F07779" w:rsidRDefault="0094644B" w:rsidP="00FB5086">
            <w:pPr>
              <w:rPr>
                <w:sz w:val="20"/>
                <w:szCs w:val="20"/>
              </w:rPr>
            </w:pPr>
            <w:r w:rsidRPr="00FA3F57">
              <w:rPr>
                <w:sz w:val="20"/>
                <w:szCs w:val="20"/>
              </w:rPr>
              <w:t>Year of project funding start</w:t>
            </w:r>
          </w:p>
        </w:tc>
        <w:tc>
          <w:tcPr>
            <w:tcW w:w="5667" w:type="dxa"/>
            <w:tcBorders>
              <w:top w:val="single" w:sz="4" w:space="0" w:color="auto"/>
              <w:left w:val="single" w:sz="4" w:space="0" w:color="auto"/>
              <w:bottom w:val="single" w:sz="4" w:space="0" w:color="auto"/>
              <w:right w:val="single" w:sz="4" w:space="0" w:color="auto"/>
            </w:tcBorders>
            <w:hideMark/>
          </w:tcPr>
          <w:p w14:paraId="005AF38D" w14:textId="77777777" w:rsidR="0094644B" w:rsidRPr="00F07779" w:rsidRDefault="0094644B" w:rsidP="00FB5086">
            <w:pPr>
              <w:rPr>
                <w:sz w:val="20"/>
                <w:szCs w:val="20"/>
              </w:rPr>
            </w:pPr>
            <w:r w:rsidRPr="00F07779">
              <w:rPr>
                <w:sz w:val="20"/>
                <w:szCs w:val="20"/>
              </w:rPr>
              <w:t>2021.</w:t>
            </w:r>
          </w:p>
        </w:tc>
      </w:tr>
      <w:tr w:rsidR="0094644B" w:rsidRPr="00F07779" w14:paraId="6A80D720"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37997E1B" w14:textId="77777777" w:rsidR="0094644B" w:rsidRPr="00F07779" w:rsidRDefault="0094644B" w:rsidP="00FB5086">
            <w:pPr>
              <w:rPr>
                <w:sz w:val="20"/>
                <w:szCs w:val="20"/>
              </w:rPr>
            </w:pPr>
            <w:r w:rsidRPr="00FA3F57">
              <w:rPr>
                <w:sz w:val="20"/>
                <w:szCs w:val="20"/>
              </w:rPr>
              <w:t>Year of completion of project funding</w:t>
            </w:r>
          </w:p>
        </w:tc>
        <w:tc>
          <w:tcPr>
            <w:tcW w:w="5667" w:type="dxa"/>
            <w:tcBorders>
              <w:top w:val="single" w:sz="4" w:space="0" w:color="auto"/>
              <w:left w:val="single" w:sz="4" w:space="0" w:color="auto"/>
              <w:bottom w:val="single" w:sz="4" w:space="0" w:color="auto"/>
              <w:right w:val="single" w:sz="4" w:space="0" w:color="auto"/>
            </w:tcBorders>
            <w:hideMark/>
          </w:tcPr>
          <w:p w14:paraId="1687958C" w14:textId="77777777" w:rsidR="0094644B" w:rsidRPr="00F07779" w:rsidRDefault="0094644B" w:rsidP="00FB5086">
            <w:pPr>
              <w:rPr>
                <w:sz w:val="20"/>
                <w:szCs w:val="20"/>
              </w:rPr>
            </w:pPr>
            <w:r w:rsidRPr="00F07779">
              <w:rPr>
                <w:sz w:val="20"/>
                <w:szCs w:val="20"/>
              </w:rPr>
              <w:t>2026.</w:t>
            </w:r>
          </w:p>
        </w:tc>
      </w:tr>
      <w:tr w:rsidR="0094644B" w:rsidRPr="00F07779" w14:paraId="4F8F0D71"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6BC9DA76" w14:textId="77777777" w:rsidR="0094644B" w:rsidRPr="00F07779" w:rsidRDefault="0094644B" w:rsidP="00FB5086">
            <w:pPr>
              <w:rPr>
                <w:sz w:val="20"/>
                <w:szCs w:val="20"/>
              </w:rPr>
            </w:pPr>
            <w:r w:rsidRPr="00FA3F57">
              <w:rPr>
                <w:sz w:val="20"/>
                <w:szCs w:val="20"/>
              </w:rPr>
              <w:t>Total project value</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39CEDA07" w14:textId="77777777" w:rsidR="0094644B" w:rsidRPr="00F07779" w:rsidRDefault="0094644B" w:rsidP="00FB5086">
            <w:pPr>
              <w:rPr>
                <w:sz w:val="20"/>
                <w:szCs w:val="20"/>
              </w:rPr>
            </w:pPr>
            <w:r w:rsidRPr="00F07779">
              <w:rPr>
                <w:sz w:val="20"/>
                <w:szCs w:val="20"/>
              </w:rPr>
              <w:t>246,225 (2.1 million EUR)</w:t>
            </w:r>
          </w:p>
        </w:tc>
      </w:tr>
      <w:tr w:rsidR="0094644B" w:rsidRPr="00F07779" w14:paraId="7E4587E8"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3E038C28" w14:textId="77777777" w:rsidR="0094644B" w:rsidRPr="00F07779" w:rsidRDefault="0094644B" w:rsidP="00FB5086">
            <w:pPr>
              <w:rPr>
                <w:sz w:val="20"/>
                <w:szCs w:val="20"/>
              </w:rPr>
            </w:pPr>
            <w:r w:rsidRPr="00FA3F57">
              <w:rPr>
                <w:sz w:val="20"/>
                <w:szCs w:val="20"/>
              </w:rPr>
              <w:t>Planned investments for 2026.</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2924A7C9" w14:textId="77777777" w:rsidR="0094644B" w:rsidRPr="00F07779" w:rsidRDefault="0094644B" w:rsidP="00FB5086">
            <w:pPr>
              <w:rPr>
                <w:sz w:val="20"/>
                <w:szCs w:val="20"/>
              </w:rPr>
            </w:pPr>
            <w:r w:rsidRPr="00F07779">
              <w:rPr>
                <w:sz w:val="20"/>
                <w:szCs w:val="20"/>
              </w:rPr>
              <w:t>196,609 (own funds of EMS JSC)</w:t>
            </w:r>
          </w:p>
        </w:tc>
      </w:tr>
      <w:tr w:rsidR="0094644B" w:rsidRPr="00F07779" w14:paraId="45B35323"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4C7BD0D5" w14:textId="77777777" w:rsidR="0094644B" w:rsidRPr="00F07779" w:rsidRDefault="0094644B" w:rsidP="00FB5086">
            <w:pPr>
              <w:rPr>
                <w:sz w:val="20"/>
                <w:szCs w:val="20"/>
              </w:rPr>
            </w:pPr>
            <w:r w:rsidRPr="00FA3F57">
              <w:rPr>
                <w:sz w:val="20"/>
                <w:szCs w:val="20"/>
              </w:rPr>
              <w:t>Planned investments for 2027.</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45075777" w14:textId="77777777" w:rsidR="0094644B" w:rsidRPr="00F07779" w:rsidRDefault="0094644B" w:rsidP="00FB5086">
            <w:pPr>
              <w:rPr>
                <w:sz w:val="20"/>
                <w:szCs w:val="20"/>
              </w:rPr>
            </w:pPr>
            <w:r w:rsidRPr="00F07779">
              <w:rPr>
                <w:sz w:val="20"/>
                <w:szCs w:val="20"/>
              </w:rPr>
              <w:t>0</w:t>
            </w:r>
          </w:p>
        </w:tc>
      </w:tr>
      <w:tr w:rsidR="0094644B" w:rsidRPr="00F07779" w14:paraId="3873A67D"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0B893691" w14:textId="77777777" w:rsidR="0094644B" w:rsidRPr="00F07779" w:rsidRDefault="0094644B" w:rsidP="00FB5086">
            <w:pPr>
              <w:rPr>
                <w:sz w:val="20"/>
                <w:szCs w:val="20"/>
              </w:rPr>
            </w:pPr>
            <w:r w:rsidRPr="00FA3F57">
              <w:rPr>
                <w:sz w:val="20"/>
                <w:szCs w:val="20"/>
              </w:rPr>
              <w:t>Planned investments for 2028.</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29FF0BC7" w14:textId="77777777" w:rsidR="0094644B" w:rsidRPr="00F07779" w:rsidRDefault="0094644B" w:rsidP="00FB5086">
            <w:pPr>
              <w:rPr>
                <w:sz w:val="20"/>
                <w:szCs w:val="20"/>
              </w:rPr>
            </w:pPr>
            <w:r w:rsidRPr="00F07779">
              <w:rPr>
                <w:sz w:val="20"/>
                <w:szCs w:val="20"/>
              </w:rPr>
              <w:t>0</w:t>
            </w:r>
          </w:p>
        </w:tc>
      </w:tr>
    </w:tbl>
    <w:p w14:paraId="47C6D10B" w14:textId="77777777" w:rsidR="0094644B" w:rsidRPr="00F07779" w:rsidRDefault="0094644B" w:rsidP="0094644B">
      <w:pPr>
        <w:tabs>
          <w:tab w:val="left" w:pos="1276"/>
          <w:tab w:val="left" w:pos="1560"/>
        </w:tabs>
        <w:ind w:left="1440" w:hanging="1440"/>
      </w:pPr>
    </w:p>
    <w:tbl>
      <w:tblPr>
        <w:tblStyle w:val="TableGrid"/>
        <w:tblW w:w="0" w:type="auto"/>
        <w:tblLook w:val="04A0" w:firstRow="1" w:lastRow="0" w:firstColumn="1" w:lastColumn="0" w:noHBand="0" w:noVBand="1"/>
      </w:tblPr>
      <w:tblGrid>
        <w:gridCol w:w="2973"/>
        <w:gridCol w:w="5667"/>
      </w:tblGrid>
      <w:tr w:rsidR="0094644B" w:rsidRPr="00F07779" w14:paraId="4AE98A94"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14E5F59" w14:textId="77777777" w:rsidR="0094644B" w:rsidRPr="00F07779" w:rsidRDefault="0094644B" w:rsidP="00FB5086">
            <w:pPr>
              <w:rPr>
                <w:sz w:val="20"/>
                <w:szCs w:val="20"/>
              </w:rPr>
            </w:pPr>
            <w:r w:rsidRPr="00F07779">
              <w:rPr>
                <w:sz w:val="20"/>
                <w:szCs w:val="20"/>
              </w:rPr>
              <w:t>Activity EL1.2</w:t>
            </w:r>
          </w:p>
        </w:tc>
        <w:tc>
          <w:tcPr>
            <w:tcW w:w="566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6ACB6B2" w14:textId="77777777" w:rsidR="0094644B" w:rsidRPr="00F07779" w:rsidRDefault="0094644B" w:rsidP="00FB5086">
            <w:pPr>
              <w:rPr>
                <w:sz w:val="20"/>
                <w:szCs w:val="20"/>
              </w:rPr>
            </w:pPr>
            <w:r w:rsidRPr="00F07779">
              <w:rPr>
                <w:sz w:val="20"/>
                <w:szCs w:val="20"/>
              </w:rPr>
              <w:t>Investment projects focused on the reconstruction and construction of the transmission network</w:t>
            </w:r>
          </w:p>
        </w:tc>
      </w:tr>
      <w:tr w:rsidR="0094644B" w:rsidRPr="00F07779" w14:paraId="0270D40B"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7C762747" w14:textId="77777777" w:rsidR="0094644B" w:rsidRPr="00F07779" w:rsidRDefault="0094644B" w:rsidP="00FB5086">
            <w:pPr>
              <w:rPr>
                <w:sz w:val="20"/>
                <w:szCs w:val="20"/>
              </w:rPr>
            </w:pPr>
            <w:r w:rsidRPr="00FA3F57">
              <w:rPr>
                <w:sz w:val="20"/>
                <w:szCs w:val="20"/>
              </w:rPr>
              <w:t>Name of the project</w:t>
            </w:r>
          </w:p>
        </w:tc>
        <w:tc>
          <w:tcPr>
            <w:tcW w:w="5667"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5BCDD4FD" w14:textId="77777777" w:rsidR="0094644B" w:rsidRPr="00F07779" w:rsidRDefault="0094644B" w:rsidP="00FB5086">
            <w:pPr>
              <w:rPr>
                <w:sz w:val="20"/>
                <w:szCs w:val="20"/>
              </w:rPr>
            </w:pPr>
            <w:r w:rsidRPr="00F07779">
              <w:rPr>
                <w:sz w:val="20"/>
                <w:szCs w:val="20"/>
              </w:rPr>
              <w:t xml:space="preserve">Reconstruction of the OHL 110 kV No. 115/1 TS </w:t>
            </w:r>
            <w:proofErr w:type="spellStart"/>
            <w:r w:rsidRPr="00F07779">
              <w:rPr>
                <w:sz w:val="20"/>
                <w:szCs w:val="20"/>
              </w:rPr>
              <w:t>Kraljevo</w:t>
            </w:r>
            <w:proofErr w:type="spellEnd"/>
            <w:r w:rsidRPr="00F07779">
              <w:rPr>
                <w:sz w:val="20"/>
                <w:szCs w:val="20"/>
              </w:rPr>
              <w:t xml:space="preserve"> 1 – TS </w:t>
            </w:r>
            <w:proofErr w:type="spellStart"/>
            <w:r w:rsidRPr="00F07779">
              <w:rPr>
                <w:sz w:val="20"/>
                <w:szCs w:val="20"/>
              </w:rPr>
              <w:t>Čačak</w:t>
            </w:r>
            <w:proofErr w:type="spellEnd"/>
            <w:r w:rsidRPr="00F07779">
              <w:rPr>
                <w:sz w:val="20"/>
                <w:szCs w:val="20"/>
              </w:rPr>
              <w:t xml:space="preserve"> 3</w:t>
            </w:r>
          </w:p>
        </w:tc>
      </w:tr>
      <w:tr w:rsidR="0094644B" w:rsidRPr="00F07779" w14:paraId="3E929A9B"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D834D36" w14:textId="77777777" w:rsidR="0094644B" w:rsidRPr="00F07779" w:rsidRDefault="0094644B" w:rsidP="00FB5086">
            <w:pPr>
              <w:rPr>
                <w:sz w:val="20"/>
                <w:szCs w:val="20"/>
              </w:rPr>
            </w:pPr>
            <w:r w:rsidRPr="00FA3F57">
              <w:rPr>
                <w:sz w:val="20"/>
                <w:szCs w:val="20"/>
              </w:rPr>
              <w:t xml:space="preserve">Name of the </w:t>
            </w:r>
            <w:r w:rsidRPr="00F07779">
              <w:rPr>
                <w:sz w:val="20"/>
                <w:szCs w:val="20"/>
              </w:rPr>
              <w:t>investment</w:t>
            </w:r>
          </w:p>
        </w:tc>
        <w:tc>
          <w:tcPr>
            <w:tcW w:w="566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135F8B1" w14:textId="77777777" w:rsidR="0094644B" w:rsidRPr="00F07779" w:rsidRDefault="0094644B" w:rsidP="00FB5086">
            <w:pPr>
              <w:rPr>
                <w:sz w:val="20"/>
                <w:szCs w:val="20"/>
              </w:rPr>
            </w:pPr>
            <w:r w:rsidRPr="00F07779">
              <w:rPr>
                <w:sz w:val="20"/>
                <w:szCs w:val="20"/>
              </w:rPr>
              <w:t xml:space="preserve">OHL 110 kV No. 115/1 TS </w:t>
            </w:r>
            <w:proofErr w:type="spellStart"/>
            <w:r w:rsidRPr="00F07779">
              <w:rPr>
                <w:sz w:val="20"/>
                <w:szCs w:val="20"/>
              </w:rPr>
              <w:t>Kraljevo</w:t>
            </w:r>
            <w:proofErr w:type="spellEnd"/>
            <w:r w:rsidRPr="00F07779">
              <w:rPr>
                <w:sz w:val="20"/>
                <w:szCs w:val="20"/>
              </w:rPr>
              <w:t xml:space="preserve"> 1 – TS </w:t>
            </w:r>
            <w:proofErr w:type="spellStart"/>
            <w:r w:rsidRPr="00F07779">
              <w:rPr>
                <w:sz w:val="20"/>
                <w:szCs w:val="20"/>
              </w:rPr>
              <w:t>Čačak</w:t>
            </w:r>
            <w:proofErr w:type="spellEnd"/>
            <w:r w:rsidRPr="00F07779">
              <w:rPr>
                <w:sz w:val="20"/>
                <w:szCs w:val="20"/>
              </w:rPr>
              <w:t xml:space="preserve"> 3, reconstruction</w:t>
            </w:r>
          </w:p>
        </w:tc>
      </w:tr>
      <w:tr w:rsidR="0094644B" w:rsidRPr="00F07779" w14:paraId="60469D24"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19421356" w14:textId="77777777" w:rsidR="0094644B" w:rsidRPr="00F07779" w:rsidRDefault="0094644B" w:rsidP="00FB5086">
            <w:pPr>
              <w:rPr>
                <w:sz w:val="20"/>
                <w:szCs w:val="20"/>
              </w:rPr>
            </w:pPr>
            <w:r w:rsidRPr="00FA3F57">
              <w:rPr>
                <w:sz w:val="20"/>
                <w:szCs w:val="20"/>
              </w:rPr>
              <w:t>Short description of the investment</w:t>
            </w:r>
          </w:p>
        </w:tc>
        <w:tc>
          <w:tcPr>
            <w:tcW w:w="5667" w:type="dxa"/>
            <w:tcBorders>
              <w:top w:val="single" w:sz="4" w:space="0" w:color="auto"/>
              <w:left w:val="single" w:sz="4" w:space="0" w:color="auto"/>
              <w:bottom w:val="single" w:sz="4" w:space="0" w:color="auto"/>
              <w:right w:val="single" w:sz="4" w:space="0" w:color="auto"/>
            </w:tcBorders>
            <w:hideMark/>
          </w:tcPr>
          <w:p w14:paraId="16EC9AB8" w14:textId="77777777" w:rsidR="0094644B" w:rsidRPr="00F07779" w:rsidRDefault="0094644B" w:rsidP="00FB5086">
            <w:pPr>
              <w:rPr>
                <w:sz w:val="20"/>
                <w:szCs w:val="20"/>
              </w:rPr>
            </w:pPr>
            <w:r w:rsidRPr="00F07779">
              <w:rPr>
                <w:sz w:val="20"/>
                <w:szCs w:val="20"/>
              </w:rPr>
              <w:t>Reconstruction into a dual-system transmission line with the equipment of one system.</w:t>
            </w:r>
          </w:p>
          <w:p w14:paraId="0DF83B78" w14:textId="77777777" w:rsidR="0094644B" w:rsidRPr="00F07779" w:rsidRDefault="0094644B" w:rsidP="00FB5086">
            <w:pPr>
              <w:rPr>
                <w:sz w:val="20"/>
                <w:szCs w:val="20"/>
              </w:rPr>
            </w:pPr>
            <w:r w:rsidRPr="00F07779">
              <w:rPr>
                <w:sz w:val="20"/>
                <w:szCs w:val="20"/>
              </w:rPr>
              <w:t>Expected dynamics of project implementation:</w:t>
            </w:r>
          </w:p>
          <w:p w14:paraId="070E2E08" w14:textId="77777777" w:rsidR="0094644B" w:rsidRPr="00F07779" w:rsidRDefault="0094644B" w:rsidP="00FB5086">
            <w:pPr>
              <w:rPr>
                <w:sz w:val="20"/>
                <w:szCs w:val="20"/>
              </w:rPr>
            </w:pPr>
            <w:r w:rsidRPr="00F07779">
              <w:rPr>
                <w:sz w:val="20"/>
                <w:szCs w:val="20"/>
              </w:rPr>
              <w:t>2026. Building permit</w:t>
            </w:r>
          </w:p>
          <w:p w14:paraId="4608AEAA" w14:textId="77777777" w:rsidR="0094644B" w:rsidRPr="00F07779" w:rsidRDefault="0094644B" w:rsidP="00FB5086">
            <w:pPr>
              <w:rPr>
                <w:sz w:val="20"/>
                <w:szCs w:val="20"/>
              </w:rPr>
            </w:pPr>
            <w:r w:rsidRPr="00F07779">
              <w:rPr>
                <w:sz w:val="20"/>
                <w:szCs w:val="20"/>
              </w:rPr>
              <w:t>2027. Construction</w:t>
            </w:r>
          </w:p>
          <w:p w14:paraId="56218DB8" w14:textId="77777777" w:rsidR="0094644B" w:rsidRPr="00F07779" w:rsidRDefault="0094644B" w:rsidP="00FB5086">
            <w:pPr>
              <w:rPr>
                <w:sz w:val="20"/>
                <w:szCs w:val="20"/>
              </w:rPr>
            </w:pPr>
            <w:r w:rsidRPr="00F07779">
              <w:rPr>
                <w:sz w:val="20"/>
                <w:szCs w:val="20"/>
              </w:rPr>
              <w:lastRenderedPageBreak/>
              <w:t>2028. Use permit; end of project</w:t>
            </w:r>
          </w:p>
        </w:tc>
      </w:tr>
      <w:tr w:rsidR="0094644B" w:rsidRPr="00F07779" w14:paraId="344078E7"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10074AFE" w14:textId="77777777" w:rsidR="0094644B" w:rsidRPr="00F07779" w:rsidRDefault="0094644B" w:rsidP="00FB5086">
            <w:pPr>
              <w:rPr>
                <w:sz w:val="20"/>
                <w:szCs w:val="20"/>
              </w:rPr>
            </w:pPr>
            <w:r w:rsidRPr="00FA3F57">
              <w:rPr>
                <w:sz w:val="20"/>
                <w:szCs w:val="20"/>
              </w:rPr>
              <w:lastRenderedPageBreak/>
              <w:t>Institutions responsible for the implementation of measures and activities</w:t>
            </w:r>
          </w:p>
        </w:tc>
        <w:tc>
          <w:tcPr>
            <w:tcW w:w="5667" w:type="dxa"/>
            <w:tcBorders>
              <w:top w:val="single" w:sz="4" w:space="0" w:color="auto"/>
              <w:left w:val="single" w:sz="4" w:space="0" w:color="auto"/>
              <w:bottom w:val="single" w:sz="4" w:space="0" w:color="auto"/>
              <w:right w:val="single" w:sz="4" w:space="0" w:color="auto"/>
            </w:tcBorders>
            <w:hideMark/>
          </w:tcPr>
          <w:p w14:paraId="02D4AEBF" w14:textId="77777777" w:rsidR="0094644B" w:rsidRPr="00F07779" w:rsidRDefault="0094644B" w:rsidP="00FB5086">
            <w:pPr>
              <w:rPr>
                <w:sz w:val="20"/>
                <w:szCs w:val="20"/>
              </w:rPr>
            </w:pPr>
            <w:r w:rsidRPr="00FA3F57">
              <w:rPr>
                <w:sz w:val="20"/>
                <w:szCs w:val="20"/>
              </w:rPr>
              <w:t>EMS JSC Belgrade</w:t>
            </w:r>
          </w:p>
        </w:tc>
      </w:tr>
      <w:tr w:rsidR="0094644B" w:rsidRPr="00F07779" w14:paraId="7C4178C7"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286B1382" w14:textId="77777777" w:rsidR="0094644B" w:rsidRPr="00F07779" w:rsidRDefault="0094644B" w:rsidP="00FB5086">
            <w:pPr>
              <w:rPr>
                <w:sz w:val="20"/>
                <w:szCs w:val="20"/>
              </w:rPr>
            </w:pPr>
            <w:r w:rsidRPr="00FA3F57">
              <w:rPr>
                <w:sz w:val="20"/>
                <w:szCs w:val="20"/>
              </w:rPr>
              <w:t>Institutions responsible for monitoring implementation and reporting on the realization</w:t>
            </w:r>
          </w:p>
        </w:tc>
        <w:tc>
          <w:tcPr>
            <w:tcW w:w="5667" w:type="dxa"/>
            <w:tcBorders>
              <w:top w:val="single" w:sz="4" w:space="0" w:color="auto"/>
              <w:left w:val="single" w:sz="4" w:space="0" w:color="auto"/>
              <w:bottom w:val="single" w:sz="4" w:space="0" w:color="auto"/>
              <w:right w:val="single" w:sz="4" w:space="0" w:color="auto"/>
            </w:tcBorders>
            <w:hideMark/>
          </w:tcPr>
          <w:p w14:paraId="2ED827B0" w14:textId="77777777" w:rsidR="0094644B" w:rsidRPr="00F07779" w:rsidRDefault="0094644B" w:rsidP="00FB5086">
            <w:pPr>
              <w:rPr>
                <w:sz w:val="20"/>
                <w:szCs w:val="20"/>
              </w:rPr>
            </w:pPr>
            <w:r w:rsidRPr="00FA3F57">
              <w:rPr>
                <w:sz w:val="20"/>
                <w:szCs w:val="20"/>
              </w:rPr>
              <w:t>EMS JSC Belgrade</w:t>
            </w:r>
          </w:p>
          <w:p w14:paraId="35774D06" w14:textId="77777777" w:rsidR="0094644B" w:rsidRPr="00FA3F57" w:rsidRDefault="0094644B" w:rsidP="00FB5086">
            <w:pPr>
              <w:rPr>
                <w:sz w:val="20"/>
                <w:szCs w:val="20"/>
              </w:rPr>
            </w:pPr>
            <w:r w:rsidRPr="00FA3F57">
              <w:rPr>
                <w:sz w:val="20"/>
                <w:szCs w:val="20"/>
              </w:rPr>
              <w:t>Republic Commission for Energy Networks</w:t>
            </w:r>
          </w:p>
          <w:p w14:paraId="3CD2C0F6" w14:textId="77777777" w:rsidR="0094644B" w:rsidRPr="00F07779" w:rsidRDefault="0094644B" w:rsidP="00FB5086">
            <w:pPr>
              <w:rPr>
                <w:sz w:val="20"/>
                <w:szCs w:val="20"/>
              </w:rPr>
            </w:pPr>
            <w:r w:rsidRPr="00F07779">
              <w:rPr>
                <w:sz w:val="20"/>
                <w:szCs w:val="20"/>
              </w:rPr>
              <w:t>Ministry of Mining and Energy</w:t>
            </w:r>
          </w:p>
        </w:tc>
      </w:tr>
      <w:tr w:rsidR="0094644B" w:rsidRPr="00F07779" w14:paraId="6A8A6BD6"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76C35B35" w14:textId="77777777" w:rsidR="0094644B" w:rsidRPr="00F07779" w:rsidRDefault="0094644B" w:rsidP="00FB5086">
            <w:pPr>
              <w:rPr>
                <w:sz w:val="20"/>
                <w:szCs w:val="20"/>
              </w:rPr>
            </w:pPr>
            <w:r w:rsidRPr="00FA3F57">
              <w:rPr>
                <w:sz w:val="20"/>
                <w:szCs w:val="20"/>
              </w:rPr>
              <w:t>Year of project funding start</w:t>
            </w:r>
          </w:p>
        </w:tc>
        <w:tc>
          <w:tcPr>
            <w:tcW w:w="5667" w:type="dxa"/>
            <w:tcBorders>
              <w:top w:val="single" w:sz="4" w:space="0" w:color="auto"/>
              <w:left w:val="single" w:sz="4" w:space="0" w:color="auto"/>
              <w:bottom w:val="single" w:sz="4" w:space="0" w:color="auto"/>
              <w:right w:val="single" w:sz="4" w:space="0" w:color="auto"/>
            </w:tcBorders>
            <w:hideMark/>
          </w:tcPr>
          <w:p w14:paraId="3F8EF644" w14:textId="77777777" w:rsidR="0094644B" w:rsidRPr="00F07779" w:rsidRDefault="0094644B" w:rsidP="00FB5086">
            <w:pPr>
              <w:rPr>
                <w:sz w:val="20"/>
                <w:szCs w:val="20"/>
              </w:rPr>
            </w:pPr>
            <w:r w:rsidRPr="00F07779">
              <w:rPr>
                <w:sz w:val="20"/>
                <w:szCs w:val="20"/>
              </w:rPr>
              <w:t>2018.</w:t>
            </w:r>
          </w:p>
        </w:tc>
      </w:tr>
      <w:tr w:rsidR="0094644B" w:rsidRPr="00F07779" w14:paraId="4C3CA73C"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5B57E87A" w14:textId="77777777" w:rsidR="0094644B" w:rsidRPr="00F07779" w:rsidRDefault="0094644B" w:rsidP="00FB5086">
            <w:pPr>
              <w:rPr>
                <w:sz w:val="20"/>
                <w:szCs w:val="20"/>
              </w:rPr>
            </w:pPr>
            <w:r w:rsidRPr="00FA3F57">
              <w:rPr>
                <w:sz w:val="20"/>
                <w:szCs w:val="20"/>
              </w:rPr>
              <w:t>Year of completion of project funding</w:t>
            </w:r>
          </w:p>
        </w:tc>
        <w:tc>
          <w:tcPr>
            <w:tcW w:w="5667" w:type="dxa"/>
            <w:tcBorders>
              <w:top w:val="single" w:sz="4" w:space="0" w:color="auto"/>
              <w:left w:val="single" w:sz="4" w:space="0" w:color="auto"/>
              <w:bottom w:val="single" w:sz="4" w:space="0" w:color="auto"/>
              <w:right w:val="single" w:sz="4" w:space="0" w:color="auto"/>
            </w:tcBorders>
            <w:hideMark/>
          </w:tcPr>
          <w:p w14:paraId="567E7433" w14:textId="77777777" w:rsidR="0094644B" w:rsidRPr="00F07779" w:rsidRDefault="0094644B" w:rsidP="00FB5086">
            <w:pPr>
              <w:rPr>
                <w:sz w:val="20"/>
                <w:szCs w:val="20"/>
              </w:rPr>
            </w:pPr>
            <w:r w:rsidRPr="00F07779">
              <w:rPr>
                <w:sz w:val="20"/>
                <w:szCs w:val="20"/>
              </w:rPr>
              <w:t>2027.</w:t>
            </w:r>
          </w:p>
        </w:tc>
      </w:tr>
      <w:tr w:rsidR="0094644B" w:rsidRPr="00F07779" w14:paraId="4410349E"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4DE8996A" w14:textId="77777777" w:rsidR="0094644B" w:rsidRPr="00F07779" w:rsidRDefault="0094644B" w:rsidP="00FB5086">
            <w:pPr>
              <w:rPr>
                <w:sz w:val="20"/>
                <w:szCs w:val="20"/>
              </w:rPr>
            </w:pPr>
            <w:r w:rsidRPr="00FA3F57">
              <w:rPr>
                <w:sz w:val="20"/>
                <w:szCs w:val="20"/>
              </w:rPr>
              <w:t>Total project value</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6F525192" w14:textId="77777777" w:rsidR="0094644B" w:rsidRPr="00F07779" w:rsidRDefault="0094644B" w:rsidP="00FB5086">
            <w:pPr>
              <w:rPr>
                <w:sz w:val="20"/>
                <w:szCs w:val="20"/>
              </w:rPr>
            </w:pPr>
            <w:r w:rsidRPr="00F07779">
              <w:rPr>
                <w:sz w:val="20"/>
                <w:szCs w:val="20"/>
              </w:rPr>
              <w:t>691,775 (5.9 million EUR)</w:t>
            </w:r>
          </w:p>
        </w:tc>
      </w:tr>
      <w:tr w:rsidR="0094644B" w:rsidRPr="00F07779" w14:paraId="530C775B"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3CBF5E80" w14:textId="77777777" w:rsidR="0094644B" w:rsidRPr="00F07779" w:rsidRDefault="0094644B" w:rsidP="00FB5086">
            <w:pPr>
              <w:rPr>
                <w:sz w:val="20"/>
                <w:szCs w:val="20"/>
              </w:rPr>
            </w:pPr>
            <w:r w:rsidRPr="00FA3F57">
              <w:rPr>
                <w:sz w:val="20"/>
                <w:szCs w:val="20"/>
              </w:rPr>
              <w:t>Planned investments for 2026.</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14992AD2" w14:textId="77777777" w:rsidR="0094644B" w:rsidRPr="00F07779" w:rsidRDefault="0094644B" w:rsidP="00FB5086">
            <w:pPr>
              <w:rPr>
                <w:sz w:val="20"/>
                <w:szCs w:val="20"/>
              </w:rPr>
            </w:pPr>
            <w:r w:rsidRPr="00F07779">
              <w:rPr>
                <w:sz w:val="20"/>
                <w:szCs w:val="20"/>
              </w:rPr>
              <w:t>236,059 (own funds of EMS JSC)</w:t>
            </w:r>
          </w:p>
        </w:tc>
      </w:tr>
      <w:tr w:rsidR="0094644B" w:rsidRPr="00F07779" w14:paraId="79E09A61"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204BB953" w14:textId="77777777" w:rsidR="0094644B" w:rsidRPr="00F07779" w:rsidRDefault="0094644B" w:rsidP="00FB5086">
            <w:pPr>
              <w:rPr>
                <w:sz w:val="20"/>
                <w:szCs w:val="20"/>
              </w:rPr>
            </w:pPr>
            <w:r w:rsidRPr="00FA3F57">
              <w:rPr>
                <w:sz w:val="20"/>
                <w:szCs w:val="20"/>
              </w:rPr>
              <w:t>Planned investments for 2027.</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141161C6" w14:textId="77777777" w:rsidR="0094644B" w:rsidRPr="00F07779" w:rsidRDefault="0094644B" w:rsidP="00FB5086">
            <w:pPr>
              <w:rPr>
                <w:sz w:val="20"/>
                <w:szCs w:val="20"/>
              </w:rPr>
            </w:pPr>
            <w:r w:rsidRPr="00F07779">
              <w:rPr>
                <w:sz w:val="20"/>
                <w:szCs w:val="20"/>
              </w:rPr>
              <w:t>419,664 (own funds of EMS JSC)</w:t>
            </w:r>
          </w:p>
        </w:tc>
      </w:tr>
      <w:tr w:rsidR="0094644B" w:rsidRPr="00F07779" w14:paraId="226FF408"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388F76F2" w14:textId="77777777" w:rsidR="0094644B" w:rsidRPr="00F07779" w:rsidRDefault="0094644B" w:rsidP="00FB5086">
            <w:pPr>
              <w:rPr>
                <w:sz w:val="20"/>
                <w:szCs w:val="20"/>
              </w:rPr>
            </w:pPr>
            <w:r w:rsidRPr="00FA3F57">
              <w:rPr>
                <w:sz w:val="20"/>
                <w:szCs w:val="20"/>
              </w:rPr>
              <w:t>Planned investments for 2028.</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72D2F78E" w14:textId="77777777" w:rsidR="0094644B" w:rsidRPr="00F07779" w:rsidRDefault="0094644B" w:rsidP="00FB5086">
            <w:pPr>
              <w:rPr>
                <w:sz w:val="20"/>
                <w:szCs w:val="20"/>
              </w:rPr>
            </w:pPr>
            <w:r w:rsidRPr="00F07779">
              <w:rPr>
                <w:sz w:val="20"/>
                <w:szCs w:val="20"/>
              </w:rPr>
              <w:t>0</w:t>
            </w:r>
          </w:p>
        </w:tc>
      </w:tr>
    </w:tbl>
    <w:p w14:paraId="3BF18AAF" w14:textId="77777777" w:rsidR="0094644B" w:rsidRPr="00F07779" w:rsidRDefault="0094644B" w:rsidP="0094644B">
      <w:pPr>
        <w:tabs>
          <w:tab w:val="left" w:pos="1276"/>
          <w:tab w:val="left" w:pos="1560"/>
        </w:tabs>
        <w:ind w:left="1440" w:hanging="1440"/>
      </w:pPr>
    </w:p>
    <w:tbl>
      <w:tblPr>
        <w:tblStyle w:val="TableGrid"/>
        <w:tblW w:w="0" w:type="auto"/>
        <w:tblLook w:val="04A0" w:firstRow="1" w:lastRow="0" w:firstColumn="1" w:lastColumn="0" w:noHBand="0" w:noVBand="1"/>
      </w:tblPr>
      <w:tblGrid>
        <w:gridCol w:w="2973"/>
        <w:gridCol w:w="5667"/>
      </w:tblGrid>
      <w:tr w:rsidR="0094644B" w:rsidRPr="00F07779" w14:paraId="69F8C053"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C6222C2" w14:textId="77777777" w:rsidR="0094644B" w:rsidRPr="00F07779" w:rsidRDefault="0094644B" w:rsidP="00FB5086">
            <w:pPr>
              <w:rPr>
                <w:sz w:val="20"/>
                <w:szCs w:val="20"/>
              </w:rPr>
            </w:pPr>
            <w:r w:rsidRPr="00F07779">
              <w:rPr>
                <w:sz w:val="20"/>
                <w:szCs w:val="20"/>
              </w:rPr>
              <w:t>Activity EL1.2</w:t>
            </w:r>
          </w:p>
        </w:tc>
        <w:tc>
          <w:tcPr>
            <w:tcW w:w="566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BDC3562" w14:textId="77777777" w:rsidR="0094644B" w:rsidRPr="00F07779" w:rsidRDefault="0094644B" w:rsidP="00FB5086">
            <w:pPr>
              <w:rPr>
                <w:sz w:val="20"/>
                <w:szCs w:val="20"/>
              </w:rPr>
            </w:pPr>
            <w:r w:rsidRPr="00F07779">
              <w:rPr>
                <w:sz w:val="20"/>
                <w:szCs w:val="20"/>
              </w:rPr>
              <w:t>Investment projects focused on the reconstruction and construction of the transmission network</w:t>
            </w:r>
          </w:p>
        </w:tc>
      </w:tr>
      <w:tr w:rsidR="0094644B" w:rsidRPr="00F07779" w14:paraId="30162C6F"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06F7142F" w14:textId="77777777" w:rsidR="0094644B" w:rsidRPr="00F07779" w:rsidRDefault="0094644B" w:rsidP="00FB5086">
            <w:pPr>
              <w:rPr>
                <w:sz w:val="20"/>
                <w:szCs w:val="20"/>
              </w:rPr>
            </w:pPr>
            <w:r w:rsidRPr="00FA3F57">
              <w:rPr>
                <w:sz w:val="20"/>
                <w:szCs w:val="20"/>
              </w:rPr>
              <w:t>Name of the project</w:t>
            </w:r>
          </w:p>
        </w:tc>
        <w:tc>
          <w:tcPr>
            <w:tcW w:w="5667"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4FCE155B" w14:textId="77777777" w:rsidR="0094644B" w:rsidRPr="00F07779" w:rsidRDefault="0094644B" w:rsidP="00FB5086">
            <w:pPr>
              <w:rPr>
                <w:sz w:val="20"/>
                <w:szCs w:val="20"/>
              </w:rPr>
            </w:pPr>
            <w:r w:rsidRPr="00F07779">
              <w:rPr>
                <w:sz w:val="20"/>
                <w:szCs w:val="20"/>
              </w:rPr>
              <w:t xml:space="preserve">Reconstruction of the OHL 110 kV No. 116/2 TS </w:t>
            </w:r>
            <w:proofErr w:type="spellStart"/>
            <w:r w:rsidRPr="00F07779">
              <w:rPr>
                <w:sz w:val="20"/>
                <w:szCs w:val="20"/>
              </w:rPr>
              <w:t>Kosjerić</w:t>
            </w:r>
            <w:proofErr w:type="spellEnd"/>
            <w:r w:rsidRPr="00F07779">
              <w:rPr>
                <w:sz w:val="20"/>
                <w:szCs w:val="20"/>
              </w:rPr>
              <w:t xml:space="preserve"> – TS Valjevo 1</w:t>
            </w:r>
          </w:p>
        </w:tc>
      </w:tr>
      <w:tr w:rsidR="0094644B" w:rsidRPr="00F07779" w14:paraId="7A5E486D"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DB37923" w14:textId="77777777" w:rsidR="0094644B" w:rsidRPr="00F07779" w:rsidRDefault="0094644B" w:rsidP="00FB5086">
            <w:pPr>
              <w:rPr>
                <w:sz w:val="20"/>
                <w:szCs w:val="20"/>
              </w:rPr>
            </w:pPr>
            <w:r w:rsidRPr="00FA3F57">
              <w:rPr>
                <w:sz w:val="20"/>
                <w:szCs w:val="20"/>
              </w:rPr>
              <w:t xml:space="preserve">Name of the </w:t>
            </w:r>
            <w:r w:rsidRPr="00F07779">
              <w:rPr>
                <w:sz w:val="20"/>
                <w:szCs w:val="20"/>
              </w:rPr>
              <w:t>investment</w:t>
            </w:r>
          </w:p>
        </w:tc>
        <w:tc>
          <w:tcPr>
            <w:tcW w:w="566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93B1340" w14:textId="77777777" w:rsidR="0094644B" w:rsidRPr="00F07779" w:rsidRDefault="0094644B" w:rsidP="00FB5086">
            <w:pPr>
              <w:rPr>
                <w:sz w:val="20"/>
                <w:szCs w:val="20"/>
              </w:rPr>
            </w:pPr>
            <w:r w:rsidRPr="00F07779">
              <w:rPr>
                <w:sz w:val="20"/>
                <w:szCs w:val="20"/>
              </w:rPr>
              <w:t xml:space="preserve">OHL 110 kV No. 116/2 TS </w:t>
            </w:r>
            <w:proofErr w:type="spellStart"/>
            <w:r w:rsidRPr="00F07779">
              <w:rPr>
                <w:sz w:val="20"/>
                <w:szCs w:val="20"/>
              </w:rPr>
              <w:t>Kosjerić</w:t>
            </w:r>
            <w:proofErr w:type="spellEnd"/>
            <w:r w:rsidRPr="00F07779">
              <w:rPr>
                <w:sz w:val="20"/>
                <w:szCs w:val="20"/>
              </w:rPr>
              <w:t xml:space="preserve"> – TS Valjevo 1, reconstruction</w:t>
            </w:r>
          </w:p>
        </w:tc>
      </w:tr>
      <w:tr w:rsidR="0094644B" w:rsidRPr="00F07779" w14:paraId="2A3D002A"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0E0D770F" w14:textId="77777777" w:rsidR="0094644B" w:rsidRPr="00F07779" w:rsidRDefault="0094644B" w:rsidP="00FB5086">
            <w:pPr>
              <w:rPr>
                <w:sz w:val="20"/>
                <w:szCs w:val="20"/>
              </w:rPr>
            </w:pPr>
            <w:r w:rsidRPr="00FA3F57">
              <w:rPr>
                <w:sz w:val="20"/>
                <w:szCs w:val="20"/>
              </w:rPr>
              <w:t>Short description of the investment</w:t>
            </w:r>
          </w:p>
        </w:tc>
        <w:tc>
          <w:tcPr>
            <w:tcW w:w="5667" w:type="dxa"/>
            <w:tcBorders>
              <w:top w:val="single" w:sz="4" w:space="0" w:color="auto"/>
              <w:left w:val="single" w:sz="4" w:space="0" w:color="auto"/>
              <w:bottom w:val="single" w:sz="4" w:space="0" w:color="auto"/>
              <w:right w:val="single" w:sz="4" w:space="0" w:color="auto"/>
            </w:tcBorders>
            <w:hideMark/>
          </w:tcPr>
          <w:p w14:paraId="359D3EDC" w14:textId="77777777" w:rsidR="0094644B" w:rsidRPr="00F07779" w:rsidRDefault="0094644B" w:rsidP="00FB5086">
            <w:pPr>
              <w:rPr>
                <w:sz w:val="20"/>
                <w:szCs w:val="20"/>
              </w:rPr>
            </w:pPr>
            <w:r w:rsidRPr="00F07779">
              <w:rPr>
                <w:sz w:val="20"/>
                <w:szCs w:val="20"/>
              </w:rPr>
              <w:t>Reconstruction of transmission lines due to ageing and increase in conductor cross-section (complete reconstruction, which includes replacement of poles, conductors, protective rope and suspension equipment).</w:t>
            </w:r>
          </w:p>
          <w:p w14:paraId="6C81518A" w14:textId="77777777" w:rsidR="0094644B" w:rsidRPr="00F07779" w:rsidRDefault="0094644B" w:rsidP="00FB5086">
            <w:pPr>
              <w:rPr>
                <w:sz w:val="20"/>
                <w:szCs w:val="20"/>
              </w:rPr>
            </w:pPr>
            <w:r w:rsidRPr="00F07779">
              <w:rPr>
                <w:sz w:val="20"/>
                <w:szCs w:val="20"/>
              </w:rPr>
              <w:t>Expected dynamics of project implementation:</w:t>
            </w:r>
          </w:p>
          <w:p w14:paraId="3822103F" w14:textId="77777777" w:rsidR="0094644B" w:rsidRPr="00F07779" w:rsidRDefault="0094644B" w:rsidP="00FB5086">
            <w:pPr>
              <w:rPr>
                <w:sz w:val="20"/>
                <w:szCs w:val="20"/>
              </w:rPr>
            </w:pPr>
            <w:r w:rsidRPr="00F07779">
              <w:rPr>
                <w:sz w:val="20"/>
                <w:szCs w:val="20"/>
              </w:rPr>
              <w:t>2026. Building permit</w:t>
            </w:r>
          </w:p>
          <w:p w14:paraId="0DD61722" w14:textId="77777777" w:rsidR="0094644B" w:rsidRPr="00F07779" w:rsidRDefault="0094644B" w:rsidP="00FB5086">
            <w:pPr>
              <w:rPr>
                <w:sz w:val="20"/>
                <w:szCs w:val="20"/>
              </w:rPr>
            </w:pPr>
            <w:r w:rsidRPr="00F07779">
              <w:rPr>
                <w:sz w:val="20"/>
                <w:szCs w:val="20"/>
              </w:rPr>
              <w:t>2027. Construction</w:t>
            </w:r>
          </w:p>
          <w:p w14:paraId="69422973" w14:textId="77777777" w:rsidR="0094644B" w:rsidRPr="00F07779" w:rsidRDefault="0094644B" w:rsidP="00FB5086">
            <w:pPr>
              <w:rPr>
                <w:sz w:val="20"/>
                <w:szCs w:val="20"/>
              </w:rPr>
            </w:pPr>
            <w:r w:rsidRPr="00F07779">
              <w:rPr>
                <w:sz w:val="20"/>
                <w:szCs w:val="20"/>
              </w:rPr>
              <w:t>2028. Construction, Use permit; end of project</w:t>
            </w:r>
          </w:p>
        </w:tc>
      </w:tr>
      <w:tr w:rsidR="0094644B" w:rsidRPr="00F07779" w14:paraId="3972BFB1"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013C0781" w14:textId="77777777" w:rsidR="0094644B" w:rsidRPr="00F07779" w:rsidRDefault="0094644B" w:rsidP="00FB5086">
            <w:pPr>
              <w:rPr>
                <w:sz w:val="20"/>
                <w:szCs w:val="20"/>
              </w:rPr>
            </w:pPr>
            <w:r w:rsidRPr="00FA3F57">
              <w:rPr>
                <w:sz w:val="20"/>
                <w:szCs w:val="20"/>
              </w:rPr>
              <w:t>Institutions responsible for the implementation of measures and activities</w:t>
            </w:r>
          </w:p>
        </w:tc>
        <w:tc>
          <w:tcPr>
            <w:tcW w:w="5667" w:type="dxa"/>
            <w:tcBorders>
              <w:top w:val="single" w:sz="4" w:space="0" w:color="auto"/>
              <w:left w:val="single" w:sz="4" w:space="0" w:color="auto"/>
              <w:bottom w:val="single" w:sz="4" w:space="0" w:color="auto"/>
              <w:right w:val="single" w:sz="4" w:space="0" w:color="auto"/>
            </w:tcBorders>
            <w:hideMark/>
          </w:tcPr>
          <w:p w14:paraId="76F894D6" w14:textId="77777777" w:rsidR="0094644B" w:rsidRPr="00F07779" w:rsidRDefault="0094644B" w:rsidP="00FB5086">
            <w:pPr>
              <w:rPr>
                <w:sz w:val="20"/>
                <w:szCs w:val="20"/>
              </w:rPr>
            </w:pPr>
            <w:r w:rsidRPr="00FA3F57">
              <w:rPr>
                <w:sz w:val="20"/>
                <w:szCs w:val="20"/>
              </w:rPr>
              <w:t>EMS JSC Belgrade</w:t>
            </w:r>
          </w:p>
        </w:tc>
      </w:tr>
      <w:tr w:rsidR="0094644B" w:rsidRPr="00F07779" w14:paraId="3FD625F4"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0230C88A" w14:textId="77777777" w:rsidR="0094644B" w:rsidRPr="00F07779" w:rsidRDefault="0094644B" w:rsidP="00FB5086">
            <w:pPr>
              <w:rPr>
                <w:sz w:val="20"/>
                <w:szCs w:val="20"/>
              </w:rPr>
            </w:pPr>
            <w:r w:rsidRPr="00FA3F57">
              <w:rPr>
                <w:sz w:val="20"/>
                <w:szCs w:val="20"/>
              </w:rPr>
              <w:t>Institutions responsible for monitoring implementation and reporting on the realization</w:t>
            </w:r>
          </w:p>
        </w:tc>
        <w:tc>
          <w:tcPr>
            <w:tcW w:w="5667" w:type="dxa"/>
            <w:tcBorders>
              <w:top w:val="single" w:sz="4" w:space="0" w:color="auto"/>
              <w:left w:val="single" w:sz="4" w:space="0" w:color="auto"/>
              <w:bottom w:val="single" w:sz="4" w:space="0" w:color="auto"/>
              <w:right w:val="single" w:sz="4" w:space="0" w:color="auto"/>
            </w:tcBorders>
            <w:hideMark/>
          </w:tcPr>
          <w:p w14:paraId="248A0471" w14:textId="77777777" w:rsidR="0094644B" w:rsidRPr="00F07779" w:rsidRDefault="0094644B" w:rsidP="00FB5086">
            <w:pPr>
              <w:rPr>
                <w:sz w:val="20"/>
                <w:szCs w:val="20"/>
              </w:rPr>
            </w:pPr>
            <w:r w:rsidRPr="00FA3F57">
              <w:rPr>
                <w:sz w:val="20"/>
                <w:szCs w:val="20"/>
              </w:rPr>
              <w:t>EMS JSC Belgrade</w:t>
            </w:r>
          </w:p>
          <w:p w14:paraId="5DD92045" w14:textId="77777777" w:rsidR="0094644B" w:rsidRPr="00FA3F57" w:rsidRDefault="0094644B" w:rsidP="00FB5086">
            <w:pPr>
              <w:rPr>
                <w:sz w:val="20"/>
                <w:szCs w:val="20"/>
              </w:rPr>
            </w:pPr>
            <w:r w:rsidRPr="00FA3F57">
              <w:rPr>
                <w:sz w:val="20"/>
                <w:szCs w:val="20"/>
              </w:rPr>
              <w:t>Republic Commission for Energy Networks</w:t>
            </w:r>
          </w:p>
          <w:p w14:paraId="6DB7D0E7" w14:textId="77777777" w:rsidR="0094644B" w:rsidRPr="00F07779" w:rsidRDefault="0094644B" w:rsidP="00FB5086">
            <w:pPr>
              <w:rPr>
                <w:sz w:val="20"/>
                <w:szCs w:val="20"/>
              </w:rPr>
            </w:pPr>
            <w:r w:rsidRPr="00F07779">
              <w:rPr>
                <w:sz w:val="20"/>
                <w:szCs w:val="20"/>
              </w:rPr>
              <w:t>Ministry of Mining and Energy</w:t>
            </w:r>
          </w:p>
        </w:tc>
      </w:tr>
      <w:tr w:rsidR="0094644B" w:rsidRPr="00F07779" w14:paraId="560007E2"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157ADB2F" w14:textId="77777777" w:rsidR="0094644B" w:rsidRPr="00F07779" w:rsidRDefault="0094644B" w:rsidP="00FB5086">
            <w:pPr>
              <w:rPr>
                <w:sz w:val="20"/>
                <w:szCs w:val="20"/>
              </w:rPr>
            </w:pPr>
            <w:r w:rsidRPr="00FA3F57">
              <w:rPr>
                <w:sz w:val="20"/>
                <w:szCs w:val="20"/>
              </w:rPr>
              <w:t>Year of project funding start</w:t>
            </w:r>
          </w:p>
        </w:tc>
        <w:tc>
          <w:tcPr>
            <w:tcW w:w="5667" w:type="dxa"/>
            <w:tcBorders>
              <w:top w:val="single" w:sz="4" w:space="0" w:color="auto"/>
              <w:left w:val="single" w:sz="4" w:space="0" w:color="auto"/>
              <w:bottom w:val="single" w:sz="4" w:space="0" w:color="auto"/>
              <w:right w:val="single" w:sz="4" w:space="0" w:color="auto"/>
            </w:tcBorders>
            <w:hideMark/>
          </w:tcPr>
          <w:p w14:paraId="25374FE0" w14:textId="77777777" w:rsidR="0094644B" w:rsidRPr="00F07779" w:rsidRDefault="0094644B" w:rsidP="00FB5086">
            <w:pPr>
              <w:rPr>
                <w:sz w:val="20"/>
                <w:szCs w:val="20"/>
              </w:rPr>
            </w:pPr>
            <w:r w:rsidRPr="00F07779">
              <w:rPr>
                <w:sz w:val="20"/>
                <w:szCs w:val="20"/>
              </w:rPr>
              <w:t>2012.</w:t>
            </w:r>
          </w:p>
        </w:tc>
      </w:tr>
      <w:tr w:rsidR="0094644B" w:rsidRPr="00F07779" w14:paraId="40486E40"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5A3B5C31" w14:textId="77777777" w:rsidR="0094644B" w:rsidRPr="00F07779" w:rsidRDefault="0094644B" w:rsidP="00FB5086">
            <w:pPr>
              <w:rPr>
                <w:sz w:val="20"/>
                <w:szCs w:val="20"/>
              </w:rPr>
            </w:pPr>
            <w:r w:rsidRPr="00FA3F57">
              <w:rPr>
                <w:sz w:val="20"/>
                <w:szCs w:val="20"/>
              </w:rPr>
              <w:t>Year of completion of project funding</w:t>
            </w:r>
          </w:p>
        </w:tc>
        <w:tc>
          <w:tcPr>
            <w:tcW w:w="5667" w:type="dxa"/>
            <w:tcBorders>
              <w:top w:val="single" w:sz="4" w:space="0" w:color="auto"/>
              <w:left w:val="single" w:sz="4" w:space="0" w:color="auto"/>
              <w:bottom w:val="single" w:sz="4" w:space="0" w:color="auto"/>
              <w:right w:val="single" w:sz="4" w:space="0" w:color="auto"/>
            </w:tcBorders>
            <w:hideMark/>
          </w:tcPr>
          <w:p w14:paraId="324C9DA4" w14:textId="77777777" w:rsidR="0094644B" w:rsidRPr="00F07779" w:rsidRDefault="0094644B" w:rsidP="00FB5086">
            <w:pPr>
              <w:rPr>
                <w:sz w:val="20"/>
                <w:szCs w:val="20"/>
              </w:rPr>
            </w:pPr>
            <w:r w:rsidRPr="00F07779">
              <w:rPr>
                <w:sz w:val="20"/>
                <w:szCs w:val="20"/>
              </w:rPr>
              <w:t>2028.</w:t>
            </w:r>
          </w:p>
        </w:tc>
      </w:tr>
      <w:tr w:rsidR="0094644B" w:rsidRPr="00F07779" w14:paraId="6ACDFD96"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35BA66A4" w14:textId="77777777" w:rsidR="0094644B" w:rsidRPr="00F07779" w:rsidRDefault="0094644B" w:rsidP="00FB5086">
            <w:pPr>
              <w:rPr>
                <w:sz w:val="20"/>
                <w:szCs w:val="20"/>
              </w:rPr>
            </w:pPr>
            <w:r w:rsidRPr="00FA3F57">
              <w:rPr>
                <w:sz w:val="20"/>
                <w:szCs w:val="20"/>
              </w:rPr>
              <w:t>Total project value</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4B006FCE" w14:textId="77777777" w:rsidR="0094644B" w:rsidRPr="00F07779" w:rsidRDefault="0094644B" w:rsidP="00FB5086">
            <w:pPr>
              <w:rPr>
                <w:sz w:val="20"/>
                <w:szCs w:val="20"/>
              </w:rPr>
            </w:pPr>
            <w:r w:rsidRPr="00F07779">
              <w:rPr>
                <w:sz w:val="20"/>
                <w:szCs w:val="20"/>
              </w:rPr>
              <w:t>879,375 (7.5 million EUR)</w:t>
            </w:r>
          </w:p>
        </w:tc>
      </w:tr>
      <w:tr w:rsidR="0094644B" w:rsidRPr="00F07779" w14:paraId="34E477AD"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7B8655D4" w14:textId="77777777" w:rsidR="0094644B" w:rsidRPr="00F07779" w:rsidRDefault="0094644B" w:rsidP="00FB5086">
            <w:pPr>
              <w:rPr>
                <w:sz w:val="20"/>
                <w:szCs w:val="20"/>
              </w:rPr>
            </w:pPr>
            <w:r w:rsidRPr="00FA3F57">
              <w:rPr>
                <w:sz w:val="20"/>
                <w:szCs w:val="20"/>
              </w:rPr>
              <w:t>Planned investments for 2026.</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6B97AD69" w14:textId="77777777" w:rsidR="0094644B" w:rsidRPr="00F07779" w:rsidRDefault="0094644B" w:rsidP="00FB5086">
            <w:pPr>
              <w:rPr>
                <w:sz w:val="20"/>
                <w:szCs w:val="20"/>
              </w:rPr>
            </w:pPr>
            <w:r w:rsidRPr="00F07779">
              <w:rPr>
                <w:sz w:val="20"/>
                <w:szCs w:val="20"/>
              </w:rPr>
              <w:t>60,501 (own funds of EMS JSC)</w:t>
            </w:r>
          </w:p>
        </w:tc>
      </w:tr>
      <w:tr w:rsidR="0094644B" w:rsidRPr="00F07779" w14:paraId="0BE707F0"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3BCFFC4B" w14:textId="77777777" w:rsidR="0094644B" w:rsidRPr="00F07779" w:rsidRDefault="0094644B" w:rsidP="00FB5086">
            <w:pPr>
              <w:rPr>
                <w:sz w:val="20"/>
                <w:szCs w:val="20"/>
              </w:rPr>
            </w:pPr>
            <w:r w:rsidRPr="00FA3F57">
              <w:rPr>
                <w:sz w:val="20"/>
                <w:szCs w:val="20"/>
              </w:rPr>
              <w:t>Planned investments for 2027.</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350E97EC" w14:textId="77777777" w:rsidR="0094644B" w:rsidRPr="00F07779" w:rsidRDefault="0094644B" w:rsidP="00FB5086">
            <w:pPr>
              <w:rPr>
                <w:sz w:val="20"/>
                <w:szCs w:val="20"/>
              </w:rPr>
            </w:pPr>
            <w:r w:rsidRPr="00F07779">
              <w:rPr>
                <w:sz w:val="20"/>
                <w:szCs w:val="20"/>
              </w:rPr>
              <w:t>599,131 (own funds of EMS JSC)</w:t>
            </w:r>
          </w:p>
        </w:tc>
      </w:tr>
      <w:tr w:rsidR="0094644B" w:rsidRPr="00F07779" w14:paraId="7707F3AD"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39283570" w14:textId="77777777" w:rsidR="0094644B" w:rsidRPr="00F07779" w:rsidRDefault="0094644B" w:rsidP="00FB5086">
            <w:pPr>
              <w:rPr>
                <w:sz w:val="20"/>
                <w:szCs w:val="20"/>
              </w:rPr>
            </w:pPr>
            <w:r w:rsidRPr="00FA3F57">
              <w:rPr>
                <w:sz w:val="20"/>
                <w:szCs w:val="20"/>
              </w:rPr>
              <w:t>Planned investments for 2028.</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5696ECD1" w14:textId="77777777" w:rsidR="0094644B" w:rsidRPr="00F07779" w:rsidRDefault="0094644B" w:rsidP="00FB5086">
            <w:pPr>
              <w:rPr>
                <w:sz w:val="20"/>
                <w:szCs w:val="20"/>
              </w:rPr>
            </w:pPr>
            <w:r w:rsidRPr="00F07779">
              <w:rPr>
                <w:sz w:val="20"/>
                <w:szCs w:val="20"/>
              </w:rPr>
              <w:t>209,015 (own funds of EMS JSC)</w:t>
            </w:r>
          </w:p>
        </w:tc>
      </w:tr>
    </w:tbl>
    <w:p w14:paraId="071C2751" w14:textId="77777777" w:rsidR="0094644B" w:rsidRPr="00F07779" w:rsidRDefault="0094644B" w:rsidP="0094644B">
      <w:pPr>
        <w:tabs>
          <w:tab w:val="left" w:pos="1276"/>
          <w:tab w:val="left" w:pos="1560"/>
        </w:tabs>
        <w:ind w:left="1440" w:hanging="1440"/>
      </w:pPr>
    </w:p>
    <w:tbl>
      <w:tblPr>
        <w:tblStyle w:val="TableGrid"/>
        <w:tblW w:w="0" w:type="auto"/>
        <w:tblLook w:val="04A0" w:firstRow="1" w:lastRow="0" w:firstColumn="1" w:lastColumn="0" w:noHBand="0" w:noVBand="1"/>
      </w:tblPr>
      <w:tblGrid>
        <w:gridCol w:w="2973"/>
        <w:gridCol w:w="5667"/>
      </w:tblGrid>
      <w:tr w:rsidR="0094644B" w:rsidRPr="00F07779" w14:paraId="42B48F46"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E1CFE74" w14:textId="77777777" w:rsidR="0094644B" w:rsidRPr="00F07779" w:rsidRDefault="0094644B" w:rsidP="00FB5086">
            <w:pPr>
              <w:rPr>
                <w:sz w:val="20"/>
                <w:szCs w:val="20"/>
              </w:rPr>
            </w:pPr>
            <w:r w:rsidRPr="00F07779">
              <w:rPr>
                <w:sz w:val="20"/>
                <w:szCs w:val="20"/>
              </w:rPr>
              <w:t>Activity EL1.2</w:t>
            </w:r>
          </w:p>
        </w:tc>
        <w:tc>
          <w:tcPr>
            <w:tcW w:w="566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95A928B" w14:textId="77777777" w:rsidR="0094644B" w:rsidRPr="00F07779" w:rsidRDefault="0094644B" w:rsidP="00FB5086">
            <w:pPr>
              <w:rPr>
                <w:sz w:val="20"/>
                <w:szCs w:val="20"/>
              </w:rPr>
            </w:pPr>
            <w:r w:rsidRPr="00F07779">
              <w:rPr>
                <w:sz w:val="20"/>
                <w:szCs w:val="20"/>
              </w:rPr>
              <w:t>Investment projects focused on the reconstruction and construction of the transmission network</w:t>
            </w:r>
          </w:p>
        </w:tc>
      </w:tr>
      <w:tr w:rsidR="0094644B" w:rsidRPr="00F07779" w14:paraId="3B3E562A"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23E953C9" w14:textId="77777777" w:rsidR="0094644B" w:rsidRPr="00F07779" w:rsidRDefault="0094644B" w:rsidP="00FB5086">
            <w:pPr>
              <w:rPr>
                <w:sz w:val="20"/>
                <w:szCs w:val="20"/>
              </w:rPr>
            </w:pPr>
            <w:r w:rsidRPr="00FA3F57">
              <w:rPr>
                <w:sz w:val="20"/>
                <w:szCs w:val="20"/>
              </w:rPr>
              <w:t>Name of the project</w:t>
            </w:r>
          </w:p>
        </w:tc>
        <w:tc>
          <w:tcPr>
            <w:tcW w:w="5667"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49401A50" w14:textId="77777777" w:rsidR="0094644B" w:rsidRPr="00F07779" w:rsidRDefault="0094644B" w:rsidP="00FB5086">
            <w:pPr>
              <w:rPr>
                <w:sz w:val="20"/>
                <w:szCs w:val="20"/>
              </w:rPr>
            </w:pPr>
            <w:r w:rsidRPr="00F07779">
              <w:rPr>
                <w:sz w:val="20"/>
                <w:szCs w:val="20"/>
              </w:rPr>
              <w:t xml:space="preserve">Reconstruction of the OHL 2x110 kV No. 113/1 TS </w:t>
            </w:r>
            <w:proofErr w:type="spellStart"/>
            <w:r w:rsidRPr="00F07779">
              <w:rPr>
                <w:sz w:val="20"/>
                <w:szCs w:val="20"/>
              </w:rPr>
              <w:t>Niš</w:t>
            </w:r>
            <w:proofErr w:type="spellEnd"/>
            <w:r w:rsidRPr="00F07779">
              <w:rPr>
                <w:sz w:val="20"/>
                <w:szCs w:val="20"/>
              </w:rPr>
              <w:t xml:space="preserve"> 1 – TS </w:t>
            </w:r>
            <w:proofErr w:type="spellStart"/>
            <w:r w:rsidRPr="00F07779">
              <w:rPr>
                <w:sz w:val="20"/>
                <w:szCs w:val="20"/>
              </w:rPr>
              <w:t>Niš</w:t>
            </w:r>
            <w:proofErr w:type="spellEnd"/>
            <w:r w:rsidRPr="00F07779">
              <w:rPr>
                <w:sz w:val="20"/>
                <w:szCs w:val="20"/>
              </w:rPr>
              <w:t xml:space="preserve"> 2</w:t>
            </w:r>
          </w:p>
        </w:tc>
      </w:tr>
      <w:tr w:rsidR="0094644B" w:rsidRPr="00F07779" w14:paraId="59819400"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17C60B3" w14:textId="77777777" w:rsidR="0094644B" w:rsidRPr="00F07779" w:rsidRDefault="0094644B" w:rsidP="00FB5086">
            <w:pPr>
              <w:rPr>
                <w:sz w:val="20"/>
                <w:szCs w:val="20"/>
              </w:rPr>
            </w:pPr>
            <w:r w:rsidRPr="00FA3F57">
              <w:rPr>
                <w:sz w:val="20"/>
                <w:szCs w:val="20"/>
              </w:rPr>
              <w:t xml:space="preserve">Name of the </w:t>
            </w:r>
            <w:r w:rsidRPr="00F07779">
              <w:rPr>
                <w:sz w:val="20"/>
                <w:szCs w:val="20"/>
              </w:rPr>
              <w:t>investment</w:t>
            </w:r>
          </w:p>
        </w:tc>
        <w:tc>
          <w:tcPr>
            <w:tcW w:w="566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B968BE4" w14:textId="77777777" w:rsidR="0094644B" w:rsidRPr="00F07779" w:rsidRDefault="0094644B" w:rsidP="00FB5086">
            <w:pPr>
              <w:rPr>
                <w:sz w:val="20"/>
                <w:szCs w:val="20"/>
              </w:rPr>
            </w:pPr>
            <w:r w:rsidRPr="00F07779">
              <w:rPr>
                <w:sz w:val="20"/>
                <w:szCs w:val="20"/>
              </w:rPr>
              <w:t xml:space="preserve">OHL 2x110 kV No. 113/1 TS </w:t>
            </w:r>
            <w:proofErr w:type="spellStart"/>
            <w:r w:rsidRPr="00F07779">
              <w:rPr>
                <w:sz w:val="20"/>
                <w:szCs w:val="20"/>
              </w:rPr>
              <w:t>Niš</w:t>
            </w:r>
            <w:proofErr w:type="spellEnd"/>
            <w:r w:rsidRPr="00F07779">
              <w:rPr>
                <w:sz w:val="20"/>
                <w:szCs w:val="20"/>
              </w:rPr>
              <w:t xml:space="preserve"> 1 – TS </w:t>
            </w:r>
            <w:proofErr w:type="spellStart"/>
            <w:r w:rsidRPr="00F07779">
              <w:rPr>
                <w:sz w:val="20"/>
                <w:szCs w:val="20"/>
              </w:rPr>
              <w:t>Niš</w:t>
            </w:r>
            <w:proofErr w:type="spellEnd"/>
            <w:r w:rsidRPr="00F07779">
              <w:rPr>
                <w:sz w:val="20"/>
                <w:szCs w:val="20"/>
              </w:rPr>
              <w:t xml:space="preserve"> 2, reconstruction</w:t>
            </w:r>
          </w:p>
        </w:tc>
      </w:tr>
      <w:tr w:rsidR="0094644B" w:rsidRPr="00F07779" w14:paraId="685CB885"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5B17ACAC" w14:textId="77777777" w:rsidR="0094644B" w:rsidRPr="00F07779" w:rsidRDefault="0094644B" w:rsidP="00FB5086">
            <w:pPr>
              <w:rPr>
                <w:sz w:val="20"/>
                <w:szCs w:val="20"/>
              </w:rPr>
            </w:pPr>
            <w:r w:rsidRPr="00FA3F57">
              <w:rPr>
                <w:sz w:val="20"/>
                <w:szCs w:val="20"/>
              </w:rPr>
              <w:t>Short description of the investment</w:t>
            </w:r>
          </w:p>
        </w:tc>
        <w:tc>
          <w:tcPr>
            <w:tcW w:w="5667" w:type="dxa"/>
            <w:tcBorders>
              <w:top w:val="single" w:sz="4" w:space="0" w:color="auto"/>
              <w:left w:val="single" w:sz="4" w:space="0" w:color="auto"/>
              <w:bottom w:val="single" w:sz="4" w:space="0" w:color="auto"/>
              <w:right w:val="single" w:sz="4" w:space="0" w:color="auto"/>
            </w:tcBorders>
            <w:hideMark/>
          </w:tcPr>
          <w:p w14:paraId="3648392C" w14:textId="77777777" w:rsidR="0094644B" w:rsidRPr="00F07779" w:rsidRDefault="0094644B" w:rsidP="00FB5086">
            <w:pPr>
              <w:rPr>
                <w:sz w:val="20"/>
                <w:szCs w:val="20"/>
              </w:rPr>
            </w:pPr>
            <w:r w:rsidRPr="00F07779">
              <w:rPr>
                <w:sz w:val="20"/>
                <w:szCs w:val="20"/>
              </w:rPr>
              <w:t>Reconstruction of transmission lines into dual-system ones.</w:t>
            </w:r>
          </w:p>
          <w:p w14:paraId="0BC61C0A" w14:textId="77777777" w:rsidR="0094644B" w:rsidRPr="00F07779" w:rsidRDefault="0094644B" w:rsidP="00FB5086">
            <w:pPr>
              <w:rPr>
                <w:sz w:val="20"/>
                <w:szCs w:val="20"/>
              </w:rPr>
            </w:pPr>
            <w:r w:rsidRPr="00F07779">
              <w:rPr>
                <w:sz w:val="20"/>
                <w:szCs w:val="20"/>
              </w:rPr>
              <w:t>Expected dynamics of project implementation:</w:t>
            </w:r>
          </w:p>
          <w:p w14:paraId="4A2E50F2" w14:textId="77777777" w:rsidR="0094644B" w:rsidRPr="00F07779" w:rsidRDefault="0094644B" w:rsidP="00FB5086">
            <w:pPr>
              <w:rPr>
                <w:sz w:val="20"/>
                <w:szCs w:val="20"/>
              </w:rPr>
            </w:pPr>
            <w:r w:rsidRPr="00F07779">
              <w:rPr>
                <w:sz w:val="20"/>
                <w:szCs w:val="20"/>
              </w:rPr>
              <w:t>2026. Commissioning; trial operation</w:t>
            </w:r>
          </w:p>
          <w:p w14:paraId="6DE43F49" w14:textId="77777777" w:rsidR="0094644B" w:rsidRPr="00F07779" w:rsidRDefault="0094644B" w:rsidP="00FB5086">
            <w:pPr>
              <w:rPr>
                <w:sz w:val="20"/>
                <w:szCs w:val="20"/>
              </w:rPr>
            </w:pPr>
            <w:r w:rsidRPr="00F07779">
              <w:rPr>
                <w:sz w:val="20"/>
                <w:szCs w:val="20"/>
              </w:rPr>
              <w:t>2027. Use permit; end of project</w:t>
            </w:r>
          </w:p>
        </w:tc>
      </w:tr>
      <w:tr w:rsidR="0094644B" w:rsidRPr="00F07779" w14:paraId="65AB2C9B"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481FC0D3" w14:textId="77777777" w:rsidR="0094644B" w:rsidRPr="00F07779" w:rsidRDefault="0094644B" w:rsidP="00FB5086">
            <w:pPr>
              <w:rPr>
                <w:sz w:val="20"/>
                <w:szCs w:val="20"/>
              </w:rPr>
            </w:pPr>
            <w:r w:rsidRPr="00FA3F57">
              <w:rPr>
                <w:sz w:val="20"/>
                <w:szCs w:val="20"/>
              </w:rPr>
              <w:lastRenderedPageBreak/>
              <w:t>Institutions responsible for the implementation of measures and activities</w:t>
            </w:r>
          </w:p>
        </w:tc>
        <w:tc>
          <w:tcPr>
            <w:tcW w:w="5667" w:type="dxa"/>
            <w:tcBorders>
              <w:top w:val="single" w:sz="4" w:space="0" w:color="auto"/>
              <w:left w:val="single" w:sz="4" w:space="0" w:color="auto"/>
              <w:bottom w:val="single" w:sz="4" w:space="0" w:color="auto"/>
              <w:right w:val="single" w:sz="4" w:space="0" w:color="auto"/>
            </w:tcBorders>
            <w:hideMark/>
          </w:tcPr>
          <w:p w14:paraId="053537D2" w14:textId="77777777" w:rsidR="0094644B" w:rsidRPr="00F07779" w:rsidRDefault="0094644B" w:rsidP="00FB5086">
            <w:pPr>
              <w:rPr>
                <w:sz w:val="20"/>
                <w:szCs w:val="20"/>
              </w:rPr>
            </w:pPr>
            <w:r w:rsidRPr="00FA3F57">
              <w:rPr>
                <w:sz w:val="20"/>
                <w:szCs w:val="20"/>
              </w:rPr>
              <w:t>EMS JSC Belgrade</w:t>
            </w:r>
          </w:p>
        </w:tc>
      </w:tr>
      <w:tr w:rsidR="0094644B" w:rsidRPr="00F07779" w14:paraId="47ED950D" w14:textId="77777777" w:rsidTr="00FB5086">
        <w:tc>
          <w:tcPr>
            <w:tcW w:w="2973" w:type="dxa"/>
            <w:tcBorders>
              <w:top w:val="single" w:sz="4" w:space="0" w:color="auto"/>
              <w:left w:val="single" w:sz="4" w:space="0" w:color="auto"/>
              <w:bottom w:val="single" w:sz="4" w:space="0" w:color="auto"/>
              <w:right w:val="single" w:sz="4" w:space="0" w:color="auto"/>
            </w:tcBorders>
          </w:tcPr>
          <w:p w14:paraId="72DB34C9" w14:textId="77777777" w:rsidR="0094644B" w:rsidRPr="00F07779" w:rsidRDefault="0094644B" w:rsidP="00FB5086">
            <w:pPr>
              <w:rPr>
                <w:sz w:val="20"/>
                <w:szCs w:val="20"/>
              </w:rPr>
            </w:pPr>
            <w:r w:rsidRPr="00FA3F57">
              <w:rPr>
                <w:sz w:val="20"/>
                <w:szCs w:val="20"/>
              </w:rPr>
              <w:t>Institutions responsible for monitoring implementation and reporting on the realization</w:t>
            </w:r>
          </w:p>
        </w:tc>
        <w:tc>
          <w:tcPr>
            <w:tcW w:w="5667" w:type="dxa"/>
            <w:tcBorders>
              <w:top w:val="single" w:sz="4" w:space="0" w:color="auto"/>
              <w:left w:val="single" w:sz="4" w:space="0" w:color="auto"/>
              <w:bottom w:val="single" w:sz="4" w:space="0" w:color="auto"/>
              <w:right w:val="single" w:sz="4" w:space="0" w:color="auto"/>
            </w:tcBorders>
          </w:tcPr>
          <w:p w14:paraId="5E84F43C" w14:textId="77777777" w:rsidR="0094644B" w:rsidRPr="00F07779" w:rsidRDefault="0094644B" w:rsidP="00FB5086">
            <w:pPr>
              <w:rPr>
                <w:sz w:val="20"/>
                <w:szCs w:val="20"/>
              </w:rPr>
            </w:pPr>
            <w:r w:rsidRPr="00FA3F57">
              <w:rPr>
                <w:sz w:val="20"/>
                <w:szCs w:val="20"/>
              </w:rPr>
              <w:t>EMS JSC Belgrade</w:t>
            </w:r>
          </w:p>
          <w:p w14:paraId="2D9A8D52" w14:textId="77777777" w:rsidR="0094644B" w:rsidRPr="00F07779" w:rsidRDefault="0094644B" w:rsidP="00FB5086">
            <w:pPr>
              <w:rPr>
                <w:sz w:val="20"/>
                <w:szCs w:val="20"/>
              </w:rPr>
            </w:pPr>
            <w:r w:rsidRPr="00FA3F57">
              <w:rPr>
                <w:sz w:val="20"/>
                <w:szCs w:val="20"/>
              </w:rPr>
              <w:t>Republic Commission for Energy Networks</w:t>
            </w:r>
          </w:p>
          <w:p w14:paraId="1D2C4F5E" w14:textId="77777777" w:rsidR="0094644B" w:rsidRPr="00F07779" w:rsidRDefault="0094644B" w:rsidP="00FB5086">
            <w:pPr>
              <w:rPr>
                <w:sz w:val="20"/>
                <w:szCs w:val="20"/>
              </w:rPr>
            </w:pPr>
            <w:r w:rsidRPr="00F07779">
              <w:rPr>
                <w:sz w:val="20"/>
                <w:szCs w:val="20"/>
              </w:rPr>
              <w:t>Ministry of Mining and Energy</w:t>
            </w:r>
          </w:p>
        </w:tc>
      </w:tr>
      <w:tr w:rsidR="0094644B" w:rsidRPr="00F07779" w14:paraId="323BCCD4" w14:textId="77777777" w:rsidTr="00FB5086">
        <w:tc>
          <w:tcPr>
            <w:tcW w:w="2973" w:type="dxa"/>
            <w:tcBorders>
              <w:top w:val="single" w:sz="4" w:space="0" w:color="auto"/>
              <w:left w:val="single" w:sz="4" w:space="0" w:color="auto"/>
              <w:bottom w:val="single" w:sz="4" w:space="0" w:color="auto"/>
              <w:right w:val="single" w:sz="4" w:space="0" w:color="auto"/>
            </w:tcBorders>
          </w:tcPr>
          <w:p w14:paraId="007BEDA4" w14:textId="77777777" w:rsidR="0094644B" w:rsidRPr="00F07779" w:rsidRDefault="0094644B" w:rsidP="00FB5086">
            <w:pPr>
              <w:rPr>
                <w:sz w:val="20"/>
                <w:szCs w:val="20"/>
              </w:rPr>
            </w:pPr>
            <w:r w:rsidRPr="00FA3F57">
              <w:rPr>
                <w:sz w:val="20"/>
                <w:szCs w:val="20"/>
              </w:rPr>
              <w:t>Year of project funding start</w:t>
            </w:r>
          </w:p>
        </w:tc>
        <w:tc>
          <w:tcPr>
            <w:tcW w:w="5667" w:type="dxa"/>
            <w:tcBorders>
              <w:top w:val="single" w:sz="4" w:space="0" w:color="auto"/>
              <w:left w:val="single" w:sz="4" w:space="0" w:color="auto"/>
              <w:bottom w:val="single" w:sz="4" w:space="0" w:color="auto"/>
              <w:right w:val="single" w:sz="4" w:space="0" w:color="auto"/>
            </w:tcBorders>
          </w:tcPr>
          <w:p w14:paraId="2D585EDB" w14:textId="77777777" w:rsidR="0094644B" w:rsidRPr="00F07779" w:rsidRDefault="0094644B" w:rsidP="00FB5086">
            <w:pPr>
              <w:rPr>
                <w:sz w:val="20"/>
                <w:szCs w:val="20"/>
              </w:rPr>
            </w:pPr>
            <w:r w:rsidRPr="00F07779">
              <w:rPr>
                <w:sz w:val="20"/>
                <w:szCs w:val="20"/>
              </w:rPr>
              <w:t>2012.</w:t>
            </w:r>
          </w:p>
        </w:tc>
      </w:tr>
      <w:tr w:rsidR="0094644B" w:rsidRPr="00F07779" w14:paraId="420B6467"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3B2DBB1E" w14:textId="77777777" w:rsidR="0094644B" w:rsidRPr="00F07779" w:rsidRDefault="0094644B" w:rsidP="00FB5086">
            <w:pPr>
              <w:rPr>
                <w:sz w:val="20"/>
                <w:szCs w:val="20"/>
              </w:rPr>
            </w:pPr>
            <w:r w:rsidRPr="00FA3F57">
              <w:rPr>
                <w:sz w:val="20"/>
                <w:szCs w:val="20"/>
              </w:rPr>
              <w:t>Year of completion of project funding</w:t>
            </w:r>
          </w:p>
        </w:tc>
        <w:tc>
          <w:tcPr>
            <w:tcW w:w="5667" w:type="dxa"/>
            <w:tcBorders>
              <w:top w:val="single" w:sz="4" w:space="0" w:color="auto"/>
              <w:left w:val="single" w:sz="4" w:space="0" w:color="auto"/>
              <w:bottom w:val="single" w:sz="4" w:space="0" w:color="auto"/>
              <w:right w:val="single" w:sz="4" w:space="0" w:color="auto"/>
            </w:tcBorders>
            <w:hideMark/>
          </w:tcPr>
          <w:p w14:paraId="647044C7" w14:textId="77777777" w:rsidR="0094644B" w:rsidRPr="00F07779" w:rsidRDefault="0094644B" w:rsidP="00FB5086">
            <w:pPr>
              <w:rPr>
                <w:sz w:val="20"/>
                <w:szCs w:val="20"/>
              </w:rPr>
            </w:pPr>
            <w:r w:rsidRPr="00F07779">
              <w:rPr>
                <w:sz w:val="20"/>
                <w:szCs w:val="20"/>
              </w:rPr>
              <w:t>2027.</w:t>
            </w:r>
          </w:p>
        </w:tc>
      </w:tr>
      <w:tr w:rsidR="0094644B" w:rsidRPr="00F07779" w14:paraId="138487D3"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4A17A2A7" w14:textId="77777777" w:rsidR="0094644B" w:rsidRPr="00F07779" w:rsidRDefault="0094644B" w:rsidP="00FB5086">
            <w:pPr>
              <w:rPr>
                <w:sz w:val="20"/>
                <w:szCs w:val="20"/>
              </w:rPr>
            </w:pPr>
            <w:r w:rsidRPr="00FA3F57">
              <w:rPr>
                <w:sz w:val="20"/>
                <w:szCs w:val="20"/>
              </w:rPr>
              <w:t>Total project value</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07C7B557" w14:textId="77777777" w:rsidR="0094644B" w:rsidRPr="00F07779" w:rsidRDefault="0094644B" w:rsidP="00FB5086">
            <w:pPr>
              <w:rPr>
                <w:sz w:val="20"/>
                <w:szCs w:val="20"/>
              </w:rPr>
            </w:pPr>
            <w:r w:rsidRPr="00F07779">
              <w:rPr>
                <w:sz w:val="20"/>
                <w:szCs w:val="20"/>
              </w:rPr>
              <w:t>609,700 (5.2 million EUR)</w:t>
            </w:r>
          </w:p>
        </w:tc>
      </w:tr>
      <w:tr w:rsidR="0094644B" w:rsidRPr="00F07779" w14:paraId="4E53D45F"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5E5B6C7D" w14:textId="77777777" w:rsidR="0094644B" w:rsidRPr="00F07779" w:rsidRDefault="0094644B" w:rsidP="00FB5086">
            <w:pPr>
              <w:rPr>
                <w:sz w:val="20"/>
                <w:szCs w:val="20"/>
              </w:rPr>
            </w:pPr>
            <w:r w:rsidRPr="00FA3F57">
              <w:rPr>
                <w:sz w:val="20"/>
                <w:szCs w:val="20"/>
              </w:rPr>
              <w:t>Planned investments for 2026.</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745DD225" w14:textId="77777777" w:rsidR="0094644B" w:rsidRPr="00F07779" w:rsidRDefault="0094644B" w:rsidP="00FB5086">
            <w:pPr>
              <w:rPr>
                <w:sz w:val="20"/>
                <w:szCs w:val="20"/>
              </w:rPr>
            </w:pPr>
            <w:r w:rsidRPr="00F07779">
              <w:rPr>
                <w:sz w:val="20"/>
                <w:szCs w:val="20"/>
              </w:rPr>
              <w:t>0</w:t>
            </w:r>
          </w:p>
        </w:tc>
      </w:tr>
      <w:tr w:rsidR="0094644B" w:rsidRPr="00F07779" w14:paraId="5433D028"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01070EF7" w14:textId="77777777" w:rsidR="0094644B" w:rsidRPr="00F07779" w:rsidRDefault="0094644B" w:rsidP="00FB5086">
            <w:pPr>
              <w:rPr>
                <w:sz w:val="20"/>
                <w:szCs w:val="20"/>
              </w:rPr>
            </w:pPr>
            <w:r w:rsidRPr="00FA3F57">
              <w:rPr>
                <w:sz w:val="20"/>
                <w:szCs w:val="20"/>
              </w:rPr>
              <w:t>Planned investments for 2027.</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06D5D407" w14:textId="77777777" w:rsidR="0094644B" w:rsidRPr="00F07779" w:rsidRDefault="0094644B" w:rsidP="00FB5086">
            <w:pPr>
              <w:rPr>
                <w:sz w:val="20"/>
                <w:szCs w:val="20"/>
              </w:rPr>
            </w:pPr>
            <w:r w:rsidRPr="00F07779">
              <w:rPr>
                <w:sz w:val="20"/>
                <w:szCs w:val="20"/>
              </w:rPr>
              <w:t>0</w:t>
            </w:r>
          </w:p>
        </w:tc>
      </w:tr>
      <w:tr w:rsidR="0094644B" w:rsidRPr="00F07779" w14:paraId="6DF4C6D3"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62C57C0A" w14:textId="77777777" w:rsidR="0094644B" w:rsidRPr="00F07779" w:rsidRDefault="0094644B" w:rsidP="00FB5086">
            <w:pPr>
              <w:rPr>
                <w:sz w:val="20"/>
                <w:szCs w:val="20"/>
              </w:rPr>
            </w:pPr>
            <w:r w:rsidRPr="00FA3F57">
              <w:rPr>
                <w:sz w:val="20"/>
                <w:szCs w:val="20"/>
              </w:rPr>
              <w:t>Planned investments for 2028.</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4D346433" w14:textId="77777777" w:rsidR="0094644B" w:rsidRPr="00F07779" w:rsidRDefault="0094644B" w:rsidP="00FB5086">
            <w:pPr>
              <w:rPr>
                <w:sz w:val="20"/>
                <w:szCs w:val="20"/>
              </w:rPr>
            </w:pPr>
            <w:r w:rsidRPr="00F07779">
              <w:rPr>
                <w:sz w:val="20"/>
                <w:szCs w:val="20"/>
              </w:rPr>
              <w:t>0</w:t>
            </w:r>
          </w:p>
        </w:tc>
      </w:tr>
    </w:tbl>
    <w:p w14:paraId="627C85BC" w14:textId="77777777" w:rsidR="0094644B" w:rsidRPr="00F07779" w:rsidRDefault="0094644B" w:rsidP="0094644B">
      <w:pPr>
        <w:rPr>
          <w:sz w:val="20"/>
          <w:szCs w:val="20"/>
        </w:rPr>
      </w:pPr>
    </w:p>
    <w:tbl>
      <w:tblPr>
        <w:tblStyle w:val="TableGrid"/>
        <w:tblW w:w="0" w:type="auto"/>
        <w:tblLook w:val="04A0" w:firstRow="1" w:lastRow="0" w:firstColumn="1" w:lastColumn="0" w:noHBand="0" w:noVBand="1"/>
      </w:tblPr>
      <w:tblGrid>
        <w:gridCol w:w="2973"/>
        <w:gridCol w:w="5667"/>
      </w:tblGrid>
      <w:tr w:rsidR="0094644B" w:rsidRPr="00F07779" w14:paraId="33D6509E"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E236B84" w14:textId="77777777" w:rsidR="0094644B" w:rsidRPr="00F07779" w:rsidRDefault="0094644B" w:rsidP="00FB5086">
            <w:pPr>
              <w:rPr>
                <w:sz w:val="20"/>
                <w:szCs w:val="20"/>
              </w:rPr>
            </w:pPr>
            <w:r w:rsidRPr="00F07779">
              <w:rPr>
                <w:sz w:val="20"/>
                <w:szCs w:val="20"/>
              </w:rPr>
              <w:t>Activity EL1.2</w:t>
            </w:r>
          </w:p>
        </w:tc>
        <w:tc>
          <w:tcPr>
            <w:tcW w:w="566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FE08837" w14:textId="77777777" w:rsidR="0094644B" w:rsidRPr="00F07779" w:rsidRDefault="0094644B" w:rsidP="00FB5086">
            <w:pPr>
              <w:rPr>
                <w:sz w:val="20"/>
                <w:szCs w:val="20"/>
              </w:rPr>
            </w:pPr>
            <w:r w:rsidRPr="00F07779">
              <w:rPr>
                <w:sz w:val="20"/>
                <w:szCs w:val="20"/>
              </w:rPr>
              <w:t>Investment projects focused on the reconstruction and construction of the transmission network</w:t>
            </w:r>
          </w:p>
        </w:tc>
      </w:tr>
      <w:tr w:rsidR="0094644B" w:rsidRPr="00F07779" w14:paraId="01826AF7"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3FDF7E70" w14:textId="77777777" w:rsidR="0094644B" w:rsidRPr="00F07779" w:rsidRDefault="0094644B" w:rsidP="00FB5086">
            <w:pPr>
              <w:rPr>
                <w:sz w:val="20"/>
                <w:szCs w:val="20"/>
              </w:rPr>
            </w:pPr>
            <w:r w:rsidRPr="00FA3F57">
              <w:rPr>
                <w:sz w:val="20"/>
                <w:szCs w:val="20"/>
              </w:rPr>
              <w:t>Name of the project</w:t>
            </w:r>
          </w:p>
        </w:tc>
        <w:tc>
          <w:tcPr>
            <w:tcW w:w="5667"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7C025BA3" w14:textId="77777777" w:rsidR="0094644B" w:rsidRPr="00F07779" w:rsidRDefault="0094644B" w:rsidP="00FB5086">
            <w:pPr>
              <w:rPr>
                <w:sz w:val="20"/>
                <w:szCs w:val="20"/>
              </w:rPr>
            </w:pPr>
            <w:r w:rsidRPr="00F07779">
              <w:rPr>
                <w:sz w:val="20"/>
                <w:szCs w:val="20"/>
              </w:rPr>
              <w:t>Reconstruction and extension of the OHL 110 kV No. 114/3 TS </w:t>
            </w:r>
            <w:proofErr w:type="spellStart"/>
            <w:r w:rsidRPr="00F07779">
              <w:rPr>
                <w:sz w:val="20"/>
                <w:szCs w:val="20"/>
              </w:rPr>
              <w:t>Aleksinac</w:t>
            </w:r>
            <w:proofErr w:type="spellEnd"/>
            <w:r w:rsidRPr="00F07779">
              <w:rPr>
                <w:sz w:val="20"/>
                <w:szCs w:val="20"/>
              </w:rPr>
              <w:t xml:space="preserve"> – TS </w:t>
            </w:r>
            <w:proofErr w:type="spellStart"/>
            <w:r w:rsidRPr="00F07779">
              <w:rPr>
                <w:sz w:val="20"/>
                <w:szCs w:val="20"/>
              </w:rPr>
              <w:t>Niš</w:t>
            </w:r>
            <w:proofErr w:type="spellEnd"/>
            <w:r w:rsidRPr="00F07779">
              <w:rPr>
                <w:sz w:val="20"/>
                <w:szCs w:val="20"/>
              </w:rPr>
              <w:t xml:space="preserve"> 1 </w:t>
            </w:r>
          </w:p>
        </w:tc>
      </w:tr>
      <w:tr w:rsidR="0094644B" w:rsidRPr="00F07779" w14:paraId="3B3621BA"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34E24D4" w14:textId="77777777" w:rsidR="0094644B" w:rsidRPr="00F07779" w:rsidRDefault="0094644B" w:rsidP="00FB5086">
            <w:pPr>
              <w:rPr>
                <w:sz w:val="20"/>
                <w:szCs w:val="20"/>
              </w:rPr>
            </w:pPr>
            <w:r w:rsidRPr="00FA3F57">
              <w:rPr>
                <w:sz w:val="20"/>
                <w:szCs w:val="20"/>
              </w:rPr>
              <w:t xml:space="preserve">Name of the </w:t>
            </w:r>
            <w:r w:rsidRPr="00F07779">
              <w:rPr>
                <w:sz w:val="20"/>
                <w:szCs w:val="20"/>
              </w:rPr>
              <w:t>investment</w:t>
            </w:r>
          </w:p>
        </w:tc>
        <w:tc>
          <w:tcPr>
            <w:tcW w:w="566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7E79B1A" w14:textId="77777777" w:rsidR="0094644B" w:rsidRPr="00F07779" w:rsidRDefault="0094644B" w:rsidP="00FB5086">
            <w:pPr>
              <w:rPr>
                <w:sz w:val="20"/>
                <w:szCs w:val="20"/>
              </w:rPr>
            </w:pPr>
            <w:r w:rsidRPr="00F07779">
              <w:rPr>
                <w:sz w:val="20"/>
                <w:szCs w:val="20"/>
              </w:rPr>
              <w:t>Reconstruction and extension of the OHL 110 kV No. 114/3 TS </w:t>
            </w:r>
            <w:proofErr w:type="spellStart"/>
            <w:r w:rsidRPr="00F07779">
              <w:rPr>
                <w:sz w:val="20"/>
                <w:szCs w:val="20"/>
              </w:rPr>
              <w:t>Aleksinac</w:t>
            </w:r>
            <w:proofErr w:type="spellEnd"/>
            <w:r w:rsidRPr="00F07779">
              <w:rPr>
                <w:sz w:val="20"/>
                <w:szCs w:val="20"/>
              </w:rPr>
              <w:t xml:space="preserve"> – TS </w:t>
            </w:r>
            <w:proofErr w:type="spellStart"/>
            <w:r w:rsidRPr="00F07779">
              <w:rPr>
                <w:sz w:val="20"/>
                <w:szCs w:val="20"/>
              </w:rPr>
              <w:t>Niš</w:t>
            </w:r>
            <w:proofErr w:type="spellEnd"/>
            <w:r w:rsidRPr="00F07779">
              <w:rPr>
                <w:sz w:val="20"/>
                <w:szCs w:val="20"/>
              </w:rPr>
              <w:t xml:space="preserve"> 1 </w:t>
            </w:r>
          </w:p>
        </w:tc>
      </w:tr>
      <w:tr w:rsidR="0094644B" w:rsidRPr="00F07779" w14:paraId="7C1D1027"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26B8AFAB" w14:textId="77777777" w:rsidR="0094644B" w:rsidRPr="00F07779" w:rsidRDefault="0094644B" w:rsidP="00FB5086">
            <w:pPr>
              <w:rPr>
                <w:sz w:val="20"/>
                <w:szCs w:val="20"/>
              </w:rPr>
            </w:pPr>
            <w:r w:rsidRPr="00FA3F57">
              <w:rPr>
                <w:sz w:val="20"/>
                <w:szCs w:val="20"/>
              </w:rPr>
              <w:t>Short description of the investment</w:t>
            </w:r>
          </w:p>
        </w:tc>
        <w:tc>
          <w:tcPr>
            <w:tcW w:w="5667" w:type="dxa"/>
            <w:tcBorders>
              <w:top w:val="single" w:sz="4" w:space="0" w:color="auto"/>
              <w:left w:val="single" w:sz="4" w:space="0" w:color="auto"/>
              <w:bottom w:val="single" w:sz="4" w:space="0" w:color="auto"/>
              <w:right w:val="single" w:sz="4" w:space="0" w:color="auto"/>
            </w:tcBorders>
            <w:hideMark/>
          </w:tcPr>
          <w:p w14:paraId="1637F775" w14:textId="77777777" w:rsidR="0094644B" w:rsidRPr="00F07779" w:rsidRDefault="0094644B" w:rsidP="00FB5086">
            <w:pPr>
              <w:rPr>
                <w:sz w:val="20"/>
                <w:szCs w:val="20"/>
              </w:rPr>
            </w:pPr>
            <w:r w:rsidRPr="00F07779">
              <w:rPr>
                <w:sz w:val="20"/>
                <w:szCs w:val="20"/>
              </w:rPr>
              <w:t xml:space="preserve">OHL 110 kV No. 114/3 </w:t>
            </w:r>
            <w:proofErr w:type="gramStart"/>
            <w:r w:rsidRPr="00F07779">
              <w:rPr>
                <w:sz w:val="20"/>
                <w:szCs w:val="20"/>
              </w:rPr>
              <w:t xml:space="preserve">TS  </w:t>
            </w:r>
            <w:proofErr w:type="spellStart"/>
            <w:r w:rsidRPr="00F07779">
              <w:rPr>
                <w:sz w:val="20"/>
                <w:szCs w:val="20"/>
              </w:rPr>
              <w:t>Aleksinac</w:t>
            </w:r>
            <w:proofErr w:type="spellEnd"/>
            <w:proofErr w:type="gramEnd"/>
            <w:r w:rsidRPr="00F07779">
              <w:rPr>
                <w:sz w:val="20"/>
                <w:szCs w:val="20"/>
              </w:rPr>
              <w:t xml:space="preserve"> – TS </w:t>
            </w:r>
            <w:proofErr w:type="spellStart"/>
            <w:r w:rsidRPr="00F07779">
              <w:rPr>
                <w:sz w:val="20"/>
                <w:szCs w:val="20"/>
              </w:rPr>
              <w:t>Niš</w:t>
            </w:r>
            <w:proofErr w:type="spellEnd"/>
            <w:r w:rsidRPr="00F07779">
              <w:rPr>
                <w:sz w:val="20"/>
                <w:szCs w:val="20"/>
              </w:rPr>
              <w:t xml:space="preserve"> 1, reconstruction, relocation and extension</w:t>
            </w:r>
          </w:p>
        </w:tc>
      </w:tr>
      <w:tr w:rsidR="0094644B" w:rsidRPr="00F07779" w14:paraId="32EB8F39"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0201A168" w14:textId="77777777" w:rsidR="0094644B" w:rsidRPr="00F07779" w:rsidRDefault="0094644B" w:rsidP="00FB5086">
            <w:pPr>
              <w:rPr>
                <w:sz w:val="20"/>
                <w:szCs w:val="20"/>
              </w:rPr>
            </w:pPr>
            <w:r w:rsidRPr="00FA3F57">
              <w:rPr>
                <w:sz w:val="20"/>
                <w:szCs w:val="20"/>
              </w:rPr>
              <w:t>Institutions responsible for the implementation of measures and activities</w:t>
            </w:r>
          </w:p>
        </w:tc>
        <w:tc>
          <w:tcPr>
            <w:tcW w:w="5667" w:type="dxa"/>
            <w:tcBorders>
              <w:top w:val="single" w:sz="4" w:space="0" w:color="auto"/>
              <w:left w:val="single" w:sz="4" w:space="0" w:color="auto"/>
              <w:bottom w:val="single" w:sz="4" w:space="0" w:color="auto"/>
              <w:right w:val="single" w:sz="4" w:space="0" w:color="auto"/>
            </w:tcBorders>
            <w:hideMark/>
          </w:tcPr>
          <w:p w14:paraId="1399C25D" w14:textId="77777777" w:rsidR="0094644B" w:rsidRPr="00F07779" w:rsidRDefault="0094644B" w:rsidP="00FB5086">
            <w:pPr>
              <w:rPr>
                <w:sz w:val="20"/>
                <w:szCs w:val="20"/>
              </w:rPr>
            </w:pPr>
            <w:r w:rsidRPr="00F07779">
              <w:rPr>
                <w:sz w:val="20"/>
                <w:szCs w:val="20"/>
              </w:rPr>
              <w:t>Reconstruction and extension of the OHL 114/3 and extension of OHL 1245 include reconstruction of the OHL 114-3, extension-relocation of the 114/3, extension of the dual-system transmission line (OHL 114/3+OHL 1245). The planned activities include dismantling and removal of existing poles, dismantling of conductors and protective rope, installation of new poles, installation of new conductors and OPGW protective rope, installation of new insulation, connection and suspension equipment. The installation of conductors with a larger cross-section is planned.</w:t>
            </w:r>
          </w:p>
          <w:p w14:paraId="0CC22A61" w14:textId="77777777" w:rsidR="0094644B" w:rsidRPr="00F07779" w:rsidRDefault="0094644B" w:rsidP="00FB5086">
            <w:pPr>
              <w:rPr>
                <w:sz w:val="20"/>
                <w:szCs w:val="20"/>
              </w:rPr>
            </w:pPr>
            <w:r w:rsidRPr="00F07779">
              <w:rPr>
                <w:sz w:val="20"/>
                <w:szCs w:val="20"/>
              </w:rPr>
              <w:t>Expected dynamics of project implementation:</w:t>
            </w:r>
          </w:p>
          <w:p w14:paraId="0FE08563" w14:textId="77777777" w:rsidR="0094644B" w:rsidRPr="00F07779" w:rsidRDefault="0094644B" w:rsidP="00FB5086">
            <w:pPr>
              <w:rPr>
                <w:sz w:val="20"/>
                <w:szCs w:val="20"/>
              </w:rPr>
            </w:pPr>
            <w:r w:rsidRPr="00F07779">
              <w:rPr>
                <w:sz w:val="20"/>
                <w:szCs w:val="20"/>
              </w:rPr>
              <w:t>2026. Location conditions</w:t>
            </w:r>
          </w:p>
          <w:p w14:paraId="3369D8A5" w14:textId="77777777" w:rsidR="0094644B" w:rsidRPr="00F07779" w:rsidRDefault="0094644B" w:rsidP="00FB5086">
            <w:pPr>
              <w:rPr>
                <w:sz w:val="20"/>
                <w:szCs w:val="20"/>
              </w:rPr>
            </w:pPr>
            <w:r w:rsidRPr="00F07779">
              <w:rPr>
                <w:sz w:val="20"/>
                <w:szCs w:val="20"/>
              </w:rPr>
              <w:t>2027. Preliminary design</w:t>
            </w:r>
          </w:p>
          <w:p w14:paraId="7EA8F5D3" w14:textId="77777777" w:rsidR="0094644B" w:rsidRPr="00F07779" w:rsidRDefault="0094644B" w:rsidP="00FB5086">
            <w:pPr>
              <w:rPr>
                <w:sz w:val="20"/>
                <w:szCs w:val="20"/>
              </w:rPr>
            </w:pPr>
            <w:r w:rsidRPr="00F07779">
              <w:rPr>
                <w:sz w:val="20"/>
                <w:szCs w:val="20"/>
              </w:rPr>
              <w:t>2028. Building permit</w:t>
            </w:r>
          </w:p>
        </w:tc>
      </w:tr>
      <w:tr w:rsidR="0094644B" w:rsidRPr="00F07779" w14:paraId="01444FC2"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11E24305" w14:textId="77777777" w:rsidR="0094644B" w:rsidRPr="00F07779" w:rsidRDefault="0094644B" w:rsidP="00FB5086">
            <w:pPr>
              <w:rPr>
                <w:sz w:val="20"/>
                <w:szCs w:val="20"/>
              </w:rPr>
            </w:pPr>
            <w:r w:rsidRPr="00FA3F57">
              <w:rPr>
                <w:sz w:val="20"/>
                <w:szCs w:val="20"/>
              </w:rPr>
              <w:t>Institutions responsible for monitoring implementation and reporting on the realization</w:t>
            </w:r>
          </w:p>
        </w:tc>
        <w:tc>
          <w:tcPr>
            <w:tcW w:w="5667" w:type="dxa"/>
            <w:tcBorders>
              <w:top w:val="single" w:sz="4" w:space="0" w:color="auto"/>
              <w:left w:val="single" w:sz="4" w:space="0" w:color="auto"/>
              <w:bottom w:val="single" w:sz="4" w:space="0" w:color="auto"/>
              <w:right w:val="single" w:sz="4" w:space="0" w:color="auto"/>
            </w:tcBorders>
            <w:hideMark/>
          </w:tcPr>
          <w:p w14:paraId="3031CAF8" w14:textId="77777777" w:rsidR="0094644B" w:rsidRPr="00F07779" w:rsidRDefault="0094644B" w:rsidP="00FB5086">
            <w:pPr>
              <w:rPr>
                <w:sz w:val="20"/>
                <w:szCs w:val="20"/>
              </w:rPr>
            </w:pPr>
            <w:r w:rsidRPr="00FA3F57">
              <w:rPr>
                <w:sz w:val="20"/>
                <w:szCs w:val="20"/>
              </w:rPr>
              <w:t>EMS JSC Belgrade</w:t>
            </w:r>
          </w:p>
        </w:tc>
      </w:tr>
      <w:tr w:rsidR="0094644B" w:rsidRPr="00F07779" w14:paraId="24F6F92E"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34B479C7" w14:textId="77777777" w:rsidR="0094644B" w:rsidRPr="00F07779" w:rsidRDefault="0094644B" w:rsidP="00FB5086">
            <w:pPr>
              <w:rPr>
                <w:sz w:val="20"/>
                <w:szCs w:val="20"/>
              </w:rPr>
            </w:pPr>
            <w:r w:rsidRPr="00FA3F57">
              <w:rPr>
                <w:sz w:val="20"/>
                <w:szCs w:val="20"/>
              </w:rPr>
              <w:t>Year of project funding start</w:t>
            </w:r>
          </w:p>
        </w:tc>
        <w:tc>
          <w:tcPr>
            <w:tcW w:w="5667" w:type="dxa"/>
            <w:tcBorders>
              <w:top w:val="single" w:sz="4" w:space="0" w:color="auto"/>
              <w:left w:val="single" w:sz="4" w:space="0" w:color="auto"/>
              <w:bottom w:val="single" w:sz="4" w:space="0" w:color="auto"/>
              <w:right w:val="single" w:sz="4" w:space="0" w:color="auto"/>
            </w:tcBorders>
            <w:hideMark/>
          </w:tcPr>
          <w:p w14:paraId="0AB098E5" w14:textId="77777777" w:rsidR="0094644B" w:rsidRPr="00F07779" w:rsidRDefault="0094644B" w:rsidP="00FB5086">
            <w:pPr>
              <w:rPr>
                <w:sz w:val="20"/>
                <w:szCs w:val="20"/>
              </w:rPr>
            </w:pPr>
            <w:r w:rsidRPr="00FA3F57">
              <w:rPr>
                <w:sz w:val="20"/>
                <w:szCs w:val="20"/>
              </w:rPr>
              <w:t>EMS JSC Belgrade</w:t>
            </w:r>
          </w:p>
          <w:p w14:paraId="33E640C0" w14:textId="77777777" w:rsidR="0094644B" w:rsidRPr="00FA3F57" w:rsidRDefault="0094644B" w:rsidP="00FB5086">
            <w:pPr>
              <w:rPr>
                <w:sz w:val="20"/>
                <w:szCs w:val="20"/>
              </w:rPr>
            </w:pPr>
            <w:r w:rsidRPr="00FA3F57">
              <w:rPr>
                <w:sz w:val="20"/>
                <w:szCs w:val="20"/>
              </w:rPr>
              <w:t>Republic Commission for Energy Networks</w:t>
            </w:r>
          </w:p>
          <w:p w14:paraId="234EE6BF" w14:textId="77777777" w:rsidR="0094644B" w:rsidRPr="00F07779" w:rsidRDefault="0094644B" w:rsidP="00FB5086">
            <w:pPr>
              <w:rPr>
                <w:sz w:val="20"/>
                <w:szCs w:val="20"/>
              </w:rPr>
            </w:pPr>
            <w:r w:rsidRPr="00F07779">
              <w:rPr>
                <w:sz w:val="20"/>
                <w:szCs w:val="20"/>
              </w:rPr>
              <w:t>Ministry of Mining and Energy</w:t>
            </w:r>
          </w:p>
        </w:tc>
      </w:tr>
      <w:tr w:rsidR="0094644B" w:rsidRPr="00F07779" w14:paraId="0F0EF1B8"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31C215FE" w14:textId="77777777" w:rsidR="0094644B" w:rsidRPr="00F07779" w:rsidRDefault="0094644B" w:rsidP="00FB5086">
            <w:pPr>
              <w:rPr>
                <w:sz w:val="20"/>
                <w:szCs w:val="20"/>
              </w:rPr>
            </w:pPr>
            <w:r w:rsidRPr="00FA3F57">
              <w:rPr>
                <w:sz w:val="20"/>
                <w:szCs w:val="20"/>
              </w:rPr>
              <w:t>Year of completion of project funding</w:t>
            </w:r>
          </w:p>
        </w:tc>
        <w:tc>
          <w:tcPr>
            <w:tcW w:w="5667" w:type="dxa"/>
            <w:tcBorders>
              <w:top w:val="single" w:sz="4" w:space="0" w:color="auto"/>
              <w:left w:val="single" w:sz="4" w:space="0" w:color="auto"/>
              <w:bottom w:val="single" w:sz="4" w:space="0" w:color="auto"/>
              <w:right w:val="single" w:sz="4" w:space="0" w:color="auto"/>
            </w:tcBorders>
            <w:hideMark/>
          </w:tcPr>
          <w:p w14:paraId="7DD27CE9" w14:textId="77777777" w:rsidR="0094644B" w:rsidRPr="00F07779" w:rsidRDefault="0094644B" w:rsidP="00FB5086">
            <w:pPr>
              <w:rPr>
                <w:sz w:val="20"/>
                <w:szCs w:val="20"/>
              </w:rPr>
            </w:pPr>
            <w:r w:rsidRPr="00F07779">
              <w:rPr>
                <w:sz w:val="20"/>
                <w:szCs w:val="20"/>
              </w:rPr>
              <w:t>2022.</w:t>
            </w:r>
          </w:p>
        </w:tc>
      </w:tr>
      <w:tr w:rsidR="0094644B" w:rsidRPr="00F07779" w14:paraId="76AABEC8"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4B5BCD7A" w14:textId="77777777" w:rsidR="0094644B" w:rsidRPr="00F07779" w:rsidRDefault="0094644B" w:rsidP="00FB5086">
            <w:pPr>
              <w:rPr>
                <w:sz w:val="20"/>
                <w:szCs w:val="20"/>
              </w:rPr>
            </w:pPr>
            <w:r w:rsidRPr="00FA3F57">
              <w:rPr>
                <w:sz w:val="20"/>
                <w:szCs w:val="20"/>
              </w:rPr>
              <w:t>Total project value</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1BE68C8D" w14:textId="77777777" w:rsidR="0094644B" w:rsidRPr="00F07779" w:rsidRDefault="0094644B" w:rsidP="00FB5086">
            <w:pPr>
              <w:rPr>
                <w:sz w:val="20"/>
                <w:szCs w:val="20"/>
              </w:rPr>
            </w:pPr>
            <w:r w:rsidRPr="00F07779">
              <w:rPr>
                <w:sz w:val="20"/>
                <w:szCs w:val="20"/>
              </w:rPr>
              <w:t>2028.</w:t>
            </w:r>
          </w:p>
        </w:tc>
      </w:tr>
      <w:tr w:rsidR="0094644B" w:rsidRPr="00F07779" w14:paraId="75282CF4"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0F65FC64" w14:textId="77777777" w:rsidR="0094644B" w:rsidRPr="00F07779" w:rsidRDefault="0094644B" w:rsidP="00FB5086">
            <w:pPr>
              <w:rPr>
                <w:sz w:val="20"/>
                <w:szCs w:val="20"/>
              </w:rPr>
            </w:pPr>
            <w:r w:rsidRPr="00FA3F57">
              <w:rPr>
                <w:sz w:val="20"/>
                <w:szCs w:val="20"/>
              </w:rPr>
              <w:t>Planned investments for 2026.</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56903403" w14:textId="77777777" w:rsidR="0094644B" w:rsidRPr="00F07779" w:rsidRDefault="0094644B" w:rsidP="00FB5086">
            <w:pPr>
              <w:rPr>
                <w:sz w:val="20"/>
                <w:szCs w:val="20"/>
              </w:rPr>
            </w:pPr>
            <w:r w:rsidRPr="00F07779">
              <w:rPr>
                <w:sz w:val="20"/>
                <w:szCs w:val="20"/>
              </w:rPr>
              <w:t>691,775 (5.9 million EUR)</w:t>
            </w:r>
          </w:p>
        </w:tc>
      </w:tr>
      <w:tr w:rsidR="0094644B" w:rsidRPr="00F07779" w14:paraId="5390655F"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215192FD" w14:textId="77777777" w:rsidR="0094644B" w:rsidRPr="00F07779" w:rsidRDefault="0094644B" w:rsidP="00FB5086">
            <w:pPr>
              <w:rPr>
                <w:sz w:val="20"/>
                <w:szCs w:val="20"/>
              </w:rPr>
            </w:pPr>
            <w:r w:rsidRPr="00FA3F57">
              <w:rPr>
                <w:sz w:val="20"/>
                <w:szCs w:val="20"/>
              </w:rPr>
              <w:t>Planned investments for 2027.</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5180C19C" w14:textId="77777777" w:rsidR="0094644B" w:rsidRPr="00F07779" w:rsidRDefault="0094644B" w:rsidP="00FB5086">
            <w:pPr>
              <w:rPr>
                <w:sz w:val="20"/>
                <w:szCs w:val="20"/>
              </w:rPr>
            </w:pPr>
            <w:r w:rsidRPr="00F07779">
              <w:rPr>
                <w:sz w:val="20"/>
                <w:szCs w:val="20"/>
              </w:rPr>
              <w:t>8,897 (own funds of EMS JSC)</w:t>
            </w:r>
          </w:p>
        </w:tc>
      </w:tr>
      <w:tr w:rsidR="0094644B" w:rsidRPr="00F07779" w14:paraId="637C3EAB"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658DD656" w14:textId="77777777" w:rsidR="0094644B" w:rsidRPr="00F07779" w:rsidRDefault="0094644B" w:rsidP="00FB5086">
            <w:pPr>
              <w:rPr>
                <w:sz w:val="20"/>
                <w:szCs w:val="20"/>
              </w:rPr>
            </w:pPr>
            <w:r w:rsidRPr="00FA3F57">
              <w:rPr>
                <w:sz w:val="20"/>
                <w:szCs w:val="20"/>
              </w:rPr>
              <w:t>Planned investments for 2028.</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0D647F81" w14:textId="77777777" w:rsidR="0094644B" w:rsidRPr="00F07779" w:rsidRDefault="0094644B" w:rsidP="00FB5086">
            <w:pPr>
              <w:rPr>
                <w:sz w:val="20"/>
                <w:szCs w:val="20"/>
              </w:rPr>
            </w:pPr>
            <w:r w:rsidRPr="00F07779">
              <w:rPr>
                <w:sz w:val="20"/>
                <w:szCs w:val="20"/>
              </w:rPr>
              <w:t>105,999 (own funds of EMS JSC)</w:t>
            </w:r>
          </w:p>
        </w:tc>
      </w:tr>
    </w:tbl>
    <w:p w14:paraId="307D18EA" w14:textId="77777777" w:rsidR="0094644B" w:rsidRPr="00F07779" w:rsidRDefault="0094644B" w:rsidP="0094644B">
      <w:pPr>
        <w:tabs>
          <w:tab w:val="left" w:pos="1276"/>
          <w:tab w:val="left" w:pos="1560"/>
        </w:tabs>
        <w:ind w:left="1440" w:hanging="1440"/>
      </w:pPr>
    </w:p>
    <w:tbl>
      <w:tblPr>
        <w:tblStyle w:val="TableGrid"/>
        <w:tblW w:w="0" w:type="auto"/>
        <w:tblLook w:val="04A0" w:firstRow="1" w:lastRow="0" w:firstColumn="1" w:lastColumn="0" w:noHBand="0" w:noVBand="1"/>
      </w:tblPr>
      <w:tblGrid>
        <w:gridCol w:w="2973"/>
        <w:gridCol w:w="5667"/>
      </w:tblGrid>
      <w:tr w:rsidR="0094644B" w:rsidRPr="00F07779" w14:paraId="3A9CBEED"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A3186F9" w14:textId="77777777" w:rsidR="0094644B" w:rsidRPr="00F07779" w:rsidRDefault="0094644B" w:rsidP="00FB5086">
            <w:pPr>
              <w:keepNext/>
              <w:rPr>
                <w:sz w:val="20"/>
                <w:szCs w:val="20"/>
              </w:rPr>
            </w:pPr>
            <w:r w:rsidRPr="00F07779">
              <w:rPr>
                <w:sz w:val="20"/>
                <w:szCs w:val="20"/>
              </w:rPr>
              <w:lastRenderedPageBreak/>
              <w:t>Activity EL1.2</w:t>
            </w:r>
          </w:p>
        </w:tc>
        <w:tc>
          <w:tcPr>
            <w:tcW w:w="566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913E09C" w14:textId="77777777" w:rsidR="0094644B" w:rsidRPr="00F07779" w:rsidRDefault="0094644B" w:rsidP="00FB5086">
            <w:pPr>
              <w:keepNext/>
              <w:rPr>
                <w:sz w:val="20"/>
                <w:szCs w:val="20"/>
              </w:rPr>
            </w:pPr>
            <w:r w:rsidRPr="00F07779">
              <w:rPr>
                <w:sz w:val="20"/>
                <w:szCs w:val="20"/>
              </w:rPr>
              <w:t>Investment projects focused on the reconstruction and construction of the transmission network</w:t>
            </w:r>
          </w:p>
        </w:tc>
      </w:tr>
      <w:tr w:rsidR="0094644B" w:rsidRPr="00F07779" w14:paraId="14CBDAB5"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2A556669" w14:textId="77777777" w:rsidR="0094644B" w:rsidRPr="00F07779" w:rsidRDefault="0094644B" w:rsidP="00FB5086">
            <w:pPr>
              <w:keepNext/>
              <w:rPr>
                <w:sz w:val="20"/>
                <w:szCs w:val="20"/>
              </w:rPr>
            </w:pPr>
            <w:r w:rsidRPr="00FA3F57">
              <w:rPr>
                <w:sz w:val="20"/>
                <w:szCs w:val="20"/>
              </w:rPr>
              <w:t>Name of the project</w:t>
            </w:r>
          </w:p>
        </w:tc>
        <w:tc>
          <w:tcPr>
            <w:tcW w:w="5667"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29469B98" w14:textId="77777777" w:rsidR="0094644B" w:rsidRPr="00F07779" w:rsidRDefault="0094644B" w:rsidP="00FB5086">
            <w:pPr>
              <w:keepNext/>
              <w:rPr>
                <w:sz w:val="20"/>
                <w:szCs w:val="20"/>
              </w:rPr>
            </w:pPr>
            <w:r w:rsidRPr="00F07779">
              <w:rPr>
                <w:sz w:val="20"/>
                <w:szCs w:val="20"/>
              </w:rPr>
              <w:t xml:space="preserve">OHL 110 kV No. 150 TS </w:t>
            </w:r>
            <w:proofErr w:type="spellStart"/>
            <w:r w:rsidRPr="00F07779">
              <w:rPr>
                <w:sz w:val="20"/>
                <w:szCs w:val="20"/>
              </w:rPr>
              <w:t>Bor</w:t>
            </w:r>
            <w:proofErr w:type="spellEnd"/>
            <w:r w:rsidRPr="00F07779">
              <w:rPr>
                <w:sz w:val="20"/>
                <w:szCs w:val="20"/>
              </w:rPr>
              <w:t xml:space="preserve"> 1 – TS </w:t>
            </w:r>
            <w:proofErr w:type="spellStart"/>
            <w:r w:rsidRPr="00F07779">
              <w:rPr>
                <w:sz w:val="20"/>
                <w:szCs w:val="20"/>
              </w:rPr>
              <w:t>Majdanpek</w:t>
            </w:r>
            <w:proofErr w:type="spellEnd"/>
            <w:r w:rsidRPr="00F07779">
              <w:rPr>
                <w:sz w:val="20"/>
                <w:szCs w:val="20"/>
              </w:rPr>
              <w:t xml:space="preserve"> 1, leading into TS </w:t>
            </w:r>
            <w:proofErr w:type="spellStart"/>
            <w:r w:rsidRPr="00F07779">
              <w:rPr>
                <w:sz w:val="20"/>
                <w:szCs w:val="20"/>
              </w:rPr>
              <w:t>Majdanpek</w:t>
            </w:r>
            <w:proofErr w:type="spellEnd"/>
            <w:r w:rsidRPr="00F07779">
              <w:rPr>
                <w:sz w:val="20"/>
                <w:szCs w:val="20"/>
              </w:rPr>
              <w:t xml:space="preserve"> 2, and layout of 110 kV transmission lines in front of TS </w:t>
            </w:r>
            <w:proofErr w:type="spellStart"/>
            <w:r w:rsidRPr="00F07779">
              <w:rPr>
                <w:sz w:val="20"/>
                <w:szCs w:val="20"/>
              </w:rPr>
              <w:t>Majdanpek</w:t>
            </w:r>
            <w:proofErr w:type="spellEnd"/>
            <w:r w:rsidRPr="00F07779">
              <w:rPr>
                <w:sz w:val="20"/>
                <w:szCs w:val="20"/>
              </w:rPr>
              <w:t xml:space="preserve"> 2</w:t>
            </w:r>
          </w:p>
        </w:tc>
      </w:tr>
      <w:tr w:rsidR="0094644B" w:rsidRPr="00F07779" w14:paraId="38B98FC8"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B9205FA" w14:textId="77777777" w:rsidR="0094644B" w:rsidRPr="00F07779" w:rsidRDefault="0094644B" w:rsidP="00FB5086">
            <w:pPr>
              <w:rPr>
                <w:sz w:val="20"/>
                <w:szCs w:val="20"/>
              </w:rPr>
            </w:pPr>
            <w:r w:rsidRPr="00FA3F57">
              <w:rPr>
                <w:sz w:val="20"/>
                <w:szCs w:val="20"/>
              </w:rPr>
              <w:t xml:space="preserve">Name of the </w:t>
            </w:r>
            <w:r w:rsidRPr="00F07779">
              <w:rPr>
                <w:sz w:val="20"/>
                <w:szCs w:val="20"/>
              </w:rPr>
              <w:t>investment</w:t>
            </w:r>
          </w:p>
        </w:tc>
        <w:tc>
          <w:tcPr>
            <w:tcW w:w="566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BFC38D0" w14:textId="77777777" w:rsidR="0094644B" w:rsidRPr="00F07779" w:rsidRDefault="0094644B" w:rsidP="00FB5086">
            <w:pPr>
              <w:rPr>
                <w:sz w:val="20"/>
                <w:szCs w:val="20"/>
              </w:rPr>
            </w:pPr>
            <w:r w:rsidRPr="00F07779">
              <w:rPr>
                <w:sz w:val="20"/>
                <w:szCs w:val="20"/>
              </w:rPr>
              <w:t xml:space="preserve">The subject of this project is the leading of the existing OHL 110 kV No. 150 TS </w:t>
            </w:r>
            <w:proofErr w:type="spellStart"/>
            <w:r w:rsidRPr="00F07779">
              <w:rPr>
                <w:sz w:val="20"/>
                <w:szCs w:val="20"/>
              </w:rPr>
              <w:t>Bor</w:t>
            </w:r>
            <w:proofErr w:type="spellEnd"/>
            <w:r w:rsidRPr="00F07779">
              <w:rPr>
                <w:sz w:val="20"/>
                <w:szCs w:val="20"/>
              </w:rPr>
              <w:t xml:space="preserve"> 1 – TS </w:t>
            </w:r>
            <w:proofErr w:type="spellStart"/>
            <w:r w:rsidRPr="00F07779">
              <w:rPr>
                <w:sz w:val="20"/>
                <w:szCs w:val="20"/>
              </w:rPr>
              <w:t>Majdanpek</w:t>
            </w:r>
            <w:proofErr w:type="spellEnd"/>
            <w:r w:rsidRPr="00F07779">
              <w:rPr>
                <w:sz w:val="20"/>
                <w:szCs w:val="20"/>
              </w:rPr>
              <w:t xml:space="preserve"> 1 to TS </w:t>
            </w:r>
            <w:proofErr w:type="spellStart"/>
            <w:r w:rsidRPr="00F07779">
              <w:rPr>
                <w:sz w:val="20"/>
                <w:szCs w:val="20"/>
              </w:rPr>
              <w:t>Majdanpek</w:t>
            </w:r>
            <w:proofErr w:type="spellEnd"/>
            <w:r w:rsidRPr="00F07779">
              <w:rPr>
                <w:sz w:val="20"/>
                <w:szCs w:val="20"/>
              </w:rPr>
              <w:t xml:space="preserve"> 2, as well as the upgrading of parts of the routes to relocate existing OHL 110 kV No. 128/8, No. 177, and No. 1241 in front of TS </w:t>
            </w:r>
            <w:proofErr w:type="spellStart"/>
            <w:r w:rsidRPr="00F07779">
              <w:rPr>
                <w:sz w:val="20"/>
                <w:szCs w:val="20"/>
              </w:rPr>
              <w:t>Majdanpek</w:t>
            </w:r>
            <w:proofErr w:type="spellEnd"/>
            <w:r w:rsidRPr="00F07779">
              <w:rPr>
                <w:sz w:val="20"/>
                <w:szCs w:val="20"/>
              </w:rPr>
              <w:t xml:space="preserve"> 2 (layout of the OHL at TS </w:t>
            </w:r>
            <w:proofErr w:type="spellStart"/>
            <w:r w:rsidRPr="00F07779">
              <w:rPr>
                <w:sz w:val="20"/>
                <w:szCs w:val="20"/>
              </w:rPr>
              <w:t>Majdanpek</w:t>
            </w:r>
            <w:proofErr w:type="spellEnd"/>
            <w:r w:rsidRPr="00F07779">
              <w:rPr>
                <w:sz w:val="20"/>
                <w:szCs w:val="20"/>
              </w:rPr>
              <w:t xml:space="preserve"> 2).</w:t>
            </w:r>
          </w:p>
          <w:p w14:paraId="761C5A1A" w14:textId="77777777" w:rsidR="0094644B" w:rsidRPr="00F07779" w:rsidRDefault="0094644B" w:rsidP="00FB5086">
            <w:pPr>
              <w:rPr>
                <w:sz w:val="20"/>
                <w:szCs w:val="20"/>
              </w:rPr>
            </w:pPr>
            <w:r w:rsidRPr="00F07779">
              <w:rPr>
                <w:sz w:val="20"/>
                <w:szCs w:val="20"/>
              </w:rPr>
              <w:t xml:space="preserve">OHL 110 kV No. 150 TS </w:t>
            </w:r>
            <w:proofErr w:type="spellStart"/>
            <w:r w:rsidRPr="00F07779">
              <w:rPr>
                <w:sz w:val="20"/>
                <w:szCs w:val="20"/>
              </w:rPr>
              <w:t>Bor</w:t>
            </w:r>
            <w:proofErr w:type="spellEnd"/>
            <w:r w:rsidRPr="00F07779">
              <w:rPr>
                <w:sz w:val="20"/>
                <w:szCs w:val="20"/>
              </w:rPr>
              <w:t xml:space="preserve"> 1 – TS </w:t>
            </w:r>
            <w:proofErr w:type="spellStart"/>
            <w:r w:rsidRPr="00F07779">
              <w:rPr>
                <w:sz w:val="20"/>
                <w:szCs w:val="20"/>
              </w:rPr>
              <w:t>Majdanpek</w:t>
            </w:r>
            <w:proofErr w:type="spellEnd"/>
            <w:r w:rsidRPr="00F07779">
              <w:rPr>
                <w:sz w:val="20"/>
                <w:szCs w:val="20"/>
              </w:rPr>
              <w:t xml:space="preserve"> 1, integration into TS </w:t>
            </w:r>
            <w:proofErr w:type="spellStart"/>
            <w:r w:rsidRPr="00F07779">
              <w:rPr>
                <w:sz w:val="20"/>
                <w:szCs w:val="20"/>
              </w:rPr>
              <w:t>Majdanpek</w:t>
            </w:r>
            <w:proofErr w:type="spellEnd"/>
            <w:r w:rsidRPr="00F07779">
              <w:rPr>
                <w:sz w:val="20"/>
                <w:szCs w:val="20"/>
              </w:rPr>
              <w:t xml:space="preserve"> 2, and layout of the OHL 110 kV in front of TS </w:t>
            </w:r>
            <w:proofErr w:type="spellStart"/>
            <w:r w:rsidRPr="00F07779">
              <w:rPr>
                <w:sz w:val="20"/>
                <w:szCs w:val="20"/>
              </w:rPr>
              <w:t>Majdanpek</w:t>
            </w:r>
            <w:proofErr w:type="spellEnd"/>
            <w:r w:rsidRPr="00F07779">
              <w:rPr>
                <w:sz w:val="20"/>
                <w:szCs w:val="20"/>
              </w:rPr>
              <w:t xml:space="preserve"> 2.</w:t>
            </w:r>
          </w:p>
        </w:tc>
      </w:tr>
      <w:tr w:rsidR="0094644B" w:rsidRPr="00F07779" w14:paraId="27B16D0E"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41CDBAB5" w14:textId="77777777" w:rsidR="0094644B" w:rsidRPr="00F07779" w:rsidRDefault="0094644B" w:rsidP="00FB5086">
            <w:pPr>
              <w:rPr>
                <w:sz w:val="20"/>
                <w:szCs w:val="20"/>
              </w:rPr>
            </w:pPr>
            <w:r w:rsidRPr="00FA3F57">
              <w:rPr>
                <w:sz w:val="20"/>
                <w:szCs w:val="20"/>
              </w:rPr>
              <w:t>Short description of the investment</w:t>
            </w:r>
          </w:p>
        </w:tc>
        <w:tc>
          <w:tcPr>
            <w:tcW w:w="5667" w:type="dxa"/>
            <w:tcBorders>
              <w:top w:val="single" w:sz="4" w:space="0" w:color="auto"/>
              <w:left w:val="single" w:sz="4" w:space="0" w:color="auto"/>
              <w:bottom w:val="single" w:sz="4" w:space="0" w:color="auto"/>
              <w:right w:val="single" w:sz="4" w:space="0" w:color="auto"/>
            </w:tcBorders>
            <w:hideMark/>
          </w:tcPr>
          <w:p w14:paraId="0C807D6F" w14:textId="77777777" w:rsidR="0094644B" w:rsidRPr="00F07779" w:rsidRDefault="0094644B" w:rsidP="00FB5086">
            <w:pPr>
              <w:rPr>
                <w:sz w:val="20"/>
                <w:szCs w:val="20"/>
              </w:rPr>
            </w:pPr>
            <w:r w:rsidRPr="00F07779">
              <w:rPr>
                <w:sz w:val="20"/>
                <w:szCs w:val="20"/>
              </w:rPr>
              <w:t xml:space="preserve">The project envisages the leading of the existing transmission line No. 150 TS </w:t>
            </w:r>
            <w:proofErr w:type="spellStart"/>
            <w:r w:rsidRPr="00F07779">
              <w:rPr>
                <w:sz w:val="20"/>
                <w:szCs w:val="20"/>
              </w:rPr>
              <w:t>Bor</w:t>
            </w:r>
            <w:proofErr w:type="spellEnd"/>
            <w:r w:rsidRPr="00F07779">
              <w:rPr>
                <w:sz w:val="20"/>
                <w:szCs w:val="20"/>
              </w:rPr>
              <w:t xml:space="preserve"> 1 - TS </w:t>
            </w:r>
            <w:proofErr w:type="spellStart"/>
            <w:r w:rsidRPr="00F07779">
              <w:rPr>
                <w:sz w:val="20"/>
                <w:szCs w:val="20"/>
              </w:rPr>
              <w:t>Majdanpek</w:t>
            </w:r>
            <w:proofErr w:type="spellEnd"/>
            <w:r w:rsidRPr="00F07779">
              <w:rPr>
                <w:sz w:val="20"/>
                <w:szCs w:val="20"/>
              </w:rPr>
              <w:t xml:space="preserve"> 1 into TS </w:t>
            </w:r>
            <w:proofErr w:type="spellStart"/>
            <w:r w:rsidRPr="00F07779">
              <w:rPr>
                <w:sz w:val="20"/>
                <w:szCs w:val="20"/>
              </w:rPr>
              <w:t>Majdanpek</w:t>
            </w:r>
            <w:proofErr w:type="spellEnd"/>
            <w:r w:rsidRPr="00F07779">
              <w:rPr>
                <w:sz w:val="20"/>
                <w:szCs w:val="20"/>
              </w:rPr>
              <w:t xml:space="preserve"> 2 and the unification of the 110kV transmission line in front of TS </w:t>
            </w:r>
            <w:proofErr w:type="spellStart"/>
            <w:r w:rsidRPr="00F07779">
              <w:rPr>
                <w:sz w:val="20"/>
                <w:szCs w:val="20"/>
              </w:rPr>
              <w:t>Majdanpek</w:t>
            </w:r>
            <w:proofErr w:type="spellEnd"/>
            <w:r w:rsidRPr="00F07779">
              <w:rPr>
                <w:sz w:val="20"/>
                <w:szCs w:val="20"/>
              </w:rPr>
              <w:t xml:space="preserve"> 2. Expected dynamics of project implementation:</w:t>
            </w:r>
          </w:p>
          <w:p w14:paraId="3858D055" w14:textId="77777777" w:rsidR="0094644B" w:rsidRPr="00F07779" w:rsidRDefault="0094644B" w:rsidP="00FB5086">
            <w:pPr>
              <w:rPr>
                <w:sz w:val="20"/>
                <w:szCs w:val="20"/>
              </w:rPr>
            </w:pPr>
            <w:r w:rsidRPr="00F07779">
              <w:rPr>
                <w:sz w:val="20"/>
                <w:szCs w:val="20"/>
              </w:rPr>
              <w:t>2026. Building permit</w:t>
            </w:r>
          </w:p>
          <w:p w14:paraId="423D31E2" w14:textId="77777777" w:rsidR="0094644B" w:rsidRPr="00F07779" w:rsidRDefault="0094644B" w:rsidP="00FB5086">
            <w:pPr>
              <w:rPr>
                <w:sz w:val="20"/>
                <w:szCs w:val="20"/>
              </w:rPr>
            </w:pPr>
            <w:r w:rsidRPr="00F07779">
              <w:rPr>
                <w:sz w:val="20"/>
                <w:szCs w:val="20"/>
              </w:rPr>
              <w:t>2027. Construction</w:t>
            </w:r>
          </w:p>
          <w:p w14:paraId="40AF7F3F" w14:textId="77777777" w:rsidR="0094644B" w:rsidRPr="00F07779" w:rsidRDefault="0094644B" w:rsidP="00FB5086">
            <w:pPr>
              <w:rPr>
                <w:sz w:val="20"/>
                <w:szCs w:val="20"/>
              </w:rPr>
            </w:pPr>
            <w:r w:rsidRPr="00F07779">
              <w:rPr>
                <w:sz w:val="20"/>
                <w:szCs w:val="20"/>
              </w:rPr>
              <w:t>2028. Construction, Use permit; end of project</w:t>
            </w:r>
          </w:p>
        </w:tc>
      </w:tr>
      <w:tr w:rsidR="0094644B" w:rsidRPr="00F07779" w14:paraId="44FCDE68"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5CB16B68" w14:textId="77777777" w:rsidR="0094644B" w:rsidRPr="00F07779" w:rsidRDefault="0094644B" w:rsidP="00FB5086">
            <w:pPr>
              <w:rPr>
                <w:sz w:val="20"/>
                <w:szCs w:val="20"/>
              </w:rPr>
            </w:pPr>
            <w:r w:rsidRPr="00FA3F57">
              <w:rPr>
                <w:sz w:val="20"/>
                <w:szCs w:val="20"/>
              </w:rPr>
              <w:t>Institutions responsible for the implementation of measures and activities</w:t>
            </w:r>
          </w:p>
        </w:tc>
        <w:tc>
          <w:tcPr>
            <w:tcW w:w="5667" w:type="dxa"/>
            <w:tcBorders>
              <w:top w:val="single" w:sz="4" w:space="0" w:color="auto"/>
              <w:left w:val="single" w:sz="4" w:space="0" w:color="auto"/>
              <w:bottom w:val="single" w:sz="4" w:space="0" w:color="auto"/>
              <w:right w:val="single" w:sz="4" w:space="0" w:color="auto"/>
            </w:tcBorders>
            <w:hideMark/>
          </w:tcPr>
          <w:p w14:paraId="1D724CE6" w14:textId="77777777" w:rsidR="0094644B" w:rsidRPr="00F07779" w:rsidRDefault="0094644B" w:rsidP="00FB5086">
            <w:pPr>
              <w:rPr>
                <w:sz w:val="20"/>
                <w:szCs w:val="20"/>
              </w:rPr>
            </w:pPr>
            <w:r w:rsidRPr="00FA3F57">
              <w:rPr>
                <w:sz w:val="20"/>
                <w:szCs w:val="20"/>
              </w:rPr>
              <w:t>EMS JSC Belgrade</w:t>
            </w:r>
          </w:p>
        </w:tc>
      </w:tr>
      <w:tr w:rsidR="0094644B" w:rsidRPr="00F07779" w14:paraId="699BA238"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33ED273B" w14:textId="77777777" w:rsidR="0094644B" w:rsidRPr="00F07779" w:rsidRDefault="0094644B" w:rsidP="00FB5086">
            <w:pPr>
              <w:rPr>
                <w:sz w:val="20"/>
                <w:szCs w:val="20"/>
              </w:rPr>
            </w:pPr>
            <w:r w:rsidRPr="00FA3F57">
              <w:rPr>
                <w:sz w:val="20"/>
                <w:szCs w:val="20"/>
              </w:rPr>
              <w:t>Institutions responsible for monitoring implementation and reporting on the realization</w:t>
            </w:r>
          </w:p>
        </w:tc>
        <w:tc>
          <w:tcPr>
            <w:tcW w:w="5667" w:type="dxa"/>
            <w:tcBorders>
              <w:top w:val="single" w:sz="4" w:space="0" w:color="auto"/>
              <w:left w:val="single" w:sz="4" w:space="0" w:color="auto"/>
              <w:bottom w:val="single" w:sz="4" w:space="0" w:color="auto"/>
              <w:right w:val="single" w:sz="4" w:space="0" w:color="auto"/>
            </w:tcBorders>
            <w:hideMark/>
          </w:tcPr>
          <w:p w14:paraId="2C06C80B" w14:textId="77777777" w:rsidR="0094644B" w:rsidRPr="00F07779" w:rsidRDefault="0094644B" w:rsidP="00FB5086">
            <w:pPr>
              <w:rPr>
                <w:sz w:val="20"/>
                <w:szCs w:val="20"/>
              </w:rPr>
            </w:pPr>
            <w:r w:rsidRPr="00FA3F57">
              <w:rPr>
                <w:sz w:val="20"/>
                <w:szCs w:val="20"/>
              </w:rPr>
              <w:t>EMS JSC Belgrade</w:t>
            </w:r>
          </w:p>
          <w:p w14:paraId="1B351E06" w14:textId="77777777" w:rsidR="0094644B" w:rsidRPr="00FA3F57" w:rsidRDefault="0094644B" w:rsidP="00FB5086">
            <w:pPr>
              <w:rPr>
                <w:sz w:val="20"/>
                <w:szCs w:val="20"/>
              </w:rPr>
            </w:pPr>
            <w:r w:rsidRPr="00FA3F57">
              <w:rPr>
                <w:sz w:val="20"/>
                <w:szCs w:val="20"/>
              </w:rPr>
              <w:t>Republic Commission for Energy Networks</w:t>
            </w:r>
          </w:p>
          <w:p w14:paraId="5FCD7F5B" w14:textId="77777777" w:rsidR="0094644B" w:rsidRPr="00F07779" w:rsidRDefault="0094644B" w:rsidP="00FB5086">
            <w:pPr>
              <w:rPr>
                <w:sz w:val="20"/>
                <w:szCs w:val="20"/>
              </w:rPr>
            </w:pPr>
            <w:r w:rsidRPr="00F07779">
              <w:rPr>
                <w:sz w:val="20"/>
                <w:szCs w:val="20"/>
              </w:rPr>
              <w:t>Ministry of Mining and Energy</w:t>
            </w:r>
          </w:p>
        </w:tc>
      </w:tr>
      <w:tr w:rsidR="0094644B" w:rsidRPr="00F07779" w14:paraId="73F2C160"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12AB2838" w14:textId="77777777" w:rsidR="0094644B" w:rsidRPr="00F07779" w:rsidRDefault="0094644B" w:rsidP="00FB5086">
            <w:pPr>
              <w:rPr>
                <w:sz w:val="20"/>
                <w:szCs w:val="20"/>
              </w:rPr>
            </w:pPr>
            <w:r w:rsidRPr="00FA3F57">
              <w:rPr>
                <w:sz w:val="20"/>
                <w:szCs w:val="20"/>
              </w:rPr>
              <w:t>Year of project funding start</w:t>
            </w:r>
          </w:p>
        </w:tc>
        <w:tc>
          <w:tcPr>
            <w:tcW w:w="5667" w:type="dxa"/>
            <w:tcBorders>
              <w:top w:val="single" w:sz="4" w:space="0" w:color="auto"/>
              <w:left w:val="single" w:sz="4" w:space="0" w:color="auto"/>
              <w:bottom w:val="single" w:sz="4" w:space="0" w:color="auto"/>
              <w:right w:val="single" w:sz="4" w:space="0" w:color="auto"/>
            </w:tcBorders>
            <w:hideMark/>
          </w:tcPr>
          <w:p w14:paraId="4B32B912" w14:textId="77777777" w:rsidR="0094644B" w:rsidRPr="00F07779" w:rsidRDefault="0094644B" w:rsidP="00FB5086">
            <w:pPr>
              <w:rPr>
                <w:sz w:val="20"/>
                <w:szCs w:val="20"/>
              </w:rPr>
            </w:pPr>
            <w:r w:rsidRPr="00F07779">
              <w:rPr>
                <w:sz w:val="20"/>
                <w:szCs w:val="20"/>
              </w:rPr>
              <w:t>2021.</w:t>
            </w:r>
          </w:p>
        </w:tc>
      </w:tr>
      <w:tr w:rsidR="0094644B" w:rsidRPr="00F07779" w14:paraId="2FF78A3D"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42F177E9" w14:textId="77777777" w:rsidR="0094644B" w:rsidRPr="00F07779" w:rsidRDefault="0094644B" w:rsidP="00FB5086">
            <w:pPr>
              <w:rPr>
                <w:sz w:val="20"/>
                <w:szCs w:val="20"/>
              </w:rPr>
            </w:pPr>
            <w:r w:rsidRPr="00FA3F57">
              <w:rPr>
                <w:sz w:val="20"/>
                <w:szCs w:val="20"/>
              </w:rPr>
              <w:t>Year of completion of project funding</w:t>
            </w:r>
          </w:p>
        </w:tc>
        <w:tc>
          <w:tcPr>
            <w:tcW w:w="5667" w:type="dxa"/>
            <w:tcBorders>
              <w:top w:val="single" w:sz="4" w:space="0" w:color="auto"/>
              <w:left w:val="single" w:sz="4" w:space="0" w:color="auto"/>
              <w:bottom w:val="single" w:sz="4" w:space="0" w:color="auto"/>
              <w:right w:val="single" w:sz="4" w:space="0" w:color="auto"/>
            </w:tcBorders>
            <w:hideMark/>
          </w:tcPr>
          <w:p w14:paraId="4491FF2F" w14:textId="77777777" w:rsidR="0094644B" w:rsidRPr="00F07779" w:rsidRDefault="0094644B" w:rsidP="00FB5086">
            <w:pPr>
              <w:rPr>
                <w:sz w:val="20"/>
                <w:szCs w:val="20"/>
              </w:rPr>
            </w:pPr>
            <w:r w:rsidRPr="00F07779">
              <w:rPr>
                <w:sz w:val="20"/>
                <w:szCs w:val="20"/>
              </w:rPr>
              <w:t>2028.</w:t>
            </w:r>
          </w:p>
        </w:tc>
      </w:tr>
      <w:tr w:rsidR="0094644B" w:rsidRPr="00F07779" w14:paraId="0C4D6976"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467F09AC" w14:textId="77777777" w:rsidR="0094644B" w:rsidRPr="00F07779" w:rsidRDefault="0094644B" w:rsidP="00FB5086">
            <w:pPr>
              <w:rPr>
                <w:sz w:val="20"/>
                <w:szCs w:val="20"/>
              </w:rPr>
            </w:pPr>
            <w:r w:rsidRPr="00FA3F57">
              <w:rPr>
                <w:sz w:val="20"/>
                <w:szCs w:val="20"/>
              </w:rPr>
              <w:t>Total project value</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12A2D837" w14:textId="77777777" w:rsidR="0094644B" w:rsidRPr="00F07779" w:rsidRDefault="0094644B" w:rsidP="00FB5086">
            <w:pPr>
              <w:rPr>
                <w:sz w:val="20"/>
                <w:szCs w:val="20"/>
              </w:rPr>
            </w:pPr>
            <w:r w:rsidRPr="00F07779">
              <w:rPr>
                <w:sz w:val="20"/>
                <w:szCs w:val="20"/>
              </w:rPr>
              <w:t>304,850 (2.6 million EUR)</w:t>
            </w:r>
          </w:p>
        </w:tc>
      </w:tr>
      <w:tr w:rsidR="0094644B" w:rsidRPr="00F07779" w14:paraId="7582B2E2"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10D37F2E" w14:textId="77777777" w:rsidR="0094644B" w:rsidRPr="00F07779" w:rsidRDefault="0094644B" w:rsidP="00FB5086">
            <w:pPr>
              <w:rPr>
                <w:sz w:val="20"/>
                <w:szCs w:val="20"/>
              </w:rPr>
            </w:pPr>
            <w:r w:rsidRPr="00FA3F57">
              <w:rPr>
                <w:sz w:val="20"/>
                <w:szCs w:val="20"/>
              </w:rPr>
              <w:t>Planned investments for 2026.</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1CC2BABD" w14:textId="77777777" w:rsidR="0094644B" w:rsidRPr="00F07779" w:rsidRDefault="0094644B" w:rsidP="00FB5086">
            <w:pPr>
              <w:rPr>
                <w:sz w:val="20"/>
                <w:szCs w:val="20"/>
              </w:rPr>
            </w:pPr>
            <w:r w:rsidRPr="00F07779">
              <w:rPr>
                <w:sz w:val="20"/>
                <w:szCs w:val="20"/>
              </w:rPr>
              <w:t>90,869 (own funds of EMS JSC)</w:t>
            </w:r>
          </w:p>
        </w:tc>
      </w:tr>
      <w:tr w:rsidR="0094644B" w:rsidRPr="00F07779" w14:paraId="4ADD448B"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32157A38" w14:textId="77777777" w:rsidR="0094644B" w:rsidRPr="00F07779" w:rsidRDefault="0094644B" w:rsidP="00FB5086">
            <w:pPr>
              <w:rPr>
                <w:sz w:val="20"/>
                <w:szCs w:val="20"/>
              </w:rPr>
            </w:pPr>
            <w:r w:rsidRPr="00FA3F57">
              <w:rPr>
                <w:sz w:val="20"/>
                <w:szCs w:val="20"/>
              </w:rPr>
              <w:t>Planned investments for 2027.</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7CFE8264" w14:textId="77777777" w:rsidR="0094644B" w:rsidRPr="00F07779" w:rsidRDefault="0094644B" w:rsidP="00FB5086">
            <w:pPr>
              <w:rPr>
                <w:sz w:val="20"/>
                <w:szCs w:val="20"/>
              </w:rPr>
            </w:pPr>
            <w:r w:rsidRPr="00F07779">
              <w:rPr>
                <w:sz w:val="20"/>
                <w:szCs w:val="20"/>
              </w:rPr>
              <w:t>183,379 (own funds of EMS JSC)</w:t>
            </w:r>
          </w:p>
        </w:tc>
      </w:tr>
      <w:tr w:rsidR="0094644B" w:rsidRPr="00F07779" w14:paraId="367CF5F5"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259B590C" w14:textId="77777777" w:rsidR="0094644B" w:rsidRPr="00F07779" w:rsidRDefault="0094644B" w:rsidP="00FB5086">
            <w:pPr>
              <w:rPr>
                <w:sz w:val="20"/>
                <w:szCs w:val="20"/>
              </w:rPr>
            </w:pPr>
            <w:r w:rsidRPr="00FA3F57">
              <w:rPr>
                <w:sz w:val="20"/>
                <w:szCs w:val="20"/>
              </w:rPr>
              <w:t>Planned investments for 2028.</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53B3DEF3" w14:textId="77777777" w:rsidR="0094644B" w:rsidRPr="00F07779" w:rsidRDefault="0094644B" w:rsidP="00FB5086">
            <w:pPr>
              <w:rPr>
                <w:sz w:val="20"/>
                <w:szCs w:val="20"/>
              </w:rPr>
            </w:pPr>
            <w:r w:rsidRPr="00F07779">
              <w:rPr>
                <w:sz w:val="20"/>
                <w:szCs w:val="20"/>
              </w:rPr>
              <w:t>0</w:t>
            </w:r>
          </w:p>
        </w:tc>
      </w:tr>
    </w:tbl>
    <w:p w14:paraId="72F47E22" w14:textId="77777777" w:rsidR="0094644B" w:rsidRPr="00F07779" w:rsidRDefault="0094644B" w:rsidP="0094644B">
      <w:pPr>
        <w:tabs>
          <w:tab w:val="left" w:pos="1276"/>
          <w:tab w:val="left" w:pos="1560"/>
        </w:tabs>
        <w:ind w:left="1440" w:hanging="1440"/>
      </w:pPr>
    </w:p>
    <w:tbl>
      <w:tblPr>
        <w:tblStyle w:val="TableGrid"/>
        <w:tblW w:w="0" w:type="auto"/>
        <w:tblLook w:val="04A0" w:firstRow="1" w:lastRow="0" w:firstColumn="1" w:lastColumn="0" w:noHBand="0" w:noVBand="1"/>
      </w:tblPr>
      <w:tblGrid>
        <w:gridCol w:w="2973"/>
        <w:gridCol w:w="5667"/>
      </w:tblGrid>
      <w:tr w:rsidR="0094644B" w:rsidRPr="00F07779" w14:paraId="18894F5D"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897DF28" w14:textId="77777777" w:rsidR="0094644B" w:rsidRPr="00F07779" w:rsidRDefault="0094644B" w:rsidP="00FB5086">
            <w:pPr>
              <w:rPr>
                <w:sz w:val="20"/>
                <w:szCs w:val="20"/>
              </w:rPr>
            </w:pPr>
            <w:r w:rsidRPr="00F07779">
              <w:rPr>
                <w:sz w:val="20"/>
                <w:szCs w:val="20"/>
              </w:rPr>
              <w:t>Activity EL1.2</w:t>
            </w:r>
          </w:p>
        </w:tc>
        <w:tc>
          <w:tcPr>
            <w:tcW w:w="566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558BE4C" w14:textId="77777777" w:rsidR="0094644B" w:rsidRPr="00F07779" w:rsidRDefault="0094644B" w:rsidP="00FB5086">
            <w:pPr>
              <w:rPr>
                <w:sz w:val="20"/>
                <w:szCs w:val="20"/>
              </w:rPr>
            </w:pPr>
            <w:r w:rsidRPr="00F07779">
              <w:rPr>
                <w:sz w:val="20"/>
                <w:szCs w:val="20"/>
              </w:rPr>
              <w:t>Investment projects focused on the reconstruction and construction of the transmission network</w:t>
            </w:r>
          </w:p>
        </w:tc>
      </w:tr>
      <w:tr w:rsidR="0094644B" w:rsidRPr="00F07779" w14:paraId="15BC3517"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66B66FE2" w14:textId="77777777" w:rsidR="0094644B" w:rsidRPr="00F07779" w:rsidRDefault="0094644B" w:rsidP="00FB5086">
            <w:pPr>
              <w:rPr>
                <w:sz w:val="20"/>
                <w:szCs w:val="20"/>
              </w:rPr>
            </w:pPr>
            <w:r w:rsidRPr="00FA3F57">
              <w:rPr>
                <w:sz w:val="20"/>
                <w:szCs w:val="20"/>
              </w:rPr>
              <w:t>Name of the project</w:t>
            </w:r>
          </w:p>
        </w:tc>
        <w:tc>
          <w:tcPr>
            <w:tcW w:w="5667"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7FEF2DC7" w14:textId="77777777" w:rsidR="0094644B" w:rsidRPr="00F07779" w:rsidRDefault="0094644B" w:rsidP="00FB5086">
            <w:pPr>
              <w:rPr>
                <w:sz w:val="20"/>
                <w:szCs w:val="20"/>
              </w:rPr>
            </w:pPr>
            <w:r w:rsidRPr="00F07779">
              <w:rPr>
                <w:sz w:val="20"/>
                <w:szCs w:val="20"/>
              </w:rPr>
              <w:t xml:space="preserve">Reconstruction of the OHL 110 kV No. 116/1 TS </w:t>
            </w:r>
            <w:proofErr w:type="spellStart"/>
            <w:r w:rsidRPr="00F07779">
              <w:rPr>
                <w:sz w:val="20"/>
                <w:szCs w:val="20"/>
              </w:rPr>
              <w:t>Sevojno</w:t>
            </w:r>
            <w:proofErr w:type="spellEnd"/>
            <w:r w:rsidRPr="00F07779">
              <w:rPr>
                <w:sz w:val="20"/>
                <w:szCs w:val="20"/>
              </w:rPr>
              <w:t xml:space="preserve"> – TS </w:t>
            </w:r>
            <w:proofErr w:type="spellStart"/>
            <w:r w:rsidRPr="00F07779">
              <w:rPr>
                <w:sz w:val="20"/>
                <w:szCs w:val="20"/>
              </w:rPr>
              <w:t>Kosjerić</w:t>
            </w:r>
            <w:proofErr w:type="spellEnd"/>
          </w:p>
        </w:tc>
      </w:tr>
      <w:tr w:rsidR="0094644B" w:rsidRPr="00F07779" w14:paraId="26F0D114"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04D6854" w14:textId="77777777" w:rsidR="0094644B" w:rsidRPr="00F07779" w:rsidRDefault="0094644B" w:rsidP="00FB5086">
            <w:pPr>
              <w:rPr>
                <w:sz w:val="20"/>
                <w:szCs w:val="20"/>
              </w:rPr>
            </w:pPr>
            <w:r w:rsidRPr="00FA3F57">
              <w:rPr>
                <w:sz w:val="20"/>
                <w:szCs w:val="20"/>
              </w:rPr>
              <w:t xml:space="preserve">Name of the </w:t>
            </w:r>
            <w:r w:rsidRPr="00F07779">
              <w:rPr>
                <w:sz w:val="20"/>
                <w:szCs w:val="20"/>
              </w:rPr>
              <w:t>investment</w:t>
            </w:r>
          </w:p>
        </w:tc>
        <w:tc>
          <w:tcPr>
            <w:tcW w:w="566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4A84876" w14:textId="77777777" w:rsidR="0094644B" w:rsidRPr="00F07779" w:rsidRDefault="0094644B" w:rsidP="00FB5086">
            <w:pPr>
              <w:rPr>
                <w:sz w:val="20"/>
                <w:szCs w:val="20"/>
              </w:rPr>
            </w:pPr>
            <w:r w:rsidRPr="00F07779">
              <w:rPr>
                <w:sz w:val="20"/>
                <w:szCs w:val="20"/>
              </w:rPr>
              <w:t xml:space="preserve">OHL 110 kV 116/1 </w:t>
            </w:r>
            <w:proofErr w:type="spellStart"/>
            <w:r w:rsidRPr="00F07779">
              <w:rPr>
                <w:sz w:val="20"/>
                <w:szCs w:val="20"/>
              </w:rPr>
              <w:t>Sevojno</w:t>
            </w:r>
            <w:proofErr w:type="spellEnd"/>
            <w:r w:rsidRPr="00F07779">
              <w:rPr>
                <w:sz w:val="20"/>
                <w:szCs w:val="20"/>
              </w:rPr>
              <w:t xml:space="preserve"> – Kosjerić, reconstruction  </w:t>
            </w:r>
          </w:p>
        </w:tc>
      </w:tr>
      <w:tr w:rsidR="0094644B" w:rsidRPr="00F07779" w14:paraId="4940ECD9"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7F91A98E" w14:textId="77777777" w:rsidR="0094644B" w:rsidRPr="00F07779" w:rsidRDefault="0094644B" w:rsidP="00FB5086">
            <w:pPr>
              <w:rPr>
                <w:sz w:val="20"/>
                <w:szCs w:val="20"/>
              </w:rPr>
            </w:pPr>
            <w:r w:rsidRPr="00FA3F57">
              <w:rPr>
                <w:sz w:val="20"/>
                <w:szCs w:val="20"/>
              </w:rPr>
              <w:t>Short description of the investment</w:t>
            </w:r>
          </w:p>
        </w:tc>
        <w:tc>
          <w:tcPr>
            <w:tcW w:w="5667" w:type="dxa"/>
            <w:tcBorders>
              <w:top w:val="single" w:sz="4" w:space="0" w:color="auto"/>
              <w:left w:val="single" w:sz="4" w:space="0" w:color="auto"/>
              <w:bottom w:val="single" w:sz="4" w:space="0" w:color="auto"/>
              <w:right w:val="single" w:sz="4" w:space="0" w:color="auto"/>
            </w:tcBorders>
            <w:hideMark/>
          </w:tcPr>
          <w:p w14:paraId="12229CC2" w14:textId="77777777" w:rsidR="0094644B" w:rsidRPr="00F07779" w:rsidRDefault="0094644B" w:rsidP="00FB5086">
            <w:pPr>
              <w:rPr>
                <w:sz w:val="20"/>
                <w:szCs w:val="20"/>
              </w:rPr>
            </w:pPr>
            <w:r w:rsidRPr="00F07779">
              <w:rPr>
                <w:sz w:val="20"/>
                <w:szCs w:val="20"/>
              </w:rPr>
              <w:t>Reconstruction of the transmission line due to age and an increase in the cross-section of the conductors (complete reconstruction, which includes the replacement of concrete poles, conductors, protective rope, and suspension equipment on sections A and C, and the replacement of conductors, protective rope, suspension equipment, and steel lattice poles on section B). It is also planned to relocate part of the transmission line.</w:t>
            </w:r>
          </w:p>
          <w:p w14:paraId="54E46ECE" w14:textId="77777777" w:rsidR="0094644B" w:rsidRPr="00F07779" w:rsidRDefault="0094644B" w:rsidP="00FB5086">
            <w:pPr>
              <w:rPr>
                <w:sz w:val="20"/>
                <w:szCs w:val="20"/>
              </w:rPr>
            </w:pPr>
            <w:r w:rsidRPr="00F07779">
              <w:rPr>
                <w:sz w:val="20"/>
                <w:szCs w:val="20"/>
              </w:rPr>
              <w:t>Expected dynamics of project implementation:</w:t>
            </w:r>
          </w:p>
          <w:p w14:paraId="5A7BB4BE" w14:textId="77777777" w:rsidR="0094644B" w:rsidRPr="00F07779" w:rsidRDefault="0094644B" w:rsidP="00FB5086">
            <w:pPr>
              <w:rPr>
                <w:sz w:val="20"/>
                <w:szCs w:val="20"/>
              </w:rPr>
            </w:pPr>
            <w:r w:rsidRPr="00F07779">
              <w:rPr>
                <w:sz w:val="20"/>
                <w:szCs w:val="20"/>
              </w:rPr>
              <w:t>2026. Commissioning; trial operation</w:t>
            </w:r>
          </w:p>
          <w:p w14:paraId="56D1CA0B" w14:textId="77777777" w:rsidR="0094644B" w:rsidRPr="00F07779" w:rsidRDefault="0094644B" w:rsidP="00FB5086">
            <w:pPr>
              <w:rPr>
                <w:sz w:val="20"/>
                <w:szCs w:val="20"/>
              </w:rPr>
            </w:pPr>
            <w:r w:rsidRPr="00F07779">
              <w:rPr>
                <w:sz w:val="20"/>
                <w:szCs w:val="20"/>
              </w:rPr>
              <w:t>2027. Use permit; end of project</w:t>
            </w:r>
          </w:p>
        </w:tc>
      </w:tr>
      <w:tr w:rsidR="0094644B" w:rsidRPr="00F07779" w14:paraId="0514E297"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5ACB2D67" w14:textId="77777777" w:rsidR="0094644B" w:rsidRPr="00F07779" w:rsidRDefault="0094644B" w:rsidP="00FB5086">
            <w:pPr>
              <w:rPr>
                <w:sz w:val="20"/>
                <w:szCs w:val="20"/>
              </w:rPr>
            </w:pPr>
            <w:r w:rsidRPr="00FA3F57">
              <w:rPr>
                <w:sz w:val="20"/>
                <w:szCs w:val="20"/>
              </w:rPr>
              <w:t>Institutions responsible for the implementation of measures and activities</w:t>
            </w:r>
          </w:p>
        </w:tc>
        <w:tc>
          <w:tcPr>
            <w:tcW w:w="5667" w:type="dxa"/>
            <w:tcBorders>
              <w:top w:val="single" w:sz="4" w:space="0" w:color="auto"/>
              <w:left w:val="single" w:sz="4" w:space="0" w:color="auto"/>
              <w:bottom w:val="single" w:sz="4" w:space="0" w:color="auto"/>
              <w:right w:val="single" w:sz="4" w:space="0" w:color="auto"/>
            </w:tcBorders>
            <w:hideMark/>
          </w:tcPr>
          <w:p w14:paraId="3F99A9D3" w14:textId="77777777" w:rsidR="0094644B" w:rsidRPr="00F07779" w:rsidRDefault="0094644B" w:rsidP="00FB5086">
            <w:pPr>
              <w:rPr>
                <w:sz w:val="20"/>
                <w:szCs w:val="20"/>
              </w:rPr>
            </w:pPr>
            <w:r w:rsidRPr="00FA3F57">
              <w:rPr>
                <w:sz w:val="20"/>
                <w:szCs w:val="20"/>
              </w:rPr>
              <w:t>EMS JSC Belgrade</w:t>
            </w:r>
          </w:p>
        </w:tc>
      </w:tr>
      <w:tr w:rsidR="0094644B" w:rsidRPr="00F07779" w14:paraId="2923504B"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0D4573A8" w14:textId="77777777" w:rsidR="0094644B" w:rsidRPr="00F07779" w:rsidRDefault="0094644B" w:rsidP="00FB5086">
            <w:pPr>
              <w:rPr>
                <w:sz w:val="20"/>
                <w:szCs w:val="20"/>
              </w:rPr>
            </w:pPr>
            <w:r w:rsidRPr="00FA3F57">
              <w:rPr>
                <w:sz w:val="20"/>
                <w:szCs w:val="20"/>
              </w:rPr>
              <w:t>Institutions responsible for monitoring implementation and reporting on the realization</w:t>
            </w:r>
          </w:p>
        </w:tc>
        <w:tc>
          <w:tcPr>
            <w:tcW w:w="5667" w:type="dxa"/>
            <w:tcBorders>
              <w:top w:val="single" w:sz="4" w:space="0" w:color="auto"/>
              <w:left w:val="single" w:sz="4" w:space="0" w:color="auto"/>
              <w:bottom w:val="single" w:sz="4" w:space="0" w:color="auto"/>
              <w:right w:val="single" w:sz="4" w:space="0" w:color="auto"/>
            </w:tcBorders>
            <w:hideMark/>
          </w:tcPr>
          <w:p w14:paraId="3C729B5F" w14:textId="77777777" w:rsidR="0094644B" w:rsidRPr="00F07779" w:rsidRDefault="0094644B" w:rsidP="00FB5086">
            <w:pPr>
              <w:rPr>
                <w:sz w:val="20"/>
                <w:szCs w:val="20"/>
              </w:rPr>
            </w:pPr>
            <w:r w:rsidRPr="00FA3F57">
              <w:rPr>
                <w:sz w:val="20"/>
                <w:szCs w:val="20"/>
              </w:rPr>
              <w:t>EMS JSC Belgrade</w:t>
            </w:r>
          </w:p>
          <w:p w14:paraId="13BF4CDA" w14:textId="77777777" w:rsidR="0094644B" w:rsidRPr="00FA3F57" w:rsidRDefault="0094644B" w:rsidP="00FB5086">
            <w:pPr>
              <w:rPr>
                <w:sz w:val="20"/>
                <w:szCs w:val="20"/>
              </w:rPr>
            </w:pPr>
            <w:r w:rsidRPr="00FA3F57">
              <w:rPr>
                <w:sz w:val="20"/>
                <w:szCs w:val="20"/>
              </w:rPr>
              <w:t>Republic Commission for Energy Networks</w:t>
            </w:r>
          </w:p>
          <w:p w14:paraId="2CF409A8" w14:textId="77777777" w:rsidR="0094644B" w:rsidRPr="00F07779" w:rsidRDefault="0094644B" w:rsidP="00FB5086">
            <w:pPr>
              <w:rPr>
                <w:sz w:val="20"/>
                <w:szCs w:val="20"/>
              </w:rPr>
            </w:pPr>
            <w:r w:rsidRPr="00F07779">
              <w:rPr>
                <w:sz w:val="20"/>
                <w:szCs w:val="20"/>
              </w:rPr>
              <w:t>Ministry of Mining and Energy</w:t>
            </w:r>
          </w:p>
        </w:tc>
      </w:tr>
      <w:tr w:rsidR="0094644B" w:rsidRPr="00F07779" w14:paraId="76876AEA"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4ACC140E" w14:textId="77777777" w:rsidR="0094644B" w:rsidRPr="00F07779" w:rsidRDefault="0094644B" w:rsidP="00FB5086">
            <w:pPr>
              <w:rPr>
                <w:sz w:val="20"/>
                <w:szCs w:val="20"/>
              </w:rPr>
            </w:pPr>
            <w:r w:rsidRPr="00FA3F57">
              <w:rPr>
                <w:sz w:val="20"/>
                <w:szCs w:val="20"/>
              </w:rPr>
              <w:t>Year of project funding start</w:t>
            </w:r>
          </w:p>
        </w:tc>
        <w:tc>
          <w:tcPr>
            <w:tcW w:w="5667" w:type="dxa"/>
            <w:tcBorders>
              <w:top w:val="single" w:sz="4" w:space="0" w:color="auto"/>
              <w:left w:val="single" w:sz="4" w:space="0" w:color="auto"/>
              <w:bottom w:val="single" w:sz="4" w:space="0" w:color="auto"/>
              <w:right w:val="single" w:sz="4" w:space="0" w:color="auto"/>
            </w:tcBorders>
            <w:hideMark/>
          </w:tcPr>
          <w:p w14:paraId="122A2984" w14:textId="77777777" w:rsidR="0094644B" w:rsidRPr="00F07779" w:rsidRDefault="0094644B" w:rsidP="00FB5086">
            <w:pPr>
              <w:rPr>
                <w:sz w:val="20"/>
                <w:szCs w:val="20"/>
              </w:rPr>
            </w:pPr>
            <w:r w:rsidRPr="00F07779">
              <w:rPr>
                <w:sz w:val="20"/>
                <w:szCs w:val="20"/>
              </w:rPr>
              <w:t>2012.</w:t>
            </w:r>
          </w:p>
        </w:tc>
      </w:tr>
      <w:tr w:rsidR="0094644B" w:rsidRPr="00F07779" w14:paraId="5A93A9E0"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441D9B87" w14:textId="77777777" w:rsidR="0094644B" w:rsidRPr="00F07779" w:rsidRDefault="0094644B" w:rsidP="00FB5086">
            <w:pPr>
              <w:rPr>
                <w:sz w:val="20"/>
                <w:szCs w:val="20"/>
              </w:rPr>
            </w:pPr>
            <w:r w:rsidRPr="00FA3F57">
              <w:rPr>
                <w:sz w:val="20"/>
                <w:szCs w:val="20"/>
              </w:rPr>
              <w:t>Year of completion of project funding</w:t>
            </w:r>
          </w:p>
        </w:tc>
        <w:tc>
          <w:tcPr>
            <w:tcW w:w="5667" w:type="dxa"/>
            <w:tcBorders>
              <w:top w:val="single" w:sz="4" w:space="0" w:color="auto"/>
              <w:left w:val="single" w:sz="4" w:space="0" w:color="auto"/>
              <w:bottom w:val="single" w:sz="4" w:space="0" w:color="auto"/>
              <w:right w:val="single" w:sz="4" w:space="0" w:color="auto"/>
            </w:tcBorders>
            <w:hideMark/>
          </w:tcPr>
          <w:p w14:paraId="3EE46216" w14:textId="77777777" w:rsidR="0094644B" w:rsidRPr="00F07779" w:rsidRDefault="0094644B" w:rsidP="00FB5086">
            <w:pPr>
              <w:rPr>
                <w:sz w:val="20"/>
                <w:szCs w:val="20"/>
              </w:rPr>
            </w:pPr>
            <w:r w:rsidRPr="00F07779">
              <w:rPr>
                <w:sz w:val="20"/>
                <w:szCs w:val="20"/>
              </w:rPr>
              <w:t>2027.</w:t>
            </w:r>
          </w:p>
        </w:tc>
      </w:tr>
      <w:tr w:rsidR="0094644B" w:rsidRPr="00F07779" w14:paraId="5B259759"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6DE8E5F1" w14:textId="77777777" w:rsidR="0094644B" w:rsidRPr="00F07779" w:rsidRDefault="0094644B" w:rsidP="00FB5086">
            <w:pPr>
              <w:rPr>
                <w:sz w:val="20"/>
                <w:szCs w:val="20"/>
              </w:rPr>
            </w:pPr>
            <w:r w:rsidRPr="00FA3F57">
              <w:rPr>
                <w:sz w:val="20"/>
                <w:szCs w:val="20"/>
              </w:rPr>
              <w:lastRenderedPageBreak/>
              <w:t>Total project value</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1ACA3A27" w14:textId="77777777" w:rsidR="0094644B" w:rsidRPr="00F07779" w:rsidRDefault="0094644B" w:rsidP="00FB5086">
            <w:pPr>
              <w:rPr>
                <w:sz w:val="20"/>
                <w:szCs w:val="20"/>
              </w:rPr>
            </w:pPr>
            <w:r w:rsidRPr="00F07779">
              <w:rPr>
                <w:sz w:val="20"/>
                <w:szCs w:val="20"/>
              </w:rPr>
              <w:t>574,525 (4.9 million EUR)</w:t>
            </w:r>
          </w:p>
        </w:tc>
      </w:tr>
      <w:tr w:rsidR="0094644B" w:rsidRPr="00F07779" w14:paraId="1706E6CB"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4C2C1F7A" w14:textId="77777777" w:rsidR="0094644B" w:rsidRPr="00F07779" w:rsidRDefault="0094644B" w:rsidP="00FB5086">
            <w:pPr>
              <w:rPr>
                <w:sz w:val="20"/>
                <w:szCs w:val="20"/>
              </w:rPr>
            </w:pPr>
            <w:r w:rsidRPr="00FA3F57">
              <w:rPr>
                <w:sz w:val="20"/>
                <w:szCs w:val="20"/>
              </w:rPr>
              <w:t>Planned investments for 2026.</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53C0659C" w14:textId="77777777" w:rsidR="0094644B" w:rsidRPr="00F07779" w:rsidRDefault="0094644B" w:rsidP="00FB5086">
            <w:pPr>
              <w:rPr>
                <w:sz w:val="20"/>
                <w:szCs w:val="20"/>
              </w:rPr>
            </w:pPr>
            <w:r w:rsidRPr="00F07779">
              <w:rPr>
                <w:sz w:val="20"/>
                <w:szCs w:val="20"/>
              </w:rPr>
              <w:t>175,265 (own funds of EMS JSC)</w:t>
            </w:r>
          </w:p>
        </w:tc>
      </w:tr>
      <w:tr w:rsidR="0094644B" w:rsidRPr="00F07779" w14:paraId="227F7089"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7ED0BA68" w14:textId="77777777" w:rsidR="0094644B" w:rsidRPr="00F07779" w:rsidRDefault="0094644B" w:rsidP="00FB5086">
            <w:pPr>
              <w:rPr>
                <w:sz w:val="20"/>
                <w:szCs w:val="20"/>
              </w:rPr>
            </w:pPr>
            <w:r w:rsidRPr="00FA3F57">
              <w:rPr>
                <w:sz w:val="20"/>
                <w:szCs w:val="20"/>
              </w:rPr>
              <w:t>Planned investments for 2027.</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288C1E9F" w14:textId="77777777" w:rsidR="0094644B" w:rsidRPr="00F07779" w:rsidRDefault="0094644B" w:rsidP="00FB5086">
            <w:pPr>
              <w:rPr>
                <w:sz w:val="20"/>
                <w:szCs w:val="20"/>
              </w:rPr>
            </w:pPr>
            <w:r w:rsidRPr="00F07779">
              <w:rPr>
                <w:sz w:val="20"/>
                <w:szCs w:val="20"/>
              </w:rPr>
              <w:t>0</w:t>
            </w:r>
          </w:p>
        </w:tc>
      </w:tr>
      <w:tr w:rsidR="0094644B" w:rsidRPr="00F07779" w14:paraId="0666CEB8"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0E0D0925" w14:textId="77777777" w:rsidR="0094644B" w:rsidRPr="00F07779" w:rsidRDefault="0094644B" w:rsidP="00FB5086">
            <w:pPr>
              <w:rPr>
                <w:sz w:val="20"/>
                <w:szCs w:val="20"/>
              </w:rPr>
            </w:pPr>
            <w:r w:rsidRPr="00FA3F57">
              <w:rPr>
                <w:sz w:val="20"/>
                <w:szCs w:val="20"/>
              </w:rPr>
              <w:t>Planned investments for 2028.</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25248DF6" w14:textId="77777777" w:rsidR="0094644B" w:rsidRPr="00F07779" w:rsidRDefault="0094644B" w:rsidP="00FB5086">
            <w:pPr>
              <w:rPr>
                <w:sz w:val="20"/>
                <w:szCs w:val="20"/>
              </w:rPr>
            </w:pPr>
            <w:r w:rsidRPr="00F07779">
              <w:rPr>
                <w:sz w:val="20"/>
                <w:szCs w:val="20"/>
              </w:rPr>
              <w:t>0</w:t>
            </w:r>
          </w:p>
        </w:tc>
      </w:tr>
    </w:tbl>
    <w:p w14:paraId="31150CBC" w14:textId="77777777" w:rsidR="0094644B" w:rsidRPr="00F07779" w:rsidRDefault="0094644B" w:rsidP="0094644B">
      <w:pPr>
        <w:tabs>
          <w:tab w:val="left" w:pos="1276"/>
          <w:tab w:val="left" w:pos="1560"/>
        </w:tabs>
        <w:ind w:left="1440" w:hanging="1440"/>
      </w:pPr>
    </w:p>
    <w:tbl>
      <w:tblPr>
        <w:tblStyle w:val="TableGrid"/>
        <w:tblW w:w="0" w:type="auto"/>
        <w:tblLook w:val="04A0" w:firstRow="1" w:lastRow="0" w:firstColumn="1" w:lastColumn="0" w:noHBand="0" w:noVBand="1"/>
      </w:tblPr>
      <w:tblGrid>
        <w:gridCol w:w="2973"/>
        <w:gridCol w:w="5667"/>
      </w:tblGrid>
      <w:tr w:rsidR="0094644B" w:rsidRPr="00F07779" w14:paraId="4B4BAF07"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F96625D" w14:textId="77777777" w:rsidR="0094644B" w:rsidRPr="00F07779" w:rsidRDefault="0094644B" w:rsidP="00FB5086">
            <w:pPr>
              <w:rPr>
                <w:sz w:val="20"/>
                <w:szCs w:val="20"/>
              </w:rPr>
            </w:pPr>
            <w:r w:rsidRPr="00F07779">
              <w:rPr>
                <w:sz w:val="20"/>
                <w:szCs w:val="20"/>
              </w:rPr>
              <w:t>Activity EL1.2</w:t>
            </w:r>
          </w:p>
        </w:tc>
        <w:tc>
          <w:tcPr>
            <w:tcW w:w="566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7484A00" w14:textId="77777777" w:rsidR="0094644B" w:rsidRPr="00F07779" w:rsidRDefault="0094644B" w:rsidP="00FB5086">
            <w:pPr>
              <w:rPr>
                <w:sz w:val="20"/>
                <w:szCs w:val="20"/>
              </w:rPr>
            </w:pPr>
            <w:r w:rsidRPr="00F07779">
              <w:rPr>
                <w:sz w:val="20"/>
                <w:szCs w:val="20"/>
              </w:rPr>
              <w:t>Investment projects focused on the reconstruction and construction of the transmission network</w:t>
            </w:r>
          </w:p>
        </w:tc>
      </w:tr>
      <w:tr w:rsidR="0094644B" w:rsidRPr="00F07779" w14:paraId="2BA34C21"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31866EE5" w14:textId="77777777" w:rsidR="0094644B" w:rsidRPr="00F07779" w:rsidRDefault="0094644B" w:rsidP="00FB5086">
            <w:pPr>
              <w:rPr>
                <w:sz w:val="20"/>
                <w:szCs w:val="20"/>
              </w:rPr>
            </w:pPr>
            <w:r w:rsidRPr="00FA3F57">
              <w:rPr>
                <w:sz w:val="20"/>
                <w:szCs w:val="20"/>
              </w:rPr>
              <w:t>Name of the project</w:t>
            </w:r>
          </w:p>
        </w:tc>
        <w:tc>
          <w:tcPr>
            <w:tcW w:w="5667"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0D590862" w14:textId="77777777" w:rsidR="0094644B" w:rsidRPr="00F07779" w:rsidRDefault="0094644B" w:rsidP="00FB5086">
            <w:pPr>
              <w:rPr>
                <w:sz w:val="20"/>
                <w:szCs w:val="20"/>
              </w:rPr>
            </w:pPr>
            <w:r w:rsidRPr="00F07779">
              <w:rPr>
                <w:sz w:val="20"/>
                <w:szCs w:val="20"/>
              </w:rPr>
              <w:t>Connection line for 110/35 kV TS Kragujevac 4</w:t>
            </w:r>
          </w:p>
        </w:tc>
      </w:tr>
      <w:tr w:rsidR="0094644B" w:rsidRPr="00F07779" w14:paraId="42ADB5D4"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2AC4E21" w14:textId="77777777" w:rsidR="0094644B" w:rsidRPr="00F07779" w:rsidRDefault="0094644B" w:rsidP="00FB5086">
            <w:pPr>
              <w:rPr>
                <w:sz w:val="20"/>
                <w:szCs w:val="20"/>
              </w:rPr>
            </w:pPr>
            <w:r w:rsidRPr="00FA3F57">
              <w:rPr>
                <w:sz w:val="20"/>
                <w:szCs w:val="20"/>
              </w:rPr>
              <w:t xml:space="preserve">Name of the </w:t>
            </w:r>
            <w:r w:rsidRPr="00F07779">
              <w:rPr>
                <w:sz w:val="20"/>
                <w:szCs w:val="20"/>
              </w:rPr>
              <w:t>investment</w:t>
            </w:r>
          </w:p>
        </w:tc>
        <w:tc>
          <w:tcPr>
            <w:tcW w:w="566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73E0E0D" w14:textId="77777777" w:rsidR="0094644B" w:rsidRPr="00F07779" w:rsidRDefault="0094644B" w:rsidP="00FB5086">
            <w:pPr>
              <w:rPr>
                <w:sz w:val="20"/>
                <w:szCs w:val="20"/>
              </w:rPr>
            </w:pPr>
            <w:r w:rsidRPr="00F07779">
              <w:rPr>
                <w:sz w:val="20"/>
                <w:szCs w:val="20"/>
              </w:rPr>
              <w:t>CB 110 kV TS Kragujevac 5 – TS Kragujevac 4 (</w:t>
            </w:r>
            <w:proofErr w:type="spellStart"/>
            <w:r w:rsidRPr="00F07779">
              <w:rPr>
                <w:sz w:val="20"/>
                <w:szCs w:val="20"/>
              </w:rPr>
              <w:t>Sajmište</w:t>
            </w:r>
            <w:proofErr w:type="spellEnd"/>
            <w:r w:rsidRPr="00F07779">
              <w:rPr>
                <w:sz w:val="20"/>
                <w:szCs w:val="20"/>
              </w:rPr>
              <w:t>)</w:t>
            </w:r>
          </w:p>
        </w:tc>
      </w:tr>
      <w:tr w:rsidR="0094644B" w:rsidRPr="00F07779" w14:paraId="478FF021"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1D256D32" w14:textId="77777777" w:rsidR="0094644B" w:rsidRPr="00F07779" w:rsidRDefault="0094644B" w:rsidP="00FB5086">
            <w:pPr>
              <w:rPr>
                <w:sz w:val="20"/>
                <w:szCs w:val="20"/>
              </w:rPr>
            </w:pPr>
            <w:r w:rsidRPr="00FA3F57">
              <w:rPr>
                <w:sz w:val="20"/>
                <w:szCs w:val="20"/>
              </w:rPr>
              <w:t>Short description of the investment</w:t>
            </w:r>
          </w:p>
        </w:tc>
        <w:tc>
          <w:tcPr>
            <w:tcW w:w="5667" w:type="dxa"/>
            <w:tcBorders>
              <w:top w:val="single" w:sz="4" w:space="0" w:color="auto"/>
              <w:left w:val="single" w:sz="4" w:space="0" w:color="auto"/>
              <w:bottom w:val="single" w:sz="4" w:space="0" w:color="auto"/>
              <w:right w:val="single" w:sz="4" w:space="0" w:color="auto"/>
            </w:tcBorders>
            <w:hideMark/>
          </w:tcPr>
          <w:p w14:paraId="3FDACF36" w14:textId="77777777" w:rsidR="0094644B" w:rsidRPr="00F07779" w:rsidRDefault="0094644B" w:rsidP="00FB5086">
            <w:pPr>
              <w:rPr>
                <w:sz w:val="20"/>
                <w:szCs w:val="20"/>
              </w:rPr>
            </w:pPr>
            <w:r w:rsidRPr="00F07779">
              <w:rPr>
                <w:sz w:val="20"/>
                <w:szCs w:val="20"/>
              </w:rPr>
              <w:t>Construction of a cable line from TS Kragujevac 5 to TS Kragujevac 4. In the process of harmonizing the plans of the TSO and DSO, the need to connect TS 110/35 kV Kragujevac 4 (</w:t>
            </w:r>
            <w:proofErr w:type="spellStart"/>
            <w:r w:rsidRPr="00F07779">
              <w:rPr>
                <w:sz w:val="20"/>
                <w:szCs w:val="20"/>
              </w:rPr>
              <w:t>Sajmište</w:t>
            </w:r>
            <w:proofErr w:type="spellEnd"/>
            <w:r w:rsidRPr="00F07779">
              <w:rPr>
                <w:sz w:val="20"/>
                <w:szCs w:val="20"/>
              </w:rPr>
              <w:t>) to the transmission system was indicated.</w:t>
            </w:r>
          </w:p>
          <w:p w14:paraId="484C1F5C" w14:textId="77777777" w:rsidR="0094644B" w:rsidRPr="00F07779" w:rsidRDefault="0094644B" w:rsidP="00FB5086">
            <w:pPr>
              <w:rPr>
                <w:sz w:val="20"/>
                <w:szCs w:val="20"/>
              </w:rPr>
            </w:pPr>
            <w:r w:rsidRPr="00F07779">
              <w:rPr>
                <w:sz w:val="20"/>
                <w:szCs w:val="20"/>
              </w:rPr>
              <w:t>Expected dynamics of project implementation:</w:t>
            </w:r>
          </w:p>
          <w:p w14:paraId="2B5BF6F9" w14:textId="77777777" w:rsidR="0094644B" w:rsidRPr="00F07779" w:rsidRDefault="0094644B" w:rsidP="00FB5086">
            <w:pPr>
              <w:rPr>
                <w:sz w:val="20"/>
                <w:szCs w:val="20"/>
              </w:rPr>
            </w:pPr>
            <w:r w:rsidRPr="00F07779">
              <w:rPr>
                <w:sz w:val="20"/>
                <w:szCs w:val="20"/>
              </w:rPr>
              <w:t>2026. Preliminary design</w:t>
            </w:r>
          </w:p>
          <w:p w14:paraId="021E6D2D" w14:textId="77777777" w:rsidR="0094644B" w:rsidRPr="00F07779" w:rsidRDefault="0094644B" w:rsidP="00FB5086">
            <w:pPr>
              <w:rPr>
                <w:sz w:val="20"/>
                <w:szCs w:val="20"/>
              </w:rPr>
            </w:pPr>
            <w:r w:rsidRPr="00F07779">
              <w:rPr>
                <w:sz w:val="20"/>
                <w:szCs w:val="20"/>
              </w:rPr>
              <w:t>2027. Building permit</w:t>
            </w:r>
          </w:p>
          <w:p w14:paraId="644F0C18" w14:textId="77777777" w:rsidR="0094644B" w:rsidRPr="00F07779" w:rsidRDefault="0094644B" w:rsidP="00FB5086">
            <w:pPr>
              <w:rPr>
                <w:sz w:val="20"/>
                <w:szCs w:val="20"/>
              </w:rPr>
            </w:pPr>
            <w:r w:rsidRPr="00F07779">
              <w:rPr>
                <w:sz w:val="20"/>
                <w:szCs w:val="20"/>
              </w:rPr>
              <w:t>2028. Construction</w:t>
            </w:r>
          </w:p>
        </w:tc>
      </w:tr>
      <w:tr w:rsidR="0094644B" w:rsidRPr="00F07779" w14:paraId="0D3653AB"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77FBF2AF" w14:textId="77777777" w:rsidR="0094644B" w:rsidRPr="00F07779" w:rsidRDefault="0094644B" w:rsidP="00FB5086">
            <w:pPr>
              <w:rPr>
                <w:sz w:val="20"/>
                <w:szCs w:val="20"/>
              </w:rPr>
            </w:pPr>
            <w:r w:rsidRPr="00FA3F57">
              <w:rPr>
                <w:sz w:val="20"/>
                <w:szCs w:val="20"/>
              </w:rPr>
              <w:t>Institutions responsible for the implementation of measures and activities</w:t>
            </w:r>
          </w:p>
        </w:tc>
        <w:tc>
          <w:tcPr>
            <w:tcW w:w="5667" w:type="dxa"/>
            <w:tcBorders>
              <w:top w:val="single" w:sz="4" w:space="0" w:color="auto"/>
              <w:left w:val="single" w:sz="4" w:space="0" w:color="auto"/>
              <w:bottom w:val="single" w:sz="4" w:space="0" w:color="auto"/>
              <w:right w:val="single" w:sz="4" w:space="0" w:color="auto"/>
            </w:tcBorders>
            <w:hideMark/>
          </w:tcPr>
          <w:p w14:paraId="179A1578" w14:textId="77777777" w:rsidR="0094644B" w:rsidRPr="00F07779" w:rsidRDefault="0094644B" w:rsidP="00FB5086">
            <w:pPr>
              <w:rPr>
                <w:sz w:val="20"/>
                <w:szCs w:val="20"/>
              </w:rPr>
            </w:pPr>
            <w:r w:rsidRPr="00FA3F57">
              <w:rPr>
                <w:sz w:val="20"/>
                <w:szCs w:val="20"/>
              </w:rPr>
              <w:t>EMS JSC Belgrade</w:t>
            </w:r>
          </w:p>
        </w:tc>
      </w:tr>
      <w:tr w:rsidR="0094644B" w:rsidRPr="00F07779" w14:paraId="7B204311"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78348E00" w14:textId="77777777" w:rsidR="0094644B" w:rsidRPr="00F07779" w:rsidRDefault="0094644B" w:rsidP="00FB5086">
            <w:pPr>
              <w:rPr>
                <w:sz w:val="20"/>
                <w:szCs w:val="20"/>
              </w:rPr>
            </w:pPr>
            <w:r w:rsidRPr="00FA3F57">
              <w:rPr>
                <w:sz w:val="20"/>
                <w:szCs w:val="20"/>
              </w:rPr>
              <w:t>Institutions responsible for monitoring implementation and reporting on the realization</w:t>
            </w:r>
          </w:p>
        </w:tc>
        <w:tc>
          <w:tcPr>
            <w:tcW w:w="5667" w:type="dxa"/>
            <w:tcBorders>
              <w:top w:val="single" w:sz="4" w:space="0" w:color="auto"/>
              <w:left w:val="single" w:sz="4" w:space="0" w:color="auto"/>
              <w:bottom w:val="single" w:sz="4" w:space="0" w:color="auto"/>
              <w:right w:val="single" w:sz="4" w:space="0" w:color="auto"/>
            </w:tcBorders>
            <w:hideMark/>
          </w:tcPr>
          <w:p w14:paraId="13388FC3" w14:textId="77777777" w:rsidR="0094644B" w:rsidRPr="00F07779" w:rsidRDefault="0094644B" w:rsidP="00FB5086">
            <w:pPr>
              <w:rPr>
                <w:sz w:val="20"/>
                <w:szCs w:val="20"/>
              </w:rPr>
            </w:pPr>
            <w:r w:rsidRPr="00FA3F57">
              <w:rPr>
                <w:sz w:val="20"/>
                <w:szCs w:val="20"/>
              </w:rPr>
              <w:t>EMS JSC Belgrade</w:t>
            </w:r>
          </w:p>
          <w:p w14:paraId="7BEFE5C2" w14:textId="77777777" w:rsidR="0094644B" w:rsidRPr="00FA3F57" w:rsidRDefault="0094644B" w:rsidP="00FB5086">
            <w:pPr>
              <w:rPr>
                <w:sz w:val="20"/>
                <w:szCs w:val="20"/>
              </w:rPr>
            </w:pPr>
            <w:r w:rsidRPr="00FA3F57">
              <w:rPr>
                <w:sz w:val="20"/>
                <w:szCs w:val="20"/>
              </w:rPr>
              <w:t>Republic Commission for Energy Networks</w:t>
            </w:r>
          </w:p>
          <w:p w14:paraId="3D4E2CFA" w14:textId="77777777" w:rsidR="0094644B" w:rsidRPr="00F07779" w:rsidRDefault="0094644B" w:rsidP="00FB5086">
            <w:pPr>
              <w:rPr>
                <w:sz w:val="20"/>
                <w:szCs w:val="20"/>
              </w:rPr>
            </w:pPr>
            <w:r w:rsidRPr="00F07779">
              <w:rPr>
                <w:sz w:val="20"/>
                <w:szCs w:val="20"/>
              </w:rPr>
              <w:t>Ministry of Mining and Energy</w:t>
            </w:r>
          </w:p>
        </w:tc>
      </w:tr>
      <w:tr w:rsidR="0094644B" w:rsidRPr="00F07779" w14:paraId="6EDB68B0"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1FB9D19F" w14:textId="77777777" w:rsidR="0094644B" w:rsidRPr="00F07779" w:rsidRDefault="0094644B" w:rsidP="00FB5086">
            <w:pPr>
              <w:rPr>
                <w:sz w:val="20"/>
                <w:szCs w:val="20"/>
              </w:rPr>
            </w:pPr>
            <w:r w:rsidRPr="00FA3F57">
              <w:rPr>
                <w:sz w:val="20"/>
                <w:szCs w:val="20"/>
              </w:rPr>
              <w:t>Year of project funding start</w:t>
            </w:r>
          </w:p>
        </w:tc>
        <w:tc>
          <w:tcPr>
            <w:tcW w:w="5667" w:type="dxa"/>
            <w:tcBorders>
              <w:top w:val="single" w:sz="4" w:space="0" w:color="auto"/>
              <w:left w:val="single" w:sz="4" w:space="0" w:color="auto"/>
              <w:bottom w:val="single" w:sz="4" w:space="0" w:color="auto"/>
              <w:right w:val="single" w:sz="4" w:space="0" w:color="auto"/>
            </w:tcBorders>
            <w:hideMark/>
          </w:tcPr>
          <w:p w14:paraId="36AB90B6" w14:textId="77777777" w:rsidR="0094644B" w:rsidRPr="00F07779" w:rsidRDefault="0094644B" w:rsidP="00FB5086">
            <w:pPr>
              <w:rPr>
                <w:sz w:val="20"/>
                <w:szCs w:val="20"/>
              </w:rPr>
            </w:pPr>
            <w:r w:rsidRPr="00F07779">
              <w:rPr>
                <w:sz w:val="20"/>
                <w:szCs w:val="20"/>
              </w:rPr>
              <w:t>2021.</w:t>
            </w:r>
          </w:p>
        </w:tc>
      </w:tr>
      <w:tr w:rsidR="0094644B" w:rsidRPr="00F07779" w14:paraId="72F54FA9"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724C0838" w14:textId="77777777" w:rsidR="0094644B" w:rsidRPr="00F07779" w:rsidRDefault="0094644B" w:rsidP="00FB5086">
            <w:pPr>
              <w:rPr>
                <w:sz w:val="20"/>
                <w:szCs w:val="20"/>
              </w:rPr>
            </w:pPr>
            <w:r w:rsidRPr="00FA3F57">
              <w:rPr>
                <w:sz w:val="20"/>
                <w:szCs w:val="20"/>
              </w:rPr>
              <w:t>Year of completion of project funding</w:t>
            </w:r>
          </w:p>
        </w:tc>
        <w:tc>
          <w:tcPr>
            <w:tcW w:w="5667" w:type="dxa"/>
            <w:tcBorders>
              <w:top w:val="single" w:sz="4" w:space="0" w:color="auto"/>
              <w:left w:val="single" w:sz="4" w:space="0" w:color="auto"/>
              <w:bottom w:val="single" w:sz="4" w:space="0" w:color="auto"/>
              <w:right w:val="single" w:sz="4" w:space="0" w:color="auto"/>
            </w:tcBorders>
            <w:hideMark/>
          </w:tcPr>
          <w:p w14:paraId="69E435EA" w14:textId="77777777" w:rsidR="0094644B" w:rsidRPr="00F07779" w:rsidRDefault="0094644B" w:rsidP="00FB5086">
            <w:pPr>
              <w:rPr>
                <w:sz w:val="20"/>
                <w:szCs w:val="20"/>
              </w:rPr>
            </w:pPr>
            <w:r w:rsidRPr="00F07779">
              <w:rPr>
                <w:sz w:val="20"/>
                <w:szCs w:val="20"/>
              </w:rPr>
              <w:t>2028.</w:t>
            </w:r>
          </w:p>
        </w:tc>
      </w:tr>
      <w:tr w:rsidR="0094644B" w:rsidRPr="00F07779" w14:paraId="17915FC3"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47FDF7B0" w14:textId="77777777" w:rsidR="0094644B" w:rsidRPr="00F07779" w:rsidRDefault="0094644B" w:rsidP="00FB5086">
            <w:pPr>
              <w:rPr>
                <w:sz w:val="20"/>
                <w:szCs w:val="20"/>
              </w:rPr>
            </w:pPr>
            <w:r w:rsidRPr="00FA3F57">
              <w:rPr>
                <w:sz w:val="20"/>
                <w:szCs w:val="20"/>
              </w:rPr>
              <w:t>Total project value</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7513E6FD" w14:textId="77777777" w:rsidR="0094644B" w:rsidRPr="00F07779" w:rsidRDefault="0094644B" w:rsidP="00FB5086">
            <w:pPr>
              <w:rPr>
                <w:sz w:val="20"/>
                <w:szCs w:val="20"/>
              </w:rPr>
            </w:pPr>
            <w:r w:rsidRPr="00F07779">
              <w:rPr>
                <w:sz w:val="20"/>
                <w:szCs w:val="20"/>
              </w:rPr>
              <w:t>328,300 (2.8 million EUR)</w:t>
            </w:r>
          </w:p>
        </w:tc>
      </w:tr>
      <w:tr w:rsidR="0094644B" w:rsidRPr="00F07779" w14:paraId="7A6D3E0C"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3F138C63" w14:textId="77777777" w:rsidR="0094644B" w:rsidRPr="00F07779" w:rsidRDefault="0094644B" w:rsidP="00FB5086">
            <w:pPr>
              <w:rPr>
                <w:sz w:val="20"/>
                <w:szCs w:val="20"/>
              </w:rPr>
            </w:pPr>
            <w:r w:rsidRPr="00FA3F57">
              <w:rPr>
                <w:sz w:val="20"/>
                <w:szCs w:val="20"/>
              </w:rPr>
              <w:t>Planned investments for 2026.</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6BFD95EB" w14:textId="77777777" w:rsidR="0094644B" w:rsidRPr="00F07779" w:rsidRDefault="0094644B" w:rsidP="00FB5086">
            <w:pPr>
              <w:rPr>
                <w:sz w:val="20"/>
                <w:szCs w:val="20"/>
              </w:rPr>
            </w:pPr>
            <w:r w:rsidRPr="00F07779">
              <w:rPr>
                <w:sz w:val="20"/>
                <w:szCs w:val="20"/>
              </w:rPr>
              <w:t>305,743 (own funds of EMS JSC)</w:t>
            </w:r>
          </w:p>
        </w:tc>
      </w:tr>
      <w:tr w:rsidR="0094644B" w:rsidRPr="00F07779" w14:paraId="6B6E3073"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4BF23EEE" w14:textId="77777777" w:rsidR="0094644B" w:rsidRPr="00F07779" w:rsidRDefault="0094644B" w:rsidP="00FB5086">
            <w:pPr>
              <w:rPr>
                <w:sz w:val="20"/>
                <w:szCs w:val="20"/>
              </w:rPr>
            </w:pPr>
            <w:r w:rsidRPr="00FA3F57">
              <w:rPr>
                <w:sz w:val="20"/>
                <w:szCs w:val="20"/>
              </w:rPr>
              <w:t>Planned investments for 2027.</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276511F2" w14:textId="77777777" w:rsidR="0094644B" w:rsidRPr="00F07779" w:rsidRDefault="0094644B" w:rsidP="00FB5086">
            <w:pPr>
              <w:rPr>
                <w:sz w:val="20"/>
                <w:szCs w:val="20"/>
              </w:rPr>
            </w:pPr>
            <w:r w:rsidRPr="00F07779">
              <w:rPr>
                <w:sz w:val="20"/>
                <w:szCs w:val="20"/>
              </w:rPr>
              <w:t>0</w:t>
            </w:r>
          </w:p>
        </w:tc>
      </w:tr>
      <w:tr w:rsidR="0094644B" w:rsidRPr="00F07779" w14:paraId="3D2F6225"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7D45AD2D" w14:textId="77777777" w:rsidR="0094644B" w:rsidRPr="00F07779" w:rsidRDefault="0094644B" w:rsidP="00FB5086">
            <w:pPr>
              <w:rPr>
                <w:sz w:val="20"/>
                <w:szCs w:val="20"/>
              </w:rPr>
            </w:pPr>
            <w:r w:rsidRPr="00FA3F57">
              <w:rPr>
                <w:sz w:val="20"/>
                <w:szCs w:val="20"/>
              </w:rPr>
              <w:t>Planned investments for 2028.</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75118BDC" w14:textId="77777777" w:rsidR="0094644B" w:rsidRPr="00F07779" w:rsidRDefault="0094644B" w:rsidP="00FB5086">
            <w:pPr>
              <w:rPr>
                <w:sz w:val="20"/>
                <w:szCs w:val="20"/>
              </w:rPr>
            </w:pPr>
            <w:r w:rsidRPr="00F07779">
              <w:rPr>
                <w:sz w:val="20"/>
                <w:szCs w:val="20"/>
              </w:rPr>
              <w:t>0</w:t>
            </w:r>
          </w:p>
        </w:tc>
      </w:tr>
    </w:tbl>
    <w:p w14:paraId="5DD4FC95" w14:textId="77777777" w:rsidR="0094644B" w:rsidRPr="00F07779" w:rsidRDefault="0094644B" w:rsidP="0094644B">
      <w:pPr>
        <w:rPr>
          <w:sz w:val="20"/>
          <w:szCs w:val="20"/>
        </w:rPr>
      </w:pPr>
    </w:p>
    <w:tbl>
      <w:tblPr>
        <w:tblStyle w:val="TableGrid"/>
        <w:tblW w:w="0" w:type="auto"/>
        <w:tblLook w:val="04A0" w:firstRow="1" w:lastRow="0" w:firstColumn="1" w:lastColumn="0" w:noHBand="0" w:noVBand="1"/>
      </w:tblPr>
      <w:tblGrid>
        <w:gridCol w:w="2973"/>
        <w:gridCol w:w="5667"/>
      </w:tblGrid>
      <w:tr w:rsidR="0094644B" w:rsidRPr="00F07779" w14:paraId="646330B4"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EEAC37C" w14:textId="77777777" w:rsidR="0094644B" w:rsidRPr="00F07779" w:rsidRDefault="0094644B" w:rsidP="00FB5086">
            <w:pPr>
              <w:rPr>
                <w:sz w:val="20"/>
                <w:szCs w:val="20"/>
              </w:rPr>
            </w:pPr>
            <w:r w:rsidRPr="00FA3F57">
              <w:rPr>
                <w:sz w:val="20"/>
                <w:szCs w:val="20"/>
              </w:rPr>
              <w:t>Name of the project</w:t>
            </w:r>
          </w:p>
        </w:tc>
        <w:tc>
          <w:tcPr>
            <w:tcW w:w="566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F5A4058" w14:textId="77777777" w:rsidR="0094644B" w:rsidRPr="00F07779" w:rsidRDefault="0094644B" w:rsidP="00FB5086">
            <w:pPr>
              <w:rPr>
                <w:sz w:val="20"/>
                <w:szCs w:val="20"/>
              </w:rPr>
            </w:pPr>
            <w:r w:rsidRPr="00F07779">
              <w:rPr>
                <w:sz w:val="20"/>
                <w:szCs w:val="20"/>
              </w:rPr>
              <w:t>Investment projects focused on the reconstruction and construction of the transmission network</w:t>
            </w:r>
          </w:p>
        </w:tc>
      </w:tr>
      <w:tr w:rsidR="0094644B" w:rsidRPr="00F07779" w14:paraId="168770B8"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4C506732" w14:textId="77777777" w:rsidR="0094644B" w:rsidRPr="00F07779" w:rsidRDefault="0094644B" w:rsidP="00FB5086">
            <w:pPr>
              <w:rPr>
                <w:sz w:val="20"/>
                <w:szCs w:val="20"/>
              </w:rPr>
            </w:pPr>
            <w:r w:rsidRPr="00FA3F57">
              <w:rPr>
                <w:sz w:val="20"/>
                <w:szCs w:val="20"/>
              </w:rPr>
              <w:t xml:space="preserve">Name of the </w:t>
            </w:r>
            <w:r w:rsidRPr="00F07779">
              <w:rPr>
                <w:sz w:val="20"/>
                <w:szCs w:val="20"/>
              </w:rPr>
              <w:t>investment</w:t>
            </w:r>
          </w:p>
        </w:tc>
        <w:tc>
          <w:tcPr>
            <w:tcW w:w="5667"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4393C207" w14:textId="77777777" w:rsidR="0094644B" w:rsidRPr="00F07779" w:rsidRDefault="0094644B" w:rsidP="00FB5086">
            <w:pPr>
              <w:rPr>
                <w:sz w:val="20"/>
                <w:szCs w:val="20"/>
              </w:rPr>
            </w:pPr>
            <w:r w:rsidRPr="00F07779">
              <w:rPr>
                <w:sz w:val="20"/>
                <w:szCs w:val="20"/>
              </w:rPr>
              <w:t>Connecting line for the 110/35 kV TS Belgrade 46 (</w:t>
            </w:r>
            <w:proofErr w:type="spellStart"/>
            <w:r w:rsidRPr="00F07779">
              <w:rPr>
                <w:sz w:val="20"/>
                <w:szCs w:val="20"/>
              </w:rPr>
              <w:t>Zbeg</w:t>
            </w:r>
            <w:proofErr w:type="spellEnd"/>
            <w:r w:rsidRPr="00F07779">
              <w:rPr>
                <w:sz w:val="20"/>
                <w:szCs w:val="20"/>
              </w:rPr>
              <w:t xml:space="preserve">) </w:t>
            </w:r>
          </w:p>
        </w:tc>
      </w:tr>
      <w:tr w:rsidR="0094644B" w:rsidRPr="00F07779" w14:paraId="61E0F9B7"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4FC0514" w14:textId="77777777" w:rsidR="0094644B" w:rsidRPr="00F07779" w:rsidRDefault="0094644B" w:rsidP="00FB5086">
            <w:pPr>
              <w:rPr>
                <w:sz w:val="20"/>
                <w:szCs w:val="20"/>
              </w:rPr>
            </w:pPr>
            <w:r w:rsidRPr="00FA3F57">
              <w:rPr>
                <w:sz w:val="20"/>
                <w:szCs w:val="20"/>
              </w:rPr>
              <w:t>Short description of the investment</w:t>
            </w:r>
          </w:p>
        </w:tc>
        <w:tc>
          <w:tcPr>
            <w:tcW w:w="566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35BBFFC" w14:textId="77777777" w:rsidR="0094644B" w:rsidRPr="00F07779" w:rsidRDefault="0094644B" w:rsidP="00FB5086">
            <w:pPr>
              <w:rPr>
                <w:sz w:val="20"/>
                <w:szCs w:val="20"/>
              </w:rPr>
            </w:pPr>
            <w:r w:rsidRPr="00F07779">
              <w:rPr>
                <w:sz w:val="20"/>
                <w:szCs w:val="20"/>
              </w:rPr>
              <w:t xml:space="preserve">OHL 110 kV No. 1153 TS </w:t>
            </w:r>
            <w:proofErr w:type="spellStart"/>
            <w:r w:rsidRPr="00F07779">
              <w:rPr>
                <w:sz w:val="20"/>
                <w:szCs w:val="20"/>
              </w:rPr>
              <w:t>Pančevo</w:t>
            </w:r>
            <w:proofErr w:type="spellEnd"/>
            <w:r w:rsidRPr="00F07779">
              <w:rPr>
                <w:sz w:val="20"/>
                <w:szCs w:val="20"/>
              </w:rPr>
              <w:t xml:space="preserve"> 2 – TS Belgrade 7, introducing into Belgrade 46</w:t>
            </w:r>
          </w:p>
        </w:tc>
      </w:tr>
      <w:tr w:rsidR="0094644B" w:rsidRPr="00F07779" w14:paraId="7BFEA6AD"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0ED8D326" w14:textId="77777777" w:rsidR="0094644B" w:rsidRPr="00F07779" w:rsidRDefault="0094644B" w:rsidP="00FB5086">
            <w:pPr>
              <w:rPr>
                <w:sz w:val="20"/>
                <w:szCs w:val="20"/>
              </w:rPr>
            </w:pPr>
            <w:r w:rsidRPr="00FA3F57">
              <w:rPr>
                <w:sz w:val="20"/>
                <w:szCs w:val="20"/>
              </w:rPr>
              <w:t>Institutions responsible for the implementation of measures and activities</w:t>
            </w:r>
          </w:p>
        </w:tc>
        <w:tc>
          <w:tcPr>
            <w:tcW w:w="5667" w:type="dxa"/>
            <w:tcBorders>
              <w:top w:val="single" w:sz="4" w:space="0" w:color="auto"/>
              <w:left w:val="single" w:sz="4" w:space="0" w:color="auto"/>
              <w:bottom w:val="single" w:sz="4" w:space="0" w:color="auto"/>
              <w:right w:val="single" w:sz="4" w:space="0" w:color="auto"/>
            </w:tcBorders>
            <w:hideMark/>
          </w:tcPr>
          <w:p w14:paraId="2F292156" w14:textId="77777777" w:rsidR="0094644B" w:rsidRPr="00F07779" w:rsidRDefault="0094644B" w:rsidP="00FB5086">
            <w:pPr>
              <w:rPr>
                <w:sz w:val="20"/>
                <w:szCs w:val="20"/>
              </w:rPr>
            </w:pPr>
            <w:r w:rsidRPr="00F07779">
              <w:rPr>
                <w:sz w:val="20"/>
                <w:szCs w:val="20"/>
              </w:rPr>
              <w:t xml:space="preserve">Leading OHL 110 kV No. 1153 TS </w:t>
            </w:r>
            <w:proofErr w:type="spellStart"/>
            <w:r w:rsidRPr="00F07779">
              <w:rPr>
                <w:sz w:val="20"/>
                <w:szCs w:val="20"/>
              </w:rPr>
              <w:t>Pančevo</w:t>
            </w:r>
            <w:proofErr w:type="spellEnd"/>
            <w:r w:rsidRPr="00F07779">
              <w:rPr>
                <w:sz w:val="20"/>
                <w:szCs w:val="20"/>
              </w:rPr>
              <w:t xml:space="preserve"> 2 – TS Belgrade 7 into TS Belgrade 46 according to the input-output principle with single-system transmission lines. As part of the alignment of PSO and DSO development plans, the requirement for the connection of the new 110/35 kV Belgrade 46 distribution substation to the transmission network was identified.</w:t>
            </w:r>
          </w:p>
          <w:p w14:paraId="57F0B37D" w14:textId="77777777" w:rsidR="0094644B" w:rsidRPr="00F07779" w:rsidRDefault="0094644B" w:rsidP="00FB5086">
            <w:pPr>
              <w:rPr>
                <w:sz w:val="20"/>
                <w:szCs w:val="20"/>
              </w:rPr>
            </w:pPr>
            <w:r w:rsidRPr="00F07779">
              <w:rPr>
                <w:sz w:val="20"/>
                <w:szCs w:val="20"/>
              </w:rPr>
              <w:t>.</w:t>
            </w:r>
          </w:p>
          <w:p w14:paraId="482294AE" w14:textId="77777777" w:rsidR="0094644B" w:rsidRPr="00F07779" w:rsidRDefault="0094644B" w:rsidP="00FB5086">
            <w:pPr>
              <w:rPr>
                <w:sz w:val="20"/>
                <w:szCs w:val="20"/>
              </w:rPr>
            </w:pPr>
            <w:r w:rsidRPr="00F07779">
              <w:rPr>
                <w:sz w:val="20"/>
                <w:szCs w:val="20"/>
              </w:rPr>
              <w:t>Expected dynamics of project implementation:</w:t>
            </w:r>
          </w:p>
          <w:p w14:paraId="71AEC1FB" w14:textId="77777777" w:rsidR="0094644B" w:rsidRPr="00F07779" w:rsidRDefault="0094644B" w:rsidP="00FB5086">
            <w:pPr>
              <w:rPr>
                <w:sz w:val="20"/>
                <w:szCs w:val="20"/>
              </w:rPr>
            </w:pPr>
            <w:r w:rsidRPr="00F07779">
              <w:rPr>
                <w:sz w:val="20"/>
                <w:szCs w:val="20"/>
              </w:rPr>
              <w:t>2026. Building permit</w:t>
            </w:r>
          </w:p>
          <w:p w14:paraId="5854B42A" w14:textId="77777777" w:rsidR="0094644B" w:rsidRPr="00F07779" w:rsidRDefault="0094644B" w:rsidP="00FB5086">
            <w:pPr>
              <w:rPr>
                <w:sz w:val="20"/>
                <w:szCs w:val="20"/>
              </w:rPr>
            </w:pPr>
            <w:r w:rsidRPr="00F07779">
              <w:rPr>
                <w:sz w:val="20"/>
                <w:szCs w:val="20"/>
              </w:rPr>
              <w:t>2027. Construction</w:t>
            </w:r>
          </w:p>
          <w:p w14:paraId="4490A45F" w14:textId="77777777" w:rsidR="0094644B" w:rsidRPr="00F07779" w:rsidRDefault="0094644B" w:rsidP="00FB5086">
            <w:pPr>
              <w:rPr>
                <w:sz w:val="20"/>
                <w:szCs w:val="20"/>
              </w:rPr>
            </w:pPr>
            <w:r w:rsidRPr="00F07779">
              <w:rPr>
                <w:sz w:val="20"/>
                <w:szCs w:val="20"/>
              </w:rPr>
              <w:t>2028. Construction</w:t>
            </w:r>
          </w:p>
        </w:tc>
      </w:tr>
      <w:tr w:rsidR="0094644B" w:rsidRPr="00F07779" w14:paraId="35D2655E"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734D36B4" w14:textId="77777777" w:rsidR="0094644B" w:rsidRPr="00F07779" w:rsidRDefault="0094644B" w:rsidP="00FB5086">
            <w:pPr>
              <w:rPr>
                <w:sz w:val="20"/>
                <w:szCs w:val="20"/>
              </w:rPr>
            </w:pPr>
            <w:r w:rsidRPr="00FA3F57">
              <w:rPr>
                <w:sz w:val="20"/>
                <w:szCs w:val="20"/>
              </w:rPr>
              <w:t>Institutions responsible for monitoring implementation and reporting on the realization</w:t>
            </w:r>
          </w:p>
        </w:tc>
        <w:tc>
          <w:tcPr>
            <w:tcW w:w="5667" w:type="dxa"/>
            <w:tcBorders>
              <w:top w:val="single" w:sz="4" w:space="0" w:color="auto"/>
              <w:left w:val="single" w:sz="4" w:space="0" w:color="auto"/>
              <w:bottom w:val="single" w:sz="4" w:space="0" w:color="auto"/>
              <w:right w:val="single" w:sz="4" w:space="0" w:color="auto"/>
            </w:tcBorders>
            <w:hideMark/>
          </w:tcPr>
          <w:p w14:paraId="74387AF8" w14:textId="77777777" w:rsidR="0094644B" w:rsidRPr="00F07779" w:rsidRDefault="0094644B" w:rsidP="00FB5086">
            <w:pPr>
              <w:rPr>
                <w:sz w:val="20"/>
                <w:szCs w:val="20"/>
              </w:rPr>
            </w:pPr>
            <w:r w:rsidRPr="00FA3F57">
              <w:rPr>
                <w:sz w:val="20"/>
                <w:szCs w:val="20"/>
              </w:rPr>
              <w:t>EMS JSC Belgrade</w:t>
            </w:r>
          </w:p>
        </w:tc>
      </w:tr>
      <w:tr w:rsidR="0094644B" w:rsidRPr="00F07779" w14:paraId="27B93E09"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6387A8EE" w14:textId="77777777" w:rsidR="0094644B" w:rsidRPr="00F07779" w:rsidRDefault="0094644B" w:rsidP="00FB5086">
            <w:pPr>
              <w:rPr>
                <w:sz w:val="20"/>
                <w:szCs w:val="20"/>
              </w:rPr>
            </w:pPr>
            <w:r w:rsidRPr="00FA3F57">
              <w:rPr>
                <w:sz w:val="20"/>
                <w:szCs w:val="20"/>
              </w:rPr>
              <w:t>Year of project funding start</w:t>
            </w:r>
          </w:p>
        </w:tc>
        <w:tc>
          <w:tcPr>
            <w:tcW w:w="5667" w:type="dxa"/>
            <w:tcBorders>
              <w:top w:val="single" w:sz="4" w:space="0" w:color="auto"/>
              <w:left w:val="single" w:sz="4" w:space="0" w:color="auto"/>
              <w:bottom w:val="single" w:sz="4" w:space="0" w:color="auto"/>
              <w:right w:val="single" w:sz="4" w:space="0" w:color="auto"/>
            </w:tcBorders>
            <w:hideMark/>
          </w:tcPr>
          <w:p w14:paraId="66688DDF" w14:textId="77777777" w:rsidR="0094644B" w:rsidRPr="00FA3F57" w:rsidRDefault="0094644B" w:rsidP="00FB5086">
            <w:pPr>
              <w:rPr>
                <w:sz w:val="20"/>
                <w:szCs w:val="20"/>
              </w:rPr>
            </w:pPr>
            <w:r w:rsidRPr="00FA3F57">
              <w:rPr>
                <w:sz w:val="20"/>
                <w:szCs w:val="20"/>
              </w:rPr>
              <w:t xml:space="preserve">EMS JSC </w:t>
            </w:r>
            <w:proofErr w:type="spellStart"/>
            <w:r w:rsidRPr="00FA3F57">
              <w:rPr>
                <w:sz w:val="20"/>
                <w:szCs w:val="20"/>
              </w:rPr>
              <w:t>BelgradeRepublic</w:t>
            </w:r>
            <w:proofErr w:type="spellEnd"/>
            <w:r w:rsidRPr="00FA3F57">
              <w:rPr>
                <w:sz w:val="20"/>
                <w:szCs w:val="20"/>
              </w:rPr>
              <w:t xml:space="preserve"> Commission for Energy Networks</w:t>
            </w:r>
          </w:p>
          <w:p w14:paraId="541794EE" w14:textId="77777777" w:rsidR="0094644B" w:rsidRPr="00F07779" w:rsidRDefault="0094644B" w:rsidP="00FB5086">
            <w:pPr>
              <w:rPr>
                <w:sz w:val="20"/>
                <w:szCs w:val="20"/>
              </w:rPr>
            </w:pPr>
            <w:r w:rsidRPr="00F07779">
              <w:rPr>
                <w:sz w:val="20"/>
                <w:szCs w:val="20"/>
              </w:rPr>
              <w:t>Ministry of Mining and Energy</w:t>
            </w:r>
          </w:p>
        </w:tc>
      </w:tr>
      <w:tr w:rsidR="0094644B" w:rsidRPr="00F07779" w14:paraId="4CE7E153"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088DB55E" w14:textId="77777777" w:rsidR="0094644B" w:rsidRPr="00F07779" w:rsidRDefault="0094644B" w:rsidP="00FB5086">
            <w:pPr>
              <w:rPr>
                <w:sz w:val="20"/>
                <w:szCs w:val="20"/>
              </w:rPr>
            </w:pPr>
            <w:r w:rsidRPr="00FA3F57">
              <w:rPr>
                <w:sz w:val="20"/>
                <w:szCs w:val="20"/>
              </w:rPr>
              <w:t>Year of completion of project funding</w:t>
            </w:r>
          </w:p>
        </w:tc>
        <w:tc>
          <w:tcPr>
            <w:tcW w:w="5667" w:type="dxa"/>
            <w:tcBorders>
              <w:top w:val="single" w:sz="4" w:space="0" w:color="auto"/>
              <w:left w:val="single" w:sz="4" w:space="0" w:color="auto"/>
              <w:bottom w:val="single" w:sz="4" w:space="0" w:color="auto"/>
              <w:right w:val="single" w:sz="4" w:space="0" w:color="auto"/>
            </w:tcBorders>
            <w:hideMark/>
          </w:tcPr>
          <w:p w14:paraId="3F737F4F" w14:textId="77777777" w:rsidR="0094644B" w:rsidRPr="00F07779" w:rsidRDefault="0094644B" w:rsidP="00FB5086">
            <w:pPr>
              <w:rPr>
                <w:sz w:val="20"/>
                <w:szCs w:val="20"/>
              </w:rPr>
            </w:pPr>
            <w:r w:rsidRPr="00F07779">
              <w:rPr>
                <w:sz w:val="20"/>
                <w:szCs w:val="20"/>
              </w:rPr>
              <w:t>2021.</w:t>
            </w:r>
          </w:p>
        </w:tc>
      </w:tr>
      <w:tr w:rsidR="0094644B" w:rsidRPr="00F07779" w14:paraId="258FD2AE"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76BC0F01" w14:textId="77777777" w:rsidR="0094644B" w:rsidRPr="00F07779" w:rsidRDefault="0094644B" w:rsidP="00FB5086">
            <w:pPr>
              <w:rPr>
                <w:sz w:val="20"/>
                <w:szCs w:val="20"/>
              </w:rPr>
            </w:pPr>
            <w:r w:rsidRPr="00FA3F57">
              <w:rPr>
                <w:sz w:val="20"/>
                <w:szCs w:val="20"/>
              </w:rPr>
              <w:lastRenderedPageBreak/>
              <w:t>Total project value</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2798A21C" w14:textId="77777777" w:rsidR="0094644B" w:rsidRPr="00F07779" w:rsidRDefault="0094644B" w:rsidP="00FB5086">
            <w:pPr>
              <w:rPr>
                <w:sz w:val="20"/>
                <w:szCs w:val="20"/>
              </w:rPr>
            </w:pPr>
            <w:r w:rsidRPr="00F07779">
              <w:rPr>
                <w:sz w:val="20"/>
                <w:szCs w:val="20"/>
              </w:rPr>
              <w:t>2027.</w:t>
            </w:r>
          </w:p>
        </w:tc>
      </w:tr>
      <w:tr w:rsidR="0094644B" w:rsidRPr="00F07779" w14:paraId="633F3D58"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19923421" w14:textId="77777777" w:rsidR="0094644B" w:rsidRPr="00F07779" w:rsidRDefault="0094644B" w:rsidP="00FB5086">
            <w:pPr>
              <w:rPr>
                <w:sz w:val="20"/>
                <w:szCs w:val="20"/>
              </w:rPr>
            </w:pPr>
            <w:r w:rsidRPr="00FA3F57">
              <w:rPr>
                <w:sz w:val="20"/>
                <w:szCs w:val="20"/>
              </w:rPr>
              <w:t>Planned investments for 2026.</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18E6A471" w14:textId="77777777" w:rsidR="0094644B" w:rsidRPr="00F07779" w:rsidRDefault="0094644B" w:rsidP="00FB5086">
            <w:pPr>
              <w:rPr>
                <w:sz w:val="20"/>
                <w:szCs w:val="20"/>
              </w:rPr>
            </w:pPr>
            <w:r w:rsidRPr="00F07779">
              <w:rPr>
                <w:sz w:val="20"/>
                <w:szCs w:val="20"/>
              </w:rPr>
              <w:t>199,325 (1.7 million EUR)</w:t>
            </w:r>
          </w:p>
        </w:tc>
      </w:tr>
      <w:tr w:rsidR="0094644B" w:rsidRPr="00F07779" w14:paraId="1A6846B1"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0C213EF3" w14:textId="77777777" w:rsidR="0094644B" w:rsidRPr="00F07779" w:rsidRDefault="0094644B" w:rsidP="00FB5086">
            <w:pPr>
              <w:rPr>
                <w:sz w:val="20"/>
                <w:szCs w:val="20"/>
              </w:rPr>
            </w:pPr>
            <w:r w:rsidRPr="00FA3F57">
              <w:rPr>
                <w:sz w:val="20"/>
                <w:szCs w:val="20"/>
              </w:rPr>
              <w:t>Planned investments for 2027.</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7278ABEB" w14:textId="77777777" w:rsidR="0094644B" w:rsidRPr="00F07779" w:rsidRDefault="0094644B" w:rsidP="00FB5086">
            <w:pPr>
              <w:rPr>
                <w:sz w:val="20"/>
                <w:szCs w:val="20"/>
              </w:rPr>
            </w:pPr>
            <w:r w:rsidRPr="00F07779">
              <w:rPr>
                <w:sz w:val="20"/>
                <w:szCs w:val="20"/>
              </w:rPr>
              <w:t>3,378 (own funds of EMS JSC)</w:t>
            </w:r>
          </w:p>
        </w:tc>
      </w:tr>
      <w:tr w:rsidR="0094644B" w:rsidRPr="00F07779" w14:paraId="5016C360"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2D6CB291" w14:textId="77777777" w:rsidR="0094644B" w:rsidRPr="00F07779" w:rsidRDefault="0094644B" w:rsidP="00FB5086">
            <w:pPr>
              <w:rPr>
                <w:sz w:val="20"/>
                <w:szCs w:val="20"/>
              </w:rPr>
            </w:pPr>
            <w:r w:rsidRPr="00FA3F57">
              <w:rPr>
                <w:sz w:val="20"/>
                <w:szCs w:val="20"/>
              </w:rPr>
              <w:t>Planned investments for 2028.</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3E0B3C58" w14:textId="77777777" w:rsidR="0094644B" w:rsidRPr="00F07779" w:rsidRDefault="0094644B" w:rsidP="00FB5086">
            <w:pPr>
              <w:rPr>
                <w:sz w:val="20"/>
                <w:szCs w:val="20"/>
              </w:rPr>
            </w:pPr>
            <w:r w:rsidRPr="00F07779">
              <w:rPr>
                <w:sz w:val="20"/>
                <w:szCs w:val="20"/>
              </w:rPr>
              <w:t>177,477 (own funds of EMS JSC)</w:t>
            </w:r>
          </w:p>
        </w:tc>
      </w:tr>
      <w:tr w:rsidR="0094644B" w:rsidRPr="00F07779" w14:paraId="7FF10EC2"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145217B0" w14:textId="77777777" w:rsidR="0094644B" w:rsidRPr="00F07779" w:rsidRDefault="0094644B" w:rsidP="00FB5086">
            <w:pPr>
              <w:rPr>
                <w:sz w:val="20"/>
                <w:szCs w:val="20"/>
              </w:rPr>
            </w:pPr>
            <w:r w:rsidRPr="00FA3F57">
              <w:rPr>
                <w:sz w:val="20"/>
                <w:szCs w:val="20"/>
              </w:rPr>
              <w:t>Name of the project</w:t>
            </w:r>
          </w:p>
        </w:tc>
        <w:tc>
          <w:tcPr>
            <w:tcW w:w="5667" w:type="dxa"/>
            <w:tcBorders>
              <w:top w:val="single" w:sz="4" w:space="0" w:color="auto"/>
              <w:left w:val="single" w:sz="4" w:space="0" w:color="auto"/>
              <w:bottom w:val="single" w:sz="4" w:space="0" w:color="auto"/>
              <w:right w:val="single" w:sz="4" w:space="0" w:color="auto"/>
            </w:tcBorders>
            <w:hideMark/>
          </w:tcPr>
          <w:p w14:paraId="2C637E4D" w14:textId="77777777" w:rsidR="0094644B" w:rsidRPr="00F07779" w:rsidRDefault="0094644B" w:rsidP="00FB5086">
            <w:pPr>
              <w:rPr>
                <w:sz w:val="20"/>
                <w:szCs w:val="20"/>
              </w:rPr>
            </w:pPr>
            <w:r w:rsidRPr="00F07779">
              <w:rPr>
                <w:sz w:val="20"/>
                <w:szCs w:val="20"/>
              </w:rPr>
              <w:t>0</w:t>
            </w:r>
          </w:p>
        </w:tc>
      </w:tr>
    </w:tbl>
    <w:p w14:paraId="5DD030EB" w14:textId="77777777" w:rsidR="0094644B" w:rsidRPr="00F07779" w:rsidRDefault="0094644B" w:rsidP="0094644B">
      <w:pPr>
        <w:tabs>
          <w:tab w:val="left" w:pos="1276"/>
          <w:tab w:val="left" w:pos="1560"/>
        </w:tabs>
        <w:ind w:left="1440" w:hanging="1440"/>
      </w:pPr>
    </w:p>
    <w:tbl>
      <w:tblPr>
        <w:tblStyle w:val="TableGrid"/>
        <w:tblW w:w="0" w:type="auto"/>
        <w:tblLook w:val="04A0" w:firstRow="1" w:lastRow="0" w:firstColumn="1" w:lastColumn="0" w:noHBand="0" w:noVBand="1"/>
      </w:tblPr>
      <w:tblGrid>
        <w:gridCol w:w="2973"/>
        <w:gridCol w:w="5667"/>
      </w:tblGrid>
      <w:tr w:rsidR="0094644B" w:rsidRPr="00F07779" w14:paraId="5380D731"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6F19EBC" w14:textId="77777777" w:rsidR="0094644B" w:rsidRPr="00F07779" w:rsidRDefault="0094644B" w:rsidP="00FB5086">
            <w:pPr>
              <w:rPr>
                <w:sz w:val="20"/>
                <w:szCs w:val="20"/>
              </w:rPr>
            </w:pPr>
            <w:r w:rsidRPr="00F07779">
              <w:rPr>
                <w:sz w:val="20"/>
                <w:szCs w:val="20"/>
              </w:rPr>
              <w:t>Activity EL1.2</w:t>
            </w:r>
          </w:p>
        </w:tc>
        <w:tc>
          <w:tcPr>
            <w:tcW w:w="566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E635356" w14:textId="77777777" w:rsidR="0094644B" w:rsidRPr="00F07779" w:rsidRDefault="0094644B" w:rsidP="00FB5086">
            <w:pPr>
              <w:rPr>
                <w:sz w:val="20"/>
                <w:szCs w:val="20"/>
              </w:rPr>
            </w:pPr>
            <w:r w:rsidRPr="00F07779">
              <w:rPr>
                <w:sz w:val="20"/>
                <w:szCs w:val="20"/>
              </w:rPr>
              <w:t>Investment projects focused on the reconstruction and construction of the transmission network</w:t>
            </w:r>
          </w:p>
        </w:tc>
      </w:tr>
      <w:tr w:rsidR="0094644B" w:rsidRPr="00F07779" w14:paraId="6BEB3522"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10CC618C" w14:textId="77777777" w:rsidR="0094644B" w:rsidRPr="00F07779" w:rsidRDefault="0094644B" w:rsidP="00FB5086">
            <w:pPr>
              <w:rPr>
                <w:sz w:val="20"/>
                <w:szCs w:val="20"/>
              </w:rPr>
            </w:pPr>
            <w:r w:rsidRPr="00FA3F57">
              <w:rPr>
                <w:sz w:val="20"/>
                <w:szCs w:val="20"/>
              </w:rPr>
              <w:t>Name of the project</w:t>
            </w:r>
          </w:p>
        </w:tc>
        <w:tc>
          <w:tcPr>
            <w:tcW w:w="5667"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0BC6FD2C" w14:textId="77777777" w:rsidR="0094644B" w:rsidRPr="00F07779" w:rsidRDefault="0094644B" w:rsidP="00FB5086">
            <w:pPr>
              <w:rPr>
                <w:sz w:val="20"/>
                <w:szCs w:val="20"/>
              </w:rPr>
            </w:pPr>
            <w:r w:rsidRPr="00F07779">
              <w:rPr>
                <w:sz w:val="20"/>
                <w:szCs w:val="20"/>
              </w:rPr>
              <w:t>Connecting lines for the 100/20 kV TS Novi Sad 8</w:t>
            </w:r>
          </w:p>
        </w:tc>
      </w:tr>
      <w:tr w:rsidR="0094644B" w:rsidRPr="00F07779" w14:paraId="6123993E"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9624360" w14:textId="77777777" w:rsidR="0094644B" w:rsidRPr="00F07779" w:rsidRDefault="0094644B" w:rsidP="00FB5086">
            <w:pPr>
              <w:rPr>
                <w:sz w:val="20"/>
                <w:szCs w:val="20"/>
              </w:rPr>
            </w:pPr>
            <w:r w:rsidRPr="00FA3F57">
              <w:rPr>
                <w:sz w:val="20"/>
                <w:szCs w:val="20"/>
              </w:rPr>
              <w:t xml:space="preserve">Name of the </w:t>
            </w:r>
            <w:r w:rsidRPr="00F07779">
              <w:rPr>
                <w:sz w:val="20"/>
                <w:szCs w:val="20"/>
              </w:rPr>
              <w:t>investment</w:t>
            </w:r>
          </w:p>
        </w:tc>
        <w:tc>
          <w:tcPr>
            <w:tcW w:w="566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9BF949E" w14:textId="77777777" w:rsidR="0094644B" w:rsidRPr="00F07779" w:rsidRDefault="0094644B" w:rsidP="00FB5086">
            <w:pPr>
              <w:rPr>
                <w:sz w:val="20"/>
                <w:szCs w:val="20"/>
              </w:rPr>
            </w:pPr>
            <w:r w:rsidRPr="00F07779">
              <w:rPr>
                <w:sz w:val="20"/>
                <w:szCs w:val="20"/>
              </w:rPr>
              <w:t>OHL 110 kV No. 190B TS Novi Sad 2 – TS Novi Sad 3, leading into TS Novi Sad 8</w:t>
            </w:r>
          </w:p>
          <w:p w14:paraId="15B5239A" w14:textId="77777777" w:rsidR="0094644B" w:rsidRPr="00F07779" w:rsidRDefault="0094644B" w:rsidP="00FB5086">
            <w:pPr>
              <w:rPr>
                <w:sz w:val="20"/>
                <w:szCs w:val="20"/>
              </w:rPr>
            </w:pPr>
            <w:r w:rsidRPr="00F07779">
              <w:rPr>
                <w:sz w:val="20"/>
                <w:szCs w:val="20"/>
              </w:rPr>
              <w:t xml:space="preserve">OHL 110 kV No. 1135 TS Novi Sad 3 – TS Novi Sad 5, leading </w:t>
            </w:r>
            <w:proofErr w:type="spellStart"/>
            <w:r w:rsidRPr="00F07779">
              <w:rPr>
                <w:sz w:val="20"/>
                <w:szCs w:val="20"/>
              </w:rPr>
              <w:t>intoTS</w:t>
            </w:r>
            <w:proofErr w:type="spellEnd"/>
            <w:r w:rsidRPr="00F07779">
              <w:rPr>
                <w:sz w:val="20"/>
                <w:szCs w:val="20"/>
              </w:rPr>
              <w:t xml:space="preserve"> Novi Sad 8</w:t>
            </w:r>
          </w:p>
        </w:tc>
      </w:tr>
      <w:tr w:rsidR="0094644B" w:rsidRPr="00F07779" w14:paraId="46615337"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2DBAD89C" w14:textId="77777777" w:rsidR="0094644B" w:rsidRPr="00F07779" w:rsidRDefault="0094644B" w:rsidP="00FB5086">
            <w:pPr>
              <w:rPr>
                <w:sz w:val="20"/>
                <w:szCs w:val="20"/>
              </w:rPr>
            </w:pPr>
            <w:r w:rsidRPr="00FA3F57">
              <w:rPr>
                <w:sz w:val="20"/>
                <w:szCs w:val="20"/>
              </w:rPr>
              <w:t>Short description of the investment</w:t>
            </w:r>
          </w:p>
        </w:tc>
        <w:tc>
          <w:tcPr>
            <w:tcW w:w="5667" w:type="dxa"/>
            <w:tcBorders>
              <w:top w:val="single" w:sz="4" w:space="0" w:color="auto"/>
              <w:left w:val="single" w:sz="4" w:space="0" w:color="auto"/>
              <w:bottom w:val="single" w:sz="4" w:space="0" w:color="auto"/>
              <w:right w:val="single" w:sz="4" w:space="0" w:color="auto"/>
            </w:tcBorders>
            <w:hideMark/>
          </w:tcPr>
          <w:p w14:paraId="7414A086" w14:textId="77777777" w:rsidR="0094644B" w:rsidRPr="00F07779" w:rsidRDefault="0094644B" w:rsidP="00FB5086">
            <w:pPr>
              <w:rPr>
                <w:sz w:val="20"/>
                <w:szCs w:val="20"/>
              </w:rPr>
            </w:pPr>
            <w:r w:rsidRPr="00F07779">
              <w:rPr>
                <w:sz w:val="20"/>
                <w:szCs w:val="20"/>
              </w:rPr>
              <w:t xml:space="preserve">The new distribution TS Novi Sad 8 is planned to </w:t>
            </w:r>
            <w:proofErr w:type="gramStart"/>
            <w:r w:rsidRPr="00F07779">
              <w:rPr>
                <w:sz w:val="20"/>
                <w:szCs w:val="20"/>
              </w:rPr>
              <w:t>be located in</w:t>
            </w:r>
            <w:proofErr w:type="gramEnd"/>
            <w:r w:rsidRPr="00F07779">
              <w:rPr>
                <w:sz w:val="20"/>
                <w:szCs w:val="20"/>
              </w:rPr>
              <w:t xml:space="preserve"> the northern part of Novi Sad, more precisely along </w:t>
            </w:r>
            <w:proofErr w:type="spellStart"/>
            <w:r w:rsidRPr="00F07779">
              <w:rPr>
                <w:sz w:val="20"/>
                <w:szCs w:val="20"/>
              </w:rPr>
              <w:t>Bulevar</w:t>
            </w:r>
            <w:proofErr w:type="spellEnd"/>
            <w:r w:rsidRPr="00F07779">
              <w:rPr>
                <w:sz w:val="20"/>
                <w:szCs w:val="20"/>
              </w:rPr>
              <w:t xml:space="preserve"> </w:t>
            </w:r>
            <w:proofErr w:type="spellStart"/>
            <w:r w:rsidRPr="00F07779">
              <w:rPr>
                <w:sz w:val="20"/>
                <w:szCs w:val="20"/>
              </w:rPr>
              <w:t>Evrope</w:t>
            </w:r>
            <w:proofErr w:type="spellEnd"/>
            <w:r w:rsidRPr="00F07779">
              <w:rPr>
                <w:sz w:val="20"/>
                <w:szCs w:val="20"/>
              </w:rPr>
              <w:t xml:space="preserve"> (Europe Boulevard). It is planned that TS Novi Sad 8 will be connected to the grid using the "input-output" system on the 110 kV overhead line No. 190B TS Novi Sad 2 - TS Novi Sad 3. OHL 110 kV No. 1135 TS Novi Sad 3 - TS Novi Sad 5 would be introduced into the new transformer station using a dual-system overhead line using the "input-output" system.</w:t>
            </w:r>
          </w:p>
          <w:p w14:paraId="565F3C4D" w14:textId="77777777" w:rsidR="0094644B" w:rsidRPr="00F07779" w:rsidRDefault="0094644B" w:rsidP="00FB5086">
            <w:pPr>
              <w:rPr>
                <w:sz w:val="20"/>
                <w:szCs w:val="20"/>
              </w:rPr>
            </w:pPr>
            <w:r w:rsidRPr="00F07779">
              <w:rPr>
                <w:sz w:val="20"/>
                <w:szCs w:val="20"/>
              </w:rPr>
              <w:t>Expected dynamics of project implementation:</w:t>
            </w:r>
          </w:p>
          <w:p w14:paraId="1E99271F" w14:textId="77777777" w:rsidR="0094644B" w:rsidRPr="00F07779" w:rsidRDefault="0094644B" w:rsidP="00FB5086">
            <w:pPr>
              <w:rPr>
                <w:sz w:val="20"/>
                <w:szCs w:val="20"/>
              </w:rPr>
            </w:pPr>
            <w:r w:rsidRPr="00F07779">
              <w:rPr>
                <w:sz w:val="20"/>
                <w:szCs w:val="20"/>
              </w:rPr>
              <w:t>2026. The beginning of the project</w:t>
            </w:r>
          </w:p>
          <w:p w14:paraId="747E9F3C" w14:textId="77777777" w:rsidR="0094644B" w:rsidRPr="00F07779" w:rsidRDefault="0094644B" w:rsidP="00FB5086">
            <w:pPr>
              <w:rPr>
                <w:sz w:val="20"/>
                <w:szCs w:val="20"/>
              </w:rPr>
            </w:pPr>
            <w:r w:rsidRPr="00F07779">
              <w:rPr>
                <w:sz w:val="20"/>
                <w:szCs w:val="20"/>
              </w:rPr>
              <w:t>2027. Location conditions</w:t>
            </w:r>
          </w:p>
          <w:p w14:paraId="38AFABDF" w14:textId="77777777" w:rsidR="0094644B" w:rsidRPr="00F07779" w:rsidRDefault="0094644B" w:rsidP="00FB5086">
            <w:pPr>
              <w:rPr>
                <w:sz w:val="20"/>
                <w:szCs w:val="20"/>
              </w:rPr>
            </w:pPr>
            <w:r w:rsidRPr="00F07779">
              <w:rPr>
                <w:sz w:val="20"/>
                <w:szCs w:val="20"/>
              </w:rPr>
              <w:t>2028. Building permit</w:t>
            </w:r>
          </w:p>
        </w:tc>
      </w:tr>
      <w:tr w:rsidR="0094644B" w:rsidRPr="00F07779" w14:paraId="7496F1D7"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1EC25094" w14:textId="77777777" w:rsidR="0094644B" w:rsidRPr="00F07779" w:rsidRDefault="0094644B" w:rsidP="00FB5086">
            <w:pPr>
              <w:rPr>
                <w:sz w:val="20"/>
                <w:szCs w:val="20"/>
              </w:rPr>
            </w:pPr>
            <w:r w:rsidRPr="00FA3F57">
              <w:rPr>
                <w:sz w:val="20"/>
                <w:szCs w:val="20"/>
              </w:rPr>
              <w:t>Institutions responsible for the implementation of measures and activities</w:t>
            </w:r>
          </w:p>
        </w:tc>
        <w:tc>
          <w:tcPr>
            <w:tcW w:w="5667" w:type="dxa"/>
            <w:tcBorders>
              <w:top w:val="single" w:sz="4" w:space="0" w:color="auto"/>
              <w:left w:val="single" w:sz="4" w:space="0" w:color="auto"/>
              <w:bottom w:val="single" w:sz="4" w:space="0" w:color="auto"/>
              <w:right w:val="single" w:sz="4" w:space="0" w:color="auto"/>
            </w:tcBorders>
            <w:hideMark/>
          </w:tcPr>
          <w:p w14:paraId="1F9A1150" w14:textId="77777777" w:rsidR="0094644B" w:rsidRPr="00F07779" w:rsidRDefault="0094644B" w:rsidP="00FB5086">
            <w:pPr>
              <w:rPr>
                <w:sz w:val="20"/>
                <w:szCs w:val="20"/>
              </w:rPr>
            </w:pPr>
            <w:r w:rsidRPr="00FA3F57">
              <w:rPr>
                <w:sz w:val="20"/>
                <w:szCs w:val="20"/>
              </w:rPr>
              <w:t>EMS JSC Belgrade</w:t>
            </w:r>
          </w:p>
        </w:tc>
      </w:tr>
      <w:tr w:rsidR="0094644B" w:rsidRPr="00F07779" w14:paraId="5D11899C"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5DC8C5C1" w14:textId="77777777" w:rsidR="0094644B" w:rsidRPr="00F07779" w:rsidRDefault="0094644B" w:rsidP="00FB5086">
            <w:pPr>
              <w:rPr>
                <w:sz w:val="20"/>
                <w:szCs w:val="20"/>
              </w:rPr>
            </w:pPr>
            <w:r w:rsidRPr="00FA3F57">
              <w:rPr>
                <w:sz w:val="20"/>
                <w:szCs w:val="20"/>
              </w:rPr>
              <w:t>Institutions responsible for monitoring implementation and reporting on the realization</w:t>
            </w:r>
          </w:p>
        </w:tc>
        <w:tc>
          <w:tcPr>
            <w:tcW w:w="5667" w:type="dxa"/>
            <w:tcBorders>
              <w:top w:val="single" w:sz="4" w:space="0" w:color="auto"/>
              <w:left w:val="single" w:sz="4" w:space="0" w:color="auto"/>
              <w:bottom w:val="single" w:sz="4" w:space="0" w:color="auto"/>
              <w:right w:val="single" w:sz="4" w:space="0" w:color="auto"/>
            </w:tcBorders>
            <w:hideMark/>
          </w:tcPr>
          <w:p w14:paraId="7A5778AB" w14:textId="77777777" w:rsidR="0094644B" w:rsidRPr="00F07779" w:rsidRDefault="0094644B" w:rsidP="00FB5086">
            <w:pPr>
              <w:rPr>
                <w:sz w:val="20"/>
                <w:szCs w:val="20"/>
              </w:rPr>
            </w:pPr>
            <w:r w:rsidRPr="00FA3F57">
              <w:rPr>
                <w:sz w:val="20"/>
                <w:szCs w:val="20"/>
              </w:rPr>
              <w:t>EMS JSC Belgrade</w:t>
            </w:r>
          </w:p>
          <w:p w14:paraId="08BD261F" w14:textId="77777777" w:rsidR="0094644B" w:rsidRPr="00FA3F57" w:rsidRDefault="0094644B" w:rsidP="00FB5086">
            <w:pPr>
              <w:rPr>
                <w:sz w:val="20"/>
                <w:szCs w:val="20"/>
              </w:rPr>
            </w:pPr>
            <w:r w:rsidRPr="00FA3F57">
              <w:rPr>
                <w:sz w:val="20"/>
                <w:szCs w:val="20"/>
              </w:rPr>
              <w:t>Republic Commission for Energy Networks</w:t>
            </w:r>
          </w:p>
          <w:p w14:paraId="5B6C1940" w14:textId="77777777" w:rsidR="0094644B" w:rsidRPr="00F07779" w:rsidRDefault="0094644B" w:rsidP="00FB5086">
            <w:pPr>
              <w:rPr>
                <w:sz w:val="20"/>
                <w:szCs w:val="20"/>
              </w:rPr>
            </w:pPr>
            <w:r w:rsidRPr="00F07779">
              <w:rPr>
                <w:sz w:val="20"/>
                <w:szCs w:val="20"/>
              </w:rPr>
              <w:t>Ministry of Mining and Energy</w:t>
            </w:r>
          </w:p>
        </w:tc>
      </w:tr>
      <w:tr w:rsidR="0094644B" w:rsidRPr="00F07779" w14:paraId="0C3E8B95"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04D90BF4" w14:textId="77777777" w:rsidR="0094644B" w:rsidRPr="00F07779" w:rsidRDefault="0094644B" w:rsidP="00FB5086">
            <w:pPr>
              <w:rPr>
                <w:sz w:val="20"/>
                <w:szCs w:val="20"/>
              </w:rPr>
            </w:pPr>
            <w:r w:rsidRPr="00FA3F57">
              <w:rPr>
                <w:sz w:val="20"/>
                <w:szCs w:val="20"/>
              </w:rPr>
              <w:t>Year of project funding start</w:t>
            </w:r>
          </w:p>
        </w:tc>
        <w:tc>
          <w:tcPr>
            <w:tcW w:w="5667" w:type="dxa"/>
            <w:tcBorders>
              <w:top w:val="single" w:sz="4" w:space="0" w:color="auto"/>
              <w:left w:val="single" w:sz="4" w:space="0" w:color="auto"/>
              <w:bottom w:val="single" w:sz="4" w:space="0" w:color="auto"/>
              <w:right w:val="single" w:sz="4" w:space="0" w:color="auto"/>
            </w:tcBorders>
            <w:hideMark/>
          </w:tcPr>
          <w:p w14:paraId="15AC40CC" w14:textId="77777777" w:rsidR="0094644B" w:rsidRPr="00F07779" w:rsidRDefault="0094644B" w:rsidP="00FB5086">
            <w:pPr>
              <w:rPr>
                <w:sz w:val="20"/>
                <w:szCs w:val="20"/>
              </w:rPr>
            </w:pPr>
            <w:r w:rsidRPr="00F07779">
              <w:rPr>
                <w:sz w:val="20"/>
                <w:szCs w:val="20"/>
              </w:rPr>
              <w:t>2023.</w:t>
            </w:r>
          </w:p>
        </w:tc>
      </w:tr>
      <w:tr w:rsidR="0094644B" w:rsidRPr="00F07779" w14:paraId="163E17C1"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567D92D1" w14:textId="77777777" w:rsidR="0094644B" w:rsidRPr="00F07779" w:rsidRDefault="0094644B" w:rsidP="00FB5086">
            <w:pPr>
              <w:rPr>
                <w:sz w:val="20"/>
                <w:szCs w:val="20"/>
              </w:rPr>
            </w:pPr>
            <w:r w:rsidRPr="00FA3F57">
              <w:rPr>
                <w:sz w:val="20"/>
                <w:szCs w:val="20"/>
              </w:rPr>
              <w:t>Year of completion of project funding</w:t>
            </w:r>
          </w:p>
        </w:tc>
        <w:tc>
          <w:tcPr>
            <w:tcW w:w="5667" w:type="dxa"/>
            <w:tcBorders>
              <w:top w:val="single" w:sz="4" w:space="0" w:color="auto"/>
              <w:left w:val="single" w:sz="4" w:space="0" w:color="auto"/>
              <w:bottom w:val="single" w:sz="4" w:space="0" w:color="auto"/>
              <w:right w:val="single" w:sz="4" w:space="0" w:color="auto"/>
            </w:tcBorders>
            <w:hideMark/>
          </w:tcPr>
          <w:p w14:paraId="2A7644E7" w14:textId="77777777" w:rsidR="0094644B" w:rsidRPr="00F07779" w:rsidRDefault="0094644B" w:rsidP="00FB5086">
            <w:pPr>
              <w:rPr>
                <w:sz w:val="20"/>
                <w:szCs w:val="20"/>
              </w:rPr>
            </w:pPr>
            <w:r w:rsidRPr="00F07779">
              <w:rPr>
                <w:sz w:val="20"/>
                <w:szCs w:val="20"/>
              </w:rPr>
              <w:t>2029.</w:t>
            </w:r>
          </w:p>
        </w:tc>
      </w:tr>
      <w:tr w:rsidR="0094644B" w:rsidRPr="00F07779" w14:paraId="0FE20041"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672205AD" w14:textId="77777777" w:rsidR="0094644B" w:rsidRPr="00F07779" w:rsidRDefault="0094644B" w:rsidP="00FB5086">
            <w:pPr>
              <w:rPr>
                <w:sz w:val="20"/>
                <w:szCs w:val="20"/>
              </w:rPr>
            </w:pPr>
            <w:r w:rsidRPr="00FA3F57">
              <w:rPr>
                <w:sz w:val="20"/>
                <w:szCs w:val="20"/>
              </w:rPr>
              <w:t>Total project value</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1F40B164" w14:textId="77777777" w:rsidR="0094644B" w:rsidRPr="00F07779" w:rsidRDefault="0094644B" w:rsidP="00FB5086">
            <w:pPr>
              <w:rPr>
                <w:sz w:val="20"/>
                <w:szCs w:val="20"/>
              </w:rPr>
            </w:pPr>
            <w:r w:rsidRPr="00F07779">
              <w:rPr>
                <w:sz w:val="20"/>
                <w:szCs w:val="20"/>
              </w:rPr>
              <w:t>293,125 (2.5 million EUR)</w:t>
            </w:r>
          </w:p>
        </w:tc>
      </w:tr>
      <w:tr w:rsidR="0094644B" w:rsidRPr="00F07779" w14:paraId="50988506"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6C30768E" w14:textId="77777777" w:rsidR="0094644B" w:rsidRPr="00F07779" w:rsidRDefault="0094644B" w:rsidP="00FB5086">
            <w:pPr>
              <w:rPr>
                <w:sz w:val="20"/>
                <w:szCs w:val="20"/>
              </w:rPr>
            </w:pPr>
            <w:r w:rsidRPr="00FA3F57">
              <w:rPr>
                <w:sz w:val="20"/>
                <w:szCs w:val="20"/>
              </w:rPr>
              <w:t>Planned investments for 2026.</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1A412797" w14:textId="77777777" w:rsidR="0094644B" w:rsidRPr="00F07779" w:rsidRDefault="0094644B" w:rsidP="00FB5086">
            <w:pPr>
              <w:rPr>
                <w:sz w:val="20"/>
                <w:szCs w:val="20"/>
              </w:rPr>
            </w:pPr>
            <w:r w:rsidRPr="00F07779">
              <w:rPr>
                <w:sz w:val="20"/>
                <w:szCs w:val="20"/>
              </w:rPr>
              <w:t>11,910 (own funds of EMS JSC)</w:t>
            </w:r>
          </w:p>
        </w:tc>
      </w:tr>
      <w:tr w:rsidR="0094644B" w:rsidRPr="00F07779" w14:paraId="7658EFAB"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063427BA" w14:textId="77777777" w:rsidR="0094644B" w:rsidRPr="00F07779" w:rsidRDefault="0094644B" w:rsidP="00FB5086">
            <w:pPr>
              <w:rPr>
                <w:sz w:val="20"/>
                <w:szCs w:val="20"/>
              </w:rPr>
            </w:pPr>
            <w:r w:rsidRPr="00FA3F57">
              <w:rPr>
                <w:sz w:val="20"/>
                <w:szCs w:val="20"/>
              </w:rPr>
              <w:t>Planned investments for 2027.</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19E4B74E" w14:textId="77777777" w:rsidR="0094644B" w:rsidRPr="00F07779" w:rsidRDefault="0094644B" w:rsidP="00FB5086">
            <w:pPr>
              <w:rPr>
                <w:sz w:val="20"/>
                <w:szCs w:val="20"/>
              </w:rPr>
            </w:pPr>
            <w:r w:rsidRPr="00F07779">
              <w:rPr>
                <w:sz w:val="20"/>
                <w:szCs w:val="20"/>
              </w:rPr>
              <w:t>92,495 (own funds of EMS JSC)</w:t>
            </w:r>
          </w:p>
        </w:tc>
      </w:tr>
      <w:tr w:rsidR="0094644B" w:rsidRPr="00F07779" w14:paraId="5F817327"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4CEF6623" w14:textId="77777777" w:rsidR="0094644B" w:rsidRPr="00F07779" w:rsidRDefault="0094644B" w:rsidP="00FB5086">
            <w:pPr>
              <w:rPr>
                <w:sz w:val="20"/>
                <w:szCs w:val="20"/>
              </w:rPr>
            </w:pPr>
            <w:r w:rsidRPr="00FA3F57">
              <w:rPr>
                <w:sz w:val="20"/>
                <w:szCs w:val="20"/>
              </w:rPr>
              <w:t>Planned investments for 2028.</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172E1FAA" w14:textId="77777777" w:rsidR="0094644B" w:rsidRPr="00F07779" w:rsidRDefault="0094644B" w:rsidP="00FB5086">
            <w:pPr>
              <w:rPr>
                <w:sz w:val="20"/>
                <w:szCs w:val="20"/>
              </w:rPr>
            </w:pPr>
            <w:r w:rsidRPr="00F07779">
              <w:rPr>
                <w:sz w:val="20"/>
                <w:szCs w:val="20"/>
              </w:rPr>
              <w:t>92,495 (own funds of EMS JSC)</w:t>
            </w:r>
          </w:p>
        </w:tc>
      </w:tr>
    </w:tbl>
    <w:p w14:paraId="042B9A6E" w14:textId="77777777" w:rsidR="0094644B" w:rsidRPr="00F07779" w:rsidRDefault="0094644B" w:rsidP="0094644B">
      <w:pPr>
        <w:tabs>
          <w:tab w:val="left" w:pos="1276"/>
          <w:tab w:val="left" w:pos="1560"/>
        </w:tabs>
        <w:ind w:left="1440" w:hanging="1440"/>
      </w:pPr>
    </w:p>
    <w:tbl>
      <w:tblPr>
        <w:tblStyle w:val="TableGrid"/>
        <w:tblW w:w="0" w:type="auto"/>
        <w:tblLook w:val="04A0" w:firstRow="1" w:lastRow="0" w:firstColumn="1" w:lastColumn="0" w:noHBand="0" w:noVBand="1"/>
      </w:tblPr>
      <w:tblGrid>
        <w:gridCol w:w="2973"/>
        <w:gridCol w:w="5667"/>
      </w:tblGrid>
      <w:tr w:rsidR="0094644B" w:rsidRPr="00F07779" w14:paraId="7529E312"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7D019B9" w14:textId="77777777" w:rsidR="0094644B" w:rsidRPr="00F07779" w:rsidRDefault="0094644B" w:rsidP="00FB5086">
            <w:pPr>
              <w:rPr>
                <w:sz w:val="20"/>
                <w:szCs w:val="20"/>
              </w:rPr>
            </w:pPr>
            <w:r w:rsidRPr="00F07779">
              <w:rPr>
                <w:sz w:val="20"/>
                <w:szCs w:val="20"/>
              </w:rPr>
              <w:t>Activity EL1.2</w:t>
            </w:r>
          </w:p>
        </w:tc>
        <w:tc>
          <w:tcPr>
            <w:tcW w:w="566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57784AF" w14:textId="77777777" w:rsidR="0094644B" w:rsidRPr="00F07779" w:rsidRDefault="0094644B" w:rsidP="00FB5086">
            <w:pPr>
              <w:rPr>
                <w:sz w:val="20"/>
                <w:szCs w:val="20"/>
              </w:rPr>
            </w:pPr>
            <w:r w:rsidRPr="00F07779">
              <w:rPr>
                <w:sz w:val="20"/>
                <w:szCs w:val="20"/>
              </w:rPr>
              <w:t>Investment projects focused on the reconstruction and construction of the transmission network</w:t>
            </w:r>
          </w:p>
        </w:tc>
      </w:tr>
      <w:tr w:rsidR="0094644B" w:rsidRPr="00F07779" w14:paraId="4A971E33"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62F91DE7" w14:textId="77777777" w:rsidR="0094644B" w:rsidRPr="00F07779" w:rsidRDefault="0094644B" w:rsidP="00FB5086">
            <w:pPr>
              <w:rPr>
                <w:sz w:val="20"/>
                <w:szCs w:val="20"/>
              </w:rPr>
            </w:pPr>
            <w:r w:rsidRPr="00FA3F57">
              <w:rPr>
                <w:sz w:val="20"/>
                <w:szCs w:val="20"/>
              </w:rPr>
              <w:t>Name of the project</w:t>
            </w:r>
          </w:p>
        </w:tc>
        <w:tc>
          <w:tcPr>
            <w:tcW w:w="5667"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09FD0435" w14:textId="77777777" w:rsidR="0094644B" w:rsidRPr="00F07779" w:rsidRDefault="0094644B" w:rsidP="00FB5086">
            <w:pPr>
              <w:rPr>
                <w:sz w:val="20"/>
                <w:szCs w:val="20"/>
              </w:rPr>
            </w:pPr>
            <w:r w:rsidRPr="00F07779">
              <w:rPr>
                <w:sz w:val="20"/>
                <w:szCs w:val="20"/>
              </w:rPr>
              <w:t xml:space="preserve">Connection line for the 110/20 kV TS </w:t>
            </w:r>
            <w:proofErr w:type="spellStart"/>
            <w:r w:rsidRPr="00F07779">
              <w:rPr>
                <w:sz w:val="20"/>
                <w:szCs w:val="20"/>
              </w:rPr>
              <w:t>Svilajnac</w:t>
            </w:r>
            <w:proofErr w:type="spellEnd"/>
          </w:p>
        </w:tc>
      </w:tr>
      <w:tr w:rsidR="0094644B" w:rsidRPr="00F07779" w14:paraId="6D56AE0D"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26E662B" w14:textId="77777777" w:rsidR="0094644B" w:rsidRPr="00F07779" w:rsidRDefault="0094644B" w:rsidP="00FB5086">
            <w:pPr>
              <w:rPr>
                <w:sz w:val="20"/>
                <w:szCs w:val="20"/>
              </w:rPr>
            </w:pPr>
            <w:r w:rsidRPr="00FA3F57">
              <w:rPr>
                <w:sz w:val="20"/>
                <w:szCs w:val="20"/>
              </w:rPr>
              <w:t xml:space="preserve">Name of the </w:t>
            </w:r>
            <w:r w:rsidRPr="00F07779">
              <w:rPr>
                <w:sz w:val="20"/>
                <w:szCs w:val="20"/>
              </w:rPr>
              <w:t>investment</w:t>
            </w:r>
          </w:p>
        </w:tc>
        <w:tc>
          <w:tcPr>
            <w:tcW w:w="566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05238B8" w14:textId="77777777" w:rsidR="0094644B" w:rsidRPr="00F07779" w:rsidRDefault="0094644B" w:rsidP="00FB5086">
            <w:pPr>
              <w:rPr>
                <w:sz w:val="20"/>
                <w:szCs w:val="20"/>
              </w:rPr>
            </w:pPr>
            <w:r w:rsidRPr="00F07779">
              <w:rPr>
                <w:sz w:val="20"/>
                <w:szCs w:val="20"/>
              </w:rPr>
              <w:t xml:space="preserve">OHL 110 kV No. 105/2 TPP Morava – TS </w:t>
            </w:r>
            <w:proofErr w:type="spellStart"/>
            <w:r w:rsidRPr="00F07779">
              <w:rPr>
                <w:sz w:val="20"/>
                <w:szCs w:val="20"/>
              </w:rPr>
              <w:t>Jagodina</w:t>
            </w:r>
            <w:proofErr w:type="spellEnd"/>
            <w:r w:rsidRPr="00F07779">
              <w:rPr>
                <w:sz w:val="20"/>
                <w:szCs w:val="20"/>
              </w:rPr>
              <w:t xml:space="preserve"> 4 and OHL 110 kV No. 105/1 TPP Morava – TS </w:t>
            </w:r>
            <w:proofErr w:type="spellStart"/>
            <w:r w:rsidRPr="00F07779">
              <w:rPr>
                <w:sz w:val="20"/>
                <w:szCs w:val="20"/>
              </w:rPr>
              <w:t>Petrovac</w:t>
            </w:r>
            <w:proofErr w:type="spellEnd"/>
            <w:r w:rsidRPr="00F07779">
              <w:rPr>
                <w:sz w:val="20"/>
                <w:szCs w:val="20"/>
              </w:rPr>
              <w:t>, leading into TS </w:t>
            </w:r>
            <w:proofErr w:type="spellStart"/>
            <w:r w:rsidRPr="00F07779">
              <w:rPr>
                <w:sz w:val="20"/>
                <w:szCs w:val="20"/>
              </w:rPr>
              <w:t>Svilajnac</w:t>
            </w:r>
            <w:proofErr w:type="spellEnd"/>
          </w:p>
        </w:tc>
      </w:tr>
      <w:tr w:rsidR="0094644B" w:rsidRPr="00F07779" w14:paraId="37748019"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3160264E" w14:textId="77777777" w:rsidR="0094644B" w:rsidRPr="00F07779" w:rsidRDefault="0094644B" w:rsidP="00FB5086">
            <w:pPr>
              <w:rPr>
                <w:sz w:val="20"/>
                <w:szCs w:val="20"/>
              </w:rPr>
            </w:pPr>
            <w:r w:rsidRPr="00FA3F57">
              <w:rPr>
                <w:sz w:val="20"/>
                <w:szCs w:val="20"/>
              </w:rPr>
              <w:t>Short description of the investment</w:t>
            </w:r>
          </w:p>
        </w:tc>
        <w:tc>
          <w:tcPr>
            <w:tcW w:w="5667" w:type="dxa"/>
            <w:tcBorders>
              <w:top w:val="single" w:sz="4" w:space="0" w:color="auto"/>
              <w:left w:val="single" w:sz="4" w:space="0" w:color="auto"/>
              <w:bottom w:val="single" w:sz="4" w:space="0" w:color="auto"/>
              <w:right w:val="single" w:sz="4" w:space="0" w:color="auto"/>
            </w:tcBorders>
            <w:hideMark/>
          </w:tcPr>
          <w:p w14:paraId="50AA50AE" w14:textId="77777777" w:rsidR="0094644B" w:rsidRPr="00FA3F57" w:rsidRDefault="0094644B" w:rsidP="00FB5086">
            <w:r w:rsidRPr="00F07779">
              <w:rPr>
                <w:sz w:val="20"/>
                <w:szCs w:val="20"/>
              </w:rPr>
              <w:t xml:space="preserve">Leading of OHL 110 kV No. 105/2 TPP Morava – TS </w:t>
            </w:r>
            <w:proofErr w:type="spellStart"/>
            <w:r w:rsidRPr="00F07779">
              <w:rPr>
                <w:sz w:val="20"/>
                <w:szCs w:val="20"/>
              </w:rPr>
              <w:t>Jagodina</w:t>
            </w:r>
            <w:proofErr w:type="spellEnd"/>
            <w:r w:rsidRPr="00F07779">
              <w:rPr>
                <w:sz w:val="20"/>
                <w:szCs w:val="20"/>
              </w:rPr>
              <w:t xml:space="preserve"> 4 and OHL 110 kV No. 105/1 TPP Morava – TS </w:t>
            </w:r>
            <w:proofErr w:type="spellStart"/>
            <w:r w:rsidRPr="00F07779">
              <w:rPr>
                <w:sz w:val="20"/>
                <w:szCs w:val="20"/>
              </w:rPr>
              <w:t>Petrovac</w:t>
            </w:r>
            <w:proofErr w:type="spellEnd"/>
            <w:r w:rsidRPr="00F07779">
              <w:rPr>
                <w:sz w:val="20"/>
                <w:szCs w:val="20"/>
              </w:rPr>
              <w:t xml:space="preserve"> into TS </w:t>
            </w:r>
            <w:proofErr w:type="spellStart"/>
            <w:r w:rsidRPr="00F07779">
              <w:rPr>
                <w:sz w:val="20"/>
                <w:szCs w:val="20"/>
              </w:rPr>
              <w:t>Svilajnac</w:t>
            </w:r>
            <w:proofErr w:type="spellEnd"/>
            <w:r w:rsidRPr="00F07779">
              <w:rPr>
                <w:sz w:val="20"/>
                <w:szCs w:val="20"/>
              </w:rPr>
              <w:t xml:space="preserve"> is carried out using dual-system lines. The new TS </w:t>
            </w:r>
            <w:proofErr w:type="spellStart"/>
            <w:r w:rsidRPr="00F07779">
              <w:rPr>
                <w:sz w:val="20"/>
                <w:szCs w:val="20"/>
              </w:rPr>
              <w:t>Svilajnac</w:t>
            </w:r>
            <w:proofErr w:type="spellEnd"/>
            <w:r w:rsidRPr="00F07779">
              <w:rPr>
                <w:sz w:val="20"/>
                <w:szCs w:val="20"/>
              </w:rPr>
              <w:t xml:space="preserve"> has a dual function: relocating the distribution substation from the Morava TPP and bringing the 110/20 kV supply TS closer to the center of consumption.</w:t>
            </w:r>
          </w:p>
          <w:p w14:paraId="30E614F4" w14:textId="77777777" w:rsidR="0094644B" w:rsidRPr="00F07779" w:rsidRDefault="0094644B" w:rsidP="00FB5086">
            <w:pPr>
              <w:rPr>
                <w:sz w:val="20"/>
                <w:szCs w:val="20"/>
              </w:rPr>
            </w:pPr>
            <w:r w:rsidRPr="00F07779">
              <w:rPr>
                <w:sz w:val="20"/>
                <w:szCs w:val="20"/>
              </w:rPr>
              <w:t>Expected dynamics of project implementation:</w:t>
            </w:r>
          </w:p>
          <w:p w14:paraId="05BEA425" w14:textId="77777777" w:rsidR="0094644B" w:rsidRPr="00F07779" w:rsidRDefault="0094644B" w:rsidP="00FB5086">
            <w:pPr>
              <w:rPr>
                <w:sz w:val="20"/>
                <w:szCs w:val="20"/>
              </w:rPr>
            </w:pPr>
            <w:r w:rsidRPr="00F07779">
              <w:rPr>
                <w:sz w:val="20"/>
                <w:szCs w:val="20"/>
              </w:rPr>
              <w:t>2026. The beginning of the project</w:t>
            </w:r>
          </w:p>
          <w:p w14:paraId="7DABC833" w14:textId="77777777" w:rsidR="0094644B" w:rsidRPr="00F07779" w:rsidRDefault="0094644B" w:rsidP="00FB5086">
            <w:pPr>
              <w:rPr>
                <w:sz w:val="20"/>
                <w:szCs w:val="20"/>
              </w:rPr>
            </w:pPr>
            <w:r w:rsidRPr="00F07779">
              <w:rPr>
                <w:sz w:val="20"/>
                <w:szCs w:val="20"/>
              </w:rPr>
              <w:lastRenderedPageBreak/>
              <w:t>2027. Location conditions</w:t>
            </w:r>
          </w:p>
          <w:p w14:paraId="422C4589" w14:textId="77777777" w:rsidR="0094644B" w:rsidRPr="00F07779" w:rsidRDefault="0094644B" w:rsidP="00FB5086">
            <w:pPr>
              <w:rPr>
                <w:sz w:val="20"/>
                <w:szCs w:val="20"/>
              </w:rPr>
            </w:pPr>
            <w:r w:rsidRPr="00F07779">
              <w:rPr>
                <w:sz w:val="20"/>
                <w:szCs w:val="20"/>
              </w:rPr>
              <w:t>2028. Building permit</w:t>
            </w:r>
          </w:p>
        </w:tc>
      </w:tr>
      <w:tr w:rsidR="0094644B" w:rsidRPr="00F07779" w14:paraId="7D39BD24"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0B630512" w14:textId="77777777" w:rsidR="0094644B" w:rsidRPr="00F07779" w:rsidRDefault="0094644B" w:rsidP="00FB5086">
            <w:pPr>
              <w:rPr>
                <w:sz w:val="20"/>
                <w:szCs w:val="20"/>
              </w:rPr>
            </w:pPr>
            <w:r w:rsidRPr="00FA3F57">
              <w:rPr>
                <w:sz w:val="20"/>
                <w:szCs w:val="20"/>
              </w:rPr>
              <w:lastRenderedPageBreak/>
              <w:t>Institutions responsible for the implementation of measures and activities</w:t>
            </w:r>
          </w:p>
        </w:tc>
        <w:tc>
          <w:tcPr>
            <w:tcW w:w="5667" w:type="dxa"/>
            <w:tcBorders>
              <w:top w:val="single" w:sz="4" w:space="0" w:color="auto"/>
              <w:left w:val="single" w:sz="4" w:space="0" w:color="auto"/>
              <w:bottom w:val="single" w:sz="4" w:space="0" w:color="auto"/>
              <w:right w:val="single" w:sz="4" w:space="0" w:color="auto"/>
            </w:tcBorders>
            <w:hideMark/>
          </w:tcPr>
          <w:p w14:paraId="70C629AD" w14:textId="77777777" w:rsidR="0094644B" w:rsidRPr="00F07779" w:rsidRDefault="0094644B" w:rsidP="00FB5086">
            <w:pPr>
              <w:rPr>
                <w:sz w:val="20"/>
                <w:szCs w:val="20"/>
              </w:rPr>
            </w:pPr>
            <w:r w:rsidRPr="00FA3F57">
              <w:rPr>
                <w:sz w:val="20"/>
                <w:szCs w:val="20"/>
              </w:rPr>
              <w:t>EMS JSC Belgrade</w:t>
            </w:r>
          </w:p>
        </w:tc>
      </w:tr>
      <w:tr w:rsidR="0094644B" w:rsidRPr="00F07779" w14:paraId="6FD45C58"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2B1A127A" w14:textId="77777777" w:rsidR="0094644B" w:rsidRPr="00F07779" w:rsidRDefault="0094644B" w:rsidP="00FB5086">
            <w:pPr>
              <w:rPr>
                <w:sz w:val="20"/>
                <w:szCs w:val="20"/>
              </w:rPr>
            </w:pPr>
            <w:r w:rsidRPr="00FA3F57">
              <w:rPr>
                <w:sz w:val="20"/>
                <w:szCs w:val="20"/>
              </w:rPr>
              <w:t>Institutions responsible for monitoring implementation and reporting on the realization</w:t>
            </w:r>
          </w:p>
        </w:tc>
        <w:tc>
          <w:tcPr>
            <w:tcW w:w="5667" w:type="dxa"/>
            <w:tcBorders>
              <w:top w:val="single" w:sz="4" w:space="0" w:color="auto"/>
              <w:left w:val="single" w:sz="4" w:space="0" w:color="auto"/>
              <w:bottom w:val="single" w:sz="4" w:space="0" w:color="auto"/>
              <w:right w:val="single" w:sz="4" w:space="0" w:color="auto"/>
            </w:tcBorders>
            <w:hideMark/>
          </w:tcPr>
          <w:p w14:paraId="2243AAAA" w14:textId="77777777" w:rsidR="0094644B" w:rsidRPr="00F07779" w:rsidRDefault="0094644B" w:rsidP="00FB5086">
            <w:pPr>
              <w:rPr>
                <w:sz w:val="20"/>
                <w:szCs w:val="20"/>
              </w:rPr>
            </w:pPr>
            <w:r w:rsidRPr="00FA3F57">
              <w:rPr>
                <w:sz w:val="20"/>
                <w:szCs w:val="20"/>
              </w:rPr>
              <w:t>EMS JSC Belgrade</w:t>
            </w:r>
          </w:p>
          <w:p w14:paraId="18F6F528" w14:textId="77777777" w:rsidR="0094644B" w:rsidRPr="00FA3F57" w:rsidRDefault="0094644B" w:rsidP="00FB5086">
            <w:pPr>
              <w:rPr>
                <w:sz w:val="20"/>
                <w:szCs w:val="20"/>
              </w:rPr>
            </w:pPr>
            <w:r w:rsidRPr="00FA3F57">
              <w:rPr>
                <w:sz w:val="20"/>
                <w:szCs w:val="20"/>
              </w:rPr>
              <w:t>Republic Commission for Energy Networks</w:t>
            </w:r>
          </w:p>
          <w:p w14:paraId="5527B840" w14:textId="77777777" w:rsidR="0094644B" w:rsidRPr="00F07779" w:rsidRDefault="0094644B" w:rsidP="00FB5086">
            <w:pPr>
              <w:rPr>
                <w:sz w:val="20"/>
                <w:szCs w:val="20"/>
              </w:rPr>
            </w:pPr>
            <w:r w:rsidRPr="00F07779">
              <w:rPr>
                <w:sz w:val="20"/>
                <w:szCs w:val="20"/>
              </w:rPr>
              <w:t>Ministry of Mining and Energy</w:t>
            </w:r>
          </w:p>
        </w:tc>
      </w:tr>
      <w:tr w:rsidR="0094644B" w:rsidRPr="00F07779" w14:paraId="00010509"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40E787CA" w14:textId="77777777" w:rsidR="0094644B" w:rsidRPr="00F07779" w:rsidRDefault="0094644B" w:rsidP="00FB5086">
            <w:pPr>
              <w:rPr>
                <w:sz w:val="20"/>
                <w:szCs w:val="20"/>
              </w:rPr>
            </w:pPr>
            <w:r w:rsidRPr="00FA3F57">
              <w:rPr>
                <w:sz w:val="20"/>
                <w:szCs w:val="20"/>
              </w:rPr>
              <w:t>Year of project funding start</w:t>
            </w:r>
          </w:p>
        </w:tc>
        <w:tc>
          <w:tcPr>
            <w:tcW w:w="5667" w:type="dxa"/>
            <w:tcBorders>
              <w:top w:val="single" w:sz="4" w:space="0" w:color="auto"/>
              <w:left w:val="single" w:sz="4" w:space="0" w:color="auto"/>
              <w:bottom w:val="single" w:sz="4" w:space="0" w:color="auto"/>
              <w:right w:val="single" w:sz="4" w:space="0" w:color="auto"/>
            </w:tcBorders>
            <w:hideMark/>
          </w:tcPr>
          <w:p w14:paraId="0D5138E9" w14:textId="77777777" w:rsidR="0094644B" w:rsidRPr="00F07779" w:rsidRDefault="0094644B" w:rsidP="00FB5086">
            <w:pPr>
              <w:rPr>
                <w:sz w:val="20"/>
                <w:szCs w:val="20"/>
              </w:rPr>
            </w:pPr>
            <w:r w:rsidRPr="00F07779">
              <w:rPr>
                <w:sz w:val="20"/>
                <w:szCs w:val="20"/>
              </w:rPr>
              <w:t>2022.</w:t>
            </w:r>
          </w:p>
        </w:tc>
      </w:tr>
      <w:tr w:rsidR="0094644B" w:rsidRPr="00F07779" w14:paraId="7659A86A"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422ADB33" w14:textId="77777777" w:rsidR="0094644B" w:rsidRPr="00F07779" w:rsidRDefault="0094644B" w:rsidP="00FB5086">
            <w:pPr>
              <w:rPr>
                <w:sz w:val="20"/>
                <w:szCs w:val="20"/>
              </w:rPr>
            </w:pPr>
            <w:r w:rsidRPr="00FA3F57">
              <w:rPr>
                <w:sz w:val="20"/>
                <w:szCs w:val="20"/>
              </w:rPr>
              <w:t>Year of completion of project funding</w:t>
            </w:r>
          </w:p>
        </w:tc>
        <w:tc>
          <w:tcPr>
            <w:tcW w:w="5667" w:type="dxa"/>
            <w:tcBorders>
              <w:top w:val="single" w:sz="4" w:space="0" w:color="auto"/>
              <w:left w:val="single" w:sz="4" w:space="0" w:color="auto"/>
              <w:bottom w:val="single" w:sz="4" w:space="0" w:color="auto"/>
              <w:right w:val="single" w:sz="4" w:space="0" w:color="auto"/>
            </w:tcBorders>
            <w:hideMark/>
          </w:tcPr>
          <w:p w14:paraId="0127FE76" w14:textId="77777777" w:rsidR="0094644B" w:rsidRPr="00F07779" w:rsidRDefault="0094644B" w:rsidP="00FB5086">
            <w:pPr>
              <w:rPr>
                <w:sz w:val="20"/>
                <w:szCs w:val="20"/>
              </w:rPr>
            </w:pPr>
            <w:r w:rsidRPr="00F07779">
              <w:rPr>
                <w:sz w:val="20"/>
                <w:szCs w:val="20"/>
              </w:rPr>
              <w:t>2029.</w:t>
            </w:r>
          </w:p>
        </w:tc>
      </w:tr>
      <w:tr w:rsidR="0094644B" w:rsidRPr="00F07779" w14:paraId="1704217B"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689EE983" w14:textId="77777777" w:rsidR="0094644B" w:rsidRPr="00F07779" w:rsidRDefault="0094644B" w:rsidP="00FB5086">
            <w:pPr>
              <w:rPr>
                <w:sz w:val="20"/>
                <w:szCs w:val="20"/>
              </w:rPr>
            </w:pPr>
            <w:r w:rsidRPr="00FA3F57">
              <w:rPr>
                <w:sz w:val="20"/>
                <w:szCs w:val="20"/>
              </w:rPr>
              <w:t>Total project value</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33712779" w14:textId="77777777" w:rsidR="0094644B" w:rsidRPr="00F07779" w:rsidRDefault="0094644B" w:rsidP="00FB5086">
            <w:pPr>
              <w:rPr>
                <w:sz w:val="20"/>
                <w:szCs w:val="20"/>
              </w:rPr>
            </w:pPr>
            <w:r w:rsidRPr="00F07779">
              <w:rPr>
                <w:sz w:val="20"/>
                <w:szCs w:val="20"/>
              </w:rPr>
              <w:t>117,250 (1 million EUR)</w:t>
            </w:r>
          </w:p>
        </w:tc>
      </w:tr>
      <w:tr w:rsidR="0094644B" w:rsidRPr="00F07779" w14:paraId="278B1F31"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14851AF7" w14:textId="77777777" w:rsidR="0094644B" w:rsidRPr="00F07779" w:rsidRDefault="0094644B" w:rsidP="00FB5086">
            <w:pPr>
              <w:rPr>
                <w:sz w:val="20"/>
                <w:szCs w:val="20"/>
              </w:rPr>
            </w:pPr>
            <w:r w:rsidRPr="00FA3F57">
              <w:rPr>
                <w:sz w:val="20"/>
                <w:szCs w:val="20"/>
              </w:rPr>
              <w:t>Planned investments for 2026.</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516840CF" w14:textId="77777777" w:rsidR="0094644B" w:rsidRPr="00F07779" w:rsidRDefault="0094644B" w:rsidP="00FB5086">
            <w:pPr>
              <w:rPr>
                <w:sz w:val="20"/>
                <w:szCs w:val="20"/>
              </w:rPr>
            </w:pPr>
            <w:r w:rsidRPr="00F07779">
              <w:rPr>
                <w:sz w:val="20"/>
                <w:szCs w:val="20"/>
              </w:rPr>
              <w:t>117.25 (own funds of EMS JSC)</w:t>
            </w:r>
          </w:p>
        </w:tc>
      </w:tr>
      <w:tr w:rsidR="0094644B" w:rsidRPr="00F07779" w14:paraId="5FFB4733"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1F38540C" w14:textId="77777777" w:rsidR="0094644B" w:rsidRPr="00F07779" w:rsidRDefault="0094644B" w:rsidP="00FB5086">
            <w:pPr>
              <w:rPr>
                <w:sz w:val="20"/>
                <w:szCs w:val="20"/>
              </w:rPr>
            </w:pPr>
            <w:r w:rsidRPr="00FA3F57">
              <w:rPr>
                <w:sz w:val="20"/>
                <w:szCs w:val="20"/>
              </w:rPr>
              <w:t>Planned investments for 2027.</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4EFD2182" w14:textId="77777777" w:rsidR="0094644B" w:rsidRPr="00F07779" w:rsidRDefault="0094644B" w:rsidP="00FB5086">
            <w:pPr>
              <w:rPr>
                <w:sz w:val="20"/>
                <w:szCs w:val="20"/>
              </w:rPr>
            </w:pPr>
            <w:r w:rsidRPr="00F07779">
              <w:rPr>
                <w:sz w:val="20"/>
                <w:szCs w:val="20"/>
              </w:rPr>
              <w:t>586 (own funds of EMS JSC)</w:t>
            </w:r>
          </w:p>
        </w:tc>
      </w:tr>
      <w:tr w:rsidR="0094644B" w:rsidRPr="00F07779" w14:paraId="1FFCB089"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45E75A9A" w14:textId="77777777" w:rsidR="0094644B" w:rsidRPr="00F07779" w:rsidRDefault="0094644B" w:rsidP="00FB5086">
            <w:pPr>
              <w:rPr>
                <w:sz w:val="20"/>
                <w:szCs w:val="20"/>
              </w:rPr>
            </w:pPr>
            <w:r w:rsidRPr="00FA3F57">
              <w:rPr>
                <w:sz w:val="20"/>
                <w:szCs w:val="20"/>
              </w:rPr>
              <w:t>Planned investments for 2028.</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578B8F13" w14:textId="77777777" w:rsidR="0094644B" w:rsidRPr="00F07779" w:rsidRDefault="0094644B" w:rsidP="00FB5086">
            <w:pPr>
              <w:rPr>
                <w:sz w:val="20"/>
                <w:szCs w:val="20"/>
              </w:rPr>
            </w:pPr>
            <w:r w:rsidRPr="00F07779">
              <w:rPr>
                <w:sz w:val="20"/>
                <w:szCs w:val="20"/>
              </w:rPr>
              <w:t>60 (own funds of EMS JSC)</w:t>
            </w:r>
          </w:p>
        </w:tc>
      </w:tr>
    </w:tbl>
    <w:p w14:paraId="3C0D2913" w14:textId="77777777" w:rsidR="0094644B" w:rsidRPr="00F07779" w:rsidRDefault="0094644B" w:rsidP="0094644B">
      <w:pPr>
        <w:tabs>
          <w:tab w:val="left" w:pos="1276"/>
          <w:tab w:val="left" w:pos="1560"/>
        </w:tabs>
        <w:ind w:left="1440" w:hanging="1440"/>
      </w:pPr>
    </w:p>
    <w:tbl>
      <w:tblPr>
        <w:tblStyle w:val="TableGrid"/>
        <w:tblW w:w="0" w:type="auto"/>
        <w:tblLook w:val="04A0" w:firstRow="1" w:lastRow="0" w:firstColumn="1" w:lastColumn="0" w:noHBand="0" w:noVBand="1"/>
      </w:tblPr>
      <w:tblGrid>
        <w:gridCol w:w="2973"/>
        <w:gridCol w:w="5667"/>
      </w:tblGrid>
      <w:tr w:rsidR="0094644B" w:rsidRPr="00F07779" w14:paraId="058035F4"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FED854F" w14:textId="77777777" w:rsidR="0094644B" w:rsidRPr="00F07779" w:rsidRDefault="0094644B" w:rsidP="00FB5086">
            <w:pPr>
              <w:rPr>
                <w:sz w:val="20"/>
                <w:szCs w:val="20"/>
              </w:rPr>
            </w:pPr>
            <w:r w:rsidRPr="00F07779">
              <w:rPr>
                <w:sz w:val="20"/>
                <w:szCs w:val="20"/>
              </w:rPr>
              <w:t>Activity EL1.2</w:t>
            </w:r>
          </w:p>
        </w:tc>
        <w:tc>
          <w:tcPr>
            <w:tcW w:w="566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6200583" w14:textId="77777777" w:rsidR="0094644B" w:rsidRPr="00F07779" w:rsidRDefault="0094644B" w:rsidP="00FB5086">
            <w:pPr>
              <w:rPr>
                <w:sz w:val="20"/>
                <w:szCs w:val="20"/>
              </w:rPr>
            </w:pPr>
            <w:r w:rsidRPr="00F07779">
              <w:rPr>
                <w:sz w:val="20"/>
                <w:szCs w:val="20"/>
              </w:rPr>
              <w:t>Investment projects focused on the reconstruction and construction of the transmission network</w:t>
            </w:r>
          </w:p>
        </w:tc>
      </w:tr>
      <w:tr w:rsidR="0094644B" w:rsidRPr="00F07779" w14:paraId="76A0ACEA"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22A2906F" w14:textId="77777777" w:rsidR="0094644B" w:rsidRPr="00F07779" w:rsidRDefault="0094644B" w:rsidP="00FB5086">
            <w:pPr>
              <w:rPr>
                <w:sz w:val="20"/>
                <w:szCs w:val="20"/>
              </w:rPr>
            </w:pPr>
            <w:r w:rsidRPr="00FA3F57">
              <w:rPr>
                <w:sz w:val="20"/>
                <w:szCs w:val="20"/>
              </w:rPr>
              <w:t>Name of the project</w:t>
            </w:r>
          </w:p>
        </w:tc>
        <w:tc>
          <w:tcPr>
            <w:tcW w:w="5667"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518BAE0B" w14:textId="77777777" w:rsidR="0094644B" w:rsidRPr="00F07779" w:rsidRDefault="0094644B" w:rsidP="00FB5086">
            <w:pPr>
              <w:rPr>
                <w:sz w:val="20"/>
                <w:szCs w:val="20"/>
              </w:rPr>
            </w:pPr>
            <w:r w:rsidRPr="00F07779">
              <w:rPr>
                <w:sz w:val="20"/>
                <w:szCs w:val="20"/>
              </w:rPr>
              <w:t xml:space="preserve">Connecting line for the TS 110/10 kV </w:t>
            </w:r>
            <w:proofErr w:type="spellStart"/>
            <w:r w:rsidRPr="00F07779">
              <w:rPr>
                <w:sz w:val="20"/>
                <w:szCs w:val="20"/>
              </w:rPr>
              <w:t>Čačak</w:t>
            </w:r>
            <w:proofErr w:type="spellEnd"/>
            <w:r w:rsidRPr="00F07779">
              <w:rPr>
                <w:sz w:val="20"/>
                <w:szCs w:val="20"/>
              </w:rPr>
              <w:t xml:space="preserve"> 4</w:t>
            </w:r>
          </w:p>
        </w:tc>
      </w:tr>
      <w:tr w:rsidR="0094644B" w:rsidRPr="00F07779" w14:paraId="144B9086"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D1693CF" w14:textId="77777777" w:rsidR="0094644B" w:rsidRPr="00F07779" w:rsidRDefault="0094644B" w:rsidP="00FB5086">
            <w:pPr>
              <w:rPr>
                <w:sz w:val="20"/>
                <w:szCs w:val="20"/>
              </w:rPr>
            </w:pPr>
            <w:r w:rsidRPr="00FA3F57">
              <w:rPr>
                <w:sz w:val="20"/>
                <w:szCs w:val="20"/>
              </w:rPr>
              <w:t xml:space="preserve">Name of the </w:t>
            </w:r>
            <w:r w:rsidRPr="00F07779">
              <w:rPr>
                <w:sz w:val="20"/>
                <w:szCs w:val="20"/>
              </w:rPr>
              <w:t>investment</w:t>
            </w:r>
          </w:p>
        </w:tc>
        <w:tc>
          <w:tcPr>
            <w:tcW w:w="566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63116FC" w14:textId="77777777" w:rsidR="0094644B" w:rsidRPr="00F07779" w:rsidRDefault="0094644B" w:rsidP="00FB5086">
            <w:pPr>
              <w:rPr>
                <w:sz w:val="20"/>
                <w:szCs w:val="20"/>
              </w:rPr>
            </w:pPr>
            <w:r w:rsidRPr="00F07779">
              <w:rPr>
                <w:sz w:val="20"/>
                <w:szCs w:val="20"/>
              </w:rPr>
              <w:t xml:space="preserve">OHL 110 kV TS G. </w:t>
            </w:r>
            <w:proofErr w:type="spellStart"/>
            <w:r w:rsidRPr="00F07779">
              <w:rPr>
                <w:sz w:val="20"/>
                <w:szCs w:val="20"/>
              </w:rPr>
              <w:t>Milanovac</w:t>
            </w:r>
            <w:proofErr w:type="spellEnd"/>
            <w:r w:rsidRPr="00F07779">
              <w:rPr>
                <w:sz w:val="20"/>
                <w:szCs w:val="20"/>
              </w:rPr>
              <w:t xml:space="preserve"> – </w:t>
            </w:r>
            <w:proofErr w:type="spellStart"/>
            <w:r w:rsidRPr="00F07779">
              <w:rPr>
                <w:sz w:val="20"/>
                <w:szCs w:val="20"/>
              </w:rPr>
              <w:t>Beljina</w:t>
            </w:r>
            <w:proofErr w:type="spellEnd"/>
            <w:r w:rsidRPr="00F07779">
              <w:rPr>
                <w:sz w:val="20"/>
                <w:szCs w:val="20"/>
              </w:rPr>
              <w:t xml:space="preserve"> node, leading into TS </w:t>
            </w:r>
            <w:proofErr w:type="spellStart"/>
            <w:r w:rsidRPr="00F07779">
              <w:rPr>
                <w:sz w:val="20"/>
                <w:szCs w:val="20"/>
              </w:rPr>
              <w:t>Čačak</w:t>
            </w:r>
            <w:proofErr w:type="spellEnd"/>
            <w:r w:rsidRPr="00F07779">
              <w:rPr>
                <w:sz w:val="20"/>
                <w:szCs w:val="20"/>
              </w:rPr>
              <w:t xml:space="preserve"> 4</w:t>
            </w:r>
          </w:p>
        </w:tc>
      </w:tr>
      <w:tr w:rsidR="0094644B" w:rsidRPr="00F07779" w14:paraId="6B6A3868"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31F42964" w14:textId="77777777" w:rsidR="0094644B" w:rsidRPr="00F07779" w:rsidRDefault="0094644B" w:rsidP="00FB5086">
            <w:pPr>
              <w:rPr>
                <w:sz w:val="20"/>
                <w:szCs w:val="20"/>
              </w:rPr>
            </w:pPr>
            <w:r w:rsidRPr="00FA3F57">
              <w:rPr>
                <w:sz w:val="20"/>
                <w:szCs w:val="20"/>
              </w:rPr>
              <w:t>Short description of the investment</w:t>
            </w:r>
          </w:p>
        </w:tc>
        <w:tc>
          <w:tcPr>
            <w:tcW w:w="5667" w:type="dxa"/>
            <w:tcBorders>
              <w:top w:val="single" w:sz="4" w:space="0" w:color="auto"/>
              <w:left w:val="single" w:sz="4" w:space="0" w:color="auto"/>
              <w:bottom w:val="single" w:sz="4" w:space="0" w:color="auto"/>
              <w:right w:val="single" w:sz="4" w:space="0" w:color="auto"/>
            </w:tcBorders>
            <w:hideMark/>
          </w:tcPr>
          <w:p w14:paraId="7EE4AA74" w14:textId="77777777" w:rsidR="0094644B" w:rsidRPr="00F07779" w:rsidRDefault="0094644B" w:rsidP="00FB5086">
            <w:pPr>
              <w:rPr>
                <w:sz w:val="20"/>
                <w:szCs w:val="20"/>
              </w:rPr>
            </w:pPr>
            <w:r w:rsidRPr="00F07779">
              <w:rPr>
                <w:sz w:val="20"/>
                <w:szCs w:val="20"/>
              </w:rPr>
              <w:t xml:space="preserve">The connection of this transformer station is considered according to the "input-output" principle to the OHL 110 kV No. 182 TS Gornji </w:t>
            </w:r>
            <w:proofErr w:type="spellStart"/>
            <w:r w:rsidRPr="00F07779">
              <w:rPr>
                <w:sz w:val="20"/>
                <w:szCs w:val="20"/>
              </w:rPr>
              <w:t>Milanovac</w:t>
            </w:r>
            <w:proofErr w:type="spellEnd"/>
            <w:r w:rsidRPr="00F07779">
              <w:rPr>
                <w:sz w:val="20"/>
                <w:szCs w:val="20"/>
              </w:rPr>
              <w:t xml:space="preserve"> - </w:t>
            </w:r>
            <w:proofErr w:type="spellStart"/>
            <w:r w:rsidRPr="00F07779">
              <w:rPr>
                <w:sz w:val="20"/>
                <w:szCs w:val="20"/>
              </w:rPr>
              <w:t>Beljina</w:t>
            </w:r>
            <w:proofErr w:type="spellEnd"/>
            <w:r w:rsidRPr="00F07779">
              <w:rPr>
                <w:sz w:val="20"/>
                <w:szCs w:val="20"/>
              </w:rPr>
              <w:t xml:space="preserve"> node. Expected dynamics of project implementation:</w:t>
            </w:r>
          </w:p>
          <w:p w14:paraId="256C2F22" w14:textId="77777777" w:rsidR="0094644B" w:rsidRPr="00F07779" w:rsidRDefault="0094644B" w:rsidP="00FB5086">
            <w:pPr>
              <w:rPr>
                <w:sz w:val="20"/>
                <w:szCs w:val="20"/>
              </w:rPr>
            </w:pPr>
            <w:r w:rsidRPr="00F07779">
              <w:rPr>
                <w:sz w:val="20"/>
                <w:szCs w:val="20"/>
              </w:rPr>
              <w:t>2026. Location conditions</w:t>
            </w:r>
          </w:p>
          <w:p w14:paraId="42590318" w14:textId="77777777" w:rsidR="0094644B" w:rsidRPr="00F07779" w:rsidRDefault="0094644B" w:rsidP="00FB5086">
            <w:pPr>
              <w:rPr>
                <w:sz w:val="20"/>
                <w:szCs w:val="20"/>
              </w:rPr>
            </w:pPr>
            <w:r w:rsidRPr="00F07779">
              <w:rPr>
                <w:sz w:val="20"/>
                <w:szCs w:val="20"/>
              </w:rPr>
              <w:t>2027. Preliminary design</w:t>
            </w:r>
          </w:p>
          <w:p w14:paraId="6BD87E17" w14:textId="77777777" w:rsidR="0094644B" w:rsidRPr="00F07779" w:rsidRDefault="0094644B" w:rsidP="00FB5086">
            <w:pPr>
              <w:rPr>
                <w:sz w:val="20"/>
                <w:szCs w:val="20"/>
              </w:rPr>
            </w:pPr>
            <w:r w:rsidRPr="00F07779">
              <w:rPr>
                <w:sz w:val="20"/>
                <w:szCs w:val="20"/>
              </w:rPr>
              <w:t>2028. Building permit</w:t>
            </w:r>
          </w:p>
        </w:tc>
      </w:tr>
      <w:tr w:rsidR="0094644B" w:rsidRPr="00F07779" w14:paraId="24FDB7C0"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6502D7F4" w14:textId="77777777" w:rsidR="0094644B" w:rsidRPr="00F07779" w:rsidRDefault="0094644B" w:rsidP="00FB5086">
            <w:pPr>
              <w:rPr>
                <w:sz w:val="20"/>
                <w:szCs w:val="20"/>
              </w:rPr>
            </w:pPr>
            <w:r w:rsidRPr="00FA3F57">
              <w:rPr>
                <w:sz w:val="20"/>
                <w:szCs w:val="20"/>
              </w:rPr>
              <w:t>Institutions responsible for the implementation of measures and activities</w:t>
            </w:r>
          </w:p>
        </w:tc>
        <w:tc>
          <w:tcPr>
            <w:tcW w:w="5667" w:type="dxa"/>
            <w:tcBorders>
              <w:top w:val="single" w:sz="4" w:space="0" w:color="auto"/>
              <w:left w:val="single" w:sz="4" w:space="0" w:color="auto"/>
              <w:bottom w:val="single" w:sz="4" w:space="0" w:color="auto"/>
              <w:right w:val="single" w:sz="4" w:space="0" w:color="auto"/>
            </w:tcBorders>
            <w:hideMark/>
          </w:tcPr>
          <w:p w14:paraId="39239451" w14:textId="77777777" w:rsidR="0094644B" w:rsidRPr="00F07779" w:rsidRDefault="0094644B" w:rsidP="00FB5086">
            <w:pPr>
              <w:rPr>
                <w:sz w:val="20"/>
                <w:szCs w:val="20"/>
              </w:rPr>
            </w:pPr>
            <w:r w:rsidRPr="00FA3F57">
              <w:rPr>
                <w:sz w:val="20"/>
                <w:szCs w:val="20"/>
              </w:rPr>
              <w:t>EMS JSC Belgrade</w:t>
            </w:r>
          </w:p>
        </w:tc>
      </w:tr>
      <w:tr w:rsidR="0094644B" w:rsidRPr="00F07779" w14:paraId="2BB29FD7"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347F0FCD" w14:textId="77777777" w:rsidR="0094644B" w:rsidRPr="00F07779" w:rsidRDefault="0094644B" w:rsidP="00FB5086">
            <w:pPr>
              <w:rPr>
                <w:sz w:val="20"/>
                <w:szCs w:val="20"/>
              </w:rPr>
            </w:pPr>
            <w:r w:rsidRPr="00FA3F57">
              <w:rPr>
                <w:sz w:val="20"/>
                <w:szCs w:val="20"/>
              </w:rPr>
              <w:t>Institutions responsible for monitoring implementation and reporting on the realization</w:t>
            </w:r>
          </w:p>
        </w:tc>
        <w:tc>
          <w:tcPr>
            <w:tcW w:w="5667" w:type="dxa"/>
            <w:tcBorders>
              <w:top w:val="single" w:sz="4" w:space="0" w:color="auto"/>
              <w:left w:val="single" w:sz="4" w:space="0" w:color="auto"/>
              <w:bottom w:val="single" w:sz="4" w:space="0" w:color="auto"/>
              <w:right w:val="single" w:sz="4" w:space="0" w:color="auto"/>
            </w:tcBorders>
            <w:hideMark/>
          </w:tcPr>
          <w:p w14:paraId="098DF727" w14:textId="77777777" w:rsidR="0094644B" w:rsidRPr="00F07779" w:rsidRDefault="0094644B" w:rsidP="00FB5086">
            <w:pPr>
              <w:rPr>
                <w:sz w:val="20"/>
                <w:szCs w:val="20"/>
              </w:rPr>
            </w:pPr>
            <w:r w:rsidRPr="00FA3F57">
              <w:rPr>
                <w:sz w:val="20"/>
                <w:szCs w:val="20"/>
              </w:rPr>
              <w:t>EMS JSC Belgrade</w:t>
            </w:r>
          </w:p>
          <w:p w14:paraId="264F582E" w14:textId="77777777" w:rsidR="0094644B" w:rsidRPr="00FA3F57" w:rsidRDefault="0094644B" w:rsidP="00FB5086">
            <w:pPr>
              <w:rPr>
                <w:sz w:val="20"/>
                <w:szCs w:val="20"/>
              </w:rPr>
            </w:pPr>
            <w:r w:rsidRPr="00FA3F57">
              <w:rPr>
                <w:sz w:val="20"/>
                <w:szCs w:val="20"/>
              </w:rPr>
              <w:t>Republic Commission for Energy Networks</w:t>
            </w:r>
          </w:p>
          <w:p w14:paraId="4CF69B5A" w14:textId="77777777" w:rsidR="0094644B" w:rsidRPr="00F07779" w:rsidRDefault="0094644B" w:rsidP="00FB5086">
            <w:pPr>
              <w:rPr>
                <w:sz w:val="20"/>
                <w:szCs w:val="20"/>
              </w:rPr>
            </w:pPr>
            <w:r w:rsidRPr="00F07779">
              <w:rPr>
                <w:sz w:val="20"/>
                <w:szCs w:val="20"/>
              </w:rPr>
              <w:t>Ministry of Mining and Energy</w:t>
            </w:r>
          </w:p>
        </w:tc>
      </w:tr>
      <w:tr w:rsidR="0094644B" w:rsidRPr="00F07779" w14:paraId="2340AFF1"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7EAAD444" w14:textId="77777777" w:rsidR="0094644B" w:rsidRPr="00F07779" w:rsidRDefault="0094644B" w:rsidP="00FB5086">
            <w:pPr>
              <w:rPr>
                <w:sz w:val="20"/>
                <w:szCs w:val="20"/>
              </w:rPr>
            </w:pPr>
            <w:r w:rsidRPr="00FA3F57">
              <w:rPr>
                <w:sz w:val="20"/>
                <w:szCs w:val="20"/>
              </w:rPr>
              <w:t>Year of project funding start</w:t>
            </w:r>
          </w:p>
        </w:tc>
        <w:tc>
          <w:tcPr>
            <w:tcW w:w="5667" w:type="dxa"/>
            <w:tcBorders>
              <w:top w:val="single" w:sz="4" w:space="0" w:color="auto"/>
              <w:left w:val="single" w:sz="4" w:space="0" w:color="auto"/>
              <w:bottom w:val="single" w:sz="4" w:space="0" w:color="auto"/>
              <w:right w:val="single" w:sz="4" w:space="0" w:color="auto"/>
            </w:tcBorders>
            <w:hideMark/>
          </w:tcPr>
          <w:p w14:paraId="7A9E3ABF" w14:textId="77777777" w:rsidR="0094644B" w:rsidRPr="00F07779" w:rsidRDefault="0094644B" w:rsidP="00FB5086">
            <w:pPr>
              <w:rPr>
                <w:sz w:val="20"/>
                <w:szCs w:val="20"/>
              </w:rPr>
            </w:pPr>
            <w:r w:rsidRPr="00F07779">
              <w:rPr>
                <w:sz w:val="20"/>
                <w:szCs w:val="20"/>
              </w:rPr>
              <w:t>2022.</w:t>
            </w:r>
          </w:p>
        </w:tc>
      </w:tr>
      <w:tr w:rsidR="0094644B" w:rsidRPr="00F07779" w14:paraId="2A5B30FB"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03AA8274" w14:textId="77777777" w:rsidR="0094644B" w:rsidRPr="00F07779" w:rsidRDefault="0094644B" w:rsidP="00FB5086">
            <w:pPr>
              <w:rPr>
                <w:sz w:val="20"/>
                <w:szCs w:val="20"/>
              </w:rPr>
            </w:pPr>
            <w:r w:rsidRPr="00FA3F57">
              <w:rPr>
                <w:sz w:val="20"/>
                <w:szCs w:val="20"/>
              </w:rPr>
              <w:t>Year of completion of project funding</w:t>
            </w:r>
          </w:p>
        </w:tc>
        <w:tc>
          <w:tcPr>
            <w:tcW w:w="5667" w:type="dxa"/>
            <w:tcBorders>
              <w:top w:val="single" w:sz="4" w:space="0" w:color="auto"/>
              <w:left w:val="single" w:sz="4" w:space="0" w:color="auto"/>
              <w:bottom w:val="single" w:sz="4" w:space="0" w:color="auto"/>
              <w:right w:val="single" w:sz="4" w:space="0" w:color="auto"/>
            </w:tcBorders>
            <w:hideMark/>
          </w:tcPr>
          <w:p w14:paraId="3F5B3DB5" w14:textId="77777777" w:rsidR="0094644B" w:rsidRPr="00F07779" w:rsidRDefault="0094644B" w:rsidP="00FB5086">
            <w:pPr>
              <w:rPr>
                <w:sz w:val="20"/>
                <w:szCs w:val="20"/>
              </w:rPr>
            </w:pPr>
            <w:r w:rsidRPr="00F07779">
              <w:rPr>
                <w:sz w:val="20"/>
                <w:szCs w:val="20"/>
              </w:rPr>
              <w:t>2029.</w:t>
            </w:r>
          </w:p>
        </w:tc>
      </w:tr>
      <w:tr w:rsidR="0094644B" w:rsidRPr="00F07779" w14:paraId="797FCF7F"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0772DA10" w14:textId="77777777" w:rsidR="0094644B" w:rsidRPr="00F07779" w:rsidRDefault="0094644B" w:rsidP="00FB5086">
            <w:pPr>
              <w:rPr>
                <w:sz w:val="20"/>
                <w:szCs w:val="20"/>
              </w:rPr>
            </w:pPr>
            <w:r w:rsidRPr="00FA3F57">
              <w:rPr>
                <w:sz w:val="20"/>
                <w:szCs w:val="20"/>
              </w:rPr>
              <w:t>Total project value</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5C245939" w14:textId="77777777" w:rsidR="0094644B" w:rsidRPr="00F07779" w:rsidRDefault="0094644B" w:rsidP="00FB5086">
            <w:pPr>
              <w:rPr>
                <w:sz w:val="20"/>
                <w:szCs w:val="20"/>
              </w:rPr>
            </w:pPr>
            <w:r w:rsidRPr="00F07779">
              <w:rPr>
                <w:sz w:val="20"/>
                <w:szCs w:val="20"/>
              </w:rPr>
              <w:t>140,700 (1.2 million EUR)</w:t>
            </w:r>
          </w:p>
        </w:tc>
      </w:tr>
      <w:tr w:rsidR="0094644B" w:rsidRPr="00F07779" w14:paraId="435FE69E"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37483BA4" w14:textId="77777777" w:rsidR="0094644B" w:rsidRPr="00F07779" w:rsidRDefault="0094644B" w:rsidP="00FB5086">
            <w:pPr>
              <w:rPr>
                <w:sz w:val="20"/>
                <w:szCs w:val="20"/>
              </w:rPr>
            </w:pPr>
            <w:r w:rsidRPr="00FA3F57">
              <w:rPr>
                <w:sz w:val="20"/>
                <w:szCs w:val="20"/>
              </w:rPr>
              <w:t>Planned investments for 2026.</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6924C9D5" w14:textId="77777777" w:rsidR="0094644B" w:rsidRPr="00F07779" w:rsidRDefault="0094644B" w:rsidP="00FB5086">
            <w:pPr>
              <w:rPr>
                <w:sz w:val="20"/>
                <w:szCs w:val="20"/>
              </w:rPr>
            </w:pPr>
            <w:r w:rsidRPr="00F07779">
              <w:rPr>
                <w:sz w:val="20"/>
                <w:szCs w:val="20"/>
              </w:rPr>
              <w:t>3,975 (own funds of EMS JSC)</w:t>
            </w:r>
          </w:p>
        </w:tc>
      </w:tr>
      <w:tr w:rsidR="0094644B" w:rsidRPr="00F07779" w14:paraId="2B2AAB8B"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511F0700" w14:textId="77777777" w:rsidR="0094644B" w:rsidRPr="00F07779" w:rsidRDefault="0094644B" w:rsidP="00FB5086">
            <w:pPr>
              <w:rPr>
                <w:sz w:val="20"/>
                <w:szCs w:val="20"/>
              </w:rPr>
            </w:pPr>
            <w:r w:rsidRPr="00FA3F57">
              <w:rPr>
                <w:sz w:val="20"/>
                <w:szCs w:val="20"/>
              </w:rPr>
              <w:t>Planned investments for 2027.</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2E5C6F68" w14:textId="77777777" w:rsidR="0094644B" w:rsidRPr="00F07779" w:rsidRDefault="0094644B" w:rsidP="00FB5086">
            <w:pPr>
              <w:rPr>
                <w:sz w:val="20"/>
                <w:szCs w:val="20"/>
              </w:rPr>
            </w:pPr>
            <w:r w:rsidRPr="00F07779">
              <w:rPr>
                <w:sz w:val="20"/>
                <w:szCs w:val="20"/>
              </w:rPr>
              <w:t>26,427 (own funds of EMS JSC)</w:t>
            </w:r>
          </w:p>
        </w:tc>
      </w:tr>
      <w:tr w:rsidR="0094644B" w:rsidRPr="00F07779" w14:paraId="7B4BC240"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1F03C745" w14:textId="77777777" w:rsidR="0094644B" w:rsidRPr="00F07779" w:rsidRDefault="0094644B" w:rsidP="00FB5086">
            <w:pPr>
              <w:rPr>
                <w:sz w:val="20"/>
                <w:szCs w:val="20"/>
              </w:rPr>
            </w:pPr>
            <w:r w:rsidRPr="00FA3F57">
              <w:rPr>
                <w:sz w:val="20"/>
                <w:szCs w:val="20"/>
              </w:rPr>
              <w:t>Planned investments for 2028.</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6F005863" w14:textId="77777777" w:rsidR="0094644B" w:rsidRPr="00F07779" w:rsidRDefault="0094644B" w:rsidP="00FB5086">
            <w:pPr>
              <w:rPr>
                <w:sz w:val="20"/>
                <w:szCs w:val="20"/>
              </w:rPr>
            </w:pPr>
            <w:r w:rsidRPr="00F07779">
              <w:rPr>
                <w:sz w:val="20"/>
                <w:szCs w:val="20"/>
              </w:rPr>
              <w:t>26,427 (own funds of EMS JSC)</w:t>
            </w:r>
          </w:p>
        </w:tc>
      </w:tr>
    </w:tbl>
    <w:p w14:paraId="24680DDC" w14:textId="77777777" w:rsidR="0094644B" w:rsidRPr="00F07779" w:rsidRDefault="0094644B" w:rsidP="0094644B">
      <w:pPr>
        <w:tabs>
          <w:tab w:val="left" w:pos="1276"/>
          <w:tab w:val="left" w:pos="1560"/>
        </w:tabs>
        <w:ind w:left="1440" w:hanging="1440"/>
      </w:pPr>
    </w:p>
    <w:tbl>
      <w:tblPr>
        <w:tblStyle w:val="TableGrid"/>
        <w:tblW w:w="0" w:type="auto"/>
        <w:tblLook w:val="04A0" w:firstRow="1" w:lastRow="0" w:firstColumn="1" w:lastColumn="0" w:noHBand="0" w:noVBand="1"/>
      </w:tblPr>
      <w:tblGrid>
        <w:gridCol w:w="2973"/>
        <w:gridCol w:w="5667"/>
      </w:tblGrid>
      <w:tr w:rsidR="0094644B" w:rsidRPr="00F07779" w14:paraId="7C6B9305"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6E86718" w14:textId="77777777" w:rsidR="0094644B" w:rsidRPr="00F07779" w:rsidRDefault="0094644B" w:rsidP="00FB5086">
            <w:pPr>
              <w:rPr>
                <w:sz w:val="20"/>
                <w:szCs w:val="20"/>
              </w:rPr>
            </w:pPr>
            <w:r w:rsidRPr="00F07779">
              <w:rPr>
                <w:sz w:val="20"/>
                <w:szCs w:val="20"/>
              </w:rPr>
              <w:t>Activity EL1.2</w:t>
            </w:r>
          </w:p>
        </w:tc>
        <w:tc>
          <w:tcPr>
            <w:tcW w:w="566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CC7EA12" w14:textId="77777777" w:rsidR="0094644B" w:rsidRPr="00F07779" w:rsidRDefault="0094644B" w:rsidP="00FB5086">
            <w:pPr>
              <w:rPr>
                <w:sz w:val="20"/>
                <w:szCs w:val="20"/>
              </w:rPr>
            </w:pPr>
            <w:r w:rsidRPr="00F07779">
              <w:rPr>
                <w:sz w:val="20"/>
                <w:szCs w:val="20"/>
              </w:rPr>
              <w:t>Investment projects focused on the reconstruction and construction of the transmission network</w:t>
            </w:r>
          </w:p>
        </w:tc>
      </w:tr>
      <w:tr w:rsidR="0094644B" w:rsidRPr="00F07779" w14:paraId="7DF13810"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45F428E4" w14:textId="77777777" w:rsidR="0094644B" w:rsidRPr="00F07779" w:rsidRDefault="0094644B" w:rsidP="00FB5086">
            <w:pPr>
              <w:rPr>
                <w:sz w:val="20"/>
                <w:szCs w:val="20"/>
              </w:rPr>
            </w:pPr>
            <w:r w:rsidRPr="00FA3F57">
              <w:rPr>
                <w:sz w:val="20"/>
                <w:szCs w:val="20"/>
              </w:rPr>
              <w:t>Name of the project</w:t>
            </w:r>
          </w:p>
        </w:tc>
        <w:tc>
          <w:tcPr>
            <w:tcW w:w="5667"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42D19941" w14:textId="77777777" w:rsidR="0094644B" w:rsidRPr="00F07779" w:rsidRDefault="0094644B" w:rsidP="00FB5086">
            <w:pPr>
              <w:rPr>
                <w:sz w:val="20"/>
                <w:szCs w:val="20"/>
              </w:rPr>
            </w:pPr>
            <w:r w:rsidRPr="00F07779">
              <w:rPr>
                <w:sz w:val="20"/>
                <w:szCs w:val="20"/>
              </w:rPr>
              <w:t>Connecting line for 110/35 kV TS Belgrade 55 (</w:t>
            </w:r>
            <w:proofErr w:type="spellStart"/>
            <w:r w:rsidRPr="00F07779">
              <w:rPr>
                <w:sz w:val="20"/>
                <w:szCs w:val="20"/>
              </w:rPr>
              <w:t>Zuce</w:t>
            </w:r>
            <w:proofErr w:type="spellEnd"/>
            <w:r w:rsidRPr="00F07779">
              <w:rPr>
                <w:sz w:val="20"/>
                <w:szCs w:val="20"/>
              </w:rPr>
              <w:t>)</w:t>
            </w:r>
          </w:p>
        </w:tc>
      </w:tr>
      <w:tr w:rsidR="0094644B" w:rsidRPr="00F07779" w14:paraId="4971292A"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A00BBC5" w14:textId="77777777" w:rsidR="0094644B" w:rsidRPr="00F07779" w:rsidRDefault="0094644B" w:rsidP="00FB5086">
            <w:pPr>
              <w:rPr>
                <w:sz w:val="20"/>
                <w:szCs w:val="20"/>
              </w:rPr>
            </w:pPr>
            <w:r w:rsidRPr="00FA3F57">
              <w:rPr>
                <w:sz w:val="20"/>
                <w:szCs w:val="20"/>
              </w:rPr>
              <w:t xml:space="preserve">Name of the </w:t>
            </w:r>
            <w:r w:rsidRPr="00F07779">
              <w:rPr>
                <w:sz w:val="20"/>
                <w:szCs w:val="20"/>
              </w:rPr>
              <w:t>investment</w:t>
            </w:r>
          </w:p>
        </w:tc>
        <w:tc>
          <w:tcPr>
            <w:tcW w:w="566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9303514" w14:textId="77777777" w:rsidR="0094644B" w:rsidRPr="00F07779" w:rsidRDefault="0094644B" w:rsidP="00FB5086">
            <w:pPr>
              <w:rPr>
                <w:sz w:val="20"/>
                <w:szCs w:val="20"/>
              </w:rPr>
            </w:pPr>
            <w:r w:rsidRPr="00F07779">
              <w:rPr>
                <w:sz w:val="20"/>
                <w:szCs w:val="20"/>
              </w:rPr>
              <w:t>OHL 110 kV 101A/1 TS Belgrade 3 -TS Smederevo 2, leading into TS Belgrade 55 (</w:t>
            </w:r>
            <w:proofErr w:type="spellStart"/>
            <w:r w:rsidRPr="00F07779">
              <w:rPr>
                <w:sz w:val="20"/>
                <w:szCs w:val="20"/>
              </w:rPr>
              <w:t>Zuce</w:t>
            </w:r>
            <w:proofErr w:type="spellEnd"/>
            <w:r w:rsidRPr="00F07779">
              <w:rPr>
                <w:sz w:val="20"/>
                <w:szCs w:val="20"/>
              </w:rPr>
              <w:t xml:space="preserve">) </w:t>
            </w:r>
          </w:p>
        </w:tc>
      </w:tr>
      <w:tr w:rsidR="0094644B" w:rsidRPr="00F07779" w14:paraId="74666F6D"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1545157D" w14:textId="77777777" w:rsidR="0094644B" w:rsidRPr="00F07779" w:rsidRDefault="0094644B" w:rsidP="00FB5086">
            <w:pPr>
              <w:rPr>
                <w:sz w:val="20"/>
                <w:szCs w:val="20"/>
              </w:rPr>
            </w:pPr>
            <w:r w:rsidRPr="00FA3F57">
              <w:rPr>
                <w:sz w:val="20"/>
                <w:szCs w:val="20"/>
              </w:rPr>
              <w:t>Short description of the investment</w:t>
            </w:r>
          </w:p>
        </w:tc>
        <w:tc>
          <w:tcPr>
            <w:tcW w:w="5667" w:type="dxa"/>
            <w:tcBorders>
              <w:top w:val="single" w:sz="4" w:space="0" w:color="auto"/>
              <w:left w:val="single" w:sz="4" w:space="0" w:color="auto"/>
              <w:bottom w:val="single" w:sz="4" w:space="0" w:color="auto"/>
              <w:right w:val="single" w:sz="4" w:space="0" w:color="auto"/>
            </w:tcBorders>
            <w:hideMark/>
          </w:tcPr>
          <w:p w14:paraId="16561F19" w14:textId="77777777" w:rsidR="0094644B" w:rsidRPr="00F07779" w:rsidRDefault="0094644B" w:rsidP="00FB5086">
            <w:pPr>
              <w:rPr>
                <w:sz w:val="20"/>
                <w:szCs w:val="20"/>
              </w:rPr>
            </w:pPr>
            <w:r w:rsidRPr="00F07779">
              <w:rPr>
                <w:sz w:val="20"/>
                <w:szCs w:val="20"/>
              </w:rPr>
              <w:t>It is planned to connect the new TS Belgrade 55 (</w:t>
            </w:r>
            <w:proofErr w:type="spellStart"/>
            <w:r w:rsidRPr="00F07779">
              <w:rPr>
                <w:sz w:val="20"/>
                <w:szCs w:val="20"/>
              </w:rPr>
              <w:t>Zuce</w:t>
            </w:r>
            <w:proofErr w:type="spellEnd"/>
            <w:r w:rsidRPr="00F07779">
              <w:rPr>
                <w:sz w:val="20"/>
                <w:szCs w:val="20"/>
              </w:rPr>
              <w:t>) to the transmission system according to the "input-output" principle on OHL 110 kV No. 101A/1 TS Belgrade 3 - TS Smederevo 2 (future TS Belgrade 42 - Grocka). Expected dynamics of project implementation:</w:t>
            </w:r>
          </w:p>
          <w:p w14:paraId="00F3CEE3" w14:textId="77777777" w:rsidR="0094644B" w:rsidRPr="00F07779" w:rsidRDefault="0094644B" w:rsidP="00FB5086">
            <w:pPr>
              <w:rPr>
                <w:sz w:val="20"/>
                <w:szCs w:val="20"/>
              </w:rPr>
            </w:pPr>
            <w:r w:rsidRPr="00F07779">
              <w:rPr>
                <w:sz w:val="20"/>
                <w:szCs w:val="20"/>
              </w:rPr>
              <w:t>2026. The beginning of the project</w:t>
            </w:r>
          </w:p>
          <w:p w14:paraId="245494E9" w14:textId="77777777" w:rsidR="0094644B" w:rsidRPr="00F07779" w:rsidRDefault="0094644B" w:rsidP="00FB5086">
            <w:pPr>
              <w:rPr>
                <w:sz w:val="20"/>
                <w:szCs w:val="20"/>
              </w:rPr>
            </w:pPr>
            <w:r w:rsidRPr="00F07779">
              <w:rPr>
                <w:sz w:val="20"/>
                <w:szCs w:val="20"/>
              </w:rPr>
              <w:lastRenderedPageBreak/>
              <w:t>2027. Location conditions</w:t>
            </w:r>
          </w:p>
          <w:p w14:paraId="5BE17C32" w14:textId="77777777" w:rsidR="0094644B" w:rsidRPr="00F07779" w:rsidRDefault="0094644B" w:rsidP="00FB5086">
            <w:pPr>
              <w:rPr>
                <w:sz w:val="20"/>
                <w:szCs w:val="20"/>
              </w:rPr>
            </w:pPr>
            <w:r w:rsidRPr="00F07779">
              <w:rPr>
                <w:sz w:val="20"/>
                <w:szCs w:val="20"/>
              </w:rPr>
              <w:t>2028. Preliminary design</w:t>
            </w:r>
          </w:p>
        </w:tc>
      </w:tr>
      <w:tr w:rsidR="0094644B" w:rsidRPr="00F07779" w14:paraId="12F38999"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18CDA847" w14:textId="77777777" w:rsidR="0094644B" w:rsidRPr="00F07779" w:rsidRDefault="0094644B" w:rsidP="00FB5086">
            <w:pPr>
              <w:rPr>
                <w:sz w:val="20"/>
                <w:szCs w:val="20"/>
              </w:rPr>
            </w:pPr>
            <w:r w:rsidRPr="00FA3F57">
              <w:rPr>
                <w:sz w:val="20"/>
                <w:szCs w:val="20"/>
              </w:rPr>
              <w:lastRenderedPageBreak/>
              <w:t>Institutions responsible for the implementation of measures and activities</w:t>
            </w:r>
          </w:p>
        </w:tc>
        <w:tc>
          <w:tcPr>
            <w:tcW w:w="5667" w:type="dxa"/>
            <w:tcBorders>
              <w:top w:val="single" w:sz="4" w:space="0" w:color="auto"/>
              <w:left w:val="single" w:sz="4" w:space="0" w:color="auto"/>
              <w:bottom w:val="single" w:sz="4" w:space="0" w:color="auto"/>
              <w:right w:val="single" w:sz="4" w:space="0" w:color="auto"/>
            </w:tcBorders>
            <w:hideMark/>
          </w:tcPr>
          <w:p w14:paraId="24BD730D" w14:textId="77777777" w:rsidR="0094644B" w:rsidRPr="00F07779" w:rsidRDefault="0094644B" w:rsidP="00FB5086">
            <w:pPr>
              <w:rPr>
                <w:sz w:val="20"/>
                <w:szCs w:val="20"/>
              </w:rPr>
            </w:pPr>
            <w:r w:rsidRPr="00FA3F57">
              <w:rPr>
                <w:sz w:val="20"/>
                <w:szCs w:val="20"/>
              </w:rPr>
              <w:t>EMS JSC Belgrade</w:t>
            </w:r>
          </w:p>
        </w:tc>
      </w:tr>
      <w:tr w:rsidR="0094644B" w:rsidRPr="00F07779" w14:paraId="07F88EC4"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23F27E30" w14:textId="77777777" w:rsidR="0094644B" w:rsidRPr="00F07779" w:rsidRDefault="0094644B" w:rsidP="00FB5086">
            <w:pPr>
              <w:rPr>
                <w:sz w:val="20"/>
                <w:szCs w:val="20"/>
              </w:rPr>
            </w:pPr>
            <w:r w:rsidRPr="00FA3F57">
              <w:rPr>
                <w:sz w:val="20"/>
                <w:szCs w:val="20"/>
              </w:rPr>
              <w:t>Institutions responsible for monitoring implementation and reporting on the realization</w:t>
            </w:r>
          </w:p>
        </w:tc>
        <w:tc>
          <w:tcPr>
            <w:tcW w:w="5667" w:type="dxa"/>
            <w:tcBorders>
              <w:top w:val="single" w:sz="4" w:space="0" w:color="auto"/>
              <w:left w:val="single" w:sz="4" w:space="0" w:color="auto"/>
              <w:bottom w:val="single" w:sz="4" w:space="0" w:color="auto"/>
              <w:right w:val="single" w:sz="4" w:space="0" w:color="auto"/>
            </w:tcBorders>
            <w:hideMark/>
          </w:tcPr>
          <w:p w14:paraId="28DFB57B" w14:textId="77777777" w:rsidR="0094644B" w:rsidRPr="00F07779" w:rsidRDefault="0094644B" w:rsidP="00FB5086">
            <w:pPr>
              <w:rPr>
                <w:sz w:val="20"/>
                <w:szCs w:val="20"/>
              </w:rPr>
            </w:pPr>
            <w:r w:rsidRPr="00FA3F57">
              <w:rPr>
                <w:sz w:val="20"/>
                <w:szCs w:val="20"/>
              </w:rPr>
              <w:t>EMS JSC Belgrade</w:t>
            </w:r>
          </w:p>
          <w:p w14:paraId="2941F272" w14:textId="77777777" w:rsidR="0094644B" w:rsidRPr="00FA3F57" w:rsidRDefault="0094644B" w:rsidP="00FB5086">
            <w:pPr>
              <w:rPr>
                <w:sz w:val="20"/>
                <w:szCs w:val="20"/>
              </w:rPr>
            </w:pPr>
            <w:r w:rsidRPr="00FA3F57">
              <w:rPr>
                <w:sz w:val="20"/>
                <w:szCs w:val="20"/>
              </w:rPr>
              <w:t>Republic Commission for Energy Networks</w:t>
            </w:r>
          </w:p>
          <w:p w14:paraId="61FED32F" w14:textId="77777777" w:rsidR="0094644B" w:rsidRPr="00F07779" w:rsidRDefault="0094644B" w:rsidP="00FB5086">
            <w:pPr>
              <w:rPr>
                <w:sz w:val="20"/>
                <w:szCs w:val="20"/>
              </w:rPr>
            </w:pPr>
            <w:r w:rsidRPr="00F07779">
              <w:rPr>
                <w:sz w:val="20"/>
                <w:szCs w:val="20"/>
              </w:rPr>
              <w:t>Ministry of Mining and Energy</w:t>
            </w:r>
          </w:p>
        </w:tc>
      </w:tr>
      <w:tr w:rsidR="0094644B" w:rsidRPr="00F07779" w14:paraId="7288AEDF"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65899CC3" w14:textId="77777777" w:rsidR="0094644B" w:rsidRPr="00F07779" w:rsidRDefault="0094644B" w:rsidP="00FB5086">
            <w:pPr>
              <w:rPr>
                <w:sz w:val="20"/>
                <w:szCs w:val="20"/>
              </w:rPr>
            </w:pPr>
            <w:r w:rsidRPr="00FA3F57">
              <w:rPr>
                <w:sz w:val="20"/>
                <w:szCs w:val="20"/>
              </w:rPr>
              <w:t>Year of project funding start</w:t>
            </w:r>
          </w:p>
        </w:tc>
        <w:tc>
          <w:tcPr>
            <w:tcW w:w="5667" w:type="dxa"/>
            <w:tcBorders>
              <w:top w:val="single" w:sz="4" w:space="0" w:color="auto"/>
              <w:left w:val="single" w:sz="4" w:space="0" w:color="auto"/>
              <w:bottom w:val="single" w:sz="4" w:space="0" w:color="auto"/>
              <w:right w:val="single" w:sz="4" w:space="0" w:color="auto"/>
            </w:tcBorders>
            <w:hideMark/>
          </w:tcPr>
          <w:p w14:paraId="6B4FE171" w14:textId="77777777" w:rsidR="0094644B" w:rsidRPr="00F07779" w:rsidRDefault="0094644B" w:rsidP="00FB5086">
            <w:pPr>
              <w:rPr>
                <w:sz w:val="20"/>
                <w:szCs w:val="20"/>
              </w:rPr>
            </w:pPr>
            <w:r w:rsidRPr="00F07779">
              <w:rPr>
                <w:sz w:val="20"/>
                <w:szCs w:val="20"/>
              </w:rPr>
              <w:t>2023.</w:t>
            </w:r>
          </w:p>
        </w:tc>
      </w:tr>
      <w:tr w:rsidR="0094644B" w:rsidRPr="00F07779" w14:paraId="2EFD0B9F"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00A9A6EA" w14:textId="77777777" w:rsidR="0094644B" w:rsidRPr="00F07779" w:rsidRDefault="0094644B" w:rsidP="00FB5086">
            <w:pPr>
              <w:rPr>
                <w:sz w:val="20"/>
                <w:szCs w:val="20"/>
              </w:rPr>
            </w:pPr>
            <w:r w:rsidRPr="00FA3F57">
              <w:rPr>
                <w:sz w:val="20"/>
                <w:szCs w:val="20"/>
              </w:rPr>
              <w:t>Year of completion of project funding</w:t>
            </w:r>
          </w:p>
        </w:tc>
        <w:tc>
          <w:tcPr>
            <w:tcW w:w="5667" w:type="dxa"/>
            <w:tcBorders>
              <w:top w:val="single" w:sz="4" w:space="0" w:color="auto"/>
              <w:left w:val="single" w:sz="4" w:space="0" w:color="auto"/>
              <w:bottom w:val="single" w:sz="4" w:space="0" w:color="auto"/>
              <w:right w:val="single" w:sz="4" w:space="0" w:color="auto"/>
            </w:tcBorders>
            <w:hideMark/>
          </w:tcPr>
          <w:p w14:paraId="077502E7" w14:textId="77777777" w:rsidR="0094644B" w:rsidRPr="00F07779" w:rsidRDefault="0094644B" w:rsidP="00FB5086">
            <w:pPr>
              <w:rPr>
                <w:sz w:val="20"/>
                <w:szCs w:val="20"/>
              </w:rPr>
            </w:pPr>
            <w:r w:rsidRPr="00F07779">
              <w:rPr>
                <w:sz w:val="20"/>
                <w:szCs w:val="20"/>
              </w:rPr>
              <w:t>2028.</w:t>
            </w:r>
          </w:p>
        </w:tc>
      </w:tr>
      <w:tr w:rsidR="0094644B" w:rsidRPr="00F07779" w14:paraId="3B61CB5C"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3CB39E7A" w14:textId="77777777" w:rsidR="0094644B" w:rsidRPr="00F07779" w:rsidRDefault="0094644B" w:rsidP="00FB5086">
            <w:pPr>
              <w:rPr>
                <w:sz w:val="20"/>
                <w:szCs w:val="20"/>
              </w:rPr>
            </w:pPr>
            <w:r w:rsidRPr="00FA3F57">
              <w:rPr>
                <w:sz w:val="20"/>
                <w:szCs w:val="20"/>
              </w:rPr>
              <w:t>Total project value</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51D389FF" w14:textId="77777777" w:rsidR="0094644B" w:rsidRPr="00F07779" w:rsidRDefault="0094644B" w:rsidP="00FB5086">
            <w:pPr>
              <w:rPr>
                <w:sz w:val="20"/>
                <w:szCs w:val="20"/>
              </w:rPr>
            </w:pPr>
            <w:r w:rsidRPr="00F07779">
              <w:rPr>
                <w:sz w:val="20"/>
                <w:szCs w:val="20"/>
              </w:rPr>
              <w:t>140,700 (1.2 million EUR)</w:t>
            </w:r>
          </w:p>
        </w:tc>
      </w:tr>
      <w:tr w:rsidR="0094644B" w:rsidRPr="00F07779" w14:paraId="5C2D6B9C"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31C36C74" w14:textId="77777777" w:rsidR="0094644B" w:rsidRPr="00F07779" w:rsidRDefault="0094644B" w:rsidP="00FB5086">
            <w:pPr>
              <w:rPr>
                <w:sz w:val="20"/>
                <w:szCs w:val="20"/>
              </w:rPr>
            </w:pPr>
            <w:r w:rsidRPr="00FA3F57">
              <w:rPr>
                <w:sz w:val="20"/>
                <w:szCs w:val="20"/>
              </w:rPr>
              <w:t>Planned investments for 2026.</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3124646D" w14:textId="77777777" w:rsidR="0094644B" w:rsidRPr="00F07779" w:rsidRDefault="0094644B" w:rsidP="00FB5086">
            <w:pPr>
              <w:rPr>
                <w:sz w:val="20"/>
                <w:szCs w:val="20"/>
              </w:rPr>
            </w:pPr>
            <w:r w:rsidRPr="00F07779">
              <w:rPr>
                <w:sz w:val="20"/>
                <w:szCs w:val="20"/>
              </w:rPr>
              <w:t>1,330 (own funds of EMS JSC)</w:t>
            </w:r>
          </w:p>
        </w:tc>
      </w:tr>
      <w:tr w:rsidR="0094644B" w:rsidRPr="00F07779" w14:paraId="2E44AC4F"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55861A7C" w14:textId="77777777" w:rsidR="0094644B" w:rsidRPr="00F07779" w:rsidRDefault="0094644B" w:rsidP="00FB5086">
            <w:pPr>
              <w:rPr>
                <w:sz w:val="20"/>
                <w:szCs w:val="20"/>
              </w:rPr>
            </w:pPr>
            <w:r w:rsidRPr="00FA3F57">
              <w:rPr>
                <w:sz w:val="20"/>
                <w:szCs w:val="20"/>
              </w:rPr>
              <w:t>Planned investments for 2027.</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14B2E695" w14:textId="77777777" w:rsidR="0094644B" w:rsidRPr="00F07779" w:rsidRDefault="0094644B" w:rsidP="00FB5086">
            <w:pPr>
              <w:rPr>
                <w:sz w:val="20"/>
                <w:szCs w:val="20"/>
              </w:rPr>
            </w:pPr>
            <w:r w:rsidRPr="00F07779">
              <w:rPr>
                <w:sz w:val="20"/>
                <w:szCs w:val="20"/>
              </w:rPr>
              <w:t>127,278 (own funds of EMS JSC)</w:t>
            </w:r>
          </w:p>
        </w:tc>
      </w:tr>
      <w:tr w:rsidR="0094644B" w:rsidRPr="00F07779" w14:paraId="4C792D11"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1B9325CC" w14:textId="77777777" w:rsidR="0094644B" w:rsidRPr="00F07779" w:rsidRDefault="0094644B" w:rsidP="00FB5086">
            <w:pPr>
              <w:rPr>
                <w:sz w:val="20"/>
                <w:szCs w:val="20"/>
              </w:rPr>
            </w:pPr>
            <w:r w:rsidRPr="00FA3F57">
              <w:rPr>
                <w:sz w:val="20"/>
                <w:szCs w:val="20"/>
              </w:rPr>
              <w:t>Planned investments for 2028.</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771DC771" w14:textId="77777777" w:rsidR="0094644B" w:rsidRPr="00F07779" w:rsidRDefault="0094644B" w:rsidP="00FB5086">
            <w:pPr>
              <w:rPr>
                <w:sz w:val="20"/>
                <w:szCs w:val="20"/>
              </w:rPr>
            </w:pPr>
            <w:r w:rsidRPr="00F07779">
              <w:rPr>
                <w:sz w:val="20"/>
                <w:szCs w:val="20"/>
              </w:rPr>
              <w:t>11,992 (own funds of EMS JSC)</w:t>
            </w:r>
          </w:p>
        </w:tc>
      </w:tr>
    </w:tbl>
    <w:p w14:paraId="5FC2B81F" w14:textId="77777777" w:rsidR="0094644B" w:rsidRPr="00F07779" w:rsidRDefault="0094644B" w:rsidP="0094644B">
      <w:pPr>
        <w:tabs>
          <w:tab w:val="left" w:pos="1276"/>
          <w:tab w:val="left" w:pos="1560"/>
        </w:tabs>
        <w:ind w:left="1440" w:hanging="1440"/>
      </w:pPr>
    </w:p>
    <w:tbl>
      <w:tblPr>
        <w:tblStyle w:val="TableGrid"/>
        <w:tblW w:w="0" w:type="auto"/>
        <w:tblLook w:val="04A0" w:firstRow="1" w:lastRow="0" w:firstColumn="1" w:lastColumn="0" w:noHBand="0" w:noVBand="1"/>
      </w:tblPr>
      <w:tblGrid>
        <w:gridCol w:w="2973"/>
        <w:gridCol w:w="5667"/>
      </w:tblGrid>
      <w:tr w:rsidR="0094644B" w:rsidRPr="00F07779" w14:paraId="4B154406"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C1E5A06" w14:textId="77777777" w:rsidR="0094644B" w:rsidRPr="00F07779" w:rsidRDefault="0094644B" w:rsidP="00FB5086">
            <w:pPr>
              <w:rPr>
                <w:sz w:val="20"/>
                <w:szCs w:val="20"/>
              </w:rPr>
            </w:pPr>
            <w:r w:rsidRPr="00F07779">
              <w:rPr>
                <w:sz w:val="20"/>
                <w:szCs w:val="20"/>
              </w:rPr>
              <w:t>Activity EL1.2</w:t>
            </w:r>
          </w:p>
        </w:tc>
        <w:tc>
          <w:tcPr>
            <w:tcW w:w="566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3706D13" w14:textId="77777777" w:rsidR="0094644B" w:rsidRPr="00F07779" w:rsidRDefault="0094644B" w:rsidP="00FB5086">
            <w:pPr>
              <w:rPr>
                <w:sz w:val="20"/>
                <w:szCs w:val="20"/>
              </w:rPr>
            </w:pPr>
            <w:r w:rsidRPr="00F07779">
              <w:rPr>
                <w:sz w:val="20"/>
                <w:szCs w:val="20"/>
              </w:rPr>
              <w:t>Investment projects focused on the reconstruction and construction of the transmission network</w:t>
            </w:r>
          </w:p>
        </w:tc>
      </w:tr>
      <w:tr w:rsidR="0094644B" w:rsidRPr="00F07779" w14:paraId="72A9E16C"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09DF7705" w14:textId="77777777" w:rsidR="0094644B" w:rsidRPr="00F07779" w:rsidRDefault="0094644B" w:rsidP="00FB5086">
            <w:pPr>
              <w:rPr>
                <w:sz w:val="20"/>
                <w:szCs w:val="20"/>
              </w:rPr>
            </w:pPr>
            <w:r w:rsidRPr="00FA3F57">
              <w:rPr>
                <w:sz w:val="20"/>
                <w:szCs w:val="20"/>
              </w:rPr>
              <w:t>Name of the project</w:t>
            </w:r>
          </w:p>
        </w:tc>
        <w:tc>
          <w:tcPr>
            <w:tcW w:w="5667"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5CE5B050" w14:textId="77777777" w:rsidR="0094644B" w:rsidRPr="00F07779" w:rsidRDefault="0094644B" w:rsidP="00FB5086">
            <w:pPr>
              <w:rPr>
                <w:sz w:val="20"/>
                <w:szCs w:val="20"/>
              </w:rPr>
            </w:pPr>
            <w:r w:rsidRPr="00F07779">
              <w:rPr>
                <w:sz w:val="20"/>
                <w:szCs w:val="20"/>
              </w:rPr>
              <w:t xml:space="preserve">Connection line for the TS 110/20 kV </w:t>
            </w:r>
            <w:proofErr w:type="spellStart"/>
            <w:r w:rsidRPr="00F07779">
              <w:rPr>
                <w:sz w:val="20"/>
                <w:szCs w:val="20"/>
              </w:rPr>
              <w:t>Kać</w:t>
            </w:r>
            <w:proofErr w:type="spellEnd"/>
          </w:p>
        </w:tc>
      </w:tr>
      <w:tr w:rsidR="0094644B" w:rsidRPr="00F07779" w14:paraId="0ACE7DF8"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A39EFCE" w14:textId="77777777" w:rsidR="0094644B" w:rsidRPr="00F07779" w:rsidRDefault="0094644B" w:rsidP="00FB5086">
            <w:pPr>
              <w:rPr>
                <w:sz w:val="20"/>
                <w:szCs w:val="20"/>
              </w:rPr>
            </w:pPr>
            <w:r w:rsidRPr="00FA3F57">
              <w:rPr>
                <w:sz w:val="20"/>
                <w:szCs w:val="20"/>
              </w:rPr>
              <w:t xml:space="preserve">Name of the </w:t>
            </w:r>
            <w:r w:rsidRPr="00F07779">
              <w:rPr>
                <w:sz w:val="20"/>
                <w:szCs w:val="20"/>
              </w:rPr>
              <w:t>investment</w:t>
            </w:r>
          </w:p>
        </w:tc>
        <w:tc>
          <w:tcPr>
            <w:tcW w:w="566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BB1B08B" w14:textId="77777777" w:rsidR="0094644B" w:rsidRPr="00F07779" w:rsidRDefault="0094644B" w:rsidP="00FB5086">
            <w:pPr>
              <w:rPr>
                <w:sz w:val="20"/>
                <w:szCs w:val="20"/>
              </w:rPr>
            </w:pPr>
            <w:r w:rsidRPr="00F07779">
              <w:rPr>
                <w:sz w:val="20"/>
                <w:szCs w:val="20"/>
              </w:rPr>
              <w:t xml:space="preserve">OHL 110 kV No. 1005 TS Novi Sad 3 – CHP Novi Sad, leading into TS </w:t>
            </w:r>
            <w:proofErr w:type="spellStart"/>
            <w:r w:rsidRPr="00F07779">
              <w:rPr>
                <w:sz w:val="20"/>
                <w:szCs w:val="20"/>
              </w:rPr>
              <w:t>Kać</w:t>
            </w:r>
            <w:proofErr w:type="spellEnd"/>
          </w:p>
        </w:tc>
      </w:tr>
      <w:tr w:rsidR="0094644B" w:rsidRPr="00F07779" w14:paraId="34952F71"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2EC352C9" w14:textId="77777777" w:rsidR="0094644B" w:rsidRPr="00F07779" w:rsidRDefault="0094644B" w:rsidP="00FB5086">
            <w:pPr>
              <w:rPr>
                <w:sz w:val="20"/>
                <w:szCs w:val="20"/>
              </w:rPr>
            </w:pPr>
            <w:r w:rsidRPr="00FA3F57">
              <w:rPr>
                <w:sz w:val="20"/>
                <w:szCs w:val="20"/>
              </w:rPr>
              <w:t>Short description of the investment</w:t>
            </w:r>
          </w:p>
        </w:tc>
        <w:tc>
          <w:tcPr>
            <w:tcW w:w="5667" w:type="dxa"/>
            <w:tcBorders>
              <w:top w:val="single" w:sz="4" w:space="0" w:color="auto"/>
              <w:left w:val="single" w:sz="4" w:space="0" w:color="auto"/>
              <w:bottom w:val="single" w:sz="4" w:space="0" w:color="auto"/>
              <w:right w:val="single" w:sz="4" w:space="0" w:color="auto"/>
            </w:tcBorders>
            <w:hideMark/>
          </w:tcPr>
          <w:p w14:paraId="164BABA2" w14:textId="77777777" w:rsidR="0094644B" w:rsidRPr="00F07779" w:rsidRDefault="0094644B" w:rsidP="00FB5086">
            <w:pPr>
              <w:rPr>
                <w:sz w:val="20"/>
                <w:szCs w:val="20"/>
              </w:rPr>
            </w:pPr>
            <w:r w:rsidRPr="00F07779">
              <w:rPr>
                <w:sz w:val="20"/>
                <w:szCs w:val="20"/>
              </w:rPr>
              <w:t xml:space="preserve">Leading of the OHL 110 kV No. 1005 TS Novi Sad 3 – CHP Novi Sad via two single-circuit feeders based on the input-output principle into the 110/20 kV </w:t>
            </w:r>
            <w:proofErr w:type="spellStart"/>
            <w:r w:rsidRPr="00F07779">
              <w:rPr>
                <w:sz w:val="20"/>
                <w:szCs w:val="20"/>
              </w:rPr>
              <w:t>Kać</w:t>
            </w:r>
            <w:proofErr w:type="spellEnd"/>
            <w:r w:rsidRPr="00F07779">
              <w:rPr>
                <w:sz w:val="20"/>
                <w:szCs w:val="20"/>
              </w:rPr>
              <w:t xml:space="preserve"> substation. During the coordination of the TSO and DSO planning documents, the necessity of connecting the TS 110/20 kV </w:t>
            </w:r>
            <w:proofErr w:type="spellStart"/>
            <w:r w:rsidRPr="00F07779">
              <w:rPr>
                <w:sz w:val="20"/>
                <w:szCs w:val="20"/>
              </w:rPr>
              <w:t>Kać</w:t>
            </w:r>
            <w:proofErr w:type="spellEnd"/>
            <w:r w:rsidRPr="00F07779">
              <w:rPr>
                <w:sz w:val="20"/>
                <w:szCs w:val="20"/>
              </w:rPr>
              <w:t xml:space="preserve"> to the transmission system was identified, in view of the planned development of the new </w:t>
            </w:r>
            <w:proofErr w:type="spellStart"/>
            <w:r w:rsidRPr="00F07779">
              <w:rPr>
                <w:sz w:val="20"/>
                <w:szCs w:val="20"/>
              </w:rPr>
              <w:t>Kać</w:t>
            </w:r>
            <w:proofErr w:type="spellEnd"/>
            <w:r w:rsidRPr="00F07779">
              <w:rPr>
                <w:sz w:val="20"/>
                <w:szCs w:val="20"/>
              </w:rPr>
              <w:t xml:space="preserve"> industrial zone and the need to ensure a reliable power supply for the associated industrial facility.</w:t>
            </w:r>
          </w:p>
          <w:p w14:paraId="70042BAF" w14:textId="77777777" w:rsidR="0094644B" w:rsidRPr="00F07779" w:rsidRDefault="0094644B" w:rsidP="00FB5086">
            <w:pPr>
              <w:rPr>
                <w:sz w:val="20"/>
                <w:szCs w:val="20"/>
              </w:rPr>
            </w:pPr>
            <w:r w:rsidRPr="00F07779">
              <w:rPr>
                <w:sz w:val="20"/>
                <w:szCs w:val="20"/>
              </w:rPr>
              <w:t>Expected dynamics of project implementation:</w:t>
            </w:r>
          </w:p>
          <w:p w14:paraId="6B0CBD80" w14:textId="77777777" w:rsidR="0094644B" w:rsidRPr="00F07779" w:rsidRDefault="0094644B" w:rsidP="00FB5086">
            <w:pPr>
              <w:rPr>
                <w:sz w:val="20"/>
                <w:szCs w:val="20"/>
              </w:rPr>
            </w:pPr>
            <w:r w:rsidRPr="00F07779">
              <w:rPr>
                <w:sz w:val="20"/>
                <w:szCs w:val="20"/>
              </w:rPr>
              <w:t>2026. Construction</w:t>
            </w:r>
          </w:p>
          <w:p w14:paraId="62CECB1D" w14:textId="77777777" w:rsidR="0094644B" w:rsidRPr="00F07779" w:rsidRDefault="0094644B" w:rsidP="00FB5086">
            <w:pPr>
              <w:rPr>
                <w:sz w:val="20"/>
                <w:szCs w:val="20"/>
              </w:rPr>
            </w:pPr>
            <w:r w:rsidRPr="00F07779">
              <w:rPr>
                <w:sz w:val="20"/>
                <w:szCs w:val="20"/>
              </w:rPr>
              <w:t>2027. Commissioning; trial operation</w:t>
            </w:r>
          </w:p>
          <w:p w14:paraId="3252FBDE" w14:textId="77777777" w:rsidR="0094644B" w:rsidRPr="00F07779" w:rsidRDefault="0094644B" w:rsidP="00FB5086">
            <w:pPr>
              <w:rPr>
                <w:sz w:val="20"/>
                <w:szCs w:val="20"/>
              </w:rPr>
            </w:pPr>
            <w:r w:rsidRPr="00F07779">
              <w:rPr>
                <w:sz w:val="20"/>
                <w:szCs w:val="20"/>
              </w:rPr>
              <w:t>2028. Use permit; end of project</w:t>
            </w:r>
          </w:p>
        </w:tc>
      </w:tr>
      <w:tr w:rsidR="0094644B" w:rsidRPr="00F07779" w14:paraId="111EC5BC"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5A49D9F1" w14:textId="77777777" w:rsidR="0094644B" w:rsidRPr="00F07779" w:rsidRDefault="0094644B" w:rsidP="00FB5086">
            <w:pPr>
              <w:rPr>
                <w:sz w:val="20"/>
                <w:szCs w:val="20"/>
              </w:rPr>
            </w:pPr>
            <w:r w:rsidRPr="00FA3F57">
              <w:rPr>
                <w:sz w:val="20"/>
                <w:szCs w:val="20"/>
              </w:rPr>
              <w:t>Institutions responsible for the implementation of measures and activities</w:t>
            </w:r>
          </w:p>
        </w:tc>
        <w:tc>
          <w:tcPr>
            <w:tcW w:w="5667" w:type="dxa"/>
            <w:tcBorders>
              <w:top w:val="single" w:sz="4" w:space="0" w:color="auto"/>
              <w:left w:val="single" w:sz="4" w:space="0" w:color="auto"/>
              <w:bottom w:val="single" w:sz="4" w:space="0" w:color="auto"/>
              <w:right w:val="single" w:sz="4" w:space="0" w:color="auto"/>
            </w:tcBorders>
            <w:hideMark/>
          </w:tcPr>
          <w:p w14:paraId="5E3ACEDC" w14:textId="77777777" w:rsidR="0094644B" w:rsidRPr="00F07779" w:rsidRDefault="0094644B" w:rsidP="00FB5086">
            <w:pPr>
              <w:rPr>
                <w:sz w:val="20"/>
                <w:szCs w:val="20"/>
              </w:rPr>
            </w:pPr>
            <w:r w:rsidRPr="00FA3F57">
              <w:rPr>
                <w:sz w:val="20"/>
                <w:szCs w:val="20"/>
              </w:rPr>
              <w:t>EMS JSC Belgrade</w:t>
            </w:r>
          </w:p>
        </w:tc>
      </w:tr>
      <w:tr w:rsidR="0094644B" w:rsidRPr="00F07779" w14:paraId="6343031B"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649481C8" w14:textId="77777777" w:rsidR="0094644B" w:rsidRPr="00F07779" w:rsidRDefault="0094644B" w:rsidP="00FB5086">
            <w:pPr>
              <w:rPr>
                <w:sz w:val="20"/>
                <w:szCs w:val="20"/>
              </w:rPr>
            </w:pPr>
            <w:r w:rsidRPr="00FA3F57">
              <w:rPr>
                <w:sz w:val="20"/>
                <w:szCs w:val="20"/>
              </w:rPr>
              <w:t>Institutions responsible for monitoring implementation and reporting on the realization</w:t>
            </w:r>
          </w:p>
        </w:tc>
        <w:tc>
          <w:tcPr>
            <w:tcW w:w="5667" w:type="dxa"/>
            <w:tcBorders>
              <w:top w:val="single" w:sz="4" w:space="0" w:color="auto"/>
              <w:left w:val="single" w:sz="4" w:space="0" w:color="auto"/>
              <w:bottom w:val="single" w:sz="4" w:space="0" w:color="auto"/>
              <w:right w:val="single" w:sz="4" w:space="0" w:color="auto"/>
            </w:tcBorders>
            <w:hideMark/>
          </w:tcPr>
          <w:p w14:paraId="3043B03F" w14:textId="77777777" w:rsidR="0094644B" w:rsidRPr="00F07779" w:rsidRDefault="0094644B" w:rsidP="00FB5086">
            <w:pPr>
              <w:rPr>
                <w:sz w:val="20"/>
                <w:szCs w:val="20"/>
              </w:rPr>
            </w:pPr>
            <w:r w:rsidRPr="00FA3F57">
              <w:rPr>
                <w:sz w:val="20"/>
                <w:szCs w:val="20"/>
              </w:rPr>
              <w:t>EMS JSC Belgrade</w:t>
            </w:r>
          </w:p>
          <w:p w14:paraId="2FCD2B84" w14:textId="77777777" w:rsidR="0094644B" w:rsidRPr="00FA3F57" w:rsidRDefault="0094644B" w:rsidP="00FB5086">
            <w:pPr>
              <w:rPr>
                <w:sz w:val="20"/>
                <w:szCs w:val="20"/>
              </w:rPr>
            </w:pPr>
            <w:r w:rsidRPr="00FA3F57">
              <w:rPr>
                <w:sz w:val="20"/>
                <w:szCs w:val="20"/>
              </w:rPr>
              <w:t>Republic Commission for Energy Networks</w:t>
            </w:r>
          </w:p>
          <w:p w14:paraId="6D0B3D7E" w14:textId="77777777" w:rsidR="0094644B" w:rsidRPr="00F07779" w:rsidRDefault="0094644B" w:rsidP="00FB5086">
            <w:pPr>
              <w:rPr>
                <w:sz w:val="20"/>
                <w:szCs w:val="20"/>
              </w:rPr>
            </w:pPr>
            <w:r w:rsidRPr="00F07779">
              <w:rPr>
                <w:sz w:val="20"/>
                <w:szCs w:val="20"/>
              </w:rPr>
              <w:t>Ministry of Mining and Energy</w:t>
            </w:r>
          </w:p>
        </w:tc>
      </w:tr>
      <w:tr w:rsidR="0094644B" w:rsidRPr="00F07779" w14:paraId="6D5DB0F9"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1CDB1839" w14:textId="77777777" w:rsidR="0094644B" w:rsidRPr="00F07779" w:rsidRDefault="0094644B" w:rsidP="00FB5086">
            <w:pPr>
              <w:rPr>
                <w:sz w:val="20"/>
                <w:szCs w:val="20"/>
              </w:rPr>
            </w:pPr>
            <w:r w:rsidRPr="00FA3F57">
              <w:rPr>
                <w:sz w:val="20"/>
                <w:szCs w:val="20"/>
              </w:rPr>
              <w:t>Year of project funding start</w:t>
            </w:r>
          </w:p>
        </w:tc>
        <w:tc>
          <w:tcPr>
            <w:tcW w:w="5667" w:type="dxa"/>
            <w:tcBorders>
              <w:top w:val="single" w:sz="4" w:space="0" w:color="auto"/>
              <w:left w:val="single" w:sz="4" w:space="0" w:color="auto"/>
              <w:bottom w:val="single" w:sz="4" w:space="0" w:color="auto"/>
              <w:right w:val="single" w:sz="4" w:space="0" w:color="auto"/>
            </w:tcBorders>
            <w:hideMark/>
          </w:tcPr>
          <w:p w14:paraId="1C3D0E63" w14:textId="77777777" w:rsidR="0094644B" w:rsidRPr="00F07779" w:rsidRDefault="0094644B" w:rsidP="00FB5086">
            <w:pPr>
              <w:rPr>
                <w:sz w:val="20"/>
                <w:szCs w:val="20"/>
              </w:rPr>
            </w:pPr>
            <w:r w:rsidRPr="00F07779">
              <w:rPr>
                <w:sz w:val="20"/>
                <w:szCs w:val="20"/>
              </w:rPr>
              <w:t>2021.</w:t>
            </w:r>
          </w:p>
        </w:tc>
      </w:tr>
      <w:tr w:rsidR="0094644B" w:rsidRPr="00F07779" w14:paraId="5775F041"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3E5B2576" w14:textId="77777777" w:rsidR="0094644B" w:rsidRPr="00F07779" w:rsidRDefault="0094644B" w:rsidP="00FB5086">
            <w:pPr>
              <w:rPr>
                <w:sz w:val="20"/>
                <w:szCs w:val="20"/>
              </w:rPr>
            </w:pPr>
            <w:r w:rsidRPr="00FA3F57">
              <w:rPr>
                <w:sz w:val="20"/>
                <w:szCs w:val="20"/>
              </w:rPr>
              <w:t>Year of completion of project funding</w:t>
            </w:r>
          </w:p>
        </w:tc>
        <w:tc>
          <w:tcPr>
            <w:tcW w:w="5667" w:type="dxa"/>
            <w:tcBorders>
              <w:top w:val="single" w:sz="4" w:space="0" w:color="auto"/>
              <w:left w:val="single" w:sz="4" w:space="0" w:color="auto"/>
              <w:bottom w:val="single" w:sz="4" w:space="0" w:color="auto"/>
              <w:right w:val="single" w:sz="4" w:space="0" w:color="auto"/>
            </w:tcBorders>
            <w:hideMark/>
          </w:tcPr>
          <w:p w14:paraId="49B8F403" w14:textId="77777777" w:rsidR="0094644B" w:rsidRPr="00F07779" w:rsidRDefault="0094644B" w:rsidP="00FB5086">
            <w:pPr>
              <w:rPr>
                <w:sz w:val="20"/>
                <w:szCs w:val="20"/>
              </w:rPr>
            </w:pPr>
            <w:r w:rsidRPr="00F07779">
              <w:rPr>
                <w:sz w:val="20"/>
                <w:szCs w:val="20"/>
              </w:rPr>
              <w:t>2028.</w:t>
            </w:r>
          </w:p>
        </w:tc>
      </w:tr>
      <w:tr w:rsidR="0094644B" w:rsidRPr="00F07779" w14:paraId="4E300E6C"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628ECD4C" w14:textId="77777777" w:rsidR="0094644B" w:rsidRPr="00F07779" w:rsidRDefault="0094644B" w:rsidP="00FB5086">
            <w:pPr>
              <w:rPr>
                <w:sz w:val="20"/>
                <w:szCs w:val="20"/>
              </w:rPr>
            </w:pPr>
            <w:r w:rsidRPr="00FA3F57">
              <w:rPr>
                <w:sz w:val="20"/>
                <w:szCs w:val="20"/>
              </w:rPr>
              <w:t>Total project value</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1B66B4BA" w14:textId="77777777" w:rsidR="0094644B" w:rsidRPr="00F07779" w:rsidRDefault="0094644B" w:rsidP="00FB5086">
            <w:pPr>
              <w:rPr>
                <w:sz w:val="20"/>
                <w:szCs w:val="20"/>
              </w:rPr>
            </w:pPr>
            <w:r w:rsidRPr="00F07779">
              <w:rPr>
                <w:sz w:val="20"/>
                <w:szCs w:val="20"/>
              </w:rPr>
              <w:t>164,150 (1.4 million EUR)</w:t>
            </w:r>
          </w:p>
        </w:tc>
      </w:tr>
      <w:tr w:rsidR="0094644B" w:rsidRPr="00F07779" w14:paraId="0A042E1A"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24A630AF" w14:textId="77777777" w:rsidR="0094644B" w:rsidRPr="00F07779" w:rsidRDefault="0094644B" w:rsidP="00FB5086">
            <w:pPr>
              <w:rPr>
                <w:sz w:val="20"/>
                <w:szCs w:val="20"/>
              </w:rPr>
            </w:pPr>
            <w:r w:rsidRPr="00FA3F57">
              <w:rPr>
                <w:sz w:val="20"/>
                <w:szCs w:val="20"/>
              </w:rPr>
              <w:t>Planned investments for 2026.</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16A66F2F" w14:textId="77777777" w:rsidR="0094644B" w:rsidRPr="00F07779" w:rsidRDefault="0094644B" w:rsidP="00FB5086">
            <w:pPr>
              <w:rPr>
                <w:sz w:val="20"/>
                <w:szCs w:val="20"/>
              </w:rPr>
            </w:pPr>
            <w:r w:rsidRPr="00F07779">
              <w:rPr>
                <w:sz w:val="20"/>
                <w:szCs w:val="20"/>
              </w:rPr>
              <w:t>41,669 (own funds of EMS JSC)</w:t>
            </w:r>
          </w:p>
        </w:tc>
      </w:tr>
      <w:tr w:rsidR="0094644B" w:rsidRPr="00F07779" w14:paraId="31C2189C"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5D694E9F" w14:textId="77777777" w:rsidR="0094644B" w:rsidRPr="00F07779" w:rsidRDefault="0094644B" w:rsidP="00FB5086">
            <w:pPr>
              <w:rPr>
                <w:sz w:val="20"/>
                <w:szCs w:val="20"/>
              </w:rPr>
            </w:pPr>
            <w:r w:rsidRPr="00FA3F57">
              <w:rPr>
                <w:sz w:val="20"/>
                <w:szCs w:val="20"/>
              </w:rPr>
              <w:t>Planned investments for 2027.</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2BFA05ED" w14:textId="77777777" w:rsidR="0094644B" w:rsidRPr="00F07779" w:rsidRDefault="0094644B" w:rsidP="00FB5086">
            <w:pPr>
              <w:rPr>
                <w:sz w:val="20"/>
                <w:szCs w:val="20"/>
              </w:rPr>
            </w:pPr>
            <w:r w:rsidRPr="00F07779">
              <w:rPr>
                <w:sz w:val="20"/>
                <w:szCs w:val="20"/>
              </w:rPr>
              <w:t>95,606 (own funds of EMS JSC)</w:t>
            </w:r>
          </w:p>
        </w:tc>
      </w:tr>
      <w:tr w:rsidR="0094644B" w:rsidRPr="00F07779" w14:paraId="1C9E49F1"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7E36E565" w14:textId="77777777" w:rsidR="0094644B" w:rsidRPr="00F07779" w:rsidRDefault="0094644B" w:rsidP="00FB5086">
            <w:pPr>
              <w:rPr>
                <w:sz w:val="20"/>
                <w:szCs w:val="20"/>
              </w:rPr>
            </w:pPr>
            <w:r w:rsidRPr="00FA3F57">
              <w:rPr>
                <w:sz w:val="20"/>
                <w:szCs w:val="20"/>
              </w:rPr>
              <w:t>Planned investments for 2028.</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1B0B53E5" w14:textId="77777777" w:rsidR="0094644B" w:rsidRPr="00F07779" w:rsidRDefault="0094644B" w:rsidP="00FB5086">
            <w:pPr>
              <w:rPr>
                <w:sz w:val="20"/>
                <w:szCs w:val="20"/>
              </w:rPr>
            </w:pPr>
            <w:r w:rsidRPr="00F07779">
              <w:rPr>
                <w:sz w:val="20"/>
                <w:szCs w:val="20"/>
              </w:rPr>
              <w:t>0</w:t>
            </w:r>
          </w:p>
        </w:tc>
      </w:tr>
    </w:tbl>
    <w:p w14:paraId="7F875C8B" w14:textId="77777777" w:rsidR="0094644B" w:rsidRPr="00F07779" w:rsidRDefault="0094644B" w:rsidP="0094644B">
      <w:pPr>
        <w:tabs>
          <w:tab w:val="left" w:pos="1276"/>
          <w:tab w:val="left" w:pos="1560"/>
        </w:tabs>
        <w:ind w:left="1440" w:hanging="1440"/>
      </w:pPr>
    </w:p>
    <w:tbl>
      <w:tblPr>
        <w:tblStyle w:val="TableGrid"/>
        <w:tblW w:w="0" w:type="auto"/>
        <w:tblLook w:val="04A0" w:firstRow="1" w:lastRow="0" w:firstColumn="1" w:lastColumn="0" w:noHBand="0" w:noVBand="1"/>
      </w:tblPr>
      <w:tblGrid>
        <w:gridCol w:w="2973"/>
        <w:gridCol w:w="5667"/>
      </w:tblGrid>
      <w:tr w:rsidR="0094644B" w:rsidRPr="00F07779" w14:paraId="69BE833F"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6F630F8" w14:textId="77777777" w:rsidR="0094644B" w:rsidRPr="00F07779" w:rsidRDefault="0094644B" w:rsidP="00FB5086">
            <w:pPr>
              <w:rPr>
                <w:sz w:val="20"/>
                <w:szCs w:val="20"/>
              </w:rPr>
            </w:pPr>
            <w:r w:rsidRPr="00F07779">
              <w:rPr>
                <w:sz w:val="20"/>
                <w:szCs w:val="20"/>
              </w:rPr>
              <w:t>Activity EL1.2</w:t>
            </w:r>
          </w:p>
        </w:tc>
        <w:tc>
          <w:tcPr>
            <w:tcW w:w="566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DC13FEF" w14:textId="77777777" w:rsidR="0094644B" w:rsidRPr="00F07779" w:rsidRDefault="0094644B" w:rsidP="00FB5086">
            <w:pPr>
              <w:rPr>
                <w:sz w:val="20"/>
                <w:szCs w:val="20"/>
              </w:rPr>
            </w:pPr>
            <w:r w:rsidRPr="00F07779">
              <w:rPr>
                <w:sz w:val="20"/>
                <w:szCs w:val="20"/>
              </w:rPr>
              <w:t>Investment projects focused on the reconstruction and construction of the transmission network</w:t>
            </w:r>
          </w:p>
        </w:tc>
      </w:tr>
      <w:tr w:rsidR="0094644B" w:rsidRPr="00F07779" w14:paraId="364143BD"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4CBDF668" w14:textId="77777777" w:rsidR="0094644B" w:rsidRPr="00F07779" w:rsidRDefault="0094644B" w:rsidP="00FB5086">
            <w:pPr>
              <w:rPr>
                <w:sz w:val="20"/>
                <w:szCs w:val="20"/>
              </w:rPr>
            </w:pPr>
            <w:r w:rsidRPr="00FA3F57">
              <w:rPr>
                <w:sz w:val="20"/>
                <w:szCs w:val="20"/>
              </w:rPr>
              <w:t>Name of the project</w:t>
            </w:r>
          </w:p>
        </w:tc>
        <w:tc>
          <w:tcPr>
            <w:tcW w:w="5667"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2EA2CA8D" w14:textId="77777777" w:rsidR="0094644B" w:rsidRPr="00F07779" w:rsidRDefault="0094644B" w:rsidP="00FB5086">
            <w:pPr>
              <w:rPr>
                <w:sz w:val="20"/>
                <w:szCs w:val="20"/>
              </w:rPr>
            </w:pPr>
            <w:r w:rsidRPr="00F07779">
              <w:rPr>
                <w:sz w:val="20"/>
                <w:szCs w:val="20"/>
              </w:rPr>
              <w:t>Connection line for TS 110/10 kV Belgrade 49</w:t>
            </w:r>
          </w:p>
        </w:tc>
      </w:tr>
      <w:tr w:rsidR="0094644B" w:rsidRPr="00F07779" w14:paraId="0F96A862"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0D06C33" w14:textId="77777777" w:rsidR="0094644B" w:rsidRPr="00F07779" w:rsidRDefault="0094644B" w:rsidP="00FB5086">
            <w:pPr>
              <w:rPr>
                <w:sz w:val="20"/>
                <w:szCs w:val="20"/>
              </w:rPr>
            </w:pPr>
            <w:r w:rsidRPr="00FA3F57">
              <w:rPr>
                <w:sz w:val="20"/>
                <w:szCs w:val="20"/>
              </w:rPr>
              <w:t xml:space="preserve">Name of the </w:t>
            </w:r>
            <w:r w:rsidRPr="00F07779">
              <w:rPr>
                <w:sz w:val="20"/>
                <w:szCs w:val="20"/>
              </w:rPr>
              <w:t>investment</w:t>
            </w:r>
          </w:p>
        </w:tc>
        <w:tc>
          <w:tcPr>
            <w:tcW w:w="566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6D39F64" w14:textId="77777777" w:rsidR="0094644B" w:rsidRPr="00F07779" w:rsidRDefault="0094644B" w:rsidP="00FB5086">
            <w:pPr>
              <w:rPr>
                <w:sz w:val="20"/>
                <w:szCs w:val="20"/>
              </w:rPr>
            </w:pPr>
            <w:r w:rsidRPr="00F07779">
              <w:rPr>
                <w:sz w:val="20"/>
                <w:szCs w:val="20"/>
              </w:rPr>
              <w:t xml:space="preserve">–CB 2x110 kV TS </w:t>
            </w:r>
            <w:proofErr w:type="spellStart"/>
            <w:r w:rsidRPr="00F07779">
              <w:rPr>
                <w:sz w:val="20"/>
                <w:szCs w:val="20"/>
              </w:rPr>
              <w:t>Aerodrom</w:t>
            </w:r>
            <w:proofErr w:type="spellEnd"/>
            <w:r w:rsidRPr="00F07779">
              <w:rPr>
                <w:sz w:val="20"/>
                <w:szCs w:val="20"/>
              </w:rPr>
              <w:t xml:space="preserve"> </w:t>
            </w:r>
          </w:p>
        </w:tc>
      </w:tr>
      <w:tr w:rsidR="0094644B" w:rsidRPr="00F07779" w14:paraId="27E9B9B3"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21C66982" w14:textId="77777777" w:rsidR="0094644B" w:rsidRPr="00F07779" w:rsidRDefault="0094644B" w:rsidP="00FB5086">
            <w:pPr>
              <w:rPr>
                <w:sz w:val="20"/>
                <w:szCs w:val="20"/>
              </w:rPr>
            </w:pPr>
            <w:r w:rsidRPr="00FA3F57">
              <w:rPr>
                <w:sz w:val="20"/>
                <w:szCs w:val="20"/>
              </w:rPr>
              <w:t>Short description of the investment</w:t>
            </w:r>
          </w:p>
        </w:tc>
        <w:tc>
          <w:tcPr>
            <w:tcW w:w="5667" w:type="dxa"/>
            <w:tcBorders>
              <w:top w:val="single" w:sz="4" w:space="0" w:color="auto"/>
              <w:left w:val="single" w:sz="4" w:space="0" w:color="auto"/>
              <w:bottom w:val="single" w:sz="4" w:space="0" w:color="auto"/>
              <w:right w:val="single" w:sz="4" w:space="0" w:color="auto"/>
            </w:tcBorders>
            <w:hideMark/>
          </w:tcPr>
          <w:p w14:paraId="53CA52A7" w14:textId="77777777" w:rsidR="0094644B" w:rsidRPr="00F07779" w:rsidRDefault="0094644B" w:rsidP="00FB5086">
            <w:pPr>
              <w:rPr>
                <w:sz w:val="20"/>
                <w:szCs w:val="20"/>
              </w:rPr>
            </w:pPr>
            <w:r w:rsidRPr="00F07779">
              <w:rPr>
                <w:sz w:val="20"/>
                <w:szCs w:val="20"/>
              </w:rPr>
              <w:t>Construction of a double cable line from the future Belgrade 44 substation (</w:t>
            </w:r>
            <w:proofErr w:type="spellStart"/>
            <w:r w:rsidRPr="00F07779">
              <w:rPr>
                <w:sz w:val="20"/>
                <w:szCs w:val="20"/>
              </w:rPr>
              <w:t>Surčin</w:t>
            </w:r>
            <w:proofErr w:type="spellEnd"/>
            <w:r w:rsidRPr="00F07779">
              <w:rPr>
                <w:sz w:val="20"/>
                <w:szCs w:val="20"/>
              </w:rPr>
              <w:t xml:space="preserve">). In the process of harmonizing the plans of the </w:t>
            </w:r>
            <w:r w:rsidRPr="00FA3F57">
              <w:rPr>
                <w:sz w:val="20"/>
                <w:szCs w:val="20"/>
              </w:rPr>
              <w:lastRenderedPageBreak/>
              <w:t>OPS</w:t>
            </w:r>
            <w:r w:rsidRPr="00F07779">
              <w:rPr>
                <w:sz w:val="20"/>
                <w:szCs w:val="20"/>
              </w:rPr>
              <w:t xml:space="preserve"> and the DSO, a remark was made regarding the connection of the 110/10 kV substation Belgrade 49 (Airport) to the transmission system. Following the planned increase in commercial facilities and the planned expansion of the Nikola Tesla Airport complex, the need arose to build a new 110/10 kV substation Belgrade 49 (Airport), owned by EDS.</w:t>
            </w:r>
          </w:p>
          <w:p w14:paraId="13D1B3E0" w14:textId="77777777" w:rsidR="0094644B" w:rsidRPr="00F07779" w:rsidRDefault="0094644B" w:rsidP="00FB5086">
            <w:pPr>
              <w:rPr>
                <w:sz w:val="20"/>
                <w:szCs w:val="20"/>
              </w:rPr>
            </w:pPr>
            <w:r w:rsidRPr="00F07779">
              <w:rPr>
                <w:sz w:val="20"/>
                <w:szCs w:val="20"/>
              </w:rPr>
              <w:t>Expected dynamics of project implementation:</w:t>
            </w:r>
          </w:p>
          <w:p w14:paraId="6EEE5EBB" w14:textId="77777777" w:rsidR="0094644B" w:rsidRPr="00F07779" w:rsidRDefault="0094644B" w:rsidP="00FB5086">
            <w:pPr>
              <w:rPr>
                <w:sz w:val="20"/>
                <w:szCs w:val="20"/>
              </w:rPr>
            </w:pPr>
            <w:r w:rsidRPr="00F07779">
              <w:rPr>
                <w:sz w:val="20"/>
                <w:szCs w:val="20"/>
              </w:rPr>
              <w:t>2026. Construction</w:t>
            </w:r>
          </w:p>
          <w:p w14:paraId="49B51B47" w14:textId="77777777" w:rsidR="0094644B" w:rsidRPr="00F07779" w:rsidRDefault="0094644B" w:rsidP="00FB5086">
            <w:pPr>
              <w:rPr>
                <w:sz w:val="20"/>
                <w:szCs w:val="20"/>
              </w:rPr>
            </w:pPr>
            <w:r w:rsidRPr="00F07779">
              <w:rPr>
                <w:sz w:val="20"/>
                <w:szCs w:val="20"/>
              </w:rPr>
              <w:t>2027. Commissioning; trial operation</w:t>
            </w:r>
          </w:p>
          <w:p w14:paraId="43E449A3" w14:textId="77777777" w:rsidR="0094644B" w:rsidRPr="00F07779" w:rsidRDefault="0094644B" w:rsidP="00FB5086">
            <w:pPr>
              <w:rPr>
                <w:sz w:val="20"/>
                <w:szCs w:val="20"/>
              </w:rPr>
            </w:pPr>
            <w:r w:rsidRPr="00F07779">
              <w:rPr>
                <w:sz w:val="20"/>
                <w:szCs w:val="20"/>
              </w:rPr>
              <w:t>2028. Use permit; end of project</w:t>
            </w:r>
          </w:p>
        </w:tc>
      </w:tr>
      <w:tr w:rsidR="0094644B" w:rsidRPr="00F07779" w14:paraId="74AA6631"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4C85C671" w14:textId="77777777" w:rsidR="0094644B" w:rsidRPr="00F07779" w:rsidRDefault="0094644B" w:rsidP="00FB5086">
            <w:pPr>
              <w:rPr>
                <w:sz w:val="20"/>
                <w:szCs w:val="20"/>
              </w:rPr>
            </w:pPr>
            <w:r w:rsidRPr="00FA3F57">
              <w:rPr>
                <w:sz w:val="20"/>
                <w:szCs w:val="20"/>
              </w:rPr>
              <w:lastRenderedPageBreak/>
              <w:t>Institutions responsible for the implementation of measures and activities</w:t>
            </w:r>
          </w:p>
        </w:tc>
        <w:tc>
          <w:tcPr>
            <w:tcW w:w="5667" w:type="dxa"/>
            <w:tcBorders>
              <w:top w:val="single" w:sz="4" w:space="0" w:color="auto"/>
              <w:left w:val="single" w:sz="4" w:space="0" w:color="auto"/>
              <w:bottom w:val="single" w:sz="4" w:space="0" w:color="auto"/>
              <w:right w:val="single" w:sz="4" w:space="0" w:color="auto"/>
            </w:tcBorders>
            <w:hideMark/>
          </w:tcPr>
          <w:p w14:paraId="431AC2A7" w14:textId="77777777" w:rsidR="0094644B" w:rsidRPr="00F07779" w:rsidRDefault="0094644B" w:rsidP="00FB5086">
            <w:pPr>
              <w:rPr>
                <w:sz w:val="20"/>
                <w:szCs w:val="20"/>
              </w:rPr>
            </w:pPr>
            <w:r w:rsidRPr="00FA3F57">
              <w:rPr>
                <w:sz w:val="20"/>
                <w:szCs w:val="20"/>
              </w:rPr>
              <w:t>EMS JSC Belgrade</w:t>
            </w:r>
          </w:p>
        </w:tc>
      </w:tr>
      <w:tr w:rsidR="0094644B" w:rsidRPr="00F07779" w14:paraId="24D45CE9"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481F6AB9" w14:textId="77777777" w:rsidR="0094644B" w:rsidRPr="00F07779" w:rsidRDefault="0094644B" w:rsidP="00FB5086">
            <w:pPr>
              <w:rPr>
                <w:sz w:val="20"/>
                <w:szCs w:val="20"/>
              </w:rPr>
            </w:pPr>
            <w:r w:rsidRPr="00FA3F57">
              <w:rPr>
                <w:sz w:val="20"/>
                <w:szCs w:val="20"/>
              </w:rPr>
              <w:t>Institutions responsible for monitoring implementation and reporting on the realization</w:t>
            </w:r>
          </w:p>
        </w:tc>
        <w:tc>
          <w:tcPr>
            <w:tcW w:w="5667" w:type="dxa"/>
            <w:tcBorders>
              <w:top w:val="single" w:sz="4" w:space="0" w:color="auto"/>
              <w:left w:val="single" w:sz="4" w:space="0" w:color="auto"/>
              <w:bottom w:val="single" w:sz="4" w:space="0" w:color="auto"/>
              <w:right w:val="single" w:sz="4" w:space="0" w:color="auto"/>
            </w:tcBorders>
            <w:hideMark/>
          </w:tcPr>
          <w:p w14:paraId="784E1E09" w14:textId="77777777" w:rsidR="0094644B" w:rsidRPr="00F07779" w:rsidRDefault="0094644B" w:rsidP="00FB5086">
            <w:pPr>
              <w:rPr>
                <w:sz w:val="20"/>
                <w:szCs w:val="20"/>
              </w:rPr>
            </w:pPr>
            <w:r w:rsidRPr="00FA3F57">
              <w:rPr>
                <w:sz w:val="20"/>
                <w:szCs w:val="20"/>
              </w:rPr>
              <w:t>EMS JSC Belgrade</w:t>
            </w:r>
          </w:p>
          <w:p w14:paraId="67E32F83" w14:textId="77777777" w:rsidR="0094644B" w:rsidRPr="00FA3F57" w:rsidRDefault="0094644B" w:rsidP="00FB5086">
            <w:pPr>
              <w:rPr>
                <w:sz w:val="20"/>
                <w:szCs w:val="20"/>
              </w:rPr>
            </w:pPr>
            <w:r w:rsidRPr="00FA3F57">
              <w:rPr>
                <w:sz w:val="20"/>
                <w:szCs w:val="20"/>
              </w:rPr>
              <w:t>Republic Commission for Energy Networks</w:t>
            </w:r>
          </w:p>
          <w:p w14:paraId="11A29254" w14:textId="77777777" w:rsidR="0094644B" w:rsidRPr="00F07779" w:rsidRDefault="0094644B" w:rsidP="00FB5086">
            <w:pPr>
              <w:rPr>
                <w:sz w:val="20"/>
                <w:szCs w:val="20"/>
              </w:rPr>
            </w:pPr>
            <w:r w:rsidRPr="00F07779">
              <w:rPr>
                <w:sz w:val="20"/>
                <w:szCs w:val="20"/>
              </w:rPr>
              <w:t>Ministry of Mining and Energy</w:t>
            </w:r>
          </w:p>
        </w:tc>
      </w:tr>
      <w:tr w:rsidR="0094644B" w:rsidRPr="00F07779" w14:paraId="1AC497B2"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01FD198F" w14:textId="77777777" w:rsidR="0094644B" w:rsidRPr="00F07779" w:rsidRDefault="0094644B" w:rsidP="00FB5086">
            <w:pPr>
              <w:rPr>
                <w:sz w:val="20"/>
                <w:szCs w:val="20"/>
              </w:rPr>
            </w:pPr>
            <w:r w:rsidRPr="00FA3F57">
              <w:rPr>
                <w:sz w:val="20"/>
                <w:szCs w:val="20"/>
              </w:rPr>
              <w:t>Year of project funding start</w:t>
            </w:r>
          </w:p>
        </w:tc>
        <w:tc>
          <w:tcPr>
            <w:tcW w:w="5667" w:type="dxa"/>
            <w:tcBorders>
              <w:top w:val="single" w:sz="4" w:space="0" w:color="auto"/>
              <w:left w:val="single" w:sz="4" w:space="0" w:color="auto"/>
              <w:bottom w:val="single" w:sz="4" w:space="0" w:color="auto"/>
              <w:right w:val="single" w:sz="4" w:space="0" w:color="auto"/>
            </w:tcBorders>
            <w:hideMark/>
          </w:tcPr>
          <w:p w14:paraId="65CA3E4A" w14:textId="77777777" w:rsidR="0094644B" w:rsidRPr="00F07779" w:rsidRDefault="0094644B" w:rsidP="00FB5086">
            <w:pPr>
              <w:rPr>
                <w:sz w:val="20"/>
                <w:szCs w:val="20"/>
              </w:rPr>
            </w:pPr>
            <w:r w:rsidRPr="00F07779">
              <w:rPr>
                <w:sz w:val="20"/>
                <w:szCs w:val="20"/>
              </w:rPr>
              <w:t>2021.</w:t>
            </w:r>
          </w:p>
        </w:tc>
      </w:tr>
      <w:tr w:rsidR="0094644B" w:rsidRPr="00F07779" w14:paraId="48D9EADE"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02FC46FC" w14:textId="77777777" w:rsidR="0094644B" w:rsidRPr="00F07779" w:rsidRDefault="0094644B" w:rsidP="00FB5086">
            <w:pPr>
              <w:rPr>
                <w:sz w:val="20"/>
                <w:szCs w:val="20"/>
              </w:rPr>
            </w:pPr>
            <w:r w:rsidRPr="00FA3F57">
              <w:rPr>
                <w:sz w:val="20"/>
                <w:szCs w:val="20"/>
              </w:rPr>
              <w:t>Year of completion of project funding</w:t>
            </w:r>
          </w:p>
        </w:tc>
        <w:tc>
          <w:tcPr>
            <w:tcW w:w="5667" w:type="dxa"/>
            <w:tcBorders>
              <w:top w:val="single" w:sz="4" w:space="0" w:color="auto"/>
              <w:left w:val="single" w:sz="4" w:space="0" w:color="auto"/>
              <w:bottom w:val="single" w:sz="4" w:space="0" w:color="auto"/>
              <w:right w:val="single" w:sz="4" w:space="0" w:color="auto"/>
            </w:tcBorders>
            <w:hideMark/>
          </w:tcPr>
          <w:p w14:paraId="233BD152" w14:textId="77777777" w:rsidR="0094644B" w:rsidRPr="00F07779" w:rsidRDefault="0094644B" w:rsidP="00FB5086">
            <w:pPr>
              <w:rPr>
                <w:sz w:val="20"/>
                <w:szCs w:val="20"/>
              </w:rPr>
            </w:pPr>
            <w:r w:rsidRPr="00F07779">
              <w:rPr>
                <w:sz w:val="20"/>
                <w:szCs w:val="20"/>
              </w:rPr>
              <w:t>2028.</w:t>
            </w:r>
          </w:p>
        </w:tc>
      </w:tr>
      <w:tr w:rsidR="0094644B" w:rsidRPr="00F07779" w14:paraId="20536CFC"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6B141A57" w14:textId="77777777" w:rsidR="0094644B" w:rsidRPr="00F07779" w:rsidRDefault="0094644B" w:rsidP="00FB5086">
            <w:pPr>
              <w:rPr>
                <w:sz w:val="20"/>
                <w:szCs w:val="20"/>
              </w:rPr>
            </w:pPr>
            <w:r w:rsidRPr="00FA3F57">
              <w:rPr>
                <w:sz w:val="20"/>
                <w:szCs w:val="20"/>
              </w:rPr>
              <w:t>Total project value</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7D4377AF" w14:textId="77777777" w:rsidR="0094644B" w:rsidRPr="00FA3F57" w:rsidRDefault="0094644B" w:rsidP="00FB5086">
            <w:pPr>
              <w:rPr>
                <w:sz w:val="20"/>
                <w:szCs w:val="20"/>
              </w:rPr>
            </w:pPr>
            <w:r w:rsidRPr="00FA3F57">
              <w:rPr>
                <w:sz w:val="20"/>
                <w:szCs w:val="20"/>
              </w:rPr>
              <w:t>1,958,075 (16.7 million EUR)</w:t>
            </w:r>
          </w:p>
        </w:tc>
      </w:tr>
      <w:tr w:rsidR="0094644B" w:rsidRPr="00F07779" w14:paraId="5654D04A"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3B88D57D" w14:textId="77777777" w:rsidR="0094644B" w:rsidRPr="00F07779" w:rsidRDefault="0094644B" w:rsidP="00FB5086">
            <w:pPr>
              <w:rPr>
                <w:sz w:val="20"/>
                <w:szCs w:val="20"/>
              </w:rPr>
            </w:pPr>
            <w:r w:rsidRPr="00FA3F57">
              <w:rPr>
                <w:sz w:val="20"/>
                <w:szCs w:val="20"/>
              </w:rPr>
              <w:t>Planned investments for 2026.</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0B73035D" w14:textId="77777777" w:rsidR="0094644B" w:rsidRPr="00F07779" w:rsidRDefault="0094644B" w:rsidP="00FB5086">
            <w:pPr>
              <w:rPr>
                <w:sz w:val="20"/>
                <w:szCs w:val="20"/>
              </w:rPr>
            </w:pPr>
            <w:r w:rsidRPr="00F07779">
              <w:rPr>
                <w:sz w:val="20"/>
                <w:szCs w:val="20"/>
              </w:rPr>
              <w:t>1,926,431 (own funds of EMS JSC)</w:t>
            </w:r>
          </w:p>
        </w:tc>
      </w:tr>
      <w:tr w:rsidR="0094644B" w:rsidRPr="00F07779" w14:paraId="2A365286"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0EC787FE" w14:textId="77777777" w:rsidR="0094644B" w:rsidRPr="00F07779" w:rsidRDefault="0094644B" w:rsidP="00FB5086">
            <w:pPr>
              <w:rPr>
                <w:sz w:val="20"/>
                <w:szCs w:val="20"/>
              </w:rPr>
            </w:pPr>
            <w:r w:rsidRPr="00FA3F57">
              <w:rPr>
                <w:sz w:val="20"/>
                <w:szCs w:val="20"/>
              </w:rPr>
              <w:t>Planned investments for 2027.</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17B8DE56" w14:textId="77777777" w:rsidR="0094644B" w:rsidRPr="00F07779" w:rsidRDefault="0094644B" w:rsidP="00FB5086">
            <w:pPr>
              <w:rPr>
                <w:sz w:val="20"/>
                <w:szCs w:val="20"/>
              </w:rPr>
            </w:pPr>
            <w:r w:rsidRPr="00F07779">
              <w:rPr>
                <w:sz w:val="20"/>
                <w:szCs w:val="20"/>
              </w:rPr>
              <w:t>0</w:t>
            </w:r>
          </w:p>
        </w:tc>
      </w:tr>
      <w:tr w:rsidR="0094644B" w:rsidRPr="00F07779" w14:paraId="74135632"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0108AAE3" w14:textId="77777777" w:rsidR="0094644B" w:rsidRPr="00F07779" w:rsidRDefault="0094644B" w:rsidP="00FB5086">
            <w:pPr>
              <w:rPr>
                <w:sz w:val="20"/>
                <w:szCs w:val="20"/>
              </w:rPr>
            </w:pPr>
            <w:r w:rsidRPr="00FA3F57">
              <w:rPr>
                <w:sz w:val="20"/>
                <w:szCs w:val="20"/>
              </w:rPr>
              <w:t>Planned investments for 2028.</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44906F87" w14:textId="77777777" w:rsidR="0094644B" w:rsidRPr="00F07779" w:rsidRDefault="0094644B" w:rsidP="00FB5086">
            <w:pPr>
              <w:rPr>
                <w:sz w:val="20"/>
                <w:szCs w:val="20"/>
              </w:rPr>
            </w:pPr>
            <w:r w:rsidRPr="00F07779">
              <w:rPr>
                <w:sz w:val="20"/>
                <w:szCs w:val="20"/>
              </w:rPr>
              <w:t>0</w:t>
            </w:r>
          </w:p>
        </w:tc>
      </w:tr>
    </w:tbl>
    <w:p w14:paraId="24DEC4C3" w14:textId="77777777" w:rsidR="0094644B" w:rsidRPr="00F07779" w:rsidRDefault="0094644B" w:rsidP="0094644B">
      <w:pPr>
        <w:tabs>
          <w:tab w:val="left" w:pos="1276"/>
          <w:tab w:val="left" w:pos="1560"/>
        </w:tabs>
        <w:ind w:left="1440" w:hanging="1440"/>
      </w:pPr>
    </w:p>
    <w:tbl>
      <w:tblPr>
        <w:tblStyle w:val="TableGrid"/>
        <w:tblW w:w="0" w:type="auto"/>
        <w:tblLook w:val="04A0" w:firstRow="1" w:lastRow="0" w:firstColumn="1" w:lastColumn="0" w:noHBand="0" w:noVBand="1"/>
      </w:tblPr>
      <w:tblGrid>
        <w:gridCol w:w="2973"/>
        <w:gridCol w:w="5667"/>
      </w:tblGrid>
      <w:tr w:rsidR="0094644B" w:rsidRPr="00F07779" w14:paraId="1AD3DA0A"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12F256A" w14:textId="77777777" w:rsidR="0094644B" w:rsidRPr="00F07779" w:rsidRDefault="0094644B" w:rsidP="00FB5086">
            <w:pPr>
              <w:rPr>
                <w:sz w:val="20"/>
                <w:szCs w:val="20"/>
              </w:rPr>
            </w:pPr>
            <w:r w:rsidRPr="00F07779">
              <w:rPr>
                <w:sz w:val="20"/>
                <w:szCs w:val="20"/>
              </w:rPr>
              <w:t>Activity EL1.2</w:t>
            </w:r>
          </w:p>
        </w:tc>
        <w:tc>
          <w:tcPr>
            <w:tcW w:w="566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8BB0C4D" w14:textId="77777777" w:rsidR="0094644B" w:rsidRPr="00F07779" w:rsidRDefault="0094644B" w:rsidP="00FB5086">
            <w:pPr>
              <w:rPr>
                <w:sz w:val="20"/>
                <w:szCs w:val="20"/>
              </w:rPr>
            </w:pPr>
            <w:r w:rsidRPr="00F07779">
              <w:rPr>
                <w:sz w:val="20"/>
                <w:szCs w:val="20"/>
              </w:rPr>
              <w:t>Investment projects focused on the reconstruction and construction of the transmission network</w:t>
            </w:r>
          </w:p>
        </w:tc>
      </w:tr>
      <w:tr w:rsidR="0094644B" w:rsidRPr="00F07779" w14:paraId="24F021A2"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4C6072F8" w14:textId="77777777" w:rsidR="0094644B" w:rsidRPr="00F07779" w:rsidRDefault="0094644B" w:rsidP="00FB5086">
            <w:pPr>
              <w:rPr>
                <w:sz w:val="20"/>
                <w:szCs w:val="20"/>
              </w:rPr>
            </w:pPr>
            <w:r w:rsidRPr="00FA3F57">
              <w:rPr>
                <w:sz w:val="20"/>
                <w:szCs w:val="20"/>
              </w:rPr>
              <w:t>Name of the project</w:t>
            </w:r>
          </w:p>
        </w:tc>
        <w:tc>
          <w:tcPr>
            <w:tcW w:w="5667"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2B277CEC" w14:textId="77777777" w:rsidR="0094644B" w:rsidRPr="00F07779" w:rsidRDefault="0094644B" w:rsidP="00FB5086">
            <w:pPr>
              <w:rPr>
                <w:sz w:val="20"/>
                <w:szCs w:val="20"/>
              </w:rPr>
            </w:pPr>
            <w:r w:rsidRPr="00F07779">
              <w:rPr>
                <w:sz w:val="20"/>
                <w:szCs w:val="20"/>
              </w:rPr>
              <w:t>Connection line for TS 110/35 kV Belgrade 44 (</w:t>
            </w:r>
            <w:proofErr w:type="spellStart"/>
            <w:r w:rsidRPr="00F07779">
              <w:rPr>
                <w:sz w:val="20"/>
                <w:szCs w:val="20"/>
              </w:rPr>
              <w:t>Surčin</w:t>
            </w:r>
            <w:proofErr w:type="spellEnd"/>
            <w:r w:rsidRPr="00F07779">
              <w:rPr>
                <w:sz w:val="20"/>
                <w:szCs w:val="20"/>
              </w:rPr>
              <w:t>)</w:t>
            </w:r>
          </w:p>
        </w:tc>
      </w:tr>
      <w:tr w:rsidR="0094644B" w:rsidRPr="00F07779" w14:paraId="03C8799F" w14:textId="77777777" w:rsidTr="00FB5086">
        <w:tc>
          <w:tcPr>
            <w:tcW w:w="297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B470AA9" w14:textId="77777777" w:rsidR="0094644B" w:rsidRPr="00F07779" w:rsidRDefault="0094644B" w:rsidP="00FB5086">
            <w:pPr>
              <w:rPr>
                <w:sz w:val="20"/>
                <w:szCs w:val="20"/>
              </w:rPr>
            </w:pPr>
            <w:r w:rsidRPr="00FA3F57">
              <w:rPr>
                <w:sz w:val="20"/>
                <w:szCs w:val="20"/>
              </w:rPr>
              <w:t xml:space="preserve">Name of the </w:t>
            </w:r>
            <w:r w:rsidRPr="00F07779">
              <w:rPr>
                <w:sz w:val="20"/>
                <w:szCs w:val="20"/>
              </w:rPr>
              <w:t>investment</w:t>
            </w:r>
          </w:p>
        </w:tc>
        <w:tc>
          <w:tcPr>
            <w:tcW w:w="566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F70C1D2" w14:textId="77777777" w:rsidR="0094644B" w:rsidRPr="00F07779" w:rsidRDefault="0094644B" w:rsidP="00FB5086">
            <w:pPr>
              <w:rPr>
                <w:sz w:val="20"/>
                <w:szCs w:val="20"/>
              </w:rPr>
            </w:pPr>
            <w:r w:rsidRPr="00F07779">
              <w:rPr>
                <w:sz w:val="20"/>
                <w:szCs w:val="20"/>
              </w:rPr>
              <w:t xml:space="preserve">OHL 110 kV No. 104/2 Belgrade 5 – Belgrade 32, leading into the new TS </w:t>
            </w:r>
            <w:proofErr w:type="spellStart"/>
            <w:r w:rsidRPr="00F07779">
              <w:rPr>
                <w:sz w:val="20"/>
                <w:szCs w:val="20"/>
              </w:rPr>
              <w:t>Surčin</w:t>
            </w:r>
            <w:proofErr w:type="spellEnd"/>
          </w:p>
        </w:tc>
      </w:tr>
      <w:tr w:rsidR="0094644B" w:rsidRPr="00F07779" w14:paraId="10E1A989"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3CEE848E" w14:textId="77777777" w:rsidR="0094644B" w:rsidRPr="00F07779" w:rsidRDefault="0094644B" w:rsidP="00FB5086">
            <w:pPr>
              <w:rPr>
                <w:sz w:val="20"/>
                <w:szCs w:val="20"/>
              </w:rPr>
            </w:pPr>
            <w:r w:rsidRPr="00FA3F57">
              <w:rPr>
                <w:sz w:val="20"/>
                <w:szCs w:val="20"/>
              </w:rPr>
              <w:t>Short description of the investment</w:t>
            </w:r>
          </w:p>
        </w:tc>
        <w:tc>
          <w:tcPr>
            <w:tcW w:w="5667" w:type="dxa"/>
            <w:tcBorders>
              <w:top w:val="single" w:sz="4" w:space="0" w:color="auto"/>
              <w:left w:val="single" w:sz="4" w:space="0" w:color="auto"/>
              <w:bottom w:val="single" w:sz="4" w:space="0" w:color="auto"/>
              <w:right w:val="single" w:sz="4" w:space="0" w:color="auto"/>
            </w:tcBorders>
            <w:hideMark/>
          </w:tcPr>
          <w:p w14:paraId="2560137B" w14:textId="77777777" w:rsidR="0094644B" w:rsidRPr="00F07779" w:rsidRDefault="0094644B" w:rsidP="00FB5086">
            <w:pPr>
              <w:rPr>
                <w:sz w:val="20"/>
                <w:szCs w:val="20"/>
              </w:rPr>
            </w:pPr>
            <w:r w:rsidRPr="00F07779">
              <w:rPr>
                <w:sz w:val="20"/>
                <w:szCs w:val="20"/>
              </w:rPr>
              <w:t>Construction of a connecting line with a length of approximately 7,145 km, then it is necessary to replace 3 poles of the 220 kV transmission line and reconstruct part of the line No. 104/2 into a dual-system line of approximately 2 km (due to the new substation, the overhead line being built over, and the presence of a main road), and the equipping of the second system from pole No. 16 to TS Belgrade 5.</w:t>
            </w:r>
          </w:p>
          <w:p w14:paraId="71D80BA1" w14:textId="77777777" w:rsidR="0094644B" w:rsidRPr="00F07779" w:rsidRDefault="0094644B" w:rsidP="00FB5086">
            <w:pPr>
              <w:rPr>
                <w:sz w:val="20"/>
                <w:szCs w:val="20"/>
              </w:rPr>
            </w:pPr>
            <w:r w:rsidRPr="00F07779">
              <w:rPr>
                <w:sz w:val="20"/>
                <w:szCs w:val="20"/>
              </w:rPr>
              <w:t>Expected dynamics of project implementation:</w:t>
            </w:r>
          </w:p>
          <w:p w14:paraId="0843174D" w14:textId="77777777" w:rsidR="0094644B" w:rsidRPr="00F07779" w:rsidRDefault="0094644B" w:rsidP="00FB5086">
            <w:pPr>
              <w:rPr>
                <w:sz w:val="20"/>
                <w:szCs w:val="20"/>
              </w:rPr>
            </w:pPr>
            <w:r w:rsidRPr="00F07779">
              <w:rPr>
                <w:sz w:val="20"/>
                <w:szCs w:val="20"/>
              </w:rPr>
              <w:t>2026. Use permit; end of project</w:t>
            </w:r>
          </w:p>
        </w:tc>
      </w:tr>
      <w:tr w:rsidR="0094644B" w:rsidRPr="00F07779" w14:paraId="646F7C13"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3C31A7F7" w14:textId="77777777" w:rsidR="0094644B" w:rsidRPr="00F07779" w:rsidRDefault="0094644B" w:rsidP="00FB5086">
            <w:pPr>
              <w:rPr>
                <w:sz w:val="20"/>
                <w:szCs w:val="20"/>
              </w:rPr>
            </w:pPr>
            <w:r w:rsidRPr="00FA3F57">
              <w:rPr>
                <w:sz w:val="20"/>
                <w:szCs w:val="20"/>
              </w:rPr>
              <w:t>Institutions responsible for the implementation of measures and activities</w:t>
            </w:r>
          </w:p>
        </w:tc>
        <w:tc>
          <w:tcPr>
            <w:tcW w:w="5667" w:type="dxa"/>
            <w:tcBorders>
              <w:top w:val="single" w:sz="4" w:space="0" w:color="auto"/>
              <w:left w:val="single" w:sz="4" w:space="0" w:color="auto"/>
              <w:bottom w:val="single" w:sz="4" w:space="0" w:color="auto"/>
              <w:right w:val="single" w:sz="4" w:space="0" w:color="auto"/>
            </w:tcBorders>
            <w:hideMark/>
          </w:tcPr>
          <w:p w14:paraId="5805753D" w14:textId="77777777" w:rsidR="0094644B" w:rsidRPr="00F07779" w:rsidRDefault="0094644B" w:rsidP="00FB5086">
            <w:pPr>
              <w:rPr>
                <w:sz w:val="20"/>
                <w:szCs w:val="20"/>
              </w:rPr>
            </w:pPr>
            <w:r w:rsidRPr="00FA3F57">
              <w:rPr>
                <w:sz w:val="20"/>
                <w:szCs w:val="20"/>
              </w:rPr>
              <w:t>EMS JSC Belgrade</w:t>
            </w:r>
          </w:p>
        </w:tc>
      </w:tr>
      <w:tr w:rsidR="0094644B" w:rsidRPr="00F07779" w14:paraId="58F32E61"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23F7D9B8" w14:textId="77777777" w:rsidR="0094644B" w:rsidRPr="00F07779" w:rsidRDefault="0094644B" w:rsidP="00FB5086">
            <w:pPr>
              <w:rPr>
                <w:sz w:val="20"/>
                <w:szCs w:val="20"/>
              </w:rPr>
            </w:pPr>
            <w:r w:rsidRPr="00FA3F57">
              <w:rPr>
                <w:sz w:val="20"/>
                <w:szCs w:val="20"/>
              </w:rPr>
              <w:t>Institutions responsible for monitoring implementation and reporting on the realization</w:t>
            </w:r>
          </w:p>
        </w:tc>
        <w:tc>
          <w:tcPr>
            <w:tcW w:w="5667" w:type="dxa"/>
            <w:tcBorders>
              <w:top w:val="single" w:sz="4" w:space="0" w:color="auto"/>
              <w:left w:val="single" w:sz="4" w:space="0" w:color="auto"/>
              <w:bottom w:val="single" w:sz="4" w:space="0" w:color="auto"/>
              <w:right w:val="single" w:sz="4" w:space="0" w:color="auto"/>
            </w:tcBorders>
            <w:hideMark/>
          </w:tcPr>
          <w:p w14:paraId="76682223" w14:textId="77777777" w:rsidR="0094644B" w:rsidRPr="00FA3F57" w:rsidRDefault="0094644B" w:rsidP="00FB5086">
            <w:pPr>
              <w:rPr>
                <w:sz w:val="20"/>
                <w:szCs w:val="20"/>
              </w:rPr>
            </w:pPr>
            <w:r w:rsidRPr="00FA3F57">
              <w:rPr>
                <w:sz w:val="20"/>
                <w:szCs w:val="20"/>
              </w:rPr>
              <w:t xml:space="preserve">EMS JSC </w:t>
            </w:r>
            <w:proofErr w:type="spellStart"/>
            <w:r w:rsidRPr="00FA3F57">
              <w:rPr>
                <w:sz w:val="20"/>
                <w:szCs w:val="20"/>
              </w:rPr>
              <w:t>BelgradeRepublic</w:t>
            </w:r>
            <w:proofErr w:type="spellEnd"/>
            <w:r w:rsidRPr="00FA3F57">
              <w:rPr>
                <w:sz w:val="20"/>
                <w:szCs w:val="20"/>
              </w:rPr>
              <w:t xml:space="preserve"> Commission for Energy Networks</w:t>
            </w:r>
          </w:p>
          <w:p w14:paraId="13F27EB2" w14:textId="77777777" w:rsidR="0094644B" w:rsidRPr="00F07779" w:rsidRDefault="0094644B" w:rsidP="00FB5086">
            <w:pPr>
              <w:rPr>
                <w:sz w:val="20"/>
                <w:szCs w:val="20"/>
              </w:rPr>
            </w:pPr>
            <w:r w:rsidRPr="00F07779">
              <w:rPr>
                <w:sz w:val="20"/>
                <w:szCs w:val="20"/>
              </w:rPr>
              <w:t>Ministry of Mining and Energy</w:t>
            </w:r>
          </w:p>
        </w:tc>
      </w:tr>
      <w:tr w:rsidR="0094644B" w:rsidRPr="00F07779" w14:paraId="132F909C"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04473687" w14:textId="77777777" w:rsidR="0094644B" w:rsidRPr="00F07779" w:rsidRDefault="0094644B" w:rsidP="00FB5086">
            <w:pPr>
              <w:rPr>
                <w:sz w:val="20"/>
                <w:szCs w:val="20"/>
              </w:rPr>
            </w:pPr>
            <w:r w:rsidRPr="00FA3F57">
              <w:rPr>
                <w:sz w:val="20"/>
                <w:szCs w:val="20"/>
              </w:rPr>
              <w:t>Year of project funding start</w:t>
            </w:r>
          </w:p>
        </w:tc>
        <w:tc>
          <w:tcPr>
            <w:tcW w:w="5667" w:type="dxa"/>
            <w:tcBorders>
              <w:top w:val="single" w:sz="4" w:space="0" w:color="auto"/>
              <w:left w:val="single" w:sz="4" w:space="0" w:color="auto"/>
              <w:bottom w:val="single" w:sz="4" w:space="0" w:color="auto"/>
              <w:right w:val="single" w:sz="4" w:space="0" w:color="auto"/>
            </w:tcBorders>
            <w:hideMark/>
          </w:tcPr>
          <w:p w14:paraId="3B03931D" w14:textId="77777777" w:rsidR="0094644B" w:rsidRPr="00F07779" w:rsidRDefault="0094644B" w:rsidP="00FB5086">
            <w:pPr>
              <w:rPr>
                <w:sz w:val="20"/>
                <w:szCs w:val="20"/>
              </w:rPr>
            </w:pPr>
            <w:r w:rsidRPr="00F07779">
              <w:rPr>
                <w:sz w:val="20"/>
                <w:szCs w:val="20"/>
              </w:rPr>
              <w:t>2016.</w:t>
            </w:r>
          </w:p>
        </w:tc>
      </w:tr>
      <w:tr w:rsidR="0094644B" w:rsidRPr="00F07779" w14:paraId="4E2D92C0"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22CB78AE" w14:textId="77777777" w:rsidR="0094644B" w:rsidRPr="00F07779" w:rsidRDefault="0094644B" w:rsidP="00FB5086">
            <w:pPr>
              <w:rPr>
                <w:sz w:val="20"/>
                <w:szCs w:val="20"/>
              </w:rPr>
            </w:pPr>
            <w:r w:rsidRPr="00FA3F57">
              <w:rPr>
                <w:sz w:val="20"/>
                <w:szCs w:val="20"/>
              </w:rPr>
              <w:t>Year of completion of project funding</w:t>
            </w:r>
          </w:p>
        </w:tc>
        <w:tc>
          <w:tcPr>
            <w:tcW w:w="5667" w:type="dxa"/>
            <w:tcBorders>
              <w:top w:val="single" w:sz="4" w:space="0" w:color="auto"/>
              <w:left w:val="single" w:sz="4" w:space="0" w:color="auto"/>
              <w:bottom w:val="single" w:sz="4" w:space="0" w:color="auto"/>
              <w:right w:val="single" w:sz="4" w:space="0" w:color="auto"/>
            </w:tcBorders>
            <w:hideMark/>
          </w:tcPr>
          <w:p w14:paraId="72E1740A" w14:textId="77777777" w:rsidR="0094644B" w:rsidRPr="00F07779" w:rsidRDefault="0094644B" w:rsidP="00FB5086">
            <w:pPr>
              <w:rPr>
                <w:sz w:val="20"/>
                <w:szCs w:val="20"/>
              </w:rPr>
            </w:pPr>
            <w:r w:rsidRPr="00F07779">
              <w:rPr>
                <w:sz w:val="20"/>
                <w:szCs w:val="20"/>
              </w:rPr>
              <w:t>2025/2026.</w:t>
            </w:r>
          </w:p>
        </w:tc>
      </w:tr>
      <w:tr w:rsidR="0094644B" w:rsidRPr="00F07779" w14:paraId="14C19A71"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4563B7FA" w14:textId="77777777" w:rsidR="0094644B" w:rsidRPr="00F07779" w:rsidRDefault="0094644B" w:rsidP="00FB5086">
            <w:pPr>
              <w:rPr>
                <w:sz w:val="20"/>
                <w:szCs w:val="20"/>
              </w:rPr>
            </w:pPr>
            <w:r w:rsidRPr="00FA3F57">
              <w:rPr>
                <w:sz w:val="20"/>
                <w:szCs w:val="20"/>
              </w:rPr>
              <w:t>Total project value</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1D95BEB3" w14:textId="77777777" w:rsidR="0094644B" w:rsidRPr="00F07779" w:rsidRDefault="0094644B" w:rsidP="00FB5086">
            <w:pPr>
              <w:rPr>
                <w:sz w:val="20"/>
                <w:szCs w:val="20"/>
              </w:rPr>
            </w:pPr>
            <w:r w:rsidRPr="00F07779">
              <w:rPr>
                <w:sz w:val="20"/>
                <w:szCs w:val="20"/>
              </w:rPr>
              <w:t>1,876,000 (16 million EUR)</w:t>
            </w:r>
          </w:p>
        </w:tc>
      </w:tr>
      <w:tr w:rsidR="0094644B" w:rsidRPr="00F07779" w14:paraId="337F07D6"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624EAA7B" w14:textId="77777777" w:rsidR="0094644B" w:rsidRPr="00F07779" w:rsidRDefault="0094644B" w:rsidP="00FB5086">
            <w:pPr>
              <w:rPr>
                <w:sz w:val="20"/>
                <w:szCs w:val="20"/>
              </w:rPr>
            </w:pPr>
            <w:r w:rsidRPr="00FA3F57">
              <w:rPr>
                <w:sz w:val="20"/>
                <w:szCs w:val="20"/>
              </w:rPr>
              <w:t>Planned investments for 2026.</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7EEF0AD2" w14:textId="77777777" w:rsidR="0094644B" w:rsidRPr="00F07779" w:rsidRDefault="0094644B" w:rsidP="00FB5086">
            <w:pPr>
              <w:rPr>
                <w:sz w:val="20"/>
                <w:szCs w:val="20"/>
              </w:rPr>
            </w:pPr>
            <w:r w:rsidRPr="00F07779">
              <w:rPr>
                <w:sz w:val="20"/>
                <w:szCs w:val="20"/>
              </w:rPr>
              <w:t>486,709</w:t>
            </w:r>
            <w:r w:rsidRPr="00F07779" w:rsidDel="003B34A1">
              <w:rPr>
                <w:sz w:val="20"/>
                <w:szCs w:val="20"/>
              </w:rPr>
              <w:t xml:space="preserve"> </w:t>
            </w:r>
            <w:r w:rsidRPr="00F07779">
              <w:rPr>
                <w:sz w:val="20"/>
                <w:szCs w:val="20"/>
              </w:rPr>
              <w:t>(own funds of EMS JSC)</w:t>
            </w:r>
          </w:p>
        </w:tc>
      </w:tr>
      <w:tr w:rsidR="0094644B" w:rsidRPr="00F07779" w14:paraId="0988015B"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2B5C65CD" w14:textId="77777777" w:rsidR="0094644B" w:rsidRPr="00F07779" w:rsidRDefault="0094644B" w:rsidP="00FB5086">
            <w:pPr>
              <w:rPr>
                <w:sz w:val="20"/>
                <w:szCs w:val="20"/>
              </w:rPr>
            </w:pPr>
            <w:r w:rsidRPr="00FA3F57">
              <w:rPr>
                <w:sz w:val="20"/>
                <w:szCs w:val="20"/>
              </w:rPr>
              <w:t>Planned investments for 2027.</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12BA20C6" w14:textId="77777777" w:rsidR="0094644B" w:rsidRPr="00F07779" w:rsidRDefault="0094644B" w:rsidP="00FB5086">
            <w:pPr>
              <w:rPr>
                <w:sz w:val="20"/>
                <w:szCs w:val="20"/>
              </w:rPr>
            </w:pPr>
            <w:r w:rsidRPr="00F07779">
              <w:rPr>
                <w:sz w:val="20"/>
                <w:szCs w:val="20"/>
              </w:rPr>
              <w:t>0</w:t>
            </w:r>
          </w:p>
        </w:tc>
      </w:tr>
      <w:tr w:rsidR="0094644B" w:rsidRPr="00F07779" w14:paraId="7DD69DE6" w14:textId="77777777" w:rsidTr="00FB5086">
        <w:tc>
          <w:tcPr>
            <w:tcW w:w="2973" w:type="dxa"/>
            <w:tcBorders>
              <w:top w:val="single" w:sz="4" w:space="0" w:color="auto"/>
              <w:left w:val="single" w:sz="4" w:space="0" w:color="auto"/>
              <w:bottom w:val="single" w:sz="4" w:space="0" w:color="auto"/>
              <w:right w:val="single" w:sz="4" w:space="0" w:color="auto"/>
            </w:tcBorders>
            <w:hideMark/>
          </w:tcPr>
          <w:p w14:paraId="41A8C717" w14:textId="77777777" w:rsidR="0094644B" w:rsidRPr="00F07779" w:rsidRDefault="0094644B" w:rsidP="00FB5086">
            <w:pPr>
              <w:rPr>
                <w:sz w:val="20"/>
                <w:szCs w:val="20"/>
              </w:rPr>
            </w:pPr>
            <w:r w:rsidRPr="00FA3F57">
              <w:rPr>
                <w:sz w:val="20"/>
                <w:szCs w:val="20"/>
              </w:rPr>
              <w:t>Planned investments for 2028.</w:t>
            </w:r>
            <w:r w:rsidRPr="00FA3F57">
              <w:rPr>
                <w:sz w:val="20"/>
                <w:szCs w:val="20"/>
              </w:rPr>
              <w:br/>
              <w:t>(in thousands of RSD)</w:t>
            </w:r>
          </w:p>
        </w:tc>
        <w:tc>
          <w:tcPr>
            <w:tcW w:w="5667" w:type="dxa"/>
            <w:tcBorders>
              <w:top w:val="single" w:sz="4" w:space="0" w:color="auto"/>
              <w:left w:val="single" w:sz="4" w:space="0" w:color="auto"/>
              <w:bottom w:val="single" w:sz="4" w:space="0" w:color="auto"/>
              <w:right w:val="single" w:sz="4" w:space="0" w:color="auto"/>
            </w:tcBorders>
            <w:hideMark/>
          </w:tcPr>
          <w:p w14:paraId="02EA9EB1" w14:textId="77777777" w:rsidR="0094644B" w:rsidRPr="00F07779" w:rsidRDefault="0094644B" w:rsidP="00FB5086">
            <w:pPr>
              <w:rPr>
                <w:sz w:val="20"/>
                <w:szCs w:val="20"/>
              </w:rPr>
            </w:pPr>
            <w:r w:rsidRPr="00F07779">
              <w:rPr>
                <w:sz w:val="20"/>
                <w:szCs w:val="20"/>
              </w:rPr>
              <w:t>0</w:t>
            </w:r>
          </w:p>
        </w:tc>
      </w:tr>
    </w:tbl>
    <w:p w14:paraId="2D748A34" w14:textId="77777777" w:rsidR="0094644B" w:rsidRPr="00FA3F57" w:rsidRDefault="0094644B" w:rsidP="0094644B"/>
    <w:p w14:paraId="6AE6AADB" w14:textId="77777777" w:rsidR="0094644B" w:rsidRPr="00FA3F57" w:rsidRDefault="0094644B" w:rsidP="0094644B">
      <w:pPr>
        <w:keepNext/>
        <w:tabs>
          <w:tab w:val="left" w:pos="1276"/>
          <w:tab w:val="left" w:pos="1560"/>
        </w:tabs>
        <w:ind w:left="1440" w:hanging="1440"/>
      </w:pPr>
      <w:r w:rsidRPr="00FA3F57">
        <w:lastRenderedPageBreak/>
        <w:t>Table 5.1.3-3:</w:t>
      </w:r>
      <w:r w:rsidRPr="00FA3F57">
        <w:tab/>
      </w:r>
      <w:bookmarkStart w:id="9" w:name="_Hlk209704203"/>
      <w:r w:rsidRPr="00FA3F57">
        <w:t>Activities for the implementation of measure EL1 - Activity EL1.3</w:t>
      </w:r>
      <w:bookmarkEnd w:id="9"/>
    </w:p>
    <w:tbl>
      <w:tblPr>
        <w:tblStyle w:val="TableGrid"/>
        <w:tblW w:w="0" w:type="auto"/>
        <w:tblLook w:val="04A0" w:firstRow="1" w:lastRow="0" w:firstColumn="1" w:lastColumn="0" w:noHBand="0" w:noVBand="1"/>
      </w:tblPr>
      <w:tblGrid>
        <w:gridCol w:w="2973"/>
        <w:gridCol w:w="5742"/>
      </w:tblGrid>
      <w:tr w:rsidR="0094644B" w:rsidRPr="00F07779" w14:paraId="7D336990" w14:textId="77777777" w:rsidTr="00FB5086">
        <w:tc>
          <w:tcPr>
            <w:tcW w:w="2973" w:type="dxa"/>
            <w:shd w:val="clear" w:color="auto" w:fill="D9D9D9" w:themeFill="background1" w:themeFillShade="D9"/>
          </w:tcPr>
          <w:p w14:paraId="2E3575B7" w14:textId="77777777" w:rsidR="0094644B" w:rsidRPr="00FA3F57" w:rsidRDefault="0094644B" w:rsidP="00FB5086">
            <w:pPr>
              <w:keepNext/>
              <w:rPr>
                <w:sz w:val="20"/>
                <w:szCs w:val="20"/>
              </w:rPr>
            </w:pPr>
            <w:r w:rsidRPr="00F07779">
              <w:rPr>
                <w:sz w:val="20"/>
                <w:szCs w:val="20"/>
              </w:rPr>
              <w:t>Activity</w:t>
            </w:r>
            <w:r w:rsidRPr="00FA3F57">
              <w:rPr>
                <w:sz w:val="20"/>
                <w:szCs w:val="20"/>
              </w:rPr>
              <w:t xml:space="preserve"> </w:t>
            </w:r>
            <w:r w:rsidRPr="00F07779">
              <w:rPr>
                <w:sz w:val="20"/>
                <w:szCs w:val="20"/>
              </w:rPr>
              <w:t>EL</w:t>
            </w:r>
            <w:r w:rsidRPr="00FA3F57">
              <w:rPr>
                <w:sz w:val="20"/>
                <w:szCs w:val="20"/>
              </w:rPr>
              <w:t>1.3</w:t>
            </w:r>
          </w:p>
        </w:tc>
        <w:tc>
          <w:tcPr>
            <w:tcW w:w="5742" w:type="dxa"/>
            <w:shd w:val="clear" w:color="auto" w:fill="D9D9D9" w:themeFill="background1" w:themeFillShade="D9"/>
          </w:tcPr>
          <w:p w14:paraId="53F1C585" w14:textId="77777777" w:rsidR="0094644B" w:rsidRPr="00FA3F57" w:rsidRDefault="0094644B" w:rsidP="00FB5086">
            <w:pPr>
              <w:keepNext/>
              <w:rPr>
                <w:sz w:val="20"/>
                <w:szCs w:val="20"/>
              </w:rPr>
            </w:pPr>
            <w:bookmarkStart w:id="10" w:name="_Hlk189245556"/>
            <w:r w:rsidRPr="00F07779">
              <w:rPr>
                <w:sz w:val="20"/>
                <w:szCs w:val="20"/>
              </w:rPr>
              <w:t>Investment projects focused on the reconstruction and construction of the distribution network</w:t>
            </w:r>
            <w:bookmarkEnd w:id="10"/>
          </w:p>
        </w:tc>
      </w:tr>
      <w:tr w:rsidR="0094644B" w:rsidRPr="00F07779" w14:paraId="1418B5A9" w14:textId="77777777" w:rsidTr="00FB5086">
        <w:tc>
          <w:tcPr>
            <w:tcW w:w="2973" w:type="dxa"/>
            <w:shd w:val="clear" w:color="auto" w:fill="D9E2F3" w:themeFill="accent1" w:themeFillTint="33"/>
          </w:tcPr>
          <w:p w14:paraId="3865A8E2" w14:textId="77777777" w:rsidR="0094644B" w:rsidRPr="00FA3F57" w:rsidRDefault="0094644B" w:rsidP="00FB5086">
            <w:pPr>
              <w:keepNext/>
              <w:rPr>
                <w:sz w:val="20"/>
                <w:szCs w:val="20"/>
              </w:rPr>
            </w:pPr>
            <w:r w:rsidRPr="00FA3F57">
              <w:rPr>
                <w:sz w:val="20"/>
                <w:szCs w:val="20"/>
              </w:rPr>
              <w:t>Name of the project</w:t>
            </w:r>
          </w:p>
        </w:tc>
        <w:tc>
          <w:tcPr>
            <w:tcW w:w="5742" w:type="dxa"/>
            <w:shd w:val="clear" w:color="auto" w:fill="D9E2F3" w:themeFill="accent1" w:themeFillTint="33"/>
          </w:tcPr>
          <w:p w14:paraId="2F0CAB69" w14:textId="77777777" w:rsidR="0094644B" w:rsidRPr="00FA3F57" w:rsidRDefault="0094644B" w:rsidP="00FB5086">
            <w:pPr>
              <w:keepNext/>
              <w:rPr>
                <w:sz w:val="20"/>
                <w:szCs w:val="20"/>
              </w:rPr>
            </w:pPr>
            <w:r w:rsidRPr="00F07779">
              <w:rPr>
                <w:bCs/>
                <w:sz w:val="20"/>
                <w:szCs w:val="20"/>
              </w:rPr>
              <w:t xml:space="preserve">TS 110/10 kV National Stadium, TS 110/35 kV </w:t>
            </w:r>
            <w:proofErr w:type="spellStart"/>
            <w:r w:rsidRPr="00F07779">
              <w:rPr>
                <w:bCs/>
                <w:sz w:val="20"/>
                <w:szCs w:val="20"/>
              </w:rPr>
              <w:t>Surčin</w:t>
            </w:r>
            <w:proofErr w:type="spellEnd"/>
            <w:r w:rsidRPr="00F07779">
              <w:rPr>
                <w:bCs/>
                <w:sz w:val="20"/>
                <w:szCs w:val="20"/>
              </w:rPr>
              <w:t>, line layout, and preparation of CSS</w:t>
            </w:r>
          </w:p>
        </w:tc>
      </w:tr>
      <w:tr w:rsidR="0094644B" w:rsidRPr="00F07779" w14:paraId="7250BAF6" w14:textId="77777777" w:rsidTr="00FB5086">
        <w:tc>
          <w:tcPr>
            <w:tcW w:w="2973" w:type="dxa"/>
          </w:tcPr>
          <w:p w14:paraId="12FDD80F" w14:textId="77777777" w:rsidR="0094644B" w:rsidRPr="00FA3F57" w:rsidRDefault="0094644B" w:rsidP="00FB5086">
            <w:pPr>
              <w:rPr>
                <w:sz w:val="20"/>
                <w:szCs w:val="20"/>
              </w:rPr>
            </w:pPr>
            <w:r w:rsidRPr="00F07779">
              <w:rPr>
                <w:sz w:val="20"/>
                <w:szCs w:val="20"/>
              </w:rPr>
              <w:t>Description</w:t>
            </w:r>
          </w:p>
        </w:tc>
        <w:tc>
          <w:tcPr>
            <w:tcW w:w="5742" w:type="dxa"/>
          </w:tcPr>
          <w:p w14:paraId="2F566BC0" w14:textId="77777777" w:rsidR="0094644B" w:rsidRPr="00F07779" w:rsidRDefault="0094644B" w:rsidP="00FB5086">
            <w:pPr>
              <w:tabs>
                <w:tab w:val="left" w:pos="286"/>
              </w:tabs>
              <w:rPr>
                <w:sz w:val="20"/>
                <w:szCs w:val="20"/>
              </w:rPr>
            </w:pPr>
            <w:r w:rsidRPr="00F07779">
              <w:rPr>
                <w:sz w:val="20"/>
                <w:szCs w:val="20"/>
              </w:rPr>
              <w:t>Construction of new transformer substations, lines, and connection switching substation (CSS) for the supply of new consumers, improving medium-voltage network management, reducing the number and duration of outages, and minimizing technical losses in the distribution network.</w:t>
            </w:r>
          </w:p>
          <w:p w14:paraId="21707659" w14:textId="77777777" w:rsidR="0094644B" w:rsidRPr="00FA3F57" w:rsidRDefault="0094644B" w:rsidP="00FB5086">
            <w:pPr>
              <w:tabs>
                <w:tab w:val="left" w:pos="286"/>
              </w:tabs>
              <w:rPr>
                <w:sz w:val="20"/>
                <w:szCs w:val="20"/>
              </w:rPr>
            </w:pPr>
            <w:r w:rsidRPr="00FA3F57">
              <w:rPr>
                <w:sz w:val="20"/>
                <w:szCs w:val="20"/>
              </w:rPr>
              <w:t>1.</w:t>
            </w:r>
            <w:r w:rsidRPr="00FA3F57">
              <w:rPr>
                <w:sz w:val="20"/>
                <w:szCs w:val="20"/>
              </w:rPr>
              <w:tab/>
              <w:t>Construction of missing electricity infrastructure:</w:t>
            </w:r>
          </w:p>
          <w:p w14:paraId="727906C0" w14:textId="77777777" w:rsidR="0094644B" w:rsidRPr="00F07779" w:rsidRDefault="0094644B" w:rsidP="00FB5086">
            <w:pPr>
              <w:tabs>
                <w:tab w:val="left" w:pos="286"/>
              </w:tabs>
              <w:rPr>
                <w:sz w:val="20"/>
                <w:szCs w:val="20"/>
              </w:rPr>
            </w:pPr>
            <w:r w:rsidRPr="00FA3F57">
              <w:rPr>
                <w:sz w:val="20"/>
                <w:szCs w:val="20"/>
              </w:rPr>
              <w:t xml:space="preserve">  a.</w:t>
            </w:r>
            <w:r w:rsidRPr="00FA3F57">
              <w:rPr>
                <w:sz w:val="20"/>
                <w:szCs w:val="20"/>
              </w:rPr>
              <w:tab/>
            </w:r>
            <w:r w:rsidRPr="00F07779">
              <w:rPr>
                <w:sz w:val="20"/>
                <w:szCs w:val="20"/>
              </w:rPr>
              <w:t xml:space="preserve">110/35 kV TS Belgrade 44 </w:t>
            </w:r>
            <w:r w:rsidRPr="00FA3F57">
              <w:rPr>
                <w:sz w:val="20"/>
                <w:szCs w:val="20"/>
              </w:rPr>
              <w:t>"</w:t>
            </w:r>
            <w:proofErr w:type="spellStart"/>
            <w:r w:rsidRPr="00F07779">
              <w:rPr>
                <w:sz w:val="20"/>
                <w:szCs w:val="20"/>
              </w:rPr>
              <w:t>Surčin</w:t>
            </w:r>
            <w:proofErr w:type="spellEnd"/>
            <w:r w:rsidRPr="00FA3F57">
              <w:rPr>
                <w:sz w:val="20"/>
                <w:szCs w:val="20"/>
              </w:rPr>
              <w:t>"</w:t>
            </w:r>
            <w:r w:rsidRPr="00F07779">
              <w:rPr>
                <w:sz w:val="20"/>
                <w:szCs w:val="20"/>
              </w:rPr>
              <w:t>, installed capacity 2×31.5 MVA</w:t>
            </w:r>
          </w:p>
          <w:p w14:paraId="2804EC76" w14:textId="77777777" w:rsidR="0094644B" w:rsidRPr="00FA3F57" w:rsidRDefault="0094644B" w:rsidP="00FB5086">
            <w:pPr>
              <w:tabs>
                <w:tab w:val="left" w:pos="286"/>
              </w:tabs>
              <w:rPr>
                <w:sz w:val="20"/>
                <w:szCs w:val="20"/>
              </w:rPr>
            </w:pPr>
            <w:r w:rsidRPr="00FA3F57">
              <w:rPr>
                <w:sz w:val="20"/>
                <w:szCs w:val="20"/>
              </w:rPr>
              <w:t xml:space="preserve">  b.</w:t>
            </w:r>
            <w:r w:rsidRPr="00FA3F57">
              <w:rPr>
                <w:sz w:val="20"/>
                <w:szCs w:val="20"/>
              </w:rPr>
              <w:tab/>
            </w:r>
            <w:r w:rsidRPr="00F07779">
              <w:rPr>
                <w:sz w:val="20"/>
                <w:szCs w:val="20"/>
              </w:rPr>
              <w:t xml:space="preserve">TS 110/10 kV Belgrade 58 </w:t>
            </w:r>
            <w:r w:rsidRPr="00FA3F57">
              <w:rPr>
                <w:sz w:val="20"/>
                <w:szCs w:val="20"/>
              </w:rPr>
              <w:t>"</w:t>
            </w:r>
            <w:r w:rsidRPr="00F07779">
              <w:rPr>
                <w:bCs/>
                <w:sz w:val="20"/>
                <w:szCs w:val="20"/>
              </w:rPr>
              <w:t>National Stadium</w:t>
            </w:r>
            <w:r w:rsidRPr="00FA3F57">
              <w:rPr>
                <w:sz w:val="20"/>
                <w:szCs w:val="20"/>
              </w:rPr>
              <w:t>"</w:t>
            </w:r>
            <w:r w:rsidRPr="00F07779">
              <w:rPr>
                <w:sz w:val="20"/>
                <w:szCs w:val="20"/>
              </w:rPr>
              <w:t>, installed capacity 2×40 MVA</w:t>
            </w:r>
          </w:p>
          <w:p w14:paraId="5FF03651" w14:textId="77777777" w:rsidR="0094644B" w:rsidRPr="00FA3F57" w:rsidRDefault="0094644B" w:rsidP="00FB5086">
            <w:pPr>
              <w:tabs>
                <w:tab w:val="left" w:pos="286"/>
              </w:tabs>
              <w:rPr>
                <w:sz w:val="20"/>
                <w:szCs w:val="20"/>
              </w:rPr>
            </w:pPr>
            <w:r w:rsidRPr="00FA3F57">
              <w:rPr>
                <w:sz w:val="20"/>
                <w:szCs w:val="20"/>
              </w:rPr>
              <w:t xml:space="preserve">  c.</w:t>
            </w:r>
            <w:r w:rsidRPr="00FA3F57">
              <w:rPr>
                <w:sz w:val="20"/>
                <w:szCs w:val="20"/>
              </w:rPr>
              <w:tab/>
            </w:r>
            <w:r w:rsidRPr="00F07779">
              <w:rPr>
                <w:sz w:val="20"/>
                <w:szCs w:val="20"/>
              </w:rPr>
              <w:t>10 kV cable network through line infrastructure and through facilities to the transformer station with low-voltage metering</w:t>
            </w:r>
          </w:p>
          <w:p w14:paraId="1D60BE42" w14:textId="77777777" w:rsidR="0094644B" w:rsidRPr="00F07779" w:rsidRDefault="0094644B" w:rsidP="00FB5086">
            <w:pPr>
              <w:tabs>
                <w:tab w:val="left" w:pos="286"/>
              </w:tabs>
              <w:rPr>
                <w:sz w:val="20"/>
                <w:szCs w:val="20"/>
              </w:rPr>
            </w:pPr>
            <w:r w:rsidRPr="00FA3F57">
              <w:rPr>
                <w:sz w:val="20"/>
                <w:szCs w:val="20"/>
              </w:rPr>
              <w:t xml:space="preserve">  d.</w:t>
            </w:r>
            <w:r w:rsidRPr="00FA3F57">
              <w:rPr>
                <w:sz w:val="20"/>
                <w:szCs w:val="20"/>
              </w:rPr>
              <w:tab/>
            </w:r>
            <w:r w:rsidRPr="00F07779">
              <w:rPr>
                <w:sz w:val="20"/>
                <w:szCs w:val="20"/>
              </w:rPr>
              <w:t>10/0.4 kV transformer stations for consumers metered at low voltage (residential units and associated facilities, stadium auxiliary buildings, line infrastructure, and others).</w:t>
            </w:r>
          </w:p>
          <w:p w14:paraId="236FB4FB" w14:textId="77777777" w:rsidR="0094644B" w:rsidRPr="00FA3F57" w:rsidRDefault="0094644B" w:rsidP="00FB5086">
            <w:pPr>
              <w:tabs>
                <w:tab w:val="left" w:pos="286"/>
              </w:tabs>
              <w:rPr>
                <w:sz w:val="20"/>
                <w:szCs w:val="20"/>
              </w:rPr>
            </w:pPr>
            <w:r w:rsidRPr="00FA3F57">
              <w:rPr>
                <w:sz w:val="20"/>
                <w:szCs w:val="20"/>
              </w:rPr>
              <w:t>2.</w:t>
            </w:r>
            <w:r w:rsidRPr="00FA3F57">
              <w:rPr>
                <w:sz w:val="20"/>
                <w:szCs w:val="20"/>
              </w:rPr>
              <w:tab/>
              <w:t>Construction of missing electricity connections:</w:t>
            </w:r>
          </w:p>
          <w:p w14:paraId="0F7ED435" w14:textId="77777777" w:rsidR="0094644B" w:rsidRPr="00FA3F57" w:rsidRDefault="0094644B" w:rsidP="00FB5086">
            <w:pPr>
              <w:tabs>
                <w:tab w:val="left" w:pos="286"/>
              </w:tabs>
              <w:rPr>
                <w:sz w:val="20"/>
                <w:szCs w:val="20"/>
              </w:rPr>
            </w:pPr>
            <w:r w:rsidRPr="00FA3F57">
              <w:rPr>
                <w:sz w:val="20"/>
                <w:szCs w:val="20"/>
              </w:rPr>
              <w:t xml:space="preserve">  a.</w:t>
            </w:r>
            <w:r w:rsidRPr="00FA3F57">
              <w:rPr>
                <w:sz w:val="20"/>
                <w:szCs w:val="20"/>
              </w:rPr>
              <w:tab/>
            </w:r>
            <w:r w:rsidRPr="00F07779">
              <w:rPr>
                <w:sz w:val="20"/>
                <w:szCs w:val="20"/>
              </w:rPr>
              <w:t>10 kV cable network through line infrastructure to connection switching substations (CSSs) for facilities metered at 10 kV voltage level</w:t>
            </w:r>
          </w:p>
          <w:p w14:paraId="0F9FB2A0" w14:textId="77777777" w:rsidR="0094644B" w:rsidRPr="00FA3F57" w:rsidRDefault="0094644B" w:rsidP="00FB5086">
            <w:pPr>
              <w:tabs>
                <w:tab w:val="left" w:pos="286"/>
              </w:tabs>
              <w:rPr>
                <w:sz w:val="20"/>
                <w:szCs w:val="20"/>
              </w:rPr>
            </w:pPr>
            <w:r w:rsidRPr="00FA3F57">
              <w:rPr>
                <w:sz w:val="20"/>
                <w:szCs w:val="20"/>
              </w:rPr>
              <w:t xml:space="preserve">  b.</w:t>
            </w:r>
            <w:r w:rsidRPr="00F07779">
              <w:t xml:space="preserve"> </w:t>
            </w:r>
            <w:r w:rsidRPr="00F07779">
              <w:rPr>
                <w:sz w:val="20"/>
                <w:szCs w:val="20"/>
              </w:rPr>
              <w:t>CSS with an appropriate number of 10 kV cells and metering at the 10 kV voltage level</w:t>
            </w:r>
          </w:p>
          <w:p w14:paraId="7C944E88" w14:textId="77777777" w:rsidR="0094644B" w:rsidRPr="00FA3F57" w:rsidRDefault="0094644B" w:rsidP="00FB5086">
            <w:pPr>
              <w:tabs>
                <w:tab w:val="left" w:pos="286"/>
              </w:tabs>
              <w:rPr>
                <w:sz w:val="20"/>
                <w:szCs w:val="20"/>
              </w:rPr>
            </w:pPr>
            <w:r w:rsidRPr="00FA3F57">
              <w:rPr>
                <w:sz w:val="20"/>
                <w:szCs w:val="20"/>
              </w:rPr>
              <w:t xml:space="preserve">  c.</w:t>
            </w:r>
            <w:r w:rsidRPr="00FA3F57">
              <w:rPr>
                <w:sz w:val="20"/>
                <w:szCs w:val="20"/>
              </w:rPr>
              <w:tab/>
            </w:r>
            <w:r w:rsidRPr="00F07779">
              <w:rPr>
                <w:sz w:val="20"/>
                <w:szCs w:val="20"/>
              </w:rPr>
              <w:t>1 kV lines from the transformer station as missing electrical infrastructure to the Metering and distribution cabinet</w:t>
            </w:r>
          </w:p>
          <w:p w14:paraId="6095B044" w14:textId="77777777" w:rsidR="0094644B" w:rsidRPr="00FA3F57" w:rsidRDefault="0094644B" w:rsidP="00FB5086">
            <w:pPr>
              <w:tabs>
                <w:tab w:val="left" w:pos="286"/>
              </w:tabs>
              <w:rPr>
                <w:sz w:val="20"/>
                <w:szCs w:val="20"/>
              </w:rPr>
            </w:pPr>
            <w:r w:rsidRPr="00FA3F57">
              <w:rPr>
                <w:sz w:val="20"/>
                <w:szCs w:val="20"/>
              </w:rPr>
              <w:t xml:space="preserve">  d.</w:t>
            </w:r>
            <w:r w:rsidRPr="00FA3F57">
              <w:rPr>
                <w:sz w:val="20"/>
                <w:szCs w:val="20"/>
              </w:rPr>
              <w:tab/>
            </w:r>
            <w:r w:rsidRPr="00F07779">
              <w:rPr>
                <w:sz w:val="20"/>
                <w:szCs w:val="20"/>
              </w:rPr>
              <w:t>Metering and distribution cabinet with meters and other measurement devices</w:t>
            </w:r>
          </w:p>
          <w:p w14:paraId="6997FA17" w14:textId="77777777" w:rsidR="0094644B" w:rsidRPr="00FA3F57" w:rsidRDefault="0094644B" w:rsidP="00FB5086">
            <w:pPr>
              <w:tabs>
                <w:tab w:val="left" w:pos="286"/>
              </w:tabs>
              <w:rPr>
                <w:sz w:val="20"/>
                <w:szCs w:val="20"/>
              </w:rPr>
            </w:pPr>
            <w:r w:rsidRPr="00FA3F57">
              <w:rPr>
                <w:sz w:val="20"/>
                <w:szCs w:val="20"/>
              </w:rPr>
              <w:t>3.</w:t>
            </w:r>
            <w:r w:rsidRPr="00FA3F57">
              <w:rPr>
                <w:sz w:val="20"/>
                <w:szCs w:val="20"/>
              </w:rPr>
              <w:tab/>
            </w:r>
            <w:r w:rsidRPr="00F07779">
              <w:rPr>
                <w:sz w:val="20"/>
                <w:szCs w:val="20"/>
              </w:rPr>
              <w:t>Construction of associated optical cables for the power facility</w:t>
            </w:r>
          </w:p>
          <w:p w14:paraId="066238F3" w14:textId="77777777" w:rsidR="0094644B" w:rsidRPr="00FA3F57" w:rsidRDefault="0094644B" w:rsidP="00FB5086">
            <w:pPr>
              <w:rPr>
                <w:sz w:val="20"/>
                <w:szCs w:val="20"/>
              </w:rPr>
            </w:pPr>
            <w:r w:rsidRPr="00FA3F57">
              <w:rPr>
                <w:sz w:val="20"/>
                <w:szCs w:val="20"/>
              </w:rPr>
              <w:t>Expected dynamics of project implementation:</w:t>
            </w:r>
          </w:p>
          <w:p w14:paraId="012F67AC" w14:textId="77777777" w:rsidR="0094644B" w:rsidRPr="00FA3F57" w:rsidRDefault="0094644B" w:rsidP="00FB5086">
            <w:pPr>
              <w:rPr>
                <w:sz w:val="20"/>
                <w:szCs w:val="20"/>
              </w:rPr>
            </w:pPr>
            <w:r w:rsidRPr="00FA3F57">
              <w:rPr>
                <w:sz w:val="20"/>
                <w:szCs w:val="20"/>
              </w:rPr>
              <w:t>2026. Commissioning; trial operation</w:t>
            </w:r>
          </w:p>
          <w:p w14:paraId="12A8D71A" w14:textId="77777777" w:rsidR="0094644B" w:rsidRPr="00FA3F57" w:rsidRDefault="0094644B" w:rsidP="00FB5086">
            <w:pPr>
              <w:rPr>
                <w:sz w:val="20"/>
                <w:szCs w:val="20"/>
              </w:rPr>
            </w:pPr>
            <w:r w:rsidRPr="00FA3F57">
              <w:rPr>
                <w:sz w:val="20"/>
                <w:szCs w:val="20"/>
              </w:rPr>
              <w:t>2027. Use permit; end of project</w:t>
            </w:r>
          </w:p>
        </w:tc>
      </w:tr>
      <w:tr w:rsidR="0094644B" w:rsidRPr="00F07779" w14:paraId="4F14806C" w14:textId="77777777" w:rsidTr="00FB5086">
        <w:tc>
          <w:tcPr>
            <w:tcW w:w="2973" w:type="dxa"/>
          </w:tcPr>
          <w:p w14:paraId="1E2175C1" w14:textId="77777777" w:rsidR="0094644B" w:rsidRPr="00FA3F57" w:rsidRDefault="0094644B" w:rsidP="00FB5086">
            <w:pPr>
              <w:rPr>
                <w:sz w:val="20"/>
                <w:szCs w:val="20"/>
              </w:rPr>
            </w:pPr>
            <w:r w:rsidRPr="00FA3F57">
              <w:rPr>
                <w:sz w:val="20"/>
                <w:szCs w:val="20"/>
              </w:rPr>
              <w:t>Institutions responsible for the implementation of measures and activities</w:t>
            </w:r>
          </w:p>
        </w:tc>
        <w:tc>
          <w:tcPr>
            <w:tcW w:w="5742" w:type="dxa"/>
          </w:tcPr>
          <w:p w14:paraId="04AF2B15" w14:textId="77777777" w:rsidR="0094644B" w:rsidRPr="00FA3F57" w:rsidRDefault="0094644B" w:rsidP="00FB5086">
            <w:pPr>
              <w:rPr>
                <w:sz w:val="20"/>
                <w:szCs w:val="20"/>
              </w:rPr>
            </w:pPr>
            <w:r w:rsidRPr="00FA3F57">
              <w:rPr>
                <w:sz w:val="20"/>
                <w:szCs w:val="20"/>
              </w:rPr>
              <w:t>Elektrodistribucija Srbije Ltd. Belgrade</w:t>
            </w:r>
          </w:p>
        </w:tc>
      </w:tr>
      <w:tr w:rsidR="0094644B" w:rsidRPr="00F07779" w14:paraId="7D36DC7C" w14:textId="77777777" w:rsidTr="00FB5086">
        <w:tc>
          <w:tcPr>
            <w:tcW w:w="2973" w:type="dxa"/>
          </w:tcPr>
          <w:p w14:paraId="608F8720" w14:textId="77777777" w:rsidR="0094644B" w:rsidRPr="00FA3F57" w:rsidRDefault="0094644B" w:rsidP="00FB5086">
            <w:pPr>
              <w:rPr>
                <w:sz w:val="20"/>
                <w:szCs w:val="20"/>
              </w:rPr>
            </w:pPr>
            <w:r w:rsidRPr="00FA3F57">
              <w:rPr>
                <w:sz w:val="20"/>
                <w:szCs w:val="20"/>
              </w:rPr>
              <w:t>Institutions responsible for monitoring implementation and reporting on the realization</w:t>
            </w:r>
          </w:p>
        </w:tc>
        <w:tc>
          <w:tcPr>
            <w:tcW w:w="5742" w:type="dxa"/>
          </w:tcPr>
          <w:p w14:paraId="7D3FB2EF" w14:textId="77777777" w:rsidR="0094644B" w:rsidRPr="00F07779" w:rsidRDefault="0094644B" w:rsidP="00FB5086">
            <w:pPr>
              <w:rPr>
                <w:sz w:val="20"/>
                <w:szCs w:val="20"/>
              </w:rPr>
            </w:pPr>
            <w:r w:rsidRPr="00F07779">
              <w:rPr>
                <w:sz w:val="20"/>
                <w:szCs w:val="20"/>
              </w:rPr>
              <w:t>Elektrodistribucija Srbije Ltd. Belgrade</w:t>
            </w:r>
          </w:p>
          <w:p w14:paraId="0FC072A3" w14:textId="77777777" w:rsidR="0094644B" w:rsidRPr="00FA3F57" w:rsidRDefault="0094644B" w:rsidP="00FB5086">
            <w:pPr>
              <w:rPr>
                <w:sz w:val="20"/>
                <w:szCs w:val="20"/>
              </w:rPr>
            </w:pPr>
            <w:r w:rsidRPr="00FA3F57">
              <w:rPr>
                <w:sz w:val="20"/>
                <w:szCs w:val="20"/>
              </w:rPr>
              <w:t>Ministry of Mining and Energy</w:t>
            </w:r>
          </w:p>
          <w:p w14:paraId="64FA9BC6" w14:textId="77777777" w:rsidR="0094644B" w:rsidRPr="00FA3F57" w:rsidRDefault="0094644B" w:rsidP="00FB5086">
            <w:pPr>
              <w:rPr>
                <w:sz w:val="20"/>
                <w:szCs w:val="20"/>
              </w:rPr>
            </w:pPr>
            <w:r w:rsidRPr="00FA3F57">
              <w:rPr>
                <w:sz w:val="20"/>
                <w:szCs w:val="20"/>
              </w:rPr>
              <w:t>Ministry of Economy</w:t>
            </w:r>
          </w:p>
        </w:tc>
      </w:tr>
      <w:tr w:rsidR="0094644B" w:rsidRPr="00F07779" w14:paraId="0C8F7035" w14:textId="77777777" w:rsidTr="00FB5086">
        <w:tc>
          <w:tcPr>
            <w:tcW w:w="2973" w:type="dxa"/>
          </w:tcPr>
          <w:p w14:paraId="3CB56DEB" w14:textId="77777777" w:rsidR="0094644B" w:rsidRPr="00FA3F57" w:rsidRDefault="0094644B" w:rsidP="00FB5086">
            <w:pPr>
              <w:rPr>
                <w:sz w:val="20"/>
                <w:szCs w:val="20"/>
              </w:rPr>
            </w:pPr>
            <w:r w:rsidRPr="00FA3F57">
              <w:rPr>
                <w:sz w:val="20"/>
                <w:szCs w:val="20"/>
              </w:rPr>
              <w:t>Year of project funding start</w:t>
            </w:r>
          </w:p>
        </w:tc>
        <w:tc>
          <w:tcPr>
            <w:tcW w:w="5742" w:type="dxa"/>
          </w:tcPr>
          <w:p w14:paraId="1746A75E" w14:textId="77777777" w:rsidR="0094644B" w:rsidRPr="00FA3F57" w:rsidRDefault="0094644B" w:rsidP="00FB5086">
            <w:pPr>
              <w:rPr>
                <w:sz w:val="20"/>
                <w:szCs w:val="20"/>
              </w:rPr>
            </w:pPr>
            <w:r w:rsidRPr="00FA3F57">
              <w:rPr>
                <w:sz w:val="20"/>
                <w:szCs w:val="20"/>
              </w:rPr>
              <w:t>2024.</w:t>
            </w:r>
          </w:p>
        </w:tc>
      </w:tr>
      <w:tr w:rsidR="0094644B" w:rsidRPr="00F07779" w14:paraId="056106EA" w14:textId="77777777" w:rsidTr="00FB5086">
        <w:tc>
          <w:tcPr>
            <w:tcW w:w="2973" w:type="dxa"/>
          </w:tcPr>
          <w:p w14:paraId="75D0576D" w14:textId="77777777" w:rsidR="0094644B" w:rsidRPr="00FA3F57" w:rsidRDefault="0094644B" w:rsidP="00FB5086">
            <w:pPr>
              <w:rPr>
                <w:sz w:val="20"/>
                <w:szCs w:val="20"/>
              </w:rPr>
            </w:pPr>
            <w:r w:rsidRPr="00FA3F57">
              <w:rPr>
                <w:sz w:val="20"/>
                <w:szCs w:val="20"/>
              </w:rPr>
              <w:t>Year of completion of project funding</w:t>
            </w:r>
          </w:p>
        </w:tc>
        <w:tc>
          <w:tcPr>
            <w:tcW w:w="5742" w:type="dxa"/>
          </w:tcPr>
          <w:p w14:paraId="54B6D6F3" w14:textId="77777777" w:rsidR="0094644B" w:rsidRPr="00FA3F57" w:rsidRDefault="0094644B" w:rsidP="00FB5086">
            <w:pPr>
              <w:rPr>
                <w:sz w:val="20"/>
                <w:szCs w:val="20"/>
              </w:rPr>
            </w:pPr>
            <w:r w:rsidRPr="00FA3F57">
              <w:rPr>
                <w:sz w:val="20"/>
                <w:szCs w:val="20"/>
              </w:rPr>
              <w:t xml:space="preserve">2026. </w:t>
            </w:r>
          </w:p>
        </w:tc>
      </w:tr>
      <w:tr w:rsidR="0094644B" w:rsidRPr="00F07779" w14:paraId="3487C33D" w14:textId="77777777" w:rsidTr="00FB5086">
        <w:tc>
          <w:tcPr>
            <w:tcW w:w="2973" w:type="dxa"/>
          </w:tcPr>
          <w:p w14:paraId="7653024A" w14:textId="77777777" w:rsidR="0094644B" w:rsidRPr="00FA3F57" w:rsidRDefault="0094644B" w:rsidP="00FB5086">
            <w:pPr>
              <w:rPr>
                <w:sz w:val="20"/>
                <w:szCs w:val="20"/>
              </w:rPr>
            </w:pPr>
            <w:r w:rsidRPr="00FA3F57">
              <w:rPr>
                <w:sz w:val="20"/>
                <w:szCs w:val="20"/>
              </w:rPr>
              <w:t>Required funds and source of financing</w:t>
            </w:r>
            <w:r w:rsidRPr="00FA3F57">
              <w:rPr>
                <w:sz w:val="20"/>
                <w:szCs w:val="20"/>
              </w:rPr>
              <w:br/>
              <w:t>(in thousands of RSD)</w:t>
            </w:r>
          </w:p>
        </w:tc>
        <w:tc>
          <w:tcPr>
            <w:tcW w:w="5742" w:type="dxa"/>
          </w:tcPr>
          <w:p w14:paraId="698BD56E" w14:textId="77777777" w:rsidR="0094644B" w:rsidRPr="00FA3F57" w:rsidRDefault="0094644B" w:rsidP="00FB5086">
            <w:pPr>
              <w:rPr>
                <w:sz w:val="20"/>
                <w:szCs w:val="20"/>
              </w:rPr>
            </w:pPr>
            <w:r w:rsidRPr="00FA3F57">
              <w:rPr>
                <w:sz w:val="20"/>
                <w:szCs w:val="20"/>
              </w:rPr>
              <w:t>5,862,500 (50 million EUR)</w:t>
            </w:r>
          </w:p>
        </w:tc>
      </w:tr>
      <w:tr w:rsidR="0094644B" w:rsidRPr="00F07779" w14:paraId="4E16F743" w14:textId="77777777" w:rsidTr="00FB5086">
        <w:tc>
          <w:tcPr>
            <w:tcW w:w="2973" w:type="dxa"/>
          </w:tcPr>
          <w:p w14:paraId="5759D2AD" w14:textId="77777777" w:rsidR="0094644B" w:rsidRPr="00FA3F57" w:rsidRDefault="0094644B" w:rsidP="00FB5086">
            <w:pPr>
              <w:rPr>
                <w:sz w:val="20"/>
                <w:szCs w:val="20"/>
              </w:rPr>
            </w:pPr>
            <w:r w:rsidRPr="00FA3F57">
              <w:rPr>
                <w:sz w:val="20"/>
                <w:szCs w:val="20"/>
              </w:rPr>
              <w:t>Planned investments for 2026.</w:t>
            </w:r>
            <w:r w:rsidRPr="00FA3F57">
              <w:rPr>
                <w:sz w:val="20"/>
                <w:szCs w:val="20"/>
              </w:rPr>
              <w:br/>
              <w:t>(in thousands of RSD)</w:t>
            </w:r>
          </w:p>
        </w:tc>
        <w:tc>
          <w:tcPr>
            <w:tcW w:w="5742" w:type="dxa"/>
          </w:tcPr>
          <w:p w14:paraId="2BF416AF" w14:textId="77777777" w:rsidR="0094644B" w:rsidRPr="00FA3F57" w:rsidRDefault="0094644B" w:rsidP="00FB5086">
            <w:pPr>
              <w:rPr>
                <w:sz w:val="20"/>
                <w:szCs w:val="20"/>
              </w:rPr>
            </w:pPr>
            <w:r w:rsidRPr="00FA3F57">
              <w:rPr>
                <w:sz w:val="20"/>
                <w:szCs w:val="20"/>
              </w:rPr>
              <w:t>3,165,750 (budget RS)</w:t>
            </w:r>
          </w:p>
        </w:tc>
      </w:tr>
      <w:tr w:rsidR="0094644B" w:rsidRPr="00F07779" w14:paraId="35900BE8" w14:textId="77777777" w:rsidTr="00FB5086">
        <w:tc>
          <w:tcPr>
            <w:tcW w:w="2973" w:type="dxa"/>
          </w:tcPr>
          <w:p w14:paraId="6218AE50" w14:textId="77777777" w:rsidR="0094644B" w:rsidRPr="00FA3F57" w:rsidRDefault="0094644B" w:rsidP="00FB5086">
            <w:pPr>
              <w:rPr>
                <w:sz w:val="20"/>
                <w:szCs w:val="20"/>
              </w:rPr>
            </w:pPr>
            <w:r w:rsidRPr="00FA3F57">
              <w:rPr>
                <w:sz w:val="20"/>
                <w:szCs w:val="20"/>
              </w:rPr>
              <w:t>Planned investments for 2027.</w:t>
            </w:r>
            <w:r w:rsidRPr="00FA3F57">
              <w:rPr>
                <w:sz w:val="20"/>
                <w:szCs w:val="20"/>
              </w:rPr>
              <w:br/>
              <w:t>(in thousands of RSD)</w:t>
            </w:r>
          </w:p>
        </w:tc>
        <w:tc>
          <w:tcPr>
            <w:tcW w:w="5742" w:type="dxa"/>
          </w:tcPr>
          <w:p w14:paraId="67E41F42" w14:textId="77777777" w:rsidR="0094644B" w:rsidRPr="00FA3F57" w:rsidRDefault="0094644B" w:rsidP="00FB5086">
            <w:pPr>
              <w:rPr>
                <w:sz w:val="20"/>
                <w:szCs w:val="20"/>
              </w:rPr>
            </w:pPr>
            <w:r w:rsidRPr="00FA3F57">
              <w:rPr>
                <w:sz w:val="20"/>
                <w:szCs w:val="20"/>
              </w:rPr>
              <w:t>/</w:t>
            </w:r>
          </w:p>
        </w:tc>
      </w:tr>
      <w:tr w:rsidR="0094644B" w:rsidRPr="00F07779" w14:paraId="4301E5C4" w14:textId="77777777" w:rsidTr="00FB5086">
        <w:tc>
          <w:tcPr>
            <w:tcW w:w="2973" w:type="dxa"/>
          </w:tcPr>
          <w:p w14:paraId="72259074" w14:textId="77777777" w:rsidR="0094644B" w:rsidRPr="00FA3F57" w:rsidRDefault="0094644B" w:rsidP="00FB5086">
            <w:pPr>
              <w:rPr>
                <w:sz w:val="20"/>
                <w:szCs w:val="20"/>
              </w:rPr>
            </w:pPr>
            <w:r w:rsidRPr="00FA3F57">
              <w:rPr>
                <w:sz w:val="20"/>
                <w:szCs w:val="20"/>
              </w:rPr>
              <w:t>Planned investments for 2028.</w:t>
            </w:r>
            <w:r w:rsidRPr="00FA3F57">
              <w:rPr>
                <w:sz w:val="20"/>
                <w:szCs w:val="20"/>
              </w:rPr>
              <w:br/>
              <w:t>(in thousands of RSD)</w:t>
            </w:r>
          </w:p>
        </w:tc>
        <w:tc>
          <w:tcPr>
            <w:tcW w:w="5742" w:type="dxa"/>
          </w:tcPr>
          <w:p w14:paraId="2623B5CB" w14:textId="77777777" w:rsidR="0094644B" w:rsidRPr="00FA3F57" w:rsidRDefault="0094644B" w:rsidP="00FB5086">
            <w:pPr>
              <w:rPr>
                <w:sz w:val="20"/>
                <w:szCs w:val="20"/>
              </w:rPr>
            </w:pPr>
            <w:r w:rsidRPr="00FA3F57">
              <w:rPr>
                <w:sz w:val="20"/>
                <w:szCs w:val="20"/>
              </w:rPr>
              <w:t>/</w:t>
            </w:r>
          </w:p>
        </w:tc>
      </w:tr>
      <w:tr w:rsidR="0094644B" w:rsidRPr="00F07779" w14:paraId="5EE6C3B0" w14:textId="77777777" w:rsidTr="00FB5086">
        <w:tc>
          <w:tcPr>
            <w:tcW w:w="2973" w:type="dxa"/>
          </w:tcPr>
          <w:p w14:paraId="3AD872CF" w14:textId="77777777" w:rsidR="0094644B" w:rsidRPr="00FA3F57" w:rsidRDefault="0094644B" w:rsidP="00FB5086">
            <w:pPr>
              <w:rPr>
                <w:sz w:val="20"/>
                <w:szCs w:val="20"/>
              </w:rPr>
            </w:pPr>
            <w:r w:rsidRPr="00FA3F57">
              <w:rPr>
                <w:sz w:val="20"/>
                <w:szCs w:val="20"/>
              </w:rPr>
              <w:t xml:space="preserve">Impact of activity implementation on </w:t>
            </w:r>
            <w:r w:rsidRPr="00F07779">
              <w:rPr>
                <w:sz w:val="20"/>
                <w:szCs w:val="20"/>
              </w:rPr>
              <w:t>objective</w:t>
            </w:r>
            <w:r w:rsidRPr="00FA3F57">
              <w:rPr>
                <w:sz w:val="20"/>
                <w:szCs w:val="20"/>
              </w:rPr>
              <w:t xml:space="preserve"> achievement</w:t>
            </w:r>
          </w:p>
        </w:tc>
        <w:tc>
          <w:tcPr>
            <w:tcW w:w="5742" w:type="dxa"/>
          </w:tcPr>
          <w:p w14:paraId="1CB94A8A" w14:textId="77777777" w:rsidR="0094644B" w:rsidRPr="00FA3F57" w:rsidRDefault="0094644B" w:rsidP="00FB5086">
            <w:pPr>
              <w:rPr>
                <w:sz w:val="20"/>
                <w:szCs w:val="20"/>
              </w:rPr>
            </w:pPr>
            <w:r w:rsidRPr="00FA3F57">
              <w:rPr>
                <w:sz w:val="20"/>
                <w:szCs w:val="20"/>
              </w:rPr>
              <w:t>The project should provide:</w:t>
            </w:r>
          </w:p>
          <w:p w14:paraId="0B6D53B9" w14:textId="77777777" w:rsidR="0094644B" w:rsidRPr="00FA3F57" w:rsidRDefault="0094644B" w:rsidP="00FB5086">
            <w:pPr>
              <w:pStyle w:val="ListParagraph"/>
              <w:numPr>
                <w:ilvl w:val="0"/>
                <w:numId w:val="17"/>
              </w:numPr>
              <w:rPr>
                <w:rFonts w:ascii="Times New Roman" w:eastAsia="Times New Roman" w:hAnsi="Times New Roman" w:cs="Times New Roman"/>
                <w:noProof w:val="0"/>
                <w:kern w:val="0"/>
                <w:sz w:val="20"/>
                <w:szCs w:val="20"/>
                <w:lang w:eastAsia="en-GB"/>
                <w14:ligatures w14:val="none"/>
              </w:rPr>
            </w:pPr>
            <w:r w:rsidRPr="00FA3F57">
              <w:rPr>
                <w:rFonts w:ascii="Times New Roman" w:eastAsia="Times New Roman" w:hAnsi="Times New Roman" w:cs="Times New Roman"/>
                <w:noProof w:val="0"/>
                <w:kern w:val="0"/>
                <w:sz w:val="20"/>
                <w:szCs w:val="20"/>
                <w:lang w:eastAsia="en-GB"/>
                <w14:ligatures w14:val="none"/>
              </w:rPr>
              <w:t>powering new consumers,</w:t>
            </w:r>
          </w:p>
          <w:p w14:paraId="7C318D89" w14:textId="77777777" w:rsidR="0094644B" w:rsidRPr="00FA3F57" w:rsidRDefault="0094644B" w:rsidP="00FB5086">
            <w:pPr>
              <w:pStyle w:val="ListParagraph"/>
              <w:numPr>
                <w:ilvl w:val="0"/>
                <w:numId w:val="17"/>
              </w:numPr>
              <w:rPr>
                <w:rFonts w:ascii="Times New Roman" w:eastAsia="Times New Roman" w:hAnsi="Times New Roman" w:cs="Times New Roman"/>
                <w:noProof w:val="0"/>
                <w:kern w:val="0"/>
                <w:sz w:val="20"/>
                <w:szCs w:val="20"/>
                <w:lang w:eastAsia="en-GB"/>
                <w14:ligatures w14:val="none"/>
              </w:rPr>
            </w:pPr>
            <w:r w:rsidRPr="00FA3F57">
              <w:rPr>
                <w:rFonts w:ascii="Times New Roman" w:eastAsia="Times New Roman" w:hAnsi="Times New Roman" w:cs="Times New Roman"/>
                <w:noProof w:val="0"/>
                <w:kern w:val="0"/>
                <w:sz w:val="20"/>
                <w:szCs w:val="20"/>
                <w:lang w:eastAsia="en-GB"/>
                <w14:ligatures w14:val="none"/>
              </w:rPr>
              <w:t xml:space="preserve">better reliability of the distribution </w:t>
            </w:r>
            <w:proofErr w:type="gramStart"/>
            <w:r w:rsidRPr="00FA3F57">
              <w:rPr>
                <w:rFonts w:ascii="Times New Roman" w:eastAsia="Times New Roman" w:hAnsi="Times New Roman" w:cs="Times New Roman"/>
                <w:noProof w:val="0"/>
                <w:kern w:val="0"/>
                <w:sz w:val="20"/>
                <w:szCs w:val="20"/>
                <w:lang w:eastAsia="en-GB"/>
                <w14:ligatures w14:val="none"/>
              </w:rPr>
              <w:t>network;</w:t>
            </w:r>
            <w:proofErr w:type="gramEnd"/>
          </w:p>
          <w:p w14:paraId="140FBCDB" w14:textId="77777777" w:rsidR="0094644B" w:rsidRPr="00FA3F57" w:rsidRDefault="0094644B" w:rsidP="00FB5086">
            <w:pPr>
              <w:pStyle w:val="ListParagraph"/>
              <w:numPr>
                <w:ilvl w:val="0"/>
                <w:numId w:val="17"/>
              </w:numPr>
              <w:rPr>
                <w:rFonts w:ascii="Times New Roman" w:eastAsia="Times New Roman" w:hAnsi="Times New Roman" w:cs="Times New Roman"/>
                <w:noProof w:val="0"/>
                <w:kern w:val="0"/>
                <w:sz w:val="20"/>
                <w:szCs w:val="20"/>
                <w:lang w:eastAsia="en-GB"/>
                <w14:ligatures w14:val="none"/>
              </w:rPr>
            </w:pPr>
            <w:r w:rsidRPr="00FA3F57">
              <w:rPr>
                <w:rFonts w:ascii="Times New Roman" w:eastAsia="Times New Roman" w:hAnsi="Times New Roman" w:cs="Times New Roman"/>
                <w:noProof w:val="0"/>
                <w:kern w:val="0"/>
                <w:sz w:val="20"/>
                <w:szCs w:val="20"/>
                <w:lang w:eastAsia="en-GB"/>
                <w14:ligatures w14:val="none"/>
              </w:rPr>
              <w:t xml:space="preserve">reducing the number of outages and the duration of outages for end </w:t>
            </w:r>
            <w:proofErr w:type="gramStart"/>
            <w:r w:rsidRPr="00FA3F57">
              <w:rPr>
                <w:rFonts w:ascii="Times New Roman" w:eastAsia="Times New Roman" w:hAnsi="Times New Roman" w:cs="Times New Roman"/>
                <w:noProof w:val="0"/>
                <w:kern w:val="0"/>
                <w:sz w:val="20"/>
                <w:szCs w:val="20"/>
                <w:lang w:eastAsia="en-GB"/>
                <w14:ligatures w14:val="none"/>
              </w:rPr>
              <w:t>users;</w:t>
            </w:r>
            <w:proofErr w:type="gramEnd"/>
          </w:p>
          <w:p w14:paraId="3ACCC93E" w14:textId="77777777" w:rsidR="0094644B" w:rsidRPr="00FA3F57" w:rsidRDefault="0094644B" w:rsidP="00FB5086">
            <w:pPr>
              <w:pStyle w:val="ListParagraph"/>
              <w:numPr>
                <w:ilvl w:val="0"/>
                <w:numId w:val="17"/>
              </w:numPr>
              <w:rPr>
                <w:rFonts w:ascii="Times New Roman" w:eastAsia="Times New Roman" w:hAnsi="Times New Roman" w:cs="Times New Roman"/>
                <w:noProof w:val="0"/>
                <w:kern w:val="0"/>
                <w:sz w:val="20"/>
                <w:szCs w:val="20"/>
                <w:lang w:eastAsia="en-GB"/>
                <w14:ligatures w14:val="none"/>
              </w:rPr>
            </w:pPr>
            <w:r w:rsidRPr="00FA3F57">
              <w:rPr>
                <w:rFonts w:ascii="Times New Roman" w:eastAsia="Times New Roman" w:hAnsi="Times New Roman" w:cs="Times New Roman"/>
                <w:noProof w:val="0"/>
                <w:kern w:val="0"/>
                <w:sz w:val="20"/>
                <w:szCs w:val="20"/>
                <w:lang w:eastAsia="en-GB"/>
                <w14:ligatures w14:val="none"/>
              </w:rPr>
              <w:t xml:space="preserve">reduction of losses in the distribution </w:t>
            </w:r>
            <w:proofErr w:type="gramStart"/>
            <w:r w:rsidRPr="00FA3F57">
              <w:rPr>
                <w:rFonts w:ascii="Times New Roman" w:eastAsia="Times New Roman" w:hAnsi="Times New Roman" w:cs="Times New Roman"/>
                <w:noProof w:val="0"/>
                <w:kern w:val="0"/>
                <w:sz w:val="20"/>
                <w:szCs w:val="20"/>
                <w:lang w:eastAsia="en-GB"/>
                <w14:ligatures w14:val="none"/>
              </w:rPr>
              <w:t>network;</w:t>
            </w:r>
            <w:proofErr w:type="gramEnd"/>
          </w:p>
          <w:p w14:paraId="5D512564" w14:textId="77777777" w:rsidR="0094644B" w:rsidRPr="00FA3F57" w:rsidRDefault="0094644B" w:rsidP="00FB5086">
            <w:pPr>
              <w:pStyle w:val="ListParagraph"/>
              <w:numPr>
                <w:ilvl w:val="0"/>
                <w:numId w:val="17"/>
              </w:numPr>
              <w:rPr>
                <w:rFonts w:ascii="Times New Roman" w:eastAsia="Times New Roman" w:hAnsi="Times New Roman" w:cs="Times New Roman"/>
                <w:noProof w:val="0"/>
                <w:kern w:val="0"/>
                <w:sz w:val="20"/>
                <w:szCs w:val="20"/>
                <w:lang w:eastAsia="en-GB"/>
                <w14:ligatures w14:val="none"/>
              </w:rPr>
            </w:pPr>
            <w:r w:rsidRPr="00FA3F57">
              <w:rPr>
                <w:rFonts w:ascii="Times New Roman" w:eastAsia="Times New Roman" w:hAnsi="Times New Roman" w:cs="Times New Roman"/>
                <w:noProof w:val="0"/>
                <w:kern w:val="0"/>
                <w:sz w:val="20"/>
                <w:szCs w:val="20"/>
                <w:lang w:eastAsia="en-GB"/>
                <w14:ligatures w14:val="none"/>
              </w:rPr>
              <w:t xml:space="preserve">reduction of total maintenance costs of the </w:t>
            </w:r>
            <w:proofErr w:type="gramStart"/>
            <w:r w:rsidRPr="00FA3F57">
              <w:rPr>
                <w:rFonts w:ascii="Times New Roman" w:eastAsia="Times New Roman" w:hAnsi="Times New Roman" w:cs="Times New Roman"/>
                <w:noProof w:val="0"/>
                <w:kern w:val="0"/>
                <w:sz w:val="20"/>
                <w:szCs w:val="20"/>
                <w:lang w:eastAsia="en-GB"/>
                <w14:ligatures w14:val="none"/>
              </w:rPr>
              <w:t>SS;</w:t>
            </w:r>
            <w:proofErr w:type="gramEnd"/>
          </w:p>
          <w:p w14:paraId="0D144D51" w14:textId="77777777" w:rsidR="0094644B" w:rsidRPr="00FA3F57" w:rsidRDefault="0094644B" w:rsidP="00FB5086">
            <w:pPr>
              <w:pStyle w:val="ListParagraph"/>
              <w:rPr>
                <w:noProof w:val="0"/>
              </w:rPr>
            </w:pPr>
            <w:r w:rsidRPr="00FA3F57">
              <w:rPr>
                <w:rFonts w:ascii="Times New Roman" w:eastAsia="Times New Roman" w:hAnsi="Times New Roman" w:cs="Times New Roman"/>
                <w:noProof w:val="0"/>
                <w:kern w:val="0"/>
                <w:sz w:val="20"/>
                <w:szCs w:val="20"/>
                <w:lang w:eastAsia="en-GB"/>
                <w14:ligatures w14:val="none"/>
              </w:rPr>
              <w:t>better and higher-quality planning of the distribution network development.</w:t>
            </w:r>
          </w:p>
        </w:tc>
      </w:tr>
    </w:tbl>
    <w:p w14:paraId="55EE17AB" w14:textId="77777777" w:rsidR="0094644B" w:rsidRPr="00FA3F57" w:rsidRDefault="0094644B" w:rsidP="0094644B"/>
    <w:tbl>
      <w:tblPr>
        <w:tblStyle w:val="TableGrid"/>
        <w:tblW w:w="0" w:type="auto"/>
        <w:tblLook w:val="04A0" w:firstRow="1" w:lastRow="0" w:firstColumn="1" w:lastColumn="0" w:noHBand="0" w:noVBand="1"/>
      </w:tblPr>
      <w:tblGrid>
        <w:gridCol w:w="2973"/>
        <w:gridCol w:w="5742"/>
      </w:tblGrid>
      <w:tr w:rsidR="0094644B" w:rsidRPr="00F07779" w14:paraId="5860DA24" w14:textId="77777777" w:rsidTr="00FB5086">
        <w:tc>
          <w:tcPr>
            <w:tcW w:w="2973" w:type="dxa"/>
            <w:shd w:val="clear" w:color="auto" w:fill="D0CECE" w:themeFill="background2" w:themeFillShade="E6"/>
          </w:tcPr>
          <w:p w14:paraId="2A0EE812" w14:textId="77777777" w:rsidR="0094644B" w:rsidRPr="00FA3F57" w:rsidRDefault="0094644B" w:rsidP="00FB5086">
            <w:pPr>
              <w:keepNext/>
              <w:rPr>
                <w:sz w:val="20"/>
                <w:szCs w:val="20"/>
              </w:rPr>
            </w:pPr>
            <w:r w:rsidRPr="00F07779">
              <w:rPr>
                <w:sz w:val="20"/>
                <w:szCs w:val="20"/>
              </w:rPr>
              <w:lastRenderedPageBreak/>
              <w:t>Activity</w:t>
            </w:r>
            <w:r w:rsidRPr="00FA3F57">
              <w:rPr>
                <w:sz w:val="20"/>
                <w:szCs w:val="20"/>
              </w:rPr>
              <w:t xml:space="preserve"> </w:t>
            </w:r>
            <w:r w:rsidRPr="00F07779">
              <w:rPr>
                <w:sz w:val="20"/>
                <w:szCs w:val="20"/>
              </w:rPr>
              <w:t>EL</w:t>
            </w:r>
            <w:r w:rsidRPr="00FA3F57">
              <w:rPr>
                <w:sz w:val="20"/>
                <w:szCs w:val="20"/>
              </w:rPr>
              <w:t>1.3</w:t>
            </w:r>
          </w:p>
        </w:tc>
        <w:tc>
          <w:tcPr>
            <w:tcW w:w="5742" w:type="dxa"/>
            <w:shd w:val="clear" w:color="auto" w:fill="D0CECE" w:themeFill="background2" w:themeFillShade="E6"/>
          </w:tcPr>
          <w:p w14:paraId="18E9B210" w14:textId="77777777" w:rsidR="0094644B" w:rsidRPr="00FA3F57" w:rsidRDefault="0094644B" w:rsidP="00FB5086">
            <w:pPr>
              <w:keepNext/>
              <w:rPr>
                <w:sz w:val="20"/>
                <w:szCs w:val="20"/>
              </w:rPr>
            </w:pPr>
            <w:r w:rsidRPr="00F07779">
              <w:rPr>
                <w:sz w:val="20"/>
                <w:szCs w:val="20"/>
              </w:rPr>
              <w:t>Investment projects focused on the reconstruction and construction of the distribution network</w:t>
            </w:r>
          </w:p>
        </w:tc>
      </w:tr>
      <w:tr w:rsidR="0094644B" w:rsidRPr="00F07779" w14:paraId="048C69E5" w14:textId="77777777" w:rsidTr="00FB5086">
        <w:tc>
          <w:tcPr>
            <w:tcW w:w="2973" w:type="dxa"/>
            <w:shd w:val="clear" w:color="auto" w:fill="D9E2F3" w:themeFill="accent1" w:themeFillTint="33"/>
          </w:tcPr>
          <w:p w14:paraId="169D781D" w14:textId="77777777" w:rsidR="0094644B" w:rsidRPr="00FA3F57" w:rsidRDefault="0094644B" w:rsidP="00FB5086">
            <w:pPr>
              <w:keepNext/>
              <w:rPr>
                <w:sz w:val="20"/>
                <w:szCs w:val="20"/>
              </w:rPr>
            </w:pPr>
            <w:r w:rsidRPr="00FA3F57">
              <w:rPr>
                <w:sz w:val="20"/>
                <w:szCs w:val="20"/>
              </w:rPr>
              <w:t>Name of the project</w:t>
            </w:r>
          </w:p>
        </w:tc>
        <w:tc>
          <w:tcPr>
            <w:tcW w:w="5742" w:type="dxa"/>
            <w:shd w:val="clear" w:color="auto" w:fill="D9E2F3" w:themeFill="accent1" w:themeFillTint="33"/>
          </w:tcPr>
          <w:p w14:paraId="3215ACA1" w14:textId="77777777" w:rsidR="0094644B" w:rsidRPr="00FA3F57" w:rsidRDefault="0094644B" w:rsidP="00FB5086">
            <w:pPr>
              <w:keepNext/>
              <w:rPr>
                <w:sz w:val="20"/>
                <w:szCs w:val="20"/>
              </w:rPr>
            </w:pPr>
            <w:r w:rsidRPr="00F07779">
              <w:rPr>
                <w:sz w:val="20"/>
                <w:szCs w:val="20"/>
              </w:rPr>
              <w:t xml:space="preserve">Construction of </w:t>
            </w:r>
            <w:r w:rsidRPr="00FA3F57">
              <w:rPr>
                <w:sz w:val="20"/>
                <w:szCs w:val="20"/>
              </w:rPr>
              <w:t xml:space="preserve">ТS </w:t>
            </w:r>
            <w:r w:rsidRPr="00F07779">
              <w:rPr>
                <w:sz w:val="20"/>
                <w:szCs w:val="20"/>
              </w:rPr>
              <w:t>110/10 kV</w:t>
            </w:r>
            <w:r w:rsidRPr="00FA3F57">
              <w:rPr>
                <w:sz w:val="20"/>
                <w:szCs w:val="20"/>
              </w:rPr>
              <w:t xml:space="preserve"> </w:t>
            </w:r>
            <w:r w:rsidRPr="00F07779">
              <w:rPr>
                <w:sz w:val="20"/>
                <w:szCs w:val="20"/>
              </w:rPr>
              <w:t>BIOCAMPUS</w:t>
            </w:r>
          </w:p>
        </w:tc>
      </w:tr>
      <w:tr w:rsidR="0094644B" w:rsidRPr="00F07779" w14:paraId="721616F3" w14:textId="77777777" w:rsidTr="00FB5086">
        <w:tc>
          <w:tcPr>
            <w:tcW w:w="2973" w:type="dxa"/>
          </w:tcPr>
          <w:p w14:paraId="19C71BA9" w14:textId="77777777" w:rsidR="0094644B" w:rsidRPr="00FA3F57" w:rsidRDefault="0094644B" w:rsidP="00FB5086">
            <w:pPr>
              <w:rPr>
                <w:sz w:val="20"/>
                <w:szCs w:val="20"/>
              </w:rPr>
            </w:pPr>
            <w:r w:rsidRPr="00F07779">
              <w:rPr>
                <w:sz w:val="20"/>
                <w:szCs w:val="20"/>
              </w:rPr>
              <w:t>Description</w:t>
            </w:r>
          </w:p>
        </w:tc>
        <w:tc>
          <w:tcPr>
            <w:tcW w:w="5742" w:type="dxa"/>
          </w:tcPr>
          <w:p w14:paraId="067CCEFB" w14:textId="77777777" w:rsidR="0094644B" w:rsidRPr="00F07779" w:rsidRDefault="0094644B" w:rsidP="00FB5086">
            <w:pPr>
              <w:rPr>
                <w:sz w:val="20"/>
                <w:szCs w:val="20"/>
              </w:rPr>
            </w:pPr>
            <w:r w:rsidRPr="00F07779">
              <w:rPr>
                <w:sz w:val="20"/>
                <w:szCs w:val="20"/>
              </w:rPr>
              <w:t xml:space="preserve">The construction of a new TS 110/10 kV </w:t>
            </w:r>
            <w:proofErr w:type="spellStart"/>
            <w:r w:rsidRPr="00F07779">
              <w:rPr>
                <w:sz w:val="20"/>
                <w:szCs w:val="20"/>
              </w:rPr>
              <w:t>Biocampus</w:t>
            </w:r>
            <w:proofErr w:type="spellEnd"/>
            <w:r w:rsidRPr="00F07779">
              <w:rPr>
                <w:sz w:val="20"/>
                <w:szCs w:val="20"/>
              </w:rPr>
              <w:t xml:space="preserve"> with an installed capacity of 2x40 MVA is planned to supply consumers within the new large scientific and research campus on </w:t>
            </w:r>
            <w:proofErr w:type="spellStart"/>
            <w:r w:rsidRPr="00F07779">
              <w:rPr>
                <w:sz w:val="20"/>
                <w:szCs w:val="20"/>
              </w:rPr>
              <w:t>Vojvode</w:t>
            </w:r>
            <w:proofErr w:type="spellEnd"/>
            <w:r w:rsidRPr="00F07779">
              <w:rPr>
                <w:sz w:val="20"/>
                <w:szCs w:val="20"/>
              </w:rPr>
              <w:t xml:space="preserve"> </w:t>
            </w:r>
            <w:proofErr w:type="spellStart"/>
            <w:r w:rsidRPr="00F07779">
              <w:rPr>
                <w:sz w:val="20"/>
                <w:szCs w:val="20"/>
              </w:rPr>
              <w:t>Stepe</w:t>
            </w:r>
            <w:proofErr w:type="spellEnd"/>
            <w:r w:rsidRPr="00F07779">
              <w:rPr>
                <w:sz w:val="20"/>
                <w:szCs w:val="20"/>
              </w:rPr>
              <w:t xml:space="preserve"> Street in Belgrade.</w:t>
            </w:r>
          </w:p>
          <w:p w14:paraId="7D1D2994" w14:textId="77777777" w:rsidR="0094644B" w:rsidRPr="00FA3F57" w:rsidRDefault="0094644B" w:rsidP="00FB5086">
            <w:pPr>
              <w:rPr>
                <w:sz w:val="20"/>
                <w:szCs w:val="20"/>
              </w:rPr>
            </w:pPr>
            <w:r w:rsidRPr="00FA3F57">
              <w:rPr>
                <w:sz w:val="20"/>
                <w:szCs w:val="20"/>
              </w:rPr>
              <w:t>Expected dynamics of project implementation:</w:t>
            </w:r>
          </w:p>
          <w:p w14:paraId="62D10E05" w14:textId="77777777" w:rsidR="0094644B" w:rsidRPr="00FA3F57" w:rsidRDefault="0094644B" w:rsidP="00FB5086">
            <w:pPr>
              <w:rPr>
                <w:sz w:val="20"/>
                <w:szCs w:val="20"/>
              </w:rPr>
            </w:pPr>
            <w:r w:rsidRPr="00FA3F57">
              <w:rPr>
                <w:sz w:val="20"/>
                <w:szCs w:val="20"/>
              </w:rPr>
              <w:t>2026.</w:t>
            </w:r>
            <w:r w:rsidRPr="00F07779">
              <w:rPr>
                <w:sz w:val="20"/>
                <w:szCs w:val="20"/>
              </w:rPr>
              <w:t xml:space="preserve"> </w:t>
            </w:r>
            <w:r w:rsidRPr="00FA3F57">
              <w:rPr>
                <w:sz w:val="20"/>
                <w:szCs w:val="20"/>
              </w:rPr>
              <w:t>Construction</w:t>
            </w:r>
          </w:p>
          <w:p w14:paraId="0913CE61" w14:textId="77777777" w:rsidR="0094644B" w:rsidRPr="00FA3F57" w:rsidRDefault="0094644B" w:rsidP="00FB5086">
            <w:pPr>
              <w:rPr>
                <w:sz w:val="20"/>
                <w:szCs w:val="20"/>
              </w:rPr>
            </w:pPr>
            <w:r w:rsidRPr="00FA3F57">
              <w:rPr>
                <w:sz w:val="20"/>
                <w:szCs w:val="20"/>
              </w:rPr>
              <w:t>2027. Commissioning; trial operation</w:t>
            </w:r>
          </w:p>
          <w:p w14:paraId="57E11CAE" w14:textId="77777777" w:rsidR="0094644B" w:rsidRPr="00FA3F57" w:rsidRDefault="0094644B" w:rsidP="00FB5086">
            <w:pPr>
              <w:rPr>
                <w:sz w:val="20"/>
                <w:szCs w:val="20"/>
              </w:rPr>
            </w:pPr>
            <w:r w:rsidRPr="00FA3F57">
              <w:rPr>
                <w:sz w:val="20"/>
                <w:szCs w:val="20"/>
              </w:rPr>
              <w:t>2028. Use permit; end of project</w:t>
            </w:r>
            <w:r w:rsidRPr="00FA3F57" w:rsidDel="002C7583">
              <w:rPr>
                <w:sz w:val="20"/>
                <w:szCs w:val="20"/>
              </w:rPr>
              <w:t xml:space="preserve"> </w:t>
            </w:r>
          </w:p>
        </w:tc>
      </w:tr>
      <w:tr w:rsidR="0094644B" w:rsidRPr="00F07779" w14:paraId="3991DAEB" w14:textId="77777777" w:rsidTr="00FB5086">
        <w:tc>
          <w:tcPr>
            <w:tcW w:w="2973" w:type="dxa"/>
          </w:tcPr>
          <w:p w14:paraId="547B5D04" w14:textId="77777777" w:rsidR="0094644B" w:rsidRPr="00FA3F57" w:rsidRDefault="0094644B" w:rsidP="00FB5086">
            <w:pPr>
              <w:rPr>
                <w:sz w:val="20"/>
                <w:szCs w:val="20"/>
              </w:rPr>
            </w:pPr>
            <w:r w:rsidRPr="00FA3F57">
              <w:rPr>
                <w:sz w:val="20"/>
                <w:szCs w:val="20"/>
              </w:rPr>
              <w:t>Institutions responsible for the implementation of measures and activities</w:t>
            </w:r>
          </w:p>
        </w:tc>
        <w:tc>
          <w:tcPr>
            <w:tcW w:w="5742" w:type="dxa"/>
          </w:tcPr>
          <w:p w14:paraId="1BAC3C4B" w14:textId="77777777" w:rsidR="0094644B" w:rsidRPr="00FA3F57" w:rsidRDefault="0094644B" w:rsidP="00FB5086">
            <w:pPr>
              <w:rPr>
                <w:sz w:val="20"/>
                <w:szCs w:val="20"/>
              </w:rPr>
            </w:pPr>
            <w:r w:rsidRPr="00FA3F57">
              <w:rPr>
                <w:sz w:val="20"/>
                <w:szCs w:val="20"/>
              </w:rPr>
              <w:t>Elektrodistribucija Srbije Ltd. Belgrade</w:t>
            </w:r>
          </w:p>
        </w:tc>
      </w:tr>
      <w:tr w:rsidR="0094644B" w:rsidRPr="00F07779" w14:paraId="6798DB91" w14:textId="77777777" w:rsidTr="00FB5086">
        <w:tc>
          <w:tcPr>
            <w:tcW w:w="2973" w:type="dxa"/>
          </w:tcPr>
          <w:p w14:paraId="2B8842C3" w14:textId="77777777" w:rsidR="0094644B" w:rsidRPr="00FA3F57" w:rsidRDefault="0094644B" w:rsidP="00FB5086">
            <w:pPr>
              <w:rPr>
                <w:sz w:val="20"/>
                <w:szCs w:val="20"/>
              </w:rPr>
            </w:pPr>
            <w:r w:rsidRPr="00FA3F57">
              <w:rPr>
                <w:sz w:val="20"/>
                <w:szCs w:val="20"/>
              </w:rPr>
              <w:t>Institutions responsible for monitoring implementation and reporting on the realization</w:t>
            </w:r>
          </w:p>
        </w:tc>
        <w:tc>
          <w:tcPr>
            <w:tcW w:w="5742" w:type="dxa"/>
          </w:tcPr>
          <w:p w14:paraId="25760111" w14:textId="77777777" w:rsidR="0094644B" w:rsidRPr="00FA3F57" w:rsidRDefault="0094644B" w:rsidP="00FB5086">
            <w:pPr>
              <w:rPr>
                <w:sz w:val="20"/>
                <w:szCs w:val="20"/>
              </w:rPr>
            </w:pPr>
            <w:r w:rsidRPr="00FA3F57">
              <w:rPr>
                <w:sz w:val="20"/>
                <w:szCs w:val="20"/>
              </w:rPr>
              <w:t>Elektrodistribucija Srbije Ltd. Belgrade</w:t>
            </w:r>
          </w:p>
          <w:p w14:paraId="3B13B4EE" w14:textId="77777777" w:rsidR="0094644B" w:rsidRPr="00FA3F57" w:rsidRDefault="0094644B" w:rsidP="00FB5086">
            <w:pPr>
              <w:rPr>
                <w:sz w:val="20"/>
                <w:szCs w:val="20"/>
              </w:rPr>
            </w:pPr>
            <w:r w:rsidRPr="00FA3F57">
              <w:rPr>
                <w:sz w:val="20"/>
                <w:szCs w:val="20"/>
              </w:rPr>
              <w:t>Ministry of Mining and Energy</w:t>
            </w:r>
          </w:p>
          <w:p w14:paraId="7E10DA6F" w14:textId="77777777" w:rsidR="0094644B" w:rsidRPr="00FA3F57" w:rsidRDefault="0094644B" w:rsidP="00FB5086">
            <w:pPr>
              <w:rPr>
                <w:sz w:val="20"/>
                <w:szCs w:val="20"/>
              </w:rPr>
            </w:pPr>
            <w:r w:rsidRPr="00FA3F57">
              <w:rPr>
                <w:sz w:val="20"/>
                <w:szCs w:val="20"/>
              </w:rPr>
              <w:t>Ministry of Economy</w:t>
            </w:r>
          </w:p>
        </w:tc>
      </w:tr>
      <w:tr w:rsidR="0094644B" w:rsidRPr="00F07779" w14:paraId="65C3B730" w14:textId="77777777" w:rsidTr="00FB5086">
        <w:tc>
          <w:tcPr>
            <w:tcW w:w="2973" w:type="dxa"/>
          </w:tcPr>
          <w:p w14:paraId="6E2C44A1" w14:textId="77777777" w:rsidR="0094644B" w:rsidRPr="00FA3F57" w:rsidRDefault="0094644B" w:rsidP="00FB5086">
            <w:pPr>
              <w:rPr>
                <w:sz w:val="20"/>
                <w:szCs w:val="20"/>
              </w:rPr>
            </w:pPr>
            <w:r w:rsidRPr="00FA3F57">
              <w:rPr>
                <w:sz w:val="20"/>
                <w:szCs w:val="20"/>
              </w:rPr>
              <w:t>Year of project funding start</w:t>
            </w:r>
          </w:p>
        </w:tc>
        <w:tc>
          <w:tcPr>
            <w:tcW w:w="5742" w:type="dxa"/>
          </w:tcPr>
          <w:p w14:paraId="3351D777" w14:textId="77777777" w:rsidR="0094644B" w:rsidRPr="00FA3F57" w:rsidRDefault="0094644B" w:rsidP="00FB5086">
            <w:pPr>
              <w:rPr>
                <w:sz w:val="20"/>
                <w:szCs w:val="20"/>
              </w:rPr>
            </w:pPr>
            <w:r w:rsidRPr="00FA3F57">
              <w:rPr>
                <w:sz w:val="20"/>
                <w:szCs w:val="20"/>
              </w:rPr>
              <w:t>2025.</w:t>
            </w:r>
          </w:p>
        </w:tc>
      </w:tr>
      <w:tr w:rsidR="0094644B" w:rsidRPr="00F07779" w14:paraId="6E954ADA" w14:textId="77777777" w:rsidTr="00FB5086">
        <w:tc>
          <w:tcPr>
            <w:tcW w:w="2973" w:type="dxa"/>
          </w:tcPr>
          <w:p w14:paraId="205786CE" w14:textId="77777777" w:rsidR="0094644B" w:rsidRPr="00FA3F57" w:rsidRDefault="0094644B" w:rsidP="00FB5086">
            <w:pPr>
              <w:rPr>
                <w:sz w:val="20"/>
                <w:szCs w:val="20"/>
              </w:rPr>
            </w:pPr>
            <w:r w:rsidRPr="00FA3F57">
              <w:rPr>
                <w:sz w:val="20"/>
                <w:szCs w:val="20"/>
              </w:rPr>
              <w:t>Year of completion of project funding</w:t>
            </w:r>
          </w:p>
        </w:tc>
        <w:tc>
          <w:tcPr>
            <w:tcW w:w="5742" w:type="dxa"/>
          </w:tcPr>
          <w:p w14:paraId="58DB428F" w14:textId="77777777" w:rsidR="0094644B" w:rsidRPr="00FA3F57" w:rsidRDefault="0094644B" w:rsidP="00FB5086">
            <w:pPr>
              <w:rPr>
                <w:sz w:val="20"/>
                <w:szCs w:val="20"/>
              </w:rPr>
            </w:pPr>
            <w:r w:rsidRPr="00FA3F57">
              <w:rPr>
                <w:sz w:val="20"/>
                <w:szCs w:val="20"/>
              </w:rPr>
              <w:t>2027.</w:t>
            </w:r>
          </w:p>
        </w:tc>
      </w:tr>
      <w:tr w:rsidR="0094644B" w:rsidRPr="00F07779" w14:paraId="5B101D06" w14:textId="77777777" w:rsidTr="00FB5086">
        <w:tc>
          <w:tcPr>
            <w:tcW w:w="2973" w:type="dxa"/>
          </w:tcPr>
          <w:p w14:paraId="70658467" w14:textId="77777777" w:rsidR="0094644B" w:rsidRPr="00FA3F57" w:rsidRDefault="0094644B" w:rsidP="00FB5086">
            <w:pPr>
              <w:rPr>
                <w:sz w:val="20"/>
                <w:szCs w:val="20"/>
              </w:rPr>
            </w:pPr>
            <w:r w:rsidRPr="00FA3F57">
              <w:rPr>
                <w:sz w:val="20"/>
                <w:szCs w:val="20"/>
              </w:rPr>
              <w:t>Required funds and source of financing</w:t>
            </w:r>
            <w:r w:rsidRPr="00FA3F57">
              <w:rPr>
                <w:sz w:val="20"/>
                <w:szCs w:val="20"/>
              </w:rPr>
              <w:br/>
              <w:t>(in thousands of RSD)</w:t>
            </w:r>
          </w:p>
        </w:tc>
        <w:tc>
          <w:tcPr>
            <w:tcW w:w="5742" w:type="dxa"/>
          </w:tcPr>
          <w:p w14:paraId="01956353" w14:textId="77777777" w:rsidR="0094644B" w:rsidRPr="00FA3F57" w:rsidRDefault="0094644B" w:rsidP="00FB5086">
            <w:pPr>
              <w:rPr>
                <w:sz w:val="20"/>
                <w:szCs w:val="20"/>
              </w:rPr>
            </w:pPr>
            <w:r w:rsidRPr="00FA3F57">
              <w:rPr>
                <w:sz w:val="20"/>
                <w:szCs w:val="20"/>
              </w:rPr>
              <w:t>2,462,250 (21 million EUR), funds from the RS budget</w:t>
            </w:r>
          </w:p>
        </w:tc>
      </w:tr>
      <w:tr w:rsidR="0094644B" w:rsidRPr="00F07779" w14:paraId="1C405B73" w14:textId="77777777" w:rsidTr="00FB5086">
        <w:tc>
          <w:tcPr>
            <w:tcW w:w="2973" w:type="dxa"/>
          </w:tcPr>
          <w:p w14:paraId="14366007" w14:textId="77777777" w:rsidR="0094644B" w:rsidRPr="00FA3F57" w:rsidRDefault="0094644B" w:rsidP="00FB5086">
            <w:pPr>
              <w:rPr>
                <w:sz w:val="20"/>
                <w:szCs w:val="20"/>
              </w:rPr>
            </w:pPr>
            <w:r w:rsidRPr="00FA3F57">
              <w:rPr>
                <w:sz w:val="20"/>
                <w:szCs w:val="20"/>
              </w:rPr>
              <w:t>Planned investments for 2026.</w:t>
            </w:r>
            <w:r w:rsidRPr="00FA3F57">
              <w:rPr>
                <w:sz w:val="20"/>
                <w:szCs w:val="20"/>
              </w:rPr>
              <w:br/>
              <w:t>(in thousands of RSD)</w:t>
            </w:r>
          </w:p>
        </w:tc>
        <w:tc>
          <w:tcPr>
            <w:tcW w:w="5742" w:type="dxa"/>
          </w:tcPr>
          <w:p w14:paraId="050E9A41" w14:textId="77777777" w:rsidR="0094644B" w:rsidRPr="00FA3F57" w:rsidRDefault="0094644B" w:rsidP="00FB5086">
            <w:pPr>
              <w:rPr>
                <w:sz w:val="20"/>
                <w:szCs w:val="20"/>
              </w:rPr>
            </w:pPr>
            <w:r w:rsidRPr="00FA3F57">
              <w:rPr>
                <w:sz w:val="20"/>
                <w:szCs w:val="20"/>
              </w:rPr>
              <w:t>1,195,950 (budget RS)</w:t>
            </w:r>
          </w:p>
        </w:tc>
      </w:tr>
      <w:tr w:rsidR="0094644B" w:rsidRPr="00F07779" w14:paraId="20662E72" w14:textId="77777777" w:rsidTr="00FB5086">
        <w:tc>
          <w:tcPr>
            <w:tcW w:w="2973" w:type="dxa"/>
          </w:tcPr>
          <w:p w14:paraId="6C010837" w14:textId="77777777" w:rsidR="0094644B" w:rsidRPr="00FA3F57" w:rsidRDefault="0094644B" w:rsidP="00FB5086">
            <w:pPr>
              <w:rPr>
                <w:sz w:val="20"/>
                <w:szCs w:val="20"/>
              </w:rPr>
            </w:pPr>
            <w:r w:rsidRPr="00FA3F57">
              <w:rPr>
                <w:sz w:val="20"/>
                <w:szCs w:val="20"/>
              </w:rPr>
              <w:t>Planned investments for 2027.</w:t>
            </w:r>
            <w:r w:rsidRPr="00FA3F57">
              <w:rPr>
                <w:sz w:val="20"/>
                <w:szCs w:val="20"/>
              </w:rPr>
              <w:br/>
              <w:t>(in thousands of RSD)</w:t>
            </w:r>
          </w:p>
        </w:tc>
        <w:tc>
          <w:tcPr>
            <w:tcW w:w="5742" w:type="dxa"/>
          </w:tcPr>
          <w:p w14:paraId="7EA52415" w14:textId="77777777" w:rsidR="0094644B" w:rsidRPr="00FA3F57" w:rsidRDefault="0094644B" w:rsidP="00FB5086">
            <w:pPr>
              <w:rPr>
                <w:sz w:val="20"/>
                <w:szCs w:val="20"/>
              </w:rPr>
            </w:pPr>
            <w:r w:rsidRPr="00FA3F57">
              <w:rPr>
                <w:sz w:val="20"/>
                <w:szCs w:val="20"/>
              </w:rPr>
              <w:t>1,066,975 (budget RS)</w:t>
            </w:r>
          </w:p>
        </w:tc>
      </w:tr>
      <w:tr w:rsidR="0094644B" w:rsidRPr="00F07779" w14:paraId="74E08FD4" w14:textId="77777777" w:rsidTr="00FB5086">
        <w:tc>
          <w:tcPr>
            <w:tcW w:w="2973" w:type="dxa"/>
          </w:tcPr>
          <w:p w14:paraId="0B1085C9" w14:textId="77777777" w:rsidR="0094644B" w:rsidRPr="00FA3F57" w:rsidRDefault="0094644B" w:rsidP="00FB5086">
            <w:pPr>
              <w:rPr>
                <w:sz w:val="20"/>
                <w:szCs w:val="20"/>
              </w:rPr>
            </w:pPr>
            <w:r w:rsidRPr="00FA3F57">
              <w:rPr>
                <w:sz w:val="20"/>
                <w:szCs w:val="20"/>
              </w:rPr>
              <w:t>Planned investments for 2028.</w:t>
            </w:r>
            <w:r w:rsidRPr="00FA3F57">
              <w:rPr>
                <w:sz w:val="20"/>
                <w:szCs w:val="20"/>
              </w:rPr>
              <w:br/>
              <w:t>(in thousands of RSD)</w:t>
            </w:r>
          </w:p>
        </w:tc>
        <w:tc>
          <w:tcPr>
            <w:tcW w:w="5742" w:type="dxa"/>
          </w:tcPr>
          <w:p w14:paraId="13E9369B" w14:textId="77777777" w:rsidR="0094644B" w:rsidRPr="00FA3F57" w:rsidRDefault="0094644B" w:rsidP="00FB5086">
            <w:pPr>
              <w:rPr>
                <w:sz w:val="20"/>
                <w:szCs w:val="20"/>
              </w:rPr>
            </w:pPr>
            <w:r w:rsidRPr="00FA3F57">
              <w:rPr>
                <w:sz w:val="20"/>
                <w:szCs w:val="20"/>
              </w:rPr>
              <w:t>/</w:t>
            </w:r>
          </w:p>
        </w:tc>
      </w:tr>
      <w:tr w:rsidR="0094644B" w:rsidRPr="00F07779" w14:paraId="78ADBEEA" w14:textId="77777777" w:rsidTr="00FB5086">
        <w:tc>
          <w:tcPr>
            <w:tcW w:w="2973" w:type="dxa"/>
          </w:tcPr>
          <w:p w14:paraId="65FAA8B5" w14:textId="77777777" w:rsidR="0094644B" w:rsidRPr="00FA3F57" w:rsidRDefault="0094644B" w:rsidP="00FB5086">
            <w:pPr>
              <w:rPr>
                <w:sz w:val="20"/>
                <w:szCs w:val="20"/>
              </w:rPr>
            </w:pPr>
            <w:r w:rsidRPr="00FA3F57">
              <w:rPr>
                <w:sz w:val="20"/>
                <w:szCs w:val="20"/>
              </w:rPr>
              <w:t xml:space="preserve">Impact of activity implementation on </w:t>
            </w:r>
            <w:r w:rsidRPr="00F07779">
              <w:rPr>
                <w:sz w:val="20"/>
                <w:szCs w:val="20"/>
              </w:rPr>
              <w:t>objective</w:t>
            </w:r>
            <w:r w:rsidRPr="00FA3F57">
              <w:rPr>
                <w:sz w:val="20"/>
                <w:szCs w:val="20"/>
              </w:rPr>
              <w:t xml:space="preserve"> achievement</w:t>
            </w:r>
          </w:p>
        </w:tc>
        <w:tc>
          <w:tcPr>
            <w:tcW w:w="5742" w:type="dxa"/>
          </w:tcPr>
          <w:p w14:paraId="5C2708C9" w14:textId="77777777" w:rsidR="0094644B" w:rsidRPr="00FA3F57" w:rsidRDefault="0094644B" w:rsidP="00FB5086">
            <w:pPr>
              <w:rPr>
                <w:sz w:val="20"/>
                <w:szCs w:val="20"/>
              </w:rPr>
            </w:pPr>
            <w:r w:rsidRPr="00FA3F57">
              <w:rPr>
                <w:sz w:val="20"/>
                <w:szCs w:val="20"/>
              </w:rPr>
              <w:t>The project should provide:</w:t>
            </w:r>
          </w:p>
          <w:p w14:paraId="6088E979" w14:textId="77777777" w:rsidR="0094644B" w:rsidRPr="00FA3F57" w:rsidRDefault="0094644B" w:rsidP="00FB5086">
            <w:pPr>
              <w:pStyle w:val="ListParagraph"/>
              <w:numPr>
                <w:ilvl w:val="0"/>
                <w:numId w:val="17"/>
              </w:numPr>
              <w:rPr>
                <w:rFonts w:ascii="Times New Roman" w:eastAsia="Times New Roman" w:hAnsi="Times New Roman" w:cs="Times New Roman"/>
                <w:noProof w:val="0"/>
                <w:kern w:val="0"/>
                <w:sz w:val="20"/>
                <w:szCs w:val="20"/>
                <w:lang w:eastAsia="en-GB"/>
                <w14:ligatures w14:val="none"/>
              </w:rPr>
            </w:pPr>
            <w:r w:rsidRPr="00F07779">
              <w:rPr>
                <w:rFonts w:ascii="Times New Roman" w:eastAsia="Times New Roman" w:hAnsi="Times New Roman" w:cs="Times New Roman"/>
                <w:noProof w:val="0"/>
                <w:kern w:val="0"/>
                <w:sz w:val="20"/>
                <w:szCs w:val="20"/>
                <w:lang w:eastAsia="en-GB"/>
                <w14:ligatures w14:val="none"/>
              </w:rPr>
              <w:t>supplying</w:t>
            </w:r>
            <w:r w:rsidRPr="00FA3F57">
              <w:rPr>
                <w:rFonts w:ascii="Times New Roman" w:eastAsia="Times New Roman" w:hAnsi="Times New Roman" w:cs="Times New Roman"/>
                <w:noProof w:val="0"/>
                <w:kern w:val="0"/>
                <w:sz w:val="20"/>
                <w:szCs w:val="20"/>
                <w:lang w:eastAsia="en-GB"/>
                <w14:ligatures w14:val="none"/>
              </w:rPr>
              <w:t xml:space="preserve"> new consumers,</w:t>
            </w:r>
          </w:p>
          <w:p w14:paraId="7F71BAB8" w14:textId="77777777" w:rsidR="0094644B" w:rsidRPr="00FA3F57" w:rsidRDefault="0094644B" w:rsidP="00FB5086">
            <w:pPr>
              <w:pStyle w:val="ListParagraph"/>
              <w:numPr>
                <w:ilvl w:val="0"/>
                <w:numId w:val="17"/>
              </w:numPr>
              <w:rPr>
                <w:rFonts w:ascii="Times New Roman" w:eastAsia="Times New Roman" w:hAnsi="Times New Roman" w:cs="Times New Roman"/>
                <w:noProof w:val="0"/>
                <w:kern w:val="0"/>
                <w:sz w:val="20"/>
                <w:szCs w:val="20"/>
                <w:lang w:eastAsia="en-GB"/>
                <w14:ligatures w14:val="none"/>
              </w:rPr>
            </w:pPr>
            <w:r w:rsidRPr="00FA3F57">
              <w:rPr>
                <w:rFonts w:ascii="Times New Roman" w:eastAsia="Times New Roman" w:hAnsi="Times New Roman" w:cs="Times New Roman"/>
                <w:noProof w:val="0"/>
                <w:kern w:val="0"/>
                <w:sz w:val="20"/>
                <w:szCs w:val="20"/>
                <w:lang w:eastAsia="en-GB"/>
                <w14:ligatures w14:val="none"/>
              </w:rPr>
              <w:t xml:space="preserve">better reliability of the distribution </w:t>
            </w:r>
            <w:proofErr w:type="gramStart"/>
            <w:r w:rsidRPr="00FA3F57">
              <w:rPr>
                <w:rFonts w:ascii="Times New Roman" w:eastAsia="Times New Roman" w:hAnsi="Times New Roman" w:cs="Times New Roman"/>
                <w:noProof w:val="0"/>
                <w:kern w:val="0"/>
                <w:sz w:val="20"/>
                <w:szCs w:val="20"/>
                <w:lang w:eastAsia="en-GB"/>
                <w14:ligatures w14:val="none"/>
              </w:rPr>
              <w:t>network;</w:t>
            </w:r>
            <w:proofErr w:type="gramEnd"/>
          </w:p>
          <w:p w14:paraId="49151709" w14:textId="77777777" w:rsidR="0094644B" w:rsidRPr="00FA3F57" w:rsidRDefault="0094644B" w:rsidP="00FB5086">
            <w:pPr>
              <w:pStyle w:val="ListParagraph"/>
              <w:numPr>
                <w:ilvl w:val="0"/>
                <w:numId w:val="17"/>
              </w:numPr>
              <w:rPr>
                <w:rFonts w:ascii="Times New Roman" w:eastAsia="Times New Roman" w:hAnsi="Times New Roman" w:cs="Times New Roman"/>
                <w:noProof w:val="0"/>
                <w:kern w:val="0"/>
                <w:sz w:val="20"/>
                <w:szCs w:val="20"/>
                <w:lang w:eastAsia="en-GB"/>
                <w14:ligatures w14:val="none"/>
              </w:rPr>
            </w:pPr>
            <w:r w:rsidRPr="00FA3F57">
              <w:rPr>
                <w:rFonts w:ascii="Times New Roman" w:eastAsia="Times New Roman" w:hAnsi="Times New Roman" w:cs="Times New Roman"/>
                <w:noProof w:val="0"/>
                <w:kern w:val="0"/>
                <w:sz w:val="20"/>
                <w:szCs w:val="20"/>
                <w:lang w:eastAsia="en-GB"/>
                <w14:ligatures w14:val="none"/>
              </w:rPr>
              <w:t xml:space="preserve">reducing the number of outages and the duration of outages for end </w:t>
            </w:r>
            <w:proofErr w:type="gramStart"/>
            <w:r w:rsidRPr="00FA3F57">
              <w:rPr>
                <w:rFonts w:ascii="Times New Roman" w:eastAsia="Times New Roman" w:hAnsi="Times New Roman" w:cs="Times New Roman"/>
                <w:noProof w:val="0"/>
                <w:kern w:val="0"/>
                <w:sz w:val="20"/>
                <w:szCs w:val="20"/>
                <w:lang w:eastAsia="en-GB"/>
                <w14:ligatures w14:val="none"/>
              </w:rPr>
              <w:t>users;</w:t>
            </w:r>
            <w:proofErr w:type="gramEnd"/>
          </w:p>
          <w:p w14:paraId="49218737" w14:textId="77777777" w:rsidR="0094644B" w:rsidRPr="00FA3F57" w:rsidRDefault="0094644B" w:rsidP="00FB5086">
            <w:pPr>
              <w:pStyle w:val="ListParagraph"/>
              <w:numPr>
                <w:ilvl w:val="0"/>
                <w:numId w:val="17"/>
              </w:numPr>
              <w:rPr>
                <w:rFonts w:ascii="Times New Roman" w:eastAsia="Times New Roman" w:hAnsi="Times New Roman" w:cs="Times New Roman"/>
                <w:noProof w:val="0"/>
                <w:kern w:val="0"/>
                <w:sz w:val="20"/>
                <w:szCs w:val="20"/>
                <w:lang w:eastAsia="en-GB"/>
                <w14:ligatures w14:val="none"/>
              </w:rPr>
            </w:pPr>
            <w:r w:rsidRPr="00FA3F57">
              <w:rPr>
                <w:rFonts w:ascii="Times New Roman" w:eastAsia="Times New Roman" w:hAnsi="Times New Roman" w:cs="Times New Roman"/>
                <w:noProof w:val="0"/>
                <w:kern w:val="0"/>
                <w:sz w:val="20"/>
                <w:szCs w:val="20"/>
                <w:lang w:eastAsia="en-GB"/>
                <w14:ligatures w14:val="none"/>
              </w:rPr>
              <w:t xml:space="preserve">reduction of losses in the distribution </w:t>
            </w:r>
            <w:proofErr w:type="gramStart"/>
            <w:r w:rsidRPr="00FA3F57">
              <w:rPr>
                <w:rFonts w:ascii="Times New Roman" w:eastAsia="Times New Roman" w:hAnsi="Times New Roman" w:cs="Times New Roman"/>
                <w:noProof w:val="0"/>
                <w:kern w:val="0"/>
                <w:sz w:val="20"/>
                <w:szCs w:val="20"/>
                <w:lang w:eastAsia="en-GB"/>
                <w14:ligatures w14:val="none"/>
              </w:rPr>
              <w:t>network;</w:t>
            </w:r>
            <w:proofErr w:type="gramEnd"/>
          </w:p>
          <w:p w14:paraId="264D25BE" w14:textId="77777777" w:rsidR="0094644B" w:rsidRPr="00FA3F57" w:rsidRDefault="0094644B" w:rsidP="00FB5086">
            <w:pPr>
              <w:pStyle w:val="ListParagraph"/>
              <w:numPr>
                <w:ilvl w:val="0"/>
                <w:numId w:val="17"/>
              </w:numPr>
              <w:rPr>
                <w:rFonts w:ascii="Times New Roman" w:eastAsia="Times New Roman" w:hAnsi="Times New Roman" w:cs="Times New Roman"/>
                <w:noProof w:val="0"/>
                <w:kern w:val="0"/>
                <w:sz w:val="20"/>
                <w:szCs w:val="20"/>
                <w:lang w:eastAsia="en-GB"/>
                <w14:ligatures w14:val="none"/>
              </w:rPr>
            </w:pPr>
            <w:r w:rsidRPr="00FA3F57">
              <w:rPr>
                <w:noProof w:val="0"/>
                <w:sz w:val="20"/>
                <w:szCs w:val="20"/>
              </w:rPr>
              <w:t xml:space="preserve">reduction of </w:t>
            </w:r>
            <w:r w:rsidRPr="00FA3F57">
              <w:rPr>
                <w:rFonts w:ascii="Times New Roman" w:eastAsia="Times New Roman" w:hAnsi="Times New Roman" w:cs="Times New Roman"/>
                <w:noProof w:val="0"/>
                <w:kern w:val="0"/>
                <w:sz w:val="20"/>
                <w:szCs w:val="20"/>
                <w:lang w:eastAsia="en-GB"/>
                <w14:ligatures w14:val="none"/>
              </w:rPr>
              <w:t xml:space="preserve">the </w:t>
            </w:r>
            <w:r w:rsidRPr="00FA3F57">
              <w:rPr>
                <w:noProof w:val="0"/>
                <w:sz w:val="20"/>
                <w:szCs w:val="20"/>
              </w:rPr>
              <w:t>total maintenance costs of the TS.</w:t>
            </w:r>
          </w:p>
        </w:tc>
      </w:tr>
    </w:tbl>
    <w:p w14:paraId="3C820F7E" w14:textId="77777777" w:rsidR="0094644B" w:rsidRPr="00F07779" w:rsidRDefault="0094644B" w:rsidP="0094644B"/>
    <w:tbl>
      <w:tblPr>
        <w:tblStyle w:val="TableGrid"/>
        <w:tblW w:w="0" w:type="auto"/>
        <w:tblLook w:val="04A0" w:firstRow="1" w:lastRow="0" w:firstColumn="1" w:lastColumn="0" w:noHBand="0" w:noVBand="1"/>
      </w:tblPr>
      <w:tblGrid>
        <w:gridCol w:w="2973"/>
        <w:gridCol w:w="5742"/>
      </w:tblGrid>
      <w:tr w:rsidR="0094644B" w:rsidRPr="00F07779" w14:paraId="7CA79AC4" w14:textId="77777777" w:rsidTr="00FB5086">
        <w:tc>
          <w:tcPr>
            <w:tcW w:w="2973" w:type="dxa"/>
            <w:shd w:val="clear" w:color="auto" w:fill="D0CECE" w:themeFill="background2" w:themeFillShade="E6"/>
          </w:tcPr>
          <w:p w14:paraId="6499319C" w14:textId="77777777" w:rsidR="0094644B" w:rsidRPr="00FA3F57" w:rsidRDefault="0094644B" w:rsidP="00FB5086">
            <w:pPr>
              <w:keepNext/>
              <w:rPr>
                <w:sz w:val="20"/>
                <w:szCs w:val="20"/>
              </w:rPr>
            </w:pPr>
            <w:r w:rsidRPr="00F07779">
              <w:rPr>
                <w:sz w:val="20"/>
                <w:szCs w:val="20"/>
              </w:rPr>
              <w:t>Activity</w:t>
            </w:r>
            <w:r w:rsidRPr="00FA3F57">
              <w:rPr>
                <w:sz w:val="20"/>
                <w:szCs w:val="20"/>
              </w:rPr>
              <w:t xml:space="preserve"> </w:t>
            </w:r>
            <w:r w:rsidRPr="00F07779">
              <w:rPr>
                <w:sz w:val="20"/>
                <w:szCs w:val="20"/>
              </w:rPr>
              <w:t>EL</w:t>
            </w:r>
            <w:r w:rsidRPr="00FA3F57">
              <w:rPr>
                <w:sz w:val="20"/>
                <w:szCs w:val="20"/>
              </w:rPr>
              <w:t>1.3</w:t>
            </w:r>
          </w:p>
        </w:tc>
        <w:tc>
          <w:tcPr>
            <w:tcW w:w="5742" w:type="dxa"/>
            <w:shd w:val="clear" w:color="auto" w:fill="D0CECE" w:themeFill="background2" w:themeFillShade="E6"/>
          </w:tcPr>
          <w:p w14:paraId="64110988" w14:textId="77777777" w:rsidR="0094644B" w:rsidRPr="00FA3F57" w:rsidRDefault="0094644B" w:rsidP="00FB5086">
            <w:pPr>
              <w:keepNext/>
              <w:rPr>
                <w:sz w:val="20"/>
                <w:szCs w:val="20"/>
              </w:rPr>
            </w:pPr>
            <w:r w:rsidRPr="00F07779">
              <w:rPr>
                <w:sz w:val="20"/>
                <w:szCs w:val="20"/>
              </w:rPr>
              <w:t>Investment projects focused on the reconstruction and construction of the distribution network</w:t>
            </w:r>
          </w:p>
        </w:tc>
      </w:tr>
      <w:tr w:rsidR="0094644B" w:rsidRPr="00F07779" w14:paraId="5917DC9C" w14:textId="77777777" w:rsidTr="00FB5086">
        <w:tc>
          <w:tcPr>
            <w:tcW w:w="2973" w:type="dxa"/>
            <w:shd w:val="clear" w:color="auto" w:fill="D9E2F3" w:themeFill="accent1" w:themeFillTint="33"/>
          </w:tcPr>
          <w:p w14:paraId="44E954C7" w14:textId="77777777" w:rsidR="0094644B" w:rsidRPr="00FA3F57" w:rsidRDefault="0094644B" w:rsidP="00FB5086">
            <w:pPr>
              <w:keepNext/>
              <w:rPr>
                <w:sz w:val="20"/>
                <w:szCs w:val="20"/>
              </w:rPr>
            </w:pPr>
            <w:r w:rsidRPr="00FA3F57">
              <w:rPr>
                <w:sz w:val="20"/>
                <w:szCs w:val="20"/>
              </w:rPr>
              <w:t>Name of the project</w:t>
            </w:r>
          </w:p>
        </w:tc>
        <w:tc>
          <w:tcPr>
            <w:tcW w:w="5742" w:type="dxa"/>
            <w:shd w:val="clear" w:color="auto" w:fill="D9E2F3" w:themeFill="accent1" w:themeFillTint="33"/>
          </w:tcPr>
          <w:p w14:paraId="46662EA2" w14:textId="77777777" w:rsidR="0094644B" w:rsidRPr="00FA3F57" w:rsidRDefault="0094644B" w:rsidP="00FB5086">
            <w:pPr>
              <w:keepNext/>
              <w:rPr>
                <w:sz w:val="20"/>
                <w:szCs w:val="20"/>
              </w:rPr>
            </w:pPr>
            <w:r w:rsidRPr="00F07779">
              <w:rPr>
                <w:sz w:val="20"/>
                <w:szCs w:val="20"/>
              </w:rPr>
              <w:t>Automation of the medium-voltage network</w:t>
            </w:r>
          </w:p>
        </w:tc>
      </w:tr>
      <w:tr w:rsidR="0094644B" w:rsidRPr="00F07779" w14:paraId="3C0899A2" w14:textId="77777777" w:rsidTr="00FB5086">
        <w:tc>
          <w:tcPr>
            <w:tcW w:w="2973" w:type="dxa"/>
          </w:tcPr>
          <w:p w14:paraId="03772BC3" w14:textId="77777777" w:rsidR="0094644B" w:rsidRPr="00FA3F57" w:rsidRDefault="0094644B" w:rsidP="00FB5086">
            <w:pPr>
              <w:rPr>
                <w:sz w:val="20"/>
                <w:szCs w:val="20"/>
              </w:rPr>
            </w:pPr>
            <w:r w:rsidRPr="00F07779">
              <w:rPr>
                <w:sz w:val="20"/>
                <w:szCs w:val="20"/>
              </w:rPr>
              <w:t>Description</w:t>
            </w:r>
          </w:p>
        </w:tc>
        <w:tc>
          <w:tcPr>
            <w:tcW w:w="5742" w:type="dxa"/>
          </w:tcPr>
          <w:p w14:paraId="0DD67836" w14:textId="77777777" w:rsidR="0094644B" w:rsidRPr="00F07779" w:rsidRDefault="0094644B" w:rsidP="00FB5086">
            <w:pPr>
              <w:rPr>
                <w:sz w:val="20"/>
                <w:szCs w:val="20"/>
              </w:rPr>
            </w:pPr>
            <w:r w:rsidRPr="00F07779">
              <w:rPr>
                <w:sz w:val="20"/>
                <w:szCs w:val="20"/>
              </w:rPr>
              <w:t>The subject of the project is the construction of new and reconstruction of existing 35/X kV substations, the supply and installation of new ring main unit (RMU) switchgear in existing X/0.4 kV substations, the supply and installation of new remotely controlled disconnecting devices in the medium-voltage network, the supply and installation of telecommunication equipment and an ADMS for analysis, planning, monitoring, and control of elements within the medium-voltage distribution network, as well as the delivery and implementation of the Advanced Distribution Management System.</w:t>
            </w:r>
          </w:p>
          <w:p w14:paraId="77CE7513" w14:textId="77777777" w:rsidR="0094644B" w:rsidRPr="00FA3F57" w:rsidRDefault="0094644B" w:rsidP="00FB5086">
            <w:pPr>
              <w:rPr>
                <w:sz w:val="20"/>
                <w:szCs w:val="20"/>
              </w:rPr>
            </w:pPr>
            <w:r w:rsidRPr="00FA3F57">
              <w:rPr>
                <w:sz w:val="20"/>
                <w:szCs w:val="20"/>
              </w:rPr>
              <w:t>Expected dynamics of project implementation:</w:t>
            </w:r>
          </w:p>
          <w:p w14:paraId="466E425A" w14:textId="77777777" w:rsidR="0094644B" w:rsidRPr="00FA3F57" w:rsidRDefault="0094644B" w:rsidP="00FB5086">
            <w:pPr>
              <w:rPr>
                <w:sz w:val="20"/>
                <w:szCs w:val="20"/>
              </w:rPr>
            </w:pPr>
            <w:r w:rsidRPr="00FA3F57">
              <w:rPr>
                <w:sz w:val="20"/>
                <w:szCs w:val="20"/>
              </w:rPr>
              <w:t>2026.</w:t>
            </w:r>
            <w:r w:rsidRPr="00F07779">
              <w:rPr>
                <w:sz w:val="20"/>
                <w:szCs w:val="20"/>
              </w:rPr>
              <w:t xml:space="preserve"> </w:t>
            </w:r>
            <w:r w:rsidRPr="00FA3F57">
              <w:rPr>
                <w:sz w:val="20"/>
                <w:szCs w:val="20"/>
              </w:rPr>
              <w:t>Construction</w:t>
            </w:r>
          </w:p>
          <w:p w14:paraId="0EF458A1" w14:textId="77777777" w:rsidR="0094644B" w:rsidRPr="00FA3F57" w:rsidRDefault="0094644B" w:rsidP="00FB5086">
            <w:pPr>
              <w:rPr>
                <w:sz w:val="20"/>
                <w:szCs w:val="20"/>
              </w:rPr>
            </w:pPr>
            <w:r w:rsidRPr="00FA3F57">
              <w:rPr>
                <w:sz w:val="20"/>
                <w:szCs w:val="20"/>
              </w:rPr>
              <w:t>2027. Commissioning; trial operation</w:t>
            </w:r>
          </w:p>
          <w:p w14:paraId="4EF8DB79" w14:textId="77777777" w:rsidR="0094644B" w:rsidRPr="00FA3F57" w:rsidRDefault="0094644B" w:rsidP="00FB5086">
            <w:pPr>
              <w:rPr>
                <w:sz w:val="20"/>
                <w:szCs w:val="20"/>
              </w:rPr>
            </w:pPr>
            <w:r w:rsidRPr="00FA3F57">
              <w:rPr>
                <w:sz w:val="20"/>
                <w:szCs w:val="20"/>
              </w:rPr>
              <w:t>2028. Use permit; end of project</w:t>
            </w:r>
          </w:p>
        </w:tc>
      </w:tr>
      <w:tr w:rsidR="0094644B" w:rsidRPr="00F07779" w14:paraId="130C464F" w14:textId="77777777" w:rsidTr="00FB5086">
        <w:tc>
          <w:tcPr>
            <w:tcW w:w="2973" w:type="dxa"/>
          </w:tcPr>
          <w:p w14:paraId="30FAAC2D" w14:textId="77777777" w:rsidR="0094644B" w:rsidRPr="00FA3F57" w:rsidRDefault="0094644B" w:rsidP="00FB5086">
            <w:pPr>
              <w:rPr>
                <w:sz w:val="20"/>
                <w:szCs w:val="20"/>
              </w:rPr>
            </w:pPr>
            <w:r w:rsidRPr="00FA3F57">
              <w:rPr>
                <w:sz w:val="20"/>
                <w:szCs w:val="20"/>
              </w:rPr>
              <w:t>Institutions responsible for the implementation of measures and activities</w:t>
            </w:r>
          </w:p>
        </w:tc>
        <w:tc>
          <w:tcPr>
            <w:tcW w:w="5742" w:type="dxa"/>
          </w:tcPr>
          <w:p w14:paraId="1BAC0966" w14:textId="77777777" w:rsidR="0094644B" w:rsidRPr="00FA3F57" w:rsidRDefault="0094644B" w:rsidP="00FB5086">
            <w:pPr>
              <w:rPr>
                <w:sz w:val="20"/>
                <w:szCs w:val="20"/>
              </w:rPr>
            </w:pPr>
            <w:r w:rsidRPr="00FA3F57">
              <w:rPr>
                <w:sz w:val="20"/>
                <w:szCs w:val="20"/>
              </w:rPr>
              <w:t>Elektrodistribucija Srbije Ltd. Belgrade</w:t>
            </w:r>
            <w:r w:rsidRPr="00FA3F57" w:rsidDel="003B34A1">
              <w:rPr>
                <w:sz w:val="20"/>
                <w:szCs w:val="20"/>
              </w:rPr>
              <w:t xml:space="preserve"> </w:t>
            </w:r>
            <w:r w:rsidRPr="00FA3F57">
              <w:rPr>
                <w:sz w:val="20"/>
                <w:szCs w:val="20"/>
              </w:rPr>
              <w:t>EDF – International Networks</w:t>
            </w:r>
          </w:p>
          <w:p w14:paraId="31F159BC" w14:textId="77777777" w:rsidR="0094644B" w:rsidRPr="00FA3F57" w:rsidRDefault="0094644B" w:rsidP="00FB5086">
            <w:pPr>
              <w:rPr>
                <w:sz w:val="20"/>
                <w:szCs w:val="20"/>
              </w:rPr>
            </w:pPr>
            <w:r w:rsidRPr="00FA3F57">
              <w:rPr>
                <w:sz w:val="20"/>
                <w:szCs w:val="20"/>
              </w:rPr>
              <w:t>Schneider Electric</w:t>
            </w:r>
          </w:p>
        </w:tc>
      </w:tr>
      <w:tr w:rsidR="0094644B" w:rsidRPr="00F07779" w14:paraId="26BAB3BA" w14:textId="77777777" w:rsidTr="00FB5086">
        <w:tc>
          <w:tcPr>
            <w:tcW w:w="2973" w:type="dxa"/>
          </w:tcPr>
          <w:p w14:paraId="58F20357" w14:textId="77777777" w:rsidR="0094644B" w:rsidRPr="00FA3F57" w:rsidRDefault="0094644B" w:rsidP="00FB5086">
            <w:pPr>
              <w:rPr>
                <w:sz w:val="20"/>
                <w:szCs w:val="20"/>
              </w:rPr>
            </w:pPr>
            <w:r w:rsidRPr="00FA3F57">
              <w:rPr>
                <w:sz w:val="20"/>
                <w:szCs w:val="20"/>
              </w:rPr>
              <w:t>Institutions responsible for monitoring implementation and reporting on the realization</w:t>
            </w:r>
          </w:p>
        </w:tc>
        <w:tc>
          <w:tcPr>
            <w:tcW w:w="5742" w:type="dxa"/>
          </w:tcPr>
          <w:p w14:paraId="5776F4C0" w14:textId="77777777" w:rsidR="0094644B" w:rsidRPr="00FA3F57" w:rsidRDefault="0094644B" w:rsidP="00FB5086">
            <w:pPr>
              <w:rPr>
                <w:sz w:val="20"/>
                <w:szCs w:val="20"/>
              </w:rPr>
            </w:pPr>
            <w:r w:rsidRPr="00FA3F57">
              <w:rPr>
                <w:sz w:val="20"/>
                <w:szCs w:val="20"/>
              </w:rPr>
              <w:t>Elektrodistribucija Srbije Ltd. Belgrade</w:t>
            </w:r>
            <w:r w:rsidRPr="00FA3F57" w:rsidDel="003B34A1">
              <w:rPr>
                <w:sz w:val="20"/>
                <w:szCs w:val="20"/>
              </w:rPr>
              <w:t xml:space="preserve"> </w:t>
            </w:r>
            <w:r w:rsidRPr="00FA3F57">
              <w:rPr>
                <w:sz w:val="20"/>
                <w:szCs w:val="20"/>
              </w:rPr>
              <w:t>EDF – International Networks</w:t>
            </w:r>
          </w:p>
          <w:p w14:paraId="099842EB" w14:textId="77777777" w:rsidR="0094644B" w:rsidRPr="00FA3F57" w:rsidRDefault="0094644B" w:rsidP="00FB5086">
            <w:pPr>
              <w:rPr>
                <w:sz w:val="20"/>
                <w:szCs w:val="20"/>
              </w:rPr>
            </w:pPr>
            <w:r w:rsidRPr="00FA3F57">
              <w:rPr>
                <w:sz w:val="20"/>
                <w:szCs w:val="20"/>
              </w:rPr>
              <w:t xml:space="preserve">Schneider Electric </w:t>
            </w:r>
          </w:p>
          <w:p w14:paraId="314BEAB1" w14:textId="77777777" w:rsidR="0094644B" w:rsidRPr="00FA3F57" w:rsidRDefault="0094644B" w:rsidP="00FB5086">
            <w:pPr>
              <w:rPr>
                <w:sz w:val="20"/>
                <w:szCs w:val="20"/>
              </w:rPr>
            </w:pPr>
            <w:r w:rsidRPr="00FA3F57">
              <w:rPr>
                <w:sz w:val="20"/>
                <w:szCs w:val="20"/>
              </w:rPr>
              <w:t>Ministry of Mining and Energy</w:t>
            </w:r>
          </w:p>
          <w:p w14:paraId="4877606B" w14:textId="77777777" w:rsidR="0094644B" w:rsidRPr="00FA3F57" w:rsidRDefault="0094644B" w:rsidP="00FB5086">
            <w:pPr>
              <w:rPr>
                <w:sz w:val="20"/>
                <w:szCs w:val="20"/>
              </w:rPr>
            </w:pPr>
            <w:r w:rsidRPr="00FA3F57">
              <w:rPr>
                <w:sz w:val="20"/>
                <w:szCs w:val="20"/>
              </w:rPr>
              <w:lastRenderedPageBreak/>
              <w:t>Ministry of Economy</w:t>
            </w:r>
          </w:p>
        </w:tc>
      </w:tr>
      <w:tr w:rsidR="0094644B" w:rsidRPr="00F07779" w14:paraId="70549099" w14:textId="77777777" w:rsidTr="00FB5086">
        <w:tc>
          <w:tcPr>
            <w:tcW w:w="2973" w:type="dxa"/>
          </w:tcPr>
          <w:p w14:paraId="638DABA7" w14:textId="77777777" w:rsidR="0094644B" w:rsidRPr="00FA3F57" w:rsidRDefault="0094644B" w:rsidP="00FB5086">
            <w:pPr>
              <w:rPr>
                <w:sz w:val="20"/>
                <w:szCs w:val="20"/>
              </w:rPr>
            </w:pPr>
            <w:r w:rsidRPr="00FA3F57">
              <w:rPr>
                <w:sz w:val="20"/>
                <w:szCs w:val="20"/>
              </w:rPr>
              <w:lastRenderedPageBreak/>
              <w:t>Year of project funding start</w:t>
            </w:r>
          </w:p>
        </w:tc>
        <w:tc>
          <w:tcPr>
            <w:tcW w:w="5742" w:type="dxa"/>
          </w:tcPr>
          <w:p w14:paraId="4CFF11A4" w14:textId="77777777" w:rsidR="0094644B" w:rsidRPr="00FA3F57" w:rsidRDefault="0094644B" w:rsidP="00FB5086">
            <w:pPr>
              <w:rPr>
                <w:sz w:val="20"/>
                <w:szCs w:val="20"/>
              </w:rPr>
            </w:pPr>
            <w:r w:rsidRPr="00FA3F57">
              <w:rPr>
                <w:sz w:val="20"/>
                <w:szCs w:val="20"/>
              </w:rPr>
              <w:t>2024.</w:t>
            </w:r>
          </w:p>
        </w:tc>
      </w:tr>
      <w:tr w:rsidR="0094644B" w:rsidRPr="00F07779" w14:paraId="3A9EAD13" w14:textId="77777777" w:rsidTr="00FB5086">
        <w:tc>
          <w:tcPr>
            <w:tcW w:w="2973" w:type="dxa"/>
          </w:tcPr>
          <w:p w14:paraId="773C3D7B" w14:textId="77777777" w:rsidR="0094644B" w:rsidRPr="00FA3F57" w:rsidRDefault="0094644B" w:rsidP="00FB5086">
            <w:pPr>
              <w:rPr>
                <w:sz w:val="20"/>
                <w:szCs w:val="20"/>
              </w:rPr>
            </w:pPr>
            <w:r w:rsidRPr="00FA3F57">
              <w:rPr>
                <w:sz w:val="20"/>
                <w:szCs w:val="20"/>
              </w:rPr>
              <w:t>Year of completion of project funding</w:t>
            </w:r>
          </w:p>
        </w:tc>
        <w:tc>
          <w:tcPr>
            <w:tcW w:w="5742" w:type="dxa"/>
          </w:tcPr>
          <w:p w14:paraId="5D0F9A48" w14:textId="77777777" w:rsidR="0094644B" w:rsidRPr="00FA3F57" w:rsidRDefault="0094644B" w:rsidP="00FB5086">
            <w:pPr>
              <w:rPr>
                <w:sz w:val="20"/>
                <w:szCs w:val="20"/>
              </w:rPr>
            </w:pPr>
            <w:r w:rsidRPr="00FA3F57">
              <w:rPr>
                <w:sz w:val="20"/>
                <w:szCs w:val="20"/>
              </w:rPr>
              <w:t>2028.</w:t>
            </w:r>
          </w:p>
        </w:tc>
      </w:tr>
      <w:tr w:rsidR="0094644B" w:rsidRPr="00F07779" w14:paraId="6D72E01B" w14:textId="77777777" w:rsidTr="00FB5086">
        <w:tc>
          <w:tcPr>
            <w:tcW w:w="2973" w:type="dxa"/>
          </w:tcPr>
          <w:p w14:paraId="74628179" w14:textId="77777777" w:rsidR="0094644B" w:rsidRPr="00FA3F57" w:rsidRDefault="0094644B" w:rsidP="00FB5086">
            <w:pPr>
              <w:rPr>
                <w:sz w:val="20"/>
                <w:szCs w:val="20"/>
              </w:rPr>
            </w:pPr>
            <w:r w:rsidRPr="00FA3F57">
              <w:rPr>
                <w:sz w:val="20"/>
                <w:szCs w:val="20"/>
              </w:rPr>
              <w:t>Required funds and source of financing</w:t>
            </w:r>
            <w:r w:rsidRPr="00FA3F57">
              <w:rPr>
                <w:sz w:val="20"/>
                <w:szCs w:val="20"/>
              </w:rPr>
              <w:br/>
              <w:t>(in thousands of RSD)</w:t>
            </w:r>
          </w:p>
        </w:tc>
        <w:tc>
          <w:tcPr>
            <w:tcW w:w="5742" w:type="dxa"/>
          </w:tcPr>
          <w:p w14:paraId="020DFB6B" w14:textId="77777777" w:rsidR="0094644B" w:rsidRPr="00F07779" w:rsidRDefault="0094644B" w:rsidP="00FB5086">
            <w:pPr>
              <w:rPr>
                <w:sz w:val="20"/>
                <w:szCs w:val="20"/>
              </w:rPr>
            </w:pPr>
            <w:r w:rsidRPr="00FA3F57">
              <w:rPr>
                <w:sz w:val="20"/>
                <w:szCs w:val="20"/>
              </w:rPr>
              <w:t>37,520,000 (320 million EUR)</w:t>
            </w:r>
          </w:p>
        </w:tc>
      </w:tr>
      <w:tr w:rsidR="0094644B" w:rsidRPr="00F07779" w14:paraId="7C62B62A" w14:textId="77777777" w:rsidTr="00FB5086">
        <w:tc>
          <w:tcPr>
            <w:tcW w:w="2973" w:type="dxa"/>
          </w:tcPr>
          <w:p w14:paraId="6B0C5A67" w14:textId="77777777" w:rsidR="0094644B" w:rsidRPr="00FA3F57" w:rsidRDefault="0094644B" w:rsidP="00FB5086">
            <w:pPr>
              <w:rPr>
                <w:sz w:val="20"/>
                <w:szCs w:val="20"/>
              </w:rPr>
            </w:pPr>
            <w:r w:rsidRPr="00FA3F57">
              <w:rPr>
                <w:sz w:val="20"/>
                <w:szCs w:val="20"/>
              </w:rPr>
              <w:t>Planned investments for 2026.</w:t>
            </w:r>
            <w:r w:rsidRPr="00FA3F57">
              <w:rPr>
                <w:sz w:val="20"/>
                <w:szCs w:val="20"/>
              </w:rPr>
              <w:br/>
              <w:t>(in thousands of RSD)</w:t>
            </w:r>
          </w:p>
        </w:tc>
        <w:tc>
          <w:tcPr>
            <w:tcW w:w="5742" w:type="dxa"/>
          </w:tcPr>
          <w:p w14:paraId="53F5163B" w14:textId="77777777" w:rsidR="0094644B" w:rsidRPr="00FA3F57" w:rsidRDefault="0094644B" w:rsidP="00FB5086">
            <w:pPr>
              <w:rPr>
                <w:sz w:val="20"/>
                <w:szCs w:val="20"/>
              </w:rPr>
            </w:pPr>
            <w:r w:rsidRPr="00FA3F57">
              <w:rPr>
                <w:sz w:val="20"/>
                <w:szCs w:val="20"/>
              </w:rPr>
              <w:t>140,700 (budget RS)2,696,750 (own funds)4,736,900 (loan)</w:t>
            </w:r>
          </w:p>
        </w:tc>
      </w:tr>
      <w:tr w:rsidR="0094644B" w:rsidRPr="00F07779" w14:paraId="4B2DEA70" w14:textId="77777777" w:rsidTr="00FB5086">
        <w:tc>
          <w:tcPr>
            <w:tcW w:w="2973" w:type="dxa"/>
          </w:tcPr>
          <w:p w14:paraId="71F35633" w14:textId="77777777" w:rsidR="0094644B" w:rsidRPr="00FA3F57" w:rsidRDefault="0094644B" w:rsidP="00FB5086">
            <w:pPr>
              <w:rPr>
                <w:sz w:val="20"/>
                <w:szCs w:val="20"/>
              </w:rPr>
            </w:pPr>
            <w:r w:rsidRPr="00FA3F57">
              <w:rPr>
                <w:sz w:val="20"/>
                <w:szCs w:val="20"/>
              </w:rPr>
              <w:t>Planned investments for 2027.</w:t>
            </w:r>
            <w:r w:rsidRPr="00FA3F57">
              <w:rPr>
                <w:sz w:val="20"/>
                <w:szCs w:val="20"/>
              </w:rPr>
              <w:br/>
              <w:t>(in thousands of RSD)</w:t>
            </w:r>
          </w:p>
        </w:tc>
        <w:tc>
          <w:tcPr>
            <w:tcW w:w="5742" w:type="dxa"/>
          </w:tcPr>
          <w:p w14:paraId="1F3EE6EE" w14:textId="77777777" w:rsidR="0094644B" w:rsidRPr="00FA3F57" w:rsidRDefault="0094644B" w:rsidP="00FB5086">
            <w:pPr>
              <w:rPr>
                <w:sz w:val="20"/>
                <w:szCs w:val="20"/>
              </w:rPr>
            </w:pPr>
            <w:r w:rsidRPr="00FA3F57">
              <w:rPr>
                <w:sz w:val="20"/>
                <w:szCs w:val="20"/>
              </w:rPr>
              <w:t>58,625 (budget RS)2,755,375 (own funds)1,735,300 (loan)</w:t>
            </w:r>
          </w:p>
        </w:tc>
      </w:tr>
      <w:tr w:rsidR="0094644B" w:rsidRPr="00F07779" w14:paraId="2340133C" w14:textId="77777777" w:rsidTr="00FB5086">
        <w:tc>
          <w:tcPr>
            <w:tcW w:w="2973" w:type="dxa"/>
          </w:tcPr>
          <w:p w14:paraId="3B87AA72" w14:textId="77777777" w:rsidR="0094644B" w:rsidRPr="00FA3F57" w:rsidRDefault="0094644B" w:rsidP="00FB5086">
            <w:pPr>
              <w:rPr>
                <w:sz w:val="20"/>
                <w:szCs w:val="20"/>
              </w:rPr>
            </w:pPr>
            <w:r w:rsidRPr="00FA3F57">
              <w:rPr>
                <w:sz w:val="20"/>
                <w:szCs w:val="20"/>
              </w:rPr>
              <w:t>Planned investments for 2028.</w:t>
            </w:r>
            <w:r w:rsidRPr="00FA3F57">
              <w:rPr>
                <w:sz w:val="20"/>
                <w:szCs w:val="20"/>
              </w:rPr>
              <w:br/>
              <w:t>(in thousands of RSD)</w:t>
            </w:r>
          </w:p>
        </w:tc>
        <w:tc>
          <w:tcPr>
            <w:tcW w:w="5742" w:type="dxa"/>
          </w:tcPr>
          <w:p w14:paraId="5EA2B67F" w14:textId="77777777" w:rsidR="0094644B" w:rsidRPr="00FA3F57" w:rsidRDefault="0094644B" w:rsidP="00FB5086">
            <w:pPr>
              <w:rPr>
                <w:sz w:val="20"/>
                <w:szCs w:val="20"/>
              </w:rPr>
            </w:pPr>
            <w:r w:rsidRPr="00FA3F57">
              <w:rPr>
                <w:sz w:val="20"/>
                <w:szCs w:val="20"/>
              </w:rPr>
              <w:t>13,436,850 (own funds)</w:t>
            </w:r>
          </w:p>
        </w:tc>
      </w:tr>
      <w:tr w:rsidR="0094644B" w:rsidRPr="00F07779" w14:paraId="09130FBF" w14:textId="77777777" w:rsidTr="00FB5086">
        <w:tc>
          <w:tcPr>
            <w:tcW w:w="2973" w:type="dxa"/>
          </w:tcPr>
          <w:p w14:paraId="6C2EAA41" w14:textId="77777777" w:rsidR="0094644B" w:rsidRPr="00FA3F57" w:rsidRDefault="0094644B" w:rsidP="00FB5086">
            <w:pPr>
              <w:rPr>
                <w:sz w:val="20"/>
                <w:szCs w:val="20"/>
              </w:rPr>
            </w:pPr>
            <w:r w:rsidRPr="00FA3F57">
              <w:rPr>
                <w:sz w:val="20"/>
                <w:szCs w:val="20"/>
              </w:rPr>
              <w:t xml:space="preserve">Impact of activity implementation on </w:t>
            </w:r>
            <w:r w:rsidRPr="00F07779">
              <w:rPr>
                <w:sz w:val="20"/>
                <w:szCs w:val="20"/>
              </w:rPr>
              <w:t>objective</w:t>
            </w:r>
            <w:r w:rsidRPr="00FA3F57">
              <w:rPr>
                <w:sz w:val="20"/>
                <w:szCs w:val="20"/>
              </w:rPr>
              <w:t xml:space="preserve"> achievement</w:t>
            </w:r>
          </w:p>
        </w:tc>
        <w:tc>
          <w:tcPr>
            <w:tcW w:w="5742" w:type="dxa"/>
          </w:tcPr>
          <w:p w14:paraId="55466810" w14:textId="77777777" w:rsidR="0094644B" w:rsidRPr="00FA3F57" w:rsidRDefault="0094644B" w:rsidP="00FB5086">
            <w:pPr>
              <w:rPr>
                <w:sz w:val="20"/>
                <w:szCs w:val="20"/>
              </w:rPr>
            </w:pPr>
            <w:r w:rsidRPr="00F07779">
              <w:rPr>
                <w:sz w:val="20"/>
                <w:szCs w:val="20"/>
              </w:rPr>
              <w:t>The project is expected to ensure a more reliable and higher-quality electricity supply, enable remote control of the network, and allow for faster fault detection and restoration</w:t>
            </w:r>
          </w:p>
        </w:tc>
      </w:tr>
    </w:tbl>
    <w:p w14:paraId="3B4FD560" w14:textId="77777777" w:rsidR="0094644B" w:rsidRPr="00F07779" w:rsidRDefault="0094644B" w:rsidP="0094644B"/>
    <w:tbl>
      <w:tblPr>
        <w:tblStyle w:val="TableGrid"/>
        <w:tblW w:w="0" w:type="auto"/>
        <w:tblLook w:val="04A0" w:firstRow="1" w:lastRow="0" w:firstColumn="1" w:lastColumn="0" w:noHBand="0" w:noVBand="1"/>
      </w:tblPr>
      <w:tblGrid>
        <w:gridCol w:w="2973"/>
        <w:gridCol w:w="5742"/>
      </w:tblGrid>
      <w:tr w:rsidR="0094644B" w:rsidRPr="00F07779" w14:paraId="6D2C9AE3" w14:textId="77777777" w:rsidTr="00FB5086">
        <w:tc>
          <w:tcPr>
            <w:tcW w:w="2973" w:type="dxa"/>
            <w:shd w:val="clear" w:color="auto" w:fill="D0CECE" w:themeFill="background2" w:themeFillShade="E6"/>
          </w:tcPr>
          <w:p w14:paraId="00B98631" w14:textId="77777777" w:rsidR="0094644B" w:rsidRPr="00FA3F57" w:rsidRDefault="0094644B" w:rsidP="00FB5086">
            <w:pPr>
              <w:keepNext/>
              <w:rPr>
                <w:sz w:val="20"/>
                <w:szCs w:val="20"/>
              </w:rPr>
            </w:pPr>
            <w:r w:rsidRPr="00FA3F57">
              <w:rPr>
                <w:sz w:val="20"/>
                <w:szCs w:val="20"/>
              </w:rPr>
              <w:t>Activity EL1.3</w:t>
            </w:r>
          </w:p>
        </w:tc>
        <w:tc>
          <w:tcPr>
            <w:tcW w:w="5742" w:type="dxa"/>
            <w:shd w:val="clear" w:color="auto" w:fill="D0CECE" w:themeFill="background2" w:themeFillShade="E6"/>
          </w:tcPr>
          <w:p w14:paraId="685DAFC2" w14:textId="77777777" w:rsidR="0094644B" w:rsidRPr="00FA3F57" w:rsidRDefault="0094644B" w:rsidP="00FB5086">
            <w:pPr>
              <w:keepNext/>
              <w:rPr>
                <w:sz w:val="20"/>
                <w:szCs w:val="20"/>
              </w:rPr>
            </w:pPr>
            <w:r w:rsidRPr="00FA3F57">
              <w:rPr>
                <w:sz w:val="20"/>
                <w:szCs w:val="20"/>
              </w:rPr>
              <w:t>Investment projects focused on the reconstruction and construction of the distribution network</w:t>
            </w:r>
          </w:p>
        </w:tc>
      </w:tr>
      <w:tr w:rsidR="0094644B" w:rsidRPr="00F07779" w14:paraId="1D1173F2" w14:textId="77777777" w:rsidTr="00FB5086">
        <w:tc>
          <w:tcPr>
            <w:tcW w:w="2973" w:type="dxa"/>
            <w:shd w:val="clear" w:color="auto" w:fill="D9E2F3" w:themeFill="accent1" w:themeFillTint="33"/>
          </w:tcPr>
          <w:p w14:paraId="633EF3F8" w14:textId="77777777" w:rsidR="0094644B" w:rsidRPr="00FA3F57" w:rsidRDefault="0094644B" w:rsidP="00FB5086">
            <w:pPr>
              <w:keepNext/>
              <w:rPr>
                <w:sz w:val="20"/>
                <w:szCs w:val="20"/>
              </w:rPr>
            </w:pPr>
            <w:r w:rsidRPr="00FA3F57">
              <w:rPr>
                <w:sz w:val="20"/>
                <w:szCs w:val="20"/>
              </w:rPr>
              <w:t>Name of the project</w:t>
            </w:r>
          </w:p>
        </w:tc>
        <w:tc>
          <w:tcPr>
            <w:tcW w:w="5742" w:type="dxa"/>
            <w:shd w:val="clear" w:color="auto" w:fill="D9E2F3" w:themeFill="accent1" w:themeFillTint="33"/>
          </w:tcPr>
          <w:p w14:paraId="01225487" w14:textId="77777777" w:rsidR="0094644B" w:rsidRPr="00FA3F57" w:rsidRDefault="0094644B" w:rsidP="00FB5086">
            <w:pPr>
              <w:keepNext/>
              <w:rPr>
                <w:sz w:val="20"/>
                <w:szCs w:val="20"/>
              </w:rPr>
            </w:pPr>
            <w:r w:rsidRPr="00FA3F57">
              <w:rPr>
                <w:sz w:val="20"/>
                <w:szCs w:val="20"/>
              </w:rPr>
              <w:t>Replacing electromechanical meters with smart meters</w:t>
            </w:r>
          </w:p>
        </w:tc>
      </w:tr>
      <w:tr w:rsidR="0094644B" w:rsidRPr="00F07779" w14:paraId="26602550" w14:textId="77777777" w:rsidTr="00FB5086">
        <w:tc>
          <w:tcPr>
            <w:tcW w:w="2973" w:type="dxa"/>
          </w:tcPr>
          <w:p w14:paraId="4199C788" w14:textId="77777777" w:rsidR="0094644B" w:rsidRPr="00FA3F57" w:rsidRDefault="0094644B" w:rsidP="00FB5086">
            <w:pPr>
              <w:rPr>
                <w:sz w:val="20"/>
                <w:szCs w:val="20"/>
              </w:rPr>
            </w:pPr>
            <w:r w:rsidRPr="00F07779">
              <w:rPr>
                <w:sz w:val="20"/>
                <w:szCs w:val="20"/>
              </w:rPr>
              <w:t>Description</w:t>
            </w:r>
          </w:p>
        </w:tc>
        <w:tc>
          <w:tcPr>
            <w:tcW w:w="5742" w:type="dxa"/>
          </w:tcPr>
          <w:p w14:paraId="43888FB9" w14:textId="77777777" w:rsidR="0094644B" w:rsidRPr="00F07779" w:rsidRDefault="0094644B" w:rsidP="00FB5086">
            <w:pPr>
              <w:rPr>
                <w:sz w:val="20"/>
                <w:szCs w:val="20"/>
              </w:rPr>
            </w:pPr>
            <w:r w:rsidRPr="00F07779">
              <w:rPr>
                <w:sz w:val="20"/>
                <w:szCs w:val="20"/>
              </w:rPr>
              <w:t>The project includes the procurement of smart meters with two-way communication capability, as well as the procurement and implementation of an advanced system for meter reading and electricity consumption control – the Smart Metering system.</w:t>
            </w:r>
          </w:p>
          <w:p w14:paraId="68FE9029" w14:textId="77777777" w:rsidR="0094644B" w:rsidRPr="00FA3F57" w:rsidRDefault="0094644B" w:rsidP="00FB5086">
            <w:pPr>
              <w:rPr>
                <w:sz w:val="20"/>
                <w:szCs w:val="20"/>
              </w:rPr>
            </w:pPr>
            <w:r w:rsidRPr="00FA3F57">
              <w:rPr>
                <w:sz w:val="20"/>
                <w:szCs w:val="20"/>
              </w:rPr>
              <w:t>Expected dynamics of project implementation:</w:t>
            </w:r>
          </w:p>
          <w:p w14:paraId="08ED5A93" w14:textId="77777777" w:rsidR="0094644B" w:rsidRPr="00FA3F57" w:rsidRDefault="0094644B" w:rsidP="00FB5086">
            <w:pPr>
              <w:rPr>
                <w:sz w:val="20"/>
                <w:szCs w:val="20"/>
              </w:rPr>
            </w:pPr>
            <w:r w:rsidRPr="00FA3F57">
              <w:rPr>
                <w:sz w:val="20"/>
                <w:szCs w:val="20"/>
              </w:rPr>
              <w:t>2026. Commissioning; trial operation</w:t>
            </w:r>
          </w:p>
          <w:p w14:paraId="14B87F8A" w14:textId="77777777" w:rsidR="0094644B" w:rsidRPr="00FA3F57" w:rsidRDefault="0094644B" w:rsidP="00FB5086">
            <w:pPr>
              <w:rPr>
                <w:sz w:val="20"/>
                <w:szCs w:val="20"/>
              </w:rPr>
            </w:pPr>
            <w:r w:rsidRPr="00FA3F57">
              <w:rPr>
                <w:sz w:val="20"/>
                <w:szCs w:val="20"/>
              </w:rPr>
              <w:t>2027. Commissioning; trial operation</w:t>
            </w:r>
          </w:p>
          <w:p w14:paraId="05018536" w14:textId="77777777" w:rsidR="0094644B" w:rsidRPr="00FA3F57" w:rsidRDefault="0094644B" w:rsidP="00FB5086">
            <w:pPr>
              <w:rPr>
                <w:sz w:val="20"/>
                <w:szCs w:val="20"/>
              </w:rPr>
            </w:pPr>
            <w:r w:rsidRPr="00FA3F57">
              <w:rPr>
                <w:sz w:val="20"/>
                <w:szCs w:val="20"/>
              </w:rPr>
              <w:t>2028. Commissioning; trial operation</w:t>
            </w:r>
          </w:p>
        </w:tc>
      </w:tr>
      <w:tr w:rsidR="0094644B" w:rsidRPr="00F07779" w14:paraId="09731103" w14:textId="77777777" w:rsidTr="00FB5086">
        <w:tc>
          <w:tcPr>
            <w:tcW w:w="2973" w:type="dxa"/>
          </w:tcPr>
          <w:p w14:paraId="5184267C" w14:textId="77777777" w:rsidR="0094644B" w:rsidRPr="00FA3F57" w:rsidRDefault="0094644B" w:rsidP="00FB5086">
            <w:pPr>
              <w:rPr>
                <w:sz w:val="20"/>
                <w:szCs w:val="20"/>
              </w:rPr>
            </w:pPr>
            <w:r w:rsidRPr="00FA3F57">
              <w:rPr>
                <w:sz w:val="20"/>
                <w:szCs w:val="20"/>
              </w:rPr>
              <w:t>Institutions responsible for the implementation of measures and activities</w:t>
            </w:r>
          </w:p>
        </w:tc>
        <w:tc>
          <w:tcPr>
            <w:tcW w:w="5742" w:type="dxa"/>
          </w:tcPr>
          <w:p w14:paraId="55C53445" w14:textId="77777777" w:rsidR="0094644B" w:rsidRPr="00FA3F57" w:rsidRDefault="0094644B" w:rsidP="00FB5086">
            <w:pPr>
              <w:rPr>
                <w:sz w:val="20"/>
                <w:szCs w:val="20"/>
              </w:rPr>
            </w:pPr>
            <w:r w:rsidRPr="00FA3F57">
              <w:rPr>
                <w:sz w:val="20"/>
                <w:szCs w:val="20"/>
              </w:rPr>
              <w:t>Elektrodistribucija Srbije Ltd. Belgrade</w:t>
            </w:r>
            <w:r w:rsidRPr="00FA3F57" w:rsidDel="00135D3B">
              <w:rPr>
                <w:sz w:val="20"/>
                <w:szCs w:val="20"/>
              </w:rPr>
              <w:t xml:space="preserve"> </w:t>
            </w:r>
          </w:p>
        </w:tc>
      </w:tr>
      <w:tr w:rsidR="0094644B" w:rsidRPr="00F07779" w14:paraId="1D05F8EB" w14:textId="77777777" w:rsidTr="00FB5086">
        <w:tc>
          <w:tcPr>
            <w:tcW w:w="2973" w:type="dxa"/>
          </w:tcPr>
          <w:p w14:paraId="1E6060AE" w14:textId="77777777" w:rsidR="0094644B" w:rsidRPr="00FA3F57" w:rsidRDefault="0094644B" w:rsidP="00FB5086">
            <w:pPr>
              <w:rPr>
                <w:sz w:val="20"/>
                <w:szCs w:val="20"/>
              </w:rPr>
            </w:pPr>
            <w:r w:rsidRPr="00FA3F57">
              <w:rPr>
                <w:sz w:val="20"/>
                <w:szCs w:val="20"/>
              </w:rPr>
              <w:t>Institutions responsible for monitoring implementation and reporting on the realization</w:t>
            </w:r>
          </w:p>
        </w:tc>
        <w:tc>
          <w:tcPr>
            <w:tcW w:w="5742" w:type="dxa"/>
          </w:tcPr>
          <w:p w14:paraId="7269BCB6" w14:textId="77777777" w:rsidR="0094644B" w:rsidRPr="00FA3F57" w:rsidRDefault="0094644B" w:rsidP="00FB5086">
            <w:pPr>
              <w:rPr>
                <w:sz w:val="20"/>
                <w:szCs w:val="20"/>
              </w:rPr>
            </w:pPr>
            <w:r w:rsidRPr="00FA3F57">
              <w:rPr>
                <w:sz w:val="20"/>
                <w:szCs w:val="20"/>
              </w:rPr>
              <w:t>Elektrodistribucija Srbije Ltd. Belgrade</w:t>
            </w:r>
            <w:r w:rsidRPr="00FA3F57" w:rsidDel="00135D3B">
              <w:rPr>
                <w:sz w:val="20"/>
                <w:szCs w:val="20"/>
              </w:rPr>
              <w:t xml:space="preserve"> </w:t>
            </w:r>
            <w:r w:rsidRPr="00FA3F57">
              <w:rPr>
                <w:sz w:val="20"/>
                <w:szCs w:val="20"/>
              </w:rPr>
              <w:t>Ministry of Mining and Energy</w:t>
            </w:r>
          </w:p>
          <w:p w14:paraId="5D799996" w14:textId="77777777" w:rsidR="0094644B" w:rsidRPr="00FA3F57" w:rsidRDefault="0094644B" w:rsidP="00FB5086">
            <w:pPr>
              <w:rPr>
                <w:sz w:val="20"/>
                <w:szCs w:val="20"/>
              </w:rPr>
            </w:pPr>
            <w:r w:rsidRPr="00FA3F57">
              <w:rPr>
                <w:sz w:val="20"/>
                <w:szCs w:val="20"/>
              </w:rPr>
              <w:t>Ministry of Economy</w:t>
            </w:r>
          </w:p>
        </w:tc>
      </w:tr>
      <w:tr w:rsidR="0094644B" w:rsidRPr="00F07779" w14:paraId="00A55C71" w14:textId="77777777" w:rsidTr="00FB5086">
        <w:tc>
          <w:tcPr>
            <w:tcW w:w="2973" w:type="dxa"/>
          </w:tcPr>
          <w:p w14:paraId="092B18A8" w14:textId="77777777" w:rsidR="0094644B" w:rsidRPr="00FA3F57" w:rsidRDefault="0094644B" w:rsidP="00FB5086">
            <w:pPr>
              <w:rPr>
                <w:sz w:val="20"/>
                <w:szCs w:val="20"/>
              </w:rPr>
            </w:pPr>
            <w:r w:rsidRPr="00FA3F57">
              <w:rPr>
                <w:sz w:val="20"/>
                <w:szCs w:val="20"/>
              </w:rPr>
              <w:t>Year of project funding start</w:t>
            </w:r>
          </w:p>
        </w:tc>
        <w:tc>
          <w:tcPr>
            <w:tcW w:w="5742" w:type="dxa"/>
          </w:tcPr>
          <w:p w14:paraId="555D8ADE" w14:textId="77777777" w:rsidR="0094644B" w:rsidRPr="00FA3F57" w:rsidRDefault="0094644B" w:rsidP="00FB5086">
            <w:pPr>
              <w:rPr>
                <w:sz w:val="20"/>
                <w:szCs w:val="20"/>
              </w:rPr>
            </w:pPr>
            <w:r w:rsidRPr="00FA3F57">
              <w:rPr>
                <w:sz w:val="20"/>
                <w:szCs w:val="20"/>
              </w:rPr>
              <w:t>2021.</w:t>
            </w:r>
          </w:p>
        </w:tc>
      </w:tr>
      <w:tr w:rsidR="0094644B" w:rsidRPr="00F07779" w14:paraId="45010D23" w14:textId="77777777" w:rsidTr="00FB5086">
        <w:tc>
          <w:tcPr>
            <w:tcW w:w="2973" w:type="dxa"/>
          </w:tcPr>
          <w:p w14:paraId="62D7FCD7" w14:textId="77777777" w:rsidR="0094644B" w:rsidRPr="00FA3F57" w:rsidRDefault="0094644B" w:rsidP="00FB5086">
            <w:pPr>
              <w:rPr>
                <w:sz w:val="20"/>
                <w:szCs w:val="20"/>
              </w:rPr>
            </w:pPr>
            <w:r w:rsidRPr="00FA3F57">
              <w:rPr>
                <w:sz w:val="20"/>
                <w:szCs w:val="20"/>
              </w:rPr>
              <w:t>Year of completion of project funding</w:t>
            </w:r>
          </w:p>
        </w:tc>
        <w:tc>
          <w:tcPr>
            <w:tcW w:w="5742" w:type="dxa"/>
          </w:tcPr>
          <w:p w14:paraId="130BC13D" w14:textId="77777777" w:rsidR="0094644B" w:rsidRPr="00FA3F57" w:rsidRDefault="0094644B" w:rsidP="00FB5086">
            <w:pPr>
              <w:rPr>
                <w:sz w:val="20"/>
                <w:szCs w:val="20"/>
              </w:rPr>
            </w:pPr>
            <w:r w:rsidRPr="00FA3F57">
              <w:rPr>
                <w:sz w:val="20"/>
                <w:szCs w:val="20"/>
              </w:rPr>
              <w:t>2029.</w:t>
            </w:r>
          </w:p>
        </w:tc>
      </w:tr>
      <w:tr w:rsidR="0094644B" w:rsidRPr="00F07779" w14:paraId="6B24CD16" w14:textId="77777777" w:rsidTr="00FB5086">
        <w:tc>
          <w:tcPr>
            <w:tcW w:w="2973" w:type="dxa"/>
          </w:tcPr>
          <w:p w14:paraId="5461D899" w14:textId="77777777" w:rsidR="0094644B" w:rsidRPr="00FA3F57" w:rsidRDefault="0094644B" w:rsidP="00FB5086">
            <w:pPr>
              <w:rPr>
                <w:sz w:val="20"/>
                <w:szCs w:val="20"/>
              </w:rPr>
            </w:pPr>
            <w:r w:rsidRPr="00FA3F57">
              <w:rPr>
                <w:sz w:val="20"/>
                <w:szCs w:val="20"/>
              </w:rPr>
              <w:t>Required funds and source of financing</w:t>
            </w:r>
            <w:r w:rsidRPr="00FA3F57">
              <w:rPr>
                <w:sz w:val="20"/>
                <w:szCs w:val="20"/>
              </w:rPr>
              <w:br/>
              <w:t>(in thousands of RSD)</w:t>
            </w:r>
          </w:p>
        </w:tc>
        <w:tc>
          <w:tcPr>
            <w:tcW w:w="5742" w:type="dxa"/>
          </w:tcPr>
          <w:p w14:paraId="48BF3A1A" w14:textId="77777777" w:rsidR="0094644B" w:rsidRPr="00FA3F57" w:rsidRDefault="0094644B" w:rsidP="00FB5086">
            <w:pPr>
              <w:rPr>
                <w:sz w:val="20"/>
                <w:szCs w:val="20"/>
              </w:rPr>
            </w:pPr>
            <w:r w:rsidRPr="00FA3F57">
              <w:rPr>
                <w:sz w:val="20"/>
                <w:szCs w:val="20"/>
              </w:rPr>
              <w:t>59,211,250 (505 million EUR)</w:t>
            </w:r>
          </w:p>
        </w:tc>
      </w:tr>
      <w:tr w:rsidR="0094644B" w:rsidRPr="00F07779" w14:paraId="63E58E7C" w14:textId="77777777" w:rsidTr="00FB5086">
        <w:tc>
          <w:tcPr>
            <w:tcW w:w="2973" w:type="dxa"/>
          </w:tcPr>
          <w:p w14:paraId="7DDCB66E" w14:textId="77777777" w:rsidR="0094644B" w:rsidRPr="00FA3F57" w:rsidRDefault="0094644B" w:rsidP="00FB5086">
            <w:pPr>
              <w:rPr>
                <w:sz w:val="20"/>
                <w:szCs w:val="20"/>
              </w:rPr>
            </w:pPr>
            <w:r w:rsidRPr="00FA3F57">
              <w:rPr>
                <w:sz w:val="20"/>
                <w:szCs w:val="20"/>
              </w:rPr>
              <w:t>Planned investments for 2026.</w:t>
            </w:r>
            <w:r w:rsidRPr="00FA3F57">
              <w:rPr>
                <w:sz w:val="20"/>
                <w:szCs w:val="20"/>
              </w:rPr>
              <w:br/>
              <w:t>(in thousands of RSD)</w:t>
            </w:r>
          </w:p>
        </w:tc>
        <w:tc>
          <w:tcPr>
            <w:tcW w:w="5742" w:type="dxa"/>
          </w:tcPr>
          <w:p w14:paraId="174F9A77" w14:textId="77777777" w:rsidR="0094644B" w:rsidRPr="00FA3F57" w:rsidRDefault="0094644B" w:rsidP="00FB5086">
            <w:pPr>
              <w:rPr>
                <w:sz w:val="20"/>
                <w:szCs w:val="20"/>
              </w:rPr>
            </w:pPr>
            <w:r w:rsidRPr="00FA3F57">
              <w:rPr>
                <w:sz w:val="20"/>
                <w:szCs w:val="20"/>
              </w:rPr>
              <w:t>9,380,000 (loan)</w:t>
            </w:r>
          </w:p>
        </w:tc>
      </w:tr>
      <w:tr w:rsidR="0094644B" w:rsidRPr="00F07779" w14:paraId="1767BEBE" w14:textId="77777777" w:rsidTr="00FB5086">
        <w:tc>
          <w:tcPr>
            <w:tcW w:w="2973" w:type="dxa"/>
          </w:tcPr>
          <w:p w14:paraId="78982148" w14:textId="77777777" w:rsidR="0094644B" w:rsidRPr="00FA3F57" w:rsidRDefault="0094644B" w:rsidP="00FB5086">
            <w:pPr>
              <w:rPr>
                <w:sz w:val="20"/>
                <w:szCs w:val="20"/>
              </w:rPr>
            </w:pPr>
            <w:r w:rsidRPr="00FA3F57">
              <w:rPr>
                <w:sz w:val="20"/>
                <w:szCs w:val="20"/>
              </w:rPr>
              <w:t>Planned investments for 2027.</w:t>
            </w:r>
            <w:r w:rsidRPr="00FA3F57">
              <w:rPr>
                <w:sz w:val="20"/>
                <w:szCs w:val="20"/>
              </w:rPr>
              <w:br/>
              <w:t>(in thousands of RSD)</w:t>
            </w:r>
          </w:p>
        </w:tc>
        <w:tc>
          <w:tcPr>
            <w:tcW w:w="5742" w:type="dxa"/>
          </w:tcPr>
          <w:p w14:paraId="7F41B91E" w14:textId="77777777" w:rsidR="0094644B" w:rsidRPr="00FA3F57" w:rsidRDefault="0094644B" w:rsidP="00FB5086">
            <w:pPr>
              <w:rPr>
                <w:color w:val="000000"/>
                <w:sz w:val="20"/>
                <w:szCs w:val="20"/>
                <w:lang w:eastAsia="en-US"/>
              </w:rPr>
            </w:pPr>
            <w:r w:rsidRPr="00F07779">
              <w:rPr>
                <w:color w:val="000000"/>
                <w:sz w:val="20"/>
                <w:szCs w:val="20"/>
              </w:rPr>
              <w:t>9,679,378 (loan)</w:t>
            </w:r>
          </w:p>
        </w:tc>
      </w:tr>
      <w:tr w:rsidR="0094644B" w:rsidRPr="00F07779" w14:paraId="3BF0F6CB" w14:textId="77777777" w:rsidTr="00FB5086">
        <w:tc>
          <w:tcPr>
            <w:tcW w:w="2973" w:type="dxa"/>
          </w:tcPr>
          <w:p w14:paraId="020D48D5" w14:textId="77777777" w:rsidR="0094644B" w:rsidRPr="00FA3F57" w:rsidRDefault="0094644B" w:rsidP="00FB5086">
            <w:pPr>
              <w:rPr>
                <w:sz w:val="20"/>
                <w:szCs w:val="20"/>
              </w:rPr>
            </w:pPr>
            <w:r w:rsidRPr="00FA3F57">
              <w:rPr>
                <w:sz w:val="20"/>
                <w:szCs w:val="20"/>
              </w:rPr>
              <w:t>Planned investments for 2028.</w:t>
            </w:r>
            <w:r w:rsidRPr="00FA3F57">
              <w:rPr>
                <w:sz w:val="20"/>
                <w:szCs w:val="20"/>
              </w:rPr>
              <w:br/>
              <w:t>(in thousands of RSD)</w:t>
            </w:r>
          </w:p>
        </w:tc>
        <w:tc>
          <w:tcPr>
            <w:tcW w:w="5742" w:type="dxa"/>
          </w:tcPr>
          <w:p w14:paraId="52AFC3A2" w14:textId="77777777" w:rsidR="0094644B" w:rsidRPr="00FA3F57" w:rsidRDefault="0094644B" w:rsidP="00FB5086">
            <w:pPr>
              <w:rPr>
                <w:color w:val="000000"/>
                <w:sz w:val="20"/>
                <w:szCs w:val="20"/>
                <w:lang w:eastAsia="en-US"/>
              </w:rPr>
            </w:pPr>
            <w:r w:rsidRPr="00F07779">
              <w:rPr>
                <w:color w:val="000000"/>
                <w:sz w:val="20"/>
                <w:szCs w:val="20"/>
              </w:rPr>
              <w:t>9,679,378 (loan)</w:t>
            </w:r>
          </w:p>
        </w:tc>
      </w:tr>
      <w:tr w:rsidR="0094644B" w:rsidRPr="00F07779" w14:paraId="4D24940F" w14:textId="77777777" w:rsidTr="00FB5086">
        <w:tc>
          <w:tcPr>
            <w:tcW w:w="2973" w:type="dxa"/>
          </w:tcPr>
          <w:p w14:paraId="2638AB88" w14:textId="77777777" w:rsidR="0094644B" w:rsidRPr="00FA3F57" w:rsidRDefault="0094644B" w:rsidP="00FB5086">
            <w:pPr>
              <w:rPr>
                <w:sz w:val="20"/>
                <w:szCs w:val="20"/>
              </w:rPr>
            </w:pPr>
            <w:r w:rsidRPr="00FA3F57">
              <w:rPr>
                <w:sz w:val="20"/>
                <w:szCs w:val="20"/>
              </w:rPr>
              <w:t xml:space="preserve">Impact of activity implementation on </w:t>
            </w:r>
            <w:r w:rsidRPr="00F07779">
              <w:rPr>
                <w:sz w:val="20"/>
                <w:szCs w:val="20"/>
              </w:rPr>
              <w:t>objective</w:t>
            </w:r>
            <w:r w:rsidRPr="00FA3F57">
              <w:rPr>
                <w:sz w:val="20"/>
                <w:szCs w:val="20"/>
              </w:rPr>
              <w:t xml:space="preserve"> achievement</w:t>
            </w:r>
          </w:p>
        </w:tc>
        <w:tc>
          <w:tcPr>
            <w:tcW w:w="5742" w:type="dxa"/>
          </w:tcPr>
          <w:p w14:paraId="67193574" w14:textId="77777777" w:rsidR="0094644B" w:rsidRPr="00FA3F57" w:rsidRDefault="0094644B" w:rsidP="00FB5086">
            <w:pPr>
              <w:rPr>
                <w:sz w:val="20"/>
                <w:szCs w:val="20"/>
              </w:rPr>
            </w:pPr>
            <w:r w:rsidRPr="00F07779">
              <w:rPr>
                <w:sz w:val="20"/>
                <w:szCs w:val="20"/>
              </w:rPr>
              <w:t>The Smart Metering system comprises Advanced Metering Infrastructure (AMI), Automated Meter Management (AMM), and Meter Data Management/Repository (MDM/R), including all required software and hardware components.</w:t>
            </w:r>
          </w:p>
        </w:tc>
      </w:tr>
    </w:tbl>
    <w:p w14:paraId="0F50D307" w14:textId="77777777" w:rsidR="0094644B" w:rsidRPr="00F07779" w:rsidRDefault="0094644B" w:rsidP="0094644B"/>
    <w:tbl>
      <w:tblPr>
        <w:tblStyle w:val="TableGrid"/>
        <w:tblW w:w="0" w:type="auto"/>
        <w:tblLook w:val="04A0" w:firstRow="1" w:lastRow="0" w:firstColumn="1" w:lastColumn="0" w:noHBand="0" w:noVBand="1"/>
      </w:tblPr>
      <w:tblGrid>
        <w:gridCol w:w="2973"/>
        <w:gridCol w:w="5742"/>
      </w:tblGrid>
      <w:tr w:rsidR="0094644B" w:rsidRPr="00F07779" w14:paraId="67CA7244" w14:textId="77777777" w:rsidTr="00FB5086">
        <w:tc>
          <w:tcPr>
            <w:tcW w:w="2973" w:type="dxa"/>
            <w:shd w:val="clear" w:color="auto" w:fill="D0CECE" w:themeFill="background2" w:themeFillShade="E6"/>
          </w:tcPr>
          <w:p w14:paraId="2ABC6346" w14:textId="77777777" w:rsidR="0094644B" w:rsidRPr="00FA3F57" w:rsidRDefault="0094644B" w:rsidP="00FB5086">
            <w:pPr>
              <w:keepNext/>
              <w:rPr>
                <w:sz w:val="20"/>
                <w:szCs w:val="20"/>
              </w:rPr>
            </w:pPr>
            <w:r w:rsidRPr="00FA3F57">
              <w:rPr>
                <w:sz w:val="20"/>
                <w:szCs w:val="20"/>
              </w:rPr>
              <w:t>Activity EL1.3</w:t>
            </w:r>
          </w:p>
        </w:tc>
        <w:tc>
          <w:tcPr>
            <w:tcW w:w="5742" w:type="dxa"/>
            <w:shd w:val="clear" w:color="auto" w:fill="D0CECE" w:themeFill="background2" w:themeFillShade="E6"/>
          </w:tcPr>
          <w:p w14:paraId="183942F5" w14:textId="77777777" w:rsidR="0094644B" w:rsidRPr="00FA3F57" w:rsidRDefault="0094644B" w:rsidP="00FB5086">
            <w:pPr>
              <w:keepNext/>
              <w:rPr>
                <w:sz w:val="20"/>
                <w:szCs w:val="20"/>
              </w:rPr>
            </w:pPr>
            <w:r w:rsidRPr="00F07779">
              <w:rPr>
                <w:sz w:val="20"/>
                <w:szCs w:val="20"/>
              </w:rPr>
              <w:t>Investment projects focused on the reconstruction and construction of the distribution network</w:t>
            </w:r>
          </w:p>
        </w:tc>
      </w:tr>
      <w:tr w:rsidR="0094644B" w:rsidRPr="00F07779" w14:paraId="6FDBEF4F" w14:textId="77777777" w:rsidTr="00FB5086">
        <w:tc>
          <w:tcPr>
            <w:tcW w:w="2973" w:type="dxa"/>
            <w:shd w:val="clear" w:color="auto" w:fill="D9E2F3" w:themeFill="accent1" w:themeFillTint="33"/>
          </w:tcPr>
          <w:p w14:paraId="5C8E7C8F" w14:textId="77777777" w:rsidR="0094644B" w:rsidRPr="00FA3F57" w:rsidRDefault="0094644B" w:rsidP="00FB5086">
            <w:pPr>
              <w:keepNext/>
              <w:rPr>
                <w:sz w:val="20"/>
                <w:szCs w:val="20"/>
              </w:rPr>
            </w:pPr>
            <w:r w:rsidRPr="00FA3F57">
              <w:rPr>
                <w:sz w:val="20"/>
                <w:szCs w:val="20"/>
              </w:rPr>
              <w:t>Name of the project</w:t>
            </w:r>
          </w:p>
        </w:tc>
        <w:tc>
          <w:tcPr>
            <w:tcW w:w="5742" w:type="dxa"/>
            <w:shd w:val="clear" w:color="auto" w:fill="D9E2F3" w:themeFill="accent1" w:themeFillTint="33"/>
          </w:tcPr>
          <w:p w14:paraId="614D5C54" w14:textId="77777777" w:rsidR="0094644B" w:rsidRPr="00FA3F57" w:rsidRDefault="0094644B" w:rsidP="00FB5086">
            <w:pPr>
              <w:keepNext/>
              <w:rPr>
                <w:sz w:val="20"/>
                <w:szCs w:val="20"/>
              </w:rPr>
            </w:pPr>
            <w:r w:rsidRPr="00F07779">
              <w:rPr>
                <w:sz w:val="20"/>
                <w:szCs w:val="20"/>
              </w:rPr>
              <w:t>DSEE Upgrade – Replacement of impregnated wooden poles with concrete poles, along with conductor replacement</w:t>
            </w:r>
          </w:p>
        </w:tc>
      </w:tr>
      <w:tr w:rsidR="0094644B" w:rsidRPr="00F07779" w14:paraId="52F038DB" w14:textId="77777777" w:rsidTr="00FB5086">
        <w:tc>
          <w:tcPr>
            <w:tcW w:w="2973" w:type="dxa"/>
          </w:tcPr>
          <w:p w14:paraId="6378A002" w14:textId="77777777" w:rsidR="0094644B" w:rsidRPr="00FA3F57" w:rsidRDefault="0094644B" w:rsidP="00FB5086">
            <w:pPr>
              <w:rPr>
                <w:sz w:val="20"/>
                <w:szCs w:val="20"/>
              </w:rPr>
            </w:pPr>
            <w:r w:rsidRPr="00F07779">
              <w:rPr>
                <w:sz w:val="20"/>
                <w:szCs w:val="20"/>
              </w:rPr>
              <w:t>Description</w:t>
            </w:r>
          </w:p>
        </w:tc>
        <w:tc>
          <w:tcPr>
            <w:tcW w:w="5742" w:type="dxa"/>
          </w:tcPr>
          <w:p w14:paraId="259F65BD" w14:textId="77777777" w:rsidR="0094644B" w:rsidRPr="00F07779" w:rsidRDefault="0094644B" w:rsidP="00FB5086">
            <w:pPr>
              <w:rPr>
                <w:sz w:val="20"/>
                <w:szCs w:val="20"/>
              </w:rPr>
            </w:pPr>
            <w:r w:rsidRPr="00F07779">
              <w:rPr>
                <w:sz w:val="20"/>
                <w:szCs w:val="20"/>
              </w:rPr>
              <w:t xml:space="preserve">The project includes the replacement of worn-out impregnated wooden poles, which are in very poor condition, with new concrete poles. It also includes the replacement of existing conductors with modern, higher-capacity conductors. Replacements will be carried out in the most critical areas identified through </w:t>
            </w:r>
            <w:proofErr w:type="gramStart"/>
            <w:r w:rsidRPr="00F07779">
              <w:rPr>
                <w:sz w:val="20"/>
                <w:szCs w:val="20"/>
              </w:rPr>
              <w:t>monitoring of</w:t>
            </w:r>
            <w:proofErr w:type="gramEnd"/>
            <w:r w:rsidRPr="00F07779">
              <w:rPr>
                <w:sz w:val="20"/>
                <w:szCs w:val="20"/>
              </w:rPr>
              <w:t xml:space="preserve"> network outage trends.</w:t>
            </w:r>
          </w:p>
          <w:p w14:paraId="6F0EC48C" w14:textId="77777777" w:rsidR="0094644B" w:rsidRPr="00FA3F57" w:rsidRDefault="0094644B" w:rsidP="00FB5086">
            <w:pPr>
              <w:rPr>
                <w:sz w:val="20"/>
                <w:szCs w:val="20"/>
              </w:rPr>
            </w:pPr>
            <w:r w:rsidRPr="00FA3F57">
              <w:rPr>
                <w:sz w:val="20"/>
                <w:szCs w:val="20"/>
              </w:rPr>
              <w:lastRenderedPageBreak/>
              <w:t>Expected dynamics of project implementation:</w:t>
            </w:r>
          </w:p>
          <w:p w14:paraId="2497143D" w14:textId="77777777" w:rsidR="0094644B" w:rsidRPr="00FA3F57" w:rsidRDefault="0094644B" w:rsidP="00FB5086">
            <w:pPr>
              <w:rPr>
                <w:sz w:val="20"/>
                <w:szCs w:val="20"/>
              </w:rPr>
            </w:pPr>
            <w:r w:rsidRPr="00FA3F57">
              <w:rPr>
                <w:sz w:val="20"/>
                <w:szCs w:val="20"/>
              </w:rPr>
              <w:t>2026. Commissioning; trial operation</w:t>
            </w:r>
          </w:p>
        </w:tc>
      </w:tr>
      <w:tr w:rsidR="0094644B" w:rsidRPr="00F07779" w14:paraId="7C104CDC" w14:textId="77777777" w:rsidTr="00FB5086">
        <w:tc>
          <w:tcPr>
            <w:tcW w:w="2973" w:type="dxa"/>
          </w:tcPr>
          <w:p w14:paraId="64C21B73" w14:textId="77777777" w:rsidR="0094644B" w:rsidRPr="00FA3F57" w:rsidRDefault="0094644B" w:rsidP="00FB5086">
            <w:pPr>
              <w:rPr>
                <w:sz w:val="20"/>
                <w:szCs w:val="20"/>
              </w:rPr>
            </w:pPr>
            <w:r w:rsidRPr="00FA3F57">
              <w:rPr>
                <w:sz w:val="20"/>
                <w:szCs w:val="20"/>
              </w:rPr>
              <w:lastRenderedPageBreak/>
              <w:t>Institutions responsible for the implementation of measures and activities</w:t>
            </w:r>
          </w:p>
        </w:tc>
        <w:tc>
          <w:tcPr>
            <w:tcW w:w="5742" w:type="dxa"/>
          </w:tcPr>
          <w:p w14:paraId="05A3E838" w14:textId="77777777" w:rsidR="0094644B" w:rsidRPr="00FA3F57" w:rsidRDefault="0094644B" w:rsidP="00FB5086">
            <w:pPr>
              <w:rPr>
                <w:sz w:val="20"/>
                <w:szCs w:val="20"/>
              </w:rPr>
            </w:pPr>
            <w:r w:rsidRPr="00FA3F57">
              <w:rPr>
                <w:sz w:val="20"/>
                <w:szCs w:val="20"/>
              </w:rPr>
              <w:t>Elektrodistribucija Srbije Ltd. Belgrade</w:t>
            </w:r>
          </w:p>
        </w:tc>
      </w:tr>
      <w:tr w:rsidR="0094644B" w:rsidRPr="00F07779" w14:paraId="74D198AD" w14:textId="77777777" w:rsidTr="00FB5086">
        <w:tc>
          <w:tcPr>
            <w:tcW w:w="2973" w:type="dxa"/>
          </w:tcPr>
          <w:p w14:paraId="18618DAF" w14:textId="77777777" w:rsidR="0094644B" w:rsidRPr="00FA3F57" w:rsidRDefault="0094644B" w:rsidP="00FB5086">
            <w:pPr>
              <w:rPr>
                <w:sz w:val="20"/>
                <w:szCs w:val="20"/>
              </w:rPr>
            </w:pPr>
            <w:r w:rsidRPr="00FA3F57">
              <w:rPr>
                <w:sz w:val="20"/>
                <w:szCs w:val="20"/>
              </w:rPr>
              <w:t>Institutions responsible for monitoring implementation and reporting on the realization</w:t>
            </w:r>
          </w:p>
        </w:tc>
        <w:tc>
          <w:tcPr>
            <w:tcW w:w="5742" w:type="dxa"/>
          </w:tcPr>
          <w:p w14:paraId="71852C7E" w14:textId="77777777" w:rsidR="0094644B" w:rsidRPr="00FA3F57" w:rsidRDefault="0094644B" w:rsidP="00FB5086">
            <w:pPr>
              <w:rPr>
                <w:sz w:val="20"/>
                <w:szCs w:val="20"/>
              </w:rPr>
            </w:pPr>
            <w:r w:rsidRPr="00FA3F57">
              <w:rPr>
                <w:sz w:val="20"/>
                <w:szCs w:val="20"/>
              </w:rPr>
              <w:t>Elektrodistribucija Srbije Ltd. Belgrade</w:t>
            </w:r>
            <w:r w:rsidRPr="00FA3F57" w:rsidDel="00135D3B">
              <w:rPr>
                <w:sz w:val="20"/>
                <w:szCs w:val="20"/>
              </w:rPr>
              <w:t xml:space="preserve"> </w:t>
            </w:r>
            <w:r w:rsidRPr="00FA3F57">
              <w:rPr>
                <w:sz w:val="20"/>
                <w:szCs w:val="20"/>
              </w:rPr>
              <w:t>Ministry of Mining and Energy</w:t>
            </w:r>
          </w:p>
          <w:p w14:paraId="1D08C746" w14:textId="77777777" w:rsidR="0094644B" w:rsidRPr="00FA3F57" w:rsidRDefault="0094644B" w:rsidP="00FB5086">
            <w:pPr>
              <w:rPr>
                <w:sz w:val="20"/>
                <w:szCs w:val="20"/>
              </w:rPr>
            </w:pPr>
            <w:r w:rsidRPr="00FA3F57">
              <w:rPr>
                <w:sz w:val="20"/>
                <w:szCs w:val="20"/>
              </w:rPr>
              <w:t>Ministry of Economy</w:t>
            </w:r>
          </w:p>
        </w:tc>
      </w:tr>
      <w:tr w:rsidR="0094644B" w:rsidRPr="00F07779" w14:paraId="39C7F4BC" w14:textId="77777777" w:rsidTr="00FB5086">
        <w:tc>
          <w:tcPr>
            <w:tcW w:w="2973" w:type="dxa"/>
          </w:tcPr>
          <w:p w14:paraId="27DB134B" w14:textId="77777777" w:rsidR="0094644B" w:rsidRPr="00FA3F57" w:rsidRDefault="0094644B" w:rsidP="00FB5086">
            <w:pPr>
              <w:rPr>
                <w:sz w:val="20"/>
                <w:szCs w:val="20"/>
              </w:rPr>
            </w:pPr>
            <w:r w:rsidRPr="00FA3F57">
              <w:rPr>
                <w:sz w:val="20"/>
                <w:szCs w:val="20"/>
              </w:rPr>
              <w:t>Year of project funding start</w:t>
            </w:r>
          </w:p>
        </w:tc>
        <w:tc>
          <w:tcPr>
            <w:tcW w:w="5742" w:type="dxa"/>
          </w:tcPr>
          <w:p w14:paraId="1A7FF432" w14:textId="77777777" w:rsidR="0094644B" w:rsidRPr="00FA3F57" w:rsidRDefault="0094644B" w:rsidP="00FB5086">
            <w:pPr>
              <w:rPr>
                <w:sz w:val="20"/>
                <w:szCs w:val="20"/>
              </w:rPr>
            </w:pPr>
            <w:r w:rsidRPr="00FA3F57">
              <w:rPr>
                <w:sz w:val="20"/>
                <w:szCs w:val="20"/>
              </w:rPr>
              <w:t>2025.</w:t>
            </w:r>
          </w:p>
        </w:tc>
      </w:tr>
      <w:tr w:rsidR="0094644B" w:rsidRPr="00F07779" w14:paraId="34DE8BF4" w14:textId="77777777" w:rsidTr="00FB5086">
        <w:tc>
          <w:tcPr>
            <w:tcW w:w="2973" w:type="dxa"/>
          </w:tcPr>
          <w:p w14:paraId="4704B094" w14:textId="77777777" w:rsidR="0094644B" w:rsidRPr="00FA3F57" w:rsidRDefault="0094644B" w:rsidP="00FB5086">
            <w:pPr>
              <w:rPr>
                <w:sz w:val="20"/>
                <w:szCs w:val="20"/>
              </w:rPr>
            </w:pPr>
            <w:r w:rsidRPr="00FA3F57">
              <w:rPr>
                <w:sz w:val="20"/>
                <w:szCs w:val="20"/>
              </w:rPr>
              <w:t>Year of completion of project funding</w:t>
            </w:r>
          </w:p>
        </w:tc>
        <w:tc>
          <w:tcPr>
            <w:tcW w:w="5742" w:type="dxa"/>
          </w:tcPr>
          <w:p w14:paraId="19F70744" w14:textId="77777777" w:rsidR="0094644B" w:rsidRPr="00FA3F57" w:rsidRDefault="0094644B" w:rsidP="00FB5086">
            <w:pPr>
              <w:rPr>
                <w:sz w:val="20"/>
                <w:szCs w:val="20"/>
              </w:rPr>
            </w:pPr>
            <w:r w:rsidRPr="00FA3F57">
              <w:rPr>
                <w:sz w:val="20"/>
                <w:szCs w:val="20"/>
              </w:rPr>
              <w:t>2026.</w:t>
            </w:r>
          </w:p>
        </w:tc>
      </w:tr>
      <w:tr w:rsidR="0094644B" w:rsidRPr="00F07779" w14:paraId="62C3A55C" w14:textId="77777777" w:rsidTr="00FB5086">
        <w:tc>
          <w:tcPr>
            <w:tcW w:w="2973" w:type="dxa"/>
          </w:tcPr>
          <w:p w14:paraId="58ABD7B8" w14:textId="77777777" w:rsidR="0094644B" w:rsidRPr="00FA3F57" w:rsidRDefault="0094644B" w:rsidP="00FB5086">
            <w:pPr>
              <w:rPr>
                <w:sz w:val="20"/>
                <w:szCs w:val="20"/>
              </w:rPr>
            </w:pPr>
            <w:r w:rsidRPr="00FA3F57">
              <w:rPr>
                <w:sz w:val="20"/>
                <w:szCs w:val="20"/>
              </w:rPr>
              <w:t>Required funds and source of financing</w:t>
            </w:r>
            <w:r w:rsidRPr="00FA3F57">
              <w:rPr>
                <w:sz w:val="20"/>
                <w:szCs w:val="20"/>
              </w:rPr>
              <w:br/>
              <w:t>(in thousands of RSD)</w:t>
            </w:r>
          </w:p>
        </w:tc>
        <w:tc>
          <w:tcPr>
            <w:tcW w:w="5742" w:type="dxa"/>
          </w:tcPr>
          <w:p w14:paraId="537FA401" w14:textId="77777777" w:rsidR="0094644B" w:rsidRPr="00FA3F57" w:rsidRDefault="0094644B" w:rsidP="00FB5086">
            <w:pPr>
              <w:rPr>
                <w:sz w:val="20"/>
                <w:szCs w:val="20"/>
              </w:rPr>
            </w:pPr>
            <w:r w:rsidRPr="00FA3F57">
              <w:rPr>
                <w:sz w:val="20"/>
                <w:szCs w:val="20"/>
              </w:rPr>
              <w:t>6,155,625 (52.5 million EUR)</w:t>
            </w:r>
          </w:p>
        </w:tc>
      </w:tr>
      <w:tr w:rsidR="0094644B" w:rsidRPr="00F07779" w14:paraId="19E77F0D" w14:textId="77777777" w:rsidTr="00FB5086">
        <w:tc>
          <w:tcPr>
            <w:tcW w:w="2973" w:type="dxa"/>
          </w:tcPr>
          <w:p w14:paraId="06ABA2F3" w14:textId="77777777" w:rsidR="0094644B" w:rsidRPr="00FA3F57" w:rsidRDefault="0094644B" w:rsidP="00FB5086">
            <w:pPr>
              <w:rPr>
                <w:sz w:val="20"/>
                <w:szCs w:val="20"/>
              </w:rPr>
            </w:pPr>
            <w:r w:rsidRPr="00FA3F57">
              <w:rPr>
                <w:sz w:val="20"/>
                <w:szCs w:val="20"/>
              </w:rPr>
              <w:t>Planned investments for 2026.</w:t>
            </w:r>
            <w:r w:rsidRPr="00FA3F57">
              <w:rPr>
                <w:sz w:val="20"/>
                <w:szCs w:val="20"/>
              </w:rPr>
              <w:br/>
              <w:t>(in thousands of RSD)</w:t>
            </w:r>
          </w:p>
        </w:tc>
        <w:tc>
          <w:tcPr>
            <w:tcW w:w="5742" w:type="dxa"/>
          </w:tcPr>
          <w:p w14:paraId="019706AB" w14:textId="77777777" w:rsidR="0094644B" w:rsidRPr="00FA3F57" w:rsidRDefault="0094644B" w:rsidP="00FB5086">
            <w:pPr>
              <w:rPr>
                <w:sz w:val="20"/>
                <w:szCs w:val="20"/>
              </w:rPr>
            </w:pPr>
            <w:r w:rsidRPr="00FA3F57">
              <w:rPr>
                <w:sz w:val="20"/>
                <w:szCs w:val="20"/>
              </w:rPr>
              <w:t>2,227,750 (loan)</w:t>
            </w:r>
          </w:p>
        </w:tc>
      </w:tr>
      <w:tr w:rsidR="0094644B" w:rsidRPr="00F07779" w14:paraId="43A3E0E1" w14:textId="77777777" w:rsidTr="00FB5086">
        <w:tc>
          <w:tcPr>
            <w:tcW w:w="2973" w:type="dxa"/>
          </w:tcPr>
          <w:p w14:paraId="6101E0A7" w14:textId="77777777" w:rsidR="0094644B" w:rsidRPr="00FA3F57" w:rsidRDefault="0094644B" w:rsidP="00FB5086">
            <w:pPr>
              <w:rPr>
                <w:sz w:val="20"/>
                <w:szCs w:val="20"/>
              </w:rPr>
            </w:pPr>
            <w:r w:rsidRPr="00FA3F57">
              <w:rPr>
                <w:sz w:val="20"/>
                <w:szCs w:val="20"/>
              </w:rPr>
              <w:t>Planned investments for 2027.</w:t>
            </w:r>
            <w:r w:rsidRPr="00FA3F57">
              <w:rPr>
                <w:sz w:val="20"/>
                <w:szCs w:val="20"/>
              </w:rPr>
              <w:br/>
              <w:t>(in thousands of RSD)</w:t>
            </w:r>
          </w:p>
        </w:tc>
        <w:tc>
          <w:tcPr>
            <w:tcW w:w="5742" w:type="dxa"/>
          </w:tcPr>
          <w:p w14:paraId="20143E39" w14:textId="77777777" w:rsidR="0094644B" w:rsidRPr="00FA3F57" w:rsidRDefault="0094644B" w:rsidP="00FB5086">
            <w:pPr>
              <w:rPr>
                <w:sz w:val="20"/>
                <w:szCs w:val="20"/>
              </w:rPr>
            </w:pPr>
            <w:r w:rsidRPr="00FA3F57">
              <w:rPr>
                <w:sz w:val="20"/>
                <w:szCs w:val="20"/>
              </w:rPr>
              <w:t>/</w:t>
            </w:r>
          </w:p>
        </w:tc>
      </w:tr>
      <w:tr w:rsidR="0094644B" w:rsidRPr="00F07779" w14:paraId="6F8DC62D" w14:textId="77777777" w:rsidTr="00FB5086">
        <w:tc>
          <w:tcPr>
            <w:tcW w:w="2973" w:type="dxa"/>
          </w:tcPr>
          <w:p w14:paraId="00F6FF38" w14:textId="77777777" w:rsidR="0094644B" w:rsidRPr="00FA3F57" w:rsidRDefault="0094644B" w:rsidP="00FB5086">
            <w:pPr>
              <w:rPr>
                <w:sz w:val="20"/>
                <w:szCs w:val="20"/>
              </w:rPr>
            </w:pPr>
            <w:r w:rsidRPr="00FA3F57">
              <w:rPr>
                <w:sz w:val="20"/>
                <w:szCs w:val="20"/>
              </w:rPr>
              <w:t>Planned investments for 2028.</w:t>
            </w:r>
            <w:r w:rsidRPr="00FA3F57">
              <w:rPr>
                <w:sz w:val="20"/>
                <w:szCs w:val="20"/>
              </w:rPr>
              <w:br/>
              <w:t>(in thousands of RSD)</w:t>
            </w:r>
          </w:p>
        </w:tc>
        <w:tc>
          <w:tcPr>
            <w:tcW w:w="5742" w:type="dxa"/>
          </w:tcPr>
          <w:p w14:paraId="1EA9B4E7" w14:textId="77777777" w:rsidR="0094644B" w:rsidRPr="00FA3F57" w:rsidRDefault="0094644B" w:rsidP="00FB5086">
            <w:pPr>
              <w:rPr>
                <w:sz w:val="20"/>
                <w:szCs w:val="20"/>
              </w:rPr>
            </w:pPr>
            <w:r w:rsidRPr="00FA3F57">
              <w:rPr>
                <w:sz w:val="20"/>
                <w:szCs w:val="20"/>
              </w:rPr>
              <w:t>/</w:t>
            </w:r>
          </w:p>
        </w:tc>
      </w:tr>
      <w:tr w:rsidR="0094644B" w:rsidRPr="00F07779" w14:paraId="79E7CA24" w14:textId="77777777" w:rsidTr="00FB5086">
        <w:tc>
          <w:tcPr>
            <w:tcW w:w="2973" w:type="dxa"/>
          </w:tcPr>
          <w:p w14:paraId="2CF8A3E6" w14:textId="77777777" w:rsidR="0094644B" w:rsidRPr="00FA3F57" w:rsidRDefault="0094644B" w:rsidP="00FB5086">
            <w:pPr>
              <w:rPr>
                <w:sz w:val="20"/>
                <w:szCs w:val="20"/>
              </w:rPr>
            </w:pPr>
            <w:r w:rsidRPr="00FA3F57">
              <w:rPr>
                <w:sz w:val="20"/>
                <w:szCs w:val="20"/>
              </w:rPr>
              <w:t xml:space="preserve">Impact of activity implementation on </w:t>
            </w:r>
            <w:r w:rsidRPr="00F07779">
              <w:rPr>
                <w:sz w:val="20"/>
                <w:szCs w:val="20"/>
              </w:rPr>
              <w:t>objective</w:t>
            </w:r>
            <w:r w:rsidRPr="00FA3F57">
              <w:rPr>
                <w:sz w:val="20"/>
                <w:szCs w:val="20"/>
              </w:rPr>
              <w:t xml:space="preserve"> achievement</w:t>
            </w:r>
          </w:p>
        </w:tc>
        <w:tc>
          <w:tcPr>
            <w:tcW w:w="5742" w:type="dxa"/>
          </w:tcPr>
          <w:p w14:paraId="59B46DDE" w14:textId="77777777" w:rsidR="0094644B" w:rsidRPr="00FA3F57" w:rsidRDefault="0094644B" w:rsidP="00FB5086">
            <w:pPr>
              <w:rPr>
                <w:sz w:val="20"/>
                <w:szCs w:val="20"/>
              </w:rPr>
            </w:pPr>
            <w:r w:rsidRPr="00F07779">
              <w:rPr>
                <w:sz w:val="20"/>
                <w:szCs w:val="20"/>
              </w:rPr>
              <w:t>The project contributes to loss reduction, lower maintenance costs, decreased outage durations, improved supply quality for end-users, increased distribution capacity, and significantly improved environmental protection conditions.</w:t>
            </w:r>
          </w:p>
        </w:tc>
      </w:tr>
      <w:tr w:rsidR="0094644B" w:rsidRPr="00F07779" w14:paraId="0C515B68" w14:textId="77777777" w:rsidTr="00FB5086">
        <w:tc>
          <w:tcPr>
            <w:tcW w:w="2973" w:type="dxa"/>
          </w:tcPr>
          <w:p w14:paraId="4C42C7E1" w14:textId="77777777" w:rsidR="0094644B" w:rsidRPr="00FA3F57" w:rsidRDefault="0094644B" w:rsidP="00FB5086">
            <w:pPr>
              <w:rPr>
                <w:sz w:val="20"/>
                <w:szCs w:val="20"/>
              </w:rPr>
            </w:pPr>
            <w:r w:rsidRPr="00FA3F57">
              <w:rPr>
                <w:sz w:val="20"/>
                <w:szCs w:val="20"/>
              </w:rPr>
              <w:t>Impact on energy efficiency, climate and environmental protection</w:t>
            </w:r>
          </w:p>
        </w:tc>
        <w:tc>
          <w:tcPr>
            <w:tcW w:w="5742" w:type="dxa"/>
          </w:tcPr>
          <w:p w14:paraId="38FAE5DF" w14:textId="77777777" w:rsidR="0094644B" w:rsidRPr="00FA3F57" w:rsidRDefault="0094644B" w:rsidP="00FB5086">
            <w:pPr>
              <w:rPr>
                <w:sz w:val="20"/>
                <w:szCs w:val="20"/>
              </w:rPr>
            </w:pPr>
            <w:r w:rsidRPr="00F07779">
              <w:rPr>
                <w:sz w:val="20"/>
                <w:szCs w:val="20"/>
              </w:rPr>
              <w:t>The number of faults and outages caused by pole failures is reduced, which also means less use of vehicles, considering that company vehicles are mostly diesel-powered. By installing concrete poles instead of old wooden poles, which are mostly impregnated with environmentally harmful black oils, the negative impact on soil quality is reduced.</w:t>
            </w:r>
          </w:p>
        </w:tc>
      </w:tr>
    </w:tbl>
    <w:p w14:paraId="282C4B85" w14:textId="77777777" w:rsidR="0094644B" w:rsidRPr="00FA3F57" w:rsidRDefault="0094644B" w:rsidP="0094644B"/>
    <w:tbl>
      <w:tblPr>
        <w:tblStyle w:val="TableGrid"/>
        <w:tblW w:w="0" w:type="auto"/>
        <w:tblLook w:val="04A0" w:firstRow="1" w:lastRow="0" w:firstColumn="1" w:lastColumn="0" w:noHBand="0" w:noVBand="1"/>
      </w:tblPr>
      <w:tblGrid>
        <w:gridCol w:w="2973"/>
        <w:gridCol w:w="5742"/>
      </w:tblGrid>
      <w:tr w:rsidR="0094644B" w:rsidRPr="00F07779" w14:paraId="69B7426B" w14:textId="77777777" w:rsidTr="00FB5086">
        <w:tc>
          <w:tcPr>
            <w:tcW w:w="2973" w:type="dxa"/>
            <w:shd w:val="clear" w:color="auto" w:fill="D0CECE" w:themeFill="background2" w:themeFillShade="E6"/>
          </w:tcPr>
          <w:p w14:paraId="465A03A2" w14:textId="77777777" w:rsidR="0094644B" w:rsidRPr="00F07779" w:rsidRDefault="0094644B" w:rsidP="00FB5086">
            <w:pPr>
              <w:keepNext/>
              <w:rPr>
                <w:sz w:val="20"/>
                <w:szCs w:val="20"/>
              </w:rPr>
            </w:pPr>
            <w:r w:rsidRPr="00F07779">
              <w:rPr>
                <w:sz w:val="20"/>
                <w:szCs w:val="20"/>
              </w:rPr>
              <w:t>Activity EL1.3</w:t>
            </w:r>
          </w:p>
        </w:tc>
        <w:tc>
          <w:tcPr>
            <w:tcW w:w="5742" w:type="dxa"/>
            <w:shd w:val="clear" w:color="auto" w:fill="D0CECE" w:themeFill="background2" w:themeFillShade="E6"/>
          </w:tcPr>
          <w:p w14:paraId="064A4149" w14:textId="77777777" w:rsidR="0094644B" w:rsidRPr="00FA3F57" w:rsidRDefault="0094644B" w:rsidP="00FB5086">
            <w:pPr>
              <w:keepNext/>
              <w:rPr>
                <w:sz w:val="20"/>
                <w:szCs w:val="20"/>
              </w:rPr>
            </w:pPr>
            <w:r w:rsidRPr="00F07779">
              <w:rPr>
                <w:sz w:val="20"/>
                <w:szCs w:val="20"/>
              </w:rPr>
              <w:t>Investment projects focused on the reconstruction and construction of the distribution network</w:t>
            </w:r>
          </w:p>
        </w:tc>
      </w:tr>
      <w:tr w:rsidR="0094644B" w:rsidRPr="00F07779" w14:paraId="565FAC6F" w14:textId="77777777" w:rsidTr="00FB5086">
        <w:tc>
          <w:tcPr>
            <w:tcW w:w="2973" w:type="dxa"/>
            <w:shd w:val="clear" w:color="auto" w:fill="D9E2F3" w:themeFill="accent1" w:themeFillTint="33"/>
          </w:tcPr>
          <w:p w14:paraId="367BE5DA" w14:textId="77777777" w:rsidR="0094644B" w:rsidRPr="00FA3F57" w:rsidRDefault="0094644B" w:rsidP="00FB5086">
            <w:pPr>
              <w:keepNext/>
              <w:rPr>
                <w:sz w:val="20"/>
                <w:szCs w:val="20"/>
              </w:rPr>
            </w:pPr>
            <w:r w:rsidRPr="00FA3F57">
              <w:rPr>
                <w:sz w:val="20"/>
                <w:szCs w:val="20"/>
              </w:rPr>
              <w:t>Name of the project</w:t>
            </w:r>
          </w:p>
        </w:tc>
        <w:tc>
          <w:tcPr>
            <w:tcW w:w="5742" w:type="dxa"/>
            <w:shd w:val="clear" w:color="auto" w:fill="D9E2F3" w:themeFill="accent1" w:themeFillTint="33"/>
          </w:tcPr>
          <w:p w14:paraId="4A2DB403" w14:textId="77777777" w:rsidR="0094644B" w:rsidRPr="00FA3F57" w:rsidRDefault="0094644B" w:rsidP="00FB5086">
            <w:pPr>
              <w:keepNext/>
              <w:rPr>
                <w:sz w:val="20"/>
                <w:szCs w:val="20"/>
              </w:rPr>
            </w:pPr>
            <w:r w:rsidRPr="00F07779">
              <w:rPr>
                <w:sz w:val="20"/>
                <w:szCs w:val="20"/>
              </w:rPr>
              <w:t>Reconstruction of 25 TS 110/x kV</w:t>
            </w:r>
          </w:p>
        </w:tc>
      </w:tr>
      <w:tr w:rsidR="0094644B" w:rsidRPr="00F07779" w14:paraId="70484190" w14:textId="77777777" w:rsidTr="00FB5086">
        <w:tc>
          <w:tcPr>
            <w:tcW w:w="2973" w:type="dxa"/>
          </w:tcPr>
          <w:p w14:paraId="2F66F3E5" w14:textId="77777777" w:rsidR="0094644B" w:rsidRPr="00FA3F57" w:rsidRDefault="0094644B" w:rsidP="00FB5086">
            <w:pPr>
              <w:rPr>
                <w:sz w:val="20"/>
                <w:szCs w:val="20"/>
              </w:rPr>
            </w:pPr>
            <w:r w:rsidRPr="00FA3F57">
              <w:rPr>
                <w:sz w:val="20"/>
                <w:szCs w:val="20"/>
              </w:rPr>
              <w:t>Description</w:t>
            </w:r>
          </w:p>
        </w:tc>
        <w:tc>
          <w:tcPr>
            <w:tcW w:w="5742" w:type="dxa"/>
          </w:tcPr>
          <w:p w14:paraId="1BA75C4E" w14:textId="77777777" w:rsidR="0094644B" w:rsidRPr="00F07779" w:rsidRDefault="0094644B" w:rsidP="00FB5086">
            <w:pPr>
              <w:rPr>
                <w:sz w:val="20"/>
                <w:szCs w:val="20"/>
              </w:rPr>
            </w:pPr>
            <w:r w:rsidRPr="00F07779">
              <w:rPr>
                <w:sz w:val="20"/>
                <w:szCs w:val="20"/>
              </w:rPr>
              <w:t>The reconstruction of TS 110/X kV/kV entails the following activities:</w:t>
            </w:r>
          </w:p>
          <w:p w14:paraId="7E8CD414" w14:textId="77777777" w:rsidR="0094644B" w:rsidRPr="00F07779" w:rsidRDefault="0094644B" w:rsidP="00FB5086">
            <w:pPr>
              <w:pStyle w:val="ListParagraph"/>
              <w:numPr>
                <w:ilvl w:val="0"/>
                <w:numId w:val="16"/>
              </w:numPr>
              <w:ind w:left="464" w:hanging="142"/>
              <w:rPr>
                <w:rFonts w:ascii="Times New Roman" w:eastAsia="Times New Roman" w:hAnsi="Times New Roman" w:cs="Times New Roman"/>
                <w:noProof w:val="0"/>
                <w:kern w:val="0"/>
                <w:sz w:val="20"/>
                <w:szCs w:val="20"/>
                <w:lang w:eastAsia="en-GB"/>
                <w14:ligatures w14:val="none"/>
              </w:rPr>
            </w:pPr>
            <w:r w:rsidRPr="00F07779">
              <w:rPr>
                <w:rFonts w:ascii="Times New Roman" w:eastAsia="Times New Roman" w:hAnsi="Times New Roman" w:cs="Times New Roman"/>
                <w:noProof w:val="0"/>
                <w:kern w:val="0"/>
                <w:sz w:val="20"/>
                <w:szCs w:val="20"/>
                <w:lang w:eastAsia="en-GB"/>
                <w14:ligatures w14:val="none"/>
              </w:rPr>
              <w:t>preparation of technical documentation,</w:t>
            </w:r>
          </w:p>
          <w:p w14:paraId="7BB108DC" w14:textId="77777777" w:rsidR="0094644B" w:rsidRPr="00F07779" w:rsidRDefault="0094644B" w:rsidP="00FB5086">
            <w:pPr>
              <w:pStyle w:val="ListParagraph"/>
              <w:numPr>
                <w:ilvl w:val="0"/>
                <w:numId w:val="16"/>
              </w:numPr>
              <w:ind w:left="464" w:hanging="142"/>
              <w:rPr>
                <w:rFonts w:ascii="Times New Roman" w:eastAsia="Times New Roman" w:hAnsi="Times New Roman" w:cs="Times New Roman"/>
                <w:noProof w:val="0"/>
                <w:kern w:val="0"/>
                <w:sz w:val="20"/>
                <w:szCs w:val="20"/>
                <w:lang w:eastAsia="en-GB"/>
                <w14:ligatures w14:val="none"/>
              </w:rPr>
            </w:pPr>
            <w:r w:rsidRPr="00F07779">
              <w:rPr>
                <w:rFonts w:ascii="Times New Roman" w:eastAsia="Times New Roman" w:hAnsi="Times New Roman" w:cs="Times New Roman"/>
                <w:noProof w:val="0"/>
                <w:kern w:val="0"/>
                <w:sz w:val="20"/>
                <w:szCs w:val="20"/>
                <w:lang w:eastAsia="en-GB"/>
                <w14:ligatures w14:val="none"/>
              </w:rPr>
              <w:t>carrying out construction and construction-craft works,</w:t>
            </w:r>
          </w:p>
          <w:p w14:paraId="51ADDB07" w14:textId="77777777" w:rsidR="0094644B" w:rsidRPr="00F07779" w:rsidRDefault="0094644B" w:rsidP="00FB5086">
            <w:pPr>
              <w:pStyle w:val="ListParagraph"/>
              <w:numPr>
                <w:ilvl w:val="0"/>
                <w:numId w:val="16"/>
              </w:numPr>
              <w:ind w:left="464" w:hanging="142"/>
              <w:rPr>
                <w:rFonts w:ascii="Times New Roman" w:eastAsia="Times New Roman" w:hAnsi="Times New Roman" w:cs="Times New Roman"/>
                <w:noProof w:val="0"/>
                <w:kern w:val="0"/>
                <w:sz w:val="20"/>
                <w:szCs w:val="20"/>
                <w:lang w:eastAsia="en-GB"/>
                <w14:ligatures w14:val="none"/>
              </w:rPr>
            </w:pPr>
            <w:r w:rsidRPr="00F07779">
              <w:rPr>
                <w:rFonts w:ascii="Times New Roman" w:eastAsia="Times New Roman" w:hAnsi="Times New Roman" w:cs="Times New Roman"/>
                <w:noProof w:val="0"/>
                <w:kern w:val="0"/>
                <w:sz w:val="20"/>
                <w:szCs w:val="20"/>
                <w:lang w:eastAsia="en-GB"/>
                <w14:ligatures w14:val="none"/>
              </w:rPr>
              <w:t>carrying out electrical work,</w:t>
            </w:r>
          </w:p>
          <w:p w14:paraId="15B8862B" w14:textId="77777777" w:rsidR="0094644B" w:rsidRPr="00F07779" w:rsidRDefault="0094644B" w:rsidP="00FB5086">
            <w:pPr>
              <w:pStyle w:val="ListParagraph"/>
              <w:numPr>
                <w:ilvl w:val="0"/>
                <w:numId w:val="16"/>
              </w:numPr>
              <w:ind w:left="464" w:hanging="142"/>
              <w:rPr>
                <w:rFonts w:ascii="Times New Roman" w:eastAsia="Times New Roman" w:hAnsi="Times New Roman" w:cs="Times New Roman"/>
                <w:noProof w:val="0"/>
                <w:kern w:val="0"/>
                <w:sz w:val="20"/>
                <w:szCs w:val="20"/>
                <w:lang w:eastAsia="en-GB"/>
                <w14:ligatures w14:val="none"/>
              </w:rPr>
            </w:pPr>
            <w:r w:rsidRPr="00F07779">
              <w:rPr>
                <w:rFonts w:ascii="Times New Roman" w:eastAsia="Times New Roman" w:hAnsi="Times New Roman" w:cs="Times New Roman"/>
                <w:noProof w:val="0"/>
                <w:kern w:val="0"/>
                <w:sz w:val="20"/>
                <w:szCs w:val="20"/>
                <w:lang w:eastAsia="en-GB"/>
                <w14:ligatures w14:val="none"/>
              </w:rPr>
              <w:t>other works.</w:t>
            </w:r>
          </w:p>
          <w:p w14:paraId="62FFE54D" w14:textId="77777777" w:rsidR="0094644B" w:rsidRPr="00F07779" w:rsidRDefault="0094644B" w:rsidP="00FB5086">
            <w:pPr>
              <w:rPr>
                <w:sz w:val="20"/>
                <w:szCs w:val="20"/>
              </w:rPr>
            </w:pPr>
            <w:r w:rsidRPr="00F07779">
              <w:rPr>
                <w:sz w:val="20"/>
                <w:szCs w:val="20"/>
              </w:rPr>
              <w:t>I</w:t>
            </w:r>
            <w:r w:rsidRPr="00FA3F57">
              <w:rPr>
                <w:sz w:val="20"/>
                <w:szCs w:val="20"/>
              </w:rPr>
              <w:t xml:space="preserve">nstallation of electrical equipment </w:t>
            </w:r>
            <w:r w:rsidRPr="00F07779">
              <w:rPr>
                <w:sz w:val="20"/>
                <w:szCs w:val="20"/>
              </w:rPr>
              <w:t>and</w:t>
            </w:r>
            <w:r w:rsidRPr="00FA3F57">
              <w:rPr>
                <w:sz w:val="20"/>
                <w:szCs w:val="20"/>
              </w:rPr>
              <w:t xml:space="preserve"> related construction works, to the extent provided for in the technical documentation.</w:t>
            </w:r>
          </w:p>
          <w:p w14:paraId="0E0CB855" w14:textId="77777777" w:rsidR="0094644B" w:rsidRPr="00FA3F57" w:rsidRDefault="0094644B" w:rsidP="00FB5086">
            <w:pPr>
              <w:rPr>
                <w:sz w:val="20"/>
                <w:szCs w:val="20"/>
              </w:rPr>
            </w:pPr>
            <w:r w:rsidRPr="00FA3F57">
              <w:rPr>
                <w:sz w:val="20"/>
                <w:szCs w:val="20"/>
              </w:rPr>
              <w:t>Expected dynamics of project implementation:</w:t>
            </w:r>
          </w:p>
          <w:p w14:paraId="190843F0" w14:textId="77777777" w:rsidR="0094644B" w:rsidRPr="00FA3F57" w:rsidRDefault="0094644B" w:rsidP="00FB5086">
            <w:pPr>
              <w:rPr>
                <w:sz w:val="20"/>
                <w:szCs w:val="20"/>
              </w:rPr>
            </w:pPr>
            <w:r w:rsidRPr="00FA3F57">
              <w:rPr>
                <w:sz w:val="20"/>
                <w:szCs w:val="20"/>
              </w:rPr>
              <w:t>2026. The beginning of the project</w:t>
            </w:r>
          </w:p>
          <w:p w14:paraId="6D23045C" w14:textId="77777777" w:rsidR="0094644B" w:rsidRPr="00FA3F57" w:rsidRDefault="0094644B" w:rsidP="00FB5086">
            <w:pPr>
              <w:rPr>
                <w:sz w:val="20"/>
                <w:szCs w:val="20"/>
              </w:rPr>
            </w:pPr>
            <w:r w:rsidRPr="00FA3F57">
              <w:rPr>
                <w:sz w:val="20"/>
                <w:szCs w:val="20"/>
              </w:rPr>
              <w:t>2027. Construction</w:t>
            </w:r>
          </w:p>
          <w:p w14:paraId="736B23C5" w14:textId="77777777" w:rsidR="0094644B" w:rsidRPr="00FA3F57" w:rsidRDefault="0094644B" w:rsidP="00FB5086">
            <w:pPr>
              <w:rPr>
                <w:sz w:val="20"/>
                <w:szCs w:val="20"/>
              </w:rPr>
            </w:pPr>
            <w:r w:rsidRPr="00FA3F57">
              <w:rPr>
                <w:sz w:val="20"/>
                <w:szCs w:val="20"/>
              </w:rPr>
              <w:t>2028. Commissioning; trial operation</w:t>
            </w:r>
          </w:p>
        </w:tc>
      </w:tr>
      <w:tr w:rsidR="0094644B" w:rsidRPr="00F07779" w14:paraId="0ACCAA31" w14:textId="77777777" w:rsidTr="00FB5086">
        <w:tc>
          <w:tcPr>
            <w:tcW w:w="2973" w:type="dxa"/>
          </w:tcPr>
          <w:p w14:paraId="1F081B0A" w14:textId="77777777" w:rsidR="0094644B" w:rsidRPr="00FA3F57" w:rsidRDefault="0094644B" w:rsidP="00FB5086">
            <w:pPr>
              <w:rPr>
                <w:sz w:val="20"/>
                <w:szCs w:val="20"/>
              </w:rPr>
            </w:pPr>
            <w:r w:rsidRPr="00FA3F57">
              <w:rPr>
                <w:sz w:val="20"/>
                <w:szCs w:val="20"/>
              </w:rPr>
              <w:t>Institutions responsible for the implementation of measures and activities</w:t>
            </w:r>
          </w:p>
        </w:tc>
        <w:tc>
          <w:tcPr>
            <w:tcW w:w="5742" w:type="dxa"/>
          </w:tcPr>
          <w:p w14:paraId="15020D80" w14:textId="77777777" w:rsidR="0094644B" w:rsidRPr="00FA3F57" w:rsidRDefault="0094644B" w:rsidP="00FB5086">
            <w:pPr>
              <w:rPr>
                <w:sz w:val="20"/>
                <w:szCs w:val="20"/>
              </w:rPr>
            </w:pPr>
            <w:r w:rsidRPr="00FA3F57">
              <w:rPr>
                <w:sz w:val="20"/>
                <w:szCs w:val="20"/>
              </w:rPr>
              <w:t>Elektrodistribucija Srbije Ltd. Belgrade</w:t>
            </w:r>
          </w:p>
        </w:tc>
      </w:tr>
      <w:tr w:rsidR="0094644B" w:rsidRPr="00F07779" w14:paraId="518432B4" w14:textId="77777777" w:rsidTr="00FB5086">
        <w:tc>
          <w:tcPr>
            <w:tcW w:w="2973" w:type="dxa"/>
          </w:tcPr>
          <w:p w14:paraId="68A9C03D" w14:textId="77777777" w:rsidR="0094644B" w:rsidRPr="00FA3F57" w:rsidRDefault="0094644B" w:rsidP="00FB5086">
            <w:pPr>
              <w:rPr>
                <w:sz w:val="20"/>
                <w:szCs w:val="20"/>
              </w:rPr>
            </w:pPr>
            <w:r w:rsidRPr="00FA3F57">
              <w:rPr>
                <w:sz w:val="20"/>
                <w:szCs w:val="20"/>
              </w:rPr>
              <w:t>Institutions responsible for monitoring implementation and reporting on the realization</w:t>
            </w:r>
          </w:p>
        </w:tc>
        <w:tc>
          <w:tcPr>
            <w:tcW w:w="5742" w:type="dxa"/>
          </w:tcPr>
          <w:p w14:paraId="5340C4F7" w14:textId="77777777" w:rsidR="0094644B" w:rsidRPr="00FA3F57" w:rsidRDefault="0094644B" w:rsidP="00FB5086">
            <w:pPr>
              <w:rPr>
                <w:sz w:val="20"/>
                <w:szCs w:val="20"/>
              </w:rPr>
            </w:pPr>
            <w:r w:rsidRPr="00FA3F57">
              <w:rPr>
                <w:sz w:val="20"/>
                <w:szCs w:val="20"/>
              </w:rPr>
              <w:t>Elektrodistribucija Srbije Ltd. Belgrade</w:t>
            </w:r>
            <w:r w:rsidRPr="00FA3F57" w:rsidDel="00135D3B">
              <w:rPr>
                <w:sz w:val="20"/>
                <w:szCs w:val="20"/>
              </w:rPr>
              <w:t xml:space="preserve"> </w:t>
            </w:r>
            <w:r w:rsidRPr="00FA3F57">
              <w:rPr>
                <w:sz w:val="20"/>
                <w:szCs w:val="20"/>
              </w:rPr>
              <w:t>Ministry of Mining and Energy</w:t>
            </w:r>
          </w:p>
          <w:p w14:paraId="76D12BA4" w14:textId="77777777" w:rsidR="0094644B" w:rsidRPr="00FA3F57" w:rsidRDefault="0094644B" w:rsidP="00FB5086">
            <w:pPr>
              <w:rPr>
                <w:sz w:val="20"/>
                <w:szCs w:val="20"/>
              </w:rPr>
            </w:pPr>
            <w:r w:rsidRPr="00FA3F57">
              <w:rPr>
                <w:sz w:val="20"/>
                <w:szCs w:val="20"/>
              </w:rPr>
              <w:t>Ministry of Economy</w:t>
            </w:r>
          </w:p>
        </w:tc>
      </w:tr>
      <w:tr w:rsidR="0094644B" w:rsidRPr="00F07779" w14:paraId="4986FD16" w14:textId="77777777" w:rsidTr="00FB5086">
        <w:tc>
          <w:tcPr>
            <w:tcW w:w="2973" w:type="dxa"/>
          </w:tcPr>
          <w:p w14:paraId="579A149B" w14:textId="77777777" w:rsidR="0094644B" w:rsidRPr="00F07779" w:rsidRDefault="0094644B" w:rsidP="00FB5086">
            <w:pPr>
              <w:rPr>
                <w:sz w:val="20"/>
                <w:szCs w:val="20"/>
              </w:rPr>
            </w:pPr>
            <w:r w:rsidRPr="00FA3F57">
              <w:rPr>
                <w:sz w:val="20"/>
                <w:szCs w:val="20"/>
              </w:rPr>
              <w:t>Year of project funding start</w:t>
            </w:r>
          </w:p>
        </w:tc>
        <w:tc>
          <w:tcPr>
            <w:tcW w:w="5742" w:type="dxa"/>
          </w:tcPr>
          <w:p w14:paraId="4D1569C1" w14:textId="77777777" w:rsidR="0094644B" w:rsidRPr="00FA3F57" w:rsidRDefault="0094644B" w:rsidP="00FB5086">
            <w:pPr>
              <w:rPr>
                <w:sz w:val="20"/>
                <w:szCs w:val="20"/>
              </w:rPr>
            </w:pPr>
            <w:r w:rsidRPr="00FA3F57">
              <w:rPr>
                <w:sz w:val="20"/>
                <w:szCs w:val="20"/>
              </w:rPr>
              <w:t>2026.</w:t>
            </w:r>
          </w:p>
        </w:tc>
      </w:tr>
      <w:tr w:rsidR="0094644B" w:rsidRPr="00F07779" w14:paraId="629E436F" w14:textId="77777777" w:rsidTr="00FB5086">
        <w:tc>
          <w:tcPr>
            <w:tcW w:w="2973" w:type="dxa"/>
          </w:tcPr>
          <w:p w14:paraId="5AA80504" w14:textId="77777777" w:rsidR="0094644B" w:rsidRPr="00FA3F57" w:rsidRDefault="0094644B" w:rsidP="00FB5086">
            <w:pPr>
              <w:rPr>
                <w:sz w:val="20"/>
                <w:szCs w:val="20"/>
              </w:rPr>
            </w:pPr>
            <w:r w:rsidRPr="00FA3F57">
              <w:rPr>
                <w:sz w:val="20"/>
                <w:szCs w:val="20"/>
              </w:rPr>
              <w:t>Year of completion of project funding</w:t>
            </w:r>
          </w:p>
        </w:tc>
        <w:tc>
          <w:tcPr>
            <w:tcW w:w="5742" w:type="dxa"/>
          </w:tcPr>
          <w:p w14:paraId="7AD543FD" w14:textId="77777777" w:rsidR="0094644B" w:rsidRPr="00FA3F57" w:rsidRDefault="0094644B" w:rsidP="00FB5086">
            <w:pPr>
              <w:rPr>
                <w:sz w:val="20"/>
                <w:szCs w:val="20"/>
              </w:rPr>
            </w:pPr>
            <w:r w:rsidRPr="00FA3F57">
              <w:rPr>
                <w:sz w:val="20"/>
                <w:szCs w:val="20"/>
              </w:rPr>
              <w:t>2028.</w:t>
            </w:r>
          </w:p>
        </w:tc>
      </w:tr>
      <w:tr w:rsidR="0094644B" w:rsidRPr="00F07779" w14:paraId="2FD4B363" w14:textId="77777777" w:rsidTr="00FB5086">
        <w:tc>
          <w:tcPr>
            <w:tcW w:w="2973" w:type="dxa"/>
          </w:tcPr>
          <w:p w14:paraId="6C8DE358" w14:textId="77777777" w:rsidR="0094644B" w:rsidRPr="00FA3F57" w:rsidRDefault="0094644B" w:rsidP="00FB5086">
            <w:pPr>
              <w:rPr>
                <w:sz w:val="20"/>
                <w:szCs w:val="20"/>
              </w:rPr>
            </w:pPr>
            <w:r w:rsidRPr="00FA3F57">
              <w:rPr>
                <w:sz w:val="20"/>
                <w:szCs w:val="20"/>
              </w:rPr>
              <w:t>Total project value</w:t>
            </w:r>
            <w:r w:rsidRPr="00FA3F57">
              <w:rPr>
                <w:sz w:val="20"/>
                <w:szCs w:val="20"/>
              </w:rPr>
              <w:br/>
              <w:t>(in thousands of RSD)</w:t>
            </w:r>
          </w:p>
        </w:tc>
        <w:tc>
          <w:tcPr>
            <w:tcW w:w="5742" w:type="dxa"/>
          </w:tcPr>
          <w:p w14:paraId="1A57A7FF" w14:textId="77777777" w:rsidR="0094644B" w:rsidRPr="00FA3F57" w:rsidRDefault="0094644B" w:rsidP="00FB5086">
            <w:pPr>
              <w:rPr>
                <w:sz w:val="20"/>
                <w:szCs w:val="20"/>
              </w:rPr>
            </w:pPr>
            <w:r w:rsidRPr="00FA3F57">
              <w:rPr>
                <w:sz w:val="20"/>
                <w:szCs w:val="20"/>
              </w:rPr>
              <w:t>5,569,375 (47.5 million EUR)</w:t>
            </w:r>
            <w:r w:rsidRPr="00FA3F57" w:rsidDel="00D501E5">
              <w:rPr>
                <w:sz w:val="20"/>
                <w:szCs w:val="20"/>
              </w:rPr>
              <w:t xml:space="preserve"> </w:t>
            </w:r>
            <w:r w:rsidRPr="00FA3F57">
              <w:rPr>
                <w:sz w:val="20"/>
                <w:szCs w:val="20"/>
              </w:rPr>
              <w:t>(EIB loan)</w:t>
            </w:r>
          </w:p>
        </w:tc>
      </w:tr>
      <w:tr w:rsidR="0094644B" w:rsidRPr="00F07779" w14:paraId="51285F15" w14:textId="77777777" w:rsidTr="00FB5086">
        <w:tc>
          <w:tcPr>
            <w:tcW w:w="2973" w:type="dxa"/>
          </w:tcPr>
          <w:p w14:paraId="0DF296F6" w14:textId="77777777" w:rsidR="0094644B" w:rsidRPr="00FA3F57" w:rsidRDefault="0094644B" w:rsidP="00FB5086">
            <w:pPr>
              <w:rPr>
                <w:sz w:val="20"/>
                <w:szCs w:val="20"/>
              </w:rPr>
            </w:pPr>
            <w:r w:rsidRPr="00FA3F57">
              <w:rPr>
                <w:sz w:val="20"/>
                <w:szCs w:val="20"/>
              </w:rPr>
              <w:t>Planned investments for 2026.</w:t>
            </w:r>
            <w:r w:rsidRPr="00FA3F57">
              <w:rPr>
                <w:sz w:val="20"/>
                <w:szCs w:val="20"/>
              </w:rPr>
              <w:br/>
              <w:t>(in thousands of RSD)</w:t>
            </w:r>
          </w:p>
        </w:tc>
        <w:tc>
          <w:tcPr>
            <w:tcW w:w="5742" w:type="dxa"/>
          </w:tcPr>
          <w:p w14:paraId="2E962579" w14:textId="77777777" w:rsidR="0094644B" w:rsidRPr="00FA3F57" w:rsidRDefault="0094644B" w:rsidP="00FB5086">
            <w:pPr>
              <w:rPr>
                <w:sz w:val="20"/>
                <w:szCs w:val="20"/>
              </w:rPr>
            </w:pPr>
            <w:r w:rsidRPr="00FA3F57">
              <w:rPr>
                <w:sz w:val="20"/>
                <w:szCs w:val="20"/>
              </w:rPr>
              <w:t>1,113,875 (loan)</w:t>
            </w:r>
          </w:p>
        </w:tc>
      </w:tr>
      <w:tr w:rsidR="0094644B" w:rsidRPr="00F07779" w14:paraId="618D667A" w14:textId="77777777" w:rsidTr="00FB5086">
        <w:tc>
          <w:tcPr>
            <w:tcW w:w="2973" w:type="dxa"/>
          </w:tcPr>
          <w:p w14:paraId="14D49773" w14:textId="77777777" w:rsidR="0094644B" w:rsidRPr="00F07779" w:rsidRDefault="0094644B" w:rsidP="00FB5086">
            <w:pPr>
              <w:rPr>
                <w:sz w:val="20"/>
                <w:szCs w:val="20"/>
              </w:rPr>
            </w:pPr>
            <w:r w:rsidRPr="00FA3F57">
              <w:rPr>
                <w:sz w:val="20"/>
                <w:szCs w:val="20"/>
              </w:rPr>
              <w:t>Planned investments for 2027.</w:t>
            </w:r>
            <w:r w:rsidRPr="00FA3F57">
              <w:rPr>
                <w:sz w:val="20"/>
                <w:szCs w:val="20"/>
              </w:rPr>
              <w:br/>
              <w:t>(in thousands of RSD)</w:t>
            </w:r>
          </w:p>
        </w:tc>
        <w:tc>
          <w:tcPr>
            <w:tcW w:w="5742" w:type="dxa"/>
          </w:tcPr>
          <w:p w14:paraId="3AC2E30E" w14:textId="77777777" w:rsidR="0094644B" w:rsidRPr="00FA3F57" w:rsidRDefault="0094644B" w:rsidP="00FB5086">
            <w:pPr>
              <w:rPr>
                <w:sz w:val="20"/>
                <w:szCs w:val="20"/>
              </w:rPr>
            </w:pPr>
            <w:r w:rsidRPr="00FA3F57">
              <w:rPr>
                <w:sz w:val="20"/>
                <w:szCs w:val="20"/>
              </w:rPr>
              <w:t>2,227,750 (loan)</w:t>
            </w:r>
          </w:p>
        </w:tc>
      </w:tr>
      <w:tr w:rsidR="0094644B" w:rsidRPr="00F07779" w14:paraId="0B520BE8" w14:textId="77777777" w:rsidTr="00FB5086">
        <w:tc>
          <w:tcPr>
            <w:tcW w:w="2973" w:type="dxa"/>
          </w:tcPr>
          <w:p w14:paraId="08A140B9" w14:textId="77777777" w:rsidR="0094644B" w:rsidRPr="00FA3F57" w:rsidRDefault="0094644B" w:rsidP="00FB5086">
            <w:pPr>
              <w:rPr>
                <w:sz w:val="20"/>
                <w:szCs w:val="20"/>
              </w:rPr>
            </w:pPr>
            <w:r w:rsidRPr="00FA3F57">
              <w:rPr>
                <w:sz w:val="20"/>
                <w:szCs w:val="20"/>
              </w:rPr>
              <w:lastRenderedPageBreak/>
              <w:t>Planned investments for 2028.</w:t>
            </w:r>
            <w:r w:rsidRPr="00FA3F57">
              <w:rPr>
                <w:sz w:val="20"/>
                <w:szCs w:val="20"/>
              </w:rPr>
              <w:br/>
              <w:t>(in thousands of RSD)</w:t>
            </w:r>
          </w:p>
        </w:tc>
        <w:tc>
          <w:tcPr>
            <w:tcW w:w="5742" w:type="dxa"/>
          </w:tcPr>
          <w:p w14:paraId="2D3CA9FD" w14:textId="77777777" w:rsidR="0094644B" w:rsidRPr="00FA3F57" w:rsidRDefault="0094644B" w:rsidP="00FB5086">
            <w:pPr>
              <w:rPr>
                <w:sz w:val="20"/>
                <w:szCs w:val="20"/>
              </w:rPr>
            </w:pPr>
            <w:r w:rsidRPr="00FA3F57">
              <w:rPr>
                <w:sz w:val="20"/>
                <w:szCs w:val="20"/>
              </w:rPr>
              <w:t>2,227,750 (loan)</w:t>
            </w:r>
          </w:p>
        </w:tc>
      </w:tr>
      <w:tr w:rsidR="0094644B" w:rsidRPr="00F07779" w14:paraId="5F196949" w14:textId="77777777" w:rsidTr="00FB5086">
        <w:tc>
          <w:tcPr>
            <w:tcW w:w="2973" w:type="dxa"/>
          </w:tcPr>
          <w:p w14:paraId="659F7136" w14:textId="77777777" w:rsidR="0094644B" w:rsidRPr="00FA3F57" w:rsidRDefault="0094644B" w:rsidP="00FB5086">
            <w:pPr>
              <w:rPr>
                <w:sz w:val="20"/>
                <w:szCs w:val="20"/>
              </w:rPr>
            </w:pPr>
            <w:r w:rsidRPr="00FA3F57">
              <w:rPr>
                <w:sz w:val="20"/>
                <w:szCs w:val="20"/>
              </w:rPr>
              <w:t>Implementation indicator</w:t>
            </w:r>
          </w:p>
        </w:tc>
        <w:tc>
          <w:tcPr>
            <w:tcW w:w="5742" w:type="dxa"/>
          </w:tcPr>
          <w:p w14:paraId="30C70BB8" w14:textId="77777777" w:rsidR="0094644B" w:rsidRPr="00FA3F57" w:rsidRDefault="0094644B" w:rsidP="00FB5086">
            <w:pPr>
              <w:rPr>
                <w:sz w:val="20"/>
                <w:szCs w:val="20"/>
              </w:rPr>
            </w:pPr>
            <w:r w:rsidRPr="00FA3F57">
              <w:rPr>
                <w:sz w:val="20"/>
                <w:szCs w:val="20"/>
              </w:rPr>
              <w:t>Number of reconstructed TS</w:t>
            </w:r>
            <w:r w:rsidRPr="00F07779">
              <w:rPr>
                <w:sz w:val="20"/>
                <w:szCs w:val="20"/>
              </w:rPr>
              <w:t>s</w:t>
            </w:r>
            <w:r w:rsidRPr="00FA3F57">
              <w:rPr>
                <w:sz w:val="20"/>
                <w:szCs w:val="20"/>
              </w:rPr>
              <w:t>.</w:t>
            </w:r>
          </w:p>
        </w:tc>
      </w:tr>
      <w:tr w:rsidR="0094644B" w:rsidRPr="00F07779" w14:paraId="1980079B" w14:textId="77777777" w:rsidTr="00FB5086">
        <w:tc>
          <w:tcPr>
            <w:tcW w:w="2973" w:type="dxa"/>
          </w:tcPr>
          <w:p w14:paraId="6CE8EE62" w14:textId="77777777" w:rsidR="0094644B" w:rsidRPr="00FA3F57" w:rsidRDefault="0094644B" w:rsidP="00FB5086">
            <w:pPr>
              <w:rPr>
                <w:sz w:val="20"/>
                <w:szCs w:val="20"/>
              </w:rPr>
            </w:pPr>
            <w:r w:rsidRPr="00FA3F57">
              <w:rPr>
                <w:sz w:val="20"/>
                <w:szCs w:val="20"/>
              </w:rPr>
              <w:t>Required funds and source of financing</w:t>
            </w:r>
          </w:p>
        </w:tc>
        <w:tc>
          <w:tcPr>
            <w:tcW w:w="5742" w:type="dxa"/>
          </w:tcPr>
          <w:p w14:paraId="3F0E0FC6" w14:textId="77777777" w:rsidR="0094644B" w:rsidRPr="00FA3F57" w:rsidRDefault="0094644B" w:rsidP="00FB5086">
            <w:pPr>
              <w:rPr>
                <w:sz w:val="20"/>
                <w:szCs w:val="20"/>
              </w:rPr>
            </w:pPr>
            <w:r w:rsidRPr="00FA3F57">
              <w:rPr>
                <w:sz w:val="20"/>
                <w:szCs w:val="20"/>
              </w:rPr>
              <w:t>The project should ensure better reliability of the distribution network, reduce the number of outages and the duration of outages for end users, reduce losses in the distribution network, and reduce the total costs of TS maintenance.</w:t>
            </w:r>
          </w:p>
        </w:tc>
      </w:tr>
      <w:tr w:rsidR="0094644B" w:rsidRPr="00F07779" w14:paraId="0D83AEDD" w14:textId="77777777" w:rsidTr="00FB5086">
        <w:tc>
          <w:tcPr>
            <w:tcW w:w="2973" w:type="dxa"/>
          </w:tcPr>
          <w:p w14:paraId="5FB095A1" w14:textId="77777777" w:rsidR="0094644B" w:rsidRPr="00FA3F57" w:rsidRDefault="0094644B" w:rsidP="00FB5086">
            <w:pPr>
              <w:rPr>
                <w:sz w:val="20"/>
                <w:szCs w:val="20"/>
              </w:rPr>
            </w:pPr>
            <w:r w:rsidRPr="00FA3F57">
              <w:rPr>
                <w:sz w:val="20"/>
                <w:szCs w:val="20"/>
              </w:rPr>
              <w:t>Impact on EE, climate, and environmental protection</w:t>
            </w:r>
          </w:p>
        </w:tc>
        <w:tc>
          <w:tcPr>
            <w:tcW w:w="5742" w:type="dxa"/>
          </w:tcPr>
          <w:p w14:paraId="146936E7" w14:textId="77777777" w:rsidR="0094644B" w:rsidRPr="00FA3F57" w:rsidRDefault="0094644B" w:rsidP="00FB5086">
            <w:pPr>
              <w:rPr>
                <w:sz w:val="20"/>
                <w:szCs w:val="20"/>
              </w:rPr>
            </w:pPr>
            <w:r w:rsidRPr="00F07779">
              <w:rPr>
                <w:sz w:val="20"/>
                <w:szCs w:val="20"/>
              </w:rPr>
              <w:t>Within the scope of the substation reconstruction, along with transformer replacement, circuit breakers, disconnectors, and switchgear assemblies are also replaced. Then the old circuit breakers (mostly oil-immersed) can be replaced with the best available technology, for example, vacuum circuit breakers.</w:t>
            </w:r>
            <w:r w:rsidRPr="00F07779" w:rsidDel="009E3FF1">
              <w:rPr>
                <w:sz w:val="20"/>
                <w:szCs w:val="20"/>
              </w:rPr>
              <w:t xml:space="preserve"> </w:t>
            </w:r>
            <w:r w:rsidRPr="00F07779">
              <w:rPr>
                <w:sz w:val="20"/>
                <w:szCs w:val="20"/>
              </w:rPr>
              <w:t xml:space="preserve">This avoids the use of harmful environmental substances that can affect soil quality. Circuit breakers employing harmful gases such as SF6 for arc quenching and current interruption may be replaced with more advanced and environmentally sustainable technologies. Replacing </w:t>
            </w:r>
            <w:proofErr w:type="gramStart"/>
            <w:r w:rsidRPr="00F07779">
              <w:rPr>
                <w:sz w:val="20"/>
                <w:szCs w:val="20"/>
              </w:rPr>
              <w:t>switchgear</w:t>
            </w:r>
            <w:proofErr w:type="gramEnd"/>
            <w:r w:rsidRPr="00F07779">
              <w:rPr>
                <w:sz w:val="20"/>
                <w:szCs w:val="20"/>
              </w:rPr>
              <w:t xml:space="preserve"> with new, more modern devices reduces the risk of fire and possible injuries at work. The reconstruction works will involve rehabilitating the oil sump and/or tank to ensure proper functioning, which will prevent oil spills and environmental soil pollution.</w:t>
            </w:r>
            <w:r w:rsidRPr="00FA3F57">
              <w:rPr>
                <w:sz w:val="20"/>
                <w:szCs w:val="20"/>
              </w:rPr>
              <w:t xml:space="preserve"> </w:t>
            </w:r>
          </w:p>
          <w:p w14:paraId="236C0799" w14:textId="77777777" w:rsidR="0094644B" w:rsidRPr="00FA3F57" w:rsidRDefault="0094644B" w:rsidP="00FB5086">
            <w:pPr>
              <w:rPr>
                <w:sz w:val="20"/>
                <w:szCs w:val="20"/>
              </w:rPr>
            </w:pPr>
            <w:r w:rsidRPr="00F07779">
              <w:rPr>
                <w:sz w:val="20"/>
                <w:szCs w:val="20"/>
              </w:rPr>
              <w:t xml:space="preserve">The reconstruction also includes the replacement of ACCU batteries, which will prevent incidents of battery failure that cause the emission of harmful and flammable gases, as well as hazardous substances and electrolytes that contaminate the air and soil. Reconstruction reduces noise, vibrations, and radiation, whether from equipment or structural solutions of parts of the plant inside the building or outdoors. </w:t>
            </w:r>
          </w:p>
          <w:p w14:paraId="026C3D98" w14:textId="77777777" w:rsidR="0094644B" w:rsidRPr="00FA3F57" w:rsidRDefault="0094644B" w:rsidP="00FB5086">
            <w:pPr>
              <w:rPr>
                <w:sz w:val="20"/>
                <w:szCs w:val="20"/>
              </w:rPr>
            </w:pPr>
            <w:r w:rsidRPr="00FA3F57">
              <w:rPr>
                <w:sz w:val="20"/>
                <w:szCs w:val="20"/>
              </w:rPr>
              <w:t>From a construction perspective, replacing equipment with new, more modern technologies will result in more compact transformer stations, with smaller areas, which can leave more space for control rooms, the renovation and equipping of which with modern occupational safety devices contributes to a safe and healthy working environment for employees. Due to the increased compactness of the technical part of the plant, the percentage of green areas can be increased.</w:t>
            </w:r>
          </w:p>
        </w:tc>
      </w:tr>
    </w:tbl>
    <w:p w14:paraId="0FD80212" w14:textId="77777777" w:rsidR="0094644B" w:rsidRPr="00F07779" w:rsidRDefault="0094644B" w:rsidP="0094644B"/>
    <w:tbl>
      <w:tblPr>
        <w:tblStyle w:val="TableGrid"/>
        <w:tblW w:w="0" w:type="auto"/>
        <w:tblLook w:val="04A0" w:firstRow="1" w:lastRow="0" w:firstColumn="1" w:lastColumn="0" w:noHBand="0" w:noVBand="1"/>
      </w:tblPr>
      <w:tblGrid>
        <w:gridCol w:w="2973"/>
        <w:gridCol w:w="5742"/>
      </w:tblGrid>
      <w:tr w:rsidR="0094644B" w:rsidRPr="00F07779" w14:paraId="38F7E76F" w14:textId="77777777" w:rsidTr="00FB5086">
        <w:tc>
          <w:tcPr>
            <w:tcW w:w="2973" w:type="dxa"/>
            <w:shd w:val="clear" w:color="auto" w:fill="D0CECE" w:themeFill="background2" w:themeFillShade="E6"/>
          </w:tcPr>
          <w:p w14:paraId="6CD43657" w14:textId="77777777" w:rsidR="0094644B" w:rsidRPr="00FA3F57" w:rsidRDefault="0094644B" w:rsidP="00FB5086">
            <w:pPr>
              <w:keepNext/>
              <w:rPr>
                <w:sz w:val="20"/>
                <w:szCs w:val="20"/>
              </w:rPr>
            </w:pPr>
            <w:r w:rsidRPr="00FA3F57">
              <w:rPr>
                <w:sz w:val="20"/>
                <w:szCs w:val="20"/>
              </w:rPr>
              <w:t>Activity EL1.3</w:t>
            </w:r>
          </w:p>
        </w:tc>
        <w:tc>
          <w:tcPr>
            <w:tcW w:w="5742" w:type="dxa"/>
            <w:shd w:val="clear" w:color="auto" w:fill="D0CECE" w:themeFill="background2" w:themeFillShade="E6"/>
          </w:tcPr>
          <w:p w14:paraId="2435A496" w14:textId="77777777" w:rsidR="0094644B" w:rsidRPr="00FA3F57" w:rsidRDefault="0094644B" w:rsidP="00FB5086">
            <w:pPr>
              <w:keepNext/>
              <w:rPr>
                <w:sz w:val="20"/>
                <w:szCs w:val="20"/>
              </w:rPr>
            </w:pPr>
            <w:r w:rsidRPr="00F07779">
              <w:rPr>
                <w:sz w:val="20"/>
                <w:szCs w:val="20"/>
              </w:rPr>
              <w:t>Investment projects focused on the reconstruction and construction of the distribution network</w:t>
            </w:r>
          </w:p>
        </w:tc>
      </w:tr>
      <w:tr w:rsidR="0094644B" w:rsidRPr="00F07779" w14:paraId="73026AD3" w14:textId="77777777" w:rsidTr="00FB5086">
        <w:tc>
          <w:tcPr>
            <w:tcW w:w="2973" w:type="dxa"/>
            <w:shd w:val="clear" w:color="auto" w:fill="D9E2F3" w:themeFill="accent1" w:themeFillTint="33"/>
          </w:tcPr>
          <w:p w14:paraId="1976581B" w14:textId="77777777" w:rsidR="0094644B" w:rsidRPr="00FA3F57" w:rsidRDefault="0094644B" w:rsidP="00FB5086">
            <w:pPr>
              <w:keepNext/>
              <w:rPr>
                <w:sz w:val="20"/>
                <w:szCs w:val="20"/>
              </w:rPr>
            </w:pPr>
            <w:r w:rsidRPr="00FA3F57">
              <w:rPr>
                <w:sz w:val="20"/>
                <w:szCs w:val="20"/>
              </w:rPr>
              <w:t>Name of the project</w:t>
            </w:r>
          </w:p>
        </w:tc>
        <w:tc>
          <w:tcPr>
            <w:tcW w:w="5742" w:type="dxa"/>
            <w:shd w:val="clear" w:color="auto" w:fill="D9E2F3" w:themeFill="accent1" w:themeFillTint="33"/>
          </w:tcPr>
          <w:p w14:paraId="6C1EC1EC" w14:textId="77777777" w:rsidR="0094644B" w:rsidRPr="00FA3F57" w:rsidRDefault="0094644B" w:rsidP="00FB5086">
            <w:pPr>
              <w:keepNext/>
              <w:rPr>
                <w:sz w:val="20"/>
                <w:szCs w:val="20"/>
              </w:rPr>
            </w:pPr>
            <w:r w:rsidRPr="00F07779">
              <w:rPr>
                <w:sz w:val="20"/>
                <w:szCs w:val="20"/>
              </w:rPr>
              <w:t>62 units of 110 kV circuit breakers, 53 units of 35 kV outdoor circuit breakers, and 75 units of 35 kV indoor circuit breakers</w:t>
            </w:r>
          </w:p>
        </w:tc>
      </w:tr>
      <w:tr w:rsidR="0094644B" w:rsidRPr="00F07779" w14:paraId="33505B89" w14:textId="77777777" w:rsidTr="00FB5086">
        <w:tc>
          <w:tcPr>
            <w:tcW w:w="2973" w:type="dxa"/>
          </w:tcPr>
          <w:p w14:paraId="3EC916AA" w14:textId="77777777" w:rsidR="0094644B" w:rsidRPr="00FA3F57" w:rsidRDefault="0094644B" w:rsidP="00FB5086">
            <w:pPr>
              <w:rPr>
                <w:sz w:val="20"/>
                <w:szCs w:val="20"/>
              </w:rPr>
            </w:pPr>
            <w:r w:rsidRPr="00FA3F57">
              <w:rPr>
                <w:sz w:val="20"/>
                <w:szCs w:val="20"/>
              </w:rPr>
              <w:t>Description</w:t>
            </w:r>
          </w:p>
        </w:tc>
        <w:tc>
          <w:tcPr>
            <w:tcW w:w="5742" w:type="dxa"/>
          </w:tcPr>
          <w:p w14:paraId="437754E5" w14:textId="77777777" w:rsidR="0094644B" w:rsidRPr="00FA3F57" w:rsidRDefault="0094644B" w:rsidP="00FB5086">
            <w:pPr>
              <w:rPr>
                <w:sz w:val="20"/>
                <w:szCs w:val="20"/>
              </w:rPr>
            </w:pPr>
            <w:r w:rsidRPr="00F07779">
              <w:rPr>
                <w:sz w:val="20"/>
                <w:szCs w:val="20"/>
              </w:rPr>
              <w:t>Outdated 110 kV and 35 kV circuit breakers are being replaced with modern, next-generation breakers. Based on the history of circuit breaker operations and event analysis, facilities and equipment (circuit breakers) with reduced reliability are identified, and replacement activities with newer generation equipment are carried out.</w:t>
            </w:r>
          </w:p>
          <w:p w14:paraId="5400A690" w14:textId="77777777" w:rsidR="0094644B" w:rsidRPr="00FA3F57" w:rsidRDefault="0094644B" w:rsidP="00FB5086">
            <w:pPr>
              <w:rPr>
                <w:sz w:val="20"/>
                <w:szCs w:val="20"/>
              </w:rPr>
            </w:pPr>
            <w:r w:rsidRPr="00FA3F57">
              <w:rPr>
                <w:sz w:val="20"/>
                <w:szCs w:val="20"/>
              </w:rPr>
              <w:t>Expected dynamics of project implementation:</w:t>
            </w:r>
          </w:p>
          <w:p w14:paraId="3802C631" w14:textId="77777777" w:rsidR="0094644B" w:rsidRPr="00FA3F57" w:rsidRDefault="0094644B" w:rsidP="00FB5086">
            <w:pPr>
              <w:rPr>
                <w:sz w:val="20"/>
                <w:szCs w:val="20"/>
              </w:rPr>
            </w:pPr>
            <w:r w:rsidRPr="00FA3F57">
              <w:rPr>
                <w:sz w:val="20"/>
                <w:szCs w:val="20"/>
              </w:rPr>
              <w:t>2026. The beginning of the project</w:t>
            </w:r>
          </w:p>
          <w:p w14:paraId="5D7A2482" w14:textId="77777777" w:rsidR="0094644B" w:rsidRPr="00FA3F57" w:rsidRDefault="0094644B" w:rsidP="00FB5086">
            <w:pPr>
              <w:rPr>
                <w:sz w:val="20"/>
                <w:szCs w:val="20"/>
              </w:rPr>
            </w:pPr>
            <w:r w:rsidRPr="00FA3F57">
              <w:rPr>
                <w:sz w:val="20"/>
                <w:szCs w:val="20"/>
              </w:rPr>
              <w:t>2027. Construction</w:t>
            </w:r>
          </w:p>
          <w:p w14:paraId="31D77FD8" w14:textId="77777777" w:rsidR="0094644B" w:rsidRPr="00FA3F57" w:rsidRDefault="0094644B" w:rsidP="00FB5086">
            <w:pPr>
              <w:rPr>
                <w:sz w:val="20"/>
                <w:szCs w:val="20"/>
              </w:rPr>
            </w:pPr>
            <w:r w:rsidRPr="00FA3F57">
              <w:rPr>
                <w:sz w:val="20"/>
                <w:szCs w:val="20"/>
              </w:rPr>
              <w:t>2028. Commissioning; trial operation</w:t>
            </w:r>
          </w:p>
        </w:tc>
      </w:tr>
      <w:tr w:rsidR="0094644B" w:rsidRPr="00F07779" w14:paraId="1E16ACC1" w14:textId="77777777" w:rsidTr="00FB5086">
        <w:tc>
          <w:tcPr>
            <w:tcW w:w="2973" w:type="dxa"/>
          </w:tcPr>
          <w:p w14:paraId="2CD456FC" w14:textId="77777777" w:rsidR="0094644B" w:rsidRPr="00FA3F57" w:rsidRDefault="0094644B" w:rsidP="00FB5086">
            <w:pPr>
              <w:rPr>
                <w:sz w:val="20"/>
                <w:szCs w:val="20"/>
              </w:rPr>
            </w:pPr>
            <w:r w:rsidRPr="00FA3F57">
              <w:rPr>
                <w:sz w:val="20"/>
                <w:szCs w:val="20"/>
              </w:rPr>
              <w:t>Institutions responsible for the implementation of measures and activities</w:t>
            </w:r>
          </w:p>
        </w:tc>
        <w:tc>
          <w:tcPr>
            <w:tcW w:w="5742" w:type="dxa"/>
          </w:tcPr>
          <w:p w14:paraId="6919CE92" w14:textId="77777777" w:rsidR="0094644B" w:rsidRPr="00FA3F57" w:rsidRDefault="0094644B" w:rsidP="00FB5086">
            <w:pPr>
              <w:rPr>
                <w:sz w:val="20"/>
                <w:szCs w:val="20"/>
              </w:rPr>
            </w:pPr>
            <w:r w:rsidRPr="00FA3F57">
              <w:rPr>
                <w:sz w:val="20"/>
                <w:szCs w:val="20"/>
              </w:rPr>
              <w:t>Elektrodistribucija Srbije Ltd. Belgrade</w:t>
            </w:r>
          </w:p>
        </w:tc>
      </w:tr>
      <w:tr w:rsidR="0094644B" w:rsidRPr="00F07779" w14:paraId="192C8A81" w14:textId="77777777" w:rsidTr="00FB5086">
        <w:tc>
          <w:tcPr>
            <w:tcW w:w="2973" w:type="dxa"/>
          </w:tcPr>
          <w:p w14:paraId="66EE294D" w14:textId="77777777" w:rsidR="0094644B" w:rsidRPr="00FA3F57" w:rsidRDefault="0094644B" w:rsidP="00FB5086">
            <w:pPr>
              <w:rPr>
                <w:sz w:val="20"/>
                <w:szCs w:val="20"/>
              </w:rPr>
            </w:pPr>
            <w:r w:rsidRPr="00FA3F57">
              <w:rPr>
                <w:sz w:val="20"/>
                <w:szCs w:val="20"/>
              </w:rPr>
              <w:t>Institutions responsible for monitoring implementation and reporting on the realization</w:t>
            </w:r>
          </w:p>
        </w:tc>
        <w:tc>
          <w:tcPr>
            <w:tcW w:w="5742" w:type="dxa"/>
          </w:tcPr>
          <w:p w14:paraId="59B349DC" w14:textId="77777777" w:rsidR="0094644B" w:rsidRPr="00F07779" w:rsidRDefault="0094644B" w:rsidP="00FB5086">
            <w:pPr>
              <w:rPr>
                <w:sz w:val="20"/>
                <w:szCs w:val="20"/>
              </w:rPr>
            </w:pPr>
            <w:r w:rsidRPr="00FA3F57">
              <w:rPr>
                <w:sz w:val="20"/>
                <w:szCs w:val="20"/>
              </w:rPr>
              <w:t>Elektrodistribucija Srbije Ltd. Belgrade</w:t>
            </w:r>
          </w:p>
          <w:p w14:paraId="4E25636C" w14:textId="77777777" w:rsidR="0094644B" w:rsidRPr="00FA3F57" w:rsidRDefault="0094644B" w:rsidP="00FB5086">
            <w:pPr>
              <w:rPr>
                <w:sz w:val="20"/>
                <w:szCs w:val="20"/>
              </w:rPr>
            </w:pPr>
            <w:r w:rsidRPr="00FA3F57">
              <w:rPr>
                <w:sz w:val="20"/>
                <w:szCs w:val="20"/>
              </w:rPr>
              <w:t>Ministry of Mining and Energy</w:t>
            </w:r>
          </w:p>
          <w:p w14:paraId="0B6412A9" w14:textId="77777777" w:rsidR="0094644B" w:rsidRPr="00FA3F57" w:rsidRDefault="0094644B" w:rsidP="00FB5086">
            <w:pPr>
              <w:rPr>
                <w:sz w:val="20"/>
                <w:szCs w:val="20"/>
              </w:rPr>
            </w:pPr>
            <w:r w:rsidRPr="00FA3F57">
              <w:rPr>
                <w:sz w:val="20"/>
                <w:szCs w:val="20"/>
              </w:rPr>
              <w:t>Ministry of Economy</w:t>
            </w:r>
          </w:p>
        </w:tc>
      </w:tr>
      <w:tr w:rsidR="0094644B" w:rsidRPr="00F07779" w14:paraId="68B0A6B8" w14:textId="77777777" w:rsidTr="00FB5086">
        <w:tc>
          <w:tcPr>
            <w:tcW w:w="2973" w:type="dxa"/>
          </w:tcPr>
          <w:p w14:paraId="5CCA37AD" w14:textId="77777777" w:rsidR="0094644B" w:rsidRPr="00FA3F57" w:rsidRDefault="0094644B" w:rsidP="00FB5086">
            <w:pPr>
              <w:rPr>
                <w:sz w:val="20"/>
                <w:szCs w:val="20"/>
              </w:rPr>
            </w:pPr>
            <w:r w:rsidRPr="00FA3F57">
              <w:rPr>
                <w:sz w:val="20"/>
                <w:szCs w:val="20"/>
              </w:rPr>
              <w:t>Year of project funding start</w:t>
            </w:r>
          </w:p>
        </w:tc>
        <w:tc>
          <w:tcPr>
            <w:tcW w:w="5742" w:type="dxa"/>
          </w:tcPr>
          <w:p w14:paraId="54C6C642" w14:textId="77777777" w:rsidR="0094644B" w:rsidRPr="00FA3F57" w:rsidRDefault="0094644B" w:rsidP="00FB5086">
            <w:pPr>
              <w:rPr>
                <w:sz w:val="20"/>
                <w:szCs w:val="20"/>
              </w:rPr>
            </w:pPr>
            <w:r w:rsidRPr="00FA3F57">
              <w:rPr>
                <w:sz w:val="20"/>
                <w:szCs w:val="20"/>
              </w:rPr>
              <w:t>2026.</w:t>
            </w:r>
          </w:p>
        </w:tc>
      </w:tr>
      <w:tr w:rsidR="0094644B" w:rsidRPr="00F07779" w14:paraId="70D990E4" w14:textId="77777777" w:rsidTr="00FB5086">
        <w:tc>
          <w:tcPr>
            <w:tcW w:w="2973" w:type="dxa"/>
          </w:tcPr>
          <w:p w14:paraId="5BF8CB64" w14:textId="77777777" w:rsidR="0094644B" w:rsidRPr="00FA3F57" w:rsidRDefault="0094644B" w:rsidP="00FB5086">
            <w:pPr>
              <w:rPr>
                <w:sz w:val="20"/>
                <w:szCs w:val="20"/>
              </w:rPr>
            </w:pPr>
            <w:r w:rsidRPr="00FA3F57">
              <w:rPr>
                <w:sz w:val="20"/>
                <w:szCs w:val="20"/>
              </w:rPr>
              <w:t>Year of completion of project funding</w:t>
            </w:r>
          </w:p>
        </w:tc>
        <w:tc>
          <w:tcPr>
            <w:tcW w:w="5742" w:type="dxa"/>
          </w:tcPr>
          <w:p w14:paraId="729FA067" w14:textId="77777777" w:rsidR="0094644B" w:rsidRPr="00FA3F57" w:rsidRDefault="0094644B" w:rsidP="00FB5086">
            <w:pPr>
              <w:rPr>
                <w:sz w:val="20"/>
                <w:szCs w:val="20"/>
              </w:rPr>
            </w:pPr>
            <w:r w:rsidRPr="00FA3F57">
              <w:rPr>
                <w:sz w:val="20"/>
                <w:szCs w:val="20"/>
              </w:rPr>
              <w:t>2028.</w:t>
            </w:r>
          </w:p>
        </w:tc>
      </w:tr>
      <w:tr w:rsidR="0094644B" w:rsidRPr="00F07779" w14:paraId="55103FAB" w14:textId="77777777" w:rsidTr="00FB5086">
        <w:tc>
          <w:tcPr>
            <w:tcW w:w="2973" w:type="dxa"/>
          </w:tcPr>
          <w:p w14:paraId="6598763C" w14:textId="77777777" w:rsidR="0094644B" w:rsidRPr="00FA3F57" w:rsidRDefault="0094644B" w:rsidP="00FB5086">
            <w:pPr>
              <w:rPr>
                <w:sz w:val="20"/>
                <w:szCs w:val="20"/>
              </w:rPr>
            </w:pPr>
            <w:r w:rsidRPr="00FA3F57">
              <w:rPr>
                <w:sz w:val="20"/>
                <w:szCs w:val="20"/>
              </w:rPr>
              <w:t>Required funds and source of financing</w:t>
            </w:r>
          </w:p>
          <w:p w14:paraId="24FCBBEF" w14:textId="77777777" w:rsidR="0094644B" w:rsidRPr="00FA3F57" w:rsidRDefault="0094644B" w:rsidP="00FB5086">
            <w:pPr>
              <w:rPr>
                <w:sz w:val="20"/>
                <w:szCs w:val="20"/>
              </w:rPr>
            </w:pPr>
            <w:r w:rsidRPr="00FA3F57">
              <w:rPr>
                <w:sz w:val="20"/>
                <w:szCs w:val="20"/>
              </w:rPr>
              <w:lastRenderedPageBreak/>
              <w:t>(in thousands of RSD)</w:t>
            </w:r>
          </w:p>
        </w:tc>
        <w:tc>
          <w:tcPr>
            <w:tcW w:w="5742" w:type="dxa"/>
          </w:tcPr>
          <w:p w14:paraId="0EC27507" w14:textId="77777777" w:rsidR="0094644B" w:rsidRPr="00FA3F57" w:rsidRDefault="0094644B" w:rsidP="00FB5086">
            <w:pPr>
              <w:rPr>
                <w:sz w:val="20"/>
                <w:szCs w:val="20"/>
              </w:rPr>
            </w:pPr>
            <w:r w:rsidRPr="00FA3F57">
              <w:rPr>
                <w:sz w:val="20"/>
                <w:szCs w:val="20"/>
              </w:rPr>
              <w:lastRenderedPageBreak/>
              <w:t>515,900 (4.4 million EUR)</w:t>
            </w:r>
            <w:r w:rsidRPr="00FA3F57" w:rsidDel="00D501E5">
              <w:rPr>
                <w:sz w:val="20"/>
                <w:szCs w:val="20"/>
              </w:rPr>
              <w:t xml:space="preserve"> </w:t>
            </w:r>
            <w:r w:rsidRPr="00FA3F57">
              <w:rPr>
                <w:sz w:val="20"/>
                <w:szCs w:val="20"/>
              </w:rPr>
              <w:t>(EIB loan)</w:t>
            </w:r>
          </w:p>
        </w:tc>
      </w:tr>
      <w:tr w:rsidR="0094644B" w:rsidRPr="00F07779" w14:paraId="4A0BC51F" w14:textId="77777777" w:rsidTr="00FB5086">
        <w:tc>
          <w:tcPr>
            <w:tcW w:w="2973" w:type="dxa"/>
          </w:tcPr>
          <w:p w14:paraId="6B6770D0" w14:textId="77777777" w:rsidR="0094644B" w:rsidRPr="00FA3F57" w:rsidRDefault="0094644B" w:rsidP="00FB5086">
            <w:pPr>
              <w:rPr>
                <w:sz w:val="20"/>
                <w:szCs w:val="20"/>
              </w:rPr>
            </w:pPr>
            <w:r w:rsidRPr="00FA3F57">
              <w:rPr>
                <w:sz w:val="20"/>
                <w:szCs w:val="20"/>
              </w:rPr>
              <w:t>Planned investments for 2026.</w:t>
            </w:r>
            <w:r w:rsidRPr="00FA3F57">
              <w:rPr>
                <w:sz w:val="20"/>
                <w:szCs w:val="20"/>
              </w:rPr>
              <w:br/>
              <w:t>(in thousands of RSD)</w:t>
            </w:r>
          </w:p>
        </w:tc>
        <w:tc>
          <w:tcPr>
            <w:tcW w:w="5742" w:type="dxa"/>
          </w:tcPr>
          <w:p w14:paraId="7A5FD8C4" w14:textId="77777777" w:rsidR="0094644B" w:rsidRPr="00FA3F57" w:rsidRDefault="0094644B" w:rsidP="00FB5086">
            <w:pPr>
              <w:rPr>
                <w:sz w:val="20"/>
                <w:szCs w:val="20"/>
              </w:rPr>
            </w:pPr>
            <w:r w:rsidRPr="00FA3F57">
              <w:rPr>
                <w:sz w:val="20"/>
                <w:szCs w:val="20"/>
              </w:rPr>
              <w:t>46,900 (loan)</w:t>
            </w:r>
          </w:p>
        </w:tc>
      </w:tr>
      <w:tr w:rsidR="0094644B" w:rsidRPr="00F07779" w14:paraId="3CF3A90C" w14:textId="77777777" w:rsidTr="00FB5086">
        <w:tc>
          <w:tcPr>
            <w:tcW w:w="2973" w:type="dxa"/>
          </w:tcPr>
          <w:p w14:paraId="40962215" w14:textId="77777777" w:rsidR="0094644B" w:rsidRPr="00FA3F57" w:rsidRDefault="0094644B" w:rsidP="00FB5086">
            <w:pPr>
              <w:rPr>
                <w:sz w:val="20"/>
                <w:szCs w:val="20"/>
              </w:rPr>
            </w:pPr>
            <w:r w:rsidRPr="00FA3F57">
              <w:rPr>
                <w:sz w:val="20"/>
                <w:szCs w:val="20"/>
              </w:rPr>
              <w:t>Planned investments for 2027.</w:t>
            </w:r>
            <w:r w:rsidRPr="00FA3F57">
              <w:rPr>
                <w:sz w:val="20"/>
                <w:szCs w:val="20"/>
              </w:rPr>
              <w:br/>
              <w:t>(in thousands of RSD)</w:t>
            </w:r>
          </w:p>
        </w:tc>
        <w:tc>
          <w:tcPr>
            <w:tcW w:w="5742" w:type="dxa"/>
          </w:tcPr>
          <w:p w14:paraId="5AA66814" w14:textId="77777777" w:rsidR="0094644B" w:rsidRPr="00FA3F57" w:rsidRDefault="0094644B" w:rsidP="00FB5086">
            <w:pPr>
              <w:rPr>
                <w:sz w:val="20"/>
                <w:szCs w:val="20"/>
              </w:rPr>
            </w:pPr>
            <w:r w:rsidRPr="00FA3F57">
              <w:rPr>
                <w:sz w:val="20"/>
                <w:szCs w:val="20"/>
              </w:rPr>
              <w:t>234,500 (loan)</w:t>
            </w:r>
          </w:p>
        </w:tc>
      </w:tr>
      <w:tr w:rsidR="0094644B" w:rsidRPr="00F07779" w14:paraId="47A6AE9F" w14:textId="77777777" w:rsidTr="00FB5086">
        <w:tc>
          <w:tcPr>
            <w:tcW w:w="2973" w:type="dxa"/>
          </w:tcPr>
          <w:p w14:paraId="6AA90CC5" w14:textId="77777777" w:rsidR="0094644B" w:rsidRPr="00FA3F57" w:rsidRDefault="0094644B" w:rsidP="00FB5086">
            <w:pPr>
              <w:rPr>
                <w:sz w:val="20"/>
                <w:szCs w:val="20"/>
              </w:rPr>
            </w:pPr>
            <w:r w:rsidRPr="00FA3F57">
              <w:rPr>
                <w:sz w:val="20"/>
                <w:szCs w:val="20"/>
              </w:rPr>
              <w:t>Planned investments for 2028.</w:t>
            </w:r>
            <w:r w:rsidRPr="00FA3F57">
              <w:rPr>
                <w:sz w:val="20"/>
                <w:szCs w:val="20"/>
              </w:rPr>
              <w:br/>
              <w:t>(in thousands of RSD)</w:t>
            </w:r>
          </w:p>
        </w:tc>
        <w:tc>
          <w:tcPr>
            <w:tcW w:w="5742" w:type="dxa"/>
          </w:tcPr>
          <w:p w14:paraId="725BD27B" w14:textId="77777777" w:rsidR="0094644B" w:rsidRPr="00FA3F57" w:rsidRDefault="0094644B" w:rsidP="00FB5086">
            <w:pPr>
              <w:rPr>
                <w:sz w:val="20"/>
                <w:szCs w:val="20"/>
              </w:rPr>
            </w:pPr>
            <w:r w:rsidRPr="00FA3F57">
              <w:rPr>
                <w:sz w:val="20"/>
                <w:szCs w:val="20"/>
              </w:rPr>
              <w:t>234,500 (loan)</w:t>
            </w:r>
          </w:p>
        </w:tc>
      </w:tr>
      <w:tr w:rsidR="0094644B" w:rsidRPr="00F07779" w14:paraId="1CAF180A" w14:textId="77777777" w:rsidTr="00FB5086">
        <w:tc>
          <w:tcPr>
            <w:tcW w:w="2973" w:type="dxa"/>
          </w:tcPr>
          <w:p w14:paraId="6085E001" w14:textId="77777777" w:rsidR="0094644B" w:rsidRPr="00FA3F57" w:rsidRDefault="0094644B" w:rsidP="00FB5086">
            <w:pPr>
              <w:rPr>
                <w:sz w:val="20"/>
                <w:szCs w:val="20"/>
              </w:rPr>
            </w:pPr>
            <w:r w:rsidRPr="00FA3F57">
              <w:rPr>
                <w:sz w:val="20"/>
                <w:szCs w:val="20"/>
              </w:rPr>
              <w:t>Implementation indicator</w:t>
            </w:r>
          </w:p>
        </w:tc>
        <w:tc>
          <w:tcPr>
            <w:tcW w:w="5742" w:type="dxa"/>
          </w:tcPr>
          <w:p w14:paraId="0AEF62D4" w14:textId="77777777" w:rsidR="0094644B" w:rsidRPr="00FA3F57" w:rsidRDefault="0094644B" w:rsidP="00FB5086">
            <w:pPr>
              <w:rPr>
                <w:sz w:val="20"/>
                <w:szCs w:val="20"/>
              </w:rPr>
            </w:pPr>
            <w:r w:rsidRPr="00F07779">
              <w:rPr>
                <w:sz w:val="20"/>
                <w:szCs w:val="20"/>
              </w:rPr>
              <w:t>Number of replaced switches.</w:t>
            </w:r>
          </w:p>
        </w:tc>
      </w:tr>
      <w:tr w:rsidR="0094644B" w:rsidRPr="00F07779" w14:paraId="45F43711" w14:textId="77777777" w:rsidTr="00FB5086">
        <w:tc>
          <w:tcPr>
            <w:tcW w:w="2973" w:type="dxa"/>
          </w:tcPr>
          <w:p w14:paraId="0439F3E1" w14:textId="77777777" w:rsidR="0094644B" w:rsidRPr="00FA3F57" w:rsidRDefault="0094644B" w:rsidP="00FB5086">
            <w:pPr>
              <w:rPr>
                <w:sz w:val="20"/>
                <w:szCs w:val="20"/>
              </w:rPr>
            </w:pPr>
            <w:r w:rsidRPr="00FA3F57">
              <w:rPr>
                <w:sz w:val="20"/>
                <w:szCs w:val="20"/>
              </w:rPr>
              <w:t>Impact of the activity on the achievement of the objective</w:t>
            </w:r>
          </w:p>
        </w:tc>
        <w:tc>
          <w:tcPr>
            <w:tcW w:w="5742" w:type="dxa"/>
          </w:tcPr>
          <w:p w14:paraId="3E4DB3B7" w14:textId="77777777" w:rsidR="0094644B" w:rsidRPr="00FA3F57" w:rsidRDefault="0094644B" w:rsidP="00FB5086">
            <w:pPr>
              <w:rPr>
                <w:sz w:val="20"/>
                <w:szCs w:val="20"/>
              </w:rPr>
            </w:pPr>
            <w:r w:rsidRPr="00F07779">
              <w:rPr>
                <w:sz w:val="20"/>
                <w:szCs w:val="20"/>
              </w:rPr>
              <w:t>The project aims to ensure improved reliability of the distribution network, a reduction in the number and duration of outages for end-users, and a decrease in overall network maintenance costs.</w:t>
            </w:r>
          </w:p>
        </w:tc>
      </w:tr>
      <w:tr w:rsidR="0094644B" w:rsidRPr="00F07779" w14:paraId="4F67C1FB" w14:textId="77777777" w:rsidTr="00FB5086">
        <w:tc>
          <w:tcPr>
            <w:tcW w:w="2973" w:type="dxa"/>
          </w:tcPr>
          <w:p w14:paraId="44F15ADF" w14:textId="77777777" w:rsidR="0094644B" w:rsidRPr="00FA3F57" w:rsidRDefault="0094644B" w:rsidP="00FB5086">
            <w:pPr>
              <w:rPr>
                <w:sz w:val="20"/>
                <w:szCs w:val="20"/>
              </w:rPr>
            </w:pPr>
            <w:r w:rsidRPr="00FA3F57">
              <w:rPr>
                <w:sz w:val="20"/>
                <w:szCs w:val="20"/>
              </w:rPr>
              <w:t>Impact on EE, climate, and environmental protection</w:t>
            </w:r>
          </w:p>
        </w:tc>
        <w:tc>
          <w:tcPr>
            <w:tcW w:w="5742" w:type="dxa"/>
          </w:tcPr>
          <w:p w14:paraId="7A37F2BA" w14:textId="77777777" w:rsidR="0094644B" w:rsidRPr="00FA3F57" w:rsidRDefault="0094644B" w:rsidP="00FB5086">
            <w:pPr>
              <w:rPr>
                <w:sz w:val="20"/>
                <w:szCs w:val="20"/>
              </w:rPr>
            </w:pPr>
            <w:r w:rsidRPr="00FA3F57">
              <w:rPr>
                <w:sz w:val="20"/>
                <w:szCs w:val="20"/>
              </w:rPr>
              <w:t xml:space="preserve">Old circuit breakers (mostly oil-immersed) can be replaced with the best available technology, for example, vacuum circuit breakers. This avoids the use of harmful environmental substances that can affect soil quality. </w:t>
            </w:r>
            <w:r w:rsidRPr="00F07779">
              <w:rPr>
                <w:sz w:val="20"/>
                <w:szCs w:val="20"/>
              </w:rPr>
              <w:t>Circuit breakers that use harmful gases (such as SF6) for arc quenching and current interruption can be replaced with more modern and environmentally friendly technology. Replacing switchgear with new, more modern devices reduces the risk of fire and possible work injuries.</w:t>
            </w:r>
            <w:r w:rsidRPr="00FA3F57">
              <w:rPr>
                <w:sz w:val="20"/>
                <w:szCs w:val="20"/>
              </w:rPr>
              <w:t xml:space="preserve"> </w:t>
            </w:r>
          </w:p>
        </w:tc>
      </w:tr>
    </w:tbl>
    <w:p w14:paraId="5A899020" w14:textId="77777777" w:rsidR="0094644B" w:rsidRPr="00F07779" w:rsidRDefault="0094644B" w:rsidP="0094644B"/>
    <w:tbl>
      <w:tblPr>
        <w:tblStyle w:val="TableGrid"/>
        <w:tblW w:w="0" w:type="auto"/>
        <w:tblLook w:val="04A0" w:firstRow="1" w:lastRow="0" w:firstColumn="1" w:lastColumn="0" w:noHBand="0" w:noVBand="1"/>
      </w:tblPr>
      <w:tblGrid>
        <w:gridCol w:w="2973"/>
        <w:gridCol w:w="5742"/>
      </w:tblGrid>
      <w:tr w:rsidR="0094644B" w:rsidRPr="00F07779" w14:paraId="33F3852D" w14:textId="77777777" w:rsidTr="00FB5086">
        <w:tc>
          <w:tcPr>
            <w:tcW w:w="2973" w:type="dxa"/>
            <w:shd w:val="clear" w:color="auto" w:fill="D0CECE" w:themeFill="background2" w:themeFillShade="E6"/>
          </w:tcPr>
          <w:p w14:paraId="6A6B0293" w14:textId="77777777" w:rsidR="0094644B" w:rsidRPr="00FA3F57" w:rsidRDefault="0094644B" w:rsidP="00FB5086">
            <w:pPr>
              <w:keepNext/>
              <w:rPr>
                <w:sz w:val="20"/>
                <w:szCs w:val="20"/>
              </w:rPr>
            </w:pPr>
            <w:r w:rsidRPr="00FA3F57">
              <w:rPr>
                <w:sz w:val="20"/>
                <w:szCs w:val="20"/>
              </w:rPr>
              <w:t>Activity EL1.3</w:t>
            </w:r>
          </w:p>
        </w:tc>
        <w:tc>
          <w:tcPr>
            <w:tcW w:w="5742" w:type="dxa"/>
            <w:shd w:val="clear" w:color="auto" w:fill="D0CECE" w:themeFill="background2" w:themeFillShade="E6"/>
          </w:tcPr>
          <w:p w14:paraId="264EB146" w14:textId="77777777" w:rsidR="0094644B" w:rsidRPr="00FA3F57" w:rsidRDefault="0094644B" w:rsidP="00FB5086">
            <w:pPr>
              <w:keepNext/>
              <w:rPr>
                <w:sz w:val="20"/>
                <w:szCs w:val="20"/>
              </w:rPr>
            </w:pPr>
            <w:r w:rsidRPr="00F07779">
              <w:rPr>
                <w:sz w:val="20"/>
                <w:szCs w:val="20"/>
              </w:rPr>
              <w:t>Investment projects focused on the reconstruction and construction of the distribution network</w:t>
            </w:r>
          </w:p>
        </w:tc>
      </w:tr>
      <w:tr w:rsidR="0094644B" w:rsidRPr="00F07779" w14:paraId="7A6E54CC" w14:textId="77777777" w:rsidTr="00FB5086">
        <w:tc>
          <w:tcPr>
            <w:tcW w:w="2973" w:type="dxa"/>
            <w:shd w:val="clear" w:color="auto" w:fill="D9E2F3" w:themeFill="accent1" w:themeFillTint="33"/>
          </w:tcPr>
          <w:p w14:paraId="2048D269" w14:textId="77777777" w:rsidR="0094644B" w:rsidRPr="00FA3F57" w:rsidRDefault="0094644B" w:rsidP="00FB5086">
            <w:pPr>
              <w:keepNext/>
              <w:rPr>
                <w:sz w:val="20"/>
                <w:szCs w:val="20"/>
              </w:rPr>
            </w:pPr>
            <w:r w:rsidRPr="00FA3F57">
              <w:rPr>
                <w:sz w:val="20"/>
                <w:szCs w:val="20"/>
              </w:rPr>
              <w:t>Name of the project</w:t>
            </w:r>
          </w:p>
        </w:tc>
        <w:tc>
          <w:tcPr>
            <w:tcW w:w="5742" w:type="dxa"/>
            <w:shd w:val="clear" w:color="auto" w:fill="D9E2F3" w:themeFill="accent1" w:themeFillTint="33"/>
          </w:tcPr>
          <w:p w14:paraId="24BCCF6D" w14:textId="77777777" w:rsidR="0094644B" w:rsidRPr="00F07779" w:rsidRDefault="0094644B" w:rsidP="00FB5086">
            <w:pPr>
              <w:keepNext/>
              <w:rPr>
                <w:sz w:val="20"/>
                <w:szCs w:val="20"/>
              </w:rPr>
            </w:pPr>
            <w:r w:rsidRPr="00F07779">
              <w:rPr>
                <w:sz w:val="20"/>
                <w:szCs w:val="20"/>
              </w:rPr>
              <w:t>50 units of 110 kV disconnectors, 75 units of 35 kV outdoor disconnectors, and 61 units of 35 kV indoor disconnectors</w:t>
            </w:r>
          </w:p>
        </w:tc>
      </w:tr>
      <w:tr w:rsidR="0094644B" w:rsidRPr="00F07779" w14:paraId="4892842C" w14:textId="77777777" w:rsidTr="00FB5086">
        <w:tc>
          <w:tcPr>
            <w:tcW w:w="2973" w:type="dxa"/>
          </w:tcPr>
          <w:p w14:paraId="75B80BE5" w14:textId="77777777" w:rsidR="0094644B" w:rsidRPr="00FA3F57" w:rsidRDefault="0094644B" w:rsidP="00FB5086">
            <w:pPr>
              <w:rPr>
                <w:sz w:val="20"/>
                <w:szCs w:val="20"/>
              </w:rPr>
            </w:pPr>
            <w:r w:rsidRPr="00FA3F57">
              <w:rPr>
                <w:sz w:val="20"/>
                <w:szCs w:val="20"/>
              </w:rPr>
              <w:t>Description</w:t>
            </w:r>
          </w:p>
        </w:tc>
        <w:tc>
          <w:tcPr>
            <w:tcW w:w="5742" w:type="dxa"/>
          </w:tcPr>
          <w:p w14:paraId="30AD3EB6" w14:textId="77777777" w:rsidR="0094644B" w:rsidRPr="00FA3F57" w:rsidRDefault="0094644B" w:rsidP="00FB5086">
            <w:pPr>
              <w:rPr>
                <w:sz w:val="20"/>
                <w:szCs w:val="20"/>
              </w:rPr>
            </w:pPr>
            <w:r w:rsidRPr="00F07779">
              <w:rPr>
                <w:sz w:val="20"/>
                <w:szCs w:val="20"/>
              </w:rPr>
              <w:t>Outdated 110 kV and 35 kV circuit breakers are being replaced with modern, next-generation breakers. Based on the history of circuit breaker operations and event analysis, facilities and equipment (disconnectors) with reduced reliability are identified, and replacement activities with newer generation equipment are carried out.</w:t>
            </w:r>
          </w:p>
          <w:p w14:paraId="014BA2F7" w14:textId="77777777" w:rsidR="0094644B" w:rsidRPr="00FA3F57" w:rsidRDefault="0094644B" w:rsidP="00FB5086">
            <w:pPr>
              <w:rPr>
                <w:sz w:val="20"/>
                <w:szCs w:val="20"/>
              </w:rPr>
            </w:pPr>
            <w:r w:rsidRPr="00FA3F57">
              <w:rPr>
                <w:sz w:val="20"/>
                <w:szCs w:val="20"/>
              </w:rPr>
              <w:t>Expected dynamics of project implementation:</w:t>
            </w:r>
          </w:p>
          <w:p w14:paraId="4DB77ED9" w14:textId="77777777" w:rsidR="0094644B" w:rsidRPr="00FA3F57" w:rsidRDefault="0094644B" w:rsidP="00FB5086">
            <w:pPr>
              <w:rPr>
                <w:sz w:val="20"/>
                <w:szCs w:val="20"/>
              </w:rPr>
            </w:pPr>
            <w:r w:rsidRPr="00FA3F57">
              <w:rPr>
                <w:sz w:val="20"/>
                <w:szCs w:val="20"/>
              </w:rPr>
              <w:t>2026. The beginning of the project</w:t>
            </w:r>
          </w:p>
          <w:p w14:paraId="138A2F9D" w14:textId="77777777" w:rsidR="0094644B" w:rsidRPr="00FA3F57" w:rsidRDefault="0094644B" w:rsidP="00FB5086">
            <w:pPr>
              <w:rPr>
                <w:sz w:val="20"/>
                <w:szCs w:val="20"/>
              </w:rPr>
            </w:pPr>
            <w:r w:rsidRPr="00FA3F57">
              <w:rPr>
                <w:sz w:val="20"/>
                <w:szCs w:val="20"/>
              </w:rPr>
              <w:t>2027. Construction</w:t>
            </w:r>
          </w:p>
          <w:p w14:paraId="375164BD" w14:textId="77777777" w:rsidR="0094644B" w:rsidRPr="00FA3F57" w:rsidRDefault="0094644B" w:rsidP="00FB5086">
            <w:pPr>
              <w:rPr>
                <w:sz w:val="20"/>
                <w:szCs w:val="20"/>
              </w:rPr>
            </w:pPr>
            <w:r w:rsidRPr="00FA3F57">
              <w:rPr>
                <w:sz w:val="20"/>
                <w:szCs w:val="20"/>
              </w:rPr>
              <w:t>2028. Commissioning; trial operation</w:t>
            </w:r>
          </w:p>
        </w:tc>
      </w:tr>
      <w:tr w:rsidR="0094644B" w:rsidRPr="00F07779" w14:paraId="40891809" w14:textId="77777777" w:rsidTr="00FB5086">
        <w:tc>
          <w:tcPr>
            <w:tcW w:w="2973" w:type="dxa"/>
          </w:tcPr>
          <w:p w14:paraId="37E559D6" w14:textId="77777777" w:rsidR="0094644B" w:rsidRPr="00FA3F57" w:rsidRDefault="0094644B" w:rsidP="00FB5086">
            <w:pPr>
              <w:rPr>
                <w:sz w:val="20"/>
                <w:szCs w:val="20"/>
              </w:rPr>
            </w:pPr>
            <w:r w:rsidRPr="00FA3F57">
              <w:rPr>
                <w:sz w:val="20"/>
                <w:szCs w:val="20"/>
              </w:rPr>
              <w:t>Institutions responsible for the implementation of measures and activities</w:t>
            </w:r>
          </w:p>
        </w:tc>
        <w:tc>
          <w:tcPr>
            <w:tcW w:w="5742" w:type="dxa"/>
          </w:tcPr>
          <w:p w14:paraId="74B43603" w14:textId="77777777" w:rsidR="0094644B" w:rsidRPr="00FA3F57" w:rsidRDefault="0094644B" w:rsidP="00FB5086">
            <w:pPr>
              <w:rPr>
                <w:sz w:val="20"/>
                <w:szCs w:val="20"/>
              </w:rPr>
            </w:pPr>
            <w:r w:rsidRPr="00FA3F57">
              <w:rPr>
                <w:sz w:val="20"/>
                <w:szCs w:val="20"/>
              </w:rPr>
              <w:t>Elektrodistribucija Srbije Ltd. Belgrade</w:t>
            </w:r>
          </w:p>
        </w:tc>
      </w:tr>
      <w:tr w:rsidR="0094644B" w:rsidRPr="00F07779" w14:paraId="0B826864" w14:textId="77777777" w:rsidTr="00FB5086">
        <w:tc>
          <w:tcPr>
            <w:tcW w:w="2973" w:type="dxa"/>
          </w:tcPr>
          <w:p w14:paraId="666BF05A" w14:textId="77777777" w:rsidR="0094644B" w:rsidRPr="00FA3F57" w:rsidRDefault="0094644B" w:rsidP="00FB5086">
            <w:pPr>
              <w:rPr>
                <w:sz w:val="20"/>
                <w:szCs w:val="20"/>
              </w:rPr>
            </w:pPr>
            <w:r w:rsidRPr="00FA3F57">
              <w:rPr>
                <w:sz w:val="20"/>
                <w:szCs w:val="20"/>
              </w:rPr>
              <w:t>Institutions responsible for monitoring implementation and reporting on the realization</w:t>
            </w:r>
          </w:p>
        </w:tc>
        <w:tc>
          <w:tcPr>
            <w:tcW w:w="5742" w:type="dxa"/>
          </w:tcPr>
          <w:p w14:paraId="55F099CA" w14:textId="77777777" w:rsidR="0094644B" w:rsidRPr="00F07779" w:rsidRDefault="0094644B" w:rsidP="00FB5086">
            <w:pPr>
              <w:rPr>
                <w:sz w:val="20"/>
                <w:szCs w:val="20"/>
              </w:rPr>
            </w:pPr>
            <w:r w:rsidRPr="00FA3F57">
              <w:rPr>
                <w:sz w:val="20"/>
                <w:szCs w:val="20"/>
              </w:rPr>
              <w:t>Elektrodistribucija Srbije Ltd. Belgrade</w:t>
            </w:r>
          </w:p>
          <w:p w14:paraId="0A48C635" w14:textId="77777777" w:rsidR="0094644B" w:rsidRPr="00F07779" w:rsidRDefault="0094644B" w:rsidP="00FB5086">
            <w:pPr>
              <w:rPr>
                <w:sz w:val="20"/>
                <w:szCs w:val="20"/>
              </w:rPr>
            </w:pPr>
            <w:r w:rsidRPr="00FA3F57">
              <w:rPr>
                <w:sz w:val="20"/>
                <w:szCs w:val="20"/>
              </w:rPr>
              <w:t>Ministry of Mining and Energy</w:t>
            </w:r>
          </w:p>
          <w:p w14:paraId="24E8A158" w14:textId="77777777" w:rsidR="0094644B" w:rsidRPr="00F07779" w:rsidRDefault="0094644B" w:rsidP="00FB5086">
            <w:pPr>
              <w:rPr>
                <w:sz w:val="20"/>
                <w:szCs w:val="20"/>
              </w:rPr>
            </w:pPr>
            <w:r w:rsidRPr="00FA3F57">
              <w:rPr>
                <w:sz w:val="20"/>
                <w:szCs w:val="20"/>
              </w:rPr>
              <w:t>Ministry of Economy</w:t>
            </w:r>
          </w:p>
        </w:tc>
      </w:tr>
      <w:tr w:rsidR="0094644B" w:rsidRPr="00F07779" w14:paraId="1EA16353" w14:textId="77777777" w:rsidTr="00FB5086">
        <w:tc>
          <w:tcPr>
            <w:tcW w:w="2973" w:type="dxa"/>
          </w:tcPr>
          <w:p w14:paraId="24EB7961" w14:textId="77777777" w:rsidR="0094644B" w:rsidRPr="00FA3F57" w:rsidRDefault="0094644B" w:rsidP="00FB5086">
            <w:pPr>
              <w:rPr>
                <w:sz w:val="20"/>
                <w:szCs w:val="20"/>
              </w:rPr>
            </w:pPr>
            <w:r w:rsidRPr="00FA3F57">
              <w:rPr>
                <w:sz w:val="20"/>
                <w:szCs w:val="20"/>
              </w:rPr>
              <w:t>Year of project funding start</w:t>
            </w:r>
          </w:p>
        </w:tc>
        <w:tc>
          <w:tcPr>
            <w:tcW w:w="5742" w:type="dxa"/>
          </w:tcPr>
          <w:p w14:paraId="789C48CA" w14:textId="77777777" w:rsidR="0094644B" w:rsidRPr="00FA3F57" w:rsidRDefault="0094644B" w:rsidP="00FB5086">
            <w:pPr>
              <w:rPr>
                <w:sz w:val="20"/>
                <w:szCs w:val="20"/>
              </w:rPr>
            </w:pPr>
            <w:r w:rsidRPr="00FA3F57">
              <w:rPr>
                <w:sz w:val="20"/>
                <w:szCs w:val="20"/>
              </w:rPr>
              <w:t>2026.</w:t>
            </w:r>
          </w:p>
        </w:tc>
      </w:tr>
      <w:tr w:rsidR="0094644B" w:rsidRPr="00F07779" w14:paraId="00497789" w14:textId="77777777" w:rsidTr="00FB5086">
        <w:tc>
          <w:tcPr>
            <w:tcW w:w="2973" w:type="dxa"/>
          </w:tcPr>
          <w:p w14:paraId="306C1708" w14:textId="77777777" w:rsidR="0094644B" w:rsidRPr="00FA3F57" w:rsidRDefault="0094644B" w:rsidP="00FB5086">
            <w:pPr>
              <w:rPr>
                <w:sz w:val="20"/>
                <w:szCs w:val="20"/>
              </w:rPr>
            </w:pPr>
            <w:r w:rsidRPr="00FA3F57">
              <w:rPr>
                <w:sz w:val="20"/>
                <w:szCs w:val="20"/>
              </w:rPr>
              <w:t>Year of completion of project funding</w:t>
            </w:r>
          </w:p>
        </w:tc>
        <w:tc>
          <w:tcPr>
            <w:tcW w:w="5742" w:type="dxa"/>
          </w:tcPr>
          <w:p w14:paraId="3DBC6A5E" w14:textId="77777777" w:rsidR="0094644B" w:rsidRPr="00FA3F57" w:rsidRDefault="0094644B" w:rsidP="00FB5086">
            <w:pPr>
              <w:rPr>
                <w:sz w:val="20"/>
                <w:szCs w:val="20"/>
              </w:rPr>
            </w:pPr>
            <w:r w:rsidRPr="00FA3F57">
              <w:rPr>
                <w:sz w:val="20"/>
                <w:szCs w:val="20"/>
              </w:rPr>
              <w:t>202</w:t>
            </w:r>
            <w:r w:rsidRPr="00F07779">
              <w:rPr>
                <w:sz w:val="20"/>
                <w:szCs w:val="20"/>
              </w:rPr>
              <w:t>8</w:t>
            </w:r>
            <w:r w:rsidRPr="00FA3F57">
              <w:rPr>
                <w:sz w:val="20"/>
                <w:szCs w:val="20"/>
              </w:rPr>
              <w:t>.</w:t>
            </w:r>
          </w:p>
        </w:tc>
      </w:tr>
      <w:tr w:rsidR="0094644B" w:rsidRPr="00F07779" w14:paraId="4BED51B9" w14:textId="77777777" w:rsidTr="00FB5086">
        <w:tc>
          <w:tcPr>
            <w:tcW w:w="2973" w:type="dxa"/>
          </w:tcPr>
          <w:p w14:paraId="1D7B7F04" w14:textId="77777777" w:rsidR="0094644B" w:rsidRPr="00FA3F57" w:rsidRDefault="0094644B" w:rsidP="00FB5086">
            <w:pPr>
              <w:rPr>
                <w:sz w:val="20"/>
                <w:szCs w:val="20"/>
              </w:rPr>
            </w:pPr>
            <w:r w:rsidRPr="00FA3F57">
              <w:rPr>
                <w:sz w:val="20"/>
                <w:szCs w:val="20"/>
              </w:rPr>
              <w:t>Required funds and source of financing</w:t>
            </w:r>
          </w:p>
          <w:p w14:paraId="25C4716E" w14:textId="77777777" w:rsidR="0094644B" w:rsidRPr="00FA3F57" w:rsidRDefault="0094644B" w:rsidP="00FB5086">
            <w:pPr>
              <w:rPr>
                <w:sz w:val="20"/>
                <w:szCs w:val="20"/>
              </w:rPr>
            </w:pPr>
            <w:r w:rsidRPr="00FA3F57">
              <w:rPr>
                <w:sz w:val="20"/>
                <w:szCs w:val="20"/>
              </w:rPr>
              <w:t>(in thousands of RSD)</w:t>
            </w:r>
          </w:p>
        </w:tc>
        <w:tc>
          <w:tcPr>
            <w:tcW w:w="5742" w:type="dxa"/>
          </w:tcPr>
          <w:p w14:paraId="7C405AEE" w14:textId="77777777" w:rsidR="0094644B" w:rsidRPr="00FA3F57" w:rsidRDefault="0094644B" w:rsidP="00FB5086">
            <w:pPr>
              <w:rPr>
                <w:sz w:val="20"/>
                <w:szCs w:val="20"/>
              </w:rPr>
            </w:pPr>
            <w:r w:rsidRPr="00FA3F57">
              <w:rPr>
                <w:sz w:val="20"/>
                <w:szCs w:val="20"/>
              </w:rPr>
              <w:t>152,425 (1.3 million EUR)</w:t>
            </w:r>
            <w:r w:rsidRPr="00FA3F57" w:rsidDel="00C83B2A">
              <w:rPr>
                <w:sz w:val="20"/>
                <w:szCs w:val="20"/>
              </w:rPr>
              <w:t xml:space="preserve"> </w:t>
            </w:r>
            <w:r w:rsidRPr="00FA3F57">
              <w:rPr>
                <w:sz w:val="20"/>
                <w:szCs w:val="20"/>
              </w:rPr>
              <w:t>(EIB loan)</w:t>
            </w:r>
          </w:p>
        </w:tc>
      </w:tr>
      <w:tr w:rsidR="0094644B" w:rsidRPr="00F07779" w14:paraId="27138736" w14:textId="77777777" w:rsidTr="00FB5086">
        <w:tc>
          <w:tcPr>
            <w:tcW w:w="2973" w:type="dxa"/>
          </w:tcPr>
          <w:p w14:paraId="6A650A62" w14:textId="77777777" w:rsidR="0094644B" w:rsidRPr="00FA3F57" w:rsidRDefault="0094644B" w:rsidP="00FB5086">
            <w:pPr>
              <w:rPr>
                <w:sz w:val="20"/>
                <w:szCs w:val="20"/>
              </w:rPr>
            </w:pPr>
            <w:r w:rsidRPr="00FA3F57">
              <w:rPr>
                <w:sz w:val="20"/>
                <w:szCs w:val="20"/>
              </w:rPr>
              <w:t>Planned investments for 2026.</w:t>
            </w:r>
            <w:r w:rsidRPr="00FA3F57">
              <w:rPr>
                <w:sz w:val="20"/>
                <w:szCs w:val="20"/>
              </w:rPr>
              <w:br/>
              <w:t>(in thousands of RSD)</w:t>
            </w:r>
          </w:p>
        </w:tc>
        <w:tc>
          <w:tcPr>
            <w:tcW w:w="5742" w:type="dxa"/>
          </w:tcPr>
          <w:p w14:paraId="414C4C2F" w14:textId="77777777" w:rsidR="0094644B" w:rsidRPr="00FA3F57" w:rsidRDefault="0094644B" w:rsidP="00FB5086">
            <w:pPr>
              <w:rPr>
                <w:sz w:val="20"/>
                <w:szCs w:val="20"/>
              </w:rPr>
            </w:pPr>
            <w:r w:rsidRPr="00FA3F57">
              <w:rPr>
                <w:sz w:val="20"/>
                <w:szCs w:val="20"/>
              </w:rPr>
              <w:t>35,175 (loan)</w:t>
            </w:r>
          </w:p>
        </w:tc>
      </w:tr>
      <w:tr w:rsidR="0094644B" w:rsidRPr="00F07779" w14:paraId="242DE134" w14:textId="77777777" w:rsidTr="00FB5086">
        <w:tc>
          <w:tcPr>
            <w:tcW w:w="2973" w:type="dxa"/>
          </w:tcPr>
          <w:p w14:paraId="3336D7D1" w14:textId="77777777" w:rsidR="0094644B" w:rsidRPr="00FA3F57" w:rsidRDefault="0094644B" w:rsidP="00FB5086">
            <w:pPr>
              <w:rPr>
                <w:sz w:val="20"/>
                <w:szCs w:val="20"/>
              </w:rPr>
            </w:pPr>
            <w:r w:rsidRPr="00FA3F57">
              <w:rPr>
                <w:sz w:val="20"/>
                <w:szCs w:val="20"/>
              </w:rPr>
              <w:t>Planned investments for 2027.</w:t>
            </w:r>
            <w:r w:rsidRPr="00FA3F57">
              <w:rPr>
                <w:sz w:val="20"/>
                <w:szCs w:val="20"/>
              </w:rPr>
              <w:br/>
              <w:t>(in thousands of RSD)</w:t>
            </w:r>
          </w:p>
        </w:tc>
        <w:tc>
          <w:tcPr>
            <w:tcW w:w="5742" w:type="dxa"/>
          </w:tcPr>
          <w:p w14:paraId="5A02456A" w14:textId="77777777" w:rsidR="0094644B" w:rsidRPr="00FA3F57" w:rsidRDefault="0094644B" w:rsidP="00FB5086">
            <w:pPr>
              <w:rPr>
                <w:sz w:val="20"/>
                <w:szCs w:val="20"/>
              </w:rPr>
            </w:pPr>
            <w:r w:rsidRPr="00FA3F57">
              <w:rPr>
                <w:sz w:val="20"/>
                <w:szCs w:val="20"/>
              </w:rPr>
              <w:t>58,625 (loan)</w:t>
            </w:r>
          </w:p>
        </w:tc>
      </w:tr>
      <w:tr w:rsidR="0094644B" w:rsidRPr="00F07779" w14:paraId="29D9CC13" w14:textId="77777777" w:rsidTr="00FB5086">
        <w:tc>
          <w:tcPr>
            <w:tcW w:w="2973" w:type="dxa"/>
          </w:tcPr>
          <w:p w14:paraId="0F255EBC" w14:textId="77777777" w:rsidR="0094644B" w:rsidRPr="00FA3F57" w:rsidRDefault="0094644B" w:rsidP="00FB5086">
            <w:pPr>
              <w:rPr>
                <w:sz w:val="20"/>
                <w:szCs w:val="20"/>
              </w:rPr>
            </w:pPr>
            <w:r w:rsidRPr="00FA3F57">
              <w:rPr>
                <w:sz w:val="20"/>
                <w:szCs w:val="20"/>
              </w:rPr>
              <w:t>Planned investments for 2028.</w:t>
            </w:r>
            <w:r w:rsidRPr="00FA3F57">
              <w:rPr>
                <w:sz w:val="20"/>
                <w:szCs w:val="20"/>
              </w:rPr>
              <w:br/>
              <w:t>(in thousands of RSD)</w:t>
            </w:r>
          </w:p>
        </w:tc>
        <w:tc>
          <w:tcPr>
            <w:tcW w:w="5742" w:type="dxa"/>
          </w:tcPr>
          <w:p w14:paraId="27B019C8" w14:textId="77777777" w:rsidR="0094644B" w:rsidRPr="00F07779" w:rsidRDefault="0094644B" w:rsidP="00FB5086">
            <w:pPr>
              <w:rPr>
                <w:sz w:val="20"/>
                <w:szCs w:val="20"/>
              </w:rPr>
            </w:pPr>
            <w:r w:rsidRPr="00FA3F57">
              <w:rPr>
                <w:sz w:val="20"/>
                <w:szCs w:val="20"/>
              </w:rPr>
              <w:t>58,625 (loan)</w:t>
            </w:r>
          </w:p>
        </w:tc>
      </w:tr>
      <w:tr w:rsidR="0094644B" w:rsidRPr="00F07779" w14:paraId="6EDC4EDE" w14:textId="77777777" w:rsidTr="00FB5086">
        <w:tc>
          <w:tcPr>
            <w:tcW w:w="2973" w:type="dxa"/>
          </w:tcPr>
          <w:p w14:paraId="2376B425" w14:textId="77777777" w:rsidR="0094644B" w:rsidRPr="00FA3F57" w:rsidRDefault="0094644B" w:rsidP="00FB5086">
            <w:pPr>
              <w:rPr>
                <w:sz w:val="20"/>
                <w:szCs w:val="20"/>
              </w:rPr>
            </w:pPr>
            <w:r w:rsidRPr="00FA3F57">
              <w:rPr>
                <w:sz w:val="20"/>
                <w:szCs w:val="20"/>
              </w:rPr>
              <w:t>Implementation indicator</w:t>
            </w:r>
          </w:p>
        </w:tc>
        <w:tc>
          <w:tcPr>
            <w:tcW w:w="5742" w:type="dxa"/>
          </w:tcPr>
          <w:p w14:paraId="1BE9AE9C" w14:textId="77777777" w:rsidR="0094644B" w:rsidRPr="00FA3F57" w:rsidRDefault="0094644B" w:rsidP="00FB5086">
            <w:pPr>
              <w:rPr>
                <w:sz w:val="20"/>
                <w:szCs w:val="20"/>
              </w:rPr>
            </w:pPr>
            <w:r w:rsidRPr="00F07779">
              <w:rPr>
                <w:sz w:val="20"/>
                <w:szCs w:val="20"/>
              </w:rPr>
              <w:t>Number of replaced disconnectors.</w:t>
            </w:r>
          </w:p>
        </w:tc>
      </w:tr>
      <w:tr w:rsidR="0094644B" w:rsidRPr="00F07779" w14:paraId="4F84FAFD" w14:textId="77777777" w:rsidTr="00FB5086">
        <w:tc>
          <w:tcPr>
            <w:tcW w:w="2973" w:type="dxa"/>
          </w:tcPr>
          <w:p w14:paraId="14CA7D55" w14:textId="77777777" w:rsidR="0094644B" w:rsidRPr="00FA3F57" w:rsidRDefault="0094644B" w:rsidP="00FB5086">
            <w:pPr>
              <w:rPr>
                <w:sz w:val="20"/>
                <w:szCs w:val="20"/>
              </w:rPr>
            </w:pPr>
            <w:r w:rsidRPr="00FA3F57">
              <w:rPr>
                <w:sz w:val="20"/>
                <w:szCs w:val="20"/>
              </w:rPr>
              <w:t>Impact of the activity on the achievement of the objective</w:t>
            </w:r>
          </w:p>
        </w:tc>
        <w:tc>
          <w:tcPr>
            <w:tcW w:w="5742" w:type="dxa"/>
          </w:tcPr>
          <w:p w14:paraId="3736E1E6" w14:textId="77777777" w:rsidR="0094644B" w:rsidRPr="00FA3F57" w:rsidRDefault="0094644B" w:rsidP="00FB5086">
            <w:pPr>
              <w:rPr>
                <w:sz w:val="20"/>
                <w:szCs w:val="20"/>
              </w:rPr>
            </w:pPr>
            <w:r w:rsidRPr="00F07779">
              <w:rPr>
                <w:sz w:val="20"/>
                <w:szCs w:val="20"/>
              </w:rPr>
              <w:t>The project aims to ensure improved reliability of the distribution network, a reduction in the number and duration of outages for end-users, and a decrease in overall network maintenance costs.</w:t>
            </w:r>
          </w:p>
        </w:tc>
      </w:tr>
      <w:tr w:rsidR="0094644B" w:rsidRPr="00F07779" w14:paraId="1A0F470F" w14:textId="77777777" w:rsidTr="00FB5086">
        <w:tc>
          <w:tcPr>
            <w:tcW w:w="2973" w:type="dxa"/>
          </w:tcPr>
          <w:p w14:paraId="3B9D8BDC" w14:textId="77777777" w:rsidR="0094644B" w:rsidRPr="00FA3F57" w:rsidRDefault="0094644B" w:rsidP="00FB5086">
            <w:pPr>
              <w:rPr>
                <w:sz w:val="20"/>
                <w:szCs w:val="20"/>
              </w:rPr>
            </w:pPr>
            <w:r w:rsidRPr="00FA3F57">
              <w:rPr>
                <w:sz w:val="20"/>
                <w:szCs w:val="20"/>
              </w:rPr>
              <w:t>Impact on EE, climate, and environmental protection</w:t>
            </w:r>
          </w:p>
        </w:tc>
        <w:tc>
          <w:tcPr>
            <w:tcW w:w="5742" w:type="dxa"/>
          </w:tcPr>
          <w:p w14:paraId="260B497F" w14:textId="77777777" w:rsidR="0094644B" w:rsidRPr="00FA3F57" w:rsidRDefault="0094644B" w:rsidP="00FB5086">
            <w:pPr>
              <w:rPr>
                <w:sz w:val="20"/>
                <w:szCs w:val="20"/>
              </w:rPr>
            </w:pPr>
            <w:r w:rsidRPr="00FA3F57">
              <w:rPr>
                <w:sz w:val="20"/>
                <w:szCs w:val="20"/>
              </w:rPr>
              <w:t xml:space="preserve">Replacing </w:t>
            </w:r>
            <w:proofErr w:type="gramStart"/>
            <w:r w:rsidRPr="00FA3F57">
              <w:rPr>
                <w:sz w:val="20"/>
                <w:szCs w:val="20"/>
              </w:rPr>
              <w:t>switchgear</w:t>
            </w:r>
            <w:proofErr w:type="gramEnd"/>
            <w:r w:rsidRPr="00FA3F57">
              <w:rPr>
                <w:sz w:val="20"/>
                <w:szCs w:val="20"/>
              </w:rPr>
              <w:t xml:space="preserve"> with new, more modern devices reduces the risk of fire and possible </w:t>
            </w:r>
            <w:r w:rsidRPr="00F07779">
              <w:rPr>
                <w:sz w:val="20"/>
                <w:szCs w:val="20"/>
              </w:rPr>
              <w:t>work injuries</w:t>
            </w:r>
            <w:r w:rsidRPr="00FA3F57">
              <w:rPr>
                <w:sz w:val="20"/>
                <w:szCs w:val="20"/>
              </w:rPr>
              <w:t>.</w:t>
            </w:r>
          </w:p>
        </w:tc>
      </w:tr>
    </w:tbl>
    <w:p w14:paraId="5725CD95" w14:textId="77777777" w:rsidR="0094644B" w:rsidRPr="00FA3F57" w:rsidRDefault="0094644B" w:rsidP="0094644B"/>
    <w:tbl>
      <w:tblPr>
        <w:tblStyle w:val="TableGrid"/>
        <w:tblW w:w="0" w:type="auto"/>
        <w:tblLook w:val="04A0" w:firstRow="1" w:lastRow="0" w:firstColumn="1" w:lastColumn="0" w:noHBand="0" w:noVBand="1"/>
      </w:tblPr>
      <w:tblGrid>
        <w:gridCol w:w="2973"/>
        <w:gridCol w:w="5742"/>
      </w:tblGrid>
      <w:tr w:rsidR="0094644B" w:rsidRPr="00F07779" w14:paraId="5DEF939B" w14:textId="77777777" w:rsidTr="00FB5086">
        <w:tc>
          <w:tcPr>
            <w:tcW w:w="2973" w:type="dxa"/>
            <w:shd w:val="clear" w:color="auto" w:fill="D0CECE" w:themeFill="background2" w:themeFillShade="E6"/>
          </w:tcPr>
          <w:p w14:paraId="604CC3BD" w14:textId="77777777" w:rsidR="0094644B" w:rsidRPr="00FA3F57" w:rsidRDefault="0094644B" w:rsidP="00FB5086">
            <w:pPr>
              <w:keepNext/>
              <w:rPr>
                <w:sz w:val="20"/>
                <w:szCs w:val="20"/>
              </w:rPr>
            </w:pPr>
            <w:r w:rsidRPr="00FA3F57">
              <w:rPr>
                <w:sz w:val="20"/>
                <w:szCs w:val="20"/>
              </w:rPr>
              <w:lastRenderedPageBreak/>
              <w:t>Activity EL1.3</w:t>
            </w:r>
          </w:p>
        </w:tc>
        <w:tc>
          <w:tcPr>
            <w:tcW w:w="5742" w:type="dxa"/>
            <w:shd w:val="clear" w:color="auto" w:fill="D0CECE" w:themeFill="background2" w:themeFillShade="E6"/>
          </w:tcPr>
          <w:p w14:paraId="7BFE181A" w14:textId="77777777" w:rsidR="0094644B" w:rsidRPr="00FA3F57" w:rsidRDefault="0094644B" w:rsidP="00FB5086">
            <w:pPr>
              <w:keepNext/>
              <w:rPr>
                <w:sz w:val="20"/>
                <w:szCs w:val="20"/>
              </w:rPr>
            </w:pPr>
            <w:r w:rsidRPr="00F07779">
              <w:rPr>
                <w:sz w:val="20"/>
                <w:szCs w:val="20"/>
              </w:rPr>
              <w:t>Investment projects focused on the reconstruction and construction of the distribution network</w:t>
            </w:r>
          </w:p>
        </w:tc>
      </w:tr>
      <w:tr w:rsidR="0094644B" w:rsidRPr="00F07779" w14:paraId="4B2B6E90" w14:textId="77777777" w:rsidTr="00FB5086">
        <w:tc>
          <w:tcPr>
            <w:tcW w:w="2973" w:type="dxa"/>
            <w:shd w:val="clear" w:color="auto" w:fill="D9E2F3" w:themeFill="accent1" w:themeFillTint="33"/>
          </w:tcPr>
          <w:p w14:paraId="4AFE8C61" w14:textId="77777777" w:rsidR="0094644B" w:rsidRPr="00FA3F57" w:rsidRDefault="0094644B" w:rsidP="00FB5086">
            <w:pPr>
              <w:keepNext/>
              <w:rPr>
                <w:sz w:val="20"/>
                <w:szCs w:val="20"/>
              </w:rPr>
            </w:pPr>
            <w:r w:rsidRPr="00FA3F57">
              <w:rPr>
                <w:sz w:val="20"/>
                <w:szCs w:val="20"/>
              </w:rPr>
              <w:t>Name of the project</w:t>
            </w:r>
          </w:p>
        </w:tc>
        <w:tc>
          <w:tcPr>
            <w:tcW w:w="5742" w:type="dxa"/>
            <w:shd w:val="clear" w:color="auto" w:fill="D9E2F3" w:themeFill="accent1" w:themeFillTint="33"/>
          </w:tcPr>
          <w:p w14:paraId="225C54BC" w14:textId="77777777" w:rsidR="0094644B" w:rsidRPr="00F07779" w:rsidRDefault="0094644B" w:rsidP="00FB5086">
            <w:pPr>
              <w:keepNext/>
              <w:rPr>
                <w:sz w:val="20"/>
                <w:szCs w:val="20"/>
              </w:rPr>
            </w:pPr>
            <w:r w:rsidRPr="00F07779">
              <w:rPr>
                <w:sz w:val="20"/>
                <w:szCs w:val="20"/>
              </w:rPr>
              <w:t>Reconstruction of 110 kV transformer bays in substations where energy exchange metering with EMS JSC is performed on the medium-voltage side (70 substations and 107 transformer bays)</w:t>
            </w:r>
          </w:p>
        </w:tc>
      </w:tr>
      <w:tr w:rsidR="0094644B" w:rsidRPr="00F07779" w14:paraId="1A1E927C" w14:textId="77777777" w:rsidTr="00FB5086">
        <w:tc>
          <w:tcPr>
            <w:tcW w:w="2973" w:type="dxa"/>
          </w:tcPr>
          <w:p w14:paraId="5C3D61FA" w14:textId="77777777" w:rsidR="0094644B" w:rsidRPr="00FA3F57" w:rsidRDefault="0094644B" w:rsidP="00FB5086">
            <w:pPr>
              <w:rPr>
                <w:sz w:val="20"/>
                <w:szCs w:val="20"/>
              </w:rPr>
            </w:pPr>
            <w:r w:rsidRPr="00FA3F57">
              <w:rPr>
                <w:sz w:val="20"/>
                <w:szCs w:val="20"/>
              </w:rPr>
              <w:t>Description</w:t>
            </w:r>
          </w:p>
        </w:tc>
        <w:tc>
          <w:tcPr>
            <w:tcW w:w="5742" w:type="dxa"/>
          </w:tcPr>
          <w:p w14:paraId="39E4A197" w14:textId="77777777" w:rsidR="0094644B" w:rsidRPr="00FA3F57" w:rsidRDefault="0094644B" w:rsidP="00FB5086">
            <w:pPr>
              <w:rPr>
                <w:sz w:val="20"/>
                <w:szCs w:val="20"/>
              </w:rPr>
            </w:pPr>
            <w:r w:rsidRPr="00F07779">
              <w:rPr>
                <w:sz w:val="20"/>
                <w:szCs w:val="20"/>
              </w:rPr>
              <w:t xml:space="preserve">The project is intended to enable accurate measurement of electricity drawn from the transmission system, eliminating the need for correction factors previously used, thereby contributing to the reduction of energy losses in the distribution network. </w:t>
            </w:r>
            <w:r w:rsidRPr="00FA3F57">
              <w:rPr>
                <w:sz w:val="20"/>
                <w:szCs w:val="20"/>
              </w:rPr>
              <w:t xml:space="preserve">The reconstruction of the transformer </w:t>
            </w:r>
            <w:r w:rsidRPr="00F07779">
              <w:rPr>
                <w:sz w:val="20"/>
                <w:szCs w:val="20"/>
              </w:rPr>
              <w:t>bay</w:t>
            </w:r>
            <w:r w:rsidRPr="00FA3F57">
              <w:rPr>
                <w:sz w:val="20"/>
                <w:szCs w:val="20"/>
              </w:rPr>
              <w:t xml:space="preserve"> will also increase the reliability of the system.</w:t>
            </w:r>
          </w:p>
          <w:p w14:paraId="1317FBAB" w14:textId="77777777" w:rsidR="0094644B" w:rsidRPr="00FA3F57" w:rsidRDefault="0094644B" w:rsidP="00FB5086">
            <w:pPr>
              <w:rPr>
                <w:sz w:val="20"/>
                <w:szCs w:val="20"/>
              </w:rPr>
            </w:pPr>
            <w:r w:rsidRPr="00FA3F57">
              <w:rPr>
                <w:sz w:val="20"/>
                <w:szCs w:val="20"/>
              </w:rPr>
              <w:t>The project is in preparation.</w:t>
            </w:r>
          </w:p>
        </w:tc>
      </w:tr>
      <w:tr w:rsidR="0094644B" w:rsidRPr="00F07779" w14:paraId="3A1ABB93" w14:textId="77777777" w:rsidTr="00FB5086">
        <w:tc>
          <w:tcPr>
            <w:tcW w:w="2973" w:type="dxa"/>
          </w:tcPr>
          <w:p w14:paraId="21E65DD7" w14:textId="77777777" w:rsidR="0094644B" w:rsidRPr="00FA3F57" w:rsidRDefault="0094644B" w:rsidP="00FB5086">
            <w:pPr>
              <w:rPr>
                <w:sz w:val="20"/>
                <w:szCs w:val="20"/>
              </w:rPr>
            </w:pPr>
            <w:r w:rsidRPr="00FA3F57">
              <w:rPr>
                <w:sz w:val="20"/>
                <w:szCs w:val="20"/>
              </w:rPr>
              <w:t>Institutions responsible for the implementation of measures and activities</w:t>
            </w:r>
          </w:p>
        </w:tc>
        <w:tc>
          <w:tcPr>
            <w:tcW w:w="5742" w:type="dxa"/>
          </w:tcPr>
          <w:p w14:paraId="1DAABCD3" w14:textId="77777777" w:rsidR="0094644B" w:rsidRPr="00FA3F57" w:rsidRDefault="0094644B" w:rsidP="00FB5086">
            <w:pPr>
              <w:rPr>
                <w:sz w:val="20"/>
                <w:szCs w:val="20"/>
              </w:rPr>
            </w:pPr>
            <w:r w:rsidRPr="00FA3F57">
              <w:rPr>
                <w:sz w:val="20"/>
                <w:szCs w:val="20"/>
              </w:rPr>
              <w:t>Elektrodistribucija Srbije Ltd. Belgrade</w:t>
            </w:r>
          </w:p>
        </w:tc>
      </w:tr>
      <w:tr w:rsidR="0094644B" w:rsidRPr="00F07779" w14:paraId="348B4BCA" w14:textId="77777777" w:rsidTr="00FB5086">
        <w:tc>
          <w:tcPr>
            <w:tcW w:w="2973" w:type="dxa"/>
          </w:tcPr>
          <w:p w14:paraId="2E9AD6D6" w14:textId="77777777" w:rsidR="0094644B" w:rsidRPr="00FA3F57" w:rsidRDefault="0094644B" w:rsidP="00FB5086">
            <w:pPr>
              <w:rPr>
                <w:sz w:val="20"/>
                <w:szCs w:val="20"/>
              </w:rPr>
            </w:pPr>
            <w:r w:rsidRPr="00FA3F57">
              <w:rPr>
                <w:sz w:val="20"/>
                <w:szCs w:val="20"/>
              </w:rPr>
              <w:t>Institutions responsible for monitoring implementation and reporting on the realization</w:t>
            </w:r>
          </w:p>
        </w:tc>
        <w:tc>
          <w:tcPr>
            <w:tcW w:w="5742" w:type="dxa"/>
          </w:tcPr>
          <w:p w14:paraId="0530A0D2" w14:textId="77777777" w:rsidR="0094644B" w:rsidRPr="00F07779" w:rsidRDefault="0094644B" w:rsidP="00FB5086">
            <w:pPr>
              <w:rPr>
                <w:sz w:val="20"/>
                <w:szCs w:val="20"/>
              </w:rPr>
            </w:pPr>
            <w:r w:rsidRPr="00FA3F57">
              <w:rPr>
                <w:sz w:val="20"/>
                <w:szCs w:val="20"/>
              </w:rPr>
              <w:t>Elektrodistribucija Srbije Ltd. Belgrade</w:t>
            </w:r>
          </w:p>
          <w:p w14:paraId="359639EF" w14:textId="77777777" w:rsidR="0094644B" w:rsidRPr="00F07779" w:rsidRDefault="0094644B" w:rsidP="00FB5086">
            <w:pPr>
              <w:rPr>
                <w:sz w:val="20"/>
                <w:szCs w:val="20"/>
              </w:rPr>
            </w:pPr>
            <w:r w:rsidRPr="00FA3F57">
              <w:rPr>
                <w:sz w:val="20"/>
                <w:szCs w:val="20"/>
              </w:rPr>
              <w:t>Ministry of Mining and Energy</w:t>
            </w:r>
          </w:p>
          <w:p w14:paraId="5F394EA7" w14:textId="77777777" w:rsidR="0094644B" w:rsidRPr="00F07779" w:rsidRDefault="0094644B" w:rsidP="00FB5086">
            <w:pPr>
              <w:rPr>
                <w:sz w:val="20"/>
                <w:szCs w:val="20"/>
              </w:rPr>
            </w:pPr>
            <w:r w:rsidRPr="00FA3F57">
              <w:rPr>
                <w:sz w:val="20"/>
                <w:szCs w:val="20"/>
              </w:rPr>
              <w:t>Ministry of Economy</w:t>
            </w:r>
          </w:p>
        </w:tc>
      </w:tr>
    </w:tbl>
    <w:p w14:paraId="5EE7462B" w14:textId="77777777" w:rsidR="0094644B" w:rsidRPr="00FA3F57" w:rsidRDefault="0094644B" w:rsidP="0094644B"/>
    <w:tbl>
      <w:tblPr>
        <w:tblStyle w:val="TableGrid"/>
        <w:tblW w:w="0" w:type="auto"/>
        <w:tblLook w:val="04A0" w:firstRow="1" w:lastRow="0" w:firstColumn="1" w:lastColumn="0" w:noHBand="0" w:noVBand="1"/>
      </w:tblPr>
      <w:tblGrid>
        <w:gridCol w:w="2973"/>
        <w:gridCol w:w="5742"/>
      </w:tblGrid>
      <w:tr w:rsidR="0094644B" w:rsidRPr="00F07779" w14:paraId="249909A1" w14:textId="77777777" w:rsidTr="00FB5086">
        <w:tc>
          <w:tcPr>
            <w:tcW w:w="2973" w:type="dxa"/>
            <w:shd w:val="clear" w:color="auto" w:fill="D0CECE" w:themeFill="background2" w:themeFillShade="E6"/>
          </w:tcPr>
          <w:p w14:paraId="697BCBE4" w14:textId="77777777" w:rsidR="0094644B" w:rsidRPr="00FA3F57" w:rsidRDefault="0094644B" w:rsidP="00FB5086">
            <w:pPr>
              <w:keepNext/>
              <w:rPr>
                <w:sz w:val="20"/>
                <w:szCs w:val="20"/>
              </w:rPr>
            </w:pPr>
            <w:r w:rsidRPr="00FA3F57">
              <w:rPr>
                <w:sz w:val="20"/>
                <w:szCs w:val="20"/>
              </w:rPr>
              <w:t>Activity EL1.3</w:t>
            </w:r>
          </w:p>
        </w:tc>
        <w:tc>
          <w:tcPr>
            <w:tcW w:w="5742" w:type="dxa"/>
            <w:shd w:val="clear" w:color="auto" w:fill="D0CECE" w:themeFill="background2" w:themeFillShade="E6"/>
          </w:tcPr>
          <w:p w14:paraId="4D49D5B9" w14:textId="77777777" w:rsidR="0094644B" w:rsidRPr="00FA3F57" w:rsidRDefault="0094644B" w:rsidP="00FB5086">
            <w:pPr>
              <w:keepNext/>
              <w:rPr>
                <w:sz w:val="20"/>
                <w:szCs w:val="20"/>
              </w:rPr>
            </w:pPr>
            <w:r w:rsidRPr="00F07779">
              <w:rPr>
                <w:sz w:val="20"/>
                <w:szCs w:val="20"/>
              </w:rPr>
              <w:t>Investment projects focused on the reconstruction and construction of the distribution network</w:t>
            </w:r>
          </w:p>
        </w:tc>
      </w:tr>
      <w:tr w:rsidR="0094644B" w:rsidRPr="00F07779" w14:paraId="77919A3A" w14:textId="77777777" w:rsidTr="00FB5086">
        <w:tc>
          <w:tcPr>
            <w:tcW w:w="2973" w:type="dxa"/>
            <w:shd w:val="clear" w:color="auto" w:fill="D9E2F3" w:themeFill="accent1" w:themeFillTint="33"/>
          </w:tcPr>
          <w:p w14:paraId="1E131CCA" w14:textId="77777777" w:rsidR="0094644B" w:rsidRPr="00FA3F57" w:rsidRDefault="0094644B" w:rsidP="00FB5086">
            <w:pPr>
              <w:keepNext/>
              <w:rPr>
                <w:sz w:val="20"/>
                <w:szCs w:val="20"/>
              </w:rPr>
            </w:pPr>
            <w:r w:rsidRPr="00FA3F57">
              <w:rPr>
                <w:sz w:val="20"/>
                <w:szCs w:val="20"/>
              </w:rPr>
              <w:t>Name of the project</w:t>
            </w:r>
          </w:p>
        </w:tc>
        <w:tc>
          <w:tcPr>
            <w:tcW w:w="5742" w:type="dxa"/>
            <w:shd w:val="clear" w:color="auto" w:fill="D9E2F3" w:themeFill="accent1" w:themeFillTint="33"/>
          </w:tcPr>
          <w:p w14:paraId="5E4426CE" w14:textId="77777777" w:rsidR="0094644B" w:rsidRPr="00F07779" w:rsidRDefault="0094644B" w:rsidP="00FB5086">
            <w:pPr>
              <w:keepNext/>
              <w:rPr>
                <w:sz w:val="20"/>
                <w:szCs w:val="20"/>
              </w:rPr>
            </w:pPr>
            <w:r w:rsidRPr="00FA3F57">
              <w:rPr>
                <w:sz w:val="20"/>
                <w:szCs w:val="20"/>
              </w:rPr>
              <w:t>Cables and harnesses with accessories of all voltage levels</w:t>
            </w:r>
          </w:p>
        </w:tc>
      </w:tr>
      <w:tr w:rsidR="0094644B" w:rsidRPr="00F07779" w14:paraId="56A3A9C5" w14:textId="77777777" w:rsidTr="00FB5086">
        <w:tc>
          <w:tcPr>
            <w:tcW w:w="2973" w:type="dxa"/>
          </w:tcPr>
          <w:p w14:paraId="27D6AAC4" w14:textId="77777777" w:rsidR="0094644B" w:rsidRPr="00FA3F57" w:rsidRDefault="0094644B" w:rsidP="00FB5086">
            <w:pPr>
              <w:rPr>
                <w:sz w:val="20"/>
                <w:szCs w:val="20"/>
              </w:rPr>
            </w:pPr>
            <w:r w:rsidRPr="00FA3F57">
              <w:rPr>
                <w:sz w:val="20"/>
                <w:szCs w:val="20"/>
              </w:rPr>
              <w:t>Description</w:t>
            </w:r>
          </w:p>
        </w:tc>
        <w:tc>
          <w:tcPr>
            <w:tcW w:w="5742" w:type="dxa"/>
          </w:tcPr>
          <w:p w14:paraId="7161F93E" w14:textId="77777777" w:rsidR="0094644B" w:rsidRPr="00FA3F57" w:rsidRDefault="0094644B" w:rsidP="00FB5086">
            <w:pPr>
              <w:rPr>
                <w:sz w:val="20"/>
                <w:szCs w:val="20"/>
              </w:rPr>
            </w:pPr>
            <w:r w:rsidRPr="00FA3F57">
              <w:rPr>
                <w:sz w:val="20"/>
                <w:szCs w:val="20"/>
              </w:rPr>
              <w:t>The project should ensure faster implementation of investments, connections, and maintenance. The project is in preparation.</w:t>
            </w:r>
          </w:p>
        </w:tc>
      </w:tr>
      <w:tr w:rsidR="0094644B" w:rsidRPr="00F07779" w14:paraId="49AC529A" w14:textId="77777777" w:rsidTr="00FB5086">
        <w:tc>
          <w:tcPr>
            <w:tcW w:w="2973" w:type="dxa"/>
          </w:tcPr>
          <w:p w14:paraId="5FB4DA48" w14:textId="77777777" w:rsidR="0094644B" w:rsidRPr="00FA3F57" w:rsidRDefault="0094644B" w:rsidP="00FB5086">
            <w:pPr>
              <w:rPr>
                <w:sz w:val="20"/>
                <w:szCs w:val="20"/>
              </w:rPr>
            </w:pPr>
            <w:r w:rsidRPr="00FA3F57">
              <w:rPr>
                <w:sz w:val="20"/>
                <w:szCs w:val="20"/>
              </w:rPr>
              <w:t>Institutions responsible for the implementation of measures and activities</w:t>
            </w:r>
          </w:p>
        </w:tc>
        <w:tc>
          <w:tcPr>
            <w:tcW w:w="5742" w:type="dxa"/>
          </w:tcPr>
          <w:p w14:paraId="3826F5B1" w14:textId="77777777" w:rsidR="0094644B" w:rsidRPr="00FA3F57" w:rsidRDefault="0094644B" w:rsidP="00FB5086">
            <w:pPr>
              <w:rPr>
                <w:sz w:val="20"/>
                <w:szCs w:val="20"/>
              </w:rPr>
            </w:pPr>
            <w:r w:rsidRPr="00FA3F57">
              <w:rPr>
                <w:sz w:val="20"/>
                <w:szCs w:val="20"/>
              </w:rPr>
              <w:t>Elektrodistribucija Srbije Ltd. Belgrade</w:t>
            </w:r>
          </w:p>
        </w:tc>
      </w:tr>
      <w:tr w:rsidR="0094644B" w:rsidRPr="00F07779" w14:paraId="6488095F" w14:textId="77777777" w:rsidTr="00FB5086">
        <w:tc>
          <w:tcPr>
            <w:tcW w:w="2973" w:type="dxa"/>
          </w:tcPr>
          <w:p w14:paraId="72E9CCD6" w14:textId="77777777" w:rsidR="0094644B" w:rsidRPr="00FA3F57" w:rsidRDefault="0094644B" w:rsidP="00FB5086">
            <w:pPr>
              <w:rPr>
                <w:sz w:val="20"/>
                <w:szCs w:val="20"/>
              </w:rPr>
            </w:pPr>
            <w:r w:rsidRPr="00FA3F57">
              <w:rPr>
                <w:sz w:val="20"/>
                <w:szCs w:val="20"/>
              </w:rPr>
              <w:t>Institutions responsible for monitoring implementation and reporting on the realization</w:t>
            </w:r>
          </w:p>
        </w:tc>
        <w:tc>
          <w:tcPr>
            <w:tcW w:w="5742" w:type="dxa"/>
          </w:tcPr>
          <w:p w14:paraId="0E64275B" w14:textId="77777777" w:rsidR="0094644B" w:rsidRPr="00F07779" w:rsidRDefault="0094644B" w:rsidP="00FB5086">
            <w:pPr>
              <w:rPr>
                <w:sz w:val="20"/>
                <w:szCs w:val="20"/>
              </w:rPr>
            </w:pPr>
            <w:r w:rsidRPr="00FA3F57">
              <w:rPr>
                <w:sz w:val="20"/>
                <w:szCs w:val="20"/>
              </w:rPr>
              <w:t>Elektrodistribucija Srbije Ltd. Belgrade</w:t>
            </w:r>
          </w:p>
          <w:p w14:paraId="33467A0B" w14:textId="77777777" w:rsidR="0094644B" w:rsidRPr="00F07779" w:rsidRDefault="0094644B" w:rsidP="00FB5086">
            <w:pPr>
              <w:rPr>
                <w:sz w:val="20"/>
                <w:szCs w:val="20"/>
              </w:rPr>
            </w:pPr>
            <w:r w:rsidRPr="00FA3F57">
              <w:rPr>
                <w:sz w:val="20"/>
                <w:szCs w:val="20"/>
              </w:rPr>
              <w:t>Ministry of Mining and Energy</w:t>
            </w:r>
          </w:p>
          <w:p w14:paraId="31C4C360" w14:textId="77777777" w:rsidR="0094644B" w:rsidRPr="00F07779" w:rsidRDefault="0094644B" w:rsidP="00FB5086">
            <w:pPr>
              <w:rPr>
                <w:sz w:val="20"/>
                <w:szCs w:val="20"/>
              </w:rPr>
            </w:pPr>
            <w:r w:rsidRPr="00FA3F57">
              <w:rPr>
                <w:sz w:val="20"/>
                <w:szCs w:val="20"/>
              </w:rPr>
              <w:t>Ministry of Economy</w:t>
            </w:r>
          </w:p>
        </w:tc>
      </w:tr>
    </w:tbl>
    <w:p w14:paraId="51DC7700" w14:textId="77777777" w:rsidR="0094644B" w:rsidRPr="00F07779" w:rsidRDefault="0094644B" w:rsidP="0094644B"/>
    <w:tbl>
      <w:tblPr>
        <w:tblStyle w:val="TableGrid"/>
        <w:tblW w:w="0" w:type="auto"/>
        <w:tblLook w:val="04A0" w:firstRow="1" w:lastRow="0" w:firstColumn="1" w:lastColumn="0" w:noHBand="0" w:noVBand="1"/>
      </w:tblPr>
      <w:tblGrid>
        <w:gridCol w:w="2973"/>
        <w:gridCol w:w="5742"/>
      </w:tblGrid>
      <w:tr w:rsidR="0094644B" w:rsidRPr="00F07779" w14:paraId="5B06EF2D" w14:textId="77777777" w:rsidTr="00FB5086">
        <w:tc>
          <w:tcPr>
            <w:tcW w:w="2973" w:type="dxa"/>
            <w:shd w:val="clear" w:color="auto" w:fill="D0CECE" w:themeFill="background2" w:themeFillShade="E6"/>
          </w:tcPr>
          <w:p w14:paraId="11CE0DA6" w14:textId="77777777" w:rsidR="0094644B" w:rsidRPr="00FA3F57" w:rsidRDefault="0094644B" w:rsidP="00FB5086">
            <w:pPr>
              <w:keepNext/>
              <w:rPr>
                <w:sz w:val="20"/>
                <w:szCs w:val="20"/>
              </w:rPr>
            </w:pPr>
            <w:r w:rsidRPr="00FA3F57">
              <w:rPr>
                <w:sz w:val="20"/>
                <w:szCs w:val="20"/>
              </w:rPr>
              <w:t>Activity EL1.3</w:t>
            </w:r>
          </w:p>
        </w:tc>
        <w:tc>
          <w:tcPr>
            <w:tcW w:w="5742" w:type="dxa"/>
            <w:shd w:val="clear" w:color="auto" w:fill="D0CECE" w:themeFill="background2" w:themeFillShade="E6"/>
          </w:tcPr>
          <w:p w14:paraId="28EE5A32" w14:textId="77777777" w:rsidR="0094644B" w:rsidRPr="00FA3F57" w:rsidRDefault="0094644B" w:rsidP="00FB5086">
            <w:pPr>
              <w:keepNext/>
              <w:rPr>
                <w:sz w:val="20"/>
                <w:szCs w:val="20"/>
              </w:rPr>
            </w:pPr>
            <w:r w:rsidRPr="00F07779">
              <w:rPr>
                <w:sz w:val="20"/>
                <w:szCs w:val="20"/>
              </w:rPr>
              <w:t>Investment projects focused on the reconstruction and construction of the distribution network</w:t>
            </w:r>
          </w:p>
        </w:tc>
      </w:tr>
      <w:tr w:rsidR="0094644B" w:rsidRPr="00F07779" w14:paraId="4B3C0D07" w14:textId="77777777" w:rsidTr="00FB5086">
        <w:tc>
          <w:tcPr>
            <w:tcW w:w="2973" w:type="dxa"/>
            <w:shd w:val="clear" w:color="auto" w:fill="D9E2F3" w:themeFill="accent1" w:themeFillTint="33"/>
          </w:tcPr>
          <w:p w14:paraId="34128856" w14:textId="77777777" w:rsidR="0094644B" w:rsidRPr="00FA3F57" w:rsidRDefault="0094644B" w:rsidP="00FB5086">
            <w:pPr>
              <w:keepNext/>
              <w:rPr>
                <w:sz w:val="20"/>
                <w:szCs w:val="20"/>
              </w:rPr>
            </w:pPr>
            <w:r w:rsidRPr="00FA3F57">
              <w:rPr>
                <w:sz w:val="20"/>
                <w:szCs w:val="20"/>
              </w:rPr>
              <w:t>Name of the project</w:t>
            </w:r>
          </w:p>
        </w:tc>
        <w:tc>
          <w:tcPr>
            <w:tcW w:w="5742" w:type="dxa"/>
            <w:shd w:val="clear" w:color="auto" w:fill="D9E2F3" w:themeFill="accent1" w:themeFillTint="33"/>
          </w:tcPr>
          <w:p w14:paraId="46050FCD" w14:textId="77777777" w:rsidR="0094644B" w:rsidRPr="00F07779" w:rsidRDefault="0094644B" w:rsidP="00FB5086">
            <w:pPr>
              <w:keepNext/>
              <w:rPr>
                <w:sz w:val="20"/>
                <w:szCs w:val="20"/>
              </w:rPr>
            </w:pPr>
            <w:r w:rsidRPr="00FA3F57">
              <w:rPr>
                <w:sz w:val="20"/>
                <w:szCs w:val="20"/>
              </w:rPr>
              <w:t>Construction of optical infrastructure</w:t>
            </w:r>
          </w:p>
        </w:tc>
      </w:tr>
      <w:tr w:rsidR="0094644B" w:rsidRPr="00F07779" w14:paraId="36CEE00D" w14:textId="77777777" w:rsidTr="00FB5086">
        <w:tc>
          <w:tcPr>
            <w:tcW w:w="2973" w:type="dxa"/>
          </w:tcPr>
          <w:p w14:paraId="59CCB26A" w14:textId="77777777" w:rsidR="0094644B" w:rsidRPr="00FA3F57" w:rsidRDefault="0094644B" w:rsidP="00FB5086">
            <w:pPr>
              <w:rPr>
                <w:sz w:val="20"/>
                <w:szCs w:val="20"/>
              </w:rPr>
            </w:pPr>
            <w:r w:rsidRPr="00FA3F57">
              <w:rPr>
                <w:sz w:val="20"/>
                <w:szCs w:val="20"/>
              </w:rPr>
              <w:t>Description</w:t>
            </w:r>
          </w:p>
        </w:tc>
        <w:tc>
          <w:tcPr>
            <w:tcW w:w="5742" w:type="dxa"/>
          </w:tcPr>
          <w:p w14:paraId="1CE5636D" w14:textId="77777777" w:rsidR="0094644B" w:rsidRPr="00F07779" w:rsidRDefault="0094644B" w:rsidP="00FB5086">
            <w:pPr>
              <w:rPr>
                <w:sz w:val="20"/>
                <w:szCs w:val="20"/>
              </w:rPr>
            </w:pPr>
            <w:r w:rsidRPr="00F07779">
              <w:rPr>
                <w:sz w:val="20"/>
                <w:szCs w:val="20"/>
              </w:rPr>
              <w:t xml:space="preserve">The project for the construction of optical infrastructure involves the procurement and installation of different types of optical cables (OPGW, ADSS, and underground cables) to interconnect the distribution areas and branches of </w:t>
            </w:r>
            <w:r w:rsidRPr="00FA3F57">
              <w:rPr>
                <w:sz w:val="20"/>
                <w:szCs w:val="20"/>
              </w:rPr>
              <w:t>"Elektrodistribucija Srbije"</w:t>
            </w:r>
            <w:r w:rsidRPr="00F07779">
              <w:rPr>
                <w:sz w:val="20"/>
                <w:szCs w:val="20"/>
              </w:rPr>
              <w:t>, to achieve telecommunications independence from EPS, EMS, and commercial telecom operators. The project will establish high-capacity, highly reliable connections between distribution area centers and the branch centers of EDS. This project facilitates the establishment of a unified and independent ICT system for the company, enhancing efficiency, enabling centralized management and control of the electric power distribution system, supporting centralized unified business systems, reducing operational expenses, and contributing to the reduction of both commercial and technical losses. This project would contribute to a more efficient implementation of the medium-voltage network automation project, the Smart Grid project, and similar capital projects being carried out throughout the country.</w:t>
            </w:r>
          </w:p>
          <w:p w14:paraId="27241B0D" w14:textId="77777777" w:rsidR="0094644B" w:rsidRPr="00FA3F57" w:rsidRDefault="0094644B" w:rsidP="00FB5086">
            <w:pPr>
              <w:rPr>
                <w:sz w:val="20"/>
                <w:szCs w:val="20"/>
              </w:rPr>
            </w:pPr>
            <w:r w:rsidRPr="00FA3F57">
              <w:rPr>
                <w:sz w:val="20"/>
                <w:szCs w:val="20"/>
              </w:rPr>
              <w:t>Expected dynamics of project implementation:</w:t>
            </w:r>
          </w:p>
          <w:p w14:paraId="2F2E7C05" w14:textId="77777777" w:rsidR="0094644B" w:rsidRPr="00FA3F57" w:rsidRDefault="0094644B" w:rsidP="00FB5086">
            <w:pPr>
              <w:rPr>
                <w:sz w:val="20"/>
                <w:szCs w:val="20"/>
              </w:rPr>
            </w:pPr>
            <w:r w:rsidRPr="00FA3F57">
              <w:rPr>
                <w:sz w:val="20"/>
                <w:szCs w:val="20"/>
              </w:rPr>
              <w:t>2026. The beginning of the project</w:t>
            </w:r>
          </w:p>
          <w:p w14:paraId="25588B6F" w14:textId="77777777" w:rsidR="0094644B" w:rsidRPr="00FA3F57" w:rsidRDefault="0094644B" w:rsidP="00FB5086">
            <w:pPr>
              <w:rPr>
                <w:sz w:val="20"/>
                <w:szCs w:val="20"/>
              </w:rPr>
            </w:pPr>
            <w:r w:rsidRPr="00FA3F57">
              <w:rPr>
                <w:sz w:val="20"/>
                <w:szCs w:val="20"/>
              </w:rPr>
              <w:t>2027. Preliminary design</w:t>
            </w:r>
          </w:p>
          <w:p w14:paraId="50E9DCF7" w14:textId="77777777" w:rsidR="0094644B" w:rsidRPr="00FA3F57" w:rsidRDefault="0094644B" w:rsidP="00FB5086">
            <w:pPr>
              <w:rPr>
                <w:sz w:val="20"/>
                <w:szCs w:val="20"/>
              </w:rPr>
            </w:pPr>
            <w:r w:rsidRPr="00FA3F57">
              <w:rPr>
                <w:sz w:val="20"/>
                <w:szCs w:val="20"/>
              </w:rPr>
              <w:t>2028. Construction</w:t>
            </w:r>
          </w:p>
        </w:tc>
      </w:tr>
      <w:tr w:rsidR="0094644B" w:rsidRPr="00F07779" w14:paraId="4E753848" w14:textId="77777777" w:rsidTr="00FB5086">
        <w:tc>
          <w:tcPr>
            <w:tcW w:w="2973" w:type="dxa"/>
          </w:tcPr>
          <w:p w14:paraId="397610EA" w14:textId="77777777" w:rsidR="0094644B" w:rsidRPr="00FA3F57" w:rsidRDefault="0094644B" w:rsidP="00FB5086">
            <w:pPr>
              <w:rPr>
                <w:sz w:val="20"/>
                <w:szCs w:val="20"/>
              </w:rPr>
            </w:pPr>
            <w:r w:rsidRPr="00FA3F57">
              <w:rPr>
                <w:sz w:val="20"/>
                <w:szCs w:val="20"/>
              </w:rPr>
              <w:t>Institutions responsible for the implementation of measures and activities</w:t>
            </w:r>
          </w:p>
        </w:tc>
        <w:tc>
          <w:tcPr>
            <w:tcW w:w="5742" w:type="dxa"/>
          </w:tcPr>
          <w:p w14:paraId="0173B1B6" w14:textId="77777777" w:rsidR="0094644B" w:rsidRPr="00FA3F57" w:rsidRDefault="0094644B" w:rsidP="00FB5086">
            <w:pPr>
              <w:rPr>
                <w:sz w:val="20"/>
                <w:szCs w:val="20"/>
              </w:rPr>
            </w:pPr>
            <w:r w:rsidRPr="00FA3F57">
              <w:rPr>
                <w:sz w:val="20"/>
                <w:szCs w:val="20"/>
              </w:rPr>
              <w:t>Elektrodistribucija Srbije Ltd. Belgrade</w:t>
            </w:r>
          </w:p>
        </w:tc>
      </w:tr>
      <w:tr w:rsidR="0094644B" w:rsidRPr="00F07779" w14:paraId="2AD86BEA" w14:textId="77777777" w:rsidTr="00FB5086">
        <w:tc>
          <w:tcPr>
            <w:tcW w:w="2973" w:type="dxa"/>
          </w:tcPr>
          <w:p w14:paraId="01FCFF99" w14:textId="77777777" w:rsidR="0094644B" w:rsidRPr="00FA3F57" w:rsidRDefault="0094644B" w:rsidP="00FB5086">
            <w:pPr>
              <w:rPr>
                <w:sz w:val="20"/>
                <w:szCs w:val="20"/>
              </w:rPr>
            </w:pPr>
            <w:r w:rsidRPr="00FA3F57">
              <w:rPr>
                <w:sz w:val="20"/>
                <w:szCs w:val="20"/>
              </w:rPr>
              <w:t>Institutions responsible for monitoring implementation and reporting on the realization</w:t>
            </w:r>
          </w:p>
        </w:tc>
        <w:tc>
          <w:tcPr>
            <w:tcW w:w="5742" w:type="dxa"/>
          </w:tcPr>
          <w:p w14:paraId="61E63C90" w14:textId="77777777" w:rsidR="0094644B" w:rsidRPr="00F07779" w:rsidRDefault="0094644B" w:rsidP="00FB5086">
            <w:pPr>
              <w:rPr>
                <w:sz w:val="20"/>
                <w:szCs w:val="20"/>
              </w:rPr>
            </w:pPr>
            <w:r w:rsidRPr="00FA3F57">
              <w:rPr>
                <w:sz w:val="20"/>
                <w:szCs w:val="20"/>
              </w:rPr>
              <w:t>"Elektrodistribucija Srbije"</w:t>
            </w:r>
          </w:p>
          <w:p w14:paraId="58AE520E" w14:textId="77777777" w:rsidR="0094644B" w:rsidRPr="00F07779" w:rsidRDefault="0094644B" w:rsidP="00FB5086">
            <w:pPr>
              <w:rPr>
                <w:sz w:val="20"/>
                <w:szCs w:val="20"/>
              </w:rPr>
            </w:pPr>
            <w:r w:rsidRPr="00FA3F57">
              <w:rPr>
                <w:sz w:val="20"/>
                <w:szCs w:val="20"/>
              </w:rPr>
              <w:t>LLC</w:t>
            </w:r>
            <w:r w:rsidRPr="00FA3F57" w:rsidDel="00135D3B">
              <w:rPr>
                <w:sz w:val="20"/>
                <w:szCs w:val="20"/>
              </w:rPr>
              <w:t xml:space="preserve"> </w:t>
            </w:r>
            <w:r w:rsidRPr="00FA3F57">
              <w:rPr>
                <w:sz w:val="20"/>
                <w:szCs w:val="20"/>
              </w:rPr>
              <w:t>Ministry of Mining and Energy</w:t>
            </w:r>
          </w:p>
          <w:p w14:paraId="328EC997" w14:textId="77777777" w:rsidR="0094644B" w:rsidRPr="00F07779" w:rsidRDefault="0094644B" w:rsidP="00FB5086">
            <w:pPr>
              <w:rPr>
                <w:sz w:val="20"/>
                <w:szCs w:val="20"/>
              </w:rPr>
            </w:pPr>
            <w:r w:rsidRPr="00FA3F57">
              <w:rPr>
                <w:sz w:val="20"/>
                <w:szCs w:val="20"/>
              </w:rPr>
              <w:t>Ministry of Economy</w:t>
            </w:r>
          </w:p>
        </w:tc>
      </w:tr>
      <w:tr w:rsidR="0094644B" w:rsidRPr="00F07779" w14:paraId="012E148D" w14:textId="77777777" w:rsidTr="00FB5086">
        <w:tc>
          <w:tcPr>
            <w:tcW w:w="2973" w:type="dxa"/>
          </w:tcPr>
          <w:p w14:paraId="4BB0C37A" w14:textId="77777777" w:rsidR="0094644B" w:rsidRPr="00FA3F57" w:rsidRDefault="0094644B" w:rsidP="00FB5086">
            <w:pPr>
              <w:rPr>
                <w:sz w:val="20"/>
                <w:szCs w:val="20"/>
              </w:rPr>
            </w:pPr>
            <w:r w:rsidRPr="00FA3F57">
              <w:rPr>
                <w:sz w:val="20"/>
                <w:szCs w:val="20"/>
              </w:rPr>
              <w:t>Year of project funding start</w:t>
            </w:r>
          </w:p>
        </w:tc>
        <w:tc>
          <w:tcPr>
            <w:tcW w:w="5742" w:type="dxa"/>
          </w:tcPr>
          <w:p w14:paraId="5748067F" w14:textId="77777777" w:rsidR="0094644B" w:rsidRPr="00FA3F57" w:rsidRDefault="0094644B" w:rsidP="00FB5086">
            <w:pPr>
              <w:rPr>
                <w:sz w:val="20"/>
                <w:szCs w:val="20"/>
              </w:rPr>
            </w:pPr>
            <w:r w:rsidRPr="00FA3F57">
              <w:rPr>
                <w:sz w:val="20"/>
                <w:szCs w:val="20"/>
              </w:rPr>
              <w:t>n/a</w:t>
            </w:r>
          </w:p>
        </w:tc>
      </w:tr>
      <w:tr w:rsidR="0094644B" w:rsidRPr="00F07779" w14:paraId="04CC0352" w14:textId="77777777" w:rsidTr="00FB5086">
        <w:tc>
          <w:tcPr>
            <w:tcW w:w="2973" w:type="dxa"/>
          </w:tcPr>
          <w:p w14:paraId="5FD7139A" w14:textId="77777777" w:rsidR="0094644B" w:rsidRPr="00FA3F57" w:rsidRDefault="0094644B" w:rsidP="00FB5086">
            <w:pPr>
              <w:rPr>
                <w:sz w:val="20"/>
                <w:szCs w:val="20"/>
              </w:rPr>
            </w:pPr>
            <w:r w:rsidRPr="00FA3F57">
              <w:rPr>
                <w:sz w:val="20"/>
                <w:szCs w:val="20"/>
              </w:rPr>
              <w:lastRenderedPageBreak/>
              <w:t>Year of completion of project funding</w:t>
            </w:r>
          </w:p>
        </w:tc>
        <w:tc>
          <w:tcPr>
            <w:tcW w:w="5742" w:type="dxa"/>
          </w:tcPr>
          <w:p w14:paraId="5917E57E" w14:textId="77777777" w:rsidR="0094644B" w:rsidRPr="00FA3F57" w:rsidRDefault="0094644B" w:rsidP="00FB5086">
            <w:pPr>
              <w:rPr>
                <w:sz w:val="20"/>
                <w:szCs w:val="20"/>
              </w:rPr>
            </w:pPr>
            <w:r w:rsidRPr="00FA3F57">
              <w:rPr>
                <w:sz w:val="20"/>
                <w:szCs w:val="20"/>
              </w:rPr>
              <w:t>2030.</w:t>
            </w:r>
          </w:p>
        </w:tc>
      </w:tr>
      <w:tr w:rsidR="0094644B" w:rsidRPr="00F07779" w14:paraId="09828EAF" w14:textId="77777777" w:rsidTr="00FB5086">
        <w:tc>
          <w:tcPr>
            <w:tcW w:w="2973" w:type="dxa"/>
          </w:tcPr>
          <w:p w14:paraId="21A80D86" w14:textId="77777777" w:rsidR="0094644B" w:rsidRPr="00FA3F57" w:rsidRDefault="0094644B" w:rsidP="00FB5086">
            <w:pPr>
              <w:rPr>
                <w:sz w:val="20"/>
                <w:szCs w:val="20"/>
              </w:rPr>
            </w:pPr>
            <w:r w:rsidRPr="00FA3F57">
              <w:rPr>
                <w:sz w:val="20"/>
                <w:szCs w:val="20"/>
              </w:rPr>
              <w:t>Required funds and source of financing</w:t>
            </w:r>
          </w:p>
          <w:p w14:paraId="471B9204" w14:textId="77777777" w:rsidR="0094644B" w:rsidRPr="00FA3F57" w:rsidRDefault="0094644B" w:rsidP="00FB5086">
            <w:pPr>
              <w:rPr>
                <w:sz w:val="20"/>
                <w:szCs w:val="20"/>
              </w:rPr>
            </w:pPr>
            <w:r w:rsidRPr="00FA3F57">
              <w:rPr>
                <w:sz w:val="20"/>
                <w:szCs w:val="20"/>
              </w:rPr>
              <w:t>(in thousands of RSD)</w:t>
            </w:r>
          </w:p>
        </w:tc>
        <w:tc>
          <w:tcPr>
            <w:tcW w:w="5742" w:type="dxa"/>
          </w:tcPr>
          <w:p w14:paraId="07BD701C" w14:textId="77777777" w:rsidR="0094644B" w:rsidRPr="00FA3F57" w:rsidRDefault="0094644B" w:rsidP="00FB5086">
            <w:pPr>
              <w:rPr>
                <w:sz w:val="20"/>
                <w:szCs w:val="20"/>
              </w:rPr>
            </w:pPr>
            <w:r w:rsidRPr="00FA3F57">
              <w:rPr>
                <w:sz w:val="20"/>
                <w:szCs w:val="20"/>
              </w:rPr>
              <w:t>6,800,500 (58 million EUR)</w:t>
            </w:r>
            <w:r w:rsidRPr="00FA3F57" w:rsidDel="0057091A">
              <w:rPr>
                <w:sz w:val="20"/>
                <w:szCs w:val="20"/>
              </w:rPr>
              <w:t xml:space="preserve"> </w:t>
            </w:r>
            <w:r w:rsidRPr="00FA3F57">
              <w:rPr>
                <w:sz w:val="20"/>
                <w:szCs w:val="20"/>
              </w:rPr>
              <w:t>(funds not provided)</w:t>
            </w:r>
          </w:p>
        </w:tc>
      </w:tr>
      <w:tr w:rsidR="0094644B" w:rsidRPr="00F07779" w14:paraId="77BCB4FB" w14:textId="77777777" w:rsidTr="00FB5086">
        <w:tc>
          <w:tcPr>
            <w:tcW w:w="2973" w:type="dxa"/>
          </w:tcPr>
          <w:p w14:paraId="70A87F00" w14:textId="77777777" w:rsidR="0094644B" w:rsidRPr="00FA3F57" w:rsidRDefault="0094644B" w:rsidP="00FB5086">
            <w:pPr>
              <w:rPr>
                <w:sz w:val="20"/>
                <w:szCs w:val="20"/>
              </w:rPr>
            </w:pPr>
            <w:r w:rsidRPr="00FA3F57">
              <w:rPr>
                <w:sz w:val="20"/>
                <w:szCs w:val="20"/>
              </w:rPr>
              <w:t>Planned investments for 2026.</w:t>
            </w:r>
            <w:r w:rsidRPr="00FA3F57">
              <w:rPr>
                <w:sz w:val="20"/>
                <w:szCs w:val="20"/>
              </w:rPr>
              <w:br/>
              <w:t>(in thousands of RSD)</w:t>
            </w:r>
          </w:p>
        </w:tc>
        <w:tc>
          <w:tcPr>
            <w:tcW w:w="5742" w:type="dxa"/>
          </w:tcPr>
          <w:p w14:paraId="0B1D2262" w14:textId="77777777" w:rsidR="0094644B" w:rsidRPr="00FA3F57" w:rsidRDefault="0094644B" w:rsidP="00FB5086">
            <w:pPr>
              <w:rPr>
                <w:sz w:val="20"/>
                <w:szCs w:val="20"/>
              </w:rPr>
            </w:pPr>
            <w:r w:rsidRPr="00FA3F57">
              <w:rPr>
                <w:sz w:val="20"/>
                <w:szCs w:val="20"/>
              </w:rPr>
              <w:t>199,325 (own funds)</w:t>
            </w:r>
          </w:p>
        </w:tc>
      </w:tr>
      <w:tr w:rsidR="0094644B" w:rsidRPr="00F07779" w14:paraId="03E476D6" w14:textId="77777777" w:rsidTr="00FB5086">
        <w:tc>
          <w:tcPr>
            <w:tcW w:w="2973" w:type="dxa"/>
          </w:tcPr>
          <w:p w14:paraId="1D7807E8" w14:textId="77777777" w:rsidR="0094644B" w:rsidRPr="00FA3F57" w:rsidRDefault="0094644B" w:rsidP="00FB5086">
            <w:pPr>
              <w:rPr>
                <w:sz w:val="20"/>
                <w:szCs w:val="20"/>
              </w:rPr>
            </w:pPr>
            <w:r w:rsidRPr="00FA3F57">
              <w:rPr>
                <w:sz w:val="20"/>
                <w:szCs w:val="20"/>
              </w:rPr>
              <w:t>Planned investments for 2027.</w:t>
            </w:r>
            <w:r w:rsidRPr="00FA3F57">
              <w:rPr>
                <w:sz w:val="20"/>
                <w:szCs w:val="20"/>
              </w:rPr>
              <w:br/>
              <w:t>(in thousands of RSD)</w:t>
            </w:r>
          </w:p>
        </w:tc>
        <w:tc>
          <w:tcPr>
            <w:tcW w:w="5742" w:type="dxa"/>
          </w:tcPr>
          <w:p w14:paraId="20D4198A" w14:textId="77777777" w:rsidR="0094644B" w:rsidRPr="00FA3F57" w:rsidRDefault="0094644B" w:rsidP="00FB5086">
            <w:pPr>
              <w:rPr>
                <w:sz w:val="20"/>
                <w:szCs w:val="20"/>
              </w:rPr>
            </w:pPr>
            <w:r w:rsidRPr="00FA3F57">
              <w:rPr>
                <w:sz w:val="20"/>
                <w:szCs w:val="20"/>
              </w:rPr>
              <w:t>1,172,500 (own funds)</w:t>
            </w:r>
          </w:p>
        </w:tc>
      </w:tr>
      <w:tr w:rsidR="0094644B" w:rsidRPr="00F07779" w14:paraId="02C65D42" w14:textId="77777777" w:rsidTr="00FB5086">
        <w:tc>
          <w:tcPr>
            <w:tcW w:w="2973" w:type="dxa"/>
          </w:tcPr>
          <w:p w14:paraId="6EAFAFF4" w14:textId="77777777" w:rsidR="0094644B" w:rsidRPr="00FA3F57" w:rsidRDefault="0094644B" w:rsidP="00FB5086">
            <w:pPr>
              <w:rPr>
                <w:sz w:val="20"/>
                <w:szCs w:val="20"/>
              </w:rPr>
            </w:pPr>
            <w:r w:rsidRPr="00FA3F57">
              <w:rPr>
                <w:sz w:val="20"/>
                <w:szCs w:val="20"/>
              </w:rPr>
              <w:t>Planned investments for 2028.</w:t>
            </w:r>
            <w:r w:rsidRPr="00FA3F57">
              <w:rPr>
                <w:sz w:val="20"/>
                <w:szCs w:val="20"/>
              </w:rPr>
              <w:br/>
              <w:t>(in thousands of RSD)</w:t>
            </w:r>
          </w:p>
        </w:tc>
        <w:tc>
          <w:tcPr>
            <w:tcW w:w="5742" w:type="dxa"/>
          </w:tcPr>
          <w:p w14:paraId="64FE1707" w14:textId="77777777" w:rsidR="0094644B" w:rsidRPr="00FA3F57" w:rsidRDefault="0094644B" w:rsidP="00FB5086">
            <w:pPr>
              <w:rPr>
                <w:sz w:val="20"/>
                <w:szCs w:val="20"/>
              </w:rPr>
            </w:pPr>
            <w:r w:rsidRPr="00FA3F57">
              <w:rPr>
                <w:sz w:val="20"/>
                <w:szCs w:val="20"/>
              </w:rPr>
              <w:t>1,172,500 (own funds)</w:t>
            </w:r>
          </w:p>
        </w:tc>
      </w:tr>
      <w:tr w:rsidR="0094644B" w:rsidRPr="00F07779" w14:paraId="0DCBB4F3" w14:textId="77777777" w:rsidTr="00FB5086">
        <w:tc>
          <w:tcPr>
            <w:tcW w:w="2973" w:type="dxa"/>
          </w:tcPr>
          <w:p w14:paraId="0EF46E2B" w14:textId="77777777" w:rsidR="0094644B" w:rsidRPr="00FA3F57" w:rsidRDefault="0094644B" w:rsidP="00FB5086">
            <w:pPr>
              <w:rPr>
                <w:sz w:val="20"/>
                <w:szCs w:val="20"/>
              </w:rPr>
            </w:pPr>
            <w:r w:rsidRPr="00FA3F57">
              <w:rPr>
                <w:sz w:val="20"/>
                <w:szCs w:val="20"/>
              </w:rPr>
              <w:t>Implementation indicator</w:t>
            </w:r>
          </w:p>
        </w:tc>
        <w:tc>
          <w:tcPr>
            <w:tcW w:w="5742" w:type="dxa"/>
          </w:tcPr>
          <w:p w14:paraId="52331C26" w14:textId="77777777" w:rsidR="0094644B" w:rsidRPr="00FA3F57" w:rsidRDefault="0094644B" w:rsidP="00FB5086">
            <w:pPr>
              <w:rPr>
                <w:sz w:val="20"/>
                <w:szCs w:val="20"/>
              </w:rPr>
            </w:pPr>
            <w:r w:rsidRPr="00FA3F57">
              <w:rPr>
                <w:sz w:val="20"/>
                <w:szCs w:val="20"/>
              </w:rPr>
              <w:t>Data not available.</w:t>
            </w:r>
          </w:p>
        </w:tc>
      </w:tr>
      <w:tr w:rsidR="0094644B" w:rsidRPr="00F07779" w14:paraId="64E47285" w14:textId="77777777" w:rsidTr="00FB5086">
        <w:tc>
          <w:tcPr>
            <w:tcW w:w="2973" w:type="dxa"/>
          </w:tcPr>
          <w:p w14:paraId="5AE98B45" w14:textId="77777777" w:rsidR="0094644B" w:rsidRPr="00FA3F57" w:rsidRDefault="0094644B" w:rsidP="00FB5086">
            <w:pPr>
              <w:rPr>
                <w:sz w:val="20"/>
                <w:szCs w:val="20"/>
              </w:rPr>
            </w:pPr>
            <w:r w:rsidRPr="00FA3F57">
              <w:rPr>
                <w:sz w:val="20"/>
                <w:szCs w:val="20"/>
              </w:rPr>
              <w:t>Impact of the activity on the achievement of the objective</w:t>
            </w:r>
          </w:p>
        </w:tc>
        <w:tc>
          <w:tcPr>
            <w:tcW w:w="5742" w:type="dxa"/>
          </w:tcPr>
          <w:p w14:paraId="4C90AA5C" w14:textId="77777777" w:rsidR="0094644B" w:rsidRPr="00FA3F57" w:rsidRDefault="0094644B" w:rsidP="00FB5086">
            <w:pPr>
              <w:rPr>
                <w:sz w:val="20"/>
                <w:szCs w:val="20"/>
              </w:rPr>
            </w:pPr>
            <w:r w:rsidRPr="00FA3F57">
              <w:rPr>
                <w:sz w:val="20"/>
                <w:szCs w:val="20"/>
              </w:rPr>
              <w:t>Improved efficiency, enabling centralized management and control over the electricity distribution system, enables centralized business systems, reduces operating costs, and affects the reduction of operational and technical losses.</w:t>
            </w:r>
          </w:p>
        </w:tc>
      </w:tr>
      <w:tr w:rsidR="0094644B" w:rsidRPr="00F07779" w14:paraId="1FBC01CD" w14:textId="77777777" w:rsidTr="00FB5086">
        <w:tc>
          <w:tcPr>
            <w:tcW w:w="2973" w:type="dxa"/>
          </w:tcPr>
          <w:p w14:paraId="2B0A561F" w14:textId="77777777" w:rsidR="0094644B" w:rsidRPr="00FA3F57" w:rsidRDefault="0094644B" w:rsidP="00FB5086">
            <w:pPr>
              <w:rPr>
                <w:sz w:val="20"/>
                <w:szCs w:val="20"/>
              </w:rPr>
            </w:pPr>
            <w:r w:rsidRPr="00FA3F57">
              <w:rPr>
                <w:sz w:val="20"/>
                <w:szCs w:val="20"/>
              </w:rPr>
              <w:t>Impact on EE, climate, and environmental protection</w:t>
            </w:r>
          </w:p>
        </w:tc>
        <w:tc>
          <w:tcPr>
            <w:tcW w:w="5742" w:type="dxa"/>
          </w:tcPr>
          <w:p w14:paraId="4696BC20" w14:textId="77777777" w:rsidR="0094644B" w:rsidRPr="00FA3F57" w:rsidRDefault="0094644B" w:rsidP="00FB5086">
            <w:pPr>
              <w:rPr>
                <w:sz w:val="20"/>
                <w:szCs w:val="20"/>
              </w:rPr>
            </w:pPr>
            <w:r w:rsidRPr="00FA3F57">
              <w:rPr>
                <w:sz w:val="20"/>
                <w:szCs w:val="20"/>
              </w:rPr>
              <w:t>Data not available.</w:t>
            </w:r>
          </w:p>
        </w:tc>
      </w:tr>
    </w:tbl>
    <w:p w14:paraId="0A9DD7B6" w14:textId="77777777" w:rsidR="0094644B" w:rsidRPr="00F07779" w:rsidRDefault="0094644B" w:rsidP="0094644B"/>
    <w:tbl>
      <w:tblPr>
        <w:tblStyle w:val="TableGrid"/>
        <w:tblW w:w="0" w:type="auto"/>
        <w:tblLook w:val="04A0" w:firstRow="1" w:lastRow="0" w:firstColumn="1" w:lastColumn="0" w:noHBand="0" w:noVBand="1"/>
      </w:tblPr>
      <w:tblGrid>
        <w:gridCol w:w="2973"/>
        <w:gridCol w:w="5742"/>
      </w:tblGrid>
      <w:tr w:rsidR="0094644B" w:rsidRPr="00F07779" w14:paraId="5E42B84A" w14:textId="77777777" w:rsidTr="00FB5086">
        <w:tc>
          <w:tcPr>
            <w:tcW w:w="2973" w:type="dxa"/>
            <w:shd w:val="clear" w:color="auto" w:fill="D0CECE" w:themeFill="background2" w:themeFillShade="E6"/>
          </w:tcPr>
          <w:p w14:paraId="64692A78" w14:textId="77777777" w:rsidR="0094644B" w:rsidRPr="00FA3F57" w:rsidRDefault="0094644B" w:rsidP="00FB5086">
            <w:pPr>
              <w:keepNext/>
              <w:rPr>
                <w:sz w:val="20"/>
                <w:szCs w:val="20"/>
              </w:rPr>
            </w:pPr>
            <w:r w:rsidRPr="00FA3F57">
              <w:rPr>
                <w:sz w:val="20"/>
                <w:szCs w:val="20"/>
              </w:rPr>
              <w:t>Activity EL1.3</w:t>
            </w:r>
          </w:p>
        </w:tc>
        <w:tc>
          <w:tcPr>
            <w:tcW w:w="5742" w:type="dxa"/>
            <w:shd w:val="clear" w:color="auto" w:fill="D0CECE" w:themeFill="background2" w:themeFillShade="E6"/>
          </w:tcPr>
          <w:p w14:paraId="318F3721" w14:textId="77777777" w:rsidR="0094644B" w:rsidRPr="00FA3F57" w:rsidRDefault="0094644B" w:rsidP="00FB5086">
            <w:pPr>
              <w:keepNext/>
              <w:rPr>
                <w:sz w:val="20"/>
                <w:szCs w:val="20"/>
              </w:rPr>
            </w:pPr>
            <w:r w:rsidRPr="00F07779">
              <w:rPr>
                <w:sz w:val="20"/>
                <w:szCs w:val="20"/>
              </w:rPr>
              <w:t>Investment projects focused on the reconstruction and construction of the distribution network</w:t>
            </w:r>
          </w:p>
        </w:tc>
      </w:tr>
      <w:tr w:rsidR="0094644B" w:rsidRPr="00F07779" w14:paraId="29B7F668" w14:textId="77777777" w:rsidTr="00FB5086">
        <w:tc>
          <w:tcPr>
            <w:tcW w:w="2973" w:type="dxa"/>
            <w:shd w:val="clear" w:color="auto" w:fill="D9E2F3" w:themeFill="accent1" w:themeFillTint="33"/>
          </w:tcPr>
          <w:p w14:paraId="40A4DDC7" w14:textId="77777777" w:rsidR="0094644B" w:rsidRPr="00FA3F57" w:rsidRDefault="0094644B" w:rsidP="00FB5086">
            <w:pPr>
              <w:keepNext/>
              <w:rPr>
                <w:sz w:val="20"/>
                <w:szCs w:val="20"/>
              </w:rPr>
            </w:pPr>
            <w:r w:rsidRPr="00FA3F57">
              <w:rPr>
                <w:sz w:val="20"/>
                <w:szCs w:val="20"/>
              </w:rPr>
              <w:t>Name of the project</w:t>
            </w:r>
          </w:p>
        </w:tc>
        <w:tc>
          <w:tcPr>
            <w:tcW w:w="5742" w:type="dxa"/>
            <w:shd w:val="clear" w:color="auto" w:fill="D9E2F3" w:themeFill="accent1" w:themeFillTint="33"/>
          </w:tcPr>
          <w:p w14:paraId="0FDCEE8B" w14:textId="77777777" w:rsidR="0094644B" w:rsidRPr="00F07779" w:rsidRDefault="0094644B" w:rsidP="00FB5086">
            <w:pPr>
              <w:keepNext/>
              <w:rPr>
                <w:sz w:val="20"/>
                <w:szCs w:val="20"/>
              </w:rPr>
            </w:pPr>
            <w:r w:rsidRPr="00FA3F57">
              <w:rPr>
                <w:sz w:val="20"/>
                <w:szCs w:val="20"/>
              </w:rPr>
              <w:t>NOC (Network Operations Center)</w:t>
            </w:r>
          </w:p>
        </w:tc>
      </w:tr>
      <w:tr w:rsidR="0094644B" w:rsidRPr="00F07779" w14:paraId="1F0073AB" w14:textId="77777777" w:rsidTr="00FB5086">
        <w:tc>
          <w:tcPr>
            <w:tcW w:w="2973" w:type="dxa"/>
          </w:tcPr>
          <w:p w14:paraId="1174B832" w14:textId="77777777" w:rsidR="0094644B" w:rsidRPr="00FA3F57" w:rsidRDefault="0094644B" w:rsidP="00FB5086">
            <w:pPr>
              <w:rPr>
                <w:sz w:val="20"/>
                <w:szCs w:val="20"/>
              </w:rPr>
            </w:pPr>
            <w:r w:rsidRPr="00FA3F57">
              <w:rPr>
                <w:sz w:val="20"/>
                <w:szCs w:val="20"/>
              </w:rPr>
              <w:t>Description</w:t>
            </w:r>
          </w:p>
        </w:tc>
        <w:tc>
          <w:tcPr>
            <w:tcW w:w="5742" w:type="dxa"/>
          </w:tcPr>
          <w:p w14:paraId="45CB036C" w14:textId="77777777" w:rsidR="0094644B" w:rsidRPr="00FA3F57" w:rsidRDefault="0094644B" w:rsidP="00FB5086">
            <w:pPr>
              <w:rPr>
                <w:sz w:val="20"/>
                <w:szCs w:val="20"/>
              </w:rPr>
            </w:pPr>
            <w:r w:rsidRPr="00F07779">
              <w:rPr>
                <w:sz w:val="20"/>
                <w:szCs w:val="20"/>
              </w:rPr>
              <w:t>The necessity for ongoing maintenance and advancement of EDS's ICT infrastructure mandates the establishment of a consolidated monitoring center for ICT infrastructure, services, and applications, the Network Operations Center (NOC</w:t>
            </w:r>
            <w:proofErr w:type="gramStart"/>
            <w:r w:rsidRPr="00F07779">
              <w:rPr>
                <w:sz w:val="20"/>
                <w:szCs w:val="20"/>
              </w:rPr>
              <w:t>).</w:t>
            </w:r>
            <w:r w:rsidRPr="00FA3F57">
              <w:rPr>
                <w:sz w:val="20"/>
                <w:szCs w:val="20"/>
              </w:rPr>
              <w:t>The</w:t>
            </w:r>
            <w:proofErr w:type="gramEnd"/>
            <w:r w:rsidRPr="00FA3F57">
              <w:rPr>
                <w:sz w:val="20"/>
                <w:szCs w:val="20"/>
              </w:rPr>
              <w:t xml:space="preserve"> main tasks of this system </w:t>
            </w:r>
            <w:proofErr w:type="gramStart"/>
            <w:r w:rsidRPr="00FA3F57">
              <w:rPr>
                <w:sz w:val="20"/>
                <w:szCs w:val="20"/>
              </w:rPr>
              <w:t>are:•</w:t>
            </w:r>
            <w:proofErr w:type="gramEnd"/>
            <w:r w:rsidRPr="00FA3F57">
              <w:rPr>
                <w:sz w:val="20"/>
                <w:szCs w:val="20"/>
              </w:rPr>
              <w:t xml:space="preserve"> Stable operation of the entire ICT infrastructure of the company,</w:t>
            </w:r>
          </w:p>
          <w:p w14:paraId="184F14FD" w14:textId="77777777" w:rsidR="0094644B" w:rsidRPr="00FA3F57" w:rsidRDefault="0094644B" w:rsidP="00FB5086">
            <w:pPr>
              <w:rPr>
                <w:sz w:val="20"/>
                <w:szCs w:val="20"/>
              </w:rPr>
            </w:pPr>
            <w:r w:rsidRPr="00FA3F57">
              <w:rPr>
                <w:sz w:val="20"/>
                <w:szCs w:val="20"/>
              </w:rPr>
              <w:t xml:space="preserve">¬ </w:t>
            </w:r>
            <w:r w:rsidRPr="00F07779">
              <w:rPr>
                <w:sz w:val="20"/>
                <w:szCs w:val="20"/>
              </w:rPr>
              <w:t xml:space="preserve">Continuous 24/7 supervision of network infrastructure, data centers, and applications aimed at the timely detection of failures in critical segments of the ICT systems and </w:t>
            </w:r>
            <w:proofErr w:type="gramStart"/>
            <w:r w:rsidRPr="00F07779">
              <w:rPr>
                <w:sz w:val="20"/>
                <w:szCs w:val="20"/>
              </w:rPr>
              <w:t>applications,</w:t>
            </w:r>
            <w:r w:rsidRPr="00FA3F57">
              <w:rPr>
                <w:sz w:val="20"/>
                <w:szCs w:val="20"/>
              </w:rPr>
              <w:t>¬</w:t>
            </w:r>
            <w:proofErr w:type="gramEnd"/>
            <w:r w:rsidRPr="00F07779">
              <w:t xml:space="preserve"> </w:t>
            </w:r>
            <w:r w:rsidRPr="00FA3F57">
              <w:rPr>
                <w:sz w:val="20"/>
                <w:szCs w:val="20"/>
              </w:rPr>
              <w:t>Monitoring consolidation</w:t>
            </w:r>
            <w:r w:rsidRPr="00FA3F57" w:rsidDel="00855E11">
              <w:rPr>
                <w:sz w:val="20"/>
                <w:szCs w:val="20"/>
              </w:rPr>
              <w:t xml:space="preserve"> </w:t>
            </w:r>
            <w:r w:rsidRPr="00FA3F57">
              <w:rPr>
                <w:sz w:val="20"/>
                <w:szCs w:val="20"/>
              </w:rPr>
              <w:t>– efficient use of people and faster, more efficient problem solving, establishing visibility of all relevant events,</w:t>
            </w:r>
          </w:p>
          <w:p w14:paraId="2CE4DDB7" w14:textId="77777777" w:rsidR="0094644B" w:rsidRPr="00FA3F57" w:rsidRDefault="0094644B" w:rsidP="00FB5086">
            <w:pPr>
              <w:rPr>
                <w:sz w:val="20"/>
                <w:szCs w:val="20"/>
              </w:rPr>
            </w:pPr>
            <w:r w:rsidRPr="00FA3F57">
              <w:rPr>
                <w:sz w:val="20"/>
                <w:szCs w:val="20"/>
              </w:rPr>
              <w:t>¬</w:t>
            </w:r>
            <w:r w:rsidRPr="00F07779">
              <w:t xml:space="preserve"> </w:t>
            </w:r>
            <w:r w:rsidRPr="00FA3F57">
              <w:rPr>
                <w:sz w:val="20"/>
                <w:szCs w:val="20"/>
              </w:rPr>
              <w:t>Preventing incidents or when these incidents occur, faster identification,</w:t>
            </w:r>
          </w:p>
          <w:p w14:paraId="631A8AF9" w14:textId="77777777" w:rsidR="0094644B" w:rsidRPr="00FA3F57" w:rsidRDefault="0094644B" w:rsidP="00FB5086">
            <w:pPr>
              <w:rPr>
                <w:sz w:val="20"/>
                <w:szCs w:val="20"/>
              </w:rPr>
            </w:pPr>
            <w:r w:rsidRPr="00FA3F57">
              <w:rPr>
                <w:sz w:val="20"/>
                <w:szCs w:val="20"/>
              </w:rPr>
              <w:t>¬</w:t>
            </w:r>
            <w:r w:rsidRPr="00F07779">
              <w:t xml:space="preserve"> </w:t>
            </w:r>
            <w:r w:rsidRPr="00FA3F57">
              <w:rPr>
                <w:sz w:val="20"/>
                <w:szCs w:val="20"/>
              </w:rPr>
              <w:t>More efficient control of system operation,</w:t>
            </w:r>
          </w:p>
          <w:p w14:paraId="0C5255F7" w14:textId="77777777" w:rsidR="0094644B" w:rsidRPr="00FA3F57" w:rsidRDefault="0094644B" w:rsidP="00FB5086">
            <w:pPr>
              <w:rPr>
                <w:sz w:val="20"/>
                <w:szCs w:val="20"/>
              </w:rPr>
            </w:pPr>
            <w:r w:rsidRPr="00FA3F57">
              <w:rPr>
                <w:sz w:val="20"/>
                <w:szCs w:val="20"/>
              </w:rPr>
              <w:t>¬</w:t>
            </w:r>
            <w:r w:rsidRPr="00F07779">
              <w:t xml:space="preserve"> </w:t>
            </w:r>
            <w:r w:rsidRPr="00FA3F57">
              <w:rPr>
                <w:sz w:val="20"/>
                <w:szCs w:val="20"/>
              </w:rPr>
              <w:t>Avoiding service outages or minimizing the time to resolve them, thereby ensuring better quality of service to end users,</w:t>
            </w:r>
          </w:p>
          <w:p w14:paraId="4DB8A099" w14:textId="77777777" w:rsidR="0094644B" w:rsidRPr="00FA3F57" w:rsidRDefault="0094644B" w:rsidP="00FB5086">
            <w:pPr>
              <w:rPr>
                <w:sz w:val="20"/>
                <w:szCs w:val="20"/>
              </w:rPr>
            </w:pPr>
            <w:r w:rsidRPr="00FA3F57">
              <w:rPr>
                <w:sz w:val="20"/>
                <w:szCs w:val="20"/>
              </w:rPr>
              <w:t>¬</w:t>
            </w:r>
            <w:r w:rsidRPr="00F07779">
              <w:t xml:space="preserve"> </w:t>
            </w:r>
            <w:r w:rsidRPr="00FA3F57">
              <w:rPr>
                <w:sz w:val="20"/>
                <w:szCs w:val="20"/>
              </w:rPr>
              <w:t>Improves the utilization of the company's hardware, through control of their quality work,</w:t>
            </w:r>
          </w:p>
          <w:p w14:paraId="3EF5EC71" w14:textId="77777777" w:rsidR="0094644B" w:rsidRPr="00FA3F57" w:rsidRDefault="0094644B" w:rsidP="00FB5086">
            <w:pPr>
              <w:rPr>
                <w:sz w:val="20"/>
                <w:szCs w:val="20"/>
              </w:rPr>
            </w:pPr>
            <w:r w:rsidRPr="00FA3F57">
              <w:rPr>
                <w:sz w:val="20"/>
                <w:szCs w:val="20"/>
              </w:rPr>
              <w:t>¬</w:t>
            </w:r>
            <w:r w:rsidRPr="00F07779">
              <w:t xml:space="preserve"> </w:t>
            </w:r>
            <w:r w:rsidRPr="00FA3F57">
              <w:rPr>
                <w:sz w:val="20"/>
                <w:szCs w:val="20"/>
              </w:rPr>
              <w:t>Better deployment of technically qualified personnel, faster exchange of information.</w:t>
            </w:r>
          </w:p>
          <w:p w14:paraId="7B7C833D" w14:textId="77777777" w:rsidR="0094644B" w:rsidRPr="00FA3F57" w:rsidRDefault="0094644B" w:rsidP="00FB5086">
            <w:pPr>
              <w:rPr>
                <w:sz w:val="20"/>
                <w:szCs w:val="20"/>
              </w:rPr>
            </w:pPr>
            <w:r w:rsidRPr="00FA3F57">
              <w:rPr>
                <w:sz w:val="20"/>
                <w:szCs w:val="20"/>
              </w:rPr>
              <w:t xml:space="preserve">• Monitoring connections to external </w:t>
            </w:r>
            <w:proofErr w:type="gramStart"/>
            <w:r w:rsidRPr="00FA3F57">
              <w:rPr>
                <w:sz w:val="20"/>
                <w:szCs w:val="20"/>
              </w:rPr>
              <w:t>systems,•</w:t>
            </w:r>
            <w:proofErr w:type="gramEnd"/>
            <w:r w:rsidRPr="00FA3F57">
              <w:rPr>
                <w:sz w:val="20"/>
                <w:szCs w:val="20"/>
              </w:rPr>
              <w:t xml:space="preserve"> Support for local ICT teams,</w:t>
            </w:r>
          </w:p>
          <w:p w14:paraId="72C3B358" w14:textId="77777777" w:rsidR="0094644B" w:rsidRPr="00FA3F57" w:rsidRDefault="0094644B" w:rsidP="00FB5086">
            <w:pPr>
              <w:rPr>
                <w:sz w:val="20"/>
                <w:szCs w:val="20"/>
              </w:rPr>
            </w:pPr>
            <w:r w:rsidRPr="00FA3F57">
              <w:rPr>
                <w:sz w:val="20"/>
                <w:szCs w:val="20"/>
              </w:rPr>
              <w:t xml:space="preserve">• Reducing operating and maintenance </w:t>
            </w:r>
            <w:proofErr w:type="gramStart"/>
            <w:r w:rsidRPr="00FA3F57">
              <w:rPr>
                <w:sz w:val="20"/>
                <w:szCs w:val="20"/>
              </w:rPr>
              <w:t>costs,•</w:t>
            </w:r>
            <w:proofErr w:type="gramEnd"/>
            <w:r w:rsidRPr="00FA3F57">
              <w:rPr>
                <w:sz w:val="20"/>
                <w:szCs w:val="20"/>
              </w:rPr>
              <w:t xml:space="preserve"> Improved productivity,</w:t>
            </w:r>
          </w:p>
          <w:p w14:paraId="58C41E4B" w14:textId="77777777" w:rsidR="0094644B" w:rsidRPr="00FA3F57" w:rsidRDefault="0094644B" w:rsidP="00FB5086">
            <w:pPr>
              <w:rPr>
                <w:sz w:val="20"/>
                <w:szCs w:val="20"/>
              </w:rPr>
            </w:pPr>
            <w:r w:rsidRPr="00FA3F57">
              <w:rPr>
                <w:sz w:val="20"/>
                <w:szCs w:val="20"/>
              </w:rPr>
              <w:t>• Improving the company's image.</w:t>
            </w:r>
          </w:p>
          <w:p w14:paraId="76CB0FAA" w14:textId="77777777" w:rsidR="0094644B" w:rsidRPr="00F07779" w:rsidRDefault="0094644B" w:rsidP="00FB5086">
            <w:pPr>
              <w:rPr>
                <w:sz w:val="20"/>
                <w:szCs w:val="20"/>
              </w:rPr>
            </w:pPr>
            <w:r w:rsidRPr="00FA3F57">
              <w:rPr>
                <w:sz w:val="20"/>
                <w:szCs w:val="20"/>
              </w:rPr>
              <w:t>The main activities of the system are:</w:t>
            </w:r>
          </w:p>
          <w:p w14:paraId="6724E697" w14:textId="77777777" w:rsidR="0094644B" w:rsidRPr="00F07779" w:rsidRDefault="0094644B" w:rsidP="00FB5086">
            <w:pPr>
              <w:rPr>
                <w:sz w:val="20"/>
                <w:szCs w:val="20"/>
              </w:rPr>
            </w:pPr>
            <w:r w:rsidRPr="00FA3F57">
              <w:rPr>
                <w:sz w:val="20"/>
                <w:szCs w:val="20"/>
              </w:rPr>
              <w:t>• Planning and monitoring the use of the company's ICT infrastructure,</w:t>
            </w:r>
          </w:p>
          <w:p w14:paraId="0DAF162F" w14:textId="77777777" w:rsidR="0094644B" w:rsidRPr="00FA3F57" w:rsidRDefault="0094644B" w:rsidP="00FB5086">
            <w:pPr>
              <w:rPr>
                <w:sz w:val="20"/>
                <w:szCs w:val="20"/>
              </w:rPr>
            </w:pPr>
            <w:r w:rsidRPr="00FA3F57">
              <w:rPr>
                <w:sz w:val="20"/>
                <w:szCs w:val="20"/>
              </w:rPr>
              <w:t>• Supervision and maintenance of the company's ICT infrastructure,</w:t>
            </w:r>
          </w:p>
          <w:p w14:paraId="10F2CF0F" w14:textId="77777777" w:rsidR="0094644B" w:rsidRPr="00FA3F57" w:rsidRDefault="0094644B" w:rsidP="00FB5086">
            <w:pPr>
              <w:rPr>
                <w:sz w:val="20"/>
                <w:szCs w:val="20"/>
              </w:rPr>
            </w:pPr>
            <w:r w:rsidRPr="00FA3F57">
              <w:rPr>
                <w:sz w:val="20"/>
                <w:szCs w:val="20"/>
              </w:rPr>
              <w:t>• Supervision and maintenance of telecommunications systems, IP networks, IP telephony, video surveillance systems, access control, and other enterprise infrastructure systems,</w:t>
            </w:r>
          </w:p>
          <w:p w14:paraId="4DFE3EF3" w14:textId="77777777" w:rsidR="0094644B" w:rsidRPr="00FA3F57" w:rsidRDefault="0094644B" w:rsidP="00FB5086">
            <w:pPr>
              <w:rPr>
                <w:sz w:val="20"/>
                <w:szCs w:val="20"/>
              </w:rPr>
            </w:pPr>
            <w:r w:rsidRPr="00FA3F57">
              <w:rPr>
                <w:sz w:val="20"/>
                <w:szCs w:val="20"/>
              </w:rPr>
              <w:t>• Assisting in maintaining ICT systems at the local level,</w:t>
            </w:r>
          </w:p>
          <w:p w14:paraId="2DC1DB93" w14:textId="77777777" w:rsidR="0094644B" w:rsidRPr="00FA3F57" w:rsidRDefault="0094644B" w:rsidP="00FB5086">
            <w:pPr>
              <w:rPr>
                <w:sz w:val="20"/>
                <w:szCs w:val="20"/>
              </w:rPr>
            </w:pPr>
            <w:r w:rsidRPr="00FA3F57">
              <w:rPr>
                <w:sz w:val="20"/>
                <w:szCs w:val="20"/>
              </w:rPr>
              <w:t>• Participation in planning and coordination of the expansion of ICT systems.</w:t>
            </w:r>
          </w:p>
          <w:p w14:paraId="01117471" w14:textId="77777777" w:rsidR="0094644B" w:rsidRPr="00FA3F57" w:rsidRDefault="0094644B" w:rsidP="00FB5086">
            <w:pPr>
              <w:rPr>
                <w:sz w:val="20"/>
                <w:szCs w:val="20"/>
              </w:rPr>
            </w:pPr>
            <w:r w:rsidRPr="00FA3F57">
              <w:rPr>
                <w:sz w:val="20"/>
                <w:szCs w:val="20"/>
              </w:rPr>
              <w:t>Expected dynamics of project implementation:</w:t>
            </w:r>
          </w:p>
          <w:p w14:paraId="15ACC4F5" w14:textId="77777777" w:rsidR="0094644B" w:rsidRPr="00FA3F57" w:rsidRDefault="0094644B" w:rsidP="00FB5086">
            <w:pPr>
              <w:rPr>
                <w:sz w:val="20"/>
                <w:szCs w:val="20"/>
              </w:rPr>
            </w:pPr>
            <w:r w:rsidRPr="00FA3F57">
              <w:rPr>
                <w:sz w:val="20"/>
                <w:szCs w:val="20"/>
              </w:rPr>
              <w:t>2026. The beginning of the project</w:t>
            </w:r>
          </w:p>
          <w:p w14:paraId="200C9D6F" w14:textId="77777777" w:rsidR="0094644B" w:rsidRPr="00FA3F57" w:rsidRDefault="0094644B" w:rsidP="00FB5086">
            <w:pPr>
              <w:rPr>
                <w:sz w:val="20"/>
                <w:szCs w:val="20"/>
              </w:rPr>
            </w:pPr>
            <w:r w:rsidRPr="00FA3F57">
              <w:rPr>
                <w:sz w:val="20"/>
                <w:szCs w:val="20"/>
              </w:rPr>
              <w:t xml:space="preserve">2027. Use permit; end of project </w:t>
            </w:r>
          </w:p>
        </w:tc>
      </w:tr>
      <w:tr w:rsidR="0094644B" w:rsidRPr="00F07779" w14:paraId="50BB7E1C" w14:textId="77777777" w:rsidTr="00FB5086">
        <w:tc>
          <w:tcPr>
            <w:tcW w:w="2973" w:type="dxa"/>
          </w:tcPr>
          <w:p w14:paraId="6F623C20" w14:textId="77777777" w:rsidR="0094644B" w:rsidRPr="00FA3F57" w:rsidRDefault="0094644B" w:rsidP="00FB5086">
            <w:pPr>
              <w:rPr>
                <w:sz w:val="20"/>
                <w:szCs w:val="20"/>
              </w:rPr>
            </w:pPr>
            <w:r w:rsidRPr="00FA3F57">
              <w:rPr>
                <w:sz w:val="20"/>
                <w:szCs w:val="20"/>
              </w:rPr>
              <w:lastRenderedPageBreak/>
              <w:t>Institutions responsible for the implementation of measures and activities</w:t>
            </w:r>
          </w:p>
        </w:tc>
        <w:tc>
          <w:tcPr>
            <w:tcW w:w="5742" w:type="dxa"/>
          </w:tcPr>
          <w:p w14:paraId="26A98762" w14:textId="77777777" w:rsidR="0094644B" w:rsidRPr="00FA3F57" w:rsidRDefault="0094644B" w:rsidP="00FB5086">
            <w:pPr>
              <w:rPr>
                <w:sz w:val="20"/>
                <w:szCs w:val="20"/>
              </w:rPr>
            </w:pPr>
            <w:r w:rsidRPr="00FA3F57">
              <w:rPr>
                <w:sz w:val="20"/>
                <w:szCs w:val="20"/>
              </w:rPr>
              <w:t>Elektrodistribucija Srbije Ltd. Belgrade</w:t>
            </w:r>
          </w:p>
        </w:tc>
      </w:tr>
      <w:tr w:rsidR="0094644B" w:rsidRPr="00F07779" w14:paraId="2ACB7B80" w14:textId="77777777" w:rsidTr="00FB5086">
        <w:tc>
          <w:tcPr>
            <w:tcW w:w="2973" w:type="dxa"/>
          </w:tcPr>
          <w:p w14:paraId="43E1EB43" w14:textId="77777777" w:rsidR="0094644B" w:rsidRPr="00FA3F57" w:rsidRDefault="0094644B" w:rsidP="00FB5086">
            <w:pPr>
              <w:rPr>
                <w:sz w:val="20"/>
                <w:szCs w:val="20"/>
              </w:rPr>
            </w:pPr>
            <w:r w:rsidRPr="00FA3F57">
              <w:rPr>
                <w:sz w:val="20"/>
                <w:szCs w:val="20"/>
              </w:rPr>
              <w:t>Institutions responsible for monitoring implementation and reporting on the realization</w:t>
            </w:r>
          </w:p>
        </w:tc>
        <w:tc>
          <w:tcPr>
            <w:tcW w:w="5742" w:type="dxa"/>
          </w:tcPr>
          <w:p w14:paraId="4D0B432E" w14:textId="77777777" w:rsidR="0094644B" w:rsidRPr="00F07779" w:rsidRDefault="0094644B" w:rsidP="00FB5086">
            <w:pPr>
              <w:rPr>
                <w:sz w:val="20"/>
                <w:szCs w:val="20"/>
              </w:rPr>
            </w:pPr>
            <w:r w:rsidRPr="00FA3F57">
              <w:rPr>
                <w:sz w:val="20"/>
                <w:szCs w:val="20"/>
              </w:rPr>
              <w:t>Elektrodistribucija Srbije Ltd. Belgrade</w:t>
            </w:r>
          </w:p>
          <w:p w14:paraId="441D0D62" w14:textId="77777777" w:rsidR="0094644B" w:rsidRPr="00F07779" w:rsidRDefault="0094644B" w:rsidP="00FB5086">
            <w:pPr>
              <w:rPr>
                <w:sz w:val="20"/>
                <w:szCs w:val="20"/>
              </w:rPr>
            </w:pPr>
            <w:r w:rsidRPr="00FA3F57">
              <w:rPr>
                <w:sz w:val="20"/>
                <w:szCs w:val="20"/>
              </w:rPr>
              <w:t>Ministry of Mining and Energy</w:t>
            </w:r>
          </w:p>
          <w:p w14:paraId="299741FE" w14:textId="77777777" w:rsidR="0094644B" w:rsidRPr="00F07779" w:rsidRDefault="0094644B" w:rsidP="00FB5086">
            <w:pPr>
              <w:rPr>
                <w:sz w:val="20"/>
                <w:szCs w:val="20"/>
              </w:rPr>
            </w:pPr>
            <w:r w:rsidRPr="00FA3F57">
              <w:rPr>
                <w:sz w:val="20"/>
                <w:szCs w:val="20"/>
              </w:rPr>
              <w:t>Ministry of Economy</w:t>
            </w:r>
          </w:p>
        </w:tc>
      </w:tr>
      <w:tr w:rsidR="0094644B" w:rsidRPr="00F07779" w14:paraId="6767F7BC" w14:textId="77777777" w:rsidTr="00FB5086">
        <w:tc>
          <w:tcPr>
            <w:tcW w:w="2973" w:type="dxa"/>
          </w:tcPr>
          <w:p w14:paraId="5B4DA940" w14:textId="77777777" w:rsidR="0094644B" w:rsidRPr="00FA3F57" w:rsidRDefault="0094644B" w:rsidP="00FB5086">
            <w:pPr>
              <w:rPr>
                <w:sz w:val="20"/>
                <w:szCs w:val="20"/>
              </w:rPr>
            </w:pPr>
            <w:r w:rsidRPr="00FA3F57">
              <w:rPr>
                <w:sz w:val="20"/>
                <w:szCs w:val="20"/>
              </w:rPr>
              <w:t>Year of project funding start</w:t>
            </w:r>
          </w:p>
        </w:tc>
        <w:tc>
          <w:tcPr>
            <w:tcW w:w="5742" w:type="dxa"/>
          </w:tcPr>
          <w:p w14:paraId="4D62EE97" w14:textId="77777777" w:rsidR="0094644B" w:rsidRPr="00FA3F57" w:rsidRDefault="0094644B" w:rsidP="00FB5086">
            <w:pPr>
              <w:rPr>
                <w:sz w:val="20"/>
                <w:szCs w:val="20"/>
              </w:rPr>
            </w:pPr>
            <w:r w:rsidRPr="00FA3F57">
              <w:rPr>
                <w:sz w:val="20"/>
                <w:szCs w:val="20"/>
              </w:rPr>
              <w:t>n/a</w:t>
            </w:r>
          </w:p>
        </w:tc>
      </w:tr>
      <w:tr w:rsidR="0094644B" w:rsidRPr="00F07779" w14:paraId="7FFB7222" w14:textId="77777777" w:rsidTr="00FB5086">
        <w:tc>
          <w:tcPr>
            <w:tcW w:w="2973" w:type="dxa"/>
          </w:tcPr>
          <w:p w14:paraId="1A97E22F" w14:textId="77777777" w:rsidR="0094644B" w:rsidRPr="00FA3F57" w:rsidRDefault="0094644B" w:rsidP="00FB5086">
            <w:pPr>
              <w:rPr>
                <w:sz w:val="20"/>
                <w:szCs w:val="20"/>
              </w:rPr>
            </w:pPr>
            <w:r w:rsidRPr="00FA3F57">
              <w:rPr>
                <w:sz w:val="20"/>
                <w:szCs w:val="20"/>
              </w:rPr>
              <w:t>Year of completion of project funding</w:t>
            </w:r>
          </w:p>
        </w:tc>
        <w:tc>
          <w:tcPr>
            <w:tcW w:w="5742" w:type="dxa"/>
          </w:tcPr>
          <w:p w14:paraId="4FCCD45A" w14:textId="77777777" w:rsidR="0094644B" w:rsidRPr="00FA3F57" w:rsidRDefault="0094644B" w:rsidP="00FB5086">
            <w:pPr>
              <w:rPr>
                <w:sz w:val="20"/>
                <w:szCs w:val="20"/>
              </w:rPr>
            </w:pPr>
            <w:r w:rsidRPr="00FA3F57">
              <w:rPr>
                <w:sz w:val="20"/>
                <w:szCs w:val="20"/>
              </w:rPr>
              <w:t>2027.</w:t>
            </w:r>
          </w:p>
        </w:tc>
      </w:tr>
      <w:tr w:rsidR="0094644B" w:rsidRPr="00F07779" w14:paraId="41C8A28A" w14:textId="77777777" w:rsidTr="00FB5086">
        <w:tc>
          <w:tcPr>
            <w:tcW w:w="2973" w:type="dxa"/>
          </w:tcPr>
          <w:p w14:paraId="6C5682B4" w14:textId="77777777" w:rsidR="0094644B" w:rsidRPr="00FA3F57" w:rsidRDefault="0094644B" w:rsidP="00FB5086">
            <w:pPr>
              <w:rPr>
                <w:sz w:val="20"/>
                <w:szCs w:val="20"/>
              </w:rPr>
            </w:pPr>
            <w:r w:rsidRPr="00FA3F57">
              <w:rPr>
                <w:sz w:val="20"/>
                <w:szCs w:val="20"/>
              </w:rPr>
              <w:t>Required funds and source of financing</w:t>
            </w:r>
          </w:p>
          <w:p w14:paraId="4DE11313" w14:textId="77777777" w:rsidR="0094644B" w:rsidRPr="00FA3F57" w:rsidRDefault="0094644B" w:rsidP="00FB5086">
            <w:pPr>
              <w:rPr>
                <w:sz w:val="20"/>
                <w:szCs w:val="20"/>
              </w:rPr>
            </w:pPr>
            <w:r w:rsidRPr="00FA3F57">
              <w:rPr>
                <w:sz w:val="20"/>
                <w:szCs w:val="20"/>
              </w:rPr>
              <w:t>(in thousands of RSD)</w:t>
            </w:r>
          </w:p>
        </w:tc>
        <w:tc>
          <w:tcPr>
            <w:tcW w:w="5742" w:type="dxa"/>
          </w:tcPr>
          <w:p w14:paraId="4EA59818" w14:textId="77777777" w:rsidR="0094644B" w:rsidRPr="00FA3F57" w:rsidRDefault="0094644B" w:rsidP="00FB5086">
            <w:pPr>
              <w:rPr>
                <w:sz w:val="20"/>
                <w:szCs w:val="20"/>
              </w:rPr>
            </w:pPr>
            <w:r w:rsidRPr="00FA3F57">
              <w:rPr>
                <w:sz w:val="20"/>
                <w:szCs w:val="20"/>
              </w:rPr>
              <w:t>234,500 (2 million EUR)</w:t>
            </w:r>
            <w:r w:rsidRPr="00FA3F57" w:rsidDel="00994C52">
              <w:rPr>
                <w:sz w:val="20"/>
                <w:szCs w:val="20"/>
              </w:rPr>
              <w:t xml:space="preserve"> </w:t>
            </w:r>
            <w:r w:rsidRPr="00FA3F57">
              <w:rPr>
                <w:sz w:val="20"/>
                <w:szCs w:val="20"/>
              </w:rPr>
              <w:t>(funds not provided)</w:t>
            </w:r>
          </w:p>
        </w:tc>
      </w:tr>
      <w:tr w:rsidR="0094644B" w:rsidRPr="00F07779" w14:paraId="4B4FC2B2" w14:textId="77777777" w:rsidTr="00FB5086">
        <w:tc>
          <w:tcPr>
            <w:tcW w:w="2973" w:type="dxa"/>
          </w:tcPr>
          <w:p w14:paraId="49106F75" w14:textId="77777777" w:rsidR="0094644B" w:rsidRPr="00FA3F57" w:rsidRDefault="0094644B" w:rsidP="00FB5086">
            <w:pPr>
              <w:rPr>
                <w:sz w:val="20"/>
                <w:szCs w:val="20"/>
              </w:rPr>
            </w:pPr>
            <w:r w:rsidRPr="00FA3F57">
              <w:rPr>
                <w:sz w:val="20"/>
                <w:szCs w:val="20"/>
              </w:rPr>
              <w:t>Planned investments for 2026.</w:t>
            </w:r>
            <w:r w:rsidRPr="00FA3F57">
              <w:rPr>
                <w:sz w:val="20"/>
                <w:szCs w:val="20"/>
              </w:rPr>
              <w:br/>
              <w:t>(in thousands of RSD)</w:t>
            </w:r>
          </w:p>
        </w:tc>
        <w:tc>
          <w:tcPr>
            <w:tcW w:w="5742" w:type="dxa"/>
          </w:tcPr>
          <w:p w14:paraId="1690C7DA" w14:textId="77777777" w:rsidR="0094644B" w:rsidRPr="00FA3F57" w:rsidRDefault="0094644B" w:rsidP="00FB5086">
            <w:pPr>
              <w:rPr>
                <w:sz w:val="20"/>
                <w:szCs w:val="20"/>
              </w:rPr>
            </w:pPr>
            <w:r w:rsidRPr="00FA3F57">
              <w:rPr>
                <w:sz w:val="20"/>
                <w:szCs w:val="20"/>
              </w:rPr>
              <w:t>117,250 (own funds)</w:t>
            </w:r>
          </w:p>
        </w:tc>
      </w:tr>
      <w:tr w:rsidR="0094644B" w:rsidRPr="00F07779" w14:paraId="419E8FAF" w14:textId="77777777" w:rsidTr="00FB5086">
        <w:tc>
          <w:tcPr>
            <w:tcW w:w="2973" w:type="dxa"/>
          </w:tcPr>
          <w:p w14:paraId="4DED11F6" w14:textId="77777777" w:rsidR="0094644B" w:rsidRPr="00FA3F57" w:rsidRDefault="0094644B" w:rsidP="00FB5086">
            <w:pPr>
              <w:rPr>
                <w:sz w:val="20"/>
                <w:szCs w:val="20"/>
              </w:rPr>
            </w:pPr>
            <w:r w:rsidRPr="00FA3F57">
              <w:rPr>
                <w:sz w:val="20"/>
                <w:szCs w:val="20"/>
              </w:rPr>
              <w:t>Planned investments for 2027.</w:t>
            </w:r>
            <w:r w:rsidRPr="00FA3F57">
              <w:rPr>
                <w:sz w:val="20"/>
                <w:szCs w:val="20"/>
              </w:rPr>
              <w:br/>
              <w:t>(in thousands of RSD)</w:t>
            </w:r>
          </w:p>
        </w:tc>
        <w:tc>
          <w:tcPr>
            <w:tcW w:w="5742" w:type="dxa"/>
          </w:tcPr>
          <w:p w14:paraId="1AD6E868" w14:textId="77777777" w:rsidR="0094644B" w:rsidRPr="00FA3F57" w:rsidRDefault="0094644B" w:rsidP="00FB5086">
            <w:pPr>
              <w:rPr>
                <w:sz w:val="20"/>
                <w:szCs w:val="20"/>
              </w:rPr>
            </w:pPr>
            <w:r w:rsidRPr="00FA3F57">
              <w:rPr>
                <w:sz w:val="20"/>
                <w:szCs w:val="20"/>
              </w:rPr>
              <w:t>117,250 (own funds)</w:t>
            </w:r>
          </w:p>
        </w:tc>
      </w:tr>
      <w:tr w:rsidR="0094644B" w:rsidRPr="00F07779" w14:paraId="0BE50DA2" w14:textId="77777777" w:rsidTr="00FB5086">
        <w:tc>
          <w:tcPr>
            <w:tcW w:w="2973" w:type="dxa"/>
          </w:tcPr>
          <w:p w14:paraId="7AFB055C" w14:textId="77777777" w:rsidR="0094644B" w:rsidRPr="00FA3F57" w:rsidRDefault="0094644B" w:rsidP="00FB5086">
            <w:pPr>
              <w:rPr>
                <w:sz w:val="20"/>
                <w:szCs w:val="20"/>
              </w:rPr>
            </w:pPr>
            <w:r w:rsidRPr="00FA3F57">
              <w:rPr>
                <w:sz w:val="20"/>
                <w:szCs w:val="20"/>
              </w:rPr>
              <w:t>Planned investments for 2028.</w:t>
            </w:r>
            <w:r w:rsidRPr="00FA3F57">
              <w:rPr>
                <w:sz w:val="20"/>
                <w:szCs w:val="20"/>
              </w:rPr>
              <w:br/>
              <w:t>(in thousands of RSD)</w:t>
            </w:r>
          </w:p>
        </w:tc>
        <w:tc>
          <w:tcPr>
            <w:tcW w:w="5742" w:type="dxa"/>
          </w:tcPr>
          <w:p w14:paraId="0B09A3FE" w14:textId="77777777" w:rsidR="0094644B" w:rsidRPr="00FA3F57" w:rsidRDefault="0094644B" w:rsidP="00FB5086">
            <w:pPr>
              <w:rPr>
                <w:sz w:val="20"/>
                <w:szCs w:val="20"/>
              </w:rPr>
            </w:pPr>
            <w:r w:rsidRPr="00FA3F57">
              <w:rPr>
                <w:sz w:val="20"/>
                <w:szCs w:val="20"/>
              </w:rPr>
              <w:t>0</w:t>
            </w:r>
          </w:p>
        </w:tc>
      </w:tr>
      <w:tr w:rsidR="0094644B" w:rsidRPr="00F07779" w14:paraId="60EB1485" w14:textId="77777777" w:rsidTr="00FB5086">
        <w:tc>
          <w:tcPr>
            <w:tcW w:w="2973" w:type="dxa"/>
          </w:tcPr>
          <w:p w14:paraId="6D48C8D4" w14:textId="77777777" w:rsidR="0094644B" w:rsidRPr="00FA3F57" w:rsidRDefault="0094644B" w:rsidP="00FB5086">
            <w:pPr>
              <w:rPr>
                <w:sz w:val="20"/>
                <w:szCs w:val="20"/>
              </w:rPr>
            </w:pPr>
            <w:r w:rsidRPr="00FA3F57">
              <w:rPr>
                <w:sz w:val="20"/>
                <w:szCs w:val="20"/>
              </w:rPr>
              <w:t>Implementation indicator</w:t>
            </w:r>
          </w:p>
        </w:tc>
        <w:tc>
          <w:tcPr>
            <w:tcW w:w="5742" w:type="dxa"/>
          </w:tcPr>
          <w:p w14:paraId="1C4D6A13" w14:textId="77777777" w:rsidR="0094644B" w:rsidRPr="00FA3F57" w:rsidRDefault="0094644B" w:rsidP="00FB5086">
            <w:pPr>
              <w:rPr>
                <w:sz w:val="20"/>
                <w:szCs w:val="20"/>
              </w:rPr>
            </w:pPr>
            <w:r w:rsidRPr="00FA3F57">
              <w:rPr>
                <w:sz w:val="20"/>
                <w:szCs w:val="20"/>
              </w:rPr>
              <w:t>Data not available.</w:t>
            </w:r>
          </w:p>
        </w:tc>
      </w:tr>
      <w:tr w:rsidR="0094644B" w:rsidRPr="00F07779" w14:paraId="5264FC1F" w14:textId="77777777" w:rsidTr="00FB5086">
        <w:tc>
          <w:tcPr>
            <w:tcW w:w="2973" w:type="dxa"/>
          </w:tcPr>
          <w:p w14:paraId="357F264E" w14:textId="77777777" w:rsidR="0094644B" w:rsidRPr="00FA3F57" w:rsidRDefault="0094644B" w:rsidP="00FB5086">
            <w:pPr>
              <w:rPr>
                <w:sz w:val="20"/>
                <w:szCs w:val="20"/>
              </w:rPr>
            </w:pPr>
            <w:r w:rsidRPr="00FA3F57">
              <w:rPr>
                <w:sz w:val="20"/>
                <w:szCs w:val="20"/>
              </w:rPr>
              <w:t>Required funds and source of financing</w:t>
            </w:r>
          </w:p>
        </w:tc>
        <w:tc>
          <w:tcPr>
            <w:tcW w:w="5742" w:type="dxa"/>
          </w:tcPr>
          <w:p w14:paraId="69ED5F11" w14:textId="77777777" w:rsidR="0094644B" w:rsidRPr="00FA3F57" w:rsidRDefault="0094644B" w:rsidP="00FB5086">
            <w:pPr>
              <w:rPr>
                <w:sz w:val="20"/>
                <w:szCs w:val="20"/>
              </w:rPr>
            </w:pPr>
            <w:r w:rsidRPr="00F07779">
              <w:rPr>
                <w:sz w:val="20"/>
                <w:szCs w:val="20"/>
              </w:rPr>
              <w:t>This project enables the planning and monitoring of the company's ICT infrastructure usage, supervision and maintenance of the ICT infrastructure, telecommunication systems, IP network, IP telephony, video surveillance systems, access control, and other infrastructure systems of the company, as well as providing support in maintaining ICT systems at the local level and participating in the planning and coordination of ICT system expansion.</w:t>
            </w:r>
          </w:p>
        </w:tc>
      </w:tr>
      <w:tr w:rsidR="0094644B" w:rsidRPr="00F07779" w14:paraId="4F80CC62" w14:textId="77777777" w:rsidTr="00FB5086">
        <w:tc>
          <w:tcPr>
            <w:tcW w:w="2973" w:type="dxa"/>
          </w:tcPr>
          <w:p w14:paraId="07290F27" w14:textId="77777777" w:rsidR="0094644B" w:rsidRPr="00FA3F57" w:rsidRDefault="0094644B" w:rsidP="00FB5086">
            <w:pPr>
              <w:rPr>
                <w:sz w:val="20"/>
                <w:szCs w:val="20"/>
              </w:rPr>
            </w:pPr>
            <w:r w:rsidRPr="00FA3F57">
              <w:rPr>
                <w:sz w:val="20"/>
                <w:szCs w:val="20"/>
              </w:rPr>
              <w:t>Impact on EE, climate, and environmental protection</w:t>
            </w:r>
          </w:p>
        </w:tc>
        <w:tc>
          <w:tcPr>
            <w:tcW w:w="5742" w:type="dxa"/>
          </w:tcPr>
          <w:p w14:paraId="4D36EF22" w14:textId="77777777" w:rsidR="0094644B" w:rsidRPr="00FA3F57" w:rsidRDefault="0094644B" w:rsidP="00FB5086">
            <w:pPr>
              <w:rPr>
                <w:sz w:val="20"/>
                <w:szCs w:val="20"/>
              </w:rPr>
            </w:pPr>
            <w:r w:rsidRPr="00FA3F57">
              <w:rPr>
                <w:sz w:val="20"/>
                <w:szCs w:val="20"/>
              </w:rPr>
              <w:t>Data not available.</w:t>
            </w:r>
          </w:p>
        </w:tc>
      </w:tr>
    </w:tbl>
    <w:p w14:paraId="1B2DAE0F" w14:textId="77777777" w:rsidR="0094644B" w:rsidRPr="00FA3F57" w:rsidRDefault="0094644B" w:rsidP="0094644B"/>
    <w:p w14:paraId="427B42DA" w14:textId="77777777" w:rsidR="0094644B" w:rsidRPr="00FA3F57" w:rsidRDefault="0094644B" w:rsidP="0094644B">
      <w:pPr>
        <w:keepNext/>
        <w:tabs>
          <w:tab w:val="left" w:pos="1276"/>
          <w:tab w:val="left" w:pos="1560"/>
        </w:tabs>
        <w:ind w:left="1440" w:hanging="1440"/>
      </w:pPr>
      <w:r w:rsidRPr="00FA3F57">
        <w:t>Table 5.1.4-1:</w:t>
      </w:r>
      <w:r w:rsidRPr="00FA3F57">
        <w:tab/>
        <w:t>Activities for the implementation of measure EL4</w:t>
      </w:r>
      <w:r w:rsidRPr="00FA3F57" w:rsidDel="00994C52">
        <w:t xml:space="preserve"> </w:t>
      </w:r>
      <w:r w:rsidRPr="00FA3F57">
        <w:t>– Activity EL4.1</w:t>
      </w:r>
    </w:p>
    <w:tbl>
      <w:tblPr>
        <w:tblStyle w:val="TableGrid"/>
        <w:tblW w:w="0" w:type="auto"/>
        <w:tblLook w:val="04A0" w:firstRow="1" w:lastRow="0" w:firstColumn="1" w:lastColumn="0" w:noHBand="0" w:noVBand="1"/>
      </w:tblPr>
      <w:tblGrid>
        <w:gridCol w:w="2973"/>
        <w:gridCol w:w="5669"/>
      </w:tblGrid>
      <w:tr w:rsidR="0094644B" w:rsidRPr="00F07779" w14:paraId="27099663" w14:textId="77777777" w:rsidTr="00FB5086">
        <w:tc>
          <w:tcPr>
            <w:tcW w:w="2973" w:type="dxa"/>
            <w:shd w:val="clear" w:color="auto" w:fill="D9D9D9" w:themeFill="background1" w:themeFillShade="D9"/>
          </w:tcPr>
          <w:p w14:paraId="0DC07107" w14:textId="77777777" w:rsidR="0094644B" w:rsidRPr="00FA3F57" w:rsidRDefault="0094644B" w:rsidP="00FB5086">
            <w:pPr>
              <w:keepNext/>
              <w:rPr>
                <w:sz w:val="20"/>
                <w:szCs w:val="20"/>
              </w:rPr>
            </w:pPr>
            <w:r w:rsidRPr="00FA3F57">
              <w:rPr>
                <w:sz w:val="20"/>
                <w:szCs w:val="20"/>
              </w:rPr>
              <w:t>Activity EL4.1</w:t>
            </w:r>
          </w:p>
        </w:tc>
        <w:tc>
          <w:tcPr>
            <w:tcW w:w="5669" w:type="dxa"/>
            <w:shd w:val="clear" w:color="auto" w:fill="D9D9D9" w:themeFill="background1" w:themeFillShade="D9"/>
          </w:tcPr>
          <w:p w14:paraId="2ABCC620" w14:textId="77777777" w:rsidR="0094644B" w:rsidRPr="00FA3F57" w:rsidRDefault="0094644B" w:rsidP="00FB5086">
            <w:pPr>
              <w:keepNext/>
              <w:rPr>
                <w:sz w:val="20"/>
                <w:szCs w:val="20"/>
              </w:rPr>
            </w:pPr>
            <w:bookmarkStart w:id="11" w:name="OLE_LINK1"/>
            <w:r w:rsidRPr="00FA3F57">
              <w:rPr>
                <w:sz w:val="20"/>
                <w:szCs w:val="20"/>
              </w:rPr>
              <w:t>Construction of RES within EPS JSC</w:t>
            </w:r>
            <w:bookmarkEnd w:id="11"/>
          </w:p>
        </w:tc>
      </w:tr>
      <w:tr w:rsidR="0094644B" w:rsidRPr="00F07779" w14:paraId="34474CD5" w14:textId="77777777" w:rsidTr="00FB5086">
        <w:tc>
          <w:tcPr>
            <w:tcW w:w="2973" w:type="dxa"/>
            <w:shd w:val="clear" w:color="auto" w:fill="D9E2F3" w:themeFill="accent1" w:themeFillTint="33"/>
          </w:tcPr>
          <w:p w14:paraId="35DB28DC" w14:textId="77777777" w:rsidR="0094644B" w:rsidRPr="00FA3F57" w:rsidRDefault="0094644B" w:rsidP="00FB5086">
            <w:pPr>
              <w:keepNext/>
              <w:rPr>
                <w:sz w:val="20"/>
                <w:szCs w:val="20"/>
              </w:rPr>
            </w:pPr>
            <w:r w:rsidRPr="00FA3F57">
              <w:rPr>
                <w:sz w:val="20"/>
                <w:szCs w:val="20"/>
              </w:rPr>
              <w:t>Name of the project</w:t>
            </w:r>
          </w:p>
        </w:tc>
        <w:tc>
          <w:tcPr>
            <w:tcW w:w="5669" w:type="dxa"/>
            <w:shd w:val="clear" w:color="auto" w:fill="D9E2F3" w:themeFill="accent1" w:themeFillTint="33"/>
          </w:tcPr>
          <w:p w14:paraId="33BB520B" w14:textId="77777777" w:rsidR="0094644B" w:rsidRPr="00FA3F57" w:rsidRDefault="0094644B" w:rsidP="00FB5086">
            <w:pPr>
              <w:keepNext/>
              <w:rPr>
                <w:sz w:val="20"/>
                <w:szCs w:val="20"/>
              </w:rPr>
            </w:pPr>
            <w:r w:rsidRPr="00F07779">
              <w:rPr>
                <w:sz w:val="20"/>
                <w:szCs w:val="20"/>
              </w:rPr>
              <w:t xml:space="preserve">Construction of the hydropower plants "Buk </w:t>
            </w:r>
            <w:proofErr w:type="spellStart"/>
            <w:r w:rsidRPr="00F07779">
              <w:rPr>
                <w:sz w:val="20"/>
                <w:szCs w:val="20"/>
              </w:rPr>
              <w:t>Bijela</w:t>
            </w:r>
            <w:proofErr w:type="spellEnd"/>
            <w:r w:rsidRPr="00F07779">
              <w:rPr>
                <w:sz w:val="20"/>
                <w:szCs w:val="20"/>
              </w:rPr>
              <w:t>", "</w:t>
            </w:r>
            <w:proofErr w:type="spellStart"/>
            <w:r w:rsidRPr="00F07779">
              <w:rPr>
                <w:sz w:val="20"/>
                <w:szCs w:val="20"/>
              </w:rPr>
              <w:t>Foča</w:t>
            </w:r>
            <w:proofErr w:type="spellEnd"/>
            <w:r w:rsidRPr="00F07779">
              <w:rPr>
                <w:sz w:val="20"/>
                <w:szCs w:val="20"/>
              </w:rPr>
              <w:t>" and "</w:t>
            </w:r>
            <w:proofErr w:type="spellStart"/>
            <w:r w:rsidRPr="00F07779">
              <w:rPr>
                <w:sz w:val="20"/>
                <w:szCs w:val="20"/>
              </w:rPr>
              <w:t>Paunci</w:t>
            </w:r>
            <w:proofErr w:type="spellEnd"/>
            <w:r w:rsidRPr="00F07779">
              <w:rPr>
                <w:sz w:val="20"/>
                <w:szCs w:val="20"/>
              </w:rPr>
              <w:t>" on the Drina River</w:t>
            </w:r>
          </w:p>
        </w:tc>
      </w:tr>
      <w:tr w:rsidR="0094644B" w:rsidRPr="00F07779" w14:paraId="748F64E3" w14:textId="77777777" w:rsidTr="00FB5086">
        <w:tc>
          <w:tcPr>
            <w:tcW w:w="2973" w:type="dxa"/>
          </w:tcPr>
          <w:p w14:paraId="2E5B633E" w14:textId="77777777" w:rsidR="0094644B" w:rsidRPr="00FA3F57" w:rsidRDefault="0094644B" w:rsidP="00FB5086">
            <w:pPr>
              <w:rPr>
                <w:sz w:val="20"/>
                <w:szCs w:val="20"/>
              </w:rPr>
            </w:pPr>
            <w:r w:rsidRPr="00FA3F57">
              <w:rPr>
                <w:sz w:val="20"/>
                <w:szCs w:val="20"/>
              </w:rPr>
              <w:t>Short description of the investment</w:t>
            </w:r>
          </w:p>
        </w:tc>
        <w:tc>
          <w:tcPr>
            <w:tcW w:w="5669" w:type="dxa"/>
          </w:tcPr>
          <w:p w14:paraId="02FB0F87" w14:textId="77777777" w:rsidR="0094644B" w:rsidRPr="00FA3F57" w:rsidRDefault="0094644B" w:rsidP="00FB5086">
            <w:pPr>
              <w:rPr>
                <w:sz w:val="20"/>
                <w:szCs w:val="20"/>
              </w:rPr>
            </w:pPr>
            <w:r w:rsidRPr="00F07779">
              <w:rPr>
                <w:sz w:val="20"/>
                <w:szCs w:val="20"/>
              </w:rPr>
              <w:t xml:space="preserve">Construction of the hydropower plants "Buk </w:t>
            </w:r>
            <w:proofErr w:type="spellStart"/>
            <w:r w:rsidRPr="00F07779">
              <w:rPr>
                <w:sz w:val="20"/>
                <w:szCs w:val="20"/>
              </w:rPr>
              <w:t>Bijela</w:t>
            </w:r>
            <w:proofErr w:type="spellEnd"/>
            <w:r w:rsidRPr="00F07779">
              <w:rPr>
                <w:sz w:val="20"/>
                <w:szCs w:val="20"/>
              </w:rPr>
              <w:t>", "</w:t>
            </w:r>
            <w:proofErr w:type="spellStart"/>
            <w:r w:rsidRPr="00F07779">
              <w:rPr>
                <w:sz w:val="20"/>
                <w:szCs w:val="20"/>
              </w:rPr>
              <w:t>Foča</w:t>
            </w:r>
            <w:proofErr w:type="spellEnd"/>
            <w:r w:rsidRPr="00F07779">
              <w:rPr>
                <w:sz w:val="20"/>
                <w:szCs w:val="20"/>
              </w:rPr>
              <w:t>", and "</w:t>
            </w:r>
            <w:proofErr w:type="spellStart"/>
            <w:r w:rsidRPr="00F07779">
              <w:rPr>
                <w:sz w:val="20"/>
                <w:szCs w:val="20"/>
              </w:rPr>
              <w:t>Paunci</w:t>
            </w:r>
            <w:proofErr w:type="spellEnd"/>
            <w:r w:rsidRPr="00F07779">
              <w:rPr>
                <w:sz w:val="20"/>
                <w:szCs w:val="20"/>
              </w:rPr>
              <w:t>" on the Drina River</w:t>
            </w:r>
          </w:p>
        </w:tc>
      </w:tr>
      <w:tr w:rsidR="0094644B" w:rsidRPr="00F07779" w14:paraId="55A59C9E" w14:textId="77777777" w:rsidTr="00FB5086">
        <w:tc>
          <w:tcPr>
            <w:tcW w:w="2973" w:type="dxa"/>
          </w:tcPr>
          <w:p w14:paraId="3C1E572C" w14:textId="77777777" w:rsidR="0094644B" w:rsidRPr="00FA3F57" w:rsidRDefault="0094644B" w:rsidP="00FB5086">
            <w:pPr>
              <w:rPr>
                <w:sz w:val="20"/>
                <w:szCs w:val="20"/>
              </w:rPr>
            </w:pPr>
            <w:r w:rsidRPr="00FA3F57">
              <w:rPr>
                <w:sz w:val="20"/>
                <w:szCs w:val="20"/>
              </w:rPr>
              <w:t>Institutions responsible for the implementation of measures and activities</w:t>
            </w:r>
          </w:p>
        </w:tc>
        <w:tc>
          <w:tcPr>
            <w:tcW w:w="5669" w:type="dxa"/>
          </w:tcPr>
          <w:p w14:paraId="73030361" w14:textId="77777777" w:rsidR="0094644B" w:rsidRPr="00FA3F57" w:rsidRDefault="0094644B" w:rsidP="00FB5086">
            <w:pPr>
              <w:rPr>
                <w:sz w:val="20"/>
                <w:szCs w:val="20"/>
              </w:rPr>
            </w:pPr>
            <w:r w:rsidRPr="00F07779">
              <w:rPr>
                <w:sz w:val="20"/>
                <w:szCs w:val="20"/>
              </w:rPr>
              <w:t xml:space="preserve">The project involves the construction of a system of 3 hydroelectric power plants on the upper reaches of the Drina River: HPP Buk </w:t>
            </w:r>
            <w:proofErr w:type="spellStart"/>
            <w:r w:rsidRPr="00F07779">
              <w:rPr>
                <w:sz w:val="20"/>
                <w:szCs w:val="20"/>
              </w:rPr>
              <w:t>Bijela</w:t>
            </w:r>
            <w:proofErr w:type="spellEnd"/>
            <w:r w:rsidRPr="00F07779">
              <w:rPr>
                <w:sz w:val="20"/>
                <w:szCs w:val="20"/>
              </w:rPr>
              <w:t xml:space="preserve">, HPP </w:t>
            </w:r>
            <w:proofErr w:type="spellStart"/>
            <w:r w:rsidRPr="00F07779">
              <w:rPr>
                <w:sz w:val="20"/>
                <w:szCs w:val="20"/>
              </w:rPr>
              <w:t>Foča</w:t>
            </w:r>
            <w:proofErr w:type="spellEnd"/>
            <w:r w:rsidRPr="00F07779">
              <w:rPr>
                <w:sz w:val="20"/>
                <w:szCs w:val="20"/>
              </w:rPr>
              <w:t xml:space="preserve"> and HPP </w:t>
            </w:r>
            <w:proofErr w:type="spellStart"/>
            <w:r w:rsidRPr="00F07779">
              <w:rPr>
                <w:sz w:val="20"/>
                <w:szCs w:val="20"/>
              </w:rPr>
              <w:t>Paunci</w:t>
            </w:r>
            <w:proofErr w:type="spellEnd"/>
            <w:r w:rsidRPr="00F07779">
              <w:rPr>
                <w:sz w:val="20"/>
                <w:szCs w:val="20"/>
              </w:rPr>
              <w:t xml:space="preserve">. The power plants are planned as run-of-the-river plants with concrete dams and Kaplan turbines. </w:t>
            </w:r>
            <w:r w:rsidRPr="00FA3F57">
              <w:rPr>
                <w:sz w:val="20"/>
                <w:szCs w:val="20"/>
              </w:rPr>
              <w:t xml:space="preserve">The projected capacity of the </w:t>
            </w:r>
            <w:proofErr w:type="spellStart"/>
            <w:r w:rsidRPr="00FA3F57">
              <w:rPr>
                <w:sz w:val="20"/>
                <w:szCs w:val="20"/>
              </w:rPr>
              <w:t>Gornja</w:t>
            </w:r>
            <w:proofErr w:type="spellEnd"/>
            <w:r w:rsidRPr="00FA3F57">
              <w:rPr>
                <w:sz w:val="20"/>
                <w:szCs w:val="20"/>
              </w:rPr>
              <w:t xml:space="preserve"> Drina Hydroelectric Power System is planned to be up to 212 MW (HPP Buk </w:t>
            </w:r>
            <w:proofErr w:type="spellStart"/>
            <w:r w:rsidRPr="00FA3F57">
              <w:rPr>
                <w:sz w:val="20"/>
                <w:szCs w:val="20"/>
              </w:rPr>
              <w:t>Bijela</w:t>
            </w:r>
            <w:proofErr w:type="spellEnd"/>
            <w:r w:rsidRPr="00FA3F57">
              <w:rPr>
                <w:sz w:val="20"/>
                <w:szCs w:val="20"/>
              </w:rPr>
              <w:t xml:space="preserve"> 114.4 MW, HPP </w:t>
            </w:r>
            <w:proofErr w:type="spellStart"/>
            <w:r w:rsidRPr="00FA3F57">
              <w:rPr>
                <w:sz w:val="20"/>
                <w:szCs w:val="20"/>
              </w:rPr>
              <w:t>Foča</w:t>
            </w:r>
            <w:proofErr w:type="spellEnd"/>
            <w:r w:rsidRPr="00FA3F57">
              <w:rPr>
                <w:sz w:val="20"/>
                <w:szCs w:val="20"/>
              </w:rPr>
              <w:t xml:space="preserve"> 53.6 MW, and HPP </w:t>
            </w:r>
            <w:proofErr w:type="spellStart"/>
            <w:r w:rsidRPr="00FA3F57">
              <w:rPr>
                <w:sz w:val="20"/>
                <w:szCs w:val="20"/>
              </w:rPr>
              <w:t>Paunci</w:t>
            </w:r>
            <w:proofErr w:type="spellEnd"/>
            <w:r w:rsidRPr="00FA3F57">
              <w:rPr>
                <w:sz w:val="20"/>
                <w:szCs w:val="20"/>
              </w:rPr>
              <w:t xml:space="preserve"> 43.2 MW), with an average annual production of around 705 </w:t>
            </w:r>
            <w:proofErr w:type="spellStart"/>
            <w:r w:rsidRPr="00FA3F57">
              <w:rPr>
                <w:sz w:val="20"/>
                <w:szCs w:val="20"/>
              </w:rPr>
              <w:t>GWh.The</w:t>
            </w:r>
            <w:proofErr w:type="spellEnd"/>
            <w:r w:rsidRPr="00FA3F57">
              <w:rPr>
                <w:sz w:val="20"/>
                <w:szCs w:val="20"/>
              </w:rPr>
              <w:t xml:space="preserve"> project is in preparation.</w:t>
            </w:r>
          </w:p>
        </w:tc>
      </w:tr>
      <w:tr w:rsidR="0094644B" w:rsidRPr="00F07779" w14:paraId="48B0AB77" w14:textId="77777777" w:rsidTr="00FB5086">
        <w:tc>
          <w:tcPr>
            <w:tcW w:w="2973" w:type="dxa"/>
          </w:tcPr>
          <w:p w14:paraId="4D764751" w14:textId="77777777" w:rsidR="0094644B" w:rsidRPr="00FA3F57" w:rsidRDefault="0094644B" w:rsidP="00FB5086">
            <w:pPr>
              <w:rPr>
                <w:sz w:val="20"/>
                <w:szCs w:val="20"/>
              </w:rPr>
            </w:pPr>
            <w:r w:rsidRPr="00FA3F57">
              <w:rPr>
                <w:sz w:val="20"/>
                <w:szCs w:val="20"/>
              </w:rPr>
              <w:t>Institutions responsible for monitoring implementation and reporting on the realization</w:t>
            </w:r>
          </w:p>
        </w:tc>
        <w:tc>
          <w:tcPr>
            <w:tcW w:w="5669" w:type="dxa"/>
          </w:tcPr>
          <w:p w14:paraId="4D9ADA2C" w14:textId="77777777" w:rsidR="0094644B" w:rsidRPr="00FA3F57" w:rsidRDefault="0094644B" w:rsidP="00FB5086">
            <w:pPr>
              <w:rPr>
                <w:sz w:val="20"/>
                <w:szCs w:val="20"/>
              </w:rPr>
            </w:pPr>
            <w:r w:rsidRPr="00FA3F57">
              <w:rPr>
                <w:sz w:val="20"/>
                <w:szCs w:val="20"/>
              </w:rPr>
              <w:t>Joint Stock Company "</w:t>
            </w:r>
            <w:proofErr w:type="spellStart"/>
            <w:r w:rsidRPr="00FA3F57">
              <w:rPr>
                <w:sz w:val="20"/>
                <w:szCs w:val="20"/>
              </w:rPr>
              <w:t>Elektroprivreda</w:t>
            </w:r>
            <w:proofErr w:type="spellEnd"/>
            <w:r w:rsidRPr="00FA3F57">
              <w:rPr>
                <w:sz w:val="20"/>
                <w:szCs w:val="20"/>
              </w:rPr>
              <w:t xml:space="preserve"> Srbije" </w:t>
            </w:r>
          </w:p>
        </w:tc>
      </w:tr>
    </w:tbl>
    <w:p w14:paraId="3CAEDA22" w14:textId="77777777" w:rsidR="0094644B" w:rsidRPr="00FA3F57" w:rsidRDefault="0094644B" w:rsidP="0094644B"/>
    <w:tbl>
      <w:tblPr>
        <w:tblStyle w:val="TableGrid"/>
        <w:tblW w:w="0" w:type="auto"/>
        <w:tblLook w:val="04A0" w:firstRow="1" w:lastRow="0" w:firstColumn="1" w:lastColumn="0" w:noHBand="0" w:noVBand="1"/>
      </w:tblPr>
      <w:tblGrid>
        <w:gridCol w:w="2973"/>
        <w:gridCol w:w="5669"/>
      </w:tblGrid>
      <w:tr w:rsidR="0094644B" w:rsidRPr="00F07779" w14:paraId="5A69C299" w14:textId="77777777" w:rsidTr="00FB5086">
        <w:tc>
          <w:tcPr>
            <w:tcW w:w="2973" w:type="dxa"/>
            <w:shd w:val="clear" w:color="auto" w:fill="D0CECE" w:themeFill="background2" w:themeFillShade="E6"/>
          </w:tcPr>
          <w:p w14:paraId="1AF32564" w14:textId="77777777" w:rsidR="0094644B" w:rsidRPr="00FA3F57" w:rsidRDefault="0094644B" w:rsidP="00FB5086">
            <w:pPr>
              <w:keepNext/>
              <w:rPr>
                <w:sz w:val="20"/>
                <w:szCs w:val="20"/>
              </w:rPr>
            </w:pPr>
            <w:r w:rsidRPr="00FA3F57">
              <w:rPr>
                <w:sz w:val="20"/>
                <w:szCs w:val="20"/>
              </w:rPr>
              <w:t>Activity EL4.1</w:t>
            </w:r>
          </w:p>
        </w:tc>
        <w:tc>
          <w:tcPr>
            <w:tcW w:w="5669" w:type="dxa"/>
            <w:shd w:val="clear" w:color="auto" w:fill="D0CECE" w:themeFill="background2" w:themeFillShade="E6"/>
          </w:tcPr>
          <w:p w14:paraId="7CEE3B66" w14:textId="77777777" w:rsidR="0094644B" w:rsidRPr="00FA3F57" w:rsidRDefault="0094644B" w:rsidP="00FB5086">
            <w:pPr>
              <w:keepNext/>
              <w:rPr>
                <w:sz w:val="20"/>
                <w:szCs w:val="20"/>
              </w:rPr>
            </w:pPr>
            <w:r w:rsidRPr="00FA3F57">
              <w:rPr>
                <w:sz w:val="20"/>
                <w:szCs w:val="20"/>
              </w:rPr>
              <w:t>Construction of RES within EPS JSC Belgrade</w:t>
            </w:r>
          </w:p>
        </w:tc>
      </w:tr>
      <w:tr w:rsidR="0094644B" w:rsidRPr="00F07779" w14:paraId="5E010AC3" w14:textId="77777777" w:rsidTr="00FB5086">
        <w:tc>
          <w:tcPr>
            <w:tcW w:w="2973" w:type="dxa"/>
            <w:shd w:val="clear" w:color="auto" w:fill="D9E2F3" w:themeFill="accent1" w:themeFillTint="33"/>
          </w:tcPr>
          <w:p w14:paraId="265B3BE1" w14:textId="77777777" w:rsidR="0094644B" w:rsidRPr="00FA3F57" w:rsidRDefault="0094644B" w:rsidP="00FB5086">
            <w:pPr>
              <w:keepNext/>
              <w:rPr>
                <w:sz w:val="20"/>
                <w:szCs w:val="20"/>
              </w:rPr>
            </w:pPr>
            <w:r w:rsidRPr="00FA3F57">
              <w:rPr>
                <w:sz w:val="20"/>
                <w:szCs w:val="20"/>
              </w:rPr>
              <w:t>Name of the project</w:t>
            </w:r>
          </w:p>
        </w:tc>
        <w:tc>
          <w:tcPr>
            <w:tcW w:w="5669" w:type="dxa"/>
            <w:shd w:val="clear" w:color="auto" w:fill="D9E2F3" w:themeFill="accent1" w:themeFillTint="33"/>
          </w:tcPr>
          <w:p w14:paraId="1514E77B" w14:textId="77777777" w:rsidR="0094644B" w:rsidRPr="00FA3F57" w:rsidRDefault="0094644B" w:rsidP="00FB5086">
            <w:pPr>
              <w:keepNext/>
              <w:rPr>
                <w:sz w:val="20"/>
                <w:szCs w:val="20"/>
              </w:rPr>
            </w:pPr>
            <w:r w:rsidRPr="00F07779">
              <w:rPr>
                <w:sz w:val="20"/>
                <w:szCs w:val="20"/>
              </w:rPr>
              <w:t>Morava solar power plant construction project</w:t>
            </w:r>
          </w:p>
        </w:tc>
      </w:tr>
      <w:tr w:rsidR="0094644B" w:rsidRPr="00F07779" w14:paraId="6E75C98C" w14:textId="77777777" w:rsidTr="00FB5086">
        <w:tc>
          <w:tcPr>
            <w:tcW w:w="2973" w:type="dxa"/>
          </w:tcPr>
          <w:p w14:paraId="6906B3B4" w14:textId="77777777" w:rsidR="0094644B" w:rsidRPr="00FA3F57" w:rsidRDefault="0094644B" w:rsidP="00FB5086">
            <w:pPr>
              <w:rPr>
                <w:sz w:val="20"/>
                <w:szCs w:val="20"/>
              </w:rPr>
            </w:pPr>
            <w:r w:rsidRPr="00FA3F57">
              <w:rPr>
                <w:sz w:val="20"/>
                <w:szCs w:val="20"/>
              </w:rPr>
              <w:t>Short description of the investment</w:t>
            </w:r>
          </w:p>
        </w:tc>
        <w:tc>
          <w:tcPr>
            <w:tcW w:w="5669" w:type="dxa"/>
          </w:tcPr>
          <w:p w14:paraId="4128EA90" w14:textId="77777777" w:rsidR="0094644B" w:rsidRPr="00F07779" w:rsidRDefault="0094644B" w:rsidP="00FB5086">
            <w:pPr>
              <w:rPr>
                <w:sz w:val="20"/>
                <w:szCs w:val="20"/>
              </w:rPr>
            </w:pPr>
            <w:r w:rsidRPr="00F07779">
              <w:rPr>
                <w:sz w:val="20"/>
                <w:szCs w:val="20"/>
              </w:rPr>
              <w:t xml:space="preserve">The solar power plant is located on the territory of the municipality of </w:t>
            </w:r>
            <w:proofErr w:type="spellStart"/>
            <w:r w:rsidRPr="00F07779">
              <w:rPr>
                <w:sz w:val="20"/>
                <w:szCs w:val="20"/>
              </w:rPr>
              <w:t>Svijalanac</w:t>
            </w:r>
            <w:proofErr w:type="spellEnd"/>
            <w:r w:rsidRPr="00F07779">
              <w:rPr>
                <w:sz w:val="20"/>
                <w:szCs w:val="20"/>
              </w:rPr>
              <w:t>, encompassing the ash disposal area and other accessible areas of the Morava thermal power plant. The planned installed capacity is 31.8 MW, and the annual production is 56 GWh.</w:t>
            </w:r>
          </w:p>
          <w:p w14:paraId="59BB7EE9" w14:textId="77777777" w:rsidR="0094644B" w:rsidRPr="00F07779" w:rsidRDefault="0094644B" w:rsidP="00FB5086">
            <w:pPr>
              <w:rPr>
                <w:sz w:val="20"/>
                <w:szCs w:val="20"/>
              </w:rPr>
            </w:pPr>
            <w:r w:rsidRPr="00F07779">
              <w:rPr>
                <w:sz w:val="20"/>
                <w:szCs w:val="20"/>
              </w:rPr>
              <w:t>The investment value is given with the costs of landfill reclamation for EUR 5,100,000.00.</w:t>
            </w:r>
          </w:p>
          <w:p w14:paraId="0900A05E" w14:textId="77777777" w:rsidR="0094644B" w:rsidRPr="00FA3F57" w:rsidRDefault="0094644B" w:rsidP="00FB5086">
            <w:pPr>
              <w:rPr>
                <w:sz w:val="20"/>
                <w:szCs w:val="20"/>
              </w:rPr>
            </w:pPr>
            <w:r w:rsidRPr="00FA3F57">
              <w:rPr>
                <w:sz w:val="20"/>
                <w:szCs w:val="20"/>
              </w:rPr>
              <w:t>Expected dynamics of project implementation:</w:t>
            </w:r>
          </w:p>
          <w:p w14:paraId="7814E2F4" w14:textId="77777777" w:rsidR="0094644B" w:rsidRPr="00FA3F57" w:rsidRDefault="0094644B" w:rsidP="00FB5086">
            <w:pPr>
              <w:rPr>
                <w:sz w:val="20"/>
                <w:szCs w:val="20"/>
              </w:rPr>
            </w:pPr>
            <w:r w:rsidRPr="00FA3F57">
              <w:rPr>
                <w:sz w:val="20"/>
                <w:szCs w:val="20"/>
              </w:rPr>
              <w:t>2026. Building permit</w:t>
            </w:r>
          </w:p>
          <w:p w14:paraId="54539C4E" w14:textId="77777777" w:rsidR="0094644B" w:rsidRPr="00FA3F57" w:rsidRDefault="0094644B" w:rsidP="00FB5086">
            <w:pPr>
              <w:rPr>
                <w:sz w:val="20"/>
                <w:szCs w:val="20"/>
              </w:rPr>
            </w:pPr>
            <w:r w:rsidRPr="00FA3F57">
              <w:rPr>
                <w:sz w:val="20"/>
                <w:szCs w:val="20"/>
              </w:rPr>
              <w:t>2027. Construction</w:t>
            </w:r>
          </w:p>
          <w:p w14:paraId="26A04B4E" w14:textId="77777777" w:rsidR="0094644B" w:rsidRPr="00FA3F57" w:rsidRDefault="0094644B" w:rsidP="00FB5086">
            <w:pPr>
              <w:rPr>
                <w:sz w:val="20"/>
                <w:szCs w:val="20"/>
              </w:rPr>
            </w:pPr>
            <w:r w:rsidRPr="00FA3F57">
              <w:rPr>
                <w:sz w:val="20"/>
                <w:szCs w:val="20"/>
              </w:rPr>
              <w:t>2028. Construction</w:t>
            </w:r>
          </w:p>
        </w:tc>
      </w:tr>
      <w:tr w:rsidR="0094644B" w:rsidRPr="00F07779" w14:paraId="003CC25E" w14:textId="77777777" w:rsidTr="00FB5086">
        <w:tc>
          <w:tcPr>
            <w:tcW w:w="2973" w:type="dxa"/>
          </w:tcPr>
          <w:p w14:paraId="37C1F460" w14:textId="77777777" w:rsidR="0094644B" w:rsidRPr="00FA3F57" w:rsidRDefault="0094644B" w:rsidP="00FB5086">
            <w:pPr>
              <w:rPr>
                <w:sz w:val="20"/>
                <w:szCs w:val="20"/>
              </w:rPr>
            </w:pPr>
            <w:r w:rsidRPr="00FA3F57">
              <w:rPr>
                <w:sz w:val="20"/>
                <w:szCs w:val="20"/>
              </w:rPr>
              <w:lastRenderedPageBreak/>
              <w:t>Institutions responsible for the implementation of measures and activities</w:t>
            </w:r>
          </w:p>
        </w:tc>
        <w:tc>
          <w:tcPr>
            <w:tcW w:w="5669" w:type="dxa"/>
          </w:tcPr>
          <w:p w14:paraId="26C8CBBC" w14:textId="77777777" w:rsidR="0094644B" w:rsidRPr="00FA3F57" w:rsidRDefault="0094644B" w:rsidP="00FB5086">
            <w:pPr>
              <w:rPr>
                <w:sz w:val="20"/>
                <w:szCs w:val="20"/>
              </w:rPr>
            </w:pPr>
            <w:r w:rsidRPr="00FA3F57">
              <w:rPr>
                <w:sz w:val="20"/>
                <w:szCs w:val="20"/>
              </w:rPr>
              <w:t>Joint Stock Company "</w:t>
            </w:r>
            <w:proofErr w:type="spellStart"/>
            <w:r w:rsidRPr="00FA3F57">
              <w:rPr>
                <w:sz w:val="20"/>
                <w:szCs w:val="20"/>
              </w:rPr>
              <w:t>Elektroprivreda</w:t>
            </w:r>
            <w:proofErr w:type="spellEnd"/>
            <w:r w:rsidRPr="00FA3F57">
              <w:rPr>
                <w:sz w:val="20"/>
                <w:szCs w:val="20"/>
              </w:rPr>
              <w:t xml:space="preserve"> Srbije"</w:t>
            </w:r>
          </w:p>
        </w:tc>
      </w:tr>
      <w:tr w:rsidR="0094644B" w:rsidRPr="00F07779" w14:paraId="7731E42A" w14:textId="77777777" w:rsidTr="00FB5086">
        <w:tc>
          <w:tcPr>
            <w:tcW w:w="2973" w:type="dxa"/>
          </w:tcPr>
          <w:p w14:paraId="35F9462C" w14:textId="77777777" w:rsidR="0094644B" w:rsidRPr="00FA3F57" w:rsidRDefault="0094644B" w:rsidP="00FB5086">
            <w:pPr>
              <w:rPr>
                <w:sz w:val="20"/>
                <w:szCs w:val="20"/>
              </w:rPr>
            </w:pPr>
            <w:r w:rsidRPr="00FA3F57">
              <w:rPr>
                <w:sz w:val="20"/>
                <w:szCs w:val="20"/>
              </w:rPr>
              <w:t>Institutions responsible for monitoring implementation and reporting on the realization</w:t>
            </w:r>
          </w:p>
        </w:tc>
        <w:tc>
          <w:tcPr>
            <w:tcW w:w="5669" w:type="dxa"/>
          </w:tcPr>
          <w:p w14:paraId="3705DE67" w14:textId="77777777" w:rsidR="0094644B" w:rsidRPr="00FA3F57" w:rsidRDefault="0094644B" w:rsidP="00FB5086">
            <w:pPr>
              <w:rPr>
                <w:sz w:val="20"/>
                <w:szCs w:val="20"/>
              </w:rPr>
            </w:pPr>
            <w:r w:rsidRPr="00FA3F57">
              <w:rPr>
                <w:sz w:val="20"/>
                <w:szCs w:val="20"/>
              </w:rPr>
              <w:t>Joint Stock Company "</w:t>
            </w:r>
            <w:proofErr w:type="spellStart"/>
            <w:r w:rsidRPr="00FA3F57">
              <w:rPr>
                <w:sz w:val="20"/>
                <w:szCs w:val="20"/>
              </w:rPr>
              <w:t>Elektroprivreda</w:t>
            </w:r>
            <w:proofErr w:type="spellEnd"/>
            <w:r w:rsidRPr="00FA3F57">
              <w:rPr>
                <w:sz w:val="20"/>
                <w:szCs w:val="20"/>
              </w:rPr>
              <w:t xml:space="preserve"> Srbije" Ministry of Mining and Energy</w:t>
            </w:r>
          </w:p>
        </w:tc>
      </w:tr>
      <w:tr w:rsidR="0094644B" w:rsidRPr="00F07779" w14:paraId="105FD9A0" w14:textId="77777777" w:rsidTr="00FB5086">
        <w:tc>
          <w:tcPr>
            <w:tcW w:w="2973" w:type="dxa"/>
          </w:tcPr>
          <w:p w14:paraId="500B1BCA" w14:textId="77777777" w:rsidR="0094644B" w:rsidRPr="00FA3F57" w:rsidRDefault="0094644B" w:rsidP="00FB5086">
            <w:pPr>
              <w:rPr>
                <w:sz w:val="20"/>
                <w:szCs w:val="20"/>
              </w:rPr>
            </w:pPr>
            <w:r w:rsidRPr="00FA3F57">
              <w:rPr>
                <w:sz w:val="20"/>
                <w:szCs w:val="20"/>
              </w:rPr>
              <w:t>Year of project funding start</w:t>
            </w:r>
          </w:p>
        </w:tc>
        <w:tc>
          <w:tcPr>
            <w:tcW w:w="5669" w:type="dxa"/>
          </w:tcPr>
          <w:p w14:paraId="5535EA06" w14:textId="77777777" w:rsidR="0094644B" w:rsidRPr="00FA3F57" w:rsidRDefault="0094644B" w:rsidP="00FB5086">
            <w:pPr>
              <w:rPr>
                <w:sz w:val="20"/>
                <w:szCs w:val="20"/>
              </w:rPr>
            </w:pPr>
            <w:r w:rsidRPr="00FA3F57">
              <w:rPr>
                <w:sz w:val="20"/>
                <w:szCs w:val="20"/>
              </w:rPr>
              <w:t>n/a</w:t>
            </w:r>
          </w:p>
        </w:tc>
      </w:tr>
      <w:tr w:rsidR="0094644B" w:rsidRPr="00F07779" w14:paraId="2CA59D92" w14:textId="77777777" w:rsidTr="00FB5086">
        <w:tc>
          <w:tcPr>
            <w:tcW w:w="2973" w:type="dxa"/>
          </w:tcPr>
          <w:p w14:paraId="482C82C0" w14:textId="77777777" w:rsidR="0094644B" w:rsidRPr="00FA3F57" w:rsidRDefault="0094644B" w:rsidP="00FB5086">
            <w:pPr>
              <w:rPr>
                <w:sz w:val="20"/>
                <w:szCs w:val="20"/>
              </w:rPr>
            </w:pPr>
            <w:r w:rsidRPr="00FA3F57">
              <w:rPr>
                <w:sz w:val="20"/>
                <w:szCs w:val="20"/>
              </w:rPr>
              <w:t>Year of completion of project funding</w:t>
            </w:r>
          </w:p>
        </w:tc>
        <w:tc>
          <w:tcPr>
            <w:tcW w:w="5669" w:type="dxa"/>
          </w:tcPr>
          <w:p w14:paraId="6EA0DF5B" w14:textId="77777777" w:rsidR="0094644B" w:rsidRPr="00FA3F57" w:rsidRDefault="0094644B" w:rsidP="00FB5086">
            <w:pPr>
              <w:rPr>
                <w:sz w:val="20"/>
                <w:szCs w:val="20"/>
              </w:rPr>
            </w:pPr>
            <w:r w:rsidRPr="00FA3F57">
              <w:rPr>
                <w:sz w:val="20"/>
                <w:szCs w:val="20"/>
              </w:rPr>
              <w:t>2029.</w:t>
            </w:r>
          </w:p>
        </w:tc>
      </w:tr>
      <w:tr w:rsidR="0094644B" w:rsidRPr="00F07779" w14:paraId="3C38E547" w14:textId="77777777" w:rsidTr="00FB5086">
        <w:tc>
          <w:tcPr>
            <w:tcW w:w="2973" w:type="dxa"/>
          </w:tcPr>
          <w:p w14:paraId="689AB916" w14:textId="77777777" w:rsidR="0094644B" w:rsidRPr="00FA3F57" w:rsidRDefault="0094644B" w:rsidP="00FB5086">
            <w:pPr>
              <w:rPr>
                <w:sz w:val="20"/>
                <w:szCs w:val="20"/>
              </w:rPr>
            </w:pPr>
            <w:r w:rsidRPr="00FA3F57">
              <w:rPr>
                <w:sz w:val="20"/>
                <w:szCs w:val="20"/>
              </w:rPr>
              <w:t>Total project value</w:t>
            </w:r>
            <w:r w:rsidRPr="00FA3F57">
              <w:rPr>
                <w:sz w:val="20"/>
                <w:szCs w:val="20"/>
              </w:rPr>
              <w:br/>
              <w:t>(in thousands of RSD)</w:t>
            </w:r>
          </w:p>
        </w:tc>
        <w:tc>
          <w:tcPr>
            <w:tcW w:w="5669" w:type="dxa"/>
          </w:tcPr>
          <w:p w14:paraId="12BB7309" w14:textId="77777777" w:rsidR="0094644B" w:rsidRPr="00FA3F57" w:rsidRDefault="0094644B" w:rsidP="00FB5086">
            <w:pPr>
              <w:rPr>
                <w:sz w:val="20"/>
                <w:szCs w:val="20"/>
              </w:rPr>
            </w:pPr>
            <w:r w:rsidRPr="00F07779">
              <w:rPr>
                <w:color w:val="000000"/>
                <w:sz w:val="20"/>
                <w:szCs w:val="20"/>
              </w:rPr>
              <w:t>3,505,775 (29.90 million EUR)</w:t>
            </w:r>
          </w:p>
        </w:tc>
      </w:tr>
      <w:tr w:rsidR="0094644B" w:rsidRPr="00F07779" w14:paraId="66E4E5DA" w14:textId="77777777" w:rsidTr="00FB5086">
        <w:tc>
          <w:tcPr>
            <w:tcW w:w="2973" w:type="dxa"/>
          </w:tcPr>
          <w:p w14:paraId="6DC0B9CB" w14:textId="77777777" w:rsidR="0094644B" w:rsidRPr="00FA3F57" w:rsidRDefault="0094644B" w:rsidP="00FB5086">
            <w:pPr>
              <w:rPr>
                <w:sz w:val="20"/>
                <w:szCs w:val="20"/>
              </w:rPr>
            </w:pPr>
            <w:r w:rsidRPr="00FA3F57">
              <w:rPr>
                <w:sz w:val="20"/>
                <w:szCs w:val="20"/>
              </w:rPr>
              <w:t>Planned investments for 2026.</w:t>
            </w:r>
            <w:r w:rsidRPr="00FA3F57">
              <w:rPr>
                <w:sz w:val="20"/>
                <w:szCs w:val="20"/>
              </w:rPr>
              <w:br/>
              <w:t>(in thousands of RSD)</w:t>
            </w:r>
          </w:p>
        </w:tc>
        <w:tc>
          <w:tcPr>
            <w:tcW w:w="5669" w:type="dxa"/>
          </w:tcPr>
          <w:p w14:paraId="15A49B42" w14:textId="77777777" w:rsidR="0094644B" w:rsidRPr="00FA3F57" w:rsidRDefault="0094644B" w:rsidP="00FB5086">
            <w:pPr>
              <w:rPr>
                <w:sz w:val="20"/>
                <w:szCs w:val="20"/>
              </w:rPr>
            </w:pPr>
            <w:r w:rsidRPr="00FA3F57">
              <w:rPr>
                <w:sz w:val="20"/>
                <w:szCs w:val="20"/>
              </w:rPr>
              <w:t>0</w:t>
            </w:r>
          </w:p>
        </w:tc>
      </w:tr>
      <w:tr w:rsidR="0094644B" w:rsidRPr="00F07779" w14:paraId="73E9DA51" w14:textId="77777777" w:rsidTr="00FB5086">
        <w:tc>
          <w:tcPr>
            <w:tcW w:w="2973" w:type="dxa"/>
          </w:tcPr>
          <w:p w14:paraId="7652C2D8" w14:textId="77777777" w:rsidR="0094644B" w:rsidRPr="00FA3F57" w:rsidRDefault="0094644B" w:rsidP="00FB5086">
            <w:pPr>
              <w:rPr>
                <w:sz w:val="20"/>
                <w:szCs w:val="20"/>
              </w:rPr>
            </w:pPr>
            <w:r w:rsidRPr="00FA3F57">
              <w:rPr>
                <w:sz w:val="20"/>
                <w:szCs w:val="20"/>
              </w:rPr>
              <w:t>Planned investments for 2027.</w:t>
            </w:r>
            <w:r w:rsidRPr="00FA3F57">
              <w:rPr>
                <w:sz w:val="20"/>
                <w:szCs w:val="20"/>
              </w:rPr>
              <w:br/>
              <w:t>(in thousands of RSD)</w:t>
            </w:r>
          </w:p>
        </w:tc>
        <w:tc>
          <w:tcPr>
            <w:tcW w:w="5669" w:type="dxa"/>
          </w:tcPr>
          <w:p w14:paraId="6009D2D3" w14:textId="77777777" w:rsidR="0094644B" w:rsidRPr="00FA3F57" w:rsidRDefault="0094644B" w:rsidP="00FB5086">
            <w:pPr>
              <w:rPr>
                <w:sz w:val="20"/>
                <w:szCs w:val="20"/>
              </w:rPr>
            </w:pPr>
            <w:r w:rsidRPr="00FA3F57">
              <w:rPr>
                <w:sz w:val="20"/>
                <w:szCs w:val="20"/>
              </w:rPr>
              <w:t>586,250 (loan)</w:t>
            </w:r>
          </w:p>
        </w:tc>
      </w:tr>
      <w:tr w:rsidR="0094644B" w:rsidRPr="00F07779" w14:paraId="0856189F" w14:textId="77777777" w:rsidTr="00FB5086">
        <w:tc>
          <w:tcPr>
            <w:tcW w:w="2973" w:type="dxa"/>
          </w:tcPr>
          <w:p w14:paraId="6D694451" w14:textId="77777777" w:rsidR="0094644B" w:rsidRPr="00FA3F57" w:rsidRDefault="0094644B" w:rsidP="00FB5086">
            <w:pPr>
              <w:rPr>
                <w:sz w:val="20"/>
                <w:szCs w:val="20"/>
              </w:rPr>
            </w:pPr>
            <w:r w:rsidRPr="00FA3F57">
              <w:rPr>
                <w:sz w:val="20"/>
                <w:szCs w:val="20"/>
              </w:rPr>
              <w:t>Planned investments for 2028.</w:t>
            </w:r>
            <w:r w:rsidRPr="00FA3F57">
              <w:rPr>
                <w:sz w:val="20"/>
                <w:szCs w:val="20"/>
              </w:rPr>
              <w:br/>
              <w:t>(in thousands of RSD)</w:t>
            </w:r>
          </w:p>
        </w:tc>
        <w:tc>
          <w:tcPr>
            <w:tcW w:w="5669" w:type="dxa"/>
          </w:tcPr>
          <w:p w14:paraId="7A6ED108" w14:textId="77777777" w:rsidR="0094644B" w:rsidRPr="00FA3F57" w:rsidRDefault="0094644B" w:rsidP="00FB5086">
            <w:pPr>
              <w:rPr>
                <w:sz w:val="20"/>
                <w:szCs w:val="20"/>
              </w:rPr>
            </w:pPr>
            <w:r w:rsidRPr="00FA3F57">
              <w:rPr>
                <w:sz w:val="20"/>
                <w:szCs w:val="20"/>
              </w:rPr>
              <w:t>1,172,500 (loan)</w:t>
            </w:r>
          </w:p>
        </w:tc>
      </w:tr>
    </w:tbl>
    <w:p w14:paraId="69FB30D9" w14:textId="77777777" w:rsidR="0094644B" w:rsidRPr="00FA3F57" w:rsidRDefault="0094644B" w:rsidP="0094644B"/>
    <w:tbl>
      <w:tblPr>
        <w:tblStyle w:val="TableGrid"/>
        <w:tblW w:w="0" w:type="auto"/>
        <w:tblLook w:val="04A0" w:firstRow="1" w:lastRow="0" w:firstColumn="1" w:lastColumn="0" w:noHBand="0" w:noVBand="1"/>
      </w:tblPr>
      <w:tblGrid>
        <w:gridCol w:w="2973"/>
        <w:gridCol w:w="5669"/>
      </w:tblGrid>
      <w:tr w:rsidR="0094644B" w:rsidRPr="00F07779" w14:paraId="3387F8DD" w14:textId="77777777" w:rsidTr="00FB5086">
        <w:tc>
          <w:tcPr>
            <w:tcW w:w="2973" w:type="dxa"/>
            <w:shd w:val="clear" w:color="auto" w:fill="D0CECE" w:themeFill="background2" w:themeFillShade="E6"/>
          </w:tcPr>
          <w:p w14:paraId="648DF1A9" w14:textId="77777777" w:rsidR="0094644B" w:rsidRPr="00FA3F57" w:rsidRDefault="0094644B" w:rsidP="00FB5086">
            <w:pPr>
              <w:keepNext/>
              <w:rPr>
                <w:sz w:val="20"/>
                <w:szCs w:val="20"/>
              </w:rPr>
            </w:pPr>
            <w:r w:rsidRPr="00FA3F57">
              <w:rPr>
                <w:sz w:val="20"/>
                <w:szCs w:val="20"/>
              </w:rPr>
              <w:t>Activity EL4.1</w:t>
            </w:r>
          </w:p>
        </w:tc>
        <w:tc>
          <w:tcPr>
            <w:tcW w:w="5669" w:type="dxa"/>
            <w:shd w:val="clear" w:color="auto" w:fill="D0CECE" w:themeFill="background2" w:themeFillShade="E6"/>
          </w:tcPr>
          <w:p w14:paraId="347CD1C3" w14:textId="77777777" w:rsidR="0094644B" w:rsidRPr="00FA3F57" w:rsidRDefault="0094644B" w:rsidP="00FB5086">
            <w:pPr>
              <w:keepNext/>
              <w:rPr>
                <w:sz w:val="20"/>
                <w:szCs w:val="20"/>
              </w:rPr>
            </w:pPr>
            <w:r w:rsidRPr="00FA3F57">
              <w:rPr>
                <w:sz w:val="20"/>
                <w:szCs w:val="20"/>
              </w:rPr>
              <w:t>Construction of RES within EPS JSC Belgrade</w:t>
            </w:r>
          </w:p>
        </w:tc>
      </w:tr>
      <w:tr w:rsidR="0094644B" w:rsidRPr="00F07779" w14:paraId="4FDEA78C" w14:textId="77777777" w:rsidTr="00FB5086">
        <w:tc>
          <w:tcPr>
            <w:tcW w:w="2973" w:type="dxa"/>
            <w:shd w:val="clear" w:color="auto" w:fill="D9E2F3" w:themeFill="accent1" w:themeFillTint="33"/>
          </w:tcPr>
          <w:p w14:paraId="0262F3A8" w14:textId="77777777" w:rsidR="0094644B" w:rsidRPr="00FA3F57" w:rsidRDefault="0094644B" w:rsidP="00FB5086">
            <w:pPr>
              <w:keepNext/>
              <w:rPr>
                <w:sz w:val="20"/>
                <w:szCs w:val="20"/>
              </w:rPr>
            </w:pPr>
            <w:r w:rsidRPr="00FA3F57">
              <w:rPr>
                <w:sz w:val="20"/>
                <w:szCs w:val="20"/>
              </w:rPr>
              <w:t>Name of the project</w:t>
            </w:r>
          </w:p>
        </w:tc>
        <w:tc>
          <w:tcPr>
            <w:tcW w:w="5669" w:type="dxa"/>
            <w:shd w:val="clear" w:color="auto" w:fill="D9E2F3" w:themeFill="accent1" w:themeFillTint="33"/>
          </w:tcPr>
          <w:p w14:paraId="292A1E71" w14:textId="77777777" w:rsidR="0094644B" w:rsidRPr="00FA3F57" w:rsidRDefault="0094644B" w:rsidP="00FB5086">
            <w:pPr>
              <w:keepNext/>
              <w:rPr>
                <w:sz w:val="20"/>
                <w:szCs w:val="20"/>
              </w:rPr>
            </w:pPr>
            <w:proofErr w:type="spellStart"/>
            <w:r w:rsidRPr="00F07779">
              <w:rPr>
                <w:sz w:val="20"/>
                <w:szCs w:val="20"/>
              </w:rPr>
              <w:t>Kolubara</w:t>
            </w:r>
            <w:proofErr w:type="spellEnd"/>
            <w:r w:rsidRPr="00F07779">
              <w:rPr>
                <w:sz w:val="20"/>
                <w:szCs w:val="20"/>
              </w:rPr>
              <w:t xml:space="preserve"> solar power plant construction project</w:t>
            </w:r>
          </w:p>
        </w:tc>
      </w:tr>
      <w:tr w:rsidR="0094644B" w:rsidRPr="00F07779" w14:paraId="26278906" w14:textId="77777777" w:rsidTr="00FB5086">
        <w:tc>
          <w:tcPr>
            <w:tcW w:w="2973" w:type="dxa"/>
          </w:tcPr>
          <w:p w14:paraId="2BCE962E" w14:textId="77777777" w:rsidR="0094644B" w:rsidRPr="00FA3F57" w:rsidRDefault="0094644B" w:rsidP="00FB5086">
            <w:pPr>
              <w:rPr>
                <w:sz w:val="20"/>
                <w:szCs w:val="20"/>
              </w:rPr>
            </w:pPr>
            <w:r w:rsidRPr="00FA3F57">
              <w:rPr>
                <w:sz w:val="20"/>
                <w:szCs w:val="20"/>
              </w:rPr>
              <w:t>Short description of the investment</w:t>
            </w:r>
          </w:p>
        </w:tc>
        <w:tc>
          <w:tcPr>
            <w:tcW w:w="5669" w:type="dxa"/>
          </w:tcPr>
          <w:p w14:paraId="2F6420E7" w14:textId="77777777" w:rsidR="0094644B" w:rsidRPr="00F07779" w:rsidRDefault="0094644B" w:rsidP="00FB5086">
            <w:pPr>
              <w:rPr>
                <w:sz w:val="20"/>
                <w:szCs w:val="20"/>
              </w:rPr>
            </w:pPr>
            <w:r w:rsidRPr="00F07779">
              <w:rPr>
                <w:sz w:val="20"/>
                <w:szCs w:val="20"/>
              </w:rPr>
              <w:t xml:space="preserve">The </w:t>
            </w:r>
            <w:proofErr w:type="spellStart"/>
            <w:r w:rsidRPr="00F07779">
              <w:rPr>
                <w:sz w:val="20"/>
                <w:szCs w:val="20"/>
              </w:rPr>
              <w:t>Kolubara</w:t>
            </w:r>
            <w:proofErr w:type="spellEnd"/>
            <w:r w:rsidRPr="00F07779">
              <w:rPr>
                <w:sz w:val="20"/>
                <w:szCs w:val="20"/>
              </w:rPr>
              <w:t xml:space="preserve"> A solar power plant is planned to extend over the ash dump, coal dump, and other available areas of the </w:t>
            </w:r>
            <w:proofErr w:type="spellStart"/>
            <w:r w:rsidRPr="00F07779">
              <w:rPr>
                <w:sz w:val="20"/>
                <w:szCs w:val="20"/>
              </w:rPr>
              <w:t>Kolubara</w:t>
            </w:r>
            <w:proofErr w:type="spellEnd"/>
            <w:r w:rsidRPr="00F07779">
              <w:rPr>
                <w:sz w:val="20"/>
                <w:szCs w:val="20"/>
              </w:rPr>
              <w:t xml:space="preserve"> </w:t>
            </w:r>
            <w:proofErr w:type="gramStart"/>
            <w:r w:rsidRPr="00F07779">
              <w:rPr>
                <w:sz w:val="20"/>
                <w:szCs w:val="20"/>
              </w:rPr>
              <w:t>A</w:t>
            </w:r>
            <w:proofErr w:type="gramEnd"/>
            <w:r w:rsidRPr="00F07779">
              <w:rPr>
                <w:sz w:val="20"/>
                <w:szCs w:val="20"/>
              </w:rPr>
              <w:t xml:space="preserve"> Thermal Power Plant. The location is in central Serbia, in the settlement of </w:t>
            </w:r>
            <w:proofErr w:type="spellStart"/>
            <w:r w:rsidRPr="00F07779">
              <w:rPr>
                <w:sz w:val="20"/>
                <w:szCs w:val="20"/>
              </w:rPr>
              <w:t>Veliki</w:t>
            </w:r>
            <w:proofErr w:type="spellEnd"/>
            <w:r w:rsidRPr="00F07779">
              <w:rPr>
                <w:sz w:val="20"/>
                <w:szCs w:val="20"/>
              </w:rPr>
              <w:t xml:space="preserve"> </w:t>
            </w:r>
            <w:proofErr w:type="spellStart"/>
            <w:r w:rsidRPr="00F07779">
              <w:rPr>
                <w:sz w:val="20"/>
                <w:szCs w:val="20"/>
              </w:rPr>
              <w:t>Crljeni</w:t>
            </w:r>
            <w:proofErr w:type="spellEnd"/>
            <w:r w:rsidRPr="00F07779">
              <w:rPr>
                <w:sz w:val="20"/>
                <w:szCs w:val="20"/>
              </w:rPr>
              <w:t xml:space="preserve">, about 40 kilometers southeast of Belgrade. </w:t>
            </w:r>
            <w:r w:rsidRPr="00FA3F57">
              <w:rPr>
                <w:sz w:val="20"/>
                <w:szCs w:val="20"/>
              </w:rPr>
              <w:t>The planned installed capacity is 78.6 MW, and the annual production is 116 GWh.</w:t>
            </w:r>
          </w:p>
          <w:p w14:paraId="2F4F0E9E" w14:textId="77777777" w:rsidR="0094644B" w:rsidRPr="00F07779" w:rsidRDefault="0094644B" w:rsidP="00FB5086">
            <w:pPr>
              <w:rPr>
                <w:sz w:val="20"/>
                <w:szCs w:val="20"/>
              </w:rPr>
            </w:pPr>
            <w:r w:rsidRPr="00F07779">
              <w:rPr>
                <w:sz w:val="20"/>
                <w:szCs w:val="20"/>
              </w:rPr>
              <w:t>The project value includes reclamation costs of EUR 12,467,000.</w:t>
            </w:r>
          </w:p>
          <w:p w14:paraId="06F08EEE" w14:textId="77777777" w:rsidR="0094644B" w:rsidRPr="00FA3F57" w:rsidRDefault="0094644B" w:rsidP="00FB5086">
            <w:pPr>
              <w:rPr>
                <w:sz w:val="20"/>
                <w:szCs w:val="20"/>
              </w:rPr>
            </w:pPr>
            <w:r w:rsidRPr="00FA3F57">
              <w:rPr>
                <w:sz w:val="20"/>
                <w:szCs w:val="20"/>
              </w:rPr>
              <w:t>Expected dynamics of project implementation:</w:t>
            </w:r>
          </w:p>
          <w:p w14:paraId="55A7F788" w14:textId="77777777" w:rsidR="0094644B" w:rsidRPr="00FA3F57" w:rsidRDefault="0094644B" w:rsidP="00FB5086">
            <w:pPr>
              <w:rPr>
                <w:sz w:val="20"/>
                <w:szCs w:val="20"/>
              </w:rPr>
            </w:pPr>
            <w:r w:rsidRPr="00FA3F57">
              <w:rPr>
                <w:sz w:val="20"/>
                <w:szCs w:val="20"/>
              </w:rPr>
              <w:t>2026. Building permit</w:t>
            </w:r>
          </w:p>
          <w:p w14:paraId="27D009A7" w14:textId="77777777" w:rsidR="0094644B" w:rsidRPr="00FA3F57" w:rsidRDefault="0094644B" w:rsidP="00FB5086">
            <w:pPr>
              <w:rPr>
                <w:sz w:val="20"/>
                <w:szCs w:val="20"/>
              </w:rPr>
            </w:pPr>
            <w:r w:rsidRPr="00FA3F57">
              <w:rPr>
                <w:sz w:val="20"/>
                <w:szCs w:val="20"/>
              </w:rPr>
              <w:t>2027.</w:t>
            </w:r>
            <w:r w:rsidRPr="00F07779">
              <w:rPr>
                <w:sz w:val="20"/>
                <w:szCs w:val="20"/>
              </w:rPr>
              <w:t xml:space="preserve"> </w:t>
            </w:r>
            <w:r w:rsidRPr="00FA3F57">
              <w:rPr>
                <w:sz w:val="20"/>
                <w:szCs w:val="20"/>
              </w:rPr>
              <w:t>Construction</w:t>
            </w:r>
          </w:p>
          <w:p w14:paraId="730F1F0F" w14:textId="77777777" w:rsidR="0094644B" w:rsidRPr="00FA3F57" w:rsidRDefault="0094644B" w:rsidP="00FB5086">
            <w:pPr>
              <w:rPr>
                <w:sz w:val="20"/>
                <w:szCs w:val="20"/>
              </w:rPr>
            </w:pPr>
            <w:r w:rsidRPr="00FA3F57">
              <w:rPr>
                <w:sz w:val="20"/>
                <w:szCs w:val="20"/>
              </w:rPr>
              <w:t>2028.</w:t>
            </w:r>
            <w:r w:rsidRPr="00F07779">
              <w:rPr>
                <w:sz w:val="20"/>
                <w:szCs w:val="20"/>
              </w:rPr>
              <w:t xml:space="preserve"> </w:t>
            </w:r>
            <w:r w:rsidRPr="00FA3F57">
              <w:rPr>
                <w:sz w:val="20"/>
                <w:szCs w:val="20"/>
              </w:rPr>
              <w:t>Construction</w:t>
            </w:r>
          </w:p>
        </w:tc>
      </w:tr>
      <w:tr w:rsidR="0094644B" w:rsidRPr="00F07779" w14:paraId="0F00E21A" w14:textId="77777777" w:rsidTr="00FB5086">
        <w:tc>
          <w:tcPr>
            <w:tcW w:w="2973" w:type="dxa"/>
          </w:tcPr>
          <w:p w14:paraId="55C06759" w14:textId="77777777" w:rsidR="0094644B" w:rsidRPr="00FA3F57" w:rsidRDefault="0094644B" w:rsidP="00FB5086">
            <w:pPr>
              <w:rPr>
                <w:sz w:val="20"/>
                <w:szCs w:val="20"/>
              </w:rPr>
            </w:pPr>
            <w:r w:rsidRPr="00FA3F57">
              <w:rPr>
                <w:sz w:val="20"/>
                <w:szCs w:val="20"/>
              </w:rPr>
              <w:t>Institutions responsible for the implementation of measures and activities</w:t>
            </w:r>
          </w:p>
        </w:tc>
        <w:tc>
          <w:tcPr>
            <w:tcW w:w="5669" w:type="dxa"/>
          </w:tcPr>
          <w:p w14:paraId="514995B3" w14:textId="77777777" w:rsidR="0094644B" w:rsidRPr="00FA3F57" w:rsidRDefault="0094644B" w:rsidP="00FB5086">
            <w:pPr>
              <w:rPr>
                <w:sz w:val="20"/>
                <w:szCs w:val="20"/>
              </w:rPr>
            </w:pPr>
            <w:r w:rsidRPr="00FA3F57">
              <w:rPr>
                <w:sz w:val="20"/>
                <w:szCs w:val="20"/>
              </w:rPr>
              <w:t>Joint Stock Company "</w:t>
            </w:r>
            <w:proofErr w:type="spellStart"/>
            <w:r w:rsidRPr="00FA3F57">
              <w:rPr>
                <w:sz w:val="20"/>
                <w:szCs w:val="20"/>
              </w:rPr>
              <w:t>Elektroprivreda</w:t>
            </w:r>
            <w:proofErr w:type="spellEnd"/>
            <w:r w:rsidRPr="00FA3F57">
              <w:rPr>
                <w:sz w:val="20"/>
                <w:szCs w:val="20"/>
              </w:rPr>
              <w:t xml:space="preserve"> Srbije"</w:t>
            </w:r>
          </w:p>
        </w:tc>
      </w:tr>
      <w:tr w:rsidR="0094644B" w:rsidRPr="00F07779" w14:paraId="2B33D8B8" w14:textId="77777777" w:rsidTr="00FB5086">
        <w:tc>
          <w:tcPr>
            <w:tcW w:w="2973" w:type="dxa"/>
          </w:tcPr>
          <w:p w14:paraId="2FEEAC67" w14:textId="77777777" w:rsidR="0094644B" w:rsidRPr="00FA3F57" w:rsidRDefault="0094644B" w:rsidP="00FB5086">
            <w:pPr>
              <w:rPr>
                <w:sz w:val="20"/>
                <w:szCs w:val="20"/>
              </w:rPr>
            </w:pPr>
            <w:r w:rsidRPr="00FA3F57">
              <w:rPr>
                <w:sz w:val="20"/>
                <w:szCs w:val="20"/>
              </w:rPr>
              <w:t>Institutions responsible for monitoring implementation and reporting on the realization</w:t>
            </w:r>
          </w:p>
        </w:tc>
        <w:tc>
          <w:tcPr>
            <w:tcW w:w="5669" w:type="dxa"/>
          </w:tcPr>
          <w:p w14:paraId="7258C4A8" w14:textId="77777777" w:rsidR="0094644B" w:rsidRPr="00F07779" w:rsidRDefault="0094644B" w:rsidP="00FB5086">
            <w:pPr>
              <w:rPr>
                <w:sz w:val="20"/>
                <w:szCs w:val="20"/>
              </w:rPr>
            </w:pPr>
            <w:r w:rsidRPr="00FA3F57">
              <w:rPr>
                <w:sz w:val="20"/>
                <w:szCs w:val="20"/>
              </w:rPr>
              <w:t>Joint Stock Company "</w:t>
            </w:r>
            <w:proofErr w:type="spellStart"/>
            <w:r w:rsidRPr="00FA3F57">
              <w:rPr>
                <w:sz w:val="20"/>
                <w:szCs w:val="20"/>
              </w:rPr>
              <w:t>Elektroprivreda</w:t>
            </w:r>
            <w:proofErr w:type="spellEnd"/>
            <w:r w:rsidRPr="00FA3F57">
              <w:rPr>
                <w:sz w:val="20"/>
                <w:szCs w:val="20"/>
              </w:rPr>
              <w:t xml:space="preserve"> Srbije"</w:t>
            </w:r>
          </w:p>
          <w:p w14:paraId="527D47AF" w14:textId="77777777" w:rsidR="0094644B" w:rsidRPr="00FA3F57" w:rsidRDefault="0094644B" w:rsidP="00FB5086">
            <w:pPr>
              <w:rPr>
                <w:sz w:val="20"/>
                <w:szCs w:val="20"/>
              </w:rPr>
            </w:pPr>
            <w:r w:rsidRPr="00FA3F57">
              <w:rPr>
                <w:sz w:val="20"/>
                <w:szCs w:val="20"/>
              </w:rPr>
              <w:t>Ministry of Mining and Energy</w:t>
            </w:r>
          </w:p>
        </w:tc>
      </w:tr>
      <w:tr w:rsidR="0094644B" w:rsidRPr="00F07779" w14:paraId="02A99457" w14:textId="77777777" w:rsidTr="00FB5086">
        <w:tc>
          <w:tcPr>
            <w:tcW w:w="2973" w:type="dxa"/>
          </w:tcPr>
          <w:p w14:paraId="7F0DE401" w14:textId="77777777" w:rsidR="0094644B" w:rsidRPr="00FA3F57" w:rsidRDefault="0094644B" w:rsidP="00FB5086">
            <w:pPr>
              <w:rPr>
                <w:sz w:val="20"/>
                <w:szCs w:val="20"/>
              </w:rPr>
            </w:pPr>
            <w:r w:rsidRPr="00FA3F57">
              <w:rPr>
                <w:sz w:val="20"/>
                <w:szCs w:val="20"/>
              </w:rPr>
              <w:t>Year of project funding start</w:t>
            </w:r>
          </w:p>
        </w:tc>
        <w:tc>
          <w:tcPr>
            <w:tcW w:w="5669" w:type="dxa"/>
          </w:tcPr>
          <w:p w14:paraId="52F10069" w14:textId="77777777" w:rsidR="0094644B" w:rsidRPr="00FA3F57" w:rsidRDefault="0094644B" w:rsidP="00FB5086">
            <w:pPr>
              <w:rPr>
                <w:sz w:val="20"/>
                <w:szCs w:val="20"/>
              </w:rPr>
            </w:pPr>
            <w:r w:rsidRPr="00FA3F57">
              <w:rPr>
                <w:sz w:val="20"/>
                <w:szCs w:val="20"/>
              </w:rPr>
              <w:t>n/a</w:t>
            </w:r>
          </w:p>
        </w:tc>
      </w:tr>
      <w:tr w:rsidR="0094644B" w:rsidRPr="00F07779" w14:paraId="06CF3C11" w14:textId="77777777" w:rsidTr="00FB5086">
        <w:tc>
          <w:tcPr>
            <w:tcW w:w="2973" w:type="dxa"/>
          </w:tcPr>
          <w:p w14:paraId="3EAC7910" w14:textId="77777777" w:rsidR="0094644B" w:rsidRPr="00FA3F57" w:rsidRDefault="0094644B" w:rsidP="00FB5086">
            <w:pPr>
              <w:rPr>
                <w:sz w:val="20"/>
                <w:szCs w:val="20"/>
              </w:rPr>
            </w:pPr>
            <w:r w:rsidRPr="00FA3F57">
              <w:rPr>
                <w:sz w:val="20"/>
                <w:szCs w:val="20"/>
              </w:rPr>
              <w:t>Year of completion of project funding</w:t>
            </w:r>
          </w:p>
        </w:tc>
        <w:tc>
          <w:tcPr>
            <w:tcW w:w="5669" w:type="dxa"/>
          </w:tcPr>
          <w:p w14:paraId="79AD4223" w14:textId="77777777" w:rsidR="0094644B" w:rsidRPr="00FA3F57" w:rsidRDefault="0094644B" w:rsidP="00FB5086">
            <w:pPr>
              <w:rPr>
                <w:sz w:val="20"/>
                <w:szCs w:val="20"/>
              </w:rPr>
            </w:pPr>
            <w:r w:rsidRPr="00FA3F57">
              <w:rPr>
                <w:sz w:val="20"/>
                <w:szCs w:val="20"/>
              </w:rPr>
              <w:t>2029.</w:t>
            </w:r>
          </w:p>
        </w:tc>
      </w:tr>
      <w:tr w:rsidR="0094644B" w:rsidRPr="00F07779" w14:paraId="432D8299" w14:textId="77777777" w:rsidTr="00FB5086">
        <w:tc>
          <w:tcPr>
            <w:tcW w:w="2973" w:type="dxa"/>
          </w:tcPr>
          <w:p w14:paraId="57401BAF" w14:textId="77777777" w:rsidR="0094644B" w:rsidRPr="00FA3F57" w:rsidRDefault="0094644B" w:rsidP="00FB5086">
            <w:pPr>
              <w:rPr>
                <w:sz w:val="20"/>
                <w:szCs w:val="20"/>
              </w:rPr>
            </w:pPr>
            <w:r w:rsidRPr="00FA3F57">
              <w:rPr>
                <w:sz w:val="20"/>
                <w:szCs w:val="20"/>
              </w:rPr>
              <w:t>Total project value</w:t>
            </w:r>
            <w:r w:rsidRPr="00FA3F57">
              <w:rPr>
                <w:sz w:val="20"/>
                <w:szCs w:val="20"/>
              </w:rPr>
              <w:br/>
              <w:t>(in thousands of RSD)</w:t>
            </w:r>
          </w:p>
        </w:tc>
        <w:tc>
          <w:tcPr>
            <w:tcW w:w="5669" w:type="dxa"/>
          </w:tcPr>
          <w:p w14:paraId="5172FBAA" w14:textId="77777777" w:rsidR="0094644B" w:rsidRPr="00FA3F57" w:rsidRDefault="0094644B" w:rsidP="00FB5086">
            <w:pPr>
              <w:rPr>
                <w:sz w:val="20"/>
                <w:szCs w:val="20"/>
              </w:rPr>
            </w:pPr>
            <w:r w:rsidRPr="00FA3F57">
              <w:rPr>
                <w:color w:val="000000"/>
                <w:sz w:val="20"/>
                <w:szCs w:val="20"/>
              </w:rPr>
              <w:t>7,445,375 (63.5 million EUR)</w:t>
            </w:r>
          </w:p>
        </w:tc>
      </w:tr>
      <w:tr w:rsidR="0094644B" w:rsidRPr="00F07779" w14:paraId="04335098" w14:textId="77777777" w:rsidTr="00FB5086">
        <w:tc>
          <w:tcPr>
            <w:tcW w:w="2973" w:type="dxa"/>
          </w:tcPr>
          <w:p w14:paraId="43F7F941" w14:textId="77777777" w:rsidR="0094644B" w:rsidRPr="00FA3F57" w:rsidRDefault="0094644B" w:rsidP="00FB5086">
            <w:pPr>
              <w:rPr>
                <w:sz w:val="20"/>
                <w:szCs w:val="20"/>
              </w:rPr>
            </w:pPr>
            <w:r w:rsidRPr="00FA3F57">
              <w:rPr>
                <w:sz w:val="20"/>
                <w:szCs w:val="20"/>
              </w:rPr>
              <w:t>Planned investments for 2026.</w:t>
            </w:r>
            <w:r w:rsidRPr="00FA3F57">
              <w:rPr>
                <w:sz w:val="20"/>
                <w:szCs w:val="20"/>
              </w:rPr>
              <w:br/>
              <w:t>(in thousands of RSD)</w:t>
            </w:r>
          </w:p>
        </w:tc>
        <w:tc>
          <w:tcPr>
            <w:tcW w:w="5669" w:type="dxa"/>
          </w:tcPr>
          <w:p w14:paraId="1B220C01" w14:textId="77777777" w:rsidR="0094644B" w:rsidRPr="00FA3F57" w:rsidRDefault="0094644B" w:rsidP="00FB5086">
            <w:pPr>
              <w:rPr>
                <w:sz w:val="20"/>
                <w:szCs w:val="20"/>
              </w:rPr>
            </w:pPr>
            <w:r w:rsidRPr="00FA3F57">
              <w:rPr>
                <w:sz w:val="20"/>
                <w:szCs w:val="20"/>
              </w:rPr>
              <w:t>0</w:t>
            </w:r>
          </w:p>
        </w:tc>
      </w:tr>
      <w:tr w:rsidR="0094644B" w:rsidRPr="00F07779" w14:paraId="7ADE192F" w14:textId="77777777" w:rsidTr="00FB5086">
        <w:tc>
          <w:tcPr>
            <w:tcW w:w="2973" w:type="dxa"/>
          </w:tcPr>
          <w:p w14:paraId="3FA77C9C" w14:textId="77777777" w:rsidR="0094644B" w:rsidRPr="00FA3F57" w:rsidRDefault="0094644B" w:rsidP="00FB5086">
            <w:pPr>
              <w:rPr>
                <w:sz w:val="20"/>
                <w:szCs w:val="20"/>
              </w:rPr>
            </w:pPr>
            <w:r w:rsidRPr="00FA3F57">
              <w:rPr>
                <w:sz w:val="20"/>
                <w:szCs w:val="20"/>
              </w:rPr>
              <w:t>Planned investments for 2027.</w:t>
            </w:r>
            <w:r w:rsidRPr="00FA3F57">
              <w:rPr>
                <w:sz w:val="20"/>
                <w:szCs w:val="20"/>
              </w:rPr>
              <w:br/>
              <w:t>(in thousands of RSD)</w:t>
            </w:r>
          </w:p>
        </w:tc>
        <w:tc>
          <w:tcPr>
            <w:tcW w:w="5669" w:type="dxa"/>
          </w:tcPr>
          <w:p w14:paraId="176438A7" w14:textId="77777777" w:rsidR="0094644B" w:rsidRPr="00FA3F57" w:rsidRDefault="0094644B" w:rsidP="00FB5086">
            <w:pPr>
              <w:rPr>
                <w:sz w:val="20"/>
                <w:szCs w:val="20"/>
              </w:rPr>
            </w:pPr>
            <w:r w:rsidRPr="00FA3F57">
              <w:rPr>
                <w:sz w:val="20"/>
                <w:szCs w:val="20"/>
              </w:rPr>
              <w:t>1,172,500 (loan)</w:t>
            </w:r>
          </w:p>
        </w:tc>
      </w:tr>
      <w:tr w:rsidR="0094644B" w:rsidRPr="00F07779" w14:paraId="2134F163" w14:textId="77777777" w:rsidTr="00FB5086">
        <w:tc>
          <w:tcPr>
            <w:tcW w:w="2973" w:type="dxa"/>
          </w:tcPr>
          <w:p w14:paraId="35791AF5" w14:textId="77777777" w:rsidR="0094644B" w:rsidRPr="00FA3F57" w:rsidRDefault="0094644B" w:rsidP="00FB5086">
            <w:pPr>
              <w:rPr>
                <w:sz w:val="20"/>
                <w:szCs w:val="20"/>
              </w:rPr>
            </w:pPr>
            <w:r w:rsidRPr="00FA3F57">
              <w:rPr>
                <w:sz w:val="20"/>
                <w:szCs w:val="20"/>
              </w:rPr>
              <w:t>Planned investments for 2028.</w:t>
            </w:r>
            <w:r w:rsidRPr="00FA3F57">
              <w:rPr>
                <w:sz w:val="20"/>
                <w:szCs w:val="20"/>
              </w:rPr>
              <w:br/>
              <w:t>(in thousands of RSD)</w:t>
            </w:r>
          </w:p>
        </w:tc>
        <w:tc>
          <w:tcPr>
            <w:tcW w:w="5669" w:type="dxa"/>
          </w:tcPr>
          <w:p w14:paraId="020BFEA7" w14:textId="77777777" w:rsidR="0094644B" w:rsidRPr="00FA3F57" w:rsidRDefault="0094644B" w:rsidP="00FB5086">
            <w:pPr>
              <w:rPr>
                <w:sz w:val="20"/>
                <w:szCs w:val="20"/>
              </w:rPr>
            </w:pPr>
            <w:r w:rsidRPr="00FA3F57">
              <w:rPr>
                <w:sz w:val="20"/>
                <w:szCs w:val="20"/>
              </w:rPr>
              <w:t>2,755,375 (loan)</w:t>
            </w:r>
          </w:p>
        </w:tc>
      </w:tr>
    </w:tbl>
    <w:p w14:paraId="071D1699" w14:textId="77777777" w:rsidR="0094644B" w:rsidRPr="00FA3F57" w:rsidRDefault="0094644B" w:rsidP="0094644B"/>
    <w:tbl>
      <w:tblPr>
        <w:tblStyle w:val="TableGrid"/>
        <w:tblW w:w="0" w:type="auto"/>
        <w:tblLook w:val="04A0" w:firstRow="1" w:lastRow="0" w:firstColumn="1" w:lastColumn="0" w:noHBand="0" w:noVBand="1"/>
      </w:tblPr>
      <w:tblGrid>
        <w:gridCol w:w="2973"/>
        <w:gridCol w:w="5669"/>
      </w:tblGrid>
      <w:tr w:rsidR="0094644B" w:rsidRPr="00F07779" w14:paraId="437390A6" w14:textId="77777777" w:rsidTr="00FB5086">
        <w:tc>
          <w:tcPr>
            <w:tcW w:w="2973" w:type="dxa"/>
            <w:shd w:val="clear" w:color="auto" w:fill="D0CECE" w:themeFill="background2" w:themeFillShade="E6"/>
          </w:tcPr>
          <w:p w14:paraId="01F89579" w14:textId="77777777" w:rsidR="0094644B" w:rsidRPr="00FA3F57" w:rsidRDefault="0094644B" w:rsidP="00FB5086">
            <w:pPr>
              <w:keepNext/>
              <w:rPr>
                <w:sz w:val="20"/>
                <w:szCs w:val="20"/>
              </w:rPr>
            </w:pPr>
            <w:r w:rsidRPr="00FA3F57">
              <w:rPr>
                <w:sz w:val="20"/>
                <w:szCs w:val="20"/>
              </w:rPr>
              <w:t>Activity EL4.1</w:t>
            </w:r>
          </w:p>
        </w:tc>
        <w:tc>
          <w:tcPr>
            <w:tcW w:w="5669" w:type="dxa"/>
            <w:shd w:val="clear" w:color="auto" w:fill="D0CECE" w:themeFill="background2" w:themeFillShade="E6"/>
          </w:tcPr>
          <w:p w14:paraId="388AE4AD" w14:textId="77777777" w:rsidR="0094644B" w:rsidRPr="00FA3F57" w:rsidRDefault="0094644B" w:rsidP="00FB5086">
            <w:pPr>
              <w:keepNext/>
              <w:rPr>
                <w:sz w:val="20"/>
                <w:szCs w:val="20"/>
              </w:rPr>
            </w:pPr>
            <w:r w:rsidRPr="00FA3F57">
              <w:rPr>
                <w:sz w:val="20"/>
                <w:szCs w:val="20"/>
              </w:rPr>
              <w:t>Construction of RES within EPS JSC Belgrade</w:t>
            </w:r>
          </w:p>
        </w:tc>
      </w:tr>
      <w:tr w:rsidR="0094644B" w:rsidRPr="00F07779" w14:paraId="3BD7C24D" w14:textId="77777777" w:rsidTr="00FB5086">
        <w:tc>
          <w:tcPr>
            <w:tcW w:w="2973" w:type="dxa"/>
            <w:shd w:val="clear" w:color="auto" w:fill="D9E2F3" w:themeFill="accent1" w:themeFillTint="33"/>
          </w:tcPr>
          <w:p w14:paraId="43810BF1" w14:textId="77777777" w:rsidR="0094644B" w:rsidRPr="00FA3F57" w:rsidRDefault="0094644B" w:rsidP="00FB5086">
            <w:pPr>
              <w:keepNext/>
              <w:rPr>
                <w:sz w:val="20"/>
                <w:szCs w:val="20"/>
              </w:rPr>
            </w:pPr>
            <w:r w:rsidRPr="00FA3F57">
              <w:rPr>
                <w:sz w:val="20"/>
                <w:szCs w:val="20"/>
              </w:rPr>
              <w:t>Name of the project</w:t>
            </w:r>
          </w:p>
        </w:tc>
        <w:tc>
          <w:tcPr>
            <w:tcW w:w="5669" w:type="dxa"/>
            <w:shd w:val="clear" w:color="auto" w:fill="D9E2F3" w:themeFill="accent1" w:themeFillTint="33"/>
          </w:tcPr>
          <w:p w14:paraId="48B3FC02" w14:textId="77777777" w:rsidR="0094644B" w:rsidRPr="00FA3F57" w:rsidRDefault="0094644B" w:rsidP="00FB5086">
            <w:pPr>
              <w:keepNext/>
              <w:rPr>
                <w:sz w:val="20"/>
                <w:szCs w:val="20"/>
              </w:rPr>
            </w:pPr>
            <w:r w:rsidRPr="00FA3F57">
              <w:rPr>
                <w:sz w:val="20"/>
                <w:szCs w:val="20"/>
              </w:rPr>
              <w:t>Construction of self-balancing solar power plants with a capacity of 1 GW</w:t>
            </w:r>
          </w:p>
        </w:tc>
      </w:tr>
      <w:tr w:rsidR="0094644B" w:rsidRPr="00F07779" w14:paraId="2EF9EB29" w14:textId="77777777" w:rsidTr="00FB5086">
        <w:tc>
          <w:tcPr>
            <w:tcW w:w="2973" w:type="dxa"/>
          </w:tcPr>
          <w:p w14:paraId="5F45DB30" w14:textId="77777777" w:rsidR="0094644B" w:rsidRPr="00FA3F57" w:rsidRDefault="0094644B" w:rsidP="00FB5086">
            <w:pPr>
              <w:rPr>
                <w:sz w:val="20"/>
                <w:szCs w:val="20"/>
              </w:rPr>
            </w:pPr>
            <w:r w:rsidRPr="00FA3F57">
              <w:rPr>
                <w:sz w:val="20"/>
                <w:szCs w:val="20"/>
              </w:rPr>
              <w:t>Short description of the investment</w:t>
            </w:r>
          </w:p>
        </w:tc>
        <w:tc>
          <w:tcPr>
            <w:tcW w:w="5669" w:type="dxa"/>
          </w:tcPr>
          <w:p w14:paraId="15F6AAC3" w14:textId="77777777" w:rsidR="0094644B" w:rsidRPr="00FA3F57" w:rsidRDefault="0094644B" w:rsidP="00FB5086">
            <w:pPr>
              <w:rPr>
                <w:sz w:val="20"/>
                <w:szCs w:val="20"/>
              </w:rPr>
            </w:pPr>
            <w:r w:rsidRPr="00FA3F57">
              <w:rPr>
                <w:sz w:val="20"/>
                <w:szCs w:val="20"/>
              </w:rPr>
              <w:t xml:space="preserve">The project involves the construction of a solar power plant system with a capacity of 1,200 </w:t>
            </w:r>
            <w:proofErr w:type="spellStart"/>
            <w:r w:rsidRPr="00FA3F57">
              <w:rPr>
                <w:sz w:val="20"/>
                <w:szCs w:val="20"/>
              </w:rPr>
              <w:t>MWdc</w:t>
            </w:r>
            <w:proofErr w:type="spellEnd"/>
            <w:r w:rsidRPr="00FA3F57">
              <w:rPr>
                <w:sz w:val="20"/>
                <w:szCs w:val="20"/>
              </w:rPr>
              <w:t xml:space="preserve"> (1,000 </w:t>
            </w:r>
            <w:proofErr w:type="spellStart"/>
            <w:r w:rsidRPr="00FA3F57">
              <w:rPr>
                <w:sz w:val="20"/>
                <w:szCs w:val="20"/>
              </w:rPr>
              <w:t>MWac</w:t>
            </w:r>
            <w:proofErr w:type="spellEnd"/>
            <w:r w:rsidRPr="00FA3F57">
              <w:rPr>
                <w:sz w:val="20"/>
                <w:szCs w:val="20"/>
              </w:rPr>
              <w:t>) with 200 MW of battery storage (capacity 400 MWh), using a turnkey model, which includes development, financing, design, engineering, construction, and commissioning. This is the most significant project in the sector of RES in the Republic of Serbia.</w:t>
            </w:r>
          </w:p>
          <w:p w14:paraId="3301CB04" w14:textId="77777777" w:rsidR="0094644B" w:rsidRPr="00F07779" w:rsidRDefault="0094644B" w:rsidP="00FB5086">
            <w:pPr>
              <w:rPr>
                <w:sz w:val="20"/>
                <w:szCs w:val="20"/>
              </w:rPr>
            </w:pPr>
            <w:r w:rsidRPr="00F07779">
              <w:rPr>
                <w:sz w:val="20"/>
                <w:szCs w:val="20"/>
              </w:rPr>
              <w:t xml:space="preserve">The project also includes management and maintenance for a period of two years after the installation of the equipment. A tripartite agreement signed between the Government of the </w:t>
            </w:r>
            <w:r w:rsidRPr="00F07779">
              <w:rPr>
                <w:sz w:val="20"/>
                <w:szCs w:val="20"/>
              </w:rPr>
              <w:lastRenderedPageBreak/>
              <w:t xml:space="preserve">Republic of Serbia (Project Financier), the Electric Power Industry of Serbia – EPS (Project Investor), and the Strategic Partner defines the project cost at €1.698 million. </w:t>
            </w:r>
            <w:r w:rsidRPr="00FA3F57">
              <w:rPr>
                <w:sz w:val="20"/>
                <w:szCs w:val="20"/>
              </w:rPr>
              <w:t>The activities of the Strategic Partner, Financier, and Investor are ongoing after the signing of the contract in accordance with the Agreement. Negotiations regarding the financing of the project are also ongoing.</w:t>
            </w:r>
          </w:p>
          <w:p w14:paraId="66D61990" w14:textId="77777777" w:rsidR="0094644B" w:rsidRPr="00FA3F57" w:rsidRDefault="0094644B" w:rsidP="00FB5086">
            <w:pPr>
              <w:rPr>
                <w:sz w:val="20"/>
                <w:szCs w:val="20"/>
              </w:rPr>
            </w:pPr>
            <w:r w:rsidRPr="00FA3F57">
              <w:rPr>
                <w:sz w:val="20"/>
                <w:szCs w:val="20"/>
              </w:rPr>
              <w:t>Expected dynamics of project implementation:</w:t>
            </w:r>
          </w:p>
          <w:p w14:paraId="3E9FA399" w14:textId="77777777" w:rsidR="0094644B" w:rsidRPr="00FA3F57" w:rsidRDefault="0094644B" w:rsidP="00FB5086">
            <w:pPr>
              <w:rPr>
                <w:sz w:val="20"/>
                <w:szCs w:val="20"/>
              </w:rPr>
            </w:pPr>
            <w:r w:rsidRPr="00FA3F57">
              <w:rPr>
                <w:sz w:val="20"/>
                <w:szCs w:val="20"/>
              </w:rPr>
              <w:t>2026. Preliminary design</w:t>
            </w:r>
          </w:p>
          <w:p w14:paraId="0D53E8D8" w14:textId="77777777" w:rsidR="0094644B" w:rsidRPr="00FA3F57" w:rsidRDefault="0094644B" w:rsidP="00FB5086">
            <w:pPr>
              <w:rPr>
                <w:sz w:val="20"/>
                <w:szCs w:val="20"/>
              </w:rPr>
            </w:pPr>
            <w:r w:rsidRPr="00FA3F57">
              <w:rPr>
                <w:sz w:val="20"/>
                <w:szCs w:val="20"/>
              </w:rPr>
              <w:t>2027. Building permit</w:t>
            </w:r>
          </w:p>
          <w:p w14:paraId="67186C26" w14:textId="77777777" w:rsidR="0094644B" w:rsidRPr="00FA3F57" w:rsidRDefault="0094644B" w:rsidP="00FB5086">
            <w:pPr>
              <w:rPr>
                <w:sz w:val="20"/>
                <w:szCs w:val="20"/>
              </w:rPr>
            </w:pPr>
            <w:r w:rsidRPr="00FA3F57">
              <w:rPr>
                <w:sz w:val="20"/>
                <w:szCs w:val="20"/>
              </w:rPr>
              <w:t>2028. Construction</w:t>
            </w:r>
          </w:p>
        </w:tc>
      </w:tr>
      <w:tr w:rsidR="0094644B" w:rsidRPr="00F07779" w14:paraId="495289EF" w14:textId="77777777" w:rsidTr="00FB5086">
        <w:tc>
          <w:tcPr>
            <w:tcW w:w="2973" w:type="dxa"/>
          </w:tcPr>
          <w:p w14:paraId="44BF5950" w14:textId="77777777" w:rsidR="0094644B" w:rsidRPr="00FA3F57" w:rsidRDefault="0094644B" w:rsidP="00FB5086">
            <w:pPr>
              <w:rPr>
                <w:sz w:val="20"/>
                <w:szCs w:val="20"/>
              </w:rPr>
            </w:pPr>
            <w:r w:rsidRPr="00FA3F57">
              <w:rPr>
                <w:sz w:val="20"/>
                <w:szCs w:val="20"/>
              </w:rPr>
              <w:lastRenderedPageBreak/>
              <w:t>Institutions responsible for the implementation of measures and activities</w:t>
            </w:r>
          </w:p>
        </w:tc>
        <w:tc>
          <w:tcPr>
            <w:tcW w:w="5669" w:type="dxa"/>
          </w:tcPr>
          <w:p w14:paraId="7BD22E98" w14:textId="77777777" w:rsidR="0094644B" w:rsidRPr="00FA3F57" w:rsidRDefault="0094644B" w:rsidP="00FB5086">
            <w:pPr>
              <w:rPr>
                <w:sz w:val="20"/>
                <w:szCs w:val="20"/>
              </w:rPr>
            </w:pPr>
            <w:r w:rsidRPr="00FA3F57">
              <w:rPr>
                <w:sz w:val="20"/>
                <w:szCs w:val="20"/>
              </w:rPr>
              <w:t>Joint Stock Company "</w:t>
            </w:r>
            <w:proofErr w:type="spellStart"/>
            <w:r w:rsidRPr="00FA3F57">
              <w:rPr>
                <w:sz w:val="20"/>
                <w:szCs w:val="20"/>
              </w:rPr>
              <w:t>Elektroprivreda</w:t>
            </w:r>
            <w:proofErr w:type="spellEnd"/>
            <w:r w:rsidRPr="00FA3F57">
              <w:rPr>
                <w:sz w:val="20"/>
                <w:szCs w:val="20"/>
              </w:rPr>
              <w:t xml:space="preserve"> Srbije"</w:t>
            </w:r>
          </w:p>
        </w:tc>
      </w:tr>
      <w:tr w:rsidR="0094644B" w:rsidRPr="00F07779" w14:paraId="0A2E06B8" w14:textId="77777777" w:rsidTr="00FB5086">
        <w:tc>
          <w:tcPr>
            <w:tcW w:w="2973" w:type="dxa"/>
          </w:tcPr>
          <w:p w14:paraId="7E827475" w14:textId="77777777" w:rsidR="0094644B" w:rsidRPr="00FA3F57" w:rsidRDefault="0094644B" w:rsidP="00FB5086">
            <w:pPr>
              <w:rPr>
                <w:sz w:val="20"/>
                <w:szCs w:val="20"/>
              </w:rPr>
            </w:pPr>
            <w:r w:rsidRPr="00FA3F57">
              <w:rPr>
                <w:sz w:val="20"/>
                <w:szCs w:val="20"/>
              </w:rPr>
              <w:t>Institutions responsible for monitoring implementation and reporting on the realization</w:t>
            </w:r>
          </w:p>
        </w:tc>
        <w:tc>
          <w:tcPr>
            <w:tcW w:w="5669" w:type="dxa"/>
          </w:tcPr>
          <w:p w14:paraId="6DBA9626" w14:textId="77777777" w:rsidR="0094644B" w:rsidRPr="00F07779" w:rsidRDefault="0094644B" w:rsidP="00FB5086">
            <w:pPr>
              <w:rPr>
                <w:sz w:val="20"/>
                <w:szCs w:val="20"/>
              </w:rPr>
            </w:pPr>
            <w:r w:rsidRPr="00FA3F57">
              <w:rPr>
                <w:sz w:val="20"/>
                <w:szCs w:val="20"/>
              </w:rPr>
              <w:t>Joint Stock Company "</w:t>
            </w:r>
            <w:proofErr w:type="spellStart"/>
            <w:r w:rsidRPr="00FA3F57">
              <w:rPr>
                <w:sz w:val="20"/>
                <w:szCs w:val="20"/>
              </w:rPr>
              <w:t>Elektroprivreda</w:t>
            </w:r>
            <w:proofErr w:type="spellEnd"/>
            <w:r w:rsidRPr="00FA3F57">
              <w:rPr>
                <w:sz w:val="20"/>
                <w:szCs w:val="20"/>
              </w:rPr>
              <w:t xml:space="preserve"> Srbije"</w:t>
            </w:r>
          </w:p>
          <w:p w14:paraId="2A1F3481" w14:textId="77777777" w:rsidR="0094644B" w:rsidRPr="00FA3F57" w:rsidRDefault="0094644B" w:rsidP="00FB5086">
            <w:pPr>
              <w:rPr>
                <w:sz w:val="20"/>
                <w:szCs w:val="20"/>
              </w:rPr>
            </w:pPr>
            <w:r w:rsidRPr="00FA3F57">
              <w:rPr>
                <w:sz w:val="20"/>
                <w:szCs w:val="20"/>
              </w:rPr>
              <w:t>Ministry of Mining and Energy</w:t>
            </w:r>
          </w:p>
        </w:tc>
      </w:tr>
      <w:tr w:rsidR="0094644B" w:rsidRPr="00F07779" w14:paraId="525A18AC" w14:textId="77777777" w:rsidTr="00FB5086">
        <w:tc>
          <w:tcPr>
            <w:tcW w:w="2973" w:type="dxa"/>
          </w:tcPr>
          <w:p w14:paraId="22C469C2" w14:textId="77777777" w:rsidR="0094644B" w:rsidRPr="00FA3F57" w:rsidRDefault="0094644B" w:rsidP="00FB5086">
            <w:pPr>
              <w:rPr>
                <w:sz w:val="20"/>
                <w:szCs w:val="20"/>
              </w:rPr>
            </w:pPr>
            <w:r w:rsidRPr="00FA3F57">
              <w:rPr>
                <w:sz w:val="20"/>
                <w:szCs w:val="20"/>
              </w:rPr>
              <w:t>Year of project funding start</w:t>
            </w:r>
          </w:p>
        </w:tc>
        <w:tc>
          <w:tcPr>
            <w:tcW w:w="5669" w:type="dxa"/>
          </w:tcPr>
          <w:p w14:paraId="6419F1B2" w14:textId="77777777" w:rsidR="0094644B" w:rsidRPr="00FA3F57" w:rsidRDefault="0094644B" w:rsidP="00FB5086">
            <w:pPr>
              <w:rPr>
                <w:sz w:val="20"/>
                <w:szCs w:val="20"/>
              </w:rPr>
            </w:pPr>
            <w:r w:rsidRPr="00FA3F57">
              <w:rPr>
                <w:sz w:val="20"/>
                <w:szCs w:val="20"/>
              </w:rPr>
              <w:t>2025.</w:t>
            </w:r>
          </w:p>
        </w:tc>
      </w:tr>
      <w:tr w:rsidR="0094644B" w:rsidRPr="00F07779" w14:paraId="5411031C" w14:textId="77777777" w:rsidTr="00FB5086">
        <w:tc>
          <w:tcPr>
            <w:tcW w:w="2973" w:type="dxa"/>
          </w:tcPr>
          <w:p w14:paraId="6571649C" w14:textId="77777777" w:rsidR="0094644B" w:rsidRPr="00FA3F57" w:rsidRDefault="0094644B" w:rsidP="00FB5086">
            <w:pPr>
              <w:rPr>
                <w:sz w:val="20"/>
                <w:szCs w:val="20"/>
              </w:rPr>
            </w:pPr>
            <w:r w:rsidRPr="00FA3F57">
              <w:rPr>
                <w:sz w:val="20"/>
                <w:szCs w:val="20"/>
              </w:rPr>
              <w:t>Year of completion of project funding</w:t>
            </w:r>
          </w:p>
        </w:tc>
        <w:tc>
          <w:tcPr>
            <w:tcW w:w="5669" w:type="dxa"/>
          </w:tcPr>
          <w:p w14:paraId="4A2DA49D" w14:textId="77777777" w:rsidR="0094644B" w:rsidRPr="00FA3F57" w:rsidRDefault="0094644B" w:rsidP="00FB5086">
            <w:pPr>
              <w:rPr>
                <w:sz w:val="20"/>
                <w:szCs w:val="20"/>
              </w:rPr>
            </w:pPr>
            <w:r w:rsidRPr="00FA3F57">
              <w:rPr>
                <w:sz w:val="20"/>
                <w:szCs w:val="20"/>
              </w:rPr>
              <w:t>2028.</w:t>
            </w:r>
          </w:p>
        </w:tc>
      </w:tr>
      <w:tr w:rsidR="0094644B" w:rsidRPr="00F07779" w14:paraId="01148A81" w14:textId="77777777" w:rsidTr="00FB5086">
        <w:tc>
          <w:tcPr>
            <w:tcW w:w="2973" w:type="dxa"/>
          </w:tcPr>
          <w:p w14:paraId="2BB12E7A" w14:textId="77777777" w:rsidR="0094644B" w:rsidRPr="00FA3F57" w:rsidRDefault="0094644B" w:rsidP="00FB5086">
            <w:pPr>
              <w:rPr>
                <w:sz w:val="20"/>
                <w:szCs w:val="20"/>
              </w:rPr>
            </w:pPr>
            <w:r w:rsidRPr="00FA3F57">
              <w:rPr>
                <w:sz w:val="20"/>
                <w:szCs w:val="20"/>
              </w:rPr>
              <w:t>Total project value</w:t>
            </w:r>
            <w:r w:rsidRPr="00FA3F57">
              <w:rPr>
                <w:sz w:val="20"/>
                <w:szCs w:val="20"/>
              </w:rPr>
              <w:br/>
              <w:t>(in thousands of RSD)</w:t>
            </w:r>
          </w:p>
        </w:tc>
        <w:tc>
          <w:tcPr>
            <w:tcW w:w="5669" w:type="dxa"/>
          </w:tcPr>
          <w:p w14:paraId="4750C7FA" w14:textId="77777777" w:rsidR="0094644B" w:rsidRPr="00FA3F57" w:rsidRDefault="0094644B" w:rsidP="00FB5086">
            <w:pPr>
              <w:rPr>
                <w:sz w:val="20"/>
                <w:szCs w:val="20"/>
              </w:rPr>
            </w:pPr>
            <w:r w:rsidRPr="00F07779">
              <w:rPr>
                <w:color w:val="000000"/>
                <w:sz w:val="20"/>
                <w:szCs w:val="20"/>
              </w:rPr>
              <w:t>199,090,500 (1,698 million EUR)</w:t>
            </w:r>
          </w:p>
        </w:tc>
      </w:tr>
      <w:tr w:rsidR="0094644B" w:rsidRPr="00F07779" w14:paraId="3A379AF8" w14:textId="77777777" w:rsidTr="00FB5086">
        <w:tc>
          <w:tcPr>
            <w:tcW w:w="2973" w:type="dxa"/>
          </w:tcPr>
          <w:p w14:paraId="0C1231AF" w14:textId="77777777" w:rsidR="0094644B" w:rsidRPr="00FA3F57" w:rsidRDefault="0094644B" w:rsidP="00FB5086">
            <w:pPr>
              <w:rPr>
                <w:sz w:val="20"/>
                <w:szCs w:val="20"/>
              </w:rPr>
            </w:pPr>
            <w:r w:rsidRPr="00FA3F57">
              <w:rPr>
                <w:sz w:val="20"/>
                <w:szCs w:val="20"/>
              </w:rPr>
              <w:t>Planned investments for 2026.</w:t>
            </w:r>
            <w:r w:rsidRPr="00FA3F57">
              <w:rPr>
                <w:sz w:val="20"/>
                <w:szCs w:val="20"/>
              </w:rPr>
              <w:br/>
              <w:t>(in thousands of RSD)</w:t>
            </w:r>
          </w:p>
        </w:tc>
        <w:tc>
          <w:tcPr>
            <w:tcW w:w="5669" w:type="dxa"/>
          </w:tcPr>
          <w:p w14:paraId="3108D09B" w14:textId="77777777" w:rsidR="0094644B" w:rsidRPr="00FA3F57" w:rsidRDefault="0094644B" w:rsidP="00FB5086">
            <w:pPr>
              <w:rPr>
                <w:sz w:val="20"/>
                <w:szCs w:val="20"/>
              </w:rPr>
            </w:pPr>
            <w:r w:rsidRPr="00FA3F57">
              <w:rPr>
                <w:sz w:val="20"/>
                <w:szCs w:val="20"/>
              </w:rPr>
              <w:t>22,394,750 (loan)</w:t>
            </w:r>
          </w:p>
        </w:tc>
      </w:tr>
      <w:tr w:rsidR="0094644B" w:rsidRPr="00F07779" w14:paraId="30CD4F92" w14:textId="77777777" w:rsidTr="00FB5086">
        <w:tc>
          <w:tcPr>
            <w:tcW w:w="2973" w:type="dxa"/>
          </w:tcPr>
          <w:p w14:paraId="0240F753" w14:textId="77777777" w:rsidR="0094644B" w:rsidRPr="00FA3F57" w:rsidRDefault="0094644B" w:rsidP="00FB5086">
            <w:pPr>
              <w:rPr>
                <w:sz w:val="20"/>
                <w:szCs w:val="20"/>
              </w:rPr>
            </w:pPr>
            <w:r w:rsidRPr="00FA3F57">
              <w:rPr>
                <w:sz w:val="20"/>
                <w:szCs w:val="20"/>
              </w:rPr>
              <w:t>Planned investments for 2027.</w:t>
            </w:r>
            <w:r w:rsidRPr="00FA3F57">
              <w:rPr>
                <w:sz w:val="20"/>
                <w:szCs w:val="20"/>
              </w:rPr>
              <w:br/>
              <w:t>(in thousands of RSD)</w:t>
            </w:r>
          </w:p>
        </w:tc>
        <w:tc>
          <w:tcPr>
            <w:tcW w:w="5669" w:type="dxa"/>
          </w:tcPr>
          <w:p w14:paraId="115CD112" w14:textId="77777777" w:rsidR="0094644B" w:rsidRPr="00FA3F57" w:rsidRDefault="0094644B" w:rsidP="00FB5086">
            <w:pPr>
              <w:rPr>
                <w:sz w:val="20"/>
                <w:szCs w:val="20"/>
              </w:rPr>
            </w:pPr>
            <w:r w:rsidRPr="00FA3F57">
              <w:rPr>
                <w:sz w:val="20"/>
                <w:szCs w:val="20"/>
              </w:rPr>
              <w:t>57,687,000 (loan)</w:t>
            </w:r>
          </w:p>
        </w:tc>
      </w:tr>
      <w:tr w:rsidR="0094644B" w:rsidRPr="00F07779" w14:paraId="76118DC8" w14:textId="77777777" w:rsidTr="00FB5086">
        <w:tc>
          <w:tcPr>
            <w:tcW w:w="2973" w:type="dxa"/>
          </w:tcPr>
          <w:p w14:paraId="4F726F14" w14:textId="77777777" w:rsidR="0094644B" w:rsidRPr="00FA3F57" w:rsidRDefault="0094644B" w:rsidP="00FB5086">
            <w:pPr>
              <w:rPr>
                <w:sz w:val="20"/>
                <w:szCs w:val="20"/>
              </w:rPr>
            </w:pPr>
            <w:r w:rsidRPr="00FA3F57">
              <w:rPr>
                <w:sz w:val="20"/>
                <w:szCs w:val="20"/>
              </w:rPr>
              <w:t>Planned investments for 2028.</w:t>
            </w:r>
            <w:r w:rsidRPr="00FA3F57">
              <w:rPr>
                <w:sz w:val="20"/>
                <w:szCs w:val="20"/>
              </w:rPr>
              <w:br/>
              <w:t>(in thousands of RSD)</w:t>
            </w:r>
          </w:p>
        </w:tc>
        <w:tc>
          <w:tcPr>
            <w:tcW w:w="5669" w:type="dxa"/>
          </w:tcPr>
          <w:p w14:paraId="741C2057" w14:textId="77777777" w:rsidR="0094644B" w:rsidRPr="00FA3F57" w:rsidRDefault="0094644B" w:rsidP="00FB5086">
            <w:pPr>
              <w:rPr>
                <w:sz w:val="20"/>
                <w:szCs w:val="20"/>
              </w:rPr>
            </w:pPr>
            <w:r w:rsidRPr="00FA3F57">
              <w:rPr>
                <w:sz w:val="20"/>
                <w:szCs w:val="20"/>
              </w:rPr>
              <w:t>78,557,500 (loan)</w:t>
            </w:r>
          </w:p>
        </w:tc>
      </w:tr>
    </w:tbl>
    <w:p w14:paraId="1A792C51" w14:textId="77777777" w:rsidR="0094644B" w:rsidRPr="00FA3F57" w:rsidRDefault="0094644B" w:rsidP="0094644B"/>
    <w:p w14:paraId="35A5E03D" w14:textId="77777777" w:rsidR="0094644B" w:rsidRPr="00F07779" w:rsidRDefault="0094644B" w:rsidP="0094644B">
      <w:pPr>
        <w:keepNext/>
        <w:tabs>
          <w:tab w:val="left" w:pos="1276"/>
          <w:tab w:val="left" w:pos="1560"/>
        </w:tabs>
        <w:ind w:left="1440" w:hanging="1440"/>
      </w:pPr>
      <w:r w:rsidRPr="00FA3F57">
        <w:t>Table 5.1.4-</w:t>
      </w:r>
      <w:r w:rsidRPr="00F07779">
        <w:t>2</w:t>
      </w:r>
      <w:r w:rsidRPr="00FA3F57">
        <w:t>:</w:t>
      </w:r>
      <w:r w:rsidRPr="00FA3F57">
        <w:tab/>
        <w:t>Activities for the implementation of measure EL4</w:t>
      </w:r>
      <w:r w:rsidRPr="00FA3F57" w:rsidDel="00BF3634">
        <w:t xml:space="preserve"> </w:t>
      </w:r>
      <w:r w:rsidRPr="00FA3F57">
        <w:t>– Activity EL4.2</w:t>
      </w:r>
    </w:p>
    <w:tbl>
      <w:tblPr>
        <w:tblStyle w:val="TableGrid"/>
        <w:tblW w:w="0" w:type="auto"/>
        <w:tblLook w:val="04A0" w:firstRow="1" w:lastRow="0" w:firstColumn="1" w:lastColumn="0" w:noHBand="0" w:noVBand="1"/>
      </w:tblPr>
      <w:tblGrid>
        <w:gridCol w:w="2973"/>
        <w:gridCol w:w="5669"/>
      </w:tblGrid>
      <w:tr w:rsidR="0094644B" w:rsidRPr="00F07779" w14:paraId="62A39634" w14:textId="77777777" w:rsidTr="00FB5086">
        <w:tc>
          <w:tcPr>
            <w:tcW w:w="2973" w:type="dxa"/>
            <w:shd w:val="clear" w:color="auto" w:fill="D9D9D9" w:themeFill="background1" w:themeFillShade="D9"/>
          </w:tcPr>
          <w:p w14:paraId="37986292" w14:textId="77777777" w:rsidR="0094644B" w:rsidRPr="00F07779" w:rsidRDefault="0094644B" w:rsidP="00FB5086">
            <w:pPr>
              <w:keepNext/>
              <w:rPr>
                <w:sz w:val="20"/>
                <w:szCs w:val="20"/>
              </w:rPr>
            </w:pPr>
            <w:r w:rsidRPr="00FA3F57">
              <w:rPr>
                <w:sz w:val="20"/>
                <w:szCs w:val="20"/>
              </w:rPr>
              <w:t>Activity EL4.</w:t>
            </w:r>
            <w:r w:rsidRPr="00F07779">
              <w:rPr>
                <w:sz w:val="20"/>
                <w:szCs w:val="20"/>
              </w:rPr>
              <w:t>2</w:t>
            </w:r>
          </w:p>
        </w:tc>
        <w:tc>
          <w:tcPr>
            <w:tcW w:w="5669" w:type="dxa"/>
            <w:shd w:val="clear" w:color="auto" w:fill="D9D9D9" w:themeFill="background1" w:themeFillShade="D9"/>
          </w:tcPr>
          <w:p w14:paraId="6C0A4FC8" w14:textId="77777777" w:rsidR="0094644B" w:rsidRPr="00FA3F57" w:rsidRDefault="0094644B" w:rsidP="00FB5086">
            <w:pPr>
              <w:keepNext/>
              <w:rPr>
                <w:sz w:val="20"/>
                <w:szCs w:val="20"/>
              </w:rPr>
            </w:pPr>
            <w:r w:rsidRPr="00FA3F57">
              <w:rPr>
                <w:sz w:val="20"/>
                <w:szCs w:val="20"/>
              </w:rPr>
              <w:t>Construction of RES owned by private investors</w:t>
            </w:r>
          </w:p>
        </w:tc>
      </w:tr>
      <w:tr w:rsidR="0094644B" w:rsidRPr="00F07779" w14:paraId="3B5DC014" w14:textId="77777777" w:rsidTr="00FB5086">
        <w:tc>
          <w:tcPr>
            <w:tcW w:w="2973" w:type="dxa"/>
            <w:shd w:val="clear" w:color="auto" w:fill="D9E2F3" w:themeFill="accent1" w:themeFillTint="33"/>
          </w:tcPr>
          <w:p w14:paraId="38C62E1F" w14:textId="77777777" w:rsidR="0094644B" w:rsidRPr="00FA3F57" w:rsidRDefault="0094644B" w:rsidP="00FB5086">
            <w:pPr>
              <w:keepNext/>
              <w:rPr>
                <w:sz w:val="20"/>
                <w:szCs w:val="20"/>
              </w:rPr>
            </w:pPr>
            <w:r w:rsidRPr="00FA3F57">
              <w:rPr>
                <w:sz w:val="20"/>
                <w:szCs w:val="20"/>
              </w:rPr>
              <w:t>Name of the project</w:t>
            </w:r>
          </w:p>
        </w:tc>
        <w:tc>
          <w:tcPr>
            <w:tcW w:w="5669" w:type="dxa"/>
            <w:shd w:val="clear" w:color="auto" w:fill="D9E2F3" w:themeFill="accent1" w:themeFillTint="33"/>
          </w:tcPr>
          <w:p w14:paraId="25E41DF3" w14:textId="77777777" w:rsidR="0094644B" w:rsidRPr="00FA3F57" w:rsidRDefault="0094644B" w:rsidP="00FB5086">
            <w:pPr>
              <w:keepNext/>
              <w:rPr>
                <w:sz w:val="20"/>
                <w:szCs w:val="20"/>
              </w:rPr>
            </w:pPr>
            <w:r w:rsidRPr="00F07779">
              <w:rPr>
                <w:sz w:val="20"/>
                <w:szCs w:val="20"/>
              </w:rPr>
              <w:t xml:space="preserve">WPP </w:t>
            </w:r>
            <w:proofErr w:type="spellStart"/>
            <w:r w:rsidRPr="00F07779">
              <w:rPr>
                <w:sz w:val="20"/>
                <w:szCs w:val="20"/>
              </w:rPr>
              <w:t>Vetrozelena</w:t>
            </w:r>
            <w:proofErr w:type="spellEnd"/>
          </w:p>
        </w:tc>
      </w:tr>
      <w:tr w:rsidR="0094644B" w:rsidRPr="00F07779" w14:paraId="04FE8677" w14:textId="77777777" w:rsidTr="00FB5086">
        <w:tc>
          <w:tcPr>
            <w:tcW w:w="2973" w:type="dxa"/>
          </w:tcPr>
          <w:p w14:paraId="169EA013" w14:textId="77777777" w:rsidR="0094644B" w:rsidRPr="00FA3F57" w:rsidRDefault="0094644B" w:rsidP="00FB5086">
            <w:pPr>
              <w:rPr>
                <w:sz w:val="20"/>
                <w:szCs w:val="20"/>
              </w:rPr>
            </w:pPr>
            <w:r w:rsidRPr="00FA3F57">
              <w:rPr>
                <w:sz w:val="20"/>
                <w:szCs w:val="20"/>
              </w:rPr>
              <w:t>Short description of the investment</w:t>
            </w:r>
          </w:p>
        </w:tc>
        <w:tc>
          <w:tcPr>
            <w:tcW w:w="5669" w:type="dxa"/>
          </w:tcPr>
          <w:p w14:paraId="5E6FC674" w14:textId="77777777" w:rsidR="0094644B" w:rsidRPr="00F07779" w:rsidRDefault="0094644B" w:rsidP="00FB5086">
            <w:pPr>
              <w:rPr>
                <w:sz w:val="20"/>
                <w:szCs w:val="20"/>
              </w:rPr>
            </w:pPr>
            <w:r w:rsidRPr="00FA3F57">
              <w:rPr>
                <w:sz w:val="20"/>
                <w:szCs w:val="20"/>
              </w:rPr>
              <w:t xml:space="preserve">Construction of the </w:t>
            </w:r>
            <w:proofErr w:type="spellStart"/>
            <w:r w:rsidRPr="00FA3F57">
              <w:rPr>
                <w:sz w:val="20"/>
                <w:szCs w:val="20"/>
              </w:rPr>
              <w:t>Vetrozelena</w:t>
            </w:r>
            <w:proofErr w:type="spellEnd"/>
            <w:r w:rsidRPr="00FA3F57">
              <w:rPr>
                <w:sz w:val="20"/>
                <w:szCs w:val="20"/>
              </w:rPr>
              <w:t xml:space="preserve"> wind farm, with an installed capacity of 291 MW.</w:t>
            </w:r>
          </w:p>
          <w:p w14:paraId="011D29E9" w14:textId="77777777" w:rsidR="0094644B" w:rsidRPr="00FA3F57" w:rsidRDefault="0094644B" w:rsidP="00FB5086">
            <w:pPr>
              <w:rPr>
                <w:sz w:val="20"/>
                <w:szCs w:val="20"/>
              </w:rPr>
            </w:pPr>
            <w:r w:rsidRPr="00FA3F57">
              <w:rPr>
                <w:sz w:val="20"/>
                <w:szCs w:val="20"/>
              </w:rPr>
              <w:t>Expected dynamics of project implementation:</w:t>
            </w:r>
          </w:p>
          <w:p w14:paraId="56DD73FC" w14:textId="77777777" w:rsidR="0094644B" w:rsidRPr="00FA3F57" w:rsidRDefault="0094644B" w:rsidP="00FB5086">
            <w:pPr>
              <w:rPr>
                <w:sz w:val="20"/>
                <w:szCs w:val="20"/>
              </w:rPr>
            </w:pPr>
            <w:r w:rsidRPr="00FA3F57">
              <w:rPr>
                <w:sz w:val="20"/>
                <w:szCs w:val="20"/>
              </w:rPr>
              <w:t>2026. The beginning of the project</w:t>
            </w:r>
          </w:p>
          <w:p w14:paraId="08B76810" w14:textId="77777777" w:rsidR="0094644B" w:rsidRPr="00FA3F57" w:rsidRDefault="0094644B" w:rsidP="00FB5086">
            <w:pPr>
              <w:rPr>
                <w:sz w:val="20"/>
                <w:szCs w:val="20"/>
              </w:rPr>
            </w:pPr>
            <w:r w:rsidRPr="00FA3F57">
              <w:rPr>
                <w:sz w:val="20"/>
                <w:szCs w:val="20"/>
              </w:rPr>
              <w:t>2027. Commissioning; trial operation</w:t>
            </w:r>
          </w:p>
          <w:p w14:paraId="7F1FE0C3" w14:textId="77777777" w:rsidR="0094644B" w:rsidRPr="00FA3F57" w:rsidRDefault="0094644B" w:rsidP="00FB5086">
            <w:pPr>
              <w:rPr>
                <w:sz w:val="20"/>
                <w:szCs w:val="20"/>
              </w:rPr>
            </w:pPr>
            <w:r w:rsidRPr="00FA3F57">
              <w:rPr>
                <w:sz w:val="20"/>
                <w:szCs w:val="20"/>
              </w:rPr>
              <w:t>2028. Use permit; end of project</w:t>
            </w:r>
          </w:p>
        </w:tc>
      </w:tr>
      <w:tr w:rsidR="0094644B" w:rsidRPr="00F07779" w14:paraId="3B20886C" w14:textId="77777777" w:rsidTr="00FB5086">
        <w:tc>
          <w:tcPr>
            <w:tcW w:w="2973" w:type="dxa"/>
          </w:tcPr>
          <w:p w14:paraId="33792CD1" w14:textId="77777777" w:rsidR="0094644B" w:rsidRPr="00FA3F57" w:rsidRDefault="0094644B" w:rsidP="00FB5086">
            <w:pPr>
              <w:rPr>
                <w:sz w:val="20"/>
                <w:szCs w:val="20"/>
              </w:rPr>
            </w:pPr>
            <w:r w:rsidRPr="00FA3F57">
              <w:rPr>
                <w:sz w:val="20"/>
                <w:szCs w:val="20"/>
              </w:rPr>
              <w:t>Institutions responsible for the implementation of measures and activities</w:t>
            </w:r>
          </w:p>
        </w:tc>
        <w:tc>
          <w:tcPr>
            <w:tcW w:w="5669" w:type="dxa"/>
          </w:tcPr>
          <w:p w14:paraId="4AB9207F" w14:textId="77777777" w:rsidR="0094644B" w:rsidRPr="00FA3F57" w:rsidRDefault="0094644B" w:rsidP="00FB5086">
            <w:pPr>
              <w:rPr>
                <w:sz w:val="20"/>
                <w:szCs w:val="20"/>
              </w:rPr>
            </w:pPr>
            <w:r w:rsidRPr="00FA3F57">
              <w:rPr>
                <w:sz w:val="20"/>
                <w:szCs w:val="20"/>
              </w:rPr>
              <w:t>VETROZELENA DOO BEOGRAD-VRAČAR</w:t>
            </w:r>
          </w:p>
        </w:tc>
      </w:tr>
      <w:tr w:rsidR="0094644B" w:rsidRPr="00F07779" w14:paraId="60725B88" w14:textId="77777777" w:rsidTr="00FB5086">
        <w:tc>
          <w:tcPr>
            <w:tcW w:w="2973" w:type="dxa"/>
          </w:tcPr>
          <w:p w14:paraId="6A1E5A5E" w14:textId="77777777" w:rsidR="0094644B" w:rsidRPr="00FA3F57" w:rsidRDefault="0094644B" w:rsidP="00FB5086">
            <w:pPr>
              <w:rPr>
                <w:sz w:val="20"/>
                <w:szCs w:val="20"/>
              </w:rPr>
            </w:pPr>
            <w:r w:rsidRPr="00FA3F57">
              <w:rPr>
                <w:sz w:val="20"/>
                <w:szCs w:val="20"/>
              </w:rPr>
              <w:t>Institutions responsible for monitoring implementation and reporting on the realization</w:t>
            </w:r>
          </w:p>
        </w:tc>
        <w:tc>
          <w:tcPr>
            <w:tcW w:w="5669" w:type="dxa"/>
          </w:tcPr>
          <w:p w14:paraId="297DBEC3" w14:textId="77777777" w:rsidR="0094644B" w:rsidRPr="00FA3F57" w:rsidRDefault="0094644B" w:rsidP="00FB5086">
            <w:pPr>
              <w:rPr>
                <w:sz w:val="20"/>
                <w:szCs w:val="20"/>
              </w:rPr>
            </w:pPr>
            <w:r w:rsidRPr="00FA3F57">
              <w:rPr>
                <w:sz w:val="20"/>
                <w:szCs w:val="20"/>
              </w:rPr>
              <w:t>VETROZELENA DOO BEOGRAD-VRAČAR</w:t>
            </w:r>
          </w:p>
          <w:p w14:paraId="580C06EB" w14:textId="77777777" w:rsidR="0094644B" w:rsidRPr="00FA3F57" w:rsidRDefault="0094644B" w:rsidP="00FB5086">
            <w:pPr>
              <w:rPr>
                <w:sz w:val="20"/>
                <w:szCs w:val="20"/>
              </w:rPr>
            </w:pPr>
            <w:r w:rsidRPr="00FA3F57">
              <w:rPr>
                <w:sz w:val="20"/>
                <w:szCs w:val="20"/>
              </w:rPr>
              <w:t>Ministry of Mining and Energy</w:t>
            </w:r>
          </w:p>
        </w:tc>
      </w:tr>
      <w:tr w:rsidR="0094644B" w:rsidRPr="00F07779" w14:paraId="79FB144C" w14:textId="77777777" w:rsidTr="00FB5086">
        <w:tc>
          <w:tcPr>
            <w:tcW w:w="2973" w:type="dxa"/>
          </w:tcPr>
          <w:p w14:paraId="1E2E5B68" w14:textId="77777777" w:rsidR="0094644B" w:rsidRPr="00FA3F57" w:rsidRDefault="0094644B" w:rsidP="00FB5086">
            <w:pPr>
              <w:rPr>
                <w:sz w:val="20"/>
                <w:szCs w:val="20"/>
              </w:rPr>
            </w:pPr>
            <w:r w:rsidRPr="00FA3F57">
              <w:rPr>
                <w:sz w:val="20"/>
                <w:szCs w:val="20"/>
              </w:rPr>
              <w:t>Year of project funding start</w:t>
            </w:r>
          </w:p>
        </w:tc>
        <w:tc>
          <w:tcPr>
            <w:tcW w:w="5669" w:type="dxa"/>
          </w:tcPr>
          <w:p w14:paraId="737566F1" w14:textId="77777777" w:rsidR="0094644B" w:rsidRPr="00FA3F57" w:rsidRDefault="0094644B" w:rsidP="00FB5086">
            <w:pPr>
              <w:rPr>
                <w:sz w:val="20"/>
                <w:szCs w:val="20"/>
              </w:rPr>
            </w:pPr>
            <w:r w:rsidRPr="00FA3F57">
              <w:rPr>
                <w:sz w:val="20"/>
                <w:szCs w:val="20"/>
              </w:rPr>
              <w:t>n/a</w:t>
            </w:r>
          </w:p>
        </w:tc>
      </w:tr>
      <w:tr w:rsidR="0094644B" w:rsidRPr="00F07779" w14:paraId="6298828E" w14:textId="77777777" w:rsidTr="00FB5086">
        <w:tc>
          <w:tcPr>
            <w:tcW w:w="2973" w:type="dxa"/>
          </w:tcPr>
          <w:p w14:paraId="3046A56A" w14:textId="77777777" w:rsidR="0094644B" w:rsidRPr="00FA3F57" w:rsidRDefault="0094644B" w:rsidP="00FB5086">
            <w:pPr>
              <w:rPr>
                <w:sz w:val="20"/>
                <w:szCs w:val="20"/>
              </w:rPr>
            </w:pPr>
            <w:r w:rsidRPr="00FA3F57">
              <w:rPr>
                <w:sz w:val="20"/>
                <w:szCs w:val="20"/>
              </w:rPr>
              <w:t>Year of completion of project funding</w:t>
            </w:r>
          </w:p>
        </w:tc>
        <w:tc>
          <w:tcPr>
            <w:tcW w:w="5669" w:type="dxa"/>
          </w:tcPr>
          <w:p w14:paraId="2144AC73" w14:textId="77777777" w:rsidR="0094644B" w:rsidRPr="00FA3F57" w:rsidRDefault="0094644B" w:rsidP="00FB5086">
            <w:pPr>
              <w:rPr>
                <w:sz w:val="20"/>
                <w:szCs w:val="20"/>
              </w:rPr>
            </w:pPr>
            <w:r w:rsidRPr="00FA3F57">
              <w:rPr>
                <w:sz w:val="20"/>
                <w:szCs w:val="20"/>
              </w:rPr>
              <w:t xml:space="preserve">2027. </w:t>
            </w:r>
          </w:p>
        </w:tc>
      </w:tr>
      <w:tr w:rsidR="0094644B" w:rsidRPr="00F07779" w14:paraId="4B3A8AEE" w14:textId="77777777" w:rsidTr="00FB5086">
        <w:tc>
          <w:tcPr>
            <w:tcW w:w="2973" w:type="dxa"/>
          </w:tcPr>
          <w:p w14:paraId="0FD56611" w14:textId="77777777" w:rsidR="0094644B" w:rsidRPr="00FA3F57" w:rsidRDefault="0094644B" w:rsidP="00FB5086">
            <w:pPr>
              <w:rPr>
                <w:sz w:val="20"/>
                <w:szCs w:val="20"/>
              </w:rPr>
            </w:pPr>
            <w:r w:rsidRPr="00FA3F57">
              <w:rPr>
                <w:sz w:val="20"/>
                <w:szCs w:val="20"/>
              </w:rPr>
              <w:t>Total project value</w:t>
            </w:r>
            <w:r w:rsidRPr="00FA3F57">
              <w:rPr>
                <w:sz w:val="20"/>
                <w:szCs w:val="20"/>
              </w:rPr>
              <w:br/>
              <w:t>(in thousands of RSD)</w:t>
            </w:r>
          </w:p>
        </w:tc>
        <w:tc>
          <w:tcPr>
            <w:tcW w:w="5669" w:type="dxa"/>
          </w:tcPr>
          <w:p w14:paraId="08B963E9" w14:textId="77777777" w:rsidR="0094644B" w:rsidRPr="00FA3F57" w:rsidRDefault="0094644B" w:rsidP="00FB5086">
            <w:pPr>
              <w:rPr>
                <w:sz w:val="20"/>
                <w:szCs w:val="20"/>
              </w:rPr>
            </w:pPr>
            <w:r w:rsidRPr="00FA3F57">
              <w:rPr>
                <w:sz w:val="20"/>
                <w:szCs w:val="20"/>
              </w:rPr>
              <w:t>65,026,850 (554.6 million EUR)</w:t>
            </w:r>
          </w:p>
        </w:tc>
      </w:tr>
      <w:tr w:rsidR="0094644B" w:rsidRPr="00F07779" w14:paraId="2ED4C1A1" w14:textId="77777777" w:rsidTr="00FB5086">
        <w:tc>
          <w:tcPr>
            <w:tcW w:w="2973" w:type="dxa"/>
          </w:tcPr>
          <w:p w14:paraId="1FF0A986" w14:textId="77777777" w:rsidR="0094644B" w:rsidRPr="00FA3F57" w:rsidRDefault="0094644B" w:rsidP="00FB5086">
            <w:pPr>
              <w:rPr>
                <w:sz w:val="20"/>
                <w:szCs w:val="20"/>
              </w:rPr>
            </w:pPr>
            <w:r w:rsidRPr="00FA3F57">
              <w:rPr>
                <w:sz w:val="20"/>
                <w:szCs w:val="20"/>
              </w:rPr>
              <w:t>Planned investments for 2026.</w:t>
            </w:r>
            <w:r w:rsidRPr="00FA3F57">
              <w:rPr>
                <w:sz w:val="20"/>
                <w:szCs w:val="20"/>
              </w:rPr>
              <w:br/>
              <w:t>(in thousands of RSD)</w:t>
            </w:r>
          </w:p>
        </w:tc>
        <w:tc>
          <w:tcPr>
            <w:tcW w:w="5669" w:type="dxa"/>
          </w:tcPr>
          <w:p w14:paraId="6EA44415" w14:textId="77777777" w:rsidR="0094644B" w:rsidRPr="00FA3F57" w:rsidRDefault="0094644B" w:rsidP="00FB5086">
            <w:pPr>
              <w:rPr>
                <w:sz w:val="20"/>
                <w:szCs w:val="20"/>
              </w:rPr>
            </w:pPr>
            <w:r w:rsidRPr="00F07779">
              <w:rPr>
                <w:color w:val="000000"/>
                <w:sz w:val="20"/>
                <w:szCs w:val="20"/>
              </w:rPr>
              <w:t>19,508,055</w:t>
            </w:r>
          </w:p>
        </w:tc>
      </w:tr>
      <w:tr w:rsidR="0094644B" w:rsidRPr="00F07779" w14:paraId="67C9B344" w14:textId="77777777" w:rsidTr="00FB5086">
        <w:tc>
          <w:tcPr>
            <w:tcW w:w="2973" w:type="dxa"/>
          </w:tcPr>
          <w:p w14:paraId="33151BD3" w14:textId="77777777" w:rsidR="0094644B" w:rsidRPr="00FA3F57" w:rsidRDefault="0094644B" w:rsidP="00FB5086">
            <w:pPr>
              <w:rPr>
                <w:sz w:val="20"/>
                <w:szCs w:val="20"/>
              </w:rPr>
            </w:pPr>
            <w:r w:rsidRPr="00FA3F57">
              <w:rPr>
                <w:sz w:val="20"/>
                <w:szCs w:val="20"/>
              </w:rPr>
              <w:t>Planned investments for 2027.</w:t>
            </w:r>
            <w:r w:rsidRPr="00FA3F57">
              <w:rPr>
                <w:sz w:val="20"/>
                <w:szCs w:val="20"/>
              </w:rPr>
              <w:br/>
              <w:t>(in thousands of RSD)</w:t>
            </w:r>
          </w:p>
        </w:tc>
        <w:tc>
          <w:tcPr>
            <w:tcW w:w="5669" w:type="dxa"/>
          </w:tcPr>
          <w:p w14:paraId="4BD93B6D" w14:textId="77777777" w:rsidR="0094644B" w:rsidRPr="00FA3F57" w:rsidRDefault="0094644B" w:rsidP="00FB5086">
            <w:pPr>
              <w:rPr>
                <w:sz w:val="20"/>
                <w:szCs w:val="20"/>
              </w:rPr>
            </w:pPr>
            <w:r w:rsidRPr="00FA3F57">
              <w:rPr>
                <w:sz w:val="20"/>
                <w:szCs w:val="20"/>
              </w:rPr>
              <w:t>45,518,795</w:t>
            </w:r>
          </w:p>
        </w:tc>
      </w:tr>
      <w:tr w:rsidR="0094644B" w:rsidRPr="00F07779" w14:paraId="4C13EC28" w14:textId="77777777" w:rsidTr="00FB5086">
        <w:tc>
          <w:tcPr>
            <w:tcW w:w="2973" w:type="dxa"/>
          </w:tcPr>
          <w:p w14:paraId="3FEF1C68" w14:textId="77777777" w:rsidR="0094644B" w:rsidRPr="00FA3F57" w:rsidRDefault="0094644B" w:rsidP="00FB5086">
            <w:pPr>
              <w:rPr>
                <w:sz w:val="20"/>
                <w:szCs w:val="20"/>
              </w:rPr>
            </w:pPr>
            <w:r w:rsidRPr="00FA3F57">
              <w:rPr>
                <w:sz w:val="20"/>
                <w:szCs w:val="20"/>
              </w:rPr>
              <w:t>Planned investments for 2028.</w:t>
            </w:r>
            <w:r w:rsidRPr="00FA3F57">
              <w:rPr>
                <w:sz w:val="20"/>
                <w:szCs w:val="20"/>
              </w:rPr>
              <w:br/>
              <w:t>(in thousands of RSD)</w:t>
            </w:r>
          </w:p>
        </w:tc>
        <w:tc>
          <w:tcPr>
            <w:tcW w:w="5669" w:type="dxa"/>
          </w:tcPr>
          <w:p w14:paraId="5321A06A" w14:textId="77777777" w:rsidR="0094644B" w:rsidRPr="00FA3F57" w:rsidRDefault="0094644B" w:rsidP="00FB5086">
            <w:pPr>
              <w:rPr>
                <w:sz w:val="20"/>
                <w:szCs w:val="20"/>
              </w:rPr>
            </w:pPr>
            <w:r w:rsidRPr="00FA3F57">
              <w:rPr>
                <w:sz w:val="20"/>
                <w:szCs w:val="20"/>
              </w:rPr>
              <w:t>0</w:t>
            </w:r>
          </w:p>
        </w:tc>
      </w:tr>
      <w:tr w:rsidR="0094644B" w:rsidRPr="00F07779" w14:paraId="57F72C1F" w14:textId="77777777" w:rsidTr="00FB5086">
        <w:tc>
          <w:tcPr>
            <w:tcW w:w="2973" w:type="dxa"/>
          </w:tcPr>
          <w:p w14:paraId="335798B8" w14:textId="77777777" w:rsidR="0094644B" w:rsidRPr="00FA3F57" w:rsidRDefault="0094644B" w:rsidP="00FB5086">
            <w:pPr>
              <w:rPr>
                <w:sz w:val="20"/>
                <w:szCs w:val="20"/>
              </w:rPr>
            </w:pPr>
            <w:r w:rsidRPr="00FA3F57">
              <w:rPr>
                <w:sz w:val="20"/>
                <w:szCs w:val="20"/>
              </w:rPr>
              <w:t>Impact on EE, climate, and environmental protection</w:t>
            </w:r>
          </w:p>
        </w:tc>
        <w:tc>
          <w:tcPr>
            <w:tcW w:w="5669" w:type="dxa"/>
          </w:tcPr>
          <w:p w14:paraId="428A8AAF" w14:textId="77777777" w:rsidR="0094644B" w:rsidRPr="00FA3F57" w:rsidRDefault="0094644B" w:rsidP="00FB5086">
            <w:pPr>
              <w:rPr>
                <w:sz w:val="20"/>
                <w:szCs w:val="20"/>
              </w:rPr>
            </w:pPr>
            <w:r w:rsidRPr="00FA3F57">
              <w:rPr>
                <w:sz w:val="20"/>
                <w:szCs w:val="20"/>
              </w:rPr>
              <w:t>n/a</w:t>
            </w:r>
          </w:p>
        </w:tc>
      </w:tr>
    </w:tbl>
    <w:p w14:paraId="40648537" w14:textId="77777777" w:rsidR="0094644B" w:rsidRPr="00FA3F57" w:rsidRDefault="0094644B" w:rsidP="0094644B"/>
    <w:tbl>
      <w:tblPr>
        <w:tblStyle w:val="TableGrid"/>
        <w:tblW w:w="0" w:type="auto"/>
        <w:tblLook w:val="04A0" w:firstRow="1" w:lastRow="0" w:firstColumn="1" w:lastColumn="0" w:noHBand="0" w:noVBand="1"/>
      </w:tblPr>
      <w:tblGrid>
        <w:gridCol w:w="2973"/>
        <w:gridCol w:w="5669"/>
      </w:tblGrid>
      <w:tr w:rsidR="0094644B" w:rsidRPr="00F07779" w14:paraId="03FC3E7C" w14:textId="77777777" w:rsidTr="00FB5086">
        <w:tc>
          <w:tcPr>
            <w:tcW w:w="2973" w:type="dxa"/>
            <w:shd w:val="clear" w:color="auto" w:fill="D9D9D9" w:themeFill="background1" w:themeFillShade="D9"/>
          </w:tcPr>
          <w:p w14:paraId="6B5774A8" w14:textId="77777777" w:rsidR="0094644B" w:rsidRPr="00F07779" w:rsidRDefault="0094644B" w:rsidP="00FB5086">
            <w:pPr>
              <w:keepNext/>
              <w:rPr>
                <w:sz w:val="20"/>
                <w:szCs w:val="20"/>
              </w:rPr>
            </w:pPr>
            <w:r w:rsidRPr="00FA3F57">
              <w:rPr>
                <w:sz w:val="20"/>
                <w:szCs w:val="20"/>
              </w:rPr>
              <w:t>Activity EL4.</w:t>
            </w:r>
            <w:r w:rsidRPr="00F07779">
              <w:rPr>
                <w:sz w:val="20"/>
                <w:szCs w:val="20"/>
              </w:rPr>
              <w:t>2</w:t>
            </w:r>
          </w:p>
        </w:tc>
        <w:tc>
          <w:tcPr>
            <w:tcW w:w="5669" w:type="dxa"/>
            <w:shd w:val="clear" w:color="auto" w:fill="D9D9D9" w:themeFill="background1" w:themeFillShade="D9"/>
          </w:tcPr>
          <w:p w14:paraId="15233D88" w14:textId="77777777" w:rsidR="0094644B" w:rsidRPr="00FA3F57" w:rsidRDefault="0094644B" w:rsidP="00FB5086">
            <w:pPr>
              <w:keepNext/>
              <w:rPr>
                <w:sz w:val="20"/>
                <w:szCs w:val="20"/>
              </w:rPr>
            </w:pPr>
            <w:r w:rsidRPr="00FA3F57">
              <w:rPr>
                <w:sz w:val="20"/>
                <w:szCs w:val="20"/>
              </w:rPr>
              <w:t>Construction of RES owned by private investors</w:t>
            </w:r>
          </w:p>
        </w:tc>
      </w:tr>
      <w:tr w:rsidR="0094644B" w:rsidRPr="00F07779" w14:paraId="2E1B82B6" w14:textId="77777777" w:rsidTr="00FB5086">
        <w:tc>
          <w:tcPr>
            <w:tcW w:w="2973" w:type="dxa"/>
            <w:shd w:val="clear" w:color="auto" w:fill="D9E2F3" w:themeFill="accent1" w:themeFillTint="33"/>
          </w:tcPr>
          <w:p w14:paraId="7EF5D7BC" w14:textId="77777777" w:rsidR="0094644B" w:rsidRPr="00FA3F57" w:rsidRDefault="0094644B" w:rsidP="00FB5086">
            <w:pPr>
              <w:keepNext/>
              <w:rPr>
                <w:sz w:val="20"/>
                <w:szCs w:val="20"/>
              </w:rPr>
            </w:pPr>
            <w:r w:rsidRPr="00FA3F57">
              <w:rPr>
                <w:sz w:val="20"/>
                <w:szCs w:val="20"/>
              </w:rPr>
              <w:t>Name of the project</w:t>
            </w:r>
          </w:p>
        </w:tc>
        <w:tc>
          <w:tcPr>
            <w:tcW w:w="5669" w:type="dxa"/>
            <w:shd w:val="clear" w:color="auto" w:fill="D9E2F3" w:themeFill="accent1" w:themeFillTint="33"/>
          </w:tcPr>
          <w:p w14:paraId="38624C72" w14:textId="77777777" w:rsidR="0094644B" w:rsidRPr="00FA3F57" w:rsidRDefault="0094644B" w:rsidP="00FB5086">
            <w:pPr>
              <w:keepNext/>
              <w:rPr>
                <w:sz w:val="20"/>
                <w:szCs w:val="20"/>
              </w:rPr>
            </w:pPr>
            <w:r w:rsidRPr="00FA3F57">
              <w:rPr>
                <w:sz w:val="20"/>
                <w:szCs w:val="20"/>
              </w:rPr>
              <w:t xml:space="preserve">WPP </w:t>
            </w:r>
            <w:proofErr w:type="spellStart"/>
            <w:r w:rsidRPr="00FA3F57">
              <w:rPr>
                <w:sz w:val="20"/>
                <w:szCs w:val="20"/>
              </w:rPr>
              <w:t>Crni</w:t>
            </w:r>
            <w:proofErr w:type="spellEnd"/>
            <w:r w:rsidRPr="00FA3F57">
              <w:rPr>
                <w:sz w:val="20"/>
                <w:szCs w:val="20"/>
              </w:rPr>
              <w:t xml:space="preserve"> </w:t>
            </w:r>
            <w:proofErr w:type="spellStart"/>
            <w:r w:rsidRPr="00FA3F57">
              <w:rPr>
                <w:sz w:val="20"/>
                <w:szCs w:val="20"/>
              </w:rPr>
              <w:t>Vrh</w:t>
            </w:r>
            <w:proofErr w:type="spellEnd"/>
          </w:p>
        </w:tc>
      </w:tr>
      <w:tr w:rsidR="0094644B" w:rsidRPr="00F07779" w14:paraId="54C29A14" w14:textId="77777777" w:rsidTr="00FB5086">
        <w:tc>
          <w:tcPr>
            <w:tcW w:w="2973" w:type="dxa"/>
          </w:tcPr>
          <w:p w14:paraId="70725D07" w14:textId="77777777" w:rsidR="0094644B" w:rsidRPr="00FA3F57" w:rsidRDefault="0094644B" w:rsidP="00FB5086">
            <w:pPr>
              <w:rPr>
                <w:sz w:val="20"/>
                <w:szCs w:val="20"/>
              </w:rPr>
            </w:pPr>
            <w:r w:rsidRPr="00FA3F57">
              <w:rPr>
                <w:sz w:val="20"/>
                <w:szCs w:val="20"/>
              </w:rPr>
              <w:t>Short description of the investment</w:t>
            </w:r>
          </w:p>
        </w:tc>
        <w:tc>
          <w:tcPr>
            <w:tcW w:w="5669" w:type="dxa"/>
          </w:tcPr>
          <w:p w14:paraId="6E67B85F" w14:textId="77777777" w:rsidR="0094644B" w:rsidRPr="00FA3F57" w:rsidRDefault="0094644B" w:rsidP="00FB5086">
            <w:pPr>
              <w:rPr>
                <w:sz w:val="20"/>
                <w:szCs w:val="20"/>
              </w:rPr>
            </w:pPr>
            <w:r w:rsidRPr="00FA3F57">
              <w:rPr>
                <w:sz w:val="20"/>
                <w:szCs w:val="20"/>
              </w:rPr>
              <w:t xml:space="preserve">Construction of the </w:t>
            </w:r>
            <w:proofErr w:type="spellStart"/>
            <w:r w:rsidRPr="00FA3F57">
              <w:rPr>
                <w:sz w:val="20"/>
                <w:szCs w:val="20"/>
              </w:rPr>
              <w:t>Crni</w:t>
            </w:r>
            <w:proofErr w:type="spellEnd"/>
            <w:r w:rsidRPr="00FA3F57">
              <w:rPr>
                <w:sz w:val="20"/>
                <w:szCs w:val="20"/>
              </w:rPr>
              <w:t xml:space="preserve"> </w:t>
            </w:r>
            <w:proofErr w:type="spellStart"/>
            <w:r w:rsidRPr="00FA3F57">
              <w:rPr>
                <w:sz w:val="20"/>
                <w:szCs w:val="20"/>
              </w:rPr>
              <w:t>Vrh</w:t>
            </w:r>
            <w:proofErr w:type="spellEnd"/>
            <w:r w:rsidRPr="00FA3F57">
              <w:rPr>
                <w:sz w:val="20"/>
                <w:szCs w:val="20"/>
              </w:rPr>
              <w:t xml:space="preserve"> wind farm, with an installed capacity of 150 MW.</w:t>
            </w:r>
          </w:p>
          <w:p w14:paraId="1C1904D5" w14:textId="77777777" w:rsidR="0094644B" w:rsidRPr="00FA3F57" w:rsidRDefault="0094644B" w:rsidP="00FB5086">
            <w:pPr>
              <w:rPr>
                <w:sz w:val="20"/>
                <w:szCs w:val="20"/>
              </w:rPr>
            </w:pPr>
            <w:r w:rsidRPr="00FA3F57">
              <w:rPr>
                <w:sz w:val="20"/>
                <w:szCs w:val="20"/>
              </w:rPr>
              <w:lastRenderedPageBreak/>
              <w:t>Expected dynamics of project implementation:</w:t>
            </w:r>
          </w:p>
          <w:p w14:paraId="06DB1DA6" w14:textId="77777777" w:rsidR="0094644B" w:rsidRPr="00FA3F57" w:rsidRDefault="0094644B" w:rsidP="00FB5086">
            <w:pPr>
              <w:rPr>
                <w:sz w:val="20"/>
                <w:szCs w:val="20"/>
              </w:rPr>
            </w:pPr>
            <w:r w:rsidRPr="00FA3F57">
              <w:rPr>
                <w:sz w:val="20"/>
                <w:szCs w:val="20"/>
              </w:rPr>
              <w:t>2026. Commissioning; trial operation</w:t>
            </w:r>
          </w:p>
          <w:p w14:paraId="1F0D1A9C" w14:textId="77777777" w:rsidR="0094644B" w:rsidRPr="00FA3F57" w:rsidRDefault="0094644B" w:rsidP="00FB5086">
            <w:pPr>
              <w:rPr>
                <w:sz w:val="20"/>
                <w:szCs w:val="20"/>
              </w:rPr>
            </w:pPr>
            <w:r w:rsidRPr="00FA3F57">
              <w:rPr>
                <w:sz w:val="20"/>
                <w:szCs w:val="20"/>
              </w:rPr>
              <w:t>2027. Use permit; end of project</w:t>
            </w:r>
          </w:p>
        </w:tc>
      </w:tr>
      <w:tr w:rsidR="0094644B" w:rsidRPr="00F07779" w14:paraId="3D64E047" w14:textId="77777777" w:rsidTr="00FB5086">
        <w:tc>
          <w:tcPr>
            <w:tcW w:w="2973" w:type="dxa"/>
          </w:tcPr>
          <w:p w14:paraId="489DCF13" w14:textId="77777777" w:rsidR="0094644B" w:rsidRPr="00FA3F57" w:rsidRDefault="0094644B" w:rsidP="00FB5086">
            <w:pPr>
              <w:rPr>
                <w:sz w:val="20"/>
                <w:szCs w:val="20"/>
              </w:rPr>
            </w:pPr>
            <w:r w:rsidRPr="00FA3F57">
              <w:rPr>
                <w:sz w:val="20"/>
                <w:szCs w:val="20"/>
              </w:rPr>
              <w:lastRenderedPageBreak/>
              <w:t>Institutions responsible for the implementation of measures and activities</w:t>
            </w:r>
          </w:p>
        </w:tc>
        <w:tc>
          <w:tcPr>
            <w:tcW w:w="5669" w:type="dxa"/>
          </w:tcPr>
          <w:p w14:paraId="691DF5A0" w14:textId="77777777" w:rsidR="0094644B" w:rsidRPr="00FA3F57" w:rsidRDefault="0094644B" w:rsidP="00FB5086">
            <w:pPr>
              <w:rPr>
                <w:sz w:val="20"/>
                <w:szCs w:val="20"/>
              </w:rPr>
            </w:pPr>
            <w:r w:rsidRPr="00FA3F57">
              <w:rPr>
                <w:sz w:val="20"/>
                <w:szCs w:val="20"/>
              </w:rPr>
              <w:t>CRNI VRH POWER DOO ŽAGUBICA</w:t>
            </w:r>
          </w:p>
        </w:tc>
      </w:tr>
      <w:tr w:rsidR="0094644B" w:rsidRPr="00F07779" w14:paraId="7C949611" w14:textId="77777777" w:rsidTr="00FB5086">
        <w:tc>
          <w:tcPr>
            <w:tcW w:w="2973" w:type="dxa"/>
          </w:tcPr>
          <w:p w14:paraId="61FCE5DF" w14:textId="77777777" w:rsidR="0094644B" w:rsidRPr="00FA3F57" w:rsidRDefault="0094644B" w:rsidP="00FB5086">
            <w:pPr>
              <w:rPr>
                <w:sz w:val="20"/>
                <w:szCs w:val="20"/>
              </w:rPr>
            </w:pPr>
            <w:r w:rsidRPr="00FA3F57">
              <w:rPr>
                <w:sz w:val="20"/>
                <w:szCs w:val="20"/>
              </w:rPr>
              <w:t>Institutions responsible for monitoring implementation and reporting on the realization</w:t>
            </w:r>
          </w:p>
        </w:tc>
        <w:tc>
          <w:tcPr>
            <w:tcW w:w="5669" w:type="dxa"/>
          </w:tcPr>
          <w:p w14:paraId="3E0B934C" w14:textId="77777777" w:rsidR="0094644B" w:rsidRPr="00FA3F57" w:rsidRDefault="0094644B" w:rsidP="00FB5086">
            <w:pPr>
              <w:rPr>
                <w:sz w:val="20"/>
                <w:szCs w:val="20"/>
              </w:rPr>
            </w:pPr>
            <w:r w:rsidRPr="00FA3F57">
              <w:rPr>
                <w:sz w:val="20"/>
                <w:szCs w:val="20"/>
              </w:rPr>
              <w:t xml:space="preserve">CRNI VRH POWER DOO ŽAGUBICA </w:t>
            </w:r>
          </w:p>
          <w:p w14:paraId="5D1EAB0A" w14:textId="77777777" w:rsidR="0094644B" w:rsidRPr="00FA3F57" w:rsidRDefault="0094644B" w:rsidP="00FB5086">
            <w:pPr>
              <w:rPr>
                <w:sz w:val="20"/>
                <w:szCs w:val="20"/>
              </w:rPr>
            </w:pPr>
            <w:r w:rsidRPr="00FA3F57">
              <w:rPr>
                <w:sz w:val="20"/>
                <w:szCs w:val="20"/>
              </w:rPr>
              <w:t>Ministry of Mining and Energy</w:t>
            </w:r>
          </w:p>
        </w:tc>
      </w:tr>
      <w:tr w:rsidR="0094644B" w:rsidRPr="00F07779" w14:paraId="51AFBE00" w14:textId="77777777" w:rsidTr="00FB5086">
        <w:tc>
          <w:tcPr>
            <w:tcW w:w="2973" w:type="dxa"/>
          </w:tcPr>
          <w:p w14:paraId="6B4DF88B" w14:textId="77777777" w:rsidR="0094644B" w:rsidRPr="00FA3F57" w:rsidRDefault="0094644B" w:rsidP="00FB5086">
            <w:pPr>
              <w:rPr>
                <w:sz w:val="20"/>
                <w:szCs w:val="20"/>
              </w:rPr>
            </w:pPr>
            <w:r w:rsidRPr="00FA3F57">
              <w:rPr>
                <w:sz w:val="20"/>
                <w:szCs w:val="20"/>
              </w:rPr>
              <w:t>Year of project funding start</w:t>
            </w:r>
          </w:p>
        </w:tc>
        <w:tc>
          <w:tcPr>
            <w:tcW w:w="5669" w:type="dxa"/>
          </w:tcPr>
          <w:p w14:paraId="2944DBC4" w14:textId="77777777" w:rsidR="0094644B" w:rsidRPr="00FA3F57" w:rsidRDefault="0094644B" w:rsidP="00FB5086">
            <w:pPr>
              <w:rPr>
                <w:sz w:val="20"/>
                <w:szCs w:val="20"/>
              </w:rPr>
            </w:pPr>
            <w:r w:rsidRPr="00FA3F57">
              <w:rPr>
                <w:sz w:val="20"/>
                <w:szCs w:val="20"/>
              </w:rPr>
              <w:t>n/a</w:t>
            </w:r>
          </w:p>
        </w:tc>
      </w:tr>
      <w:tr w:rsidR="0094644B" w:rsidRPr="00F07779" w14:paraId="6E03C0A4" w14:textId="77777777" w:rsidTr="00FB5086">
        <w:tc>
          <w:tcPr>
            <w:tcW w:w="2973" w:type="dxa"/>
          </w:tcPr>
          <w:p w14:paraId="5E18F0FF" w14:textId="77777777" w:rsidR="0094644B" w:rsidRPr="00FA3F57" w:rsidRDefault="0094644B" w:rsidP="00FB5086">
            <w:pPr>
              <w:rPr>
                <w:sz w:val="20"/>
                <w:szCs w:val="20"/>
              </w:rPr>
            </w:pPr>
            <w:r w:rsidRPr="00FA3F57">
              <w:rPr>
                <w:sz w:val="20"/>
                <w:szCs w:val="20"/>
              </w:rPr>
              <w:t>Year of completion of project funding</w:t>
            </w:r>
          </w:p>
        </w:tc>
        <w:tc>
          <w:tcPr>
            <w:tcW w:w="5669" w:type="dxa"/>
          </w:tcPr>
          <w:p w14:paraId="7DE24F29" w14:textId="77777777" w:rsidR="0094644B" w:rsidRPr="00FA3F57" w:rsidRDefault="0094644B" w:rsidP="00FB5086">
            <w:pPr>
              <w:rPr>
                <w:sz w:val="20"/>
                <w:szCs w:val="20"/>
              </w:rPr>
            </w:pPr>
            <w:r w:rsidRPr="00FA3F57">
              <w:rPr>
                <w:sz w:val="20"/>
                <w:szCs w:val="20"/>
              </w:rPr>
              <w:t>2027.</w:t>
            </w:r>
          </w:p>
        </w:tc>
      </w:tr>
      <w:tr w:rsidR="0094644B" w:rsidRPr="00F07779" w14:paraId="19F0A047" w14:textId="77777777" w:rsidTr="00FB5086">
        <w:tc>
          <w:tcPr>
            <w:tcW w:w="2973" w:type="dxa"/>
          </w:tcPr>
          <w:p w14:paraId="21025163" w14:textId="77777777" w:rsidR="0094644B" w:rsidRPr="00FA3F57" w:rsidRDefault="0094644B" w:rsidP="00FB5086">
            <w:pPr>
              <w:rPr>
                <w:sz w:val="20"/>
                <w:szCs w:val="20"/>
              </w:rPr>
            </w:pPr>
            <w:r w:rsidRPr="00FA3F57">
              <w:rPr>
                <w:sz w:val="20"/>
                <w:szCs w:val="20"/>
              </w:rPr>
              <w:t>Total project value</w:t>
            </w:r>
            <w:r w:rsidRPr="00FA3F57">
              <w:rPr>
                <w:sz w:val="20"/>
                <w:szCs w:val="20"/>
              </w:rPr>
              <w:br/>
              <w:t>(in thousands of RSD)</w:t>
            </w:r>
          </w:p>
        </w:tc>
        <w:tc>
          <w:tcPr>
            <w:tcW w:w="5669" w:type="dxa"/>
          </w:tcPr>
          <w:p w14:paraId="70F8F58A" w14:textId="77777777" w:rsidR="0094644B" w:rsidRPr="00FA3F57" w:rsidRDefault="0094644B" w:rsidP="00FB5086">
            <w:pPr>
              <w:rPr>
                <w:sz w:val="20"/>
                <w:szCs w:val="20"/>
              </w:rPr>
            </w:pPr>
            <w:r w:rsidRPr="00FA3F57">
              <w:rPr>
                <w:sz w:val="20"/>
                <w:szCs w:val="20"/>
              </w:rPr>
              <w:t>25,443,250 (217 million EUR)</w:t>
            </w:r>
          </w:p>
        </w:tc>
      </w:tr>
      <w:tr w:rsidR="0094644B" w:rsidRPr="00F07779" w14:paraId="325FB34E" w14:textId="77777777" w:rsidTr="00FB5086">
        <w:tc>
          <w:tcPr>
            <w:tcW w:w="2973" w:type="dxa"/>
          </w:tcPr>
          <w:p w14:paraId="3F41820F" w14:textId="77777777" w:rsidR="0094644B" w:rsidRPr="00FA3F57" w:rsidRDefault="0094644B" w:rsidP="00FB5086">
            <w:pPr>
              <w:rPr>
                <w:sz w:val="20"/>
                <w:szCs w:val="20"/>
              </w:rPr>
            </w:pPr>
            <w:r w:rsidRPr="00FA3F57">
              <w:rPr>
                <w:sz w:val="20"/>
                <w:szCs w:val="20"/>
              </w:rPr>
              <w:t>Planned investments for 2026.</w:t>
            </w:r>
            <w:r w:rsidRPr="00FA3F57">
              <w:rPr>
                <w:sz w:val="20"/>
                <w:szCs w:val="20"/>
              </w:rPr>
              <w:br/>
              <w:t>(in thousands of RSD)</w:t>
            </w:r>
          </w:p>
        </w:tc>
        <w:tc>
          <w:tcPr>
            <w:tcW w:w="5669" w:type="dxa"/>
          </w:tcPr>
          <w:p w14:paraId="4F27511D" w14:textId="77777777" w:rsidR="0094644B" w:rsidRPr="00FA3F57" w:rsidRDefault="0094644B" w:rsidP="00FB5086">
            <w:pPr>
              <w:rPr>
                <w:sz w:val="20"/>
                <w:szCs w:val="20"/>
              </w:rPr>
            </w:pPr>
            <w:r w:rsidRPr="00FA3F57">
              <w:rPr>
                <w:sz w:val="20"/>
                <w:szCs w:val="20"/>
              </w:rPr>
              <w:t>0</w:t>
            </w:r>
          </w:p>
        </w:tc>
      </w:tr>
      <w:tr w:rsidR="0094644B" w:rsidRPr="00F07779" w14:paraId="4FF9AE69" w14:textId="77777777" w:rsidTr="00FB5086">
        <w:tc>
          <w:tcPr>
            <w:tcW w:w="2973" w:type="dxa"/>
          </w:tcPr>
          <w:p w14:paraId="1C6E9526" w14:textId="77777777" w:rsidR="0094644B" w:rsidRPr="00FA3F57" w:rsidRDefault="0094644B" w:rsidP="00FB5086">
            <w:pPr>
              <w:rPr>
                <w:sz w:val="20"/>
                <w:szCs w:val="20"/>
              </w:rPr>
            </w:pPr>
            <w:r w:rsidRPr="00FA3F57">
              <w:rPr>
                <w:sz w:val="20"/>
                <w:szCs w:val="20"/>
              </w:rPr>
              <w:t>Planned investments for 2027.</w:t>
            </w:r>
            <w:r w:rsidRPr="00FA3F57">
              <w:rPr>
                <w:sz w:val="20"/>
                <w:szCs w:val="20"/>
              </w:rPr>
              <w:br/>
              <w:t>(in thousands of RSD)</w:t>
            </w:r>
          </w:p>
        </w:tc>
        <w:tc>
          <w:tcPr>
            <w:tcW w:w="5669" w:type="dxa"/>
          </w:tcPr>
          <w:p w14:paraId="595C962A" w14:textId="77777777" w:rsidR="0094644B" w:rsidRPr="00FA3F57" w:rsidRDefault="0094644B" w:rsidP="00FB5086">
            <w:pPr>
              <w:rPr>
                <w:sz w:val="20"/>
                <w:szCs w:val="20"/>
              </w:rPr>
            </w:pPr>
            <w:r w:rsidRPr="00FA3F57">
              <w:rPr>
                <w:sz w:val="20"/>
                <w:szCs w:val="20"/>
              </w:rPr>
              <w:t>0</w:t>
            </w:r>
          </w:p>
        </w:tc>
      </w:tr>
      <w:tr w:rsidR="0094644B" w:rsidRPr="00F07779" w14:paraId="791741B4" w14:textId="77777777" w:rsidTr="00FB5086">
        <w:tc>
          <w:tcPr>
            <w:tcW w:w="2973" w:type="dxa"/>
          </w:tcPr>
          <w:p w14:paraId="38A4D43A" w14:textId="77777777" w:rsidR="0094644B" w:rsidRPr="00FA3F57" w:rsidRDefault="0094644B" w:rsidP="00FB5086">
            <w:pPr>
              <w:rPr>
                <w:sz w:val="20"/>
                <w:szCs w:val="20"/>
              </w:rPr>
            </w:pPr>
            <w:r w:rsidRPr="00FA3F57">
              <w:rPr>
                <w:sz w:val="20"/>
                <w:szCs w:val="20"/>
              </w:rPr>
              <w:t>Planned investments for 2028.</w:t>
            </w:r>
            <w:r w:rsidRPr="00FA3F57">
              <w:rPr>
                <w:sz w:val="20"/>
                <w:szCs w:val="20"/>
              </w:rPr>
              <w:br/>
              <w:t>(in thousands of RSD)</w:t>
            </w:r>
          </w:p>
        </w:tc>
        <w:tc>
          <w:tcPr>
            <w:tcW w:w="5669" w:type="dxa"/>
          </w:tcPr>
          <w:p w14:paraId="266E85FF" w14:textId="77777777" w:rsidR="0094644B" w:rsidRPr="00FA3F57" w:rsidRDefault="0094644B" w:rsidP="00FB5086">
            <w:pPr>
              <w:rPr>
                <w:sz w:val="20"/>
                <w:szCs w:val="20"/>
              </w:rPr>
            </w:pPr>
            <w:r w:rsidRPr="00FA3F57">
              <w:rPr>
                <w:sz w:val="20"/>
                <w:szCs w:val="20"/>
              </w:rPr>
              <w:t>0</w:t>
            </w:r>
          </w:p>
        </w:tc>
      </w:tr>
      <w:tr w:rsidR="0094644B" w:rsidRPr="00F07779" w14:paraId="10F85CC1" w14:textId="77777777" w:rsidTr="00FB5086">
        <w:tc>
          <w:tcPr>
            <w:tcW w:w="2973" w:type="dxa"/>
          </w:tcPr>
          <w:p w14:paraId="0C408DD4" w14:textId="77777777" w:rsidR="0094644B" w:rsidRPr="00FA3F57" w:rsidRDefault="0094644B" w:rsidP="00FB5086">
            <w:pPr>
              <w:rPr>
                <w:sz w:val="20"/>
                <w:szCs w:val="20"/>
              </w:rPr>
            </w:pPr>
            <w:r w:rsidRPr="00FA3F57">
              <w:rPr>
                <w:sz w:val="20"/>
                <w:szCs w:val="20"/>
              </w:rPr>
              <w:t>Impact on EE, climate, and environmental protection</w:t>
            </w:r>
          </w:p>
        </w:tc>
        <w:tc>
          <w:tcPr>
            <w:tcW w:w="5669" w:type="dxa"/>
          </w:tcPr>
          <w:p w14:paraId="238DC62C" w14:textId="77777777" w:rsidR="0094644B" w:rsidRPr="00FA3F57" w:rsidRDefault="0094644B" w:rsidP="00FB5086">
            <w:pPr>
              <w:rPr>
                <w:sz w:val="20"/>
                <w:szCs w:val="20"/>
              </w:rPr>
            </w:pPr>
            <w:r w:rsidRPr="00FA3F57">
              <w:rPr>
                <w:sz w:val="20"/>
                <w:szCs w:val="20"/>
              </w:rPr>
              <w:t>n/a</w:t>
            </w:r>
          </w:p>
        </w:tc>
      </w:tr>
    </w:tbl>
    <w:p w14:paraId="230B18A1" w14:textId="77777777" w:rsidR="0094644B" w:rsidRPr="00FA3F57" w:rsidRDefault="0094644B" w:rsidP="0094644B"/>
    <w:tbl>
      <w:tblPr>
        <w:tblStyle w:val="TableGrid"/>
        <w:tblW w:w="0" w:type="auto"/>
        <w:tblLook w:val="04A0" w:firstRow="1" w:lastRow="0" w:firstColumn="1" w:lastColumn="0" w:noHBand="0" w:noVBand="1"/>
      </w:tblPr>
      <w:tblGrid>
        <w:gridCol w:w="2973"/>
        <w:gridCol w:w="5669"/>
      </w:tblGrid>
      <w:tr w:rsidR="0094644B" w:rsidRPr="00F07779" w14:paraId="05C5F0E9" w14:textId="77777777" w:rsidTr="00FB5086">
        <w:tc>
          <w:tcPr>
            <w:tcW w:w="2973" w:type="dxa"/>
            <w:shd w:val="clear" w:color="auto" w:fill="D9D9D9" w:themeFill="background1" w:themeFillShade="D9"/>
          </w:tcPr>
          <w:p w14:paraId="7BBC9B05" w14:textId="77777777" w:rsidR="0094644B" w:rsidRPr="00F07779" w:rsidRDefault="0094644B" w:rsidP="00FB5086">
            <w:pPr>
              <w:keepNext/>
              <w:rPr>
                <w:sz w:val="20"/>
                <w:szCs w:val="20"/>
              </w:rPr>
            </w:pPr>
            <w:r w:rsidRPr="00FA3F57">
              <w:rPr>
                <w:sz w:val="20"/>
                <w:szCs w:val="20"/>
              </w:rPr>
              <w:t>Activity EL4.</w:t>
            </w:r>
            <w:r w:rsidRPr="00F07779">
              <w:rPr>
                <w:sz w:val="20"/>
                <w:szCs w:val="20"/>
              </w:rPr>
              <w:t>2</w:t>
            </w:r>
          </w:p>
        </w:tc>
        <w:tc>
          <w:tcPr>
            <w:tcW w:w="5669" w:type="dxa"/>
            <w:shd w:val="clear" w:color="auto" w:fill="D9D9D9" w:themeFill="background1" w:themeFillShade="D9"/>
          </w:tcPr>
          <w:p w14:paraId="0D941A69" w14:textId="77777777" w:rsidR="0094644B" w:rsidRPr="00FA3F57" w:rsidRDefault="0094644B" w:rsidP="00FB5086">
            <w:pPr>
              <w:keepNext/>
              <w:rPr>
                <w:sz w:val="20"/>
                <w:szCs w:val="20"/>
              </w:rPr>
            </w:pPr>
            <w:r w:rsidRPr="00FA3F57">
              <w:rPr>
                <w:sz w:val="20"/>
                <w:szCs w:val="20"/>
              </w:rPr>
              <w:t>Construction of RES owned by private investors</w:t>
            </w:r>
          </w:p>
        </w:tc>
      </w:tr>
      <w:tr w:rsidR="0094644B" w:rsidRPr="00F07779" w14:paraId="162BC513" w14:textId="77777777" w:rsidTr="00FB5086">
        <w:tc>
          <w:tcPr>
            <w:tcW w:w="2973" w:type="dxa"/>
            <w:shd w:val="clear" w:color="auto" w:fill="D9E2F3" w:themeFill="accent1" w:themeFillTint="33"/>
          </w:tcPr>
          <w:p w14:paraId="15B7C80E" w14:textId="77777777" w:rsidR="0094644B" w:rsidRPr="00FA3F57" w:rsidRDefault="0094644B" w:rsidP="00FB5086">
            <w:pPr>
              <w:keepNext/>
              <w:rPr>
                <w:sz w:val="20"/>
                <w:szCs w:val="20"/>
              </w:rPr>
            </w:pPr>
            <w:r w:rsidRPr="00FA3F57">
              <w:rPr>
                <w:sz w:val="20"/>
                <w:szCs w:val="20"/>
              </w:rPr>
              <w:t>Name of the project</w:t>
            </w:r>
          </w:p>
        </w:tc>
        <w:tc>
          <w:tcPr>
            <w:tcW w:w="5669" w:type="dxa"/>
            <w:shd w:val="clear" w:color="auto" w:fill="D9E2F3" w:themeFill="accent1" w:themeFillTint="33"/>
          </w:tcPr>
          <w:p w14:paraId="46827769" w14:textId="77777777" w:rsidR="0094644B" w:rsidRPr="00FA3F57" w:rsidRDefault="0094644B" w:rsidP="00FB5086">
            <w:pPr>
              <w:keepNext/>
              <w:rPr>
                <w:sz w:val="20"/>
                <w:szCs w:val="20"/>
              </w:rPr>
            </w:pPr>
            <w:r w:rsidRPr="00FA3F57">
              <w:rPr>
                <w:sz w:val="20"/>
                <w:szCs w:val="20"/>
              </w:rPr>
              <w:t xml:space="preserve">WPP </w:t>
            </w:r>
            <w:proofErr w:type="spellStart"/>
            <w:r w:rsidRPr="00FA3F57">
              <w:rPr>
                <w:sz w:val="20"/>
                <w:szCs w:val="20"/>
              </w:rPr>
              <w:t>Čibuk</w:t>
            </w:r>
            <w:proofErr w:type="spellEnd"/>
            <w:r w:rsidRPr="00FA3F57">
              <w:rPr>
                <w:sz w:val="20"/>
                <w:szCs w:val="20"/>
              </w:rPr>
              <w:t xml:space="preserve"> 2</w:t>
            </w:r>
          </w:p>
        </w:tc>
      </w:tr>
      <w:tr w:rsidR="0094644B" w:rsidRPr="00F07779" w14:paraId="212CD00D" w14:textId="77777777" w:rsidTr="00FB5086">
        <w:tc>
          <w:tcPr>
            <w:tcW w:w="2973" w:type="dxa"/>
          </w:tcPr>
          <w:p w14:paraId="283419C9" w14:textId="77777777" w:rsidR="0094644B" w:rsidRPr="00FA3F57" w:rsidRDefault="0094644B" w:rsidP="00FB5086">
            <w:pPr>
              <w:rPr>
                <w:sz w:val="20"/>
                <w:szCs w:val="20"/>
              </w:rPr>
            </w:pPr>
            <w:r w:rsidRPr="00FA3F57">
              <w:rPr>
                <w:sz w:val="20"/>
                <w:szCs w:val="20"/>
              </w:rPr>
              <w:t>Short description of the investment</w:t>
            </w:r>
          </w:p>
        </w:tc>
        <w:tc>
          <w:tcPr>
            <w:tcW w:w="5669" w:type="dxa"/>
          </w:tcPr>
          <w:p w14:paraId="71CDEA1D" w14:textId="77777777" w:rsidR="0094644B" w:rsidRPr="00FA3F57" w:rsidRDefault="0094644B" w:rsidP="00FB5086">
            <w:pPr>
              <w:rPr>
                <w:sz w:val="20"/>
                <w:szCs w:val="20"/>
              </w:rPr>
            </w:pPr>
            <w:r w:rsidRPr="00FA3F57">
              <w:rPr>
                <w:sz w:val="20"/>
                <w:szCs w:val="20"/>
              </w:rPr>
              <w:t xml:space="preserve">Construction of the </w:t>
            </w:r>
            <w:proofErr w:type="spellStart"/>
            <w:r w:rsidRPr="00FA3F57">
              <w:rPr>
                <w:sz w:val="20"/>
                <w:szCs w:val="20"/>
              </w:rPr>
              <w:t>Čibuk</w:t>
            </w:r>
            <w:proofErr w:type="spellEnd"/>
            <w:r w:rsidRPr="00FA3F57">
              <w:rPr>
                <w:sz w:val="20"/>
                <w:szCs w:val="20"/>
              </w:rPr>
              <w:t xml:space="preserve"> 2 wind farm, with an installed capacity of 150 MW.</w:t>
            </w:r>
          </w:p>
          <w:p w14:paraId="039B6049" w14:textId="77777777" w:rsidR="0094644B" w:rsidRPr="00FA3F57" w:rsidRDefault="0094644B" w:rsidP="00FB5086">
            <w:pPr>
              <w:rPr>
                <w:sz w:val="20"/>
                <w:szCs w:val="20"/>
              </w:rPr>
            </w:pPr>
            <w:r w:rsidRPr="00FA3F57">
              <w:rPr>
                <w:sz w:val="20"/>
                <w:szCs w:val="20"/>
              </w:rPr>
              <w:t>Expected dynamics of project implementation:</w:t>
            </w:r>
          </w:p>
          <w:p w14:paraId="7AC98CD5" w14:textId="77777777" w:rsidR="0094644B" w:rsidRPr="00FA3F57" w:rsidRDefault="0094644B" w:rsidP="00FB5086">
            <w:pPr>
              <w:rPr>
                <w:sz w:val="20"/>
                <w:szCs w:val="20"/>
              </w:rPr>
            </w:pPr>
            <w:r w:rsidRPr="00FA3F57">
              <w:rPr>
                <w:sz w:val="20"/>
                <w:szCs w:val="20"/>
              </w:rPr>
              <w:t>2026. Use permit; end of project</w:t>
            </w:r>
          </w:p>
        </w:tc>
      </w:tr>
      <w:tr w:rsidR="0094644B" w:rsidRPr="00F07779" w14:paraId="6877F06C" w14:textId="77777777" w:rsidTr="00FB5086">
        <w:tc>
          <w:tcPr>
            <w:tcW w:w="2973" w:type="dxa"/>
          </w:tcPr>
          <w:p w14:paraId="4F364230" w14:textId="77777777" w:rsidR="0094644B" w:rsidRPr="00FA3F57" w:rsidRDefault="0094644B" w:rsidP="00FB5086">
            <w:pPr>
              <w:rPr>
                <w:sz w:val="20"/>
                <w:szCs w:val="20"/>
              </w:rPr>
            </w:pPr>
            <w:r w:rsidRPr="00FA3F57">
              <w:rPr>
                <w:sz w:val="20"/>
                <w:szCs w:val="20"/>
              </w:rPr>
              <w:t>Institutions responsible for the implementation of measures and activities</w:t>
            </w:r>
          </w:p>
        </w:tc>
        <w:tc>
          <w:tcPr>
            <w:tcW w:w="5669" w:type="dxa"/>
          </w:tcPr>
          <w:p w14:paraId="6F95FF81" w14:textId="77777777" w:rsidR="0094644B" w:rsidRPr="00FA3F57" w:rsidRDefault="0094644B" w:rsidP="00FB5086">
            <w:pPr>
              <w:rPr>
                <w:sz w:val="20"/>
                <w:szCs w:val="20"/>
              </w:rPr>
            </w:pPr>
            <w:r w:rsidRPr="00FA3F57">
              <w:rPr>
                <w:sz w:val="20"/>
                <w:szCs w:val="20"/>
              </w:rPr>
              <w:t>ČIBUK 2 WIND ENERGY DOO BEOGRAD-VRAČAR</w:t>
            </w:r>
          </w:p>
        </w:tc>
      </w:tr>
      <w:tr w:rsidR="0094644B" w:rsidRPr="00F07779" w14:paraId="30EB2C25" w14:textId="77777777" w:rsidTr="00FB5086">
        <w:tc>
          <w:tcPr>
            <w:tcW w:w="2973" w:type="dxa"/>
          </w:tcPr>
          <w:p w14:paraId="5C4F431D" w14:textId="77777777" w:rsidR="0094644B" w:rsidRPr="00FA3F57" w:rsidRDefault="0094644B" w:rsidP="00FB5086">
            <w:pPr>
              <w:rPr>
                <w:sz w:val="20"/>
                <w:szCs w:val="20"/>
              </w:rPr>
            </w:pPr>
            <w:r w:rsidRPr="00FA3F57">
              <w:rPr>
                <w:sz w:val="20"/>
                <w:szCs w:val="20"/>
              </w:rPr>
              <w:t>Institutions responsible for monitoring implementation and reporting on the realization</w:t>
            </w:r>
          </w:p>
        </w:tc>
        <w:tc>
          <w:tcPr>
            <w:tcW w:w="5669" w:type="dxa"/>
          </w:tcPr>
          <w:p w14:paraId="67CE8E3E" w14:textId="77777777" w:rsidR="0094644B" w:rsidRPr="00FA3F57" w:rsidRDefault="0094644B" w:rsidP="00FB5086">
            <w:pPr>
              <w:rPr>
                <w:sz w:val="20"/>
                <w:szCs w:val="20"/>
              </w:rPr>
            </w:pPr>
            <w:r w:rsidRPr="00FA3F57">
              <w:rPr>
                <w:sz w:val="20"/>
                <w:szCs w:val="20"/>
              </w:rPr>
              <w:t>ČIBUK 2 WIND ENERGY DOO BEOGRAD-VRAČAR</w:t>
            </w:r>
          </w:p>
          <w:p w14:paraId="7A33D123" w14:textId="77777777" w:rsidR="0094644B" w:rsidRPr="00FA3F57" w:rsidRDefault="0094644B" w:rsidP="00FB5086">
            <w:pPr>
              <w:rPr>
                <w:sz w:val="20"/>
                <w:szCs w:val="20"/>
              </w:rPr>
            </w:pPr>
            <w:r w:rsidRPr="00FA3F57">
              <w:rPr>
                <w:sz w:val="20"/>
                <w:szCs w:val="20"/>
              </w:rPr>
              <w:t>Ministry of Mining and Energy</w:t>
            </w:r>
          </w:p>
        </w:tc>
      </w:tr>
      <w:tr w:rsidR="0094644B" w:rsidRPr="00F07779" w14:paraId="22377395" w14:textId="77777777" w:rsidTr="00FB5086">
        <w:tc>
          <w:tcPr>
            <w:tcW w:w="2973" w:type="dxa"/>
          </w:tcPr>
          <w:p w14:paraId="490947CE" w14:textId="77777777" w:rsidR="0094644B" w:rsidRPr="00FA3F57" w:rsidRDefault="0094644B" w:rsidP="00FB5086">
            <w:pPr>
              <w:rPr>
                <w:sz w:val="20"/>
                <w:szCs w:val="20"/>
              </w:rPr>
            </w:pPr>
            <w:r w:rsidRPr="00FA3F57">
              <w:rPr>
                <w:sz w:val="20"/>
                <w:szCs w:val="20"/>
              </w:rPr>
              <w:t>Year of project funding start</w:t>
            </w:r>
          </w:p>
        </w:tc>
        <w:tc>
          <w:tcPr>
            <w:tcW w:w="5669" w:type="dxa"/>
          </w:tcPr>
          <w:p w14:paraId="041484CE" w14:textId="77777777" w:rsidR="0094644B" w:rsidRPr="00FA3F57" w:rsidRDefault="0094644B" w:rsidP="00FB5086">
            <w:pPr>
              <w:rPr>
                <w:sz w:val="20"/>
                <w:szCs w:val="20"/>
              </w:rPr>
            </w:pPr>
            <w:r w:rsidRPr="00FA3F57">
              <w:rPr>
                <w:sz w:val="20"/>
                <w:szCs w:val="20"/>
              </w:rPr>
              <w:t>n/a</w:t>
            </w:r>
          </w:p>
        </w:tc>
      </w:tr>
      <w:tr w:rsidR="0094644B" w:rsidRPr="00F07779" w14:paraId="1D9B0879" w14:textId="77777777" w:rsidTr="00FB5086">
        <w:tc>
          <w:tcPr>
            <w:tcW w:w="2973" w:type="dxa"/>
          </w:tcPr>
          <w:p w14:paraId="4459DD11" w14:textId="77777777" w:rsidR="0094644B" w:rsidRPr="00FA3F57" w:rsidRDefault="0094644B" w:rsidP="00FB5086">
            <w:pPr>
              <w:rPr>
                <w:sz w:val="20"/>
                <w:szCs w:val="20"/>
              </w:rPr>
            </w:pPr>
            <w:r w:rsidRPr="00FA3F57">
              <w:rPr>
                <w:sz w:val="20"/>
                <w:szCs w:val="20"/>
              </w:rPr>
              <w:t>Year of completion of project funding</w:t>
            </w:r>
          </w:p>
        </w:tc>
        <w:tc>
          <w:tcPr>
            <w:tcW w:w="5669" w:type="dxa"/>
          </w:tcPr>
          <w:p w14:paraId="4682A905" w14:textId="77777777" w:rsidR="0094644B" w:rsidRPr="00FA3F57" w:rsidRDefault="0094644B" w:rsidP="00FB5086">
            <w:pPr>
              <w:rPr>
                <w:sz w:val="20"/>
                <w:szCs w:val="20"/>
              </w:rPr>
            </w:pPr>
            <w:r w:rsidRPr="00FA3F57">
              <w:rPr>
                <w:sz w:val="20"/>
                <w:szCs w:val="20"/>
              </w:rPr>
              <w:t>2026.</w:t>
            </w:r>
          </w:p>
        </w:tc>
      </w:tr>
      <w:tr w:rsidR="0094644B" w:rsidRPr="00F07779" w14:paraId="75AC7F71" w14:textId="77777777" w:rsidTr="00FB5086">
        <w:tc>
          <w:tcPr>
            <w:tcW w:w="2973" w:type="dxa"/>
          </w:tcPr>
          <w:p w14:paraId="5FA0D3C3" w14:textId="77777777" w:rsidR="0094644B" w:rsidRPr="00FA3F57" w:rsidRDefault="0094644B" w:rsidP="00FB5086">
            <w:pPr>
              <w:rPr>
                <w:sz w:val="20"/>
                <w:szCs w:val="20"/>
              </w:rPr>
            </w:pPr>
            <w:r w:rsidRPr="00FA3F57">
              <w:rPr>
                <w:sz w:val="20"/>
                <w:szCs w:val="20"/>
              </w:rPr>
              <w:t>Total project value</w:t>
            </w:r>
            <w:r w:rsidRPr="00FA3F57">
              <w:rPr>
                <w:sz w:val="20"/>
                <w:szCs w:val="20"/>
              </w:rPr>
              <w:br/>
              <w:t>(in thousands of RSD)</w:t>
            </w:r>
          </w:p>
        </w:tc>
        <w:tc>
          <w:tcPr>
            <w:tcW w:w="5669" w:type="dxa"/>
          </w:tcPr>
          <w:p w14:paraId="37E8B675" w14:textId="77777777" w:rsidR="0094644B" w:rsidRPr="00FA3F57" w:rsidRDefault="0094644B" w:rsidP="00FB5086">
            <w:pPr>
              <w:rPr>
                <w:sz w:val="20"/>
                <w:szCs w:val="20"/>
              </w:rPr>
            </w:pPr>
            <w:r w:rsidRPr="00FA3F57">
              <w:rPr>
                <w:sz w:val="20"/>
                <w:szCs w:val="20"/>
              </w:rPr>
              <w:t>23,343,303 (199.09 million EUR)</w:t>
            </w:r>
          </w:p>
        </w:tc>
      </w:tr>
      <w:tr w:rsidR="0094644B" w:rsidRPr="00F07779" w14:paraId="27CA7AB4" w14:textId="77777777" w:rsidTr="00FB5086">
        <w:tc>
          <w:tcPr>
            <w:tcW w:w="2973" w:type="dxa"/>
          </w:tcPr>
          <w:p w14:paraId="75A20331" w14:textId="77777777" w:rsidR="0094644B" w:rsidRPr="00FA3F57" w:rsidRDefault="0094644B" w:rsidP="00FB5086">
            <w:pPr>
              <w:rPr>
                <w:sz w:val="20"/>
                <w:szCs w:val="20"/>
              </w:rPr>
            </w:pPr>
            <w:r w:rsidRPr="00FA3F57">
              <w:rPr>
                <w:sz w:val="20"/>
                <w:szCs w:val="20"/>
              </w:rPr>
              <w:t>Planned investments for 2026.</w:t>
            </w:r>
            <w:r w:rsidRPr="00FA3F57">
              <w:rPr>
                <w:sz w:val="20"/>
                <w:szCs w:val="20"/>
              </w:rPr>
              <w:br/>
              <w:t>(in thousands of RSD)</w:t>
            </w:r>
          </w:p>
        </w:tc>
        <w:tc>
          <w:tcPr>
            <w:tcW w:w="5669" w:type="dxa"/>
          </w:tcPr>
          <w:p w14:paraId="6361536D" w14:textId="77777777" w:rsidR="0094644B" w:rsidRPr="00FA3F57" w:rsidRDefault="0094644B" w:rsidP="00FB5086">
            <w:pPr>
              <w:rPr>
                <w:sz w:val="20"/>
                <w:szCs w:val="20"/>
              </w:rPr>
            </w:pPr>
            <w:r w:rsidRPr="00FA3F57">
              <w:rPr>
                <w:sz w:val="20"/>
                <w:szCs w:val="20"/>
              </w:rPr>
              <w:t>23,343,303</w:t>
            </w:r>
          </w:p>
        </w:tc>
      </w:tr>
      <w:tr w:rsidR="0094644B" w:rsidRPr="00F07779" w14:paraId="6B400DED" w14:textId="77777777" w:rsidTr="00FB5086">
        <w:tc>
          <w:tcPr>
            <w:tcW w:w="2973" w:type="dxa"/>
          </w:tcPr>
          <w:p w14:paraId="1DD219C5" w14:textId="77777777" w:rsidR="0094644B" w:rsidRPr="00FA3F57" w:rsidRDefault="0094644B" w:rsidP="00FB5086">
            <w:pPr>
              <w:rPr>
                <w:sz w:val="20"/>
                <w:szCs w:val="20"/>
              </w:rPr>
            </w:pPr>
            <w:r w:rsidRPr="00FA3F57">
              <w:rPr>
                <w:sz w:val="20"/>
                <w:szCs w:val="20"/>
              </w:rPr>
              <w:t>Planned investments for 2027.</w:t>
            </w:r>
            <w:r w:rsidRPr="00FA3F57">
              <w:rPr>
                <w:sz w:val="20"/>
                <w:szCs w:val="20"/>
              </w:rPr>
              <w:br/>
              <w:t>(in thousands of RSD)</w:t>
            </w:r>
          </w:p>
        </w:tc>
        <w:tc>
          <w:tcPr>
            <w:tcW w:w="5669" w:type="dxa"/>
          </w:tcPr>
          <w:p w14:paraId="20334DE5" w14:textId="77777777" w:rsidR="0094644B" w:rsidRPr="00FA3F57" w:rsidRDefault="0094644B" w:rsidP="00FB5086">
            <w:pPr>
              <w:rPr>
                <w:sz w:val="20"/>
                <w:szCs w:val="20"/>
              </w:rPr>
            </w:pPr>
            <w:r w:rsidRPr="00FA3F57">
              <w:rPr>
                <w:sz w:val="20"/>
                <w:szCs w:val="20"/>
              </w:rPr>
              <w:t>0</w:t>
            </w:r>
          </w:p>
        </w:tc>
      </w:tr>
      <w:tr w:rsidR="0094644B" w:rsidRPr="00F07779" w14:paraId="503EA3CF" w14:textId="77777777" w:rsidTr="00FB5086">
        <w:tc>
          <w:tcPr>
            <w:tcW w:w="2973" w:type="dxa"/>
          </w:tcPr>
          <w:p w14:paraId="13631EBB" w14:textId="77777777" w:rsidR="0094644B" w:rsidRPr="00FA3F57" w:rsidRDefault="0094644B" w:rsidP="00FB5086">
            <w:pPr>
              <w:rPr>
                <w:sz w:val="20"/>
                <w:szCs w:val="20"/>
              </w:rPr>
            </w:pPr>
            <w:r w:rsidRPr="00FA3F57">
              <w:rPr>
                <w:sz w:val="20"/>
                <w:szCs w:val="20"/>
              </w:rPr>
              <w:t>Planned investments for 2028.</w:t>
            </w:r>
            <w:r w:rsidRPr="00FA3F57">
              <w:rPr>
                <w:sz w:val="20"/>
                <w:szCs w:val="20"/>
              </w:rPr>
              <w:br/>
              <w:t>(in thousands of RSD)</w:t>
            </w:r>
          </w:p>
        </w:tc>
        <w:tc>
          <w:tcPr>
            <w:tcW w:w="5669" w:type="dxa"/>
          </w:tcPr>
          <w:p w14:paraId="5C9EB97C" w14:textId="77777777" w:rsidR="0094644B" w:rsidRPr="00FA3F57" w:rsidRDefault="0094644B" w:rsidP="00FB5086">
            <w:pPr>
              <w:rPr>
                <w:sz w:val="20"/>
                <w:szCs w:val="20"/>
              </w:rPr>
            </w:pPr>
            <w:r w:rsidRPr="00FA3F57">
              <w:rPr>
                <w:sz w:val="20"/>
                <w:szCs w:val="20"/>
              </w:rPr>
              <w:t>0</w:t>
            </w:r>
          </w:p>
        </w:tc>
      </w:tr>
      <w:tr w:rsidR="0094644B" w:rsidRPr="00F07779" w14:paraId="0C3C76D6" w14:textId="77777777" w:rsidTr="00FB5086">
        <w:tc>
          <w:tcPr>
            <w:tcW w:w="2973" w:type="dxa"/>
          </w:tcPr>
          <w:p w14:paraId="0E1F2D45" w14:textId="77777777" w:rsidR="0094644B" w:rsidRPr="00FA3F57" w:rsidRDefault="0094644B" w:rsidP="00FB5086">
            <w:pPr>
              <w:rPr>
                <w:sz w:val="20"/>
                <w:szCs w:val="20"/>
              </w:rPr>
            </w:pPr>
            <w:r w:rsidRPr="00FA3F57">
              <w:rPr>
                <w:sz w:val="20"/>
                <w:szCs w:val="20"/>
              </w:rPr>
              <w:t>Impact on EE, climate, and environmental protection</w:t>
            </w:r>
          </w:p>
        </w:tc>
        <w:tc>
          <w:tcPr>
            <w:tcW w:w="5669" w:type="dxa"/>
          </w:tcPr>
          <w:p w14:paraId="5D186736" w14:textId="77777777" w:rsidR="0094644B" w:rsidRPr="00FA3F57" w:rsidRDefault="0094644B" w:rsidP="00FB5086">
            <w:pPr>
              <w:rPr>
                <w:sz w:val="20"/>
                <w:szCs w:val="20"/>
              </w:rPr>
            </w:pPr>
            <w:r w:rsidRPr="00FA3F57">
              <w:rPr>
                <w:sz w:val="20"/>
                <w:szCs w:val="20"/>
              </w:rPr>
              <w:t>n/a</w:t>
            </w:r>
          </w:p>
        </w:tc>
      </w:tr>
    </w:tbl>
    <w:p w14:paraId="06A798A8" w14:textId="77777777" w:rsidR="0094644B" w:rsidRPr="00FA3F57" w:rsidRDefault="0094644B" w:rsidP="0094644B"/>
    <w:tbl>
      <w:tblPr>
        <w:tblStyle w:val="TableGrid"/>
        <w:tblW w:w="0" w:type="auto"/>
        <w:tblLook w:val="04A0" w:firstRow="1" w:lastRow="0" w:firstColumn="1" w:lastColumn="0" w:noHBand="0" w:noVBand="1"/>
      </w:tblPr>
      <w:tblGrid>
        <w:gridCol w:w="2973"/>
        <w:gridCol w:w="5669"/>
      </w:tblGrid>
      <w:tr w:rsidR="0094644B" w:rsidRPr="00F07779" w14:paraId="4516FF1B" w14:textId="77777777" w:rsidTr="00FB5086">
        <w:tc>
          <w:tcPr>
            <w:tcW w:w="2973" w:type="dxa"/>
            <w:shd w:val="clear" w:color="auto" w:fill="D9D9D9" w:themeFill="background1" w:themeFillShade="D9"/>
          </w:tcPr>
          <w:p w14:paraId="66981F40" w14:textId="77777777" w:rsidR="0094644B" w:rsidRPr="00F07779" w:rsidRDefault="0094644B" w:rsidP="00FB5086">
            <w:pPr>
              <w:keepNext/>
              <w:rPr>
                <w:sz w:val="20"/>
                <w:szCs w:val="20"/>
              </w:rPr>
            </w:pPr>
            <w:r w:rsidRPr="00FA3F57">
              <w:rPr>
                <w:sz w:val="20"/>
                <w:szCs w:val="20"/>
              </w:rPr>
              <w:t>Activity EL4.</w:t>
            </w:r>
            <w:r w:rsidRPr="00F07779">
              <w:rPr>
                <w:sz w:val="20"/>
                <w:szCs w:val="20"/>
              </w:rPr>
              <w:t>2</w:t>
            </w:r>
          </w:p>
        </w:tc>
        <w:tc>
          <w:tcPr>
            <w:tcW w:w="5669" w:type="dxa"/>
            <w:shd w:val="clear" w:color="auto" w:fill="D9D9D9" w:themeFill="background1" w:themeFillShade="D9"/>
          </w:tcPr>
          <w:p w14:paraId="74F3B942" w14:textId="77777777" w:rsidR="0094644B" w:rsidRPr="00FA3F57" w:rsidRDefault="0094644B" w:rsidP="00FB5086">
            <w:pPr>
              <w:keepNext/>
              <w:rPr>
                <w:sz w:val="20"/>
                <w:szCs w:val="20"/>
              </w:rPr>
            </w:pPr>
            <w:r w:rsidRPr="00FA3F57">
              <w:rPr>
                <w:sz w:val="20"/>
                <w:szCs w:val="20"/>
              </w:rPr>
              <w:t>Construction of RES owned by private investors</w:t>
            </w:r>
          </w:p>
        </w:tc>
      </w:tr>
      <w:tr w:rsidR="0094644B" w:rsidRPr="00F07779" w14:paraId="16C00CD4" w14:textId="77777777" w:rsidTr="00FB5086">
        <w:tc>
          <w:tcPr>
            <w:tcW w:w="2973" w:type="dxa"/>
            <w:shd w:val="clear" w:color="auto" w:fill="D9E2F3" w:themeFill="accent1" w:themeFillTint="33"/>
          </w:tcPr>
          <w:p w14:paraId="1E457877" w14:textId="77777777" w:rsidR="0094644B" w:rsidRPr="00FA3F57" w:rsidRDefault="0094644B" w:rsidP="00FB5086">
            <w:pPr>
              <w:keepNext/>
              <w:rPr>
                <w:sz w:val="20"/>
                <w:szCs w:val="20"/>
              </w:rPr>
            </w:pPr>
            <w:r w:rsidRPr="00FA3F57">
              <w:rPr>
                <w:sz w:val="20"/>
                <w:szCs w:val="20"/>
              </w:rPr>
              <w:t>Name of the project</w:t>
            </w:r>
          </w:p>
        </w:tc>
        <w:tc>
          <w:tcPr>
            <w:tcW w:w="5669" w:type="dxa"/>
            <w:shd w:val="clear" w:color="auto" w:fill="D9E2F3" w:themeFill="accent1" w:themeFillTint="33"/>
          </w:tcPr>
          <w:p w14:paraId="6A2B35E9" w14:textId="77777777" w:rsidR="0094644B" w:rsidRPr="00FA3F57" w:rsidRDefault="0094644B" w:rsidP="00FB5086">
            <w:pPr>
              <w:keepNext/>
              <w:rPr>
                <w:sz w:val="20"/>
                <w:szCs w:val="20"/>
              </w:rPr>
            </w:pPr>
            <w:r w:rsidRPr="00FA3F57">
              <w:rPr>
                <w:sz w:val="20"/>
                <w:szCs w:val="20"/>
              </w:rPr>
              <w:t xml:space="preserve">WPP </w:t>
            </w:r>
            <w:proofErr w:type="spellStart"/>
            <w:r w:rsidRPr="00FA3F57">
              <w:rPr>
                <w:sz w:val="20"/>
                <w:szCs w:val="20"/>
              </w:rPr>
              <w:t>Jasikovo</w:t>
            </w:r>
            <w:proofErr w:type="spellEnd"/>
          </w:p>
        </w:tc>
      </w:tr>
      <w:tr w:rsidR="0094644B" w:rsidRPr="00F07779" w14:paraId="3065E07E" w14:textId="77777777" w:rsidTr="00FB5086">
        <w:tc>
          <w:tcPr>
            <w:tcW w:w="2973" w:type="dxa"/>
          </w:tcPr>
          <w:p w14:paraId="60B8EB0B" w14:textId="77777777" w:rsidR="0094644B" w:rsidRPr="00FA3F57" w:rsidRDefault="0094644B" w:rsidP="00FB5086">
            <w:pPr>
              <w:rPr>
                <w:sz w:val="20"/>
                <w:szCs w:val="20"/>
              </w:rPr>
            </w:pPr>
            <w:r w:rsidRPr="00FA3F57">
              <w:rPr>
                <w:sz w:val="20"/>
                <w:szCs w:val="20"/>
              </w:rPr>
              <w:t>Short description of the investment</w:t>
            </w:r>
          </w:p>
        </w:tc>
        <w:tc>
          <w:tcPr>
            <w:tcW w:w="5669" w:type="dxa"/>
          </w:tcPr>
          <w:p w14:paraId="311DF085" w14:textId="77777777" w:rsidR="0094644B" w:rsidRPr="00F07779" w:rsidRDefault="0094644B" w:rsidP="00FB5086">
            <w:pPr>
              <w:rPr>
                <w:sz w:val="20"/>
                <w:szCs w:val="20"/>
              </w:rPr>
            </w:pPr>
            <w:r w:rsidRPr="00FA3F57">
              <w:rPr>
                <w:sz w:val="20"/>
                <w:szCs w:val="20"/>
              </w:rPr>
              <w:t xml:space="preserve">Construction of the </w:t>
            </w:r>
            <w:proofErr w:type="spellStart"/>
            <w:r w:rsidRPr="00FA3F57">
              <w:rPr>
                <w:sz w:val="20"/>
                <w:szCs w:val="20"/>
              </w:rPr>
              <w:t>Jasikovo</w:t>
            </w:r>
            <w:proofErr w:type="spellEnd"/>
            <w:r w:rsidRPr="00FA3F57">
              <w:rPr>
                <w:sz w:val="20"/>
                <w:szCs w:val="20"/>
              </w:rPr>
              <w:t xml:space="preserve"> wind farm, with an installed capacity of 70 MW.</w:t>
            </w:r>
          </w:p>
          <w:p w14:paraId="64A0EAE4" w14:textId="77777777" w:rsidR="0094644B" w:rsidRPr="00FA3F57" w:rsidRDefault="0094644B" w:rsidP="00FB5086">
            <w:pPr>
              <w:rPr>
                <w:sz w:val="20"/>
                <w:szCs w:val="20"/>
              </w:rPr>
            </w:pPr>
            <w:r w:rsidRPr="00FA3F57">
              <w:rPr>
                <w:sz w:val="20"/>
                <w:szCs w:val="20"/>
              </w:rPr>
              <w:t>Expected dynamics of project implementation:</w:t>
            </w:r>
          </w:p>
          <w:p w14:paraId="0C601F19" w14:textId="77777777" w:rsidR="0094644B" w:rsidRPr="00FA3F57" w:rsidRDefault="0094644B" w:rsidP="00FB5086">
            <w:pPr>
              <w:rPr>
                <w:sz w:val="20"/>
                <w:szCs w:val="20"/>
              </w:rPr>
            </w:pPr>
            <w:r w:rsidRPr="00FA3F57">
              <w:rPr>
                <w:sz w:val="20"/>
                <w:szCs w:val="20"/>
              </w:rPr>
              <w:t>2026. Construction</w:t>
            </w:r>
          </w:p>
          <w:p w14:paraId="5E95B5A2" w14:textId="77777777" w:rsidR="0094644B" w:rsidRPr="00FA3F57" w:rsidRDefault="0094644B" w:rsidP="00FB5086">
            <w:pPr>
              <w:rPr>
                <w:sz w:val="20"/>
                <w:szCs w:val="20"/>
              </w:rPr>
            </w:pPr>
            <w:r w:rsidRPr="00FA3F57">
              <w:rPr>
                <w:sz w:val="20"/>
                <w:szCs w:val="20"/>
              </w:rPr>
              <w:t>2027. Use permit; end of project</w:t>
            </w:r>
          </w:p>
        </w:tc>
      </w:tr>
      <w:tr w:rsidR="0094644B" w:rsidRPr="00F07779" w14:paraId="7C9AE8CF" w14:textId="77777777" w:rsidTr="00FB5086">
        <w:tc>
          <w:tcPr>
            <w:tcW w:w="2973" w:type="dxa"/>
          </w:tcPr>
          <w:p w14:paraId="4F62170B" w14:textId="77777777" w:rsidR="0094644B" w:rsidRPr="00FA3F57" w:rsidRDefault="0094644B" w:rsidP="00FB5086">
            <w:pPr>
              <w:rPr>
                <w:sz w:val="20"/>
                <w:szCs w:val="20"/>
              </w:rPr>
            </w:pPr>
            <w:r w:rsidRPr="00FA3F57">
              <w:rPr>
                <w:sz w:val="20"/>
                <w:szCs w:val="20"/>
              </w:rPr>
              <w:t>Institutions responsible for the implementation of measures and activities</w:t>
            </w:r>
          </w:p>
        </w:tc>
        <w:tc>
          <w:tcPr>
            <w:tcW w:w="5669" w:type="dxa"/>
          </w:tcPr>
          <w:p w14:paraId="011ACF9A" w14:textId="5F469BBC" w:rsidR="0094644B" w:rsidRPr="00FA3F57" w:rsidRDefault="0094644B" w:rsidP="00FB5086">
            <w:pPr>
              <w:rPr>
                <w:sz w:val="20"/>
                <w:szCs w:val="20"/>
              </w:rPr>
            </w:pPr>
            <w:r w:rsidRPr="00FA3F57">
              <w:rPr>
                <w:sz w:val="20"/>
                <w:szCs w:val="20"/>
              </w:rPr>
              <w:t xml:space="preserve">JASIKOVO </w:t>
            </w:r>
            <w:r w:rsidR="00D11B4C" w:rsidRPr="00FA3F57">
              <w:rPr>
                <w:sz w:val="20"/>
                <w:szCs w:val="20"/>
              </w:rPr>
              <w:t>LLC</w:t>
            </w:r>
            <w:r w:rsidRPr="00FA3F57">
              <w:rPr>
                <w:sz w:val="20"/>
                <w:szCs w:val="20"/>
              </w:rPr>
              <w:t xml:space="preserve"> Belgrade-</w:t>
            </w:r>
            <w:proofErr w:type="spellStart"/>
            <w:r w:rsidRPr="00FA3F57">
              <w:rPr>
                <w:sz w:val="20"/>
                <w:szCs w:val="20"/>
              </w:rPr>
              <w:t>Zemun</w:t>
            </w:r>
            <w:proofErr w:type="spellEnd"/>
          </w:p>
        </w:tc>
      </w:tr>
      <w:tr w:rsidR="0094644B" w:rsidRPr="00F07779" w14:paraId="08189E36" w14:textId="77777777" w:rsidTr="00FB5086">
        <w:tc>
          <w:tcPr>
            <w:tcW w:w="2973" w:type="dxa"/>
          </w:tcPr>
          <w:p w14:paraId="5DE2514C" w14:textId="77777777" w:rsidR="0094644B" w:rsidRPr="00FA3F57" w:rsidRDefault="0094644B" w:rsidP="00FB5086">
            <w:pPr>
              <w:rPr>
                <w:sz w:val="20"/>
                <w:szCs w:val="20"/>
              </w:rPr>
            </w:pPr>
            <w:r w:rsidRPr="00FA3F57">
              <w:rPr>
                <w:sz w:val="20"/>
                <w:szCs w:val="20"/>
              </w:rPr>
              <w:lastRenderedPageBreak/>
              <w:t>Institutions responsible for monitoring implementation and reporting on the realization</w:t>
            </w:r>
          </w:p>
        </w:tc>
        <w:tc>
          <w:tcPr>
            <w:tcW w:w="5669" w:type="dxa"/>
          </w:tcPr>
          <w:p w14:paraId="4E55BEFA" w14:textId="32D16A31" w:rsidR="0094644B" w:rsidRPr="00FA3F57" w:rsidRDefault="0094644B" w:rsidP="00FB5086">
            <w:pPr>
              <w:rPr>
                <w:sz w:val="20"/>
                <w:szCs w:val="20"/>
              </w:rPr>
            </w:pPr>
            <w:r w:rsidRPr="00FA3F57">
              <w:rPr>
                <w:sz w:val="20"/>
                <w:szCs w:val="20"/>
              </w:rPr>
              <w:t xml:space="preserve">JASIKOVO </w:t>
            </w:r>
            <w:r w:rsidR="00D11B4C" w:rsidRPr="00FA3F57">
              <w:rPr>
                <w:sz w:val="20"/>
                <w:szCs w:val="20"/>
              </w:rPr>
              <w:t>LLC</w:t>
            </w:r>
            <w:r w:rsidRPr="00FA3F57">
              <w:rPr>
                <w:sz w:val="20"/>
                <w:szCs w:val="20"/>
              </w:rPr>
              <w:t xml:space="preserve"> Belgrade-</w:t>
            </w:r>
            <w:proofErr w:type="spellStart"/>
            <w:r w:rsidRPr="00FA3F57">
              <w:rPr>
                <w:sz w:val="20"/>
                <w:szCs w:val="20"/>
              </w:rPr>
              <w:t>Zemun</w:t>
            </w:r>
            <w:proofErr w:type="spellEnd"/>
            <w:r w:rsidRPr="00FA3F57">
              <w:rPr>
                <w:sz w:val="20"/>
                <w:szCs w:val="20"/>
              </w:rPr>
              <w:t xml:space="preserve"> </w:t>
            </w:r>
          </w:p>
          <w:p w14:paraId="4A8C6C03" w14:textId="77777777" w:rsidR="0094644B" w:rsidRPr="00FA3F57" w:rsidRDefault="0094644B" w:rsidP="00FB5086">
            <w:pPr>
              <w:rPr>
                <w:sz w:val="20"/>
                <w:szCs w:val="20"/>
              </w:rPr>
            </w:pPr>
            <w:r w:rsidRPr="00FA3F57">
              <w:rPr>
                <w:sz w:val="20"/>
                <w:szCs w:val="20"/>
              </w:rPr>
              <w:t>Ministry of Mining and Energy</w:t>
            </w:r>
          </w:p>
        </w:tc>
      </w:tr>
      <w:tr w:rsidR="0094644B" w:rsidRPr="00F07779" w14:paraId="5674D1D5" w14:textId="77777777" w:rsidTr="00FB5086">
        <w:tc>
          <w:tcPr>
            <w:tcW w:w="2973" w:type="dxa"/>
          </w:tcPr>
          <w:p w14:paraId="337A3F68" w14:textId="77777777" w:rsidR="0094644B" w:rsidRPr="00FA3F57" w:rsidRDefault="0094644B" w:rsidP="00FB5086">
            <w:pPr>
              <w:rPr>
                <w:sz w:val="20"/>
                <w:szCs w:val="20"/>
              </w:rPr>
            </w:pPr>
            <w:r w:rsidRPr="00FA3F57">
              <w:rPr>
                <w:sz w:val="20"/>
                <w:szCs w:val="20"/>
              </w:rPr>
              <w:t>Year of project funding start</w:t>
            </w:r>
          </w:p>
        </w:tc>
        <w:tc>
          <w:tcPr>
            <w:tcW w:w="5669" w:type="dxa"/>
          </w:tcPr>
          <w:p w14:paraId="73DF3EB0" w14:textId="77777777" w:rsidR="0094644B" w:rsidRPr="00FA3F57" w:rsidRDefault="0094644B" w:rsidP="00FB5086">
            <w:pPr>
              <w:rPr>
                <w:sz w:val="20"/>
                <w:szCs w:val="20"/>
              </w:rPr>
            </w:pPr>
            <w:r w:rsidRPr="00FA3F57">
              <w:rPr>
                <w:sz w:val="20"/>
                <w:szCs w:val="20"/>
              </w:rPr>
              <w:t>n/a</w:t>
            </w:r>
          </w:p>
        </w:tc>
      </w:tr>
      <w:tr w:rsidR="0094644B" w:rsidRPr="00F07779" w14:paraId="3C24F35B" w14:textId="77777777" w:rsidTr="00FB5086">
        <w:tc>
          <w:tcPr>
            <w:tcW w:w="2973" w:type="dxa"/>
          </w:tcPr>
          <w:p w14:paraId="5AA2C7CC" w14:textId="77777777" w:rsidR="0094644B" w:rsidRPr="00FA3F57" w:rsidRDefault="0094644B" w:rsidP="00FB5086">
            <w:pPr>
              <w:rPr>
                <w:sz w:val="20"/>
                <w:szCs w:val="20"/>
              </w:rPr>
            </w:pPr>
            <w:r w:rsidRPr="00FA3F57">
              <w:rPr>
                <w:sz w:val="20"/>
                <w:szCs w:val="20"/>
              </w:rPr>
              <w:t>Year of completion of project funding</w:t>
            </w:r>
          </w:p>
        </w:tc>
        <w:tc>
          <w:tcPr>
            <w:tcW w:w="5669" w:type="dxa"/>
          </w:tcPr>
          <w:p w14:paraId="31D7BAC5" w14:textId="77777777" w:rsidR="0094644B" w:rsidRPr="00FA3F57" w:rsidRDefault="0094644B" w:rsidP="00FB5086">
            <w:pPr>
              <w:rPr>
                <w:sz w:val="20"/>
                <w:szCs w:val="20"/>
              </w:rPr>
            </w:pPr>
            <w:r w:rsidRPr="00FA3F57">
              <w:rPr>
                <w:sz w:val="20"/>
                <w:szCs w:val="20"/>
              </w:rPr>
              <w:t>2026.</w:t>
            </w:r>
          </w:p>
        </w:tc>
      </w:tr>
      <w:tr w:rsidR="0094644B" w:rsidRPr="00F07779" w14:paraId="0DF757FB" w14:textId="77777777" w:rsidTr="00FB5086">
        <w:tc>
          <w:tcPr>
            <w:tcW w:w="2973" w:type="dxa"/>
          </w:tcPr>
          <w:p w14:paraId="7098B117" w14:textId="77777777" w:rsidR="0094644B" w:rsidRPr="00FA3F57" w:rsidRDefault="0094644B" w:rsidP="00FB5086">
            <w:pPr>
              <w:rPr>
                <w:sz w:val="20"/>
                <w:szCs w:val="20"/>
              </w:rPr>
            </w:pPr>
            <w:r w:rsidRPr="00FA3F57">
              <w:rPr>
                <w:sz w:val="20"/>
                <w:szCs w:val="20"/>
              </w:rPr>
              <w:t>Total project value</w:t>
            </w:r>
            <w:r w:rsidRPr="00FA3F57">
              <w:rPr>
                <w:sz w:val="20"/>
                <w:szCs w:val="20"/>
              </w:rPr>
              <w:br/>
              <w:t>(in thousands of RSD)</w:t>
            </w:r>
          </w:p>
        </w:tc>
        <w:tc>
          <w:tcPr>
            <w:tcW w:w="5669" w:type="dxa"/>
          </w:tcPr>
          <w:p w14:paraId="2CCEA0B0" w14:textId="77777777" w:rsidR="0094644B" w:rsidRPr="00FA3F57" w:rsidRDefault="0094644B" w:rsidP="00FB5086">
            <w:pPr>
              <w:rPr>
                <w:sz w:val="20"/>
                <w:szCs w:val="20"/>
              </w:rPr>
            </w:pPr>
            <w:r w:rsidRPr="00FA3F57">
              <w:rPr>
                <w:sz w:val="20"/>
                <w:szCs w:val="20"/>
              </w:rPr>
              <w:t>10,787,000 (92 million EUR)</w:t>
            </w:r>
          </w:p>
        </w:tc>
      </w:tr>
      <w:tr w:rsidR="0094644B" w:rsidRPr="00F07779" w14:paraId="5E02EF9E" w14:textId="77777777" w:rsidTr="00FB5086">
        <w:tc>
          <w:tcPr>
            <w:tcW w:w="2973" w:type="dxa"/>
          </w:tcPr>
          <w:p w14:paraId="64F6FC11" w14:textId="77777777" w:rsidR="0094644B" w:rsidRPr="00FA3F57" w:rsidRDefault="0094644B" w:rsidP="00FB5086">
            <w:pPr>
              <w:rPr>
                <w:sz w:val="20"/>
                <w:szCs w:val="20"/>
              </w:rPr>
            </w:pPr>
            <w:r w:rsidRPr="00FA3F57">
              <w:rPr>
                <w:sz w:val="20"/>
                <w:szCs w:val="20"/>
              </w:rPr>
              <w:t>Planned investments for 2026.</w:t>
            </w:r>
            <w:r w:rsidRPr="00FA3F57">
              <w:rPr>
                <w:sz w:val="20"/>
                <w:szCs w:val="20"/>
              </w:rPr>
              <w:br/>
              <w:t>(in thousands of RSD)</w:t>
            </w:r>
          </w:p>
        </w:tc>
        <w:tc>
          <w:tcPr>
            <w:tcW w:w="5669" w:type="dxa"/>
          </w:tcPr>
          <w:p w14:paraId="723107BE" w14:textId="77777777" w:rsidR="0094644B" w:rsidRPr="00FA3F57" w:rsidRDefault="0094644B" w:rsidP="00FB5086">
            <w:pPr>
              <w:rPr>
                <w:sz w:val="20"/>
                <w:szCs w:val="20"/>
              </w:rPr>
            </w:pPr>
            <w:r w:rsidRPr="00FA3F57">
              <w:rPr>
                <w:sz w:val="20"/>
                <w:szCs w:val="20"/>
              </w:rPr>
              <w:t>9,614,500</w:t>
            </w:r>
          </w:p>
        </w:tc>
      </w:tr>
      <w:tr w:rsidR="0094644B" w:rsidRPr="00F07779" w14:paraId="305D78F9" w14:textId="77777777" w:rsidTr="00FB5086">
        <w:tc>
          <w:tcPr>
            <w:tcW w:w="2973" w:type="dxa"/>
          </w:tcPr>
          <w:p w14:paraId="31AF7A4F" w14:textId="77777777" w:rsidR="0094644B" w:rsidRPr="00FA3F57" w:rsidRDefault="0094644B" w:rsidP="00FB5086">
            <w:pPr>
              <w:rPr>
                <w:sz w:val="20"/>
                <w:szCs w:val="20"/>
              </w:rPr>
            </w:pPr>
            <w:r w:rsidRPr="00FA3F57">
              <w:rPr>
                <w:sz w:val="20"/>
                <w:szCs w:val="20"/>
              </w:rPr>
              <w:t>Planned investments for 2027.</w:t>
            </w:r>
            <w:r w:rsidRPr="00FA3F57">
              <w:rPr>
                <w:sz w:val="20"/>
                <w:szCs w:val="20"/>
              </w:rPr>
              <w:br/>
              <w:t>(in thousands of RSD)</w:t>
            </w:r>
          </w:p>
        </w:tc>
        <w:tc>
          <w:tcPr>
            <w:tcW w:w="5669" w:type="dxa"/>
          </w:tcPr>
          <w:p w14:paraId="33F3F07B" w14:textId="77777777" w:rsidR="0094644B" w:rsidRPr="00FA3F57" w:rsidRDefault="0094644B" w:rsidP="00FB5086">
            <w:pPr>
              <w:rPr>
                <w:sz w:val="20"/>
                <w:szCs w:val="20"/>
              </w:rPr>
            </w:pPr>
            <w:r w:rsidRPr="00FA3F57">
              <w:rPr>
                <w:sz w:val="20"/>
                <w:szCs w:val="20"/>
              </w:rPr>
              <w:t>0</w:t>
            </w:r>
          </w:p>
        </w:tc>
      </w:tr>
      <w:tr w:rsidR="0094644B" w:rsidRPr="00F07779" w14:paraId="00652770" w14:textId="77777777" w:rsidTr="00FB5086">
        <w:tc>
          <w:tcPr>
            <w:tcW w:w="2973" w:type="dxa"/>
          </w:tcPr>
          <w:p w14:paraId="0CF6BD94" w14:textId="77777777" w:rsidR="0094644B" w:rsidRPr="00FA3F57" w:rsidRDefault="0094644B" w:rsidP="00FB5086">
            <w:pPr>
              <w:rPr>
                <w:sz w:val="20"/>
                <w:szCs w:val="20"/>
              </w:rPr>
            </w:pPr>
            <w:r w:rsidRPr="00FA3F57">
              <w:rPr>
                <w:sz w:val="20"/>
                <w:szCs w:val="20"/>
              </w:rPr>
              <w:t>Planned investments for 2028.</w:t>
            </w:r>
            <w:r w:rsidRPr="00FA3F57">
              <w:rPr>
                <w:sz w:val="20"/>
                <w:szCs w:val="20"/>
              </w:rPr>
              <w:br/>
              <w:t>(in thousands of RSD)</w:t>
            </w:r>
          </w:p>
        </w:tc>
        <w:tc>
          <w:tcPr>
            <w:tcW w:w="5669" w:type="dxa"/>
          </w:tcPr>
          <w:p w14:paraId="70D3976D" w14:textId="77777777" w:rsidR="0094644B" w:rsidRPr="00FA3F57" w:rsidRDefault="0094644B" w:rsidP="00FB5086">
            <w:pPr>
              <w:rPr>
                <w:sz w:val="20"/>
                <w:szCs w:val="20"/>
              </w:rPr>
            </w:pPr>
            <w:r w:rsidRPr="00FA3F57">
              <w:rPr>
                <w:sz w:val="20"/>
                <w:szCs w:val="20"/>
              </w:rPr>
              <w:t>0</w:t>
            </w:r>
          </w:p>
        </w:tc>
      </w:tr>
      <w:tr w:rsidR="0094644B" w:rsidRPr="00F07779" w14:paraId="7B88106C" w14:textId="77777777" w:rsidTr="00FB5086">
        <w:tc>
          <w:tcPr>
            <w:tcW w:w="2973" w:type="dxa"/>
          </w:tcPr>
          <w:p w14:paraId="43A6AA76" w14:textId="77777777" w:rsidR="0094644B" w:rsidRPr="00FA3F57" w:rsidRDefault="0094644B" w:rsidP="00FB5086">
            <w:pPr>
              <w:rPr>
                <w:sz w:val="20"/>
                <w:szCs w:val="20"/>
              </w:rPr>
            </w:pPr>
            <w:r w:rsidRPr="00FA3F57">
              <w:rPr>
                <w:sz w:val="20"/>
                <w:szCs w:val="20"/>
              </w:rPr>
              <w:t>Impact on EE, climate, and environmental protection</w:t>
            </w:r>
          </w:p>
        </w:tc>
        <w:tc>
          <w:tcPr>
            <w:tcW w:w="5669" w:type="dxa"/>
          </w:tcPr>
          <w:p w14:paraId="6BE6423D" w14:textId="77777777" w:rsidR="0094644B" w:rsidRPr="00FA3F57" w:rsidRDefault="0094644B" w:rsidP="00FB5086">
            <w:pPr>
              <w:rPr>
                <w:sz w:val="20"/>
                <w:szCs w:val="20"/>
              </w:rPr>
            </w:pPr>
            <w:r w:rsidRPr="00FA3F57">
              <w:rPr>
                <w:sz w:val="20"/>
                <w:szCs w:val="20"/>
              </w:rPr>
              <w:t>n/a</w:t>
            </w:r>
          </w:p>
        </w:tc>
      </w:tr>
    </w:tbl>
    <w:p w14:paraId="2DEAFF97" w14:textId="77777777" w:rsidR="0094644B" w:rsidRPr="00FA3F57" w:rsidRDefault="0094644B" w:rsidP="0094644B"/>
    <w:tbl>
      <w:tblPr>
        <w:tblStyle w:val="TableGrid"/>
        <w:tblW w:w="0" w:type="auto"/>
        <w:tblLook w:val="04A0" w:firstRow="1" w:lastRow="0" w:firstColumn="1" w:lastColumn="0" w:noHBand="0" w:noVBand="1"/>
      </w:tblPr>
      <w:tblGrid>
        <w:gridCol w:w="2973"/>
        <w:gridCol w:w="5669"/>
      </w:tblGrid>
      <w:tr w:rsidR="0094644B" w:rsidRPr="00F07779" w14:paraId="1182C316" w14:textId="77777777" w:rsidTr="00FB5086">
        <w:tc>
          <w:tcPr>
            <w:tcW w:w="2973" w:type="dxa"/>
            <w:shd w:val="clear" w:color="auto" w:fill="D9D9D9" w:themeFill="background1" w:themeFillShade="D9"/>
          </w:tcPr>
          <w:p w14:paraId="2B5BFD2D" w14:textId="77777777" w:rsidR="0094644B" w:rsidRPr="00F07779" w:rsidRDefault="0094644B" w:rsidP="00FB5086">
            <w:pPr>
              <w:keepNext/>
              <w:rPr>
                <w:sz w:val="20"/>
                <w:szCs w:val="20"/>
              </w:rPr>
            </w:pPr>
            <w:r w:rsidRPr="00FA3F57">
              <w:rPr>
                <w:sz w:val="20"/>
                <w:szCs w:val="20"/>
              </w:rPr>
              <w:t>Activity EL4.</w:t>
            </w:r>
            <w:r w:rsidRPr="00F07779">
              <w:rPr>
                <w:sz w:val="20"/>
                <w:szCs w:val="20"/>
              </w:rPr>
              <w:t>2</w:t>
            </w:r>
          </w:p>
        </w:tc>
        <w:tc>
          <w:tcPr>
            <w:tcW w:w="5669" w:type="dxa"/>
            <w:shd w:val="clear" w:color="auto" w:fill="D9D9D9" w:themeFill="background1" w:themeFillShade="D9"/>
          </w:tcPr>
          <w:p w14:paraId="030C7F78" w14:textId="77777777" w:rsidR="0094644B" w:rsidRPr="00FA3F57" w:rsidRDefault="0094644B" w:rsidP="00FB5086">
            <w:pPr>
              <w:keepNext/>
              <w:rPr>
                <w:sz w:val="20"/>
                <w:szCs w:val="20"/>
              </w:rPr>
            </w:pPr>
            <w:r w:rsidRPr="00FA3F57">
              <w:rPr>
                <w:sz w:val="20"/>
                <w:szCs w:val="20"/>
              </w:rPr>
              <w:t>Construction of RES owned by private investors</w:t>
            </w:r>
          </w:p>
        </w:tc>
      </w:tr>
      <w:tr w:rsidR="0094644B" w:rsidRPr="00F07779" w14:paraId="4E8335B2" w14:textId="77777777" w:rsidTr="00FB5086">
        <w:tc>
          <w:tcPr>
            <w:tcW w:w="2973" w:type="dxa"/>
            <w:shd w:val="clear" w:color="auto" w:fill="D9E2F3" w:themeFill="accent1" w:themeFillTint="33"/>
          </w:tcPr>
          <w:p w14:paraId="6082E814" w14:textId="77777777" w:rsidR="0094644B" w:rsidRPr="00FA3F57" w:rsidRDefault="0094644B" w:rsidP="00FB5086">
            <w:pPr>
              <w:keepNext/>
              <w:rPr>
                <w:sz w:val="20"/>
                <w:szCs w:val="20"/>
              </w:rPr>
            </w:pPr>
            <w:r w:rsidRPr="00FA3F57">
              <w:rPr>
                <w:sz w:val="20"/>
                <w:szCs w:val="20"/>
              </w:rPr>
              <w:t>Name of the project</w:t>
            </w:r>
          </w:p>
        </w:tc>
        <w:tc>
          <w:tcPr>
            <w:tcW w:w="5669" w:type="dxa"/>
            <w:shd w:val="clear" w:color="auto" w:fill="D9E2F3" w:themeFill="accent1" w:themeFillTint="33"/>
          </w:tcPr>
          <w:p w14:paraId="190E23E1" w14:textId="77777777" w:rsidR="0094644B" w:rsidRPr="00FA3F57" w:rsidRDefault="0094644B" w:rsidP="00FB5086">
            <w:pPr>
              <w:keepNext/>
              <w:rPr>
                <w:sz w:val="20"/>
                <w:szCs w:val="20"/>
              </w:rPr>
            </w:pPr>
            <w:r w:rsidRPr="00FA3F57">
              <w:rPr>
                <w:sz w:val="20"/>
                <w:szCs w:val="20"/>
              </w:rPr>
              <w:t xml:space="preserve">WPP </w:t>
            </w:r>
            <w:proofErr w:type="spellStart"/>
            <w:r w:rsidRPr="00FA3F57">
              <w:rPr>
                <w:sz w:val="20"/>
                <w:szCs w:val="20"/>
              </w:rPr>
              <w:t>Alibunar</w:t>
            </w:r>
            <w:proofErr w:type="spellEnd"/>
            <w:r w:rsidRPr="00FA3F57">
              <w:rPr>
                <w:sz w:val="20"/>
                <w:szCs w:val="20"/>
              </w:rPr>
              <w:t xml:space="preserve"> 1</w:t>
            </w:r>
          </w:p>
        </w:tc>
      </w:tr>
      <w:tr w:rsidR="0094644B" w:rsidRPr="00F07779" w14:paraId="1A20F9AD" w14:textId="77777777" w:rsidTr="00FB5086">
        <w:tc>
          <w:tcPr>
            <w:tcW w:w="2973" w:type="dxa"/>
          </w:tcPr>
          <w:p w14:paraId="1AAFC808" w14:textId="77777777" w:rsidR="0094644B" w:rsidRPr="00FA3F57" w:rsidRDefault="0094644B" w:rsidP="00FB5086">
            <w:pPr>
              <w:rPr>
                <w:sz w:val="20"/>
                <w:szCs w:val="20"/>
              </w:rPr>
            </w:pPr>
            <w:r w:rsidRPr="00FA3F57">
              <w:rPr>
                <w:sz w:val="20"/>
                <w:szCs w:val="20"/>
              </w:rPr>
              <w:t>Short description of the investment</w:t>
            </w:r>
          </w:p>
        </w:tc>
        <w:tc>
          <w:tcPr>
            <w:tcW w:w="5669" w:type="dxa"/>
          </w:tcPr>
          <w:p w14:paraId="649990A1" w14:textId="77777777" w:rsidR="0094644B" w:rsidRPr="00F07779" w:rsidRDefault="0094644B" w:rsidP="00FB5086">
            <w:pPr>
              <w:rPr>
                <w:sz w:val="20"/>
                <w:szCs w:val="20"/>
              </w:rPr>
            </w:pPr>
            <w:r w:rsidRPr="00FA3F57">
              <w:rPr>
                <w:sz w:val="20"/>
                <w:szCs w:val="20"/>
              </w:rPr>
              <w:t xml:space="preserve">Construction of the </w:t>
            </w:r>
            <w:proofErr w:type="spellStart"/>
            <w:r w:rsidRPr="00FA3F57">
              <w:rPr>
                <w:sz w:val="20"/>
                <w:szCs w:val="20"/>
              </w:rPr>
              <w:t>Alibunar</w:t>
            </w:r>
            <w:proofErr w:type="spellEnd"/>
            <w:r w:rsidRPr="00FA3F57">
              <w:rPr>
                <w:sz w:val="20"/>
                <w:szCs w:val="20"/>
              </w:rPr>
              <w:t xml:space="preserve"> 1 wind farm, with an installed capacity of 96.6 MW.</w:t>
            </w:r>
          </w:p>
          <w:p w14:paraId="724E5364" w14:textId="77777777" w:rsidR="0094644B" w:rsidRPr="00FA3F57" w:rsidRDefault="0094644B" w:rsidP="00FB5086">
            <w:pPr>
              <w:rPr>
                <w:sz w:val="20"/>
                <w:szCs w:val="20"/>
              </w:rPr>
            </w:pPr>
            <w:r w:rsidRPr="00FA3F57">
              <w:rPr>
                <w:sz w:val="20"/>
                <w:szCs w:val="20"/>
              </w:rPr>
              <w:t>Expected dynamics of project implementation:</w:t>
            </w:r>
          </w:p>
          <w:p w14:paraId="41E21A8A" w14:textId="77777777" w:rsidR="0094644B" w:rsidRPr="00FA3F57" w:rsidRDefault="0094644B" w:rsidP="00FB5086">
            <w:pPr>
              <w:rPr>
                <w:sz w:val="20"/>
                <w:szCs w:val="20"/>
              </w:rPr>
            </w:pPr>
            <w:r w:rsidRPr="00FA3F57">
              <w:rPr>
                <w:sz w:val="20"/>
                <w:szCs w:val="20"/>
              </w:rPr>
              <w:t>2028. Use permit; end of project</w:t>
            </w:r>
          </w:p>
        </w:tc>
      </w:tr>
      <w:tr w:rsidR="0094644B" w:rsidRPr="00F07779" w14:paraId="432664BA" w14:textId="77777777" w:rsidTr="00FB5086">
        <w:tc>
          <w:tcPr>
            <w:tcW w:w="2973" w:type="dxa"/>
          </w:tcPr>
          <w:p w14:paraId="7E1717A5" w14:textId="77777777" w:rsidR="0094644B" w:rsidRPr="00FA3F57" w:rsidRDefault="0094644B" w:rsidP="00FB5086">
            <w:pPr>
              <w:rPr>
                <w:sz w:val="20"/>
                <w:szCs w:val="20"/>
              </w:rPr>
            </w:pPr>
            <w:r w:rsidRPr="00FA3F57">
              <w:rPr>
                <w:sz w:val="20"/>
                <w:szCs w:val="20"/>
              </w:rPr>
              <w:t>Institutions responsible for the implementation of measures and activities</w:t>
            </w:r>
          </w:p>
        </w:tc>
        <w:tc>
          <w:tcPr>
            <w:tcW w:w="5669" w:type="dxa"/>
          </w:tcPr>
          <w:p w14:paraId="56F2FED0" w14:textId="77777777" w:rsidR="0094644B" w:rsidRPr="00FA3F57" w:rsidRDefault="0094644B" w:rsidP="00FB5086">
            <w:pPr>
              <w:rPr>
                <w:sz w:val="20"/>
                <w:szCs w:val="20"/>
              </w:rPr>
            </w:pPr>
            <w:r w:rsidRPr="00FA3F57">
              <w:rPr>
                <w:sz w:val="20"/>
                <w:szCs w:val="20"/>
              </w:rPr>
              <w:t>WINDVISION WINDFARM A DOO BEOGRAD (NOVI BEOGRAD)</w:t>
            </w:r>
          </w:p>
        </w:tc>
      </w:tr>
      <w:tr w:rsidR="0094644B" w:rsidRPr="00F07779" w14:paraId="63AAA982" w14:textId="77777777" w:rsidTr="00FB5086">
        <w:tc>
          <w:tcPr>
            <w:tcW w:w="2973" w:type="dxa"/>
          </w:tcPr>
          <w:p w14:paraId="32F31461" w14:textId="77777777" w:rsidR="0094644B" w:rsidRPr="00FA3F57" w:rsidRDefault="0094644B" w:rsidP="00FB5086">
            <w:pPr>
              <w:rPr>
                <w:sz w:val="20"/>
                <w:szCs w:val="20"/>
              </w:rPr>
            </w:pPr>
            <w:r w:rsidRPr="00FA3F57">
              <w:rPr>
                <w:sz w:val="20"/>
                <w:szCs w:val="20"/>
              </w:rPr>
              <w:t>Institutions responsible for monitoring implementation and reporting on the realization</w:t>
            </w:r>
          </w:p>
        </w:tc>
        <w:tc>
          <w:tcPr>
            <w:tcW w:w="5669" w:type="dxa"/>
          </w:tcPr>
          <w:p w14:paraId="32619ACA" w14:textId="77777777" w:rsidR="0094644B" w:rsidRPr="00FA3F57" w:rsidRDefault="0094644B" w:rsidP="00FB5086">
            <w:pPr>
              <w:rPr>
                <w:sz w:val="20"/>
                <w:szCs w:val="20"/>
              </w:rPr>
            </w:pPr>
            <w:r w:rsidRPr="00FA3F57">
              <w:rPr>
                <w:sz w:val="20"/>
                <w:szCs w:val="20"/>
              </w:rPr>
              <w:t>WINDVISION WINDFARM A DOO BEOGRAD (NOVI BEOGRAD)</w:t>
            </w:r>
          </w:p>
          <w:p w14:paraId="657C1125" w14:textId="77777777" w:rsidR="0094644B" w:rsidRPr="00FA3F57" w:rsidRDefault="0094644B" w:rsidP="00FB5086">
            <w:pPr>
              <w:rPr>
                <w:sz w:val="20"/>
                <w:szCs w:val="20"/>
              </w:rPr>
            </w:pPr>
            <w:r w:rsidRPr="00FA3F57">
              <w:rPr>
                <w:sz w:val="20"/>
                <w:szCs w:val="20"/>
              </w:rPr>
              <w:t>Ministry of Mining and Energy</w:t>
            </w:r>
          </w:p>
        </w:tc>
      </w:tr>
      <w:tr w:rsidR="0094644B" w:rsidRPr="00F07779" w14:paraId="7A8B75DC" w14:textId="77777777" w:rsidTr="00FB5086">
        <w:tc>
          <w:tcPr>
            <w:tcW w:w="2973" w:type="dxa"/>
          </w:tcPr>
          <w:p w14:paraId="2535BDBD" w14:textId="77777777" w:rsidR="0094644B" w:rsidRPr="00FA3F57" w:rsidRDefault="0094644B" w:rsidP="00FB5086">
            <w:pPr>
              <w:rPr>
                <w:sz w:val="20"/>
                <w:szCs w:val="20"/>
              </w:rPr>
            </w:pPr>
            <w:r w:rsidRPr="00FA3F57">
              <w:rPr>
                <w:sz w:val="20"/>
                <w:szCs w:val="20"/>
              </w:rPr>
              <w:t>Year of project funding start</w:t>
            </w:r>
          </w:p>
        </w:tc>
        <w:tc>
          <w:tcPr>
            <w:tcW w:w="5669" w:type="dxa"/>
          </w:tcPr>
          <w:p w14:paraId="19BCC983" w14:textId="77777777" w:rsidR="0094644B" w:rsidRPr="00FA3F57" w:rsidRDefault="0094644B" w:rsidP="00FB5086">
            <w:pPr>
              <w:rPr>
                <w:sz w:val="20"/>
                <w:szCs w:val="20"/>
              </w:rPr>
            </w:pPr>
            <w:r w:rsidRPr="00FA3F57">
              <w:rPr>
                <w:sz w:val="20"/>
                <w:szCs w:val="20"/>
              </w:rPr>
              <w:t>n/a</w:t>
            </w:r>
          </w:p>
        </w:tc>
      </w:tr>
      <w:tr w:rsidR="0094644B" w:rsidRPr="00F07779" w14:paraId="68E16107" w14:textId="77777777" w:rsidTr="00FB5086">
        <w:tc>
          <w:tcPr>
            <w:tcW w:w="2973" w:type="dxa"/>
          </w:tcPr>
          <w:p w14:paraId="53357FDE" w14:textId="77777777" w:rsidR="0094644B" w:rsidRPr="00FA3F57" w:rsidRDefault="0094644B" w:rsidP="00FB5086">
            <w:pPr>
              <w:rPr>
                <w:sz w:val="20"/>
                <w:szCs w:val="20"/>
              </w:rPr>
            </w:pPr>
            <w:r w:rsidRPr="00FA3F57">
              <w:rPr>
                <w:sz w:val="20"/>
                <w:szCs w:val="20"/>
              </w:rPr>
              <w:t>Year of completion of project funding</w:t>
            </w:r>
          </w:p>
        </w:tc>
        <w:tc>
          <w:tcPr>
            <w:tcW w:w="5669" w:type="dxa"/>
          </w:tcPr>
          <w:p w14:paraId="467746BB" w14:textId="77777777" w:rsidR="0094644B" w:rsidRPr="00FA3F57" w:rsidRDefault="0094644B" w:rsidP="00FB5086">
            <w:pPr>
              <w:rPr>
                <w:sz w:val="20"/>
                <w:szCs w:val="20"/>
              </w:rPr>
            </w:pPr>
            <w:r w:rsidRPr="00FA3F57">
              <w:rPr>
                <w:sz w:val="20"/>
                <w:szCs w:val="20"/>
              </w:rPr>
              <w:t xml:space="preserve">2028. </w:t>
            </w:r>
          </w:p>
        </w:tc>
      </w:tr>
      <w:tr w:rsidR="0094644B" w:rsidRPr="00F07779" w14:paraId="1924F495" w14:textId="77777777" w:rsidTr="00FB5086">
        <w:tc>
          <w:tcPr>
            <w:tcW w:w="2973" w:type="dxa"/>
          </w:tcPr>
          <w:p w14:paraId="2954355E" w14:textId="77777777" w:rsidR="0094644B" w:rsidRPr="00FA3F57" w:rsidRDefault="0094644B" w:rsidP="00FB5086">
            <w:pPr>
              <w:rPr>
                <w:sz w:val="20"/>
                <w:szCs w:val="20"/>
              </w:rPr>
            </w:pPr>
            <w:r w:rsidRPr="00FA3F57">
              <w:rPr>
                <w:sz w:val="20"/>
                <w:szCs w:val="20"/>
              </w:rPr>
              <w:t>Total project value</w:t>
            </w:r>
            <w:r w:rsidRPr="00FA3F57">
              <w:rPr>
                <w:sz w:val="20"/>
                <w:szCs w:val="20"/>
              </w:rPr>
              <w:br/>
              <w:t>(in thousands of RSD)</w:t>
            </w:r>
          </w:p>
        </w:tc>
        <w:tc>
          <w:tcPr>
            <w:tcW w:w="5669" w:type="dxa"/>
          </w:tcPr>
          <w:p w14:paraId="1E90193D" w14:textId="77777777" w:rsidR="0094644B" w:rsidRPr="00FA3F57" w:rsidRDefault="0094644B" w:rsidP="00FB5086">
            <w:pPr>
              <w:rPr>
                <w:sz w:val="20"/>
                <w:szCs w:val="20"/>
              </w:rPr>
            </w:pPr>
            <w:r w:rsidRPr="00FA3F57">
              <w:rPr>
                <w:sz w:val="20"/>
                <w:szCs w:val="20"/>
              </w:rPr>
              <w:t>14,157,938 (120.75 million EUR)</w:t>
            </w:r>
          </w:p>
        </w:tc>
      </w:tr>
      <w:tr w:rsidR="0094644B" w:rsidRPr="00F07779" w14:paraId="38B76847" w14:textId="77777777" w:rsidTr="00FB5086">
        <w:tc>
          <w:tcPr>
            <w:tcW w:w="2973" w:type="dxa"/>
          </w:tcPr>
          <w:p w14:paraId="39C7AD2E" w14:textId="77777777" w:rsidR="0094644B" w:rsidRPr="00FA3F57" w:rsidRDefault="0094644B" w:rsidP="00FB5086">
            <w:pPr>
              <w:rPr>
                <w:sz w:val="20"/>
                <w:szCs w:val="20"/>
              </w:rPr>
            </w:pPr>
            <w:r w:rsidRPr="00FA3F57">
              <w:rPr>
                <w:sz w:val="20"/>
                <w:szCs w:val="20"/>
              </w:rPr>
              <w:t>Planned investments for 2026.</w:t>
            </w:r>
            <w:r w:rsidRPr="00FA3F57">
              <w:rPr>
                <w:sz w:val="20"/>
                <w:szCs w:val="20"/>
              </w:rPr>
              <w:br/>
              <w:t>(in thousands of RSD)</w:t>
            </w:r>
          </w:p>
        </w:tc>
        <w:tc>
          <w:tcPr>
            <w:tcW w:w="5669" w:type="dxa"/>
          </w:tcPr>
          <w:p w14:paraId="3C4B8844" w14:textId="77777777" w:rsidR="0094644B" w:rsidRPr="00FA3F57" w:rsidRDefault="0094644B" w:rsidP="00FB5086">
            <w:pPr>
              <w:rPr>
                <w:sz w:val="20"/>
                <w:szCs w:val="20"/>
              </w:rPr>
            </w:pPr>
            <w:r w:rsidRPr="00FA3F57">
              <w:rPr>
                <w:sz w:val="20"/>
                <w:szCs w:val="20"/>
              </w:rPr>
              <w:t>4,247,381</w:t>
            </w:r>
          </w:p>
        </w:tc>
      </w:tr>
      <w:tr w:rsidR="0094644B" w:rsidRPr="00F07779" w14:paraId="6BF92489" w14:textId="77777777" w:rsidTr="00FB5086">
        <w:tc>
          <w:tcPr>
            <w:tcW w:w="2973" w:type="dxa"/>
          </w:tcPr>
          <w:p w14:paraId="6F2841E2" w14:textId="77777777" w:rsidR="0094644B" w:rsidRPr="00FA3F57" w:rsidRDefault="0094644B" w:rsidP="00FB5086">
            <w:pPr>
              <w:rPr>
                <w:sz w:val="20"/>
                <w:szCs w:val="20"/>
              </w:rPr>
            </w:pPr>
            <w:r w:rsidRPr="00FA3F57">
              <w:rPr>
                <w:sz w:val="20"/>
                <w:szCs w:val="20"/>
              </w:rPr>
              <w:t>Planned investments for 2027.</w:t>
            </w:r>
            <w:r w:rsidRPr="00FA3F57">
              <w:rPr>
                <w:sz w:val="20"/>
                <w:szCs w:val="20"/>
              </w:rPr>
              <w:br/>
              <w:t>(in thousands of RSD)</w:t>
            </w:r>
          </w:p>
        </w:tc>
        <w:tc>
          <w:tcPr>
            <w:tcW w:w="5669" w:type="dxa"/>
          </w:tcPr>
          <w:p w14:paraId="76746FFD" w14:textId="77777777" w:rsidR="0094644B" w:rsidRPr="00FA3F57" w:rsidRDefault="0094644B" w:rsidP="00FB5086">
            <w:pPr>
              <w:rPr>
                <w:sz w:val="20"/>
                <w:szCs w:val="20"/>
              </w:rPr>
            </w:pPr>
            <w:r w:rsidRPr="00FA3F57">
              <w:rPr>
                <w:sz w:val="20"/>
                <w:szCs w:val="20"/>
              </w:rPr>
              <w:t>6,371,072</w:t>
            </w:r>
          </w:p>
        </w:tc>
      </w:tr>
      <w:tr w:rsidR="0094644B" w:rsidRPr="00F07779" w14:paraId="19339C6C" w14:textId="77777777" w:rsidTr="00FB5086">
        <w:tc>
          <w:tcPr>
            <w:tcW w:w="2973" w:type="dxa"/>
          </w:tcPr>
          <w:p w14:paraId="4FFB7DB3" w14:textId="77777777" w:rsidR="0094644B" w:rsidRPr="00FA3F57" w:rsidRDefault="0094644B" w:rsidP="00FB5086">
            <w:pPr>
              <w:rPr>
                <w:sz w:val="20"/>
                <w:szCs w:val="20"/>
              </w:rPr>
            </w:pPr>
            <w:r w:rsidRPr="00FA3F57">
              <w:rPr>
                <w:sz w:val="20"/>
                <w:szCs w:val="20"/>
              </w:rPr>
              <w:t>Planned investments for 2028.</w:t>
            </w:r>
            <w:r w:rsidRPr="00FA3F57">
              <w:rPr>
                <w:sz w:val="20"/>
                <w:szCs w:val="20"/>
              </w:rPr>
              <w:br/>
              <w:t>(in thousands of RSD)</w:t>
            </w:r>
          </w:p>
        </w:tc>
        <w:tc>
          <w:tcPr>
            <w:tcW w:w="5669" w:type="dxa"/>
          </w:tcPr>
          <w:p w14:paraId="7E122573" w14:textId="77777777" w:rsidR="0094644B" w:rsidRPr="00FA3F57" w:rsidRDefault="0094644B" w:rsidP="00FB5086">
            <w:pPr>
              <w:rPr>
                <w:sz w:val="20"/>
                <w:szCs w:val="20"/>
              </w:rPr>
            </w:pPr>
            <w:r w:rsidRPr="00FA3F57">
              <w:rPr>
                <w:sz w:val="20"/>
                <w:szCs w:val="20"/>
              </w:rPr>
              <w:t>2,831,588</w:t>
            </w:r>
          </w:p>
        </w:tc>
      </w:tr>
      <w:tr w:rsidR="0094644B" w:rsidRPr="00F07779" w14:paraId="0DE04BA0" w14:textId="77777777" w:rsidTr="00FB5086">
        <w:tc>
          <w:tcPr>
            <w:tcW w:w="2973" w:type="dxa"/>
          </w:tcPr>
          <w:p w14:paraId="6C04A795" w14:textId="77777777" w:rsidR="0094644B" w:rsidRPr="00FA3F57" w:rsidRDefault="0094644B" w:rsidP="00FB5086">
            <w:pPr>
              <w:rPr>
                <w:sz w:val="20"/>
                <w:szCs w:val="20"/>
              </w:rPr>
            </w:pPr>
            <w:r w:rsidRPr="00FA3F57">
              <w:rPr>
                <w:sz w:val="20"/>
                <w:szCs w:val="20"/>
              </w:rPr>
              <w:t>Impact on EE, climate, and environmental protection</w:t>
            </w:r>
          </w:p>
        </w:tc>
        <w:tc>
          <w:tcPr>
            <w:tcW w:w="5669" w:type="dxa"/>
          </w:tcPr>
          <w:p w14:paraId="099E02DB" w14:textId="77777777" w:rsidR="0094644B" w:rsidRPr="00FA3F57" w:rsidRDefault="0094644B" w:rsidP="00FB5086">
            <w:pPr>
              <w:rPr>
                <w:sz w:val="20"/>
                <w:szCs w:val="20"/>
              </w:rPr>
            </w:pPr>
            <w:r w:rsidRPr="00FA3F57">
              <w:rPr>
                <w:sz w:val="20"/>
                <w:szCs w:val="20"/>
              </w:rPr>
              <w:t>n/a</w:t>
            </w:r>
          </w:p>
        </w:tc>
      </w:tr>
    </w:tbl>
    <w:p w14:paraId="70C1F836" w14:textId="77777777" w:rsidR="0094644B" w:rsidRPr="00FA3F57" w:rsidRDefault="0094644B" w:rsidP="0094644B"/>
    <w:tbl>
      <w:tblPr>
        <w:tblStyle w:val="TableGrid"/>
        <w:tblW w:w="0" w:type="auto"/>
        <w:tblLook w:val="04A0" w:firstRow="1" w:lastRow="0" w:firstColumn="1" w:lastColumn="0" w:noHBand="0" w:noVBand="1"/>
      </w:tblPr>
      <w:tblGrid>
        <w:gridCol w:w="2973"/>
        <w:gridCol w:w="5669"/>
      </w:tblGrid>
      <w:tr w:rsidR="0094644B" w:rsidRPr="00F07779" w14:paraId="44F499E8" w14:textId="77777777" w:rsidTr="00FB5086">
        <w:tc>
          <w:tcPr>
            <w:tcW w:w="2973" w:type="dxa"/>
            <w:shd w:val="clear" w:color="auto" w:fill="D9D9D9" w:themeFill="background1" w:themeFillShade="D9"/>
          </w:tcPr>
          <w:p w14:paraId="5C5C2D92" w14:textId="77777777" w:rsidR="0094644B" w:rsidRPr="00F07779" w:rsidRDefault="0094644B" w:rsidP="00FB5086">
            <w:pPr>
              <w:keepNext/>
              <w:rPr>
                <w:sz w:val="20"/>
                <w:szCs w:val="20"/>
              </w:rPr>
            </w:pPr>
            <w:r w:rsidRPr="00FA3F57">
              <w:rPr>
                <w:sz w:val="20"/>
                <w:szCs w:val="20"/>
              </w:rPr>
              <w:t>Activity EL4.</w:t>
            </w:r>
            <w:r w:rsidRPr="00F07779">
              <w:rPr>
                <w:sz w:val="20"/>
                <w:szCs w:val="20"/>
              </w:rPr>
              <w:t>2</w:t>
            </w:r>
          </w:p>
        </w:tc>
        <w:tc>
          <w:tcPr>
            <w:tcW w:w="5669" w:type="dxa"/>
            <w:shd w:val="clear" w:color="auto" w:fill="D9D9D9" w:themeFill="background1" w:themeFillShade="D9"/>
          </w:tcPr>
          <w:p w14:paraId="574D20EA" w14:textId="77777777" w:rsidR="0094644B" w:rsidRPr="00FA3F57" w:rsidRDefault="0094644B" w:rsidP="00FB5086">
            <w:pPr>
              <w:keepNext/>
              <w:rPr>
                <w:sz w:val="20"/>
                <w:szCs w:val="20"/>
              </w:rPr>
            </w:pPr>
            <w:r w:rsidRPr="00FA3F57">
              <w:rPr>
                <w:sz w:val="20"/>
                <w:szCs w:val="20"/>
              </w:rPr>
              <w:t>Construction of RES owned by private investors</w:t>
            </w:r>
          </w:p>
        </w:tc>
      </w:tr>
      <w:tr w:rsidR="0094644B" w:rsidRPr="00F07779" w14:paraId="6F3372BE" w14:textId="77777777" w:rsidTr="00FB5086">
        <w:tc>
          <w:tcPr>
            <w:tcW w:w="2973" w:type="dxa"/>
            <w:shd w:val="clear" w:color="auto" w:fill="D9E2F3" w:themeFill="accent1" w:themeFillTint="33"/>
          </w:tcPr>
          <w:p w14:paraId="76C13E82" w14:textId="77777777" w:rsidR="0094644B" w:rsidRPr="00FA3F57" w:rsidRDefault="0094644B" w:rsidP="00FB5086">
            <w:pPr>
              <w:keepNext/>
              <w:rPr>
                <w:sz w:val="20"/>
                <w:szCs w:val="20"/>
              </w:rPr>
            </w:pPr>
            <w:r w:rsidRPr="00FA3F57">
              <w:rPr>
                <w:sz w:val="20"/>
                <w:szCs w:val="20"/>
              </w:rPr>
              <w:t>Name of the project</w:t>
            </w:r>
          </w:p>
        </w:tc>
        <w:tc>
          <w:tcPr>
            <w:tcW w:w="5669" w:type="dxa"/>
            <w:shd w:val="clear" w:color="auto" w:fill="D9E2F3" w:themeFill="accent1" w:themeFillTint="33"/>
          </w:tcPr>
          <w:p w14:paraId="6E87EA46" w14:textId="77777777" w:rsidR="0094644B" w:rsidRPr="00FA3F57" w:rsidRDefault="0094644B" w:rsidP="00FB5086">
            <w:pPr>
              <w:keepNext/>
              <w:rPr>
                <w:sz w:val="20"/>
                <w:szCs w:val="20"/>
              </w:rPr>
            </w:pPr>
            <w:r w:rsidRPr="00FA3F57">
              <w:rPr>
                <w:sz w:val="20"/>
                <w:szCs w:val="20"/>
              </w:rPr>
              <w:t xml:space="preserve">WPP </w:t>
            </w:r>
            <w:proofErr w:type="spellStart"/>
            <w:r w:rsidRPr="00FA3F57">
              <w:rPr>
                <w:sz w:val="20"/>
                <w:szCs w:val="20"/>
              </w:rPr>
              <w:t>Alibunar</w:t>
            </w:r>
            <w:proofErr w:type="spellEnd"/>
            <w:r w:rsidRPr="00FA3F57">
              <w:rPr>
                <w:sz w:val="20"/>
                <w:szCs w:val="20"/>
              </w:rPr>
              <w:t xml:space="preserve"> 2</w:t>
            </w:r>
          </w:p>
        </w:tc>
      </w:tr>
      <w:tr w:rsidR="0094644B" w:rsidRPr="00F07779" w14:paraId="691E0962" w14:textId="77777777" w:rsidTr="00FB5086">
        <w:tc>
          <w:tcPr>
            <w:tcW w:w="2973" w:type="dxa"/>
          </w:tcPr>
          <w:p w14:paraId="23C5D1D8" w14:textId="77777777" w:rsidR="0094644B" w:rsidRPr="00FA3F57" w:rsidRDefault="0094644B" w:rsidP="00FB5086">
            <w:pPr>
              <w:rPr>
                <w:sz w:val="20"/>
                <w:szCs w:val="20"/>
              </w:rPr>
            </w:pPr>
            <w:r w:rsidRPr="00FA3F57">
              <w:rPr>
                <w:sz w:val="20"/>
                <w:szCs w:val="20"/>
              </w:rPr>
              <w:t>Short description of the investment</w:t>
            </w:r>
          </w:p>
        </w:tc>
        <w:tc>
          <w:tcPr>
            <w:tcW w:w="5669" w:type="dxa"/>
          </w:tcPr>
          <w:p w14:paraId="771017D1" w14:textId="77777777" w:rsidR="0094644B" w:rsidRPr="00F07779" w:rsidRDefault="0094644B" w:rsidP="00FB5086">
            <w:pPr>
              <w:rPr>
                <w:sz w:val="20"/>
                <w:szCs w:val="20"/>
              </w:rPr>
            </w:pPr>
            <w:r w:rsidRPr="00FA3F57">
              <w:rPr>
                <w:sz w:val="20"/>
                <w:szCs w:val="20"/>
              </w:rPr>
              <w:t xml:space="preserve">Construction of the </w:t>
            </w:r>
            <w:proofErr w:type="spellStart"/>
            <w:r w:rsidRPr="00FA3F57">
              <w:rPr>
                <w:sz w:val="20"/>
                <w:szCs w:val="20"/>
              </w:rPr>
              <w:t>Alibunar</w:t>
            </w:r>
            <w:proofErr w:type="spellEnd"/>
            <w:r w:rsidRPr="00FA3F57">
              <w:rPr>
                <w:sz w:val="20"/>
                <w:szCs w:val="20"/>
              </w:rPr>
              <w:t xml:space="preserve"> 2 wind farm, with an installed capacity of 71.4 MW.</w:t>
            </w:r>
          </w:p>
          <w:p w14:paraId="3F6EB0A6" w14:textId="77777777" w:rsidR="0094644B" w:rsidRPr="00FA3F57" w:rsidRDefault="0094644B" w:rsidP="00FB5086">
            <w:pPr>
              <w:rPr>
                <w:sz w:val="20"/>
                <w:szCs w:val="20"/>
              </w:rPr>
            </w:pPr>
            <w:r w:rsidRPr="00FA3F57">
              <w:rPr>
                <w:sz w:val="20"/>
                <w:szCs w:val="20"/>
              </w:rPr>
              <w:t>Expected dynamics of project implementation:</w:t>
            </w:r>
          </w:p>
          <w:p w14:paraId="147BB6BC" w14:textId="77777777" w:rsidR="0094644B" w:rsidRPr="00FA3F57" w:rsidRDefault="0094644B" w:rsidP="00FB5086">
            <w:pPr>
              <w:rPr>
                <w:sz w:val="20"/>
                <w:szCs w:val="20"/>
              </w:rPr>
            </w:pPr>
            <w:r w:rsidRPr="00FA3F57">
              <w:rPr>
                <w:sz w:val="20"/>
                <w:szCs w:val="20"/>
              </w:rPr>
              <w:t>2028. Use permit; end of project</w:t>
            </w:r>
          </w:p>
        </w:tc>
      </w:tr>
      <w:tr w:rsidR="0094644B" w:rsidRPr="00F07779" w14:paraId="436C6FE5" w14:textId="77777777" w:rsidTr="00FB5086">
        <w:tc>
          <w:tcPr>
            <w:tcW w:w="2973" w:type="dxa"/>
          </w:tcPr>
          <w:p w14:paraId="405AF28E" w14:textId="77777777" w:rsidR="0094644B" w:rsidRPr="00FA3F57" w:rsidRDefault="0094644B" w:rsidP="00FB5086">
            <w:pPr>
              <w:rPr>
                <w:sz w:val="20"/>
                <w:szCs w:val="20"/>
              </w:rPr>
            </w:pPr>
            <w:r w:rsidRPr="00FA3F57">
              <w:rPr>
                <w:sz w:val="20"/>
                <w:szCs w:val="20"/>
              </w:rPr>
              <w:t>Institutions responsible for the implementation of measures and activities</w:t>
            </w:r>
          </w:p>
        </w:tc>
        <w:tc>
          <w:tcPr>
            <w:tcW w:w="5669" w:type="dxa"/>
          </w:tcPr>
          <w:p w14:paraId="7C181862" w14:textId="77777777" w:rsidR="0094644B" w:rsidRPr="00FA3F57" w:rsidRDefault="0094644B" w:rsidP="00FB5086">
            <w:pPr>
              <w:rPr>
                <w:sz w:val="20"/>
                <w:szCs w:val="20"/>
              </w:rPr>
            </w:pPr>
            <w:r w:rsidRPr="00FA3F57">
              <w:rPr>
                <w:sz w:val="20"/>
                <w:szCs w:val="20"/>
              </w:rPr>
              <w:t>WINDVISION WINDFARM A DOO BEOGRAD (NOVI BEOGRAD)</w:t>
            </w:r>
          </w:p>
        </w:tc>
      </w:tr>
      <w:tr w:rsidR="0094644B" w:rsidRPr="00F07779" w14:paraId="49801BEE" w14:textId="77777777" w:rsidTr="00FB5086">
        <w:tc>
          <w:tcPr>
            <w:tcW w:w="2973" w:type="dxa"/>
          </w:tcPr>
          <w:p w14:paraId="320D8D9E" w14:textId="77777777" w:rsidR="0094644B" w:rsidRPr="00FA3F57" w:rsidRDefault="0094644B" w:rsidP="00FB5086">
            <w:pPr>
              <w:rPr>
                <w:sz w:val="20"/>
                <w:szCs w:val="20"/>
              </w:rPr>
            </w:pPr>
            <w:r w:rsidRPr="00FA3F57">
              <w:rPr>
                <w:sz w:val="20"/>
                <w:szCs w:val="20"/>
              </w:rPr>
              <w:t>Institutions responsible for monitoring implementation and reporting on the realization</w:t>
            </w:r>
          </w:p>
        </w:tc>
        <w:tc>
          <w:tcPr>
            <w:tcW w:w="5669" w:type="dxa"/>
          </w:tcPr>
          <w:p w14:paraId="4CFEAFAE" w14:textId="77777777" w:rsidR="0094644B" w:rsidRPr="00FA3F57" w:rsidRDefault="0094644B" w:rsidP="00FB5086">
            <w:pPr>
              <w:rPr>
                <w:sz w:val="20"/>
                <w:szCs w:val="20"/>
              </w:rPr>
            </w:pPr>
            <w:r w:rsidRPr="00FA3F57">
              <w:rPr>
                <w:sz w:val="20"/>
                <w:szCs w:val="20"/>
              </w:rPr>
              <w:t>WINDVISION WINDFARM A DOO BEOGRAD (NOVI BEOGRAD)</w:t>
            </w:r>
          </w:p>
          <w:p w14:paraId="61A67269" w14:textId="77777777" w:rsidR="0094644B" w:rsidRPr="00FA3F57" w:rsidRDefault="0094644B" w:rsidP="00FB5086">
            <w:pPr>
              <w:rPr>
                <w:sz w:val="20"/>
                <w:szCs w:val="20"/>
              </w:rPr>
            </w:pPr>
            <w:r w:rsidRPr="00FA3F57">
              <w:rPr>
                <w:sz w:val="20"/>
                <w:szCs w:val="20"/>
              </w:rPr>
              <w:t>Ministry of Mining and Energy</w:t>
            </w:r>
          </w:p>
        </w:tc>
      </w:tr>
      <w:tr w:rsidR="0094644B" w:rsidRPr="00F07779" w14:paraId="608EF727" w14:textId="77777777" w:rsidTr="00FB5086">
        <w:tc>
          <w:tcPr>
            <w:tcW w:w="2973" w:type="dxa"/>
          </w:tcPr>
          <w:p w14:paraId="52BC67FB" w14:textId="77777777" w:rsidR="0094644B" w:rsidRPr="00FA3F57" w:rsidRDefault="0094644B" w:rsidP="00FB5086">
            <w:pPr>
              <w:rPr>
                <w:sz w:val="20"/>
                <w:szCs w:val="20"/>
              </w:rPr>
            </w:pPr>
            <w:r w:rsidRPr="00FA3F57">
              <w:rPr>
                <w:sz w:val="20"/>
                <w:szCs w:val="20"/>
              </w:rPr>
              <w:t>Year of project funding start</w:t>
            </w:r>
          </w:p>
        </w:tc>
        <w:tc>
          <w:tcPr>
            <w:tcW w:w="5669" w:type="dxa"/>
          </w:tcPr>
          <w:p w14:paraId="20EDDEF4" w14:textId="77777777" w:rsidR="0094644B" w:rsidRPr="00FA3F57" w:rsidRDefault="0094644B" w:rsidP="00FB5086">
            <w:pPr>
              <w:rPr>
                <w:sz w:val="20"/>
                <w:szCs w:val="20"/>
              </w:rPr>
            </w:pPr>
            <w:r w:rsidRPr="00FA3F57">
              <w:rPr>
                <w:sz w:val="20"/>
                <w:szCs w:val="20"/>
              </w:rPr>
              <w:t>n/a</w:t>
            </w:r>
          </w:p>
        </w:tc>
      </w:tr>
      <w:tr w:rsidR="0094644B" w:rsidRPr="00F07779" w14:paraId="7C77C177" w14:textId="77777777" w:rsidTr="00FB5086">
        <w:tc>
          <w:tcPr>
            <w:tcW w:w="2973" w:type="dxa"/>
          </w:tcPr>
          <w:p w14:paraId="67AC7C11" w14:textId="77777777" w:rsidR="0094644B" w:rsidRPr="00FA3F57" w:rsidRDefault="0094644B" w:rsidP="00FB5086">
            <w:pPr>
              <w:rPr>
                <w:sz w:val="20"/>
                <w:szCs w:val="20"/>
              </w:rPr>
            </w:pPr>
            <w:r w:rsidRPr="00FA3F57">
              <w:rPr>
                <w:sz w:val="20"/>
                <w:szCs w:val="20"/>
              </w:rPr>
              <w:t>Year of completion of project funding</w:t>
            </w:r>
          </w:p>
        </w:tc>
        <w:tc>
          <w:tcPr>
            <w:tcW w:w="5669" w:type="dxa"/>
          </w:tcPr>
          <w:p w14:paraId="5F207D67" w14:textId="77777777" w:rsidR="0094644B" w:rsidRPr="00FA3F57" w:rsidRDefault="0094644B" w:rsidP="00FB5086">
            <w:pPr>
              <w:rPr>
                <w:sz w:val="20"/>
                <w:szCs w:val="20"/>
              </w:rPr>
            </w:pPr>
            <w:r w:rsidRPr="00FA3F57">
              <w:rPr>
                <w:sz w:val="20"/>
                <w:szCs w:val="20"/>
              </w:rPr>
              <w:t xml:space="preserve">2028. </w:t>
            </w:r>
          </w:p>
        </w:tc>
      </w:tr>
      <w:tr w:rsidR="0094644B" w:rsidRPr="00F07779" w14:paraId="69B3BFEB" w14:textId="77777777" w:rsidTr="00FB5086">
        <w:tc>
          <w:tcPr>
            <w:tcW w:w="2973" w:type="dxa"/>
          </w:tcPr>
          <w:p w14:paraId="1945E566" w14:textId="77777777" w:rsidR="0094644B" w:rsidRPr="00FA3F57" w:rsidRDefault="0094644B" w:rsidP="00FB5086">
            <w:pPr>
              <w:rPr>
                <w:sz w:val="20"/>
                <w:szCs w:val="20"/>
              </w:rPr>
            </w:pPr>
            <w:r w:rsidRPr="00FA3F57">
              <w:rPr>
                <w:sz w:val="20"/>
                <w:szCs w:val="20"/>
              </w:rPr>
              <w:t>Total project value</w:t>
            </w:r>
            <w:r w:rsidRPr="00FA3F57">
              <w:rPr>
                <w:sz w:val="20"/>
                <w:szCs w:val="20"/>
              </w:rPr>
              <w:br/>
              <w:t>(in thousands of RSD)</w:t>
            </w:r>
          </w:p>
        </w:tc>
        <w:tc>
          <w:tcPr>
            <w:tcW w:w="5669" w:type="dxa"/>
          </w:tcPr>
          <w:p w14:paraId="297E3493" w14:textId="77777777" w:rsidR="0094644B" w:rsidRPr="00FA3F57" w:rsidRDefault="0094644B" w:rsidP="00FB5086">
            <w:pPr>
              <w:rPr>
                <w:sz w:val="20"/>
                <w:szCs w:val="20"/>
              </w:rPr>
            </w:pPr>
            <w:r w:rsidRPr="00FA3F57">
              <w:rPr>
                <w:sz w:val="20"/>
                <w:szCs w:val="20"/>
              </w:rPr>
              <w:t>10,464,563 (89.25 million EUR)</w:t>
            </w:r>
          </w:p>
        </w:tc>
      </w:tr>
      <w:tr w:rsidR="0094644B" w:rsidRPr="00F07779" w14:paraId="68B8476A" w14:textId="77777777" w:rsidTr="00FB5086">
        <w:tc>
          <w:tcPr>
            <w:tcW w:w="2973" w:type="dxa"/>
          </w:tcPr>
          <w:p w14:paraId="2FD69661" w14:textId="77777777" w:rsidR="0094644B" w:rsidRPr="00FA3F57" w:rsidRDefault="0094644B" w:rsidP="00FB5086">
            <w:pPr>
              <w:rPr>
                <w:sz w:val="20"/>
                <w:szCs w:val="20"/>
              </w:rPr>
            </w:pPr>
            <w:r w:rsidRPr="00FA3F57">
              <w:rPr>
                <w:sz w:val="20"/>
                <w:szCs w:val="20"/>
              </w:rPr>
              <w:lastRenderedPageBreak/>
              <w:t>Planned investments for 2026.</w:t>
            </w:r>
            <w:r w:rsidRPr="00FA3F57">
              <w:rPr>
                <w:sz w:val="20"/>
                <w:szCs w:val="20"/>
              </w:rPr>
              <w:br/>
              <w:t>(in thousands of RSD)</w:t>
            </w:r>
          </w:p>
        </w:tc>
        <w:tc>
          <w:tcPr>
            <w:tcW w:w="5669" w:type="dxa"/>
          </w:tcPr>
          <w:p w14:paraId="5653D251" w14:textId="77777777" w:rsidR="0094644B" w:rsidRPr="00FA3F57" w:rsidRDefault="0094644B" w:rsidP="00FB5086">
            <w:pPr>
              <w:rPr>
                <w:sz w:val="20"/>
                <w:szCs w:val="20"/>
              </w:rPr>
            </w:pPr>
            <w:r w:rsidRPr="00FA3F57">
              <w:rPr>
                <w:sz w:val="20"/>
                <w:szCs w:val="20"/>
              </w:rPr>
              <w:t>3,139,369</w:t>
            </w:r>
          </w:p>
        </w:tc>
      </w:tr>
      <w:tr w:rsidR="0094644B" w:rsidRPr="00F07779" w14:paraId="4D186056" w14:textId="77777777" w:rsidTr="00FB5086">
        <w:tc>
          <w:tcPr>
            <w:tcW w:w="2973" w:type="dxa"/>
          </w:tcPr>
          <w:p w14:paraId="00988D1F" w14:textId="77777777" w:rsidR="0094644B" w:rsidRPr="00FA3F57" w:rsidRDefault="0094644B" w:rsidP="00FB5086">
            <w:pPr>
              <w:rPr>
                <w:sz w:val="20"/>
                <w:szCs w:val="20"/>
              </w:rPr>
            </w:pPr>
            <w:r w:rsidRPr="00FA3F57">
              <w:rPr>
                <w:sz w:val="20"/>
                <w:szCs w:val="20"/>
              </w:rPr>
              <w:t>Planned investments for 2027.</w:t>
            </w:r>
            <w:r w:rsidRPr="00FA3F57">
              <w:rPr>
                <w:sz w:val="20"/>
                <w:szCs w:val="20"/>
              </w:rPr>
              <w:br/>
              <w:t>(in thousands of RSD)</w:t>
            </w:r>
          </w:p>
        </w:tc>
        <w:tc>
          <w:tcPr>
            <w:tcW w:w="5669" w:type="dxa"/>
          </w:tcPr>
          <w:p w14:paraId="776A890B" w14:textId="77777777" w:rsidR="0094644B" w:rsidRPr="00FA3F57" w:rsidRDefault="0094644B" w:rsidP="00FB5086">
            <w:pPr>
              <w:rPr>
                <w:sz w:val="20"/>
                <w:szCs w:val="20"/>
              </w:rPr>
            </w:pPr>
            <w:r w:rsidRPr="00FA3F57">
              <w:rPr>
                <w:sz w:val="20"/>
                <w:szCs w:val="20"/>
              </w:rPr>
              <w:t>4,709,053</w:t>
            </w:r>
          </w:p>
        </w:tc>
      </w:tr>
      <w:tr w:rsidR="0094644B" w:rsidRPr="00F07779" w14:paraId="2292715C" w14:textId="77777777" w:rsidTr="00FB5086">
        <w:tc>
          <w:tcPr>
            <w:tcW w:w="2973" w:type="dxa"/>
          </w:tcPr>
          <w:p w14:paraId="3B34937E" w14:textId="77777777" w:rsidR="0094644B" w:rsidRPr="00FA3F57" w:rsidRDefault="0094644B" w:rsidP="00FB5086">
            <w:pPr>
              <w:rPr>
                <w:sz w:val="20"/>
                <w:szCs w:val="20"/>
              </w:rPr>
            </w:pPr>
            <w:r w:rsidRPr="00FA3F57">
              <w:rPr>
                <w:sz w:val="20"/>
                <w:szCs w:val="20"/>
              </w:rPr>
              <w:t>Planned investments for 2028.</w:t>
            </w:r>
            <w:r w:rsidRPr="00FA3F57">
              <w:rPr>
                <w:sz w:val="20"/>
                <w:szCs w:val="20"/>
              </w:rPr>
              <w:br/>
              <w:t>(in thousands of RSD)</w:t>
            </w:r>
          </w:p>
        </w:tc>
        <w:tc>
          <w:tcPr>
            <w:tcW w:w="5669" w:type="dxa"/>
          </w:tcPr>
          <w:p w14:paraId="6B0B10DA" w14:textId="77777777" w:rsidR="0094644B" w:rsidRPr="00FA3F57" w:rsidRDefault="0094644B" w:rsidP="00FB5086">
            <w:pPr>
              <w:rPr>
                <w:sz w:val="20"/>
                <w:szCs w:val="20"/>
              </w:rPr>
            </w:pPr>
            <w:r w:rsidRPr="00FA3F57">
              <w:rPr>
                <w:sz w:val="20"/>
                <w:szCs w:val="20"/>
              </w:rPr>
              <w:t>2,092,913</w:t>
            </w:r>
          </w:p>
        </w:tc>
      </w:tr>
      <w:tr w:rsidR="0094644B" w:rsidRPr="00F07779" w14:paraId="24D7C350" w14:textId="77777777" w:rsidTr="00FB5086">
        <w:tc>
          <w:tcPr>
            <w:tcW w:w="2973" w:type="dxa"/>
          </w:tcPr>
          <w:p w14:paraId="67139B21" w14:textId="77777777" w:rsidR="0094644B" w:rsidRPr="00FA3F57" w:rsidRDefault="0094644B" w:rsidP="00FB5086">
            <w:pPr>
              <w:rPr>
                <w:sz w:val="20"/>
                <w:szCs w:val="20"/>
              </w:rPr>
            </w:pPr>
            <w:r w:rsidRPr="00FA3F57">
              <w:rPr>
                <w:sz w:val="20"/>
                <w:szCs w:val="20"/>
              </w:rPr>
              <w:t>Impact on EE, climate, and environmental protection</w:t>
            </w:r>
          </w:p>
        </w:tc>
        <w:tc>
          <w:tcPr>
            <w:tcW w:w="5669" w:type="dxa"/>
          </w:tcPr>
          <w:p w14:paraId="7633307B" w14:textId="77777777" w:rsidR="0094644B" w:rsidRPr="00FA3F57" w:rsidRDefault="0094644B" w:rsidP="00FB5086">
            <w:pPr>
              <w:rPr>
                <w:sz w:val="20"/>
                <w:szCs w:val="20"/>
              </w:rPr>
            </w:pPr>
            <w:r w:rsidRPr="00FA3F57">
              <w:rPr>
                <w:sz w:val="20"/>
                <w:szCs w:val="20"/>
              </w:rPr>
              <w:t>n/a</w:t>
            </w:r>
          </w:p>
        </w:tc>
      </w:tr>
    </w:tbl>
    <w:p w14:paraId="046CABCF" w14:textId="77777777" w:rsidR="0094644B" w:rsidRPr="00FA3F57" w:rsidRDefault="0094644B" w:rsidP="0094644B"/>
    <w:tbl>
      <w:tblPr>
        <w:tblStyle w:val="TableGrid"/>
        <w:tblW w:w="0" w:type="auto"/>
        <w:tblLook w:val="04A0" w:firstRow="1" w:lastRow="0" w:firstColumn="1" w:lastColumn="0" w:noHBand="0" w:noVBand="1"/>
      </w:tblPr>
      <w:tblGrid>
        <w:gridCol w:w="2973"/>
        <w:gridCol w:w="5669"/>
      </w:tblGrid>
      <w:tr w:rsidR="0094644B" w:rsidRPr="00F07779" w14:paraId="21355370" w14:textId="77777777" w:rsidTr="00FB5086">
        <w:tc>
          <w:tcPr>
            <w:tcW w:w="2973" w:type="dxa"/>
            <w:shd w:val="clear" w:color="auto" w:fill="D9D9D9" w:themeFill="background1" w:themeFillShade="D9"/>
          </w:tcPr>
          <w:p w14:paraId="5807CC36" w14:textId="77777777" w:rsidR="0094644B" w:rsidRPr="00F07779" w:rsidRDefault="0094644B" w:rsidP="00FB5086">
            <w:pPr>
              <w:keepNext/>
              <w:rPr>
                <w:sz w:val="20"/>
                <w:szCs w:val="20"/>
              </w:rPr>
            </w:pPr>
            <w:r w:rsidRPr="00FA3F57">
              <w:rPr>
                <w:sz w:val="20"/>
                <w:szCs w:val="20"/>
              </w:rPr>
              <w:t>Activity EL4.</w:t>
            </w:r>
            <w:r w:rsidRPr="00F07779">
              <w:rPr>
                <w:sz w:val="20"/>
                <w:szCs w:val="20"/>
              </w:rPr>
              <w:t>2</w:t>
            </w:r>
          </w:p>
        </w:tc>
        <w:tc>
          <w:tcPr>
            <w:tcW w:w="5669" w:type="dxa"/>
            <w:shd w:val="clear" w:color="auto" w:fill="D9D9D9" w:themeFill="background1" w:themeFillShade="D9"/>
          </w:tcPr>
          <w:p w14:paraId="3E320D4F" w14:textId="77777777" w:rsidR="0094644B" w:rsidRPr="00FA3F57" w:rsidRDefault="0094644B" w:rsidP="00FB5086">
            <w:pPr>
              <w:keepNext/>
              <w:rPr>
                <w:sz w:val="20"/>
                <w:szCs w:val="20"/>
              </w:rPr>
            </w:pPr>
            <w:r w:rsidRPr="00FA3F57">
              <w:rPr>
                <w:sz w:val="20"/>
                <w:szCs w:val="20"/>
              </w:rPr>
              <w:t>Construction of RES owned by private investors</w:t>
            </w:r>
          </w:p>
        </w:tc>
      </w:tr>
      <w:tr w:rsidR="0094644B" w:rsidRPr="00F07779" w14:paraId="5E79AF7A" w14:textId="77777777" w:rsidTr="00FB5086">
        <w:tc>
          <w:tcPr>
            <w:tcW w:w="2973" w:type="dxa"/>
            <w:shd w:val="clear" w:color="auto" w:fill="D9E2F3" w:themeFill="accent1" w:themeFillTint="33"/>
          </w:tcPr>
          <w:p w14:paraId="15CEAAF5" w14:textId="77777777" w:rsidR="0094644B" w:rsidRPr="00FA3F57" w:rsidRDefault="0094644B" w:rsidP="00FB5086">
            <w:pPr>
              <w:keepNext/>
              <w:rPr>
                <w:sz w:val="20"/>
                <w:szCs w:val="20"/>
              </w:rPr>
            </w:pPr>
            <w:r w:rsidRPr="00FA3F57">
              <w:rPr>
                <w:sz w:val="20"/>
                <w:szCs w:val="20"/>
              </w:rPr>
              <w:t>Name of the project</w:t>
            </w:r>
          </w:p>
        </w:tc>
        <w:tc>
          <w:tcPr>
            <w:tcW w:w="5669" w:type="dxa"/>
            <w:shd w:val="clear" w:color="auto" w:fill="D9E2F3" w:themeFill="accent1" w:themeFillTint="33"/>
          </w:tcPr>
          <w:p w14:paraId="3481467B" w14:textId="77777777" w:rsidR="0094644B" w:rsidRPr="00FA3F57" w:rsidRDefault="0094644B" w:rsidP="00FB5086">
            <w:pPr>
              <w:keepNext/>
              <w:rPr>
                <w:sz w:val="20"/>
                <w:szCs w:val="20"/>
              </w:rPr>
            </w:pPr>
            <w:r w:rsidRPr="00FA3F57">
              <w:rPr>
                <w:sz w:val="20"/>
                <w:szCs w:val="20"/>
              </w:rPr>
              <w:t>WPP Bela Anta 2</w:t>
            </w:r>
          </w:p>
        </w:tc>
      </w:tr>
      <w:tr w:rsidR="0094644B" w:rsidRPr="00F07779" w14:paraId="5921B8DD" w14:textId="77777777" w:rsidTr="00FB5086">
        <w:tc>
          <w:tcPr>
            <w:tcW w:w="2973" w:type="dxa"/>
          </w:tcPr>
          <w:p w14:paraId="7D4DD081" w14:textId="77777777" w:rsidR="0094644B" w:rsidRPr="00FA3F57" w:rsidRDefault="0094644B" w:rsidP="00FB5086">
            <w:pPr>
              <w:rPr>
                <w:sz w:val="20"/>
                <w:szCs w:val="20"/>
              </w:rPr>
            </w:pPr>
            <w:r w:rsidRPr="00FA3F57">
              <w:rPr>
                <w:sz w:val="20"/>
                <w:szCs w:val="20"/>
              </w:rPr>
              <w:t>Short description of the investment</w:t>
            </w:r>
          </w:p>
        </w:tc>
        <w:tc>
          <w:tcPr>
            <w:tcW w:w="5669" w:type="dxa"/>
          </w:tcPr>
          <w:p w14:paraId="2D44E85D" w14:textId="77777777" w:rsidR="0094644B" w:rsidRPr="00F07779" w:rsidRDefault="0094644B" w:rsidP="00FB5086">
            <w:pPr>
              <w:rPr>
                <w:sz w:val="20"/>
                <w:szCs w:val="20"/>
              </w:rPr>
            </w:pPr>
            <w:r w:rsidRPr="00FA3F57">
              <w:rPr>
                <w:sz w:val="20"/>
                <w:szCs w:val="20"/>
              </w:rPr>
              <w:t>Construction of the Bela Anta 2 wind farm, with an installed capacity of 80 MW.</w:t>
            </w:r>
          </w:p>
          <w:p w14:paraId="4793093B" w14:textId="77777777" w:rsidR="0094644B" w:rsidRPr="00FA3F57" w:rsidRDefault="0094644B" w:rsidP="00FB5086">
            <w:pPr>
              <w:rPr>
                <w:sz w:val="20"/>
                <w:szCs w:val="20"/>
              </w:rPr>
            </w:pPr>
            <w:r w:rsidRPr="00FA3F57">
              <w:rPr>
                <w:sz w:val="20"/>
                <w:szCs w:val="20"/>
              </w:rPr>
              <w:t>Expected dynamics of project implementation:</w:t>
            </w:r>
          </w:p>
          <w:p w14:paraId="6ED60747" w14:textId="77777777" w:rsidR="0094644B" w:rsidRPr="00FA3F57" w:rsidRDefault="0094644B" w:rsidP="00FB5086">
            <w:pPr>
              <w:rPr>
                <w:sz w:val="20"/>
                <w:szCs w:val="20"/>
              </w:rPr>
            </w:pPr>
            <w:r w:rsidRPr="00FA3F57">
              <w:rPr>
                <w:sz w:val="20"/>
                <w:szCs w:val="20"/>
              </w:rPr>
              <w:t>2026. Construction</w:t>
            </w:r>
          </w:p>
          <w:p w14:paraId="23E22FBF" w14:textId="77777777" w:rsidR="0094644B" w:rsidRPr="00FA3F57" w:rsidRDefault="0094644B" w:rsidP="00FB5086">
            <w:pPr>
              <w:rPr>
                <w:sz w:val="20"/>
                <w:szCs w:val="20"/>
              </w:rPr>
            </w:pPr>
            <w:r w:rsidRPr="00FA3F57">
              <w:rPr>
                <w:sz w:val="20"/>
                <w:szCs w:val="20"/>
              </w:rPr>
              <w:t>2027. Commissioning; trial operation</w:t>
            </w:r>
          </w:p>
          <w:p w14:paraId="374E7D17" w14:textId="77777777" w:rsidR="0094644B" w:rsidRPr="00FA3F57" w:rsidRDefault="0094644B" w:rsidP="00FB5086">
            <w:pPr>
              <w:rPr>
                <w:sz w:val="20"/>
                <w:szCs w:val="20"/>
              </w:rPr>
            </w:pPr>
            <w:r w:rsidRPr="00FA3F57">
              <w:rPr>
                <w:sz w:val="20"/>
                <w:szCs w:val="20"/>
              </w:rPr>
              <w:t>2028. Use permit; end of project</w:t>
            </w:r>
          </w:p>
        </w:tc>
      </w:tr>
      <w:tr w:rsidR="0094644B" w:rsidRPr="00F07779" w14:paraId="3B362FAA" w14:textId="77777777" w:rsidTr="00FB5086">
        <w:tc>
          <w:tcPr>
            <w:tcW w:w="2973" w:type="dxa"/>
          </w:tcPr>
          <w:p w14:paraId="7DBDEA7F" w14:textId="77777777" w:rsidR="0094644B" w:rsidRPr="00FA3F57" w:rsidRDefault="0094644B" w:rsidP="00FB5086">
            <w:pPr>
              <w:rPr>
                <w:sz w:val="20"/>
                <w:szCs w:val="20"/>
              </w:rPr>
            </w:pPr>
            <w:r w:rsidRPr="00FA3F57">
              <w:rPr>
                <w:sz w:val="20"/>
                <w:szCs w:val="20"/>
              </w:rPr>
              <w:t>Institutions responsible for the implementation of measures and activities</w:t>
            </w:r>
          </w:p>
        </w:tc>
        <w:tc>
          <w:tcPr>
            <w:tcW w:w="5669" w:type="dxa"/>
          </w:tcPr>
          <w:p w14:paraId="79D9FFC5" w14:textId="26E3AD0C" w:rsidR="0094644B" w:rsidRPr="00FA3F57" w:rsidRDefault="0094644B" w:rsidP="00FB5086">
            <w:pPr>
              <w:rPr>
                <w:sz w:val="20"/>
                <w:szCs w:val="20"/>
              </w:rPr>
            </w:pPr>
            <w:r w:rsidRPr="00FA3F57">
              <w:rPr>
                <w:sz w:val="20"/>
                <w:szCs w:val="20"/>
              </w:rPr>
              <w:t xml:space="preserve">Matrix Power </w:t>
            </w:r>
            <w:r w:rsidR="00D11B4C" w:rsidRPr="00FA3F57">
              <w:rPr>
                <w:sz w:val="20"/>
                <w:szCs w:val="20"/>
              </w:rPr>
              <w:t>LLC</w:t>
            </w:r>
            <w:r w:rsidRPr="00FA3F57">
              <w:rPr>
                <w:sz w:val="20"/>
                <w:szCs w:val="20"/>
              </w:rPr>
              <w:t xml:space="preserve"> Belgrade-Novi Belgrade</w:t>
            </w:r>
          </w:p>
        </w:tc>
      </w:tr>
      <w:tr w:rsidR="0094644B" w:rsidRPr="00F07779" w14:paraId="1A2C90AF" w14:textId="77777777" w:rsidTr="00FB5086">
        <w:tc>
          <w:tcPr>
            <w:tcW w:w="2973" w:type="dxa"/>
          </w:tcPr>
          <w:p w14:paraId="28CF536B" w14:textId="77777777" w:rsidR="0094644B" w:rsidRPr="00FA3F57" w:rsidRDefault="0094644B" w:rsidP="00FB5086">
            <w:pPr>
              <w:rPr>
                <w:sz w:val="20"/>
                <w:szCs w:val="20"/>
              </w:rPr>
            </w:pPr>
            <w:r w:rsidRPr="00FA3F57">
              <w:rPr>
                <w:sz w:val="20"/>
                <w:szCs w:val="20"/>
              </w:rPr>
              <w:t>Institutions responsible for monitoring implementation and reporting on the realization</w:t>
            </w:r>
          </w:p>
        </w:tc>
        <w:tc>
          <w:tcPr>
            <w:tcW w:w="5669" w:type="dxa"/>
          </w:tcPr>
          <w:p w14:paraId="34BFEE5D" w14:textId="077277A2" w:rsidR="0094644B" w:rsidRPr="00FA3F57" w:rsidRDefault="0094644B" w:rsidP="00FB5086">
            <w:pPr>
              <w:rPr>
                <w:sz w:val="20"/>
                <w:szCs w:val="20"/>
              </w:rPr>
            </w:pPr>
            <w:r w:rsidRPr="00FA3F57">
              <w:rPr>
                <w:sz w:val="20"/>
                <w:szCs w:val="20"/>
              </w:rPr>
              <w:t xml:space="preserve">Matrix Power </w:t>
            </w:r>
            <w:r w:rsidR="00D11B4C" w:rsidRPr="00FA3F57">
              <w:rPr>
                <w:sz w:val="20"/>
                <w:szCs w:val="20"/>
              </w:rPr>
              <w:t>LLC</w:t>
            </w:r>
            <w:r w:rsidRPr="00FA3F57">
              <w:rPr>
                <w:sz w:val="20"/>
                <w:szCs w:val="20"/>
              </w:rPr>
              <w:t xml:space="preserve"> Belgrade-Novi Belgrade </w:t>
            </w:r>
          </w:p>
          <w:p w14:paraId="42282BFE" w14:textId="77777777" w:rsidR="0094644B" w:rsidRPr="00FA3F57" w:rsidRDefault="0094644B" w:rsidP="00FB5086">
            <w:pPr>
              <w:rPr>
                <w:sz w:val="20"/>
                <w:szCs w:val="20"/>
              </w:rPr>
            </w:pPr>
            <w:r w:rsidRPr="00FA3F57">
              <w:rPr>
                <w:sz w:val="20"/>
                <w:szCs w:val="20"/>
              </w:rPr>
              <w:t>Ministry of Mining and Energy</w:t>
            </w:r>
          </w:p>
        </w:tc>
      </w:tr>
      <w:tr w:rsidR="0094644B" w:rsidRPr="00F07779" w14:paraId="502D35A5" w14:textId="77777777" w:rsidTr="00FB5086">
        <w:tc>
          <w:tcPr>
            <w:tcW w:w="2973" w:type="dxa"/>
          </w:tcPr>
          <w:p w14:paraId="3AB74225" w14:textId="77777777" w:rsidR="0094644B" w:rsidRPr="00FA3F57" w:rsidRDefault="0094644B" w:rsidP="00FB5086">
            <w:pPr>
              <w:rPr>
                <w:sz w:val="20"/>
                <w:szCs w:val="20"/>
              </w:rPr>
            </w:pPr>
            <w:r w:rsidRPr="00FA3F57">
              <w:rPr>
                <w:sz w:val="20"/>
                <w:szCs w:val="20"/>
              </w:rPr>
              <w:t>Year of project funding start</w:t>
            </w:r>
          </w:p>
        </w:tc>
        <w:tc>
          <w:tcPr>
            <w:tcW w:w="5669" w:type="dxa"/>
          </w:tcPr>
          <w:p w14:paraId="2371649A" w14:textId="77777777" w:rsidR="0094644B" w:rsidRPr="00FA3F57" w:rsidRDefault="0094644B" w:rsidP="00FB5086">
            <w:pPr>
              <w:rPr>
                <w:sz w:val="20"/>
                <w:szCs w:val="20"/>
              </w:rPr>
            </w:pPr>
            <w:r w:rsidRPr="00FA3F57">
              <w:rPr>
                <w:sz w:val="20"/>
                <w:szCs w:val="20"/>
              </w:rPr>
              <w:t>n/a</w:t>
            </w:r>
          </w:p>
        </w:tc>
      </w:tr>
      <w:tr w:rsidR="0094644B" w:rsidRPr="00F07779" w14:paraId="50D4CBC1" w14:textId="77777777" w:rsidTr="00FB5086">
        <w:tc>
          <w:tcPr>
            <w:tcW w:w="2973" w:type="dxa"/>
          </w:tcPr>
          <w:p w14:paraId="716FE2A4" w14:textId="77777777" w:rsidR="0094644B" w:rsidRPr="00FA3F57" w:rsidRDefault="0094644B" w:rsidP="00FB5086">
            <w:pPr>
              <w:rPr>
                <w:sz w:val="20"/>
                <w:szCs w:val="20"/>
              </w:rPr>
            </w:pPr>
            <w:r w:rsidRPr="00FA3F57">
              <w:rPr>
                <w:sz w:val="20"/>
                <w:szCs w:val="20"/>
              </w:rPr>
              <w:t>Year of completion of project funding</w:t>
            </w:r>
          </w:p>
        </w:tc>
        <w:tc>
          <w:tcPr>
            <w:tcW w:w="5669" w:type="dxa"/>
          </w:tcPr>
          <w:p w14:paraId="6C569667" w14:textId="77777777" w:rsidR="0094644B" w:rsidRPr="00FA3F57" w:rsidRDefault="0094644B" w:rsidP="00FB5086">
            <w:pPr>
              <w:rPr>
                <w:sz w:val="20"/>
                <w:szCs w:val="20"/>
              </w:rPr>
            </w:pPr>
            <w:r w:rsidRPr="00FA3F57">
              <w:rPr>
                <w:sz w:val="20"/>
                <w:szCs w:val="20"/>
              </w:rPr>
              <w:t>2028.</w:t>
            </w:r>
          </w:p>
        </w:tc>
      </w:tr>
      <w:tr w:rsidR="0094644B" w:rsidRPr="00F07779" w14:paraId="2D8FE5F3" w14:textId="77777777" w:rsidTr="00FB5086">
        <w:tc>
          <w:tcPr>
            <w:tcW w:w="2973" w:type="dxa"/>
          </w:tcPr>
          <w:p w14:paraId="0E9978F8" w14:textId="77777777" w:rsidR="0094644B" w:rsidRPr="00FA3F57" w:rsidRDefault="0094644B" w:rsidP="00FB5086">
            <w:pPr>
              <w:rPr>
                <w:sz w:val="20"/>
                <w:szCs w:val="20"/>
              </w:rPr>
            </w:pPr>
            <w:r w:rsidRPr="00FA3F57">
              <w:rPr>
                <w:sz w:val="20"/>
                <w:szCs w:val="20"/>
              </w:rPr>
              <w:t>Total project value</w:t>
            </w:r>
            <w:r w:rsidRPr="00FA3F57">
              <w:rPr>
                <w:sz w:val="20"/>
                <w:szCs w:val="20"/>
              </w:rPr>
              <w:br/>
              <w:t>(in thousands of RSD)</w:t>
            </w:r>
          </w:p>
        </w:tc>
        <w:tc>
          <w:tcPr>
            <w:tcW w:w="5669" w:type="dxa"/>
          </w:tcPr>
          <w:p w14:paraId="30C26B01" w14:textId="77777777" w:rsidR="0094644B" w:rsidRPr="00FA3F57" w:rsidRDefault="0094644B" w:rsidP="00FB5086">
            <w:pPr>
              <w:rPr>
                <w:sz w:val="20"/>
                <w:szCs w:val="20"/>
              </w:rPr>
            </w:pPr>
            <w:r w:rsidRPr="00FA3F57">
              <w:rPr>
                <w:sz w:val="20"/>
                <w:szCs w:val="20"/>
              </w:rPr>
              <w:t>15,828,750 (135 million EUR)</w:t>
            </w:r>
          </w:p>
        </w:tc>
      </w:tr>
      <w:tr w:rsidR="0094644B" w:rsidRPr="00F07779" w14:paraId="310D69DE" w14:textId="77777777" w:rsidTr="00FB5086">
        <w:tc>
          <w:tcPr>
            <w:tcW w:w="2973" w:type="dxa"/>
          </w:tcPr>
          <w:p w14:paraId="047553ED" w14:textId="77777777" w:rsidR="0094644B" w:rsidRPr="00FA3F57" w:rsidRDefault="0094644B" w:rsidP="00FB5086">
            <w:pPr>
              <w:rPr>
                <w:sz w:val="20"/>
                <w:szCs w:val="20"/>
              </w:rPr>
            </w:pPr>
            <w:r w:rsidRPr="00FA3F57">
              <w:rPr>
                <w:sz w:val="20"/>
                <w:szCs w:val="20"/>
              </w:rPr>
              <w:t>Planned investments for 2026.</w:t>
            </w:r>
            <w:r w:rsidRPr="00FA3F57">
              <w:rPr>
                <w:sz w:val="20"/>
                <w:szCs w:val="20"/>
              </w:rPr>
              <w:br/>
              <w:t>(in thousands of RSD)</w:t>
            </w:r>
          </w:p>
        </w:tc>
        <w:tc>
          <w:tcPr>
            <w:tcW w:w="5669" w:type="dxa"/>
          </w:tcPr>
          <w:p w14:paraId="24216ADD" w14:textId="77777777" w:rsidR="0094644B" w:rsidRPr="00FA3F57" w:rsidRDefault="0094644B" w:rsidP="00FB5086">
            <w:pPr>
              <w:rPr>
                <w:sz w:val="20"/>
                <w:szCs w:val="20"/>
              </w:rPr>
            </w:pPr>
            <w:r w:rsidRPr="00F07779">
              <w:rPr>
                <w:color w:val="000000"/>
                <w:sz w:val="20"/>
                <w:szCs w:val="20"/>
              </w:rPr>
              <w:t>1,758,750</w:t>
            </w:r>
          </w:p>
        </w:tc>
      </w:tr>
      <w:tr w:rsidR="0094644B" w:rsidRPr="00F07779" w14:paraId="2F89A23A" w14:textId="77777777" w:rsidTr="00FB5086">
        <w:tc>
          <w:tcPr>
            <w:tcW w:w="2973" w:type="dxa"/>
          </w:tcPr>
          <w:p w14:paraId="6AA32B5C" w14:textId="77777777" w:rsidR="0094644B" w:rsidRPr="00FA3F57" w:rsidRDefault="0094644B" w:rsidP="00FB5086">
            <w:pPr>
              <w:rPr>
                <w:sz w:val="20"/>
                <w:szCs w:val="20"/>
              </w:rPr>
            </w:pPr>
            <w:r w:rsidRPr="00FA3F57">
              <w:rPr>
                <w:sz w:val="20"/>
                <w:szCs w:val="20"/>
              </w:rPr>
              <w:t>Planned investments for 2027.</w:t>
            </w:r>
            <w:r w:rsidRPr="00FA3F57">
              <w:rPr>
                <w:sz w:val="20"/>
                <w:szCs w:val="20"/>
              </w:rPr>
              <w:br/>
              <w:t>(in thousands of RSD)</w:t>
            </w:r>
          </w:p>
        </w:tc>
        <w:tc>
          <w:tcPr>
            <w:tcW w:w="5669" w:type="dxa"/>
          </w:tcPr>
          <w:p w14:paraId="10C34DBA" w14:textId="77777777" w:rsidR="0094644B" w:rsidRPr="00FA3F57" w:rsidRDefault="0094644B" w:rsidP="00FB5086">
            <w:pPr>
              <w:rPr>
                <w:sz w:val="20"/>
                <w:szCs w:val="20"/>
              </w:rPr>
            </w:pPr>
            <w:r w:rsidRPr="00F07779">
              <w:rPr>
                <w:color w:val="000000"/>
                <w:sz w:val="20"/>
                <w:szCs w:val="20"/>
              </w:rPr>
              <w:t>12,897,500</w:t>
            </w:r>
          </w:p>
        </w:tc>
      </w:tr>
      <w:tr w:rsidR="0094644B" w:rsidRPr="00F07779" w14:paraId="076713DB" w14:textId="77777777" w:rsidTr="00FB5086">
        <w:tc>
          <w:tcPr>
            <w:tcW w:w="2973" w:type="dxa"/>
          </w:tcPr>
          <w:p w14:paraId="4E2153C0" w14:textId="77777777" w:rsidR="0094644B" w:rsidRPr="00FA3F57" w:rsidRDefault="0094644B" w:rsidP="00FB5086">
            <w:pPr>
              <w:rPr>
                <w:sz w:val="20"/>
                <w:szCs w:val="20"/>
              </w:rPr>
            </w:pPr>
            <w:r w:rsidRPr="00FA3F57">
              <w:rPr>
                <w:sz w:val="20"/>
                <w:szCs w:val="20"/>
              </w:rPr>
              <w:t>Planned investments for 2028.</w:t>
            </w:r>
            <w:r w:rsidRPr="00FA3F57">
              <w:rPr>
                <w:sz w:val="20"/>
                <w:szCs w:val="20"/>
              </w:rPr>
              <w:br/>
              <w:t>(in thousands of RSD)</w:t>
            </w:r>
          </w:p>
        </w:tc>
        <w:tc>
          <w:tcPr>
            <w:tcW w:w="5669" w:type="dxa"/>
          </w:tcPr>
          <w:p w14:paraId="6F96CDEE" w14:textId="77777777" w:rsidR="0094644B" w:rsidRPr="00FA3F57" w:rsidRDefault="0094644B" w:rsidP="00FB5086">
            <w:pPr>
              <w:rPr>
                <w:sz w:val="20"/>
                <w:szCs w:val="20"/>
              </w:rPr>
            </w:pPr>
            <w:r w:rsidRPr="00F07779">
              <w:rPr>
                <w:color w:val="000000"/>
                <w:sz w:val="20"/>
                <w:szCs w:val="20"/>
              </w:rPr>
              <w:t>469,000</w:t>
            </w:r>
          </w:p>
        </w:tc>
      </w:tr>
      <w:tr w:rsidR="0094644B" w:rsidRPr="00F07779" w14:paraId="3445A323" w14:textId="77777777" w:rsidTr="00FB5086">
        <w:trPr>
          <w:trHeight w:val="70"/>
        </w:trPr>
        <w:tc>
          <w:tcPr>
            <w:tcW w:w="2973" w:type="dxa"/>
          </w:tcPr>
          <w:p w14:paraId="18717DB8" w14:textId="77777777" w:rsidR="0094644B" w:rsidRPr="00FA3F57" w:rsidRDefault="0094644B" w:rsidP="00FB5086">
            <w:pPr>
              <w:rPr>
                <w:sz w:val="20"/>
                <w:szCs w:val="20"/>
              </w:rPr>
            </w:pPr>
            <w:r w:rsidRPr="00FA3F57">
              <w:rPr>
                <w:sz w:val="20"/>
                <w:szCs w:val="20"/>
              </w:rPr>
              <w:t>Impact on EE, climate, and environmental protection</w:t>
            </w:r>
          </w:p>
        </w:tc>
        <w:tc>
          <w:tcPr>
            <w:tcW w:w="5669" w:type="dxa"/>
          </w:tcPr>
          <w:p w14:paraId="54F0C86B" w14:textId="77777777" w:rsidR="0094644B" w:rsidRPr="00FA3F57" w:rsidRDefault="0094644B" w:rsidP="00FB5086">
            <w:pPr>
              <w:rPr>
                <w:sz w:val="20"/>
                <w:szCs w:val="20"/>
              </w:rPr>
            </w:pPr>
            <w:r w:rsidRPr="00FA3F57">
              <w:rPr>
                <w:sz w:val="20"/>
                <w:szCs w:val="20"/>
              </w:rPr>
              <w:t>n/a</w:t>
            </w:r>
          </w:p>
        </w:tc>
      </w:tr>
    </w:tbl>
    <w:p w14:paraId="6E904FA0" w14:textId="77777777" w:rsidR="0094644B" w:rsidRPr="00FA3F57" w:rsidRDefault="0094644B" w:rsidP="0094644B"/>
    <w:tbl>
      <w:tblPr>
        <w:tblStyle w:val="TableGrid"/>
        <w:tblW w:w="0" w:type="auto"/>
        <w:tblLook w:val="04A0" w:firstRow="1" w:lastRow="0" w:firstColumn="1" w:lastColumn="0" w:noHBand="0" w:noVBand="1"/>
      </w:tblPr>
      <w:tblGrid>
        <w:gridCol w:w="2973"/>
        <w:gridCol w:w="5669"/>
      </w:tblGrid>
      <w:tr w:rsidR="0094644B" w:rsidRPr="00F07779" w14:paraId="7A7EE972" w14:textId="77777777" w:rsidTr="00FB5086">
        <w:tc>
          <w:tcPr>
            <w:tcW w:w="2973" w:type="dxa"/>
            <w:shd w:val="clear" w:color="auto" w:fill="D9D9D9" w:themeFill="background1" w:themeFillShade="D9"/>
          </w:tcPr>
          <w:p w14:paraId="314BAC21" w14:textId="77777777" w:rsidR="0094644B" w:rsidRPr="00F07779" w:rsidRDefault="0094644B" w:rsidP="00FB5086">
            <w:pPr>
              <w:keepNext/>
              <w:rPr>
                <w:sz w:val="20"/>
                <w:szCs w:val="20"/>
              </w:rPr>
            </w:pPr>
            <w:r w:rsidRPr="00FA3F57">
              <w:rPr>
                <w:sz w:val="20"/>
                <w:szCs w:val="20"/>
              </w:rPr>
              <w:t>Activity EL4.</w:t>
            </w:r>
            <w:r w:rsidRPr="00F07779">
              <w:rPr>
                <w:sz w:val="20"/>
                <w:szCs w:val="20"/>
              </w:rPr>
              <w:t>2</w:t>
            </w:r>
          </w:p>
        </w:tc>
        <w:tc>
          <w:tcPr>
            <w:tcW w:w="5669" w:type="dxa"/>
            <w:shd w:val="clear" w:color="auto" w:fill="D9D9D9" w:themeFill="background1" w:themeFillShade="D9"/>
          </w:tcPr>
          <w:p w14:paraId="3F174355" w14:textId="77777777" w:rsidR="0094644B" w:rsidRPr="00FA3F57" w:rsidRDefault="0094644B" w:rsidP="00FB5086">
            <w:pPr>
              <w:keepNext/>
              <w:rPr>
                <w:sz w:val="20"/>
                <w:szCs w:val="20"/>
              </w:rPr>
            </w:pPr>
            <w:r w:rsidRPr="00FA3F57">
              <w:rPr>
                <w:sz w:val="20"/>
                <w:szCs w:val="20"/>
              </w:rPr>
              <w:t>Construction of RES owned by private investors</w:t>
            </w:r>
          </w:p>
        </w:tc>
      </w:tr>
      <w:tr w:rsidR="0094644B" w:rsidRPr="00F07779" w14:paraId="370CA495" w14:textId="77777777" w:rsidTr="00FB5086">
        <w:tc>
          <w:tcPr>
            <w:tcW w:w="2973" w:type="dxa"/>
            <w:shd w:val="clear" w:color="auto" w:fill="D9E2F3" w:themeFill="accent1" w:themeFillTint="33"/>
          </w:tcPr>
          <w:p w14:paraId="71CEA4E2" w14:textId="77777777" w:rsidR="0094644B" w:rsidRPr="00FA3F57" w:rsidRDefault="0094644B" w:rsidP="00FB5086">
            <w:pPr>
              <w:keepNext/>
              <w:rPr>
                <w:sz w:val="20"/>
                <w:szCs w:val="20"/>
              </w:rPr>
            </w:pPr>
            <w:r w:rsidRPr="00FA3F57">
              <w:rPr>
                <w:sz w:val="20"/>
                <w:szCs w:val="20"/>
              </w:rPr>
              <w:t>Name of the project</w:t>
            </w:r>
          </w:p>
        </w:tc>
        <w:tc>
          <w:tcPr>
            <w:tcW w:w="5669" w:type="dxa"/>
            <w:shd w:val="clear" w:color="auto" w:fill="D9E2F3" w:themeFill="accent1" w:themeFillTint="33"/>
          </w:tcPr>
          <w:p w14:paraId="1F9876A7" w14:textId="77777777" w:rsidR="0094644B" w:rsidRPr="00FA3F57" w:rsidRDefault="0094644B" w:rsidP="00FB5086">
            <w:pPr>
              <w:keepNext/>
              <w:rPr>
                <w:sz w:val="20"/>
                <w:szCs w:val="20"/>
              </w:rPr>
            </w:pPr>
            <w:r w:rsidRPr="00FA3F57">
              <w:rPr>
                <w:sz w:val="20"/>
                <w:szCs w:val="20"/>
              </w:rPr>
              <w:t xml:space="preserve">SPP </w:t>
            </w:r>
            <w:proofErr w:type="spellStart"/>
            <w:r w:rsidRPr="00FA3F57">
              <w:rPr>
                <w:sz w:val="20"/>
                <w:szCs w:val="20"/>
              </w:rPr>
              <w:t>Solarina</w:t>
            </w:r>
            <w:proofErr w:type="spellEnd"/>
          </w:p>
        </w:tc>
      </w:tr>
      <w:tr w:rsidR="0094644B" w:rsidRPr="00F07779" w14:paraId="21A5DDC7" w14:textId="77777777" w:rsidTr="00FB5086">
        <w:tc>
          <w:tcPr>
            <w:tcW w:w="2973" w:type="dxa"/>
          </w:tcPr>
          <w:p w14:paraId="7B12BFA4" w14:textId="77777777" w:rsidR="0094644B" w:rsidRPr="00FA3F57" w:rsidRDefault="0094644B" w:rsidP="00FB5086">
            <w:pPr>
              <w:rPr>
                <w:sz w:val="20"/>
                <w:szCs w:val="20"/>
              </w:rPr>
            </w:pPr>
            <w:r w:rsidRPr="00FA3F57">
              <w:rPr>
                <w:sz w:val="20"/>
                <w:szCs w:val="20"/>
              </w:rPr>
              <w:t>Short description of the investment</w:t>
            </w:r>
          </w:p>
        </w:tc>
        <w:tc>
          <w:tcPr>
            <w:tcW w:w="5669" w:type="dxa"/>
          </w:tcPr>
          <w:p w14:paraId="194EFCC7" w14:textId="77777777" w:rsidR="0094644B" w:rsidRPr="00F07779" w:rsidRDefault="0094644B" w:rsidP="00FB5086">
            <w:pPr>
              <w:rPr>
                <w:sz w:val="20"/>
                <w:szCs w:val="20"/>
              </w:rPr>
            </w:pPr>
            <w:r w:rsidRPr="00FA3F57">
              <w:rPr>
                <w:sz w:val="20"/>
                <w:szCs w:val="20"/>
              </w:rPr>
              <w:t xml:space="preserve">Construction of the </w:t>
            </w:r>
            <w:proofErr w:type="spellStart"/>
            <w:r w:rsidRPr="00FA3F57">
              <w:rPr>
                <w:sz w:val="20"/>
                <w:szCs w:val="20"/>
              </w:rPr>
              <w:t>Solarina</w:t>
            </w:r>
            <w:proofErr w:type="spellEnd"/>
            <w:r w:rsidRPr="00FA3F57">
              <w:rPr>
                <w:sz w:val="20"/>
                <w:szCs w:val="20"/>
              </w:rPr>
              <w:t xml:space="preserve"> solar power plant, with an installed capacity of 150 MW.</w:t>
            </w:r>
          </w:p>
          <w:p w14:paraId="06441E10" w14:textId="77777777" w:rsidR="0094644B" w:rsidRPr="00FA3F57" w:rsidRDefault="0094644B" w:rsidP="00FB5086">
            <w:pPr>
              <w:rPr>
                <w:sz w:val="20"/>
                <w:szCs w:val="20"/>
              </w:rPr>
            </w:pPr>
            <w:r w:rsidRPr="00FA3F57">
              <w:rPr>
                <w:sz w:val="20"/>
                <w:szCs w:val="20"/>
              </w:rPr>
              <w:t>Expected dynamics of project implementation:</w:t>
            </w:r>
          </w:p>
          <w:p w14:paraId="7E41EF06" w14:textId="77777777" w:rsidR="0094644B" w:rsidRPr="00FA3F57" w:rsidRDefault="0094644B" w:rsidP="00FB5086">
            <w:pPr>
              <w:rPr>
                <w:sz w:val="20"/>
                <w:szCs w:val="20"/>
              </w:rPr>
            </w:pPr>
            <w:r w:rsidRPr="00FA3F57">
              <w:rPr>
                <w:sz w:val="20"/>
                <w:szCs w:val="20"/>
              </w:rPr>
              <w:t>2026. The beginning of the project</w:t>
            </w:r>
          </w:p>
          <w:p w14:paraId="427BC79E" w14:textId="77777777" w:rsidR="0094644B" w:rsidRPr="00FA3F57" w:rsidRDefault="0094644B" w:rsidP="00FB5086">
            <w:pPr>
              <w:rPr>
                <w:sz w:val="20"/>
                <w:szCs w:val="20"/>
              </w:rPr>
            </w:pPr>
            <w:r w:rsidRPr="00FA3F57">
              <w:rPr>
                <w:sz w:val="20"/>
                <w:szCs w:val="20"/>
              </w:rPr>
              <w:t>2027. Use permit; end of project</w:t>
            </w:r>
          </w:p>
        </w:tc>
      </w:tr>
      <w:tr w:rsidR="0094644B" w:rsidRPr="00F07779" w14:paraId="2AD93E18" w14:textId="77777777" w:rsidTr="00FB5086">
        <w:tc>
          <w:tcPr>
            <w:tcW w:w="2973" w:type="dxa"/>
          </w:tcPr>
          <w:p w14:paraId="7339EBEA" w14:textId="77777777" w:rsidR="0094644B" w:rsidRPr="00FA3F57" w:rsidRDefault="0094644B" w:rsidP="00FB5086">
            <w:pPr>
              <w:rPr>
                <w:sz w:val="20"/>
                <w:szCs w:val="20"/>
              </w:rPr>
            </w:pPr>
            <w:r w:rsidRPr="00FA3F57">
              <w:rPr>
                <w:sz w:val="20"/>
                <w:szCs w:val="20"/>
              </w:rPr>
              <w:t>Institutions responsible for the implementation of measures and activities</w:t>
            </w:r>
          </w:p>
        </w:tc>
        <w:tc>
          <w:tcPr>
            <w:tcW w:w="5669" w:type="dxa"/>
          </w:tcPr>
          <w:p w14:paraId="101C5AEF" w14:textId="77777777" w:rsidR="0094644B" w:rsidRPr="00FA3F57" w:rsidRDefault="0094644B" w:rsidP="00FB5086">
            <w:pPr>
              <w:rPr>
                <w:sz w:val="20"/>
                <w:szCs w:val="20"/>
              </w:rPr>
            </w:pPr>
            <w:r w:rsidRPr="00FA3F57">
              <w:rPr>
                <w:sz w:val="20"/>
                <w:szCs w:val="20"/>
              </w:rPr>
              <w:t>SOLARINA DOO BEOGRAD-VRAČAR</w:t>
            </w:r>
          </w:p>
        </w:tc>
      </w:tr>
      <w:tr w:rsidR="0094644B" w:rsidRPr="00F07779" w14:paraId="59FCFCCE" w14:textId="77777777" w:rsidTr="00FB5086">
        <w:tc>
          <w:tcPr>
            <w:tcW w:w="2973" w:type="dxa"/>
          </w:tcPr>
          <w:p w14:paraId="6B2FEC31" w14:textId="77777777" w:rsidR="0094644B" w:rsidRPr="00FA3F57" w:rsidRDefault="0094644B" w:rsidP="00FB5086">
            <w:pPr>
              <w:rPr>
                <w:sz w:val="20"/>
                <w:szCs w:val="20"/>
              </w:rPr>
            </w:pPr>
            <w:r w:rsidRPr="00FA3F57">
              <w:rPr>
                <w:sz w:val="20"/>
                <w:szCs w:val="20"/>
              </w:rPr>
              <w:t>Institutions responsible for monitoring implementation and reporting on the realization</w:t>
            </w:r>
          </w:p>
        </w:tc>
        <w:tc>
          <w:tcPr>
            <w:tcW w:w="5669" w:type="dxa"/>
          </w:tcPr>
          <w:p w14:paraId="28850CF6" w14:textId="77777777" w:rsidR="0094644B" w:rsidRPr="00FA3F57" w:rsidRDefault="0094644B" w:rsidP="00FB5086">
            <w:pPr>
              <w:rPr>
                <w:sz w:val="20"/>
                <w:szCs w:val="20"/>
              </w:rPr>
            </w:pPr>
            <w:r w:rsidRPr="00FA3F57">
              <w:rPr>
                <w:sz w:val="20"/>
                <w:szCs w:val="20"/>
              </w:rPr>
              <w:t xml:space="preserve">SOLARINA DOO BEOGRAD-VRAČAR </w:t>
            </w:r>
          </w:p>
          <w:p w14:paraId="134F0845" w14:textId="77777777" w:rsidR="0094644B" w:rsidRPr="00FA3F57" w:rsidRDefault="0094644B" w:rsidP="00FB5086">
            <w:pPr>
              <w:rPr>
                <w:sz w:val="20"/>
                <w:szCs w:val="20"/>
              </w:rPr>
            </w:pPr>
            <w:r w:rsidRPr="00FA3F57">
              <w:rPr>
                <w:sz w:val="20"/>
                <w:szCs w:val="20"/>
              </w:rPr>
              <w:t>Ministry of Mining and Energy</w:t>
            </w:r>
          </w:p>
        </w:tc>
      </w:tr>
      <w:tr w:rsidR="0094644B" w:rsidRPr="00F07779" w14:paraId="66027C18" w14:textId="77777777" w:rsidTr="00FB5086">
        <w:tc>
          <w:tcPr>
            <w:tcW w:w="2973" w:type="dxa"/>
          </w:tcPr>
          <w:p w14:paraId="597B5E73" w14:textId="77777777" w:rsidR="0094644B" w:rsidRPr="00FA3F57" w:rsidRDefault="0094644B" w:rsidP="00FB5086">
            <w:pPr>
              <w:rPr>
                <w:sz w:val="20"/>
                <w:szCs w:val="20"/>
              </w:rPr>
            </w:pPr>
            <w:r w:rsidRPr="00FA3F57">
              <w:rPr>
                <w:sz w:val="20"/>
                <w:szCs w:val="20"/>
              </w:rPr>
              <w:t>Year of project funding start</w:t>
            </w:r>
          </w:p>
        </w:tc>
        <w:tc>
          <w:tcPr>
            <w:tcW w:w="5669" w:type="dxa"/>
          </w:tcPr>
          <w:p w14:paraId="6CE34607" w14:textId="77777777" w:rsidR="0094644B" w:rsidRPr="00FA3F57" w:rsidRDefault="0094644B" w:rsidP="00FB5086">
            <w:pPr>
              <w:rPr>
                <w:sz w:val="20"/>
                <w:szCs w:val="20"/>
              </w:rPr>
            </w:pPr>
            <w:r w:rsidRPr="00FA3F57">
              <w:rPr>
                <w:sz w:val="20"/>
                <w:szCs w:val="20"/>
              </w:rPr>
              <w:t>n/a</w:t>
            </w:r>
          </w:p>
        </w:tc>
      </w:tr>
      <w:tr w:rsidR="0094644B" w:rsidRPr="00F07779" w14:paraId="0D2FE6E0" w14:textId="77777777" w:rsidTr="00FB5086">
        <w:tc>
          <w:tcPr>
            <w:tcW w:w="2973" w:type="dxa"/>
          </w:tcPr>
          <w:p w14:paraId="085F80CF" w14:textId="77777777" w:rsidR="0094644B" w:rsidRPr="00FA3F57" w:rsidRDefault="0094644B" w:rsidP="00FB5086">
            <w:pPr>
              <w:rPr>
                <w:sz w:val="20"/>
                <w:szCs w:val="20"/>
              </w:rPr>
            </w:pPr>
            <w:r w:rsidRPr="00FA3F57">
              <w:rPr>
                <w:sz w:val="20"/>
                <w:szCs w:val="20"/>
              </w:rPr>
              <w:t>Year of completion of project funding</w:t>
            </w:r>
          </w:p>
        </w:tc>
        <w:tc>
          <w:tcPr>
            <w:tcW w:w="5669" w:type="dxa"/>
          </w:tcPr>
          <w:p w14:paraId="52DD41BE" w14:textId="77777777" w:rsidR="0094644B" w:rsidRPr="00FA3F57" w:rsidRDefault="0094644B" w:rsidP="00FB5086">
            <w:pPr>
              <w:rPr>
                <w:sz w:val="20"/>
                <w:szCs w:val="20"/>
              </w:rPr>
            </w:pPr>
            <w:r w:rsidRPr="00FA3F57">
              <w:rPr>
                <w:sz w:val="20"/>
                <w:szCs w:val="20"/>
              </w:rPr>
              <w:t>2027.</w:t>
            </w:r>
          </w:p>
        </w:tc>
      </w:tr>
      <w:tr w:rsidR="0094644B" w:rsidRPr="00F07779" w14:paraId="0EE2FA97" w14:textId="77777777" w:rsidTr="00FB5086">
        <w:tc>
          <w:tcPr>
            <w:tcW w:w="2973" w:type="dxa"/>
          </w:tcPr>
          <w:p w14:paraId="01B8D27B" w14:textId="77777777" w:rsidR="0094644B" w:rsidRPr="00FA3F57" w:rsidRDefault="0094644B" w:rsidP="00FB5086">
            <w:pPr>
              <w:rPr>
                <w:sz w:val="20"/>
                <w:szCs w:val="20"/>
              </w:rPr>
            </w:pPr>
            <w:r w:rsidRPr="00FA3F57">
              <w:rPr>
                <w:sz w:val="20"/>
                <w:szCs w:val="20"/>
              </w:rPr>
              <w:t>Total project value</w:t>
            </w:r>
            <w:r w:rsidRPr="00FA3F57">
              <w:rPr>
                <w:sz w:val="20"/>
                <w:szCs w:val="20"/>
              </w:rPr>
              <w:br/>
              <w:t>(in thousands of RSD)</w:t>
            </w:r>
          </w:p>
        </w:tc>
        <w:tc>
          <w:tcPr>
            <w:tcW w:w="5669" w:type="dxa"/>
          </w:tcPr>
          <w:p w14:paraId="2A6F6784" w14:textId="77777777" w:rsidR="0094644B" w:rsidRPr="00FA3F57" w:rsidRDefault="0094644B" w:rsidP="00FB5086">
            <w:pPr>
              <w:rPr>
                <w:sz w:val="20"/>
                <w:szCs w:val="20"/>
              </w:rPr>
            </w:pPr>
            <w:r w:rsidRPr="00FA3F57">
              <w:rPr>
                <w:sz w:val="20"/>
                <w:szCs w:val="20"/>
              </w:rPr>
              <w:t>15,383,200 (131.2 million EUR)</w:t>
            </w:r>
          </w:p>
        </w:tc>
      </w:tr>
      <w:tr w:rsidR="0094644B" w:rsidRPr="00F07779" w14:paraId="2EECEEBA" w14:textId="77777777" w:rsidTr="00FB5086">
        <w:tc>
          <w:tcPr>
            <w:tcW w:w="2973" w:type="dxa"/>
          </w:tcPr>
          <w:p w14:paraId="34B42FD9" w14:textId="77777777" w:rsidR="0094644B" w:rsidRPr="00FA3F57" w:rsidRDefault="0094644B" w:rsidP="00FB5086">
            <w:pPr>
              <w:rPr>
                <w:sz w:val="20"/>
                <w:szCs w:val="20"/>
              </w:rPr>
            </w:pPr>
            <w:r w:rsidRPr="00FA3F57">
              <w:rPr>
                <w:sz w:val="20"/>
                <w:szCs w:val="20"/>
              </w:rPr>
              <w:t>Planned investments for 2026.</w:t>
            </w:r>
            <w:r w:rsidRPr="00FA3F57">
              <w:rPr>
                <w:sz w:val="20"/>
                <w:szCs w:val="20"/>
              </w:rPr>
              <w:br/>
              <w:t>(in thousands of RSD)</w:t>
            </w:r>
          </w:p>
        </w:tc>
        <w:tc>
          <w:tcPr>
            <w:tcW w:w="5669" w:type="dxa"/>
          </w:tcPr>
          <w:p w14:paraId="7F9C6C1F" w14:textId="77777777" w:rsidR="0094644B" w:rsidRPr="00FA3F57" w:rsidRDefault="0094644B" w:rsidP="00FB5086">
            <w:pPr>
              <w:rPr>
                <w:sz w:val="20"/>
                <w:szCs w:val="20"/>
              </w:rPr>
            </w:pPr>
            <w:r w:rsidRPr="00FA3F57">
              <w:rPr>
                <w:sz w:val="20"/>
                <w:szCs w:val="20"/>
              </w:rPr>
              <w:t>9,229,920</w:t>
            </w:r>
          </w:p>
        </w:tc>
      </w:tr>
      <w:tr w:rsidR="0094644B" w:rsidRPr="00F07779" w14:paraId="01CB0ED1" w14:textId="77777777" w:rsidTr="00FB5086">
        <w:tc>
          <w:tcPr>
            <w:tcW w:w="2973" w:type="dxa"/>
          </w:tcPr>
          <w:p w14:paraId="528F2D03" w14:textId="77777777" w:rsidR="0094644B" w:rsidRPr="00FA3F57" w:rsidRDefault="0094644B" w:rsidP="00FB5086">
            <w:pPr>
              <w:rPr>
                <w:sz w:val="20"/>
                <w:szCs w:val="20"/>
              </w:rPr>
            </w:pPr>
            <w:r w:rsidRPr="00FA3F57">
              <w:rPr>
                <w:sz w:val="20"/>
                <w:szCs w:val="20"/>
              </w:rPr>
              <w:t>Planned investments for 2027.</w:t>
            </w:r>
            <w:r w:rsidRPr="00FA3F57">
              <w:rPr>
                <w:sz w:val="20"/>
                <w:szCs w:val="20"/>
              </w:rPr>
              <w:br/>
              <w:t>(in thousands of RSD)</w:t>
            </w:r>
          </w:p>
        </w:tc>
        <w:tc>
          <w:tcPr>
            <w:tcW w:w="5669" w:type="dxa"/>
          </w:tcPr>
          <w:p w14:paraId="59BEA4F4" w14:textId="77777777" w:rsidR="0094644B" w:rsidRPr="00FA3F57" w:rsidRDefault="0094644B" w:rsidP="00FB5086">
            <w:pPr>
              <w:rPr>
                <w:sz w:val="20"/>
                <w:szCs w:val="20"/>
              </w:rPr>
            </w:pPr>
            <w:r w:rsidRPr="00FA3F57">
              <w:rPr>
                <w:sz w:val="20"/>
                <w:szCs w:val="20"/>
              </w:rPr>
              <w:t>6,153,280</w:t>
            </w:r>
          </w:p>
        </w:tc>
      </w:tr>
      <w:tr w:rsidR="0094644B" w:rsidRPr="00F07779" w14:paraId="4851AF35" w14:textId="77777777" w:rsidTr="00FB5086">
        <w:tc>
          <w:tcPr>
            <w:tcW w:w="2973" w:type="dxa"/>
          </w:tcPr>
          <w:p w14:paraId="66042A29" w14:textId="77777777" w:rsidR="0094644B" w:rsidRPr="00FA3F57" w:rsidRDefault="0094644B" w:rsidP="00FB5086">
            <w:pPr>
              <w:rPr>
                <w:sz w:val="20"/>
                <w:szCs w:val="20"/>
              </w:rPr>
            </w:pPr>
            <w:r w:rsidRPr="00FA3F57">
              <w:rPr>
                <w:sz w:val="20"/>
                <w:szCs w:val="20"/>
              </w:rPr>
              <w:t>Planned investments for 2028.</w:t>
            </w:r>
            <w:r w:rsidRPr="00FA3F57">
              <w:rPr>
                <w:sz w:val="20"/>
                <w:szCs w:val="20"/>
              </w:rPr>
              <w:br/>
              <w:t>(in thousands of RSD)</w:t>
            </w:r>
          </w:p>
        </w:tc>
        <w:tc>
          <w:tcPr>
            <w:tcW w:w="5669" w:type="dxa"/>
          </w:tcPr>
          <w:p w14:paraId="48D2569D" w14:textId="77777777" w:rsidR="0094644B" w:rsidRPr="00FA3F57" w:rsidRDefault="0094644B" w:rsidP="00FB5086">
            <w:pPr>
              <w:rPr>
                <w:sz w:val="20"/>
                <w:szCs w:val="20"/>
              </w:rPr>
            </w:pPr>
            <w:r w:rsidRPr="00FA3F57">
              <w:rPr>
                <w:sz w:val="20"/>
                <w:szCs w:val="20"/>
              </w:rPr>
              <w:t>0</w:t>
            </w:r>
          </w:p>
        </w:tc>
      </w:tr>
      <w:tr w:rsidR="0094644B" w:rsidRPr="00F07779" w14:paraId="4580A22E" w14:textId="77777777" w:rsidTr="00FB5086">
        <w:trPr>
          <w:trHeight w:val="70"/>
        </w:trPr>
        <w:tc>
          <w:tcPr>
            <w:tcW w:w="2973" w:type="dxa"/>
          </w:tcPr>
          <w:p w14:paraId="00BB6CDC" w14:textId="77777777" w:rsidR="0094644B" w:rsidRPr="00FA3F57" w:rsidRDefault="0094644B" w:rsidP="00FB5086">
            <w:pPr>
              <w:rPr>
                <w:sz w:val="20"/>
                <w:szCs w:val="20"/>
              </w:rPr>
            </w:pPr>
            <w:r w:rsidRPr="00FA3F57">
              <w:rPr>
                <w:sz w:val="20"/>
                <w:szCs w:val="20"/>
              </w:rPr>
              <w:lastRenderedPageBreak/>
              <w:t>Impact on EE, climate, and environmental protection</w:t>
            </w:r>
          </w:p>
        </w:tc>
        <w:tc>
          <w:tcPr>
            <w:tcW w:w="5669" w:type="dxa"/>
          </w:tcPr>
          <w:p w14:paraId="314BD6EA" w14:textId="77777777" w:rsidR="0094644B" w:rsidRPr="00FA3F57" w:rsidRDefault="0094644B" w:rsidP="00FB5086">
            <w:pPr>
              <w:rPr>
                <w:sz w:val="20"/>
                <w:szCs w:val="20"/>
              </w:rPr>
            </w:pPr>
            <w:r w:rsidRPr="00FA3F57">
              <w:rPr>
                <w:sz w:val="20"/>
                <w:szCs w:val="20"/>
              </w:rPr>
              <w:t>n/a</w:t>
            </w:r>
          </w:p>
        </w:tc>
      </w:tr>
    </w:tbl>
    <w:p w14:paraId="72DA9583" w14:textId="77777777" w:rsidR="0094644B" w:rsidRPr="00FA3F57" w:rsidRDefault="0094644B" w:rsidP="0094644B"/>
    <w:p w14:paraId="46A6C02B" w14:textId="77777777" w:rsidR="0094644B" w:rsidRPr="00F07779" w:rsidRDefault="0094644B" w:rsidP="0094644B">
      <w:pPr>
        <w:keepNext/>
        <w:tabs>
          <w:tab w:val="left" w:pos="851"/>
          <w:tab w:val="left" w:pos="1560"/>
        </w:tabs>
        <w:ind w:left="1440" w:hanging="1440"/>
      </w:pPr>
      <w:r w:rsidRPr="00FA3F57">
        <w:t>Table 5.1.4-3:</w:t>
      </w:r>
      <w:r w:rsidRPr="00FA3F57">
        <w:tab/>
        <w:t>Activities for the implementation of EL4</w:t>
      </w:r>
      <w:r w:rsidRPr="00F07779">
        <w:t xml:space="preserve"> </w:t>
      </w:r>
      <w:r w:rsidRPr="00FA3F57">
        <w:t>measure – Activity EL4.3</w:t>
      </w:r>
    </w:p>
    <w:tbl>
      <w:tblPr>
        <w:tblStyle w:val="TableGrid"/>
        <w:tblW w:w="0" w:type="auto"/>
        <w:tblLook w:val="04A0" w:firstRow="1" w:lastRow="0" w:firstColumn="1" w:lastColumn="0" w:noHBand="0" w:noVBand="1"/>
      </w:tblPr>
      <w:tblGrid>
        <w:gridCol w:w="2973"/>
        <w:gridCol w:w="5669"/>
      </w:tblGrid>
      <w:tr w:rsidR="0094644B" w:rsidRPr="00F07779" w14:paraId="1D7FAA78" w14:textId="77777777" w:rsidTr="00FB5086">
        <w:tc>
          <w:tcPr>
            <w:tcW w:w="2973" w:type="dxa"/>
            <w:shd w:val="clear" w:color="auto" w:fill="D0CECE" w:themeFill="background2" w:themeFillShade="E6"/>
          </w:tcPr>
          <w:p w14:paraId="06271BF3" w14:textId="77777777" w:rsidR="0094644B" w:rsidRPr="00FA3F57" w:rsidRDefault="0094644B" w:rsidP="00FB5086">
            <w:pPr>
              <w:keepNext/>
              <w:rPr>
                <w:sz w:val="20"/>
                <w:szCs w:val="20"/>
              </w:rPr>
            </w:pPr>
            <w:r w:rsidRPr="00FA3F57">
              <w:rPr>
                <w:sz w:val="20"/>
                <w:szCs w:val="20"/>
              </w:rPr>
              <w:t>Activity EL4.3</w:t>
            </w:r>
          </w:p>
        </w:tc>
        <w:tc>
          <w:tcPr>
            <w:tcW w:w="5669" w:type="dxa"/>
            <w:shd w:val="clear" w:color="auto" w:fill="D0CECE" w:themeFill="background2" w:themeFillShade="E6"/>
          </w:tcPr>
          <w:p w14:paraId="2567E317" w14:textId="77777777" w:rsidR="0094644B" w:rsidRPr="00FA3F57" w:rsidRDefault="0094644B" w:rsidP="00FB5086">
            <w:pPr>
              <w:keepNext/>
              <w:rPr>
                <w:sz w:val="20"/>
                <w:szCs w:val="20"/>
              </w:rPr>
            </w:pPr>
            <w:r w:rsidRPr="00FA3F57">
              <w:rPr>
                <w:sz w:val="20"/>
                <w:szCs w:val="20"/>
              </w:rPr>
              <w:t xml:space="preserve">Construction of </w:t>
            </w:r>
            <w:r w:rsidRPr="00F07779">
              <w:rPr>
                <w:sz w:val="20"/>
                <w:szCs w:val="20"/>
              </w:rPr>
              <w:t>pumped storage hydropower plants</w:t>
            </w:r>
          </w:p>
        </w:tc>
      </w:tr>
      <w:tr w:rsidR="0094644B" w:rsidRPr="00F07779" w14:paraId="3401B8AA" w14:textId="77777777" w:rsidTr="00FB5086">
        <w:tc>
          <w:tcPr>
            <w:tcW w:w="2973" w:type="dxa"/>
            <w:shd w:val="clear" w:color="auto" w:fill="D9E2F3" w:themeFill="accent1" w:themeFillTint="33"/>
          </w:tcPr>
          <w:p w14:paraId="45BB9183" w14:textId="77777777" w:rsidR="0094644B" w:rsidRPr="00FA3F57" w:rsidRDefault="0094644B" w:rsidP="00FB5086">
            <w:pPr>
              <w:keepNext/>
              <w:rPr>
                <w:sz w:val="20"/>
                <w:szCs w:val="20"/>
              </w:rPr>
            </w:pPr>
            <w:r w:rsidRPr="00FA3F57">
              <w:rPr>
                <w:sz w:val="20"/>
                <w:szCs w:val="20"/>
              </w:rPr>
              <w:t>Name of the project</w:t>
            </w:r>
          </w:p>
        </w:tc>
        <w:tc>
          <w:tcPr>
            <w:tcW w:w="5669" w:type="dxa"/>
            <w:shd w:val="clear" w:color="auto" w:fill="D9E2F3" w:themeFill="accent1" w:themeFillTint="33"/>
          </w:tcPr>
          <w:p w14:paraId="47CA3936" w14:textId="77777777" w:rsidR="0094644B" w:rsidRPr="00FA3F57" w:rsidRDefault="0094644B" w:rsidP="00FB5086">
            <w:pPr>
              <w:keepNext/>
              <w:rPr>
                <w:sz w:val="20"/>
                <w:szCs w:val="20"/>
              </w:rPr>
            </w:pPr>
            <w:r w:rsidRPr="00F07779">
              <w:rPr>
                <w:sz w:val="20"/>
                <w:szCs w:val="20"/>
              </w:rPr>
              <w:t>Construction of the PSHPP Bistrica with a capacity of approximately 660 MW</w:t>
            </w:r>
          </w:p>
        </w:tc>
      </w:tr>
      <w:tr w:rsidR="0094644B" w:rsidRPr="00F07779" w14:paraId="22BC7EF3" w14:textId="77777777" w:rsidTr="00FB5086">
        <w:tc>
          <w:tcPr>
            <w:tcW w:w="2973" w:type="dxa"/>
          </w:tcPr>
          <w:p w14:paraId="411628C0" w14:textId="77777777" w:rsidR="0094644B" w:rsidRPr="00FA3F57" w:rsidRDefault="0094644B" w:rsidP="00FB5086">
            <w:pPr>
              <w:rPr>
                <w:sz w:val="20"/>
                <w:szCs w:val="20"/>
              </w:rPr>
            </w:pPr>
            <w:r w:rsidRPr="00FA3F57">
              <w:rPr>
                <w:sz w:val="20"/>
                <w:szCs w:val="20"/>
              </w:rPr>
              <w:t>Short description of the investment</w:t>
            </w:r>
          </w:p>
        </w:tc>
        <w:tc>
          <w:tcPr>
            <w:tcW w:w="5669" w:type="dxa"/>
          </w:tcPr>
          <w:p w14:paraId="0A26232C" w14:textId="77777777" w:rsidR="0094644B" w:rsidRPr="00FA3F57" w:rsidRDefault="0094644B" w:rsidP="00FB5086">
            <w:pPr>
              <w:rPr>
                <w:sz w:val="20"/>
                <w:szCs w:val="20"/>
              </w:rPr>
            </w:pPr>
            <w:r w:rsidRPr="00FA3F57">
              <w:rPr>
                <w:sz w:val="20"/>
                <w:szCs w:val="20"/>
              </w:rPr>
              <w:t xml:space="preserve">The reversible hydroelectric power plant PSHPP Bistrica is a multipurpose energy plant with the possibility of pump-turbine operation of the unit. With their energy characteristics and location in the </w:t>
            </w:r>
            <w:proofErr w:type="spellStart"/>
            <w:r w:rsidRPr="00FA3F57">
              <w:rPr>
                <w:sz w:val="20"/>
                <w:szCs w:val="20"/>
              </w:rPr>
              <w:t>Uvac</w:t>
            </w:r>
            <w:proofErr w:type="spellEnd"/>
            <w:r w:rsidRPr="00FA3F57">
              <w:rPr>
                <w:sz w:val="20"/>
                <w:szCs w:val="20"/>
              </w:rPr>
              <w:t xml:space="preserve"> basin, the PSHPP Bistrica and the Klak reservoir bring a new quality to the way all hydroelectric power plants on the </w:t>
            </w:r>
            <w:proofErr w:type="spellStart"/>
            <w:r w:rsidRPr="00FA3F57">
              <w:rPr>
                <w:sz w:val="20"/>
                <w:szCs w:val="20"/>
              </w:rPr>
              <w:t>Uvac</w:t>
            </w:r>
            <w:proofErr w:type="spellEnd"/>
            <w:r w:rsidRPr="00FA3F57">
              <w:rPr>
                <w:sz w:val="20"/>
                <w:szCs w:val="20"/>
              </w:rPr>
              <w:t xml:space="preserve"> and Lim rivers are used. The installation of 4 units is planned, with a total </w:t>
            </w:r>
            <w:proofErr w:type="gramStart"/>
            <w:r w:rsidRPr="00FA3F57">
              <w:rPr>
                <w:sz w:val="20"/>
                <w:szCs w:val="20"/>
              </w:rPr>
              <w:t>installed</w:t>
            </w:r>
            <w:proofErr w:type="gramEnd"/>
            <w:r w:rsidRPr="00FA3F57">
              <w:rPr>
                <w:sz w:val="20"/>
                <w:szCs w:val="20"/>
              </w:rPr>
              <w:t xml:space="preserve"> capacity of 661 MW in turbine mode. The expected annual production is 1600 </w:t>
            </w:r>
            <w:proofErr w:type="spellStart"/>
            <w:r w:rsidRPr="00FA3F57">
              <w:rPr>
                <w:sz w:val="20"/>
                <w:szCs w:val="20"/>
              </w:rPr>
              <w:t>GWh</w:t>
            </w:r>
            <w:proofErr w:type="gramStart"/>
            <w:r w:rsidRPr="00FA3F57">
              <w:rPr>
                <w:sz w:val="20"/>
                <w:szCs w:val="20"/>
              </w:rPr>
              <w:t>.Expected</w:t>
            </w:r>
            <w:proofErr w:type="spellEnd"/>
            <w:proofErr w:type="gramEnd"/>
            <w:r w:rsidRPr="00FA3F57">
              <w:rPr>
                <w:sz w:val="20"/>
                <w:szCs w:val="20"/>
              </w:rPr>
              <w:t xml:space="preserve"> dynamics of project implementation:</w:t>
            </w:r>
          </w:p>
          <w:p w14:paraId="74200528" w14:textId="77777777" w:rsidR="0094644B" w:rsidRPr="00FA3F57" w:rsidRDefault="0094644B" w:rsidP="00FB5086">
            <w:pPr>
              <w:rPr>
                <w:sz w:val="20"/>
                <w:szCs w:val="20"/>
              </w:rPr>
            </w:pPr>
            <w:r w:rsidRPr="00FA3F57">
              <w:rPr>
                <w:sz w:val="20"/>
                <w:szCs w:val="20"/>
              </w:rPr>
              <w:t>2026. Building permit</w:t>
            </w:r>
          </w:p>
          <w:p w14:paraId="0B72B5E3" w14:textId="77777777" w:rsidR="0094644B" w:rsidRPr="00FA3F57" w:rsidRDefault="0094644B" w:rsidP="00FB5086">
            <w:pPr>
              <w:rPr>
                <w:sz w:val="20"/>
                <w:szCs w:val="20"/>
              </w:rPr>
            </w:pPr>
            <w:r w:rsidRPr="00FA3F57">
              <w:rPr>
                <w:sz w:val="20"/>
                <w:szCs w:val="20"/>
              </w:rPr>
              <w:t>2027.</w:t>
            </w:r>
            <w:r w:rsidRPr="00F07779">
              <w:rPr>
                <w:sz w:val="20"/>
                <w:szCs w:val="20"/>
              </w:rPr>
              <w:t xml:space="preserve"> </w:t>
            </w:r>
            <w:r w:rsidRPr="00FA3F57">
              <w:rPr>
                <w:sz w:val="20"/>
                <w:szCs w:val="20"/>
              </w:rPr>
              <w:t>Construction</w:t>
            </w:r>
          </w:p>
          <w:p w14:paraId="4AB87DBC" w14:textId="77777777" w:rsidR="0094644B" w:rsidRPr="00FA3F57" w:rsidRDefault="0094644B" w:rsidP="00FB5086">
            <w:pPr>
              <w:rPr>
                <w:sz w:val="20"/>
                <w:szCs w:val="20"/>
              </w:rPr>
            </w:pPr>
            <w:r w:rsidRPr="00FA3F57">
              <w:rPr>
                <w:sz w:val="20"/>
                <w:szCs w:val="20"/>
              </w:rPr>
              <w:t>2028.</w:t>
            </w:r>
            <w:r w:rsidRPr="00F07779">
              <w:rPr>
                <w:sz w:val="20"/>
                <w:szCs w:val="20"/>
              </w:rPr>
              <w:t xml:space="preserve"> </w:t>
            </w:r>
            <w:r w:rsidRPr="00FA3F57">
              <w:rPr>
                <w:sz w:val="20"/>
                <w:szCs w:val="20"/>
              </w:rPr>
              <w:t>Construction</w:t>
            </w:r>
          </w:p>
        </w:tc>
      </w:tr>
      <w:tr w:rsidR="0094644B" w:rsidRPr="00F07779" w14:paraId="306DDA12" w14:textId="77777777" w:rsidTr="00FB5086">
        <w:tc>
          <w:tcPr>
            <w:tcW w:w="2973" w:type="dxa"/>
          </w:tcPr>
          <w:p w14:paraId="345EE81A" w14:textId="77777777" w:rsidR="0094644B" w:rsidRPr="00FA3F57" w:rsidRDefault="0094644B" w:rsidP="00FB5086">
            <w:pPr>
              <w:rPr>
                <w:sz w:val="20"/>
                <w:szCs w:val="20"/>
              </w:rPr>
            </w:pPr>
            <w:r w:rsidRPr="00FA3F57">
              <w:rPr>
                <w:sz w:val="20"/>
                <w:szCs w:val="20"/>
              </w:rPr>
              <w:t>Institutions responsible for the implementation of measures and activities</w:t>
            </w:r>
          </w:p>
        </w:tc>
        <w:tc>
          <w:tcPr>
            <w:tcW w:w="5669" w:type="dxa"/>
          </w:tcPr>
          <w:p w14:paraId="37FAED49" w14:textId="77777777" w:rsidR="0094644B" w:rsidRPr="00FA3F57" w:rsidRDefault="0094644B" w:rsidP="00FB5086">
            <w:pPr>
              <w:rPr>
                <w:sz w:val="20"/>
                <w:szCs w:val="20"/>
              </w:rPr>
            </w:pPr>
            <w:r w:rsidRPr="00FA3F57">
              <w:rPr>
                <w:sz w:val="20"/>
                <w:szCs w:val="20"/>
              </w:rPr>
              <w:t>Joint Stock Company "</w:t>
            </w:r>
            <w:proofErr w:type="spellStart"/>
            <w:r w:rsidRPr="00FA3F57">
              <w:rPr>
                <w:sz w:val="20"/>
                <w:szCs w:val="20"/>
              </w:rPr>
              <w:t>Elektroprivreda</w:t>
            </w:r>
            <w:proofErr w:type="spellEnd"/>
            <w:r w:rsidRPr="00FA3F57">
              <w:rPr>
                <w:sz w:val="20"/>
                <w:szCs w:val="20"/>
              </w:rPr>
              <w:t xml:space="preserve"> Srbije" </w:t>
            </w:r>
          </w:p>
        </w:tc>
      </w:tr>
      <w:tr w:rsidR="0094644B" w:rsidRPr="00F07779" w14:paraId="3DCFB341" w14:textId="77777777" w:rsidTr="00FB5086">
        <w:tc>
          <w:tcPr>
            <w:tcW w:w="2973" w:type="dxa"/>
          </w:tcPr>
          <w:p w14:paraId="0153A222" w14:textId="77777777" w:rsidR="0094644B" w:rsidRPr="00FA3F57" w:rsidRDefault="0094644B" w:rsidP="00FB5086">
            <w:pPr>
              <w:rPr>
                <w:sz w:val="20"/>
                <w:szCs w:val="20"/>
              </w:rPr>
            </w:pPr>
            <w:r w:rsidRPr="00FA3F57">
              <w:rPr>
                <w:sz w:val="20"/>
                <w:szCs w:val="20"/>
              </w:rPr>
              <w:t>Institutions responsible for monitoring implementation and reporting on the realization</w:t>
            </w:r>
          </w:p>
        </w:tc>
        <w:tc>
          <w:tcPr>
            <w:tcW w:w="5669" w:type="dxa"/>
          </w:tcPr>
          <w:p w14:paraId="007FB1AC" w14:textId="77777777" w:rsidR="0094644B" w:rsidRPr="00FA3F57" w:rsidRDefault="0094644B" w:rsidP="00FB5086">
            <w:pPr>
              <w:rPr>
                <w:sz w:val="20"/>
                <w:szCs w:val="20"/>
              </w:rPr>
            </w:pPr>
            <w:r w:rsidRPr="00FA3F57">
              <w:rPr>
                <w:sz w:val="20"/>
                <w:szCs w:val="20"/>
              </w:rPr>
              <w:t>Joint Stock Company "</w:t>
            </w:r>
            <w:proofErr w:type="spellStart"/>
            <w:r w:rsidRPr="00FA3F57">
              <w:rPr>
                <w:sz w:val="20"/>
                <w:szCs w:val="20"/>
              </w:rPr>
              <w:t>Elektroprivreda</w:t>
            </w:r>
            <w:proofErr w:type="spellEnd"/>
            <w:r w:rsidRPr="00FA3F57">
              <w:rPr>
                <w:sz w:val="20"/>
                <w:szCs w:val="20"/>
              </w:rPr>
              <w:t xml:space="preserve"> Srbije" Ministry of Mining and Energy</w:t>
            </w:r>
          </w:p>
        </w:tc>
      </w:tr>
      <w:tr w:rsidR="0094644B" w:rsidRPr="00F07779" w14:paraId="1BCF5EEF" w14:textId="77777777" w:rsidTr="00FB5086">
        <w:tc>
          <w:tcPr>
            <w:tcW w:w="2973" w:type="dxa"/>
          </w:tcPr>
          <w:p w14:paraId="641CAA8D" w14:textId="77777777" w:rsidR="0094644B" w:rsidRPr="00FA3F57" w:rsidRDefault="0094644B" w:rsidP="00FB5086">
            <w:pPr>
              <w:rPr>
                <w:sz w:val="20"/>
                <w:szCs w:val="20"/>
              </w:rPr>
            </w:pPr>
            <w:r w:rsidRPr="00FA3F57">
              <w:rPr>
                <w:sz w:val="20"/>
                <w:szCs w:val="20"/>
              </w:rPr>
              <w:t>Year of project funding start</w:t>
            </w:r>
          </w:p>
        </w:tc>
        <w:tc>
          <w:tcPr>
            <w:tcW w:w="5669" w:type="dxa"/>
          </w:tcPr>
          <w:p w14:paraId="3AC7BDF6" w14:textId="77777777" w:rsidR="0094644B" w:rsidRPr="00FA3F57" w:rsidRDefault="0094644B" w:rsidP="00FB5086">
            <w:pPr>
              <w:rPr>
                <w:sz w:val="20"/>
                <w:szCs w:val="20"/>
              </w:rPr>
            </w:pPr>
            <w:r w:rsidRPr="00FA3F57">
              <w:rPr>
                <w:sz w:val="20"/>
                <w:szCs w:val="20"/>
              </w:rPr>
              <w:t>2027.</w:t>
            </w:r>
          </w:p>
        </w:tc>
      </w:tr>
      <w:tr w:rsidR="0094644B" w:rsidRPr="00F07779" w14:paraId="7401312F" w14:textId="77777777" w:rsidTr="00FB5086">
        <w:tc>
          <w:tcPr>
            <w:tcW w:w="2973" w:type="dxa"/>
          </w:tcPr>
          <w:p w14:paraId="7D79C51F" w14:textId="77777777" w:rsidR="0094644B" w:rsidRPr="00FA3F57" w:rsidRDefault="0094644B" w:rsidP="00FB5086">
            <w:pPr>
              <w:rPr>
                <w:sz w:val="20"/>
                <w:szCs w:val="20"/>
              </w:rPr>
            </w:pPr>
            <w:r w:rsidRPr="00FA3F57">
              <w:rPr>
                <w:sz w:val="20"/>
                <w:szCs w:val="20"/>
              </w:rPr>
              <w:t>Year of completion of project funding</w:t>
            </w:r>
          </w:p>
        </w:tc>
        <w:tc>
          <w:tcPr>
            <w:tcW w:w="5669" w:type="dxa"/>
          </w:tcPr>
          <w:p w14:paraId="438C2F59" w14:textId="77777777" w:rsidR="0094644B" w:rsidRPr="00FA3F57" w:rsidRDefault="0094644B" w:rsidP="00FB5086">
            <w:pPr>
              <w:rPr>
                <w:sz w:val="20"/>
                <w:szCs w:val="20"/>
              </w:rPr>
            </w:pPr>
            <w:r w:rsidRPr="00FA3F57">
              <w:rPr>
                <w:sz w:val="20"/>
                <w:szCs w:val="20"/>
              </w:rPr>
              <w:t>2032.</w:t>
            </w:r>
          </w:p>
        </w:tc>
      </w:tr>
      <w:tr w:rsidR="0094644B" w:rsidRPr="00F07779" w14:paraId="6C6C7A9C" w14:textId="77777777" w:rsidTr="00FB5086">
        <w:tc>
          <w:tcPr>
            <w:tcW w:w="2973" w:type="dxa"/>
          </w:tcPr>
          <w:p w14:paraId="6CC8DFB1" w14:textId="77777777" w:rsidR="0094644B" w:rsidRPr="00FA3F57" w:rsidRDefault="0094644B" w:rsidP="00FB5086">
            <w:pPr>
              <w:rPr>
                <w:sz w:val="20"/>
                <w:szCs w:val="20"/>
              </w:rPr>
            </w:pPr>
            <w:r w:rsidRPr="00FA3F57">
              <w:rPr>
                <w:sz w:val="20"/>
                <w:szCs w:val="20"/>
              </w:rPr>
              <w:t>Total project value</w:t>
            </w:r>
            <w:r w:rsidRPr="00FA3F57">
              <w:rPr>
                <w:sz w:val="20"/>
                <w:szCs w:val="20"/>
              </w:rPr>
              <w:br/>
              <w:t>(in thousands of RSD)</w:t>
            </w:r>
          </w:p>
        </w:tc>
        <w:tc>
          <w:tcPr>
            <w:tcW w:w="5669" w:type="dxa"/>
          </w:tcPr>
          <w:p w14:paraId="713A80CF" w14:textId="77777777" w:rsidR="0094644B" w:rsidRPr="00FA3F57" w:rsidRDefault="0094644B" w:rsidP="00FB5086">
            <w:pPr>
              <w:rPr>
                <w:sz w:val="20"/>
                <w:szCs w:val="20"/>
              </w:rPr>
            </w:pPr>
            <w:r w:rsidRPr="00FA3F57">
              <w:rPr>
                <w:sz w:val="20"/>
                <w:szCs w:val="20"/>
              </w:rPr>
              <w:t>112,853,125 (962.5 million EUR)</w:t>
            </w:r>
            <w:r w:rsidRPr="00FA3F57" w:rsidDel="000F54F2">
              <w:rPr>
                <w:sz w:val="20"/>
                <w:szCs w:val="20"/>
              </w:rPr>
              <w:t xml:space="preserve"> </w:t>
            </w:r>
            <w:r w:rsidRPr="00FA3F57">
              <w:rPr>
                <w:sz w:val="20"/>
                <w:szCs w:val="20"/>
              </w:rPr>
              <w:t>(Founding investments from 2021 to date are around 6 million EUR)</w:t>
            </w:r>
          </w:p>
        </w:tc>
      </w:tr>
      <w:tr w:rsidR="0094644B" w:rsidRPr="00F07779" w14:paraId="17C57B2D" w14:textId="77777777" w:rsidTr="00FB5086">
        <w:tc>
          <w:tcPr>
            <w:tcW w:w="2973" w:type="dxa"/>
          </w:tcPr>
          <w:p w14:paraId="18A8A4CA" w14:textId="77777777" w:rsidR="0094644B" w:rsidRPr="00FA3F57" w:rsidRDefault="0094644B" w:rsidP="00FB5086">
            <w:pPr>
              <w:rPr>
                <w:sz w:val="20"/>
                <w:szCs w:val="20"/>
              </w:rPr>
            </w:pPr>
            <w:r w:rsidRPr="00FA3F57">
              <w:rPr>
                <w:sz w:val="20"/>
                <w:szCs w:val="20"/>
              </w:rPr>
              <w:t>Planned investments for 2026.</w:t>
            </w:r>
            <w:r w:rsidRPr="00FA3F57">
              <w:rPr>
                <w:sz w:val="20"/>
                <w:szCs w:val="20"/>
              </w:rPr>
              <w:br/>
              <w:t>(in thousands of RSD)</w:t>
            </w:r>
          </w:p>
        </w:tc>
        <w:tc>
          <w:tcPr>
            <w:tcW w:w="5669" w:type="dxa"/>
          </w:tcPr>
          <w:p w14:paraId="18C6A570" w14:textId="77777777" w:rsidR="0094644B" w:rsidRPr="00FA3F57" w:rsidRDefault="0094644B" w:rsidP="00FB5086">
            <w:pPr>
              <w:rPr>
                <w:sz w:val="20"/>
                <w:szCs w:val="20"/>
              </w:rPr>
            </w:pPr>
            <w:r w:rsidRPr="00FA3F57">
              <w:rPr>
                <w:sz w:val="20"/>
                <w:szCs w:val="20"/>
              </w:rPr>
              <w:t>15,242,500 (loan)</w:t>
            </w:r>
          </w:p>
        </w:tc>
      </w:tr>
      <w:tr w:rsidR="0094644B" w:rsidRPr="00F07779" w14:paraId="64ADC356" w14:textId="77777777" w:rsidTr="00FB5086">
        <w:tc>
          <w:tcPr>
            <w:tcW w:w="2973" w:type="dxa"/>
          </w:tcPr>
          <w:p w14:paraId="0E133DC0" w14:textId="77777777" w:rsidR="0094644B" w:rsidRPr="00FA3F57" w:rsidRDefault="0094644B" w:rsidP="00FB5086">
            <w:pPr>
              <w:rPr>
                <w:sz w:val="20"/>
                <w:szCs w:val="20"/>
              </w:rPr>
            </w:pPr>
            <w:r w:rsidRPr="00FA3F57">
              <w:rPr>
                <w:sz w:val="20"/>
                <w:szCs w:val="20"/>
              </w:rPr>
              <w:t>Planned investments for 2027.</w:t>
            </w:r>
            <w:r w:rsidRPr="00FA3F57">
              <w:rPr>
                <w:sz w:val="20"/>
                <w:szCs w:val="20"/>
              </w:rPr>
              <w:br/>
              <w:t>(in thousands of RSD)</w:t>
            </w:r>
          </w:p>
        </w:tc>
        <w:tc>
          <w:tcPr>
            <w:tcW w:w="5669" w:type="dxa"/>
          </w:tcPr>
          <w:p w14:paraId="13349E68" w14:textId="77777777" w:rsidR="0094644B" w:rsidRPr="00FA3F57" w:rsidRDefault="0094644B" w:rsidP="00FB5086">
            <w:pPr>
              <w:rPr>
                <w:sz w:val="20"/>
                <w:szCs w:val="20"/>
              </w:rPr>
            </w:pPr>
            <w:r w:rsidRPr="00FA3F57">
              <w:rPr>
                <w:sz w:val="20"/>
                <w:szCs w:val="20"/>
              </w:rPr>
              <w:t>23,450,000 (loan)</w:t>
            </w:r>
          </w:p>
        </w:tc>
      </w:tr>
      <w:tr w:rsidR="0094644B" w:rsidRPr="00F07779" w14:paraId="7DC72E4D" w14:textId="77777777" w:rsidTr="00FB5086">
        <w:tc>
          <w:tcPr>
            <w:tcW w:w="2973" w:type="dxa"/>
          </w:tcPr>
          <w:p w14:paraId="792BA5FC" w14:textId="77777777" w:rsidR="0094644B" w:rsidRPr="00FA3F57" w:rsidRDefault="0094644B" w:rsidP="00FB5086">
            <w:pPr>
              <w:rPr>
                <w:sz w:val="20"/>
                <w:szCs w:val="20"/>
              </w:rPr>
            </w:pPr>
            <w:r w:rsidRPr="00FA3F57">
              <w:rPr>
                <w:sz w:val="20"/>
                <w:szCs w:val="20"/>
              </w:rPr>
              <w:t>Planned investments for 2028.</w:t>
            </w:r>
            <w:r w:rsidRPr="00FA3F57">
              <w:rPr>
                <w:sz w:val="20"/>
                <w:szCs w:val="20"/>
              </w:rPr>
              <w:br/>
              <w:t>(in thousands of RSD)</w:t>
            </w:r>
          </w:p>
        </w:tc>
        <w:tc>
          <w:tcPr>
            <w:tcW w:w="5669" w:type="dxa"/>
          </w:tcPr>
          <w:p w14:paraId="1A8BBC65" w14:textId="77777777" w:rsidR="0094644B" w:rsidRPr="00FA3F57" w:rsidRDefault="0094644B" w:rsidP="00FB5086">
            <w:pPr>
              <w:rPr>
                <w:sz w:val="20"/>
                <w:szCs w:val="20"/>
              </w:rPr>
            </w:pPr>
            <w:r w:rsidRPr="00FA3F57">
              <w:rPr>
                <w:sz w:val="20"/>
                <w:szCs w:val="20"/>
              </w:rPr>
              <w:t>23,450,000 (loan)</w:t>
            </w:r>
          </w:p>
        </w:tc>
      </w:tr>
    </w:tbl>
    <w:p w14:paraId="5D484857" w14:textId="77777777" w:rsidR="0094644B" w:rsidRPr="00FA3F57" w:rsidRDefault="0094644B" w:rsidP="0094644B"/>
    <w:tbl>
      <w:tblPr>
        <w:tblStyle w:val="TableGrid"/>
        <w:tblW w:w="0" w:type="auto"/>
        <w:tblLook w:val="04A0" w:firstRow="1" w:lastRow="0" w:firstColumn="1" w:lastColumn="0" w:noHBand="0" w:noVBand="1"/>
      </w:tblPr>
      <w:tblGrid>
        <w:gridCol w:w="2973"/>
        <w:gridCol w:w="5669"/>
      </w:tblGrid>
      <w:tr w:rsidR="0094644B" w:rsidRPr="00F07779" w14:paraId="034ECA96" w14:textId="77777777" w:rsidTr="00FB5086">
        <w:tc>
          <w:tcPr>
            <w:tcW w:w="2973" w:type="dxa"/>
            <w:shd w:val="clear" w:color="auto" w:fill="D0CECE" w:themeFill="background2" w:themeFillShade="E6"/>
          </w:tcPr>
          <w:p w14:paraId="390C21EC" w14:textId="77777777" w:rsidR="0094644B" w:rsidRPr="00FA3F57" w:rsidRDefault="0094644B" w:rsidP="00FB5086">
            <w:pPr>
              <w:keepNext/>
              <w:rPr>
                <w:sz w:val="20"/>
                <w:szCs w:val="20"/>
              </w:rPr>
            </w:pPr>
            <w:r w:rsidRPr="00FA3F57">
              <w:rPr>
                <w:sz w:val="20"/>
                <w:szCs w:val="20"/>
              </w:rPr>
              <w:t>Activity EL4.3</w:t>
            </w:r>
          </w:p>
        </w:tc>
        <w:tc>
          <w:tcPr>
            <w:tcW w:w="5669" w:type="dxa"/>
            <w:shd w:val="clear" w:color="auto" w:fill="D0CECE" w:themeFill="background2" w:themeFillShade="E6"/>
          </w:tcPr>
          <w:p w14:paraId="217E3F4A" w14:textId="77777777" w:rsidR="0094644B" w:rsidRPr="00FA3F57" w:rsidRDefault="0094644B" w:rsidP="00FB5086">
            <w:pPr>
              <w:keepNext/>
              <w:rPr>
                <w:sz w:val="20"/>
                <w:szCs w:val="20"/>
              </w:rPr>
            </w:pPr>
            <w:r w:rsidRPr="00FA3F57">
              <w:rPr>
                <w:sz w:val="20"/>
                <w:szCs w:val="20"/>
              </w:rPr>
              <w:t xml:space="preserve">Construction of </w:t>
            </w:r>
            <w:r w:rsidRPr="00F07779">
              <w:rPr>
                <w:sz w:val="20"/>
                <w:szCs w:val="20"/>
              </w:rPr>
              <w:t>pumped storage hydropower plants</w:t>
            </w:r>
          </w:p>
        </w:tc>
      </w:tr>
      <w:tr w:rsidR="0094644B" w:rsidRPr="00F07779" w14:paraId="173CC47A" w14:textId="77777777" w:rsidTr="00FB5086">
        <w:tc>
          <w:tcPr>
            <w:tcW w:w="2973" w:type="dxa"/>
            <w:shd w:val="clear" w:color="auto" w:fill="D9E2F3" w:themeFill="accent1" w:themeFillTint="33"/>
          </w:tcPr>
          <w:p w14:paraId="00BE81A9" w14:textId="77777777" w:rsidR="0094644B" w:rsidRPr="00FA3F57" w:rsidRDefault="0094644B" w:rsidP="00FB5086">
            <w:pPr>
              <w:keepNext/>
              <w:rPr>
                <w:sz w:val="20"/>
                <w:szCs w:val="20"/>
              </w:rPr>
            </w:pPr>
            <w:r w:rsidRPr="00FA3F57">
              <w:rPr>
                <w:sz w:val="20"/>
                <w:szCs w:val="20"/>
              </w:rPr>
              <w:t>Name of the project</w:t>
            </w:r>
          </w:p>
        </w:tc>
        <w:tc>
          <w:tcPr>
            <w:tcW w:w="5669" w:type="dxa"/>
            <w:shd w:val="clear" w:color="auto" w:fill="D9E2F3" w:themeFill="accent1" w:themeFillTint="33"/>
          </w:tcPr>
          <w:p w14:paraId="2780E779" w14:textId="77777777" w:rsidR="0094644B" w:rsidRPr="00FA3F57" w:rsidRDefault="0094644B" w:rsidP="00FB5086">
            <w:pPr>
              <w:keepNext/>
              <w:rPr>
                <w:sz w:val="20"/>
                <w:szCs w:val="20"/>
              </w:rPr>
            </w:pPr>
            <w:r w:rsidRPr="00FA3F57">
              <w:rPr>
                <w:sz w:val="20"/>
                <w:szCs w:val="20"/>
              </w:rPr>
              <w:t xml:space="preserve">Construction of the PSHPP </w:t>
            </w:r>
            <w:proofErr w:type="spellStart"/>
            <w:r w:rsidRPr="00FA3F57">
              <w:rPr>
                <w:sz w:val="20"/>
                <w:szCs w:val="20"/>
              </w:rPr>
              <w:t>Đerdap</w:t>
            </w:r>
            <w:proofErr w:type="spellEnd"/>
            <w:r w:rsidRPr="00FA3F57">
              <w:rPr>
                <w:sz w:val="20"/>
                <w:szCs w:val="20"/>
              </w:rPr>
              <w:t xml:space="preserve"> 3</w:t>
            </w:r>
          </w:p>
        </w:tc>
      </w:tr>
      <w:tr w:rsidR="0094644B" w:rsidRPr="00F07779" w14:paraId="7A5D0CA8" w14:textId="77777777" w:rsidTr="00FB5086">
        <w:tc>
          <w:tcPr>
            <w:tcW w:w="2973" w:type="dxa"/>
          </w:tcPr>
          <w:p w14:paraId="114A3382" w14:textId="77777777" w:rsidR="0094644B" w:rsidRPr="00FA3F57" w:rsidRDefault="0094644B" w:rsidP="00FB5086">
            <w:pPr>
              <w:rPr>
                <w:sz w:val="20"/>
                <w:szCs w:val="20"/>
              </w:rPr>
            </w:pPr>
            <w:r w:rsidRPr="00FA3F57">
              <w:rPr>
                <w:sz w:val="20"/>
                <w:szCs w:val="20"/>
              </w:rPr>
              <w:t>Short description of the investment</w:t>
            </w:r>
          </w:p>
        </w:tc>
        <w:tc>
          <w:tcPr>
            <w:tcW w:w="5669" w:type="dxa"/>
          </w:tcPr>
          <w:p w14:paraId="66A6C061" w14:textId="77777777" w:rsidR="0094644B" w:rsidRPr="00F07779" w:rsidRDefault="0094644B" w:rsidP="00FB5086">
            <w:pPr>
              <w:rPr>
                <w:sz w:val="20"/>
                <w:szCs w:val="20"/>
              </w:rPr>
            </w:pPr>
            <w:r w:rsidRPr="00FA3F57">
              <w:rPr>
                <w:sz w:val="20"/>
                <w:szCs w:val="20"/>
              </w:rPr>
              <w:t xml:space="preserve">The project involves the construction of a reversible hydroelectric power plant with an installed capacity of 1,800 MW at the </w:t>
            </w:r>
            <w:proofErr w:type="spellStart"/>
            <w:r w:rsidRPr="00FA3F57">
              <w:rPr>
                <w:sz w:val="20"/>
                <w:szCs w:val="20"/>
              </w:rPr>
              <w:t>Pesaca</w:t>
            </w:r>
            <w:proofErr w:type="spellEnd"/>
            <w:r w:rsidRPr="00FA3F57">
              <w:rPr>
                <w:sz w:val="20"/>
                <w:szCs w:val="20"/>
              </w:rPr>
              <w:t xml:space="preserve"> reservoir.</w:t>
            </w:r>
          </w:p>
          <w:p w14:paraId="262F29A3" w14:textId="77777777" w:rsidR="0094644B" w:rsidRPr="00FA3F57" w:rsidRDefault="0094644B" w:rsidP="00FB5086">
            <w:pPr>
              <w:rPr>
                <w:sz w:val="20"/>
                <w:szCs w:val="20"/>
              </w:rPr>
            </w:pPr>
            <w:r w:rsidRPr="00FA3F57">
              <w:rPr>
                <w:sz w:val="20"/>
                <w:szCs w:val="20"/>
              </w:rPr>
              <w:t>Analyses are underway to prepare the project.</w:t>
            </w:r>
          </w:p>
        </w:tc>
      </w:tr>
      <w:tr w:rsidR="0094644B" w:rsidRPr="00F07779" w14:paraId="160FA2CA" w14:textId="77777777" w:rsidTr="00FB5086">
        <w:tc>
          <w:tcPr>
            <w:tcW w:w="2973" w:type="dxa"/>
          </w:tcPr>
          <w:p w14:paraId="5EBB7CF2" w14:textId="77777777" w:rsidR="0094644B" w:rsidRPr="00FA3F57" w:rsidRDefault="0094644B" w:rsidP="00FB5086">
            <w:pPr>
              <w:rPr>
                <w:sz w:val="20"/>
                <w:szCs w:val="20"/>
              </w:rPr>
            </w:pPr>
            <w:r w:rsidRPr="00FA3F57">
              <w:rPr>
                <w:sz w:val="20"/>
                <w:szCs w:val="20"/>
              </w:rPr>
              <w:t>Institutions responsible for the implementation of measures and activities</w:t>
            </w:r>
          </w:p>
        </w:tc>
        <w:tc>
          <w:tcPr>
            <w:tcW w:w="5669" w:type="dxa"/>
          </w:tcPr>
          <w:p w14:paraId="59B529C0" w14:textId="77777777" w:rsidR="0094644B" w:rsidRPr="00FA3F57" w:rsidRDefault="0094644B" w:rsidP="00FB5086">
            <w:pPr>
              <w:rPr>
                <w:sz w:val="20"/>
                <w:szCs w:val="20"/>
              </w:rPr>
            </w:pPr>
            <w:r w:rsidRPr="00FA3F57">
              <w:rPr>
                <w:sz w:val="20"/>
                <w:szCs w:val="20"/>
              </w:rPr>
              <w:t>Joint Stock Company "</w:t>
            </w:r>
            <w:proofErr w:type="spellStart"/>
            <w:r w:rsidRPr="00FA3F57">
              <w:rPr>
                <w:sz w:val="20"/>
                <w:szCs w:val="20"/>
              </w:rPr>
              <w:t>Elektroprivreda</w:t>
            </w:r>
            <w:proofErr w:type="spellEnd"/>
            <w:r w:rsidRPr="00FA3F57">
              <w:rPr>
                <w:sz w:val="20"/>
                <w:szCs w:val="20"/>
              </w:rPr>
              <w:t xml:space="preserve"> Srbije"</w:t>
            </w:r>
          </w:p>
        </w:tc>
      </w:tr>
      <w:tr w:rsidR="0094644B" w:rsidRPr="00F07779" w14:paraId="56EB58AE" w14:textId="77777777" w:rsidTr="00FB5086">
        <w:tc>
          <w:tcPr>
            <w:tcW w:w="2973" w:type="dxa"/>
          </w:tcPr>
          <w:p w14:paraId="70E4D268" w14:textId="77777777" w:rsidR="0094644B" w:rsidRPr="00FA3F57" w:rsidRDefault="0094644B" w:rsidP="00FB5086">
            <w:pPr>
              <w:rPr>
                <w:sz w:val="20"/>
                <w:szCs w:val="20"/>
              </w:rPr>
            </w:pPr>
            <w:r w:rsidRPr="00FA3F57">
              <w:rPr>
                <w:sz w:val="20"/>
                <w:szCs w:val="20"/>
              </w:rPr>
              <w:t>Institutions responsible for monitoring implementation and reporting on the realization</w:t>
            </w:r>
          </w:p>
        </w:tc>
        <w:tc>
          <w:tcPr>
            <w:tcW w:w="5669" w:type="dxa"/>
          </w:tcPr>
          <w:p w14:paraId="1568D45F" w14:textId="77777777" w:rsidR="0094644B" w:rsidRPr="00F07779" w:rsidRDefault="0094644B" w:rsidP="00FB5086">
            <w:pPr>
              <w:rPr>
                <w:sz w:val="20"/>
                <w:szCs w:val="20"/>
              </w:rPr>
            </w:pPr>
            <w:r w:rsidRPr="00FA3F57">
              <w:rPr>
                <w:sz w:val="20"/>
                <w:szCs w:val="20"/>
              </w:rPr>
              <w:t>Joint Stock Company "</w:t>
            </w:r>
            <w:proofErr w:type="spellStart"/>
            <w:r w:rsidRPr="00FA3F57">
              <w:rPr>
                <w:sz w:val="20"/>
                <w:szCs w:val="20"/>
              </w:rPr>
              <w:t>Elektroprivreda</w:t>
            </w:r>
            <w:proofErr w:type="spellEnd"/>
            <w:r w:rsidRPr="00FA3F57">
              <w:rPr>
                <w:sz w:val="20"/>
                <w:szCs w:val="20"/>
              </w:rPr>
              <w:t xml:space="preserve"> Srbije"</w:t>
            </w:r>
          </w:p>
          <w:p w14:paraId="71A80C43" w14:textId="77777777" w:rsidR="0094644B" w:rsidRPr="00FA3F57" w:rsidRDefault="0094644B" w:rsidP="00FB5086">
            <w:pPr>
              <w:rPr>
                <w:sz w:val="20"/>
                <w:szCs w:val="20"/>
              </w:rPr>
            </w:pPr>
            <w:r w:rsidRPr="00FA3F57">
              <w:rPr>
                <w:sz w:val="20"/>
                <w:szCs w:val="20"/>
              </w:rPr>
              <w:t>Ministry of Mining and Energy</w:t>
            </w:r>
          </w:p>
        </w:tc>
      </w:tr>
      <w:tr w:rsidR="0094644B" w:rsidRPr="00F07779" w14:paraId="73DAB295" w14:textId="77777777" w:rsidTr="00FB5086">
        <w:tc>
          <w:tcPr>
            <w:tcW w:w="2973" w:type="dxa"/>
          </w:tcPr>
          <w:p w14:paraId="1DB5EC3F" w14:textId="77777777" w:rsidR="0094644B" w:rsidRPr="00FA3F57" w:rsidRDefault="0094644B" w:rsidP="00FB5086">
            <w:pPr>
              <w:rPr>
                <w:sz w:val="20"/>
                <w:szCs w:val="20"/>
              </w:rPr>
            </w:pPr>
            <w:r w:rsidRPr="00FA3F57">
              <w:rPr>
                <w:sz w:val="20"/>
                <w:szCs w:val="20"/>
              </w:rPr>
              <w:t>Financial resources for the preparation of project documentation in 2026.</w:t>
            </w:r>
            <w:r w:rsidRPr="00FA3F57">
              <w:rPr>
                <w:sz w:val="20"/>
                <w:szCs w:val="20"/>
              </w:rPr>
              <w:br/>
              <w:t>(in thousands of RSD)</w:t>
            </w:r>
          </w:p>
        </w:tc>
        <w:tc>
          <w:tcPr>
            <w:tcW w:w="5669" w:type="dxa"/>
          </w:tcPr>
          <w:p w14:paraId="6734E8FA" w14:textId="77777777" w:rsidR="0094644B" w:rsidRPr="00FA3F57" w:rsidRDefault="0094644B" w:rsidP="00FB5086">
            <w:pPr>
              <w:rPr>
                <w:sz w:val="20"/>
                <w:szCs w:val="20"/>
              </w:rPr>
            </w:pPr>
            <w:r w:rsidRPr="00FA3F57">
              <w:rPr>
                <w:sz w:val="20"/>
                <w:szCs w:val="20"/>
              </w:rPr>
              <w:t>1,172,500 (own funds of EPS AD)</w:t>
            </w:r>
          </w:p>
        </w:tc>
      </w:tr>
      <w:tr w:rsidR="0094644B" w:rsidRPr="00F07779" w14:paraId="1525A510" w14:textId="77777777" w:rsidTr="00FB5086">
        <w:tc>
          <w:tcPr>
            <w:tcW w:w="2973" w:type="dxa"/>
          </w:tcPr>
          <w:p w14:paraId="2801F052" w14:textId="77777777" w:rsidR="0094644B" w:rsidRPr="00FA3F57" w:rsidRDefault="0094644B" w:rsidP="00FB5086">
            <w:pPr>
              <w:rPr>
                <w:sz w:val="20"/>
                <w:szCs w:val="20"/>
              </w:rPr>
            </w:pPr>
            <w:r w:rsidRPr="00FA3F57">
              <w:rPr>
                <w:sz w:val="20"/>
                <w:szCs w:val="20"/>
              </w:rPr>
              <w:t>Financial resources for the preparation of project documentation in 2027.</w:t>
            </w:r>
            <w:r w:rsidRPr="00FA3F57">
              <w:rPr>
                <w:sz w:val="20"/>
                <w:szCs w:val="20"/>
              </w:rPr>
              <w:br/>
              <w:t>(in thousands of RSD)</w:t>
            </w:r>
          </w:p>
        </w:tc>
        <w:tc>
          <w:tcPr>
            <w:tcW w:w="5669" w:type="dxa"/>
          </w:tcPr>
          <w:p w14:paraId="6D6D4CBB" w14:textId="77777777" w:rsidR="0094644B" w:rsidRPr="00FA3F57" w:rsidRDefault="0094644B" w:rsidP="00FB5086">
            <w:pPr>
              <w:rPr>
                <w:sz w:val="20"/>
                <w:szCs w:val="20"/>
              </w:rPr>
            </w:pPr>
            <w:r w:rsidRPr="00FA3F57">
              <w:rPr>
                <w:sz w:val="20"/>
                <w:szCs w:val="20"/>
              </w:rPr>
              <w:t>1,758,750 (own funds of EPS AD)</w:t>
            </w:r>
          </w:p>
        </w:tc>
      </w:tr>
      <w:tr w:rsidR="0094644B" w:rsidRPr="00F07779" w14:paraId="4A9AC9F9" w14:textId="77777777" w:rsidTr="00FB5086">
        <w:tc>
          <w:tcPr>
            <w:tcW w:w="2973" w:type="dxa"/>
          </w:tcPr>
          <w:p w14:paraId="603A057E" w14:textId="77777777" w:rsidR="0094644B" w:rsidRPr="00FA3F57" w:rsidRDefault="0094644B" w:rsidP="00FB5086">
            <w:pPr>
              <w:rPr>
                <w:sz w:val="20"/>
                <w:szCs w:val="20"/>
              </w:rPr>
            </w:pPr>
            <w:r w:rsidRPr="00FA3F57">
              <w:rPr>
                <w:sz w:val="20"/>
                <w:szCs w:val="20"/>
              </w:rPr>
              <w:t>Financial resources for the preparation of project documentation in 2028.</w:t>
            </w:r>
            <w:r w:rsidRPr="00FA3F57">
              <w:rPr>
                <w:sz w:val="20"/>
                <w:szCs w:val="20"/>
              </w:rPr>
              <w:br/>
              <w:t>(in thousands of RSD)</w:t>
            </w:r>
          </w:p>
        </w:tc>
        <w:tc>
          <w:tcPr>
            <w:tcW w:w="5669" w:type="dxa"/>
          </w:tcPr>
          <w:p w14:paraId="2CF192D5" w14:textId="77777777" w:rsidR="0094644B" w:rsidRPr="00FA3F57" w:rsidRDefault="0094644B" w:rsidP="00FB5086">
            <w:pPr>
              <w:rPr>
                <w:sz w:val="20"/>
                <w:szCs w:val="20"/>
              </w:rPr>
            </w:pPr>
            <w:r w:rsidRPr="00FA3F57">
              <w:rPr>
                <w:sz w:val="20"/>
                <w:szCs w:val="20"/>
              </w:rPr>
              <w:t>1,172,500 (own funds of EPS AD)</w:t>
            </w:r>
          </w:p>
        </w:tc>
      </w:tr>
    </w:tbl>
    <w:p w14:paraId="2F433212" w14:textId="77777777" w:rsidR="0094644B" w:rsidRPr="00FA3F57" w:rsidRDefault="0094644B" w:rsidP="0094644B"/>
    <w:p w14:paraId="3FE4A37F" w14:textId="77777777" w:rsidR="0094644B" w:rsidRPr="00FA3F57" w:rsidRDefault="0094644B" w:rsidP="0094644B">
      <w:pPr>
        <w:keepNext/>
        <w:tabs>
          <w:tab w:val="left" w:pos="1276"/>
          <w:tab w:val="left" w:pos="1560"/>
        </w:tabs>
        <w:ind w:left="1440" w:hanging="1440"/>
      </w:pPr>
      <w:r w:rsidRPr="00FA3F57">
        <w:t>Table 5.1.4-4:</w:t>
      </w:r>
      <w:r w:rsidRPr="00FA3F57">
        <w:tab/>
        <w:t>Activities for the implementation of measure EL4</w:t>
      </w:r>
      <w:r w:rsidRPr="00FA3F57" w:rsidDel="00DB281F">
        <w:t xml:space="preserve"> </w:t>
      </w:r>
      <w:r w:rsidRPr="00FA3F57">
        <w:t>– Activity EL4.4</w:t>
      </w:r>
    </w:p>
    <w:tbl>
      <w:tblPr>
        <w:tblStyle w:val="TableGrid"/>
        <w:tblW w:w="8642" w:type="dxa"/>
        <w:tblLook w:val="04A0" w:firstRow="1" w:lastRow="0" w:firstColumn="1" w:lastColumn="0" w:noHBand="0" w:noVBand="1"/>
      </w:tblPr>
      <w:tblGrid>
        <w:gridCol w:w="2973"/>
        <w:gridCol w:w="5669"/>
      </w:tblGrid>
      <w:tr w:rsidR="0094644B" w:rsidRPr="00F07779" w14:paraId="62F4A065" w14:textId="77777777" w:rsidTr="00FB5086">
        <w:tc>
          <w:tcPr>
            <w:tcW w:w="2973" w:type="dxa"/>
            <w:shd w:val="clear" w:color="auto" w:fill="D9D9D9" w:themeFill="background1" w:themeFillShade="D9"/>
          </w:tcPr>
          <w:p w14:paraId="41611980" w14:textId="77777777" w:rsidR="0094644B" w:rsidRPr="00FA3F57" w:rsidRDefault="0094644B" w:rsidP="00FB5086">
            <w:pPr>
              <w:keepNext/>
              <w:rPr>
                <w:sz w:val="20"/>
                <w:szCs w:val="20"/>
              </w:rPr>
            </w:pPr>
            <w:r w:rsidRPr="00FA3F57">
              <w:rPr>
                <w:sz w:val="20"/>
                <w:szCs w:val="20"/>
              </w:rPr>
              <w:t>Activity EL4.4</w:t>
            </w:r>
          </w:p>
        </w:tc>
        <w:tc>
          <w:tcPr>
            <w:tcW w:w="5669" w:type="dxa"/>
            <w:shd w:val="clear" w:color="auto" w:fill="D9D9D9" w:themeFill="background1" w:themeFillShade="D9"/>
          </w:tcPr>
          <w:p w14:paraId="451C1F96" w14:textId="77777777" w:rsidR="0094644B" w:rsidRPr="00FA3F57" w:rsidRDefault="0094644B" w:rsidP="00FB5086">
            <w:pPr>
              <w:keepNext/>
              <w:rPr>
                <w:sz w:val="20"/>
                <w:szCs w:val="20"/>
              </w:rPr>
            </w:pPr>
            <w:r w:rsidRPr="00F07779">
              <w:rPr>
                <w:sz w:val="20"/>
                <w:szCs w:val="20"/>
              </w:rPr>
              <w:t>Construction of gas-fired power plants</w:t>
            </w:r>
          </w:p>
        </w:tc>
      </w:tr>
      <w:tr w:rsidR="0094644B" w:rsidRPr="00F07779" w14:paraId="214F80CC" w14:textId="77777777" w:rsidTr="00FB5086">
        <w:tc>
          <w:tcPr>
            <w:tcW w:w="2973" w:type="dxa"/>
            <w:shd w:val="clear" w:color="auto" w:fill="D9E2F3" w:themeFill="accent1" w:themeFillTint="33"/>
          </w:tcPr>
          <w:p w14:paraId="5DBA39E7" w14:textId="77777777" w:rsidR="0094644B" w:rsidRPr="00FA3F57" w:rsidRDefault="0094644B" w:rsidP="00FB5086">
            <w:pPr>
              <w:keepNext/>
              <w:rPr>
                <w:sz w:val="20"/>
                <w:szCs w:val="20"/>
              </w:rPr>
            </w:pPr>
            <w:r w:rsidRPr="00FA3F57">
              <w:rPr>
                <w:sz w:val="20"/>
                <w:szCs w:val="20"/>
              </w:rPr>
              <w:t>Name of the project</w:t>
            </w:r>
          </w:p>
        </w:tc>
        <w:tc>
          <w:tcPr>
            <w:tcW w:w="5669" w:type="dxa"/>
            <w:shd w:val="clear" w:color="auto" w:fill="D9E2F3" w:themeFill="accent1" w:themeFillTint="33"/>
          </w:tcPr>
          <w:p w14:paraId="4C4C2C62" w14:textId="77777777" w:rsidR="0094644B" w:rsidRPr="00FA3F57" w:rsidRDefault="0094644B" w:rsidP="00FB5086">
            <w:pPr>
              <w:keepNext/>
              <w:rPr>
                <w:sz w:val="20"/>
                <w:szCs w:val="20"/>
              </w:rPr>
            </w:pPr>
            <w:r w:rsidRPr="00F07779">
              <w:rPr>
                <w:sz w:val="20"/>
                <w:szCs w:val="20"/>
              </w:rPr>
              <w:t xml:space="preserve">Gas-fired power plant in </w:t>
            </w:r>
            <w:proofErr w:type="spellStart"/>
            <w:r w:rsidRPr="00F07779">
              <w:rPr>
                <w:sz w:val="20"/>
                <w:szCs w:val="20"/>
              </w:rPr>
              <w:t>Niš</w:t>
            </w:r>
            <w:proofErr w:type="spellEnd"/>
          </w:p>
        </w:tc>
      </w:tr>
      <w:tr w:rsidR="0094644B" w:rsidRPr="00F07779" w14:paraId="349CA514" w14:textId="77777777" w:rsidTr="00FB5086">
        <w:tc>
          <w:tcPr>
            <w:tcW w:w="2973" w:type="dxa"/>
          </w:tcPr>
          <w:p w14:paraId="020CD9BF" w14:textId="77777777" w:rsidR="0094644B" w:rsidRPr="00FA3F57" w:rsidRDefault="0094644B" w:rsidP="00FB5086">
            <w:pPr>
              <w:rPr>
                <w:sz w:val="20"/>
                <w:szCs w:val="20"/>
              </w:rPr>
            </w:pPr>
            <w:r w:rsidRPr="00FA3F57">
              <w:rPr>
                <w:sz w:val="20"/>
                <w:szCs w:val="20"/>
              </w:rPr>
              <w:t>Short description of the investment</w:t>
            </w:r>
          </w:p>
        </w:tc>
        <w:tc>
          <w:tcPr>
            <w:tcW w:w="5669" w:type="dxa"/>
          </w:tcPr>
          <w:p w14:paraId="420A1A60" w14:textId="77777777" w:rsidR="0094644B" w:rsidRPr="00F07779" w:rsidRDefault="0094644B" w:rsidP="00FB5086">
            <w:pPr>
              <w:rPr>
                <w:sz w:val="20"/>
                <w:szCs w:val="20"/>
              </w:rPr>
            </w:pPr>
            <w:r w:rsidRPr="00FA3F57">
              <w:rPr>
                <w:sz w:val="20"/>
                <w:szCs w:val="20"/>
              </w:rPr>
              <w:t xml:space="preserve">The project includes the construction of a gas-fired power plant in </w:t>
            </w:r>
            <w:proofErr w:type="spellStart"/>
            <w:r w:rsidRPr="00FA3F57">
              <w:rPr>
                <w:sz w:val="20"/>
                <w:szCs w:val="20"/>
              </w:rPr>
              <w:t>Niš</w:t>
            </w:r>
            <w:proofErr w:type="spellEnd"/>
            <w:r w:rsidRPr="00FA3F57">
              <w:rPr>
                <w:sz w:val="20"/>
                <w:szCs w:val="20"/>
              </w:rPr>
              <w:t xml:space="preserve"> with a capacity of 350 MW of electricity and 150 MW of heat. The role of this power plant for the </w:t>
            </w:r>
            <w:proofErr w:type="spellStart"/>
            <w:r w:rsidRPr="00FA3F57">
              <w:rPr>
                <w:sz w:val="20"/>
                <w:szCs w:val="20"/>
              </w:rPr>
              <w:t>Niš</w:t>
            </w:r>
            <w:proofErr w:type="spellEnd"/>
            <w:r w:rsidRPr="00FA3F57">
              <w:rPr>
                <w:sz w:val="20"/>
                <w:szCs w:val="20"/>
              </w:rPr>
              <w:t xml:space="preserve"> district is to provide a flexible baseload energy source and assist in the integration of renewable energy sources, as it can provide ancillary services to the electricity transmission system.</w:t>
            </w:r>
          </w:p>
          <w:p w14:paraId="18A2B23E" w14:textId="77777777" w:rsidR="0094644B" w:rsidRPr="00FA3F57" w:rsidRDefault="0094644B" w:rsidP="00FB5086">
            <w:pPr>
              <w:rPr>
                <w:sz w:val="20"/>
                <w:szCs w:val="20"/>
              </w:rPr>
            </w:pPr>
            <w:r w:rsidRPr="00FA3F57">
              <w:rPr>
                <w:sz w:val="20"/>
                <w:szCs w:val="20"/>
              </w:rPr>
              <w:t>The project is in preparation.</w:t>
            </w:r>
          </w:p>
        </w:tc>
      </w:tr>
      <w:tr w:rsidR="0094644B" w:rsidRPr="00F07779" w14:paraId="22BC1F70" w14:textId="77777777" w:rsidTr="00FB5086">
        <w:tc>
          <w:tcPr>
            <w:tcW w:w="2973" w:type="dxa"/>
          </w:tcPr>
          <w:p w14:paraId="7875BEB6" w14:textId="77777777" w:rsidR="0094644B" w:rsidRPr="00FA3F57" w:rsidRDefault="0094644B" w:rsidP="00FB5086">
            <w:pPr>
              <w:rPr>
                <w:sz w:val="20"/>
                <w:szCs w:val="20"/>
              </w:rPr>
            </w:pPr>
            <w:r w:rsidRPr="00FA3F57">
              <w:rPr>
                <w:sz w:val="20"/>
                <w:szCs w:val="20"/>
              </w:rPr>
              <w:t>Institutions responsible for the implementation of measures and activities</w:t>
            </w:r>
          </w:p>
        </w:tc>
        <w:tc>
          <w:tcPr>
            <w:tcW w:w="5669" w:type="dxa"/>
          </w:tcPr>
          <w:p w14:paraId="58225323" w14:textId="77777777" w:rsidR="0094644B" w:rsidRPr="00F07779" w:rsidRDefault="0094644B" w:rsidP="00FB5086">
            <w:pPr>
              <w:rPr>
                <w:sz w:val="20"/>
                <w:szCs w:val="20"/>
              </w:rPr>
            </w:pPr>
            <w:r w:rsidRPr="00FA3F57">
              <w:rPr>
                <w:sz w:val="20"/>
                <w:szCs w:val="20"/>
              </w:rPr>
              <w:t>Joint Stock Company "</w:t>
            </w:r>
            <w:proofErr w:type="spellStart"/>
            <w:r w:rsidRPr="00FA3F57">
              <w:rPr>
                <w:sz w:val="20"/>
                <w:szCs w:val="20"/>
              </w:rPr>
              <w:t>Elektroprivreda</w:t>
            </w:r>
            <w:proofErr w:type="spellEnd"/>
            <w:r w:rsidRPr="00FA3F57">
              <w:rPr>
                <w:sz w:val="20"/>
                <w:szCs w:val="20"/>
              </w:rPr>
              <w:t xml:space="preserve"> Srbije"</w:t>
            </w:r>
          </w:p>
          <w:p w14:paraId="37DC4BD8" w14:textId="77777777" w:rsidR="0094644B" w:rsidRPr="00F07779" w:rsidRDefault="0094644B" w:rsidP="00FB5086">
            <w:pPr>
              <w:rPr>
                <w:sz w:val="20"/>
                <w:szCs w:val="20"/>
              </w:rPr>
            </w:pPr>
            <w:r w:rsidRPr="00F07779">
              <w:rPr>
                <w:sz w:val="20"/>
                <w:szCs w:val="20"/>
              </w:rPr>
              <w:t xml:space="preserve">PE </w:t>
            </w:r>
            <w:proofErr w:type="spellStart"/>
            <w:r w:rsidRPr="00F07779">
              <w:rPr>
                <w:sz w:val="20"/>
                <w:szCs w:val="20"/>
              </w:rPr>
              <w:t>Srbijagas</w:t>
            </w:r>
            <w:proofErr w:type="spellEnd"/>
          </w:p>
          <w:p w14:paraId="1956670D" w14:textId="77777777" w:rsidR="0094644B" w:rsidRPr="00FA3F57" w:rsidRDefault="0094644B" w:rsidP="00FB5086">
            <w:pPr>
              <w:rPr>
                <w:sz w:val="20"/>
                <w:szCs w:val="20"/>
              </w:rPr>
            </w:pPr>
            <w:r w:rsidRPr="00FA3F57">
              <w:rPr>
                <w:sz w:val="20"/>
                <w:szCs w:val="20"/>
              </w:rPr>
              <w:t>Ministry of Mining and Energy</w:t>
            </w:r>
          </w:p>
        </w:tc>
      </w:tr>
      <w:tr w:rsidR="0094644B" w:rsidRPr="00F07779" w14:paraId="01A8FD86" w14:textId="77777777" w:rsidTr="00FB5086">
        <w:tc>
          <w:tcPr>
            <w:tcW w:w="2973" w:type="dxa"/>
          </w:tcPr>
          <w:p w14:paraId="260ECAA1" w14:textId="77777777" w:rsidR="0094644B" w:rsidRPr="00FA3F57" w:rsidRDefault="0094644B" w:rsidP="00FB5086">
            <w:pPr>
              <w:rPr>
                <w:sz w:val="20"/>
                <w:szCs w:val="20"/>
              </w:rPr>
            </w:pPr>
            <w:r w:rsidRPr="00FA3F57">
              <w:rPr>
                <w:sz w:val="20"/>
                <w:szCs w:val="20"/>
              </w:rPr>
              <w:t>Institutions responsible for monitoring implementation and reporting on the realization</w:t>
            </w:r>
          </w:p>
        </w:tc>
        <w:tc>
          <w:tcPr>
            <w:tcW w:w="5669" w:type="dxa"/>
          </w:tcPr>
          <w:p w14:paraId="20804C25" w14:textId="77777777" w:rsidR="0094644B" w:rsidRPr="00F07779" w:rsidRDefault="0094644B" w:rsidP="00FB5086">
            <w:pPr>
              <w:rPr>
                <w:sz w:val="20"/>
                <w:szCs w:val="20"/>
              </w:rPr>
            </w:pPr>
            <w:r w:rsidRPr="00FA3F57">
              <w:rPr>
                <w:sz w:val="20"/>
                <w:szCs w:val="20"/>
              </w:rPr>
              <w:t>Joint Stock Company "</w:t>
            </w:r>
            <w:proofErr w:type="spellStart"/>
            <w:r w:rsidRPr="00FA3F57">
              <w:rPr>
                <w:sz w:val="20"/>
                <w:szCs w:val="20"/>
              </w:rPr>
              <w:t>Elektroprivreda</w:t>
            </w:r>
            <w:proofErr w:type="spellEnd"/>
            <w:r w:rsidRPr="00FA3F57">
              <w:rPr>
                <w:sz w:val="20"/>
                <w:szCs w:val="20"/>
              </w:rPr>
              <w:t xml:space="preserve"> Srbije"</w:t>
            </w:r>
          </w:p>
          <w:p w14:paraId="74F5F01E" w14:textId="77777777" w:rsidR="0094644B" w:rsidRPr="00F07779" w:rsidRDefault="0094644B" w:rsidP="00FB5086">
            <w:pPr>
              <w:rPr>
                <w:sz w:val="20"/>
                <w:szCs w:val="20"/>
              </w:rPr>
            </w:pPr>
            <w:r w:rsidRPr="00F07779">
              <w:rPr>
                <w:sz w:val="20"/>
                <w:szCs w:val="20"/>
              </w:rPr>
              <w:t xml:space="preserve">PE </w:t>
            </w:r>
            <w:proofErr w:type="spellStart"/>
            <w:r w:rsidRPr="00F07779">
              <w:rPr>
                <w:sz w:val="20"/>
                <w:szCs w:val="20"/>
              </w:rPr>
              <w:t>Srbijagas</w:t>
            </w:r>
            <w:proofErr w:type="spellEnd"/>
          </w:p>
          <w:p w14:paraId="1A09B672" w14:textId="77777777" w:rsidR="0094644B" w:rsidRPr="00FA3F57" w:rsidRDefault="0094644B" w:rsidP="00FB5086">
            <w:pPr>
              <w:rPr>
                <w:sz w:val="20"/>
                <w:szCs w:val="20"/>
              </w:rPr>
            </w:pPr>
            <w:r w:rsidRPr="00FA3F57">
              <w:rPr>
                <w:sz w:val="20"/>
                <w:szCs w:val="20"/>
              </w:rPr>
              <w:t>Ministry of Mining and Energy</w:t>
            </w:r>
          </w:p>
        </w:tc>
      </w:tr>
    </w:tbl>
    <w:p w14:paraId="4B12A371" w14:textId="77777777" w:rsidR="0094644B" w:rsidRPr="00FA3F57" w:rsidRDefault="0094644B" w:rsidP="0094644B"/>
    <w:tbl>
      <w:tblPr>
        <w:tblStyle w:val="TableGrid"/>
        <w:tblW w:w="0" w:type="auto"/>
        <w:tblLook w:val="04A0" w:firstRow="1" w:lastRow="0" w:firstColumn="1" w:lastColumn="0" w:noHBand="0" w:noVBand="1"/>
      </w:tblPr>
      <w:tblGrid>
        <w:gridCol w:w="2973"/>
        <w:gridCol w:w="5669"/>
      </w:tblGrid>
      <w:tr w:rsidR="0094644B" w:rsidRPr="00F07779" w14:paraId="7214687C" w14:textId="77777777" w:rsidTr="00FB5086">
        <w:tc>
          <w:tcPr>
            <w:tcW w:w="2973" w:type="dxa"/>
            <w:shd w:val="clear" w:color="auto" w:fill="D9D9D9" w:themeFill="background1" w:themeFillShade="D9"/>
          </w:tcPr>
          <w:p w14:paraId="251514DF" w14:textId="77777777" w:rsidR="0094644B" w:rsidRPr="00FA3F57" w:rsidRDefault="0094644B" w:rsidP="00FB5086">
            <w:pPr>
              <w:keepNext/>
              <w:rPr>
                <w:sz w:val="20"/>
                <w:szCs w:val="20"/>
              </w:rPr>
            </w:pPr>
            <w:r w:rsidRPr="00FA3F57">
              <w:rPr>
                <w:sz w:val="20"/>
                <w:szCs w:val="20"/>
              </w:rPr>
              <w:t>Activity EL4.4</w:t>
            </w:r>
          </w:p>
        </w:tc>
        <w:tc>
          <w:tcPr>
            <w:tcW w:w="5669" w:type="dxa"/>
            <w:shd w:val="clear" w:color="auto" w:fill="D9D9D9" w:themeFill="background1" w:themeFillShade="D9"/>
          </w:tcPr>
          <w:p w14:paraId="34CE86C1" w14:textId="77777777" w:rsidR="0094644B" w:rsidRPr="00F07779" w:rsidRDefault="0094644B" w:rsidP="00FB5086">
            <w:pPr>
              <w:keepNext/>
              <w:rPr>
                <w:sz w:val="20"/>
                <w:szCs w:val="20"/>
              </w:rPr>
            </w:pPr>
            <w:r w:rsidRPr="00F07779">
              <w:rPr>
                <w:sz w:val="20"/>
                <w:szCs w:val="20"/>
              </w:rPr>
              <w:t>Construction of gas-fired power plants</w:t>
            </w:r>
          </w:p>
        </w:tc>
      </w:tr>
      <w:tr w:rsidR="0094644B" w:rsidRPr="00F07779" w14:paraId="14AD1037" w14:textId="77777777" w:rsidTr="00FB5086">
        <w:tc>
          <w:tcPr>
            <w:tcW w:w="2973" w:type="dxa"/>
            <w:shd w:val="clear" w:color="auto" w:fill="D9E2F3" w:themeFill="accent1" w:themeFillTint="33"/>
          </w:tcPr>
          <w:p w14:paraId="13F95D1A" w14:textId="77777777" w:rsidR="0094644B" w:rsidRPr="00FA3F57" w:rsidRDefault="0094644B" w:rsidP="00FB5086">
            <w:pPr>
              <w:keepNext/>
              <w:rPr>
                <w:sz w:val="20"/>
                <w:szCs w:val="20"/>
              </w:rPr>
            </w:pPr>
            <w:r w:rsidRPr="00FA3F57">
              <w:rPr>
                <w:sz w:val="20"/>
                <w:szCs w:val="20"/>
              </w:rPr>
              <w:t>Name of the project</w:t>
            </w:r>
          </w:p>
        </w:tc>
        <w:tc>
          <w:tcPr>
            <w:tcW w:w="5669" w:type="dxa"/>
            <w:shd w:val="clear" w:color="auto" w:fill="D9E2F3" w:themeFill="accent1" w:themeFillTint="33"/>
          </w:tcPr>
          <w:p w14:paraId="60757241" w14:textId="77777777" w:rsidR="0094644B" w:rsidRPr="00F07779" w:rsidRDefault="0094644B" w:rsidP="00FB5086">
            <w:pPr>
              <w:keepNext/>
              <w:rPr>
                <w:sz w:val="20"/>
                <w:szCs w:val="20"/>
              </w:rPr>
            </w:pPr>
            <w:r w:rsidRPr="00F07779">
              <w:rPr>
                <w:sz w:val="20"/>
                <w:szCs w:val="20"/>
              </w:rPr>
              <w:t>Gas-fired power plant in Novi Sad</w:t>
            </w:r>
          </w:p>
        </w:tc>
      </w:tr>
      <w:tr w:rsidR="0094644B" w:rsidRPr="00F07779" w14:paraId="7F6DE617" w14:textId="77777777" w:rsidTr="00FB5086">
        <w:tc>
          <w:tcPr>
            <w:tcW w:w="2973" w:type="dxa"/>
          </w:tcPr>
          <w:p w14:paraId="4E53D756" w14:textId="77777777" w:rsidR="0094644B" w:rsidRPr="00FA3F57" w:rsidRDefault="0094644B" w:rsidP="00FB5086">
            <w:pPr>
              <w:rPr>
                <w:sz w:val="20"/>
                <w:szCs w:val="20"/>
              </w:rPr>
            </w:pPr>
            <w:r w:rsidRPr="00FA3F57">
              <w:rPr>
                <w:sz w:val="20"/>
                <w:szCs w:val="20"/>
              </w:rPr>
              <w:t>Short description of the investment</w:t>
            </w:r>
          </w:p>
        </w:tc>
        <w:tc>
          <w:tcPr>
            <w:tcW w:w="5669" w:type="dxa"/>
          </w:tcPr>
          <w:p w14:paraId="0178D16B" w14:textId="77777777" w:rsidR="0094644B" w:rsidRPr="00F07779" w:rsidRDefault="0094644B" w:rsidP="00FB5086">
            <w:pPr>
              <w:keepNext/>
              <w:rPr>
                <w:sz w:val="20"/>
                <w:szCs w:val="20"/>
              </w:rPr>
            </w:pPr>
            <w:r w:rsidRPr="00F07779">
              <w:rPr>
                <w:sz w:val="20"/>
                <w:szCs w:val="20"/>
              </w:rPr>
              <w:t>The project includes the construction of a gas-fired power plant in Novi Sad with an installed capacity of 270 MW of electricity and 100 MW of thermal energy. The designed efficiency of the plant is 50%, and the construction of a 400 kV connection switchyard (CSS) is planned. There is a possibility of using the existing gas pipeline, water purification plant, expanding the supply of thermal energy, and the possibility of connecting to a power line.</w:t>
            </w:r>
          </w:p>
          <w:p w14:paraId="13069AD0" w14:textId="77777777" w:rsidR="0094644B" w:rsidRPr="00F07779" w:rsidRDefault="0094644B" w:rsidP="00FB5086">
            <w:pPr>
              <w:keepNext/>
              <w:rPr>
                <w:sz w:val="20"/>
                <w:szCs w:val="20"/>
              </w:rPr>
            </w:pPr>
            <w:r w:rsidRPr="00F07779">
              <w:rPr>
                <w:sz w:val="20"/>
                <w:szCs w:val="20"/>
              </w:rPr>
              <w:t>The project is in preparation.</w:t>
            </w:r>
          </w:p>
        </w:tc>
      </w:tr>
      <w:tr w:rsidR="0094644B" w:rsidRPr="00F07779" w14:paraId="148F1A83" w14:textId="77777777" w:rsidTr="00FB5086">
        <w:tc>
          <w:tcPr>
            <w:tcW w:w="2973" w:type="dxa"/>
          </w:tcPr>
          <w:p w14:paraId="36210577" w14:textId="77777777" w:rsidR="0094644B" w:rsidRPr="00FA3F57" w:rsidRDefault="0094644B" w:rsidP="00FB5086">
            <w:pPr>
              <w:rPr>
                <w:sz w:val="20"/>
                <w:szCs w:val="20"/>
              </w:rPr>
            </w:pPr>
            <w:r w:rsidRPr="00FA3F57">
              <w:rPr>
                <w:sz w:val="20"/>
                <w:szCs w:val="20"/>
              </w:rPr>
              <w:t>Institutions responsible for the implementation of measures and activities</w:t>
            </w:r>
          </w:p>
        </w:tc>
        <w:tc>
          <w:tcPr>
            <w:tcW w:w="5669" w:type="dxa"/>
          </w:tcPr>
          <w:p w14:paraId="2BDB8744" w14:textId="77777777" w:rsidR="0094644B" w:rsidRPr="00F07779" w:rsidRDefault="0094644B" w:rsidP="00FB5086">
            <w:pPr>
              <w:keepNext/>
              <w:rPr>
                <w:sz w:val="20"/>
                <w:szCs w:val="20"/>
              </w:rPr>
            </w:pPr>
            <w:r w:rsidRPr="00F07779">
              <w:rPr>
                <w:sz w:val="20"/>
                <w:szCs w:val="20"/>
              </w:rPr>
              <w:t>Joint Stock Company "</w:t>
            </w:r>
            <w:proofErr w:type="spellStart"/>
            <w:r w:rsidRPr="00F07779">
              <w:rPr>
                <w:sz w:val="20"/>
                <w:szCs w:val="20"/>
              </w:rPr>
              <w:t>Elektroprivreda</w:t>
            </w:r>
            <w:proofErr w:type="spellEnd"/>
            <w:r w:rsidRPr="00F07779">
              <w:rPr>
                <w:sz w:val="20"/>
                <w:szCs w:val="20"/>
              </w:rPr>
              <w:t xml:space="preserve"> Srbije"</w:t>
            </w:r>
          </w:p>
          <w:p w14:paraId="1FE0F7CC" w14:textId="77777777" w:rsidR="0094644B" w:rsidRPr="00F07779" w:rsidRDefault="0094644B" w:rsidP="00FB5086">
            <w:pPr>
              <w:keepNext/>
              <w:rPr>
                <w:sz w:val="20"/>
                <w:szCs w:val="20"/>
              </w:rPr>
            </w:pPr>
            <w:r w:rsidRPr="00F07779">
              <w:rPr>
                <w:sz w:val="20"/>
                <w:szCs w:val="20"/>
              </w:rPr>
              <w:t>Ministry of Mining and Energy</w:t>
            </w:r>
          </w:p>
        </w:tc>
      </w:tr>
      <w:tr w:rsidR="0094644B" w:rsidRPr="00F07779" w14:paraId="557338FB" w14:textId="77777777" w:rsidTr="00FB5086">
        <w:tc>
          <w:tcPr>
            <w:tcW w:w="2973" w:type="dxa"/>
          </w:tcPr>
          <w:p w14:paraId="50F8DF6B" w14:textId="77777777" w:rsidR="0094644B" w:rsidRPr="00FA3F57" w:rsidRDefault="0094644B" w:rsidP="00FB5086">
            <w:pPr>
              <w:rPr>
                <w:sz w:val="20"/>
                <w:szCs w:val="20"/>
              </w:rPr>
            </w:pPr>
            <w:r w:rsidRPr="00FA3F57">
              <w:rPr>
                <w:sz w:val="20"/>
                <w:szCs w:val="20"/>
              </w:rPr>
              <w:t>Institutions responsible for monitoring implementation and reporting on the realization</w:t>
            </w:r>
          </w:p>
        </w:tc>
        <w:tc>
          <w:tcPr>
            <w:tcW w:w="5669" w:type="dxa"/>
          </w:tcPr>
          <w:p w14:paraId="769FDED0" w14:textId="77777777" w:rsidR="0094644B" w:rsidRPr="00F07779" w:rsidRDefault="0094644B" w:rsidP="00FB5086">
            <w:pPr>
              <w:rPr>
                <w:sz w:val="20"/>
                <w:szCs w:val="20"/>
              </w:rPr>
            </w:pPr>
            <w:r w:rsidRPr="00F07779">
              <w:rPr>
                <w:sz w:val="20"/>
                <w:szCs w:val="20"/>
              </w:rPr>
              <w:t>Joint Stock Company "</w:t>
            </w:r>
            <w:proofErr w:type="spellStart"/>
            <w:r w:rsidRPr="00F07779">
              <w:rPr>
                <w:sz w:val="20"/>
                <w:szCs w:val="20"/>
              </w:rPr>
              <w:t>Elektroprivreda</w:t>
            </w:r>
            <w:proofErr w:type="spellEnd"/>
            <w:r w:rsidRPr="00F07779">
              <w:rPr>
                <w:sz w:val="20"/>
                <w:szCs w:val="20"/>
              </w:rPr>
              <w:t xml:space="preserve"> Srbije"</w:t>
            </w:r>
          </w:p>
          <w:p w14:paraId="6E33D4AF" w14:textId="77777777" w:rsidR="0094644B" w:rsidRPr="00FA3F57" w:rsidRDefault="0094644B" w:rsidP="00FB5086">
            <w:pPr>
              <w:rPr>
                <w:sz w:val="20"/>
                <w:szCs w:val="20"/>
              </w:rPr>
            </w:pPr>
            <w:r w:rsidRPr="00F07779">
              <w:rPr>
                <w:sz w:val="20"/>
                <w:szCs w:val="20"/>
              </w:rPr>
              <w:t>Ministry of Mining and Energy</w:t>
            </w:r>
          </w:p>
        </w:tc>
      </w:tr>
    </w:tbl>
    <w:p w14:paraId="405DD551" w14:textId="77777777" w:rsidR="0094644B" w:rsidRPr="00FA3F57" w:rsidRDefault="0094644B" w:rsidP="0094644B"/>
    <w:p w14:paraId="6ACD5FFC" w14:textId="77777777" w:rsidR="0094644B" w:rsidRPr="00FA3F57" w:rsidRDefault="0094644B" w:rsidP="0094644B">
      <w:pPr>
        <w:keepNext/>
        <w:tabs>
          <w:tab w:val="left" w:pos="1276"/>
        </w:tabs>
        <w:ind w:left="1559" w:hanging="1559"/>
      </w:pPr>
      <w:r w:rsidRPr="00FA3F57">
        <w:t>Table 5.1.5-1:</w:t>
      </w:r>
      <w:r w:rsidRPr="00FA3F57">
        <w:tab/>
        <w:t>Activities for the implementation of measure EL5</w:t>
      </w:r>
      <w:r w:rsidRPr="00FA3F57" w:rsidDel="00C14E36">
        <w:t xml:space="preserve"> </w:t>
      </w:r>
      <w:r w:rsidRPr="00FA3F57">
        <w:t>– Activity EL5.1</w:t>
      </w:r>
    </w:p>
    <w:tbl>
      <w:tblPr>
        <w:tblStyle w:val="TableGrid"/>
        <w:tblW w:w="0" w:type="auto"/>
        <w:tblLook w:val="04A0" w:firstRow="1" w:lastRow="0" w:firstColumn="1" w:lastColumn="0" w:noHBand="0" w:noVBand="1"/>
      </w:tblPr>
      <w:tblGrid>
        <w:gridCol w:w="2973"/>
        <w:gridCol w:w="5669"/>
      </w:tblGrid>
      <w:tr w:rsidR="0094644B" w:rsidRPr="00F07779" w14:paraId="0BBF4777" w14:textId="77777777" w:rsidTr="00FB5086">
        <w:tc>
          <w:tcPr>
            <w:tcW w:w="2973" w:type="dxa"/>
            <w:shd w:val="clear" w:color="auto" w:fill="D9D9D9" w:themeFill="background1" w:themeFillShade="D9"/>
          </w:tcPr>
          <w:p w14:paraId="63E84566" w14:textId="77777777" w:rsidR="0094644B" w:rsidRPr="00FA3F57" w:rsidRDefault="0094644B" w:rsidP="00FB5086">
            <w:pPr>
              <w:keepNext/>
              <w:rPr>
                <w:sz w:val="20"/>
                <w:szCs w:val="20"/>
              </w:rPr>
            </w:pPr>
            <w:r w:rsidRPr="00FA3F57">
              <w:rPr>
                <w:sz w:val="20"/>
                <w:szCs w:val="20"/>
              </w:rPr>
              <w:t>Activity EL5.1</w:t>
            </w:r>
          </w:p>
        </w:tc>
        <w:tc>
          <w:tcPr>
            <w:tcW w:w="5669" w:type="dxa"/>
            <w:shd w:val="clear" w:color="auto" w:fill="D9D9D9" w:themeFill="background1" w:themeFillShade="D9"/>
          </w:tcPr>
          <w:p w14:paraId="60BB47D3" w14:textId="77777777" w:rsidR="0094644B" w:rsidRPr="00FA3F57" w:rsidRDefault="0094644B" w:rsidP="00FB5086">
            <w:pPr>
              <w:keepNext/>
              <w:rPr>
                <w:sz w:val="20"/>
                <w:szCs w:val="20"/>
              </w:rPr>
            </w:pPr>
            <w:r w:rsidRPr="00FA3F57">
              <w:rPr>
                <w:sz w:val="20"/>
                <w:szCs w:val="20"/>
              </w:rPr>
              <w:t>Investment projects focused on the integration of renewable energy sources into the transmission system</w:t>
            </w:r>
          </w:p>
        </w:tc>
      </w:tr>
      <w:tr w:rsidR="0094644B" w:rsidRPr="00F07779" w14:paraId="354A97CF" w14:textId="77777777" w:rsidTr="00FB5086">
        <w:tc>
          <w:tcPr>
            <w:tcW w:w="2973" w:type="dxa"/>
            <w:shd w:val="clear" w:color="auto" w:fill="FFF2CC" w:themeFill="accent4" w:themeFillTint="33"/>
          </w:tcPr>
          <w:p w14:paraId="44256397" w14:textId="77777777" w:rsidR="0094644B" w:rsidRPr="00FA3F57" w:rsidRDefault="0094644B" w:rsidP="00FB5086">
            <w:pPr>
              <w:keepNext/>
              <w:rPr>
                <w:sz w:val="20"/>
                <w:szCs w:val="20"/>
              </w:rPr>
            </w:pPr>
            <w:r w:rsidRPr="00FA3F57">
              <w:rPr>
                <w:sz w:val="20"/>
                <w:szCs w:val="20"/>
              </w:rPr>
              <w:t>Name of the project</w:t>
            </w:r>
          </w:p>
        </w:tc>
        <w:tc>
          <w:tcPr>
            <w:tcW w:w="5669" w:type="dxa"/>
            <w:shd w:val="clear" w:color="auto" w:fill="FFF2CC" w:themeFill="accent4" w:themeFillTint="33"/>
          </w:tcPr>
          <w:p w14:paraId="696A7D02" w14:textId="77777777" w:rsidR="0094644B" w:rsidRPr="00FA3F57" w:rsidRDefault="0094644B" w:rsidP="00FB5086">
            <w:pPr>
              <w:keepNext/>
              <w:rPr>
                <w:sz w:val="20"/>
                <w:szCs w:val="20"/>
              </w:rPr>
            </w:pPr>
            <w:r w:rsidRPr="00FA3F57">
              <w:rPr>
                <w:sz w:val="20"/>
                <w:szCs w:val="20"/>
              </w:rPr>
              <w:t xml:space="preserve">Reconstruction of sections OHL No. 151/2 and 151/3 </w:t>
            </w:r>
          </w:p>
        </w:tc>
      </w:tr>
      <w:tr w:rsidR="0094644B" w:rsidRPr="00F07779" w14:paraId="765019F3" w14:textId="77777777" w:rsidTr="00FB5086">
        <w:tc>
          <w:tcPr>
            <w:tcW w:w="2973" w:type="dxa"/>
            <w:shd w:val="clear" w:color="auto" w:fill="D9E2F3" w:themeFill="accent1" w:themeFillTint="33"/>
          </w:tcPr>
          <w:p w14:paraId="09AEB120" w14:textId="77777777" w:rsidR="0094644B" w:rsidRPr="00FA3F57" w:rsidRDefault="0094644B" w:rsidP="00FB5086">
            <w:pPr>
              <w:keepNext/>
              <w:rPr>
                <w:sz w:val="20"/>
                <w:szCs w:val="20"/>
              </w:rPr>
            </w:pPr>
            <w:r w:rsidRPr="00FA3F57">
              <w:rPr>
                <w:sz w:val="20"/>
                <w:szCs w:val="20"/>
              </w:rPr>
              <w:t>Name of the investment</w:t>
            </w:r>
          </w:p>
        </w:tc>
        <w:tc>
          <w:tcPr>
            <w:tcW w:w="5669" w:type="dxa"/>
            <w:shd w:val="clear" w:color="auto" w:fill="D9E2F3" w:themeFill="accent1" w:themeFillTint="33"/>
          </w:tcPr>
          <w:p w14:paraId="0DCDD2B3" w14:textId="77777777" w:rsidR="0094644B" w:rsidRPr="00FA3F57" w:rsidRDefault="0094644B" w:rsidP="00FB5086">
            <w:pPr>
              <w:keepNext/>
              <w:rPr>
                <w:sz w:val="20"/>
                <w:szCs w:val="20"/>
              </w:rPr>
            </w:pPr>
            <w:r w:rsidRPr="00FA3F57">
              <w:rPr>
                <w:sz w:val="20"/>
                <w:szCs w:val="20"/>
              </w:rPr>
              <w:t xml:space="preserve">OHL 110 kV No. 151/2, reconstruction of sections from TS </w:t>
            </w:r>
            <w:proofErr w:type="spellStart"/>
            <w:r w:rsidRPr="00FA3F57">
              <w:rPr>
                <w:sz w:val="20"/>
                <w:szCs w:val="20"/>
              </w:rPr>
              <w:t>Pančevo</w:t>
            </w:r>
            <w:proofErr w:type="spellEnd"/>
            <w:r w:rsidRPr="00FA3F57">
              <w:rPr>
                <w:sz w:val="20"/>
                <w:szCs w:val="20"/>
              </w:rPr>
              <w:t xml:space="preserve"> 2 to pole No. 99 </w:t>
            </w:r>
          </w:p>
          <w:p w14:paraId="2C18C7BD" w14:textId="77777777" w:rsidR="0094644B" w:rsidRPr="00FA3F57" w:rsidRDefault="0094644B" w:rsidP="00FB5086">
            <w:pPr>
              <w:keepNext/>
              <w:rPr>
                <w:sz w:val="20"/>
                <w:szCs w:val="20"/>
              </w:rPr>
            </w:pPr>
            <w:r w:rsidRPr="00FA3F57">
              <w:rPr>
                <w:sz w:val="20"/>
                <w:szCs w:val="20"/>
              </w:rPr>
              <w:t xml:space="preserve">OHL 110 kV No. 151/3, reconstruction from TS </w:t>
            </w:r>
            <w:proofErr w:type="spellStart"/>
            <w:r w:rsidRPr="00FA3F57">
              <w:rPr>
                <w:sz w:val="20"/>
                <w:szCs w:val="20"/>
              </w:rPr>
              <w:t>Alibunar</w:t>
            </w:r>
            <w:proofErr w:type="spellEnd"/>
            <w:r w:rsidRPr="00FA3F57">
              <w:rPr>
                <w:sz w:val="20"/>
                <w:szCs w:val="20"/>
              </w:rPr>
              <w:t xml:space="preserve"> to pole No. 154</w:t>
            </w:r>
          </w:p>
          <w:p w14:paraId="4DB365AA" w14:textId="77777777" w:rsidR="0094644B" w:rsidRPr="00FA3F57" w:rsidRDefault="0094644B" w:rsidP="00FB5086">
            <w:pPr>
              <w:keepNext/>
              <w:rPr>
                <w:sz w:val="20"/>
                <w:szCs w:val="20"/>
              </w:rPr>
            </w:pPr>
            <w:r w:rsidRPr="00FA3F57">
              <w:rPr>
                <w:sz w:val="20"/>
                <w:szCs w:val="20"/>
              </w:rPr>
              <w:t>CSS 110 kV Košava, equipping the OHL bay</w:t>
            </w:r>
          </w:p>
        </w:tc>
      </w:tr>
      <w:tr w:rsidR="0094644B" w:rsidRPr="00F07779" w14:paraId="2D145F57" w14:textId="77777777" w:rsidTr="00FB5086">
        <w:tc>
          <w:tcPr>
            <w:tcW w:w="2973" w:type="dxa"/>
          </w:tcPr>
          <w:p w14:paraId="7A006E65" w14:textId="77777777" w:rsidR="0094644B" w:rsidRPr="00FA3F57" w:rsidRDefault="0094644B" w:rsidP="00FB5086">
            <w:pPr>
              <w:rPr>
                <w:sz w:val="20"/>
                <w:szCs w:val="20"/>
              </w:rPr>
            </w:pPr>
            <w:r w:rsidRPr="00FA3F57">
              <w:rPr>
                <w:sz w:val="20"/>
                <w:szCs w:val="20"/>
              </w:rPr>
              <w:t>Short description of the investment</w:t>
            </w:r>
          </w:p>
        </w:tc>
        <w:tc>
          <w:tcPr>
            <w:tcW w:w="5669" w:type="dxa"/>
          </w:tcPr>
          <w:p w14:paraId="7D9800EA" w14:textId="77777777" w:rsidR="0094644B" w:rsidRPr="00FA3F57" w:rsidRDefault="0094644B" w:rsidP="00FB5086">
            <w:pPr>
              <w:rPr>
                <w:sz w:val="20"/>
                <w:szCs w:val="20"/>
              </w:rPr>
            </w:pPr>
            <w:r w:rsidRPr="00FA3F57">
              <w:rPr>
                <w:sz w:val="20"/>
                <w:szCs w:val="20"/>
              </w:rPr>
              <w:t>Reconstruction of the OHL 151/2 into a dual system and an increase in the cross-section of a section of the transmission line. It is also planned to equip a second system on a section of the transmission line with a length of about 3.1 km.</w:t>
            </w:r>
          </w:p>
          <w:p w14:paraId="4B680452" w14:textId="77777777" w:rsidR="0094644B" w:rsidRPr="00FA3F57" w:rsidRDefault="0094644B" w:rsidP="00FB5086">
            <w:pPr>
              <w:rPr>
                <w:sz w:val="20"/>
                <w:szCs w:val="20"/>
              </w:rPr>
            </w:pPr>
            <w:r w:rsidRPr="00FA3F57">
              <w:rPr>
                <w:sz w:val="20"/>
                <w:szCs w:val="20"/>
              </w:rPr>
              <w:t xml:space="preserve">Reconstruction of the OHL 151/3 into a dual system and </w:t>
            </w:r>
            <w:r w:rsidRPr="00F07779">
              <w:rPr>
                <w:sz w:val="20"/>
                <w:szCs w:val="20"/>
              </w:rPr>
              <w:t xml:space="preserve">an </w:t>
            </w:r>
            <w:r w:rsidRPr="00FA3F57">
              <w:rPr>
                <w:sz w:val="20"/>
                <w:szCs w:val="20"/>
              </w:rPr>
              <w:t>increase in the cross-section of a section of the transmission line. It is also planned to equip a second system on a section of the transmission line with a length of about 7.8 km.</w:t>
            </w:r>
          </w:p>
          <w:p w14:paraId="707AAC9B" w14:textId="77777777" w:rsidR="0094644B" w:rsidRPr="00F07779" w:rsidRDefault="0094644B" w:rsidP="00FB5086">
            <w:pPr>
              <w:rPr>
                <w:sz w:val="20"/>
                <w:szCs w:val="20"/>
              </w:rPr>
            </w:pPr>
            <w:r w:rsidRPr="00FA3F57">
              <w:rPr>
                <w:sz w:val="20"/>
                <w:szCs w:val="20"/>
              </w:rPr>
              <w:t xml:space="preserve">Equipping the existing reserve transmission line bay due to equipping the second 110 kV transmission line system No. 151/6 TS </w:t>
            </w:r>
            <w:proofErr w:type="spellStart"/>
            <w:r w:rsidRPr="00FA3F57">
              <w:rPr>
                <w:sz w:val="20"/>
                <w:szCs w:val="20"/>
              </w:rPr>
              <w:t>Alibunar</w:t>
            </w:r>
            <w:proofErr w:type="spellEnd"/>
            <w:r w:rsidRPr="00FA3F57">
              <w:rPr>
                <w:sz w:val="20"/>
                <w:szCs w:val="20"/>
              </w:rPr>
              <w:t xml:space="preserve"> – CSS </w:t>
            </w:r>
            <w:proofErr w:type="gramStart"/>
            <w:r w:rsidRPr="00FA3F57">
              <w:rPr>
                <w:sz w:val="20"/>
                <w:szCs w:val="20"/>
              </w:rPr>
              <w:t>Košava, and</w:t>
            </w:r>
            <w:proofErr w:type="gramEnd"/>
            <w:r w:rsidRPr="00FA3F57">
              <w:rPr>
                <w:sz w:val="20"/>
                <w:szCs w:val="20"/>
              </w:rPr>
              <w:t xml:space="preserve"> connecting the transmission line to the existing 110 kV CSS Košava.</w:t>
            </w:r>
          </w:p>
          <w:p w14:paraId="2D3CA8F3" w14:textId="77777777" w:rsidR="0094644B" w:rsidRPr="00FA3F57" w:rsidRDefault="0094644B" w:rsidP="00FB5086">
            <w:pPr>
              <w:rPr>
                <w:sz w:val="20"/>
                <w:szCs w:val="20"/>
              </w:rPr>
            </w:pPr>
            <w:r w:rsidRPr="00FA3F57">
              <w:rPr>
                <w:sz w:val="20"/>
                <w:szCs w:val="20"/>
              </w:rPr>
              <w:t>Expected dynamics of project implementation:</w:t>
            </w:r>
          </w:p>
          <w:p w14:paraId="0B2A48D3" w14:textId="77777777" w:rsidR="0094644B" w:rsidRPr="00FA3F57" w:rsidRDefault="0094644B" w:rsidP="00FB5086">
            <w:pPr>
              <w:rPr>
                <w:sz w:val="20"/>
                <w:szCs w:val="20"/>
              </w:rPr>
            </w:pPr>
            <w:r w:rsidRPr="00FA3F57">
              <w:rPr>
                <w:sz w:val="20"/>
                <w:szCs w:val="20"/>
              </w:rPr>
              <w:t>2026.</w:t>
            </w:r>
            <w:r w:rsidRPr="00F07779">
              <w:rPr>
                <w:sz w:val="20"/>
                <w:szCs w:val="20"/>
              </w:rPr>
              <w:t xml:space="preserve"> </w:t>
            </w:r>
            <w:r w:rsidRPr="00FA3F57">
              <w:rPr>
                <w:sz w:val="20"/>
                <w:szCs w:val="20"/>
              </w:rPr>
              <w:t>Construction</w:t>
            </w:r>
          </w:p>
          <w:p w14:paraId="70387242" w14:textId="77777777" w:rsidR="0094644B" w:rsidRPr="00FA3F57" w:rsidRDefault="0094644B" w:rsidP="00FB5086">
            <w:pPr>
              <w:rPr>
                <w:sz w:val="20"/>
                <w:szCs w:val="20"/>
              </w:rPr>
            </w:pPr>
            <w:r w:rsidRPr="00FA3F57">
              <w:rPr>
                <w:sz w:val="20"/>
                <w:szCs w:val="20"/>
              </w:rPr>
              <w:t>2027. Commissioning; trial operation</w:t>
            </w:r>
          </w:p>
          <w:p w14:paraId="4084433D" w14:textId="77777777" w:rsidR="0094644B" w:rsidRPr="00FA3F57" w:rsidRDefault="0094644B" w:rsidP="00FB5086">
            <w:pPr>
              <w:rPr>
                <w:sz w:val="20"/>
                <w:szCs w:val="20"/>
              </w:rPr>
            </w:pPr>
            <w:r w:rsidRPr="00FA3F57">
              <w:rPr>
                <w:sz w:val="20"/>
                <w:szCs w:val="20"/>
              </w:rPr>
              <w:t>2028. Use permit; end of project</w:t>
            </w:r>
          </w:p>
        </w:tc>
      </w:tr>
      <w:tr w:rsidR="0094644B" w:rsidRPr="00F07779" w14:paraId="701E2095" w14:textId="77777777" w:rsidTr="00FB5086">
        <w:tc>
          <w:tcPr>
            <w:tcW w:w="2973" w:type="dxa"/>
          </w:tcPr>
          <w:p w14:paraId="019A60D4" w14:textId="77777777" w:rsidR="0094644B" w:rsidRPr="00FA3F57" w:rsidRDefault="0094644B" w:rsidP="00FB5086">
            <w:pPr>
              <w:rPr>
                <w:sz w:val="20"/>
                <w:szCs w:val="20"/>
              </w:rPr>
            </w:pPr>
            <w:r w:rsidRPr="00FA3F57">
              <w:rPr>
                <w:sz w:val="20"/>
                <w:szCs w:val="20"/>
              </w:rPr>
              <w:lastRenderedPageBreak/>
              <w:t>Institutions responsible for the implementation of measures and activities</w:t>
            </w:r>
          </w:p>
        </w:tc>
        <w:tc>
          <w:tcPr>
            <w:tcW w:w="5669" w:type="dxa"/>
          </w:tcPr>
          <w:p w14:paraId="1A815ECA" w14:textId="77777777" w:rsidR="0094644B" w:rsidRPr="00FA3F57" w:rsidRDefault="0094644B" w:rsidP="00FB5086">
            <w:pPr>
              <w:rPr>
                <w:sz w:val="20"/>
                <w:szCs w:val="20"/>
              </w:rPr>
            </w:pPr>
            <w:r w:rsidRPr="00FA3F57">
              <w:rPr>
                <w:sz w:val="20"/>
                <w:szCs w:val="20"/>
              </w:rPr>
              <w:t>EMS JSC Belgrade</w:t>
            </w:r>
          </w:p>
        </w:tc>
      </w:tr>
      <w:tr w:rsidR="0094644B" w:rsidRPr="00F07779" w14:paraId="5D03B4F8" w14:textId="77777777" w:rsidTr="00FB5086">
        <w:tc>
          <w:tcPr>
            <w:tcW w:w="2973" w:type="dxa"/>
          </w:tcPr>
          <w:p w14:paraId="4ED4D81F" w14:textId="77777777" w:rsidR="0094644B" w:rsidRPr="00FA3F57" w:rsidRDefault="0094644B" w:rsidP="00FB5086">
            <w:pPr>
              <w:rPr>
                <w:sz w:val="20"/>
                <w:szCs w:val="20"/>
              </w:rPr>
            </w:pPr>
            <w:r w:rsidRPr="00FA3F57">
              <w:rPr>
                <w:sz w:val="20"/>
                <w:szCs w:val="20"/>
              </w:rPr>
              <w:t>Institutions responsible for monitoring implementation and reporting on the realization</w:t>
            </w:r>
          </w:p>
        </w:tc>
        <w:tc>
          <w:tcPr>
            <w:tcW w:w="5669" w:type="dxa"/>
          </w:tcPr>
          <w:p w14:paraId="5673F35A" w14:textId="77777777" w:rsidR="0094644B" w:rsidRPr="00F07779" w:rsidRDefault="0094644B" w:rsidP="00FB5086">
            <w:pPr>
              <w:rPr>
                <w:sz w:val="20"/>
                <w:szCs w:val="20"/>
              </w:rPr>
            </w:pPr>
            <w:r w:rsidRPr="00FA3F57">
              <w:rPr>
                <w:sz w:val="20"/>
                <w:szCs w:val="20"/>
              </w:rPr>
              <w:t>EMS JSC Belgrade</w:t>
            </w:r>
          </w:p>
          <w:p w14:paraId="394BB896" w14:textId="77777777" w:rsidR="0094644B" w:rsidRPr="00FA3F57" w:rsidRDefault="0094644B" w:rsidP="00FB5086">
            <w:pPr>
              <w:rPr>
                <w:sz w:val="20"/>
                <w:szCs w:val="20"/>
              </w:rPr>
            </w:pPr>
            <w:r w:rsidRPr="00FA3F57">
              <w:rPr>
                <w:sz w:val="20"/>
                <w:szCs w:val="20"/>
              </w:rPr>
              <w:t>Republic Commission for Energy Networks</w:t>
            </w:r>
          </w:p>
          <w:p w14:paraId="28F513C2" w14:textId="77777777" w:rsidR="0094644B" w:rsidRPr="00FA3F57" w:rsidRDefault="0094644B" w:rsidP="00FB5086">
            <w:pPr>
              <w:rPr>
                <w:sz w:val="20"/>
                <w:szCs w:val="20"/>
              </w:rPr>
            </w:pPr>
            <w:r w:rsidRPr="00FA3F57">
              <w:rPr>
                <w:sz w:val="20"/>
                <w:szCs w:val="20"/>
              </w:rPr>
              <w:t>Ministry of Mining and Energy</w:t>
            </w:r>
          </w:p>
        </w:tc>
      </w:tr>
      <w:tr w:rsidR="0094644B" w:rsidRPr="00F07779" w14:paraId="645FC20F" w14:textId="77777777" w:rsidTr="00FB5086">
        <w:tc>
          <w:tcPr>
            <w:tcW w:w="2973" w:type="dxa"/>
          </w:tcPr>
          <w:p w14:paraId="72427079" w14:textId="77777777" w:rsidR="0094644B" w:rsidRPr="00FA3F57" w:rsidRDefault="0094644B" w:rsidP="00FB5086">
            <w:pPr>
              <w:rPr>
                <w:sz w:val="20"/>
                <w:szCs w:val="20"/>
              </w:rPr>
            </w:pPr>
            <w:r w:rsidRPr="00FA3F57">
              <w:rPr>
                <w:sz w:val="20"/>
                <w:szCs w:val="20"/>
              </w:rPr>
              <w:t>The year of the start of the investment</w:t>
            </w:r>
          </w:p>
        </w:tc>
        <w:tc>
          <w:tcPr>
            <w:tcW w:w="5669" w:type="dxa"/>
          </w:tcPr>
          <w:p w14:paraId="79E1BEC0" w14:textId="77777777" w:rsidR="0094644B" w:rsidRPr="00FA3F57" w:rsidRDefault="0094644B" w:rsidP="00FB5086">
            <w:pPr>
              <w:rPr>
                <w:sz w:val="20"/>
                <w:szCs w:val="20"/>
              </w:rPr>
            </w:pPr>
            <w:r w:rsidRPr="00FA3F57">
              <w:rPr>
                <w:sz w:val="20"/>
                <w:szCs w:val="20"/>
              </w:rPr>
              <w:t>2018.</w:t>
            </w:r>
          </w:p>
        </w:tc>
      </w:tr>
      <w:tr w:rsidR="0094644B" w:rsidRPr="00F07779" w14:paraId="686BE67D" w14:textId="77777777" w:rsidTr="00FB5086">
        <w:tc>
          <w:tcPr>
            <w:tcW w:w="2973" w:type="dxa"/>
          </w:tcPr>
          <w:p w14:paraId="48A4B275" w14:textId="77777777" w:rsidR="0094644B" w:rsidRPr="00FA3F57" w:rsidRDefault="0094644B" w:rsidP="00FB5086">
            <w:pPr>
              <w:rPr>
                <w:sz w:val="20"/>
                <w:szCs w:val="20"/>
              </w:rPr>
            </w:pPr>
            <w:r w:rsidRPr="00FA3F57">
              <w:rPr>
                <w:sz w:val="20"/>
                <w:szCs w:val="20"/>
              </w:rPr>
              <w:t>Year of completion of project funding</w:t>
            </w:r>
          </w:p>
        </w:tc>
        <w:tc>
          <w:tcPr>
            <w:tcW w:w="5669" w:type="dxa"/>
          </w:tcPr>
          <w:p w14:paraId="715F19C1" w14:textId="77777777" w:rsidR="0094644B" w:rsidRPr="00FA3F57" w:rsidRDefault="0094644B" w:rsidP="00FB5086">
            <w:pPr>
              <w:rPr>
                <w:sz w:val="20"/>
                <w:szCs w:val="20"/>
              </w:rPr>
            </w:pPr>
            <w:r w:rsidRPr="00FA3F57">
              <w:rPr>
                <w:sz w:val="20"/>
                <w:szCs w:val="20"/>
              </w:rPr>
              <w:t>2026.</w:t>
            </w:r>
          </w:p>
        </w:tc>
      </w:tr>
      <w:tr w:rsidR="0094644B" w:rsidRPr="00F07779" w14:paraId="74A1CB7B" w14:textId="77777777" w:rsidTr="00FB5086">
        <w:tc>
          <w:tcPr>
            <w:tcW w:w="2973" w:type="dxa"/>
          </w:tcPr>
          <w:p w14:paraId="0E764079" w14:textId="77777777" w:rsidR="0094644B" w:rsidRPr="00FA3F57" w:rsidRDefault="0094644B" w:rsidP="00FB5086">
            <w:pPr>
              <w:rPr>
                <w:sz w:val="20"/>
                <w:szCs w:val="20"/>
              </w:rPr>
            </w:pPr>
            <w:r w:rsidRPr="00FA3F57">
              <w:rPr>
                <w:sz w:val="20"/>
                <w:szCs w:val="20"/>
              </w:rPr>
              <w:t>Current estimated value of the investment</w:t>
            </w:r>
            <w:r w:rsidRPr="00FA3F57">
              <w:rPr>
                <w:sz w:val="20"/>
                <w:szCs w:val="20"/>
              </w:rPr>
              <w:br/>
              <w:t>(in thousands of RSD)</w:t>
            </w:r>
          </w:p>
        </w:tc>
        <w:tc>
          <w:tcPr>
            <w:tcW w:w="5669" w:type="dxa"/>
          </w:tcPr>
          <w:p w14:paraId="69942D7C" w14:textId="77777777" w:rsidR="0094644B" w:rsidRPr="00FA3F57" w:rsidRDefault="0094644B" w:rsidP="00FB5086">
            <w:pPr>
              <w:rPr>
                <w:sz w:val="20"/>
                <w:szCs w:val="20"/>
              </w:rPr>
            </w:pPr>
            <w:r w:rsidRPr="00FA3F57">
              <w:rPr>
                <w:sz w:val="20"/>
                <w:szCs w:val="20"/>
              </w:rPr>
              <w:t>2,040,150 (17.4 million EUR)</w:t>
            </w:r>
          </w:p>
        </w:tc>
      </w:tr>
      <w:tr w:rsidR="0094644B" w:rsidRPr="00F07779" w14:paraId="03ED4496" w14:textId="77777777" w:rsidTr="00FB5086">
        <w:tc>
          <w:tcPr>
            <w:tcW w:w="2973" w:type="dxa"/>
          </w:tcPr>
          <w:p w14:paraId="7E081AED" w14:textId="77777777" w:rsidR="0094644B" w:rsidRPr="00FA3F57" w:rsidRDefault="0094644B" w:rsidP="00FB5086">
            <w:pPr>
              <w:rPr>
                <w:sz w:val="20"/>
                <w:szCs w:val="20"/>
              </w:rPr>
            </w:pPr>
            <w:r w:rsidRPr="00FA3F57">
              <w:rPr>
                <w:sz w:val="20"/>
                <w:szCs w:val="20"/>
              </w:rPr>
              <w:t>Planned investments for 2026.</w:t>
            </w:r>
            <w:r w:rsidRPr="00FA3F57">
              <w:rPr>
                <w:sz w:val="20"/>
                <w:szCs w:val="20"/>
              </w:rPr>
              <w:br/>
              <w:t>(in thousands of RSD)</w:t>
            </w:r>
          </w:p>
        </w:tc>
        <w:tc>
          <w:tcPr>
            <w:tcW w:w="5669" w:type="dxa"/>
          </w:tcPr>
          <w:p w14:paraId="17FDF002" w14:textId="77777777" w:rsidR="0094644B" w:rsidRPr="00FA3F57" w:rsidRDefault="0094644B" w:rsidP="00FB5086">
            <w:pPr>
              <w:rPr>
                <w:sz w:val="20"/>
                <w:szCs w:val="20"/>
              </w:rPr>
            </w:pPr>
            <w:r w:rsidRPr="00FA3F57">
              <w:rPr>
                <w:sz w:val="20"/>
                <w:szCs w:val="20"/>
              </w:rPr>
              <w:t>1,252,000</w:t>
            </w:r>
            <w:r w:rsidRPr="00FA3F57" w:rsidDel="00537920">
              <w:rPr>
                <w:sz w:val="20"/>
                <w:szCs w:val="20"/>
              </w:rPr>
              <w:t xml:space="preserve"> </w:t>
            </w:r>
            <w:r w:rsidRPr="00FA3F57">
              <w:rPr>
                <w:sz w:val="20"/>
                <w:szCs w:val="20"/>
              </w:rPr>
              <w:t>(own funds of EMS JSC)</w:t>
            </w:r>
          </w:p>
        </w:tc>
      </w:tr>
      <w:tr w:rsidR="0094644B" w:rsidRPr="00F07779" w14:paraId="636903C4" w14:textId="77777777" w:rsidTr="00FB5086">
        <w:tc>
          <w:tcPr>
            <w:tcW w:w="2973" w:type="dxa"/>
          </w:tcPr>
          <w:p w14:paraId="406CE963" w14:textId="77777777" w:rsidR="0094644B" w:rsidRPr="00FA3F57" w:rsidRDefault="0094644B" w:rsidP="00FB5086">
            <w:pPr>
              <w:rPr>
                <w:sz w:val="20"/>
                <w:szCs w:val="20"/>
              </w:rPr>
            </w:pPr>
            <w:r w:rsidRPr="00FA3F57">
              <w:rPr>
                <w:sz w:val="20"/>
                <w:szCs w:val="20"/>
              </w:rPr>
              <w:t>Planned investments for 2027.</w:t>
            </w:r>
            <w:r w:rsidRPr="00FA3F57">
              <w:rPr>
                <w:sz w:val="20"/>
                <w:szCs w:val="20"/>
              </w:rPr>
              <w:br/>
              <w:t>(in thousands of RSD)</w:t>
            </w:r>
          </w:p>
        </w:tc>
        <w:tc>
          <w:tcPr>
            <w:tcW w:w="5669" w:type="dxa"/>
          </w:tcPr>
          <w:p w14:paraId="2D424BF7" w14:textId="77777777" w:rsidR="0094644B" w:rsidRPr="00FA3F57" w:rsidRDefault="0094644B" w:rsidP="00FB5086">
            <w:pPr>
              <w:rPr>
                <w:sz w:val="20"/>
                <w:szCs w:val="20"/>
              </w:rPr>
            </w:pPr>
            <w:r w:rsidRPr="00FA3F57">
              <w:rPr>
                <w:sz w:val="20"/>
                <w:szCs w:val="20"/>
              </w:rPr>
              <w:t>0</w:t>
            </w:r>
          </w:p>
        </w:tc>
      </w:tr>
      <w:tr w:rsidR="0094644B" w:rsidRPr="00F07779" w14:paraId="06372757" w14:textId="77777777" w:rsidTr="00FB5086">
        <w:tc>
          <w:tcPr>
            <w:tcW w:w="2973" w:type="dxa"/>
          </w:tcPr>
          <w:p w14:paraId="4EC26984" w14:textId="77777777" w:rsidR="0094644B" w:rsidRPr="00FA3F57" w:rsidRDefault="0094644B" w:rsidP="00FB5086">
            <w:pPr>
              <w:rPr>
                <w:sz w:val="20"/>
                <w:szCs w:val="20"/>
              </w:rPr>
            </w:pPr>
            <w:r w:rsidRPr="00FA3F57">
              <w:rPr>
                <w:sz w:val="20"/>
                <w:szCs w:val="20"/>
              </w:rPr>
              <w:t>Planned investments for 2028.</w:t>
            </w:r>
            <w:r w:rsidRPr="00FA3F57">
              <w:rPr>
                <w:sz w:val="20"/>
                <w:szCs w:val="20"/>
              </w:rPr>
              <w:br/>
              <w:t>(in thousands of RSD)</w:t>
            </w:r>
          </w:p>
        </w:tc>
        <w:tc>
          <w:tcPr>
            <w:tcW w:w="5669" w:type="dxa"/>
          </w:tcPr>
          <w:p w14:paraId="1356DBB3" w14:textId="77777777" w:rsidR="0094644B" w:rsidRPr="00FA3F57" w:rsidRDefault="0094644B" w:rsidP="00FB5086">
            <w:pPr>
              <w:rPr>
                <w:sz w:val="20"/>
                <w:szCs w:val="20"/>
              </w:rPr>
            </w:pPr>
            <w:r w:rsidRPr="00FA3F57">
              <w:rPr>
                <w:sz w:val="20"/>
                <w:szCs w:val="20"/>
              </w:rPr>
              <w:t>0</w:t>
            </w:r>
          </w:p>
        </w:tc>
      </w:tr>
    </w:tbl>
    <w:p w14:paraId="0CECE8C2" w14:textId="77777777" w:rsidR="0094644B" w:rsidRPr="00F07779" w:rsidRDefault="0094644B" w:rsidP="0094644B"/>
    <w:tbl>
      <w:tblPr>
        <w:tblStyle w:val="TableGrid"/>
        <w:tblW w:w="0" w:type="auto"/>
        <w:tblLook w:val="04A0" w:firstRow="1" w:lastRow="0" w:firstColumn="1" w:lastColumn="0" w:noHBand="0" w:noVBand="1"/>
      </w:tblPr>
      <w:tblGrid>
        <w:gridCol w:w="2973"/>
        <w:gridCol w:w="5669"/>
      </w:tblGrid>
      <w:tr w:rsidR="0094644B" w:rsidRPr="00F07779" w14:paraId="0F1BFDFD" w14:textId="77777777" w:rsidTr="00FB5086">
        <w:tc>
          <w:tcPr>
            <w:tcW w:w="2973" w:type="dxa"/>
            <w:shd w:val="clear" w:color="auto" w:fill="D0CECE" w:themeFill="background2" w:themeFillShade="E6"/>
          </w:tcPr>
          <w:p w14:paraId="77AA1E22" w14:textId="77777777" w:rsidR="0094644B" w:rsidRPr="00FA3F57" w:rsidRDefault="0094644B" w:rsidP="00FB5086">
            <w:pPr>
              <w:keepNext/>
              <w:rPr>
                <w:sz w:val="20"/>
                <w:szCs w:val="20"/>
              </w:rPr>
            </w:pPr>
            <w:r w:rsidRPr="00FA3F57">
              <w:rPr>
                <w:sz w:val="20"/>
                <w:szCs w:val="20"/>
              </w:rPr>
              <w:t>Activity EL5.1</w:t>
            </w:r>
          </w:p>
        </w:tc>
        <w:tc>
          <w:tcPr>
            <w:tcW w:w="5669" w:type="dxa"/>
            <w:shd w:val="clear" w:color="auto" w:fill="D0CECE" w:themeFill="background2" w:themeFillShade="E6"/>
          </w:tcPr>
          <w:p w14:paraId="5452FF61" w14:textId="77777777" w:rsidR="0094644B" w:rsidRPr="00FA3F57" w:rsidRDefault="0094644B" w:rsidP="00FB5086">
            <w:pPr>
              <w:keepNext/>
              <w:rPr>
                <w:sz w:val="20"/>
                <w:szCs w:val="20"/>
              </w:rPr>
            </w:pPr>
            <w:r w:rsidRPr="00FA3F57">
              <w:rPr>
                <w:sz w:val="20"/>
                <w:szCs w:val="20"/>
              </w:rPr>
              <w:t>Investment projects focused on the integration of renewable energy sources into the transmission system</w:t>
            </w:r>
          </w:p>
        </w:tc>
      </w:tr>
      <w:tr w:rsidR="0094644B" w:rsidRPr="00F07779" w14:paraId="14C32418" w14:textId="77777777" w:rsidTr="00FB5086">
        <w:tc>
          <w:tcPr>
            <w:tcW w:w="2973" w:type="dxa"/>
            <w:shd w:val="clear" w:color="auto" w:fill="FFF2CC" w:themeFill="accent4" w:themeFillTint="33"/>
          </w:tcPr>
          <w:p w14:paraId="3FEB8CE8" w14:textId="77777777" w:rsidR="0094644B" w:rsidRPr="00FA3F57" w:rsidRDefault="0094644B" w:rsidP="00FB5086">
            <w:pPr>
              <w:keepNext/>
              <w:rPr>
                <w:sz w:val="20"/>
                <w:szCs w:val="20"/>
              </w:rPr>
            </w:pPr>
            <w:r w:rsidRPr="00FA3F57">
              <w:rPr>
                <w:sz w:val="20"/>
                <w:szCs w:val="20"/>
              </w:rPr>
              <w:t>Name of the project</w:t>
            </w:r>
          </w:p>
        </w:tc>
        <w:tc>
          <w:tcPr>
            <w:tcW w:w="5669" w:type="dxa"/>
            <w:shd w:val="clear" w:color="auto" w:fill="FFF2CC" w:themeFill="accent4" w:themeFillTint="33"/>
          </w:tcPr>
          <w:p w14:paraId="4A896A63" w14:textId="77777777" w:rsidR="0094644B" w:rsidRPr="00FA3F57" w:rsidRDefault="0094644B" w:rsidP="00FB5086">
            <w:pPr>
              <w:keepNext/>
              <w:rPr>
                <w:sz w:val="20"/>
                <w:szCs w:val="20"/>
              </w:rPr>
            </w:pPr>
            <w:r w:rsidRPr="00FA3F57">
              <w:rPr>
                <w:sz w:val="20"/>
                <w:szCs w:val="20"/>
              </w:rPr>
              <w:t xml:space="preserve">OHL 110 kV SS </w:t>
            </w:r>
            <w:proofErr w:type="spellStart"/>
            <w:r w:rsidRPr="00FA3F57">
              <w:rPr>
                <w:sz w:val="20"/>
                <w:szCs w:val="20"/>
              </w:rPr>
              <w:t>Đerdap</w:t>
            </w:r>
            <w:proofErr w:type="spellEnd"/>
            <w:r w:rsidRPr="00FA3F57">
              <w:rPr>
                <w:sz w:val="20"/>
                <w:szCs w:val="20"/>
              </w:rPr>
              <w:t xml:space="preserve"> 2 – TS Mosna</w:t>
            </w:r>
          </w:p>
        </w:tc>
      </w:tr>
      <w:tr w:rsidR="0094644B" w:rsidRPr="00F07779" w14:paraId="1622CF85" w14:textId="77777777" w:rsidTr="00FB5086">
        <w:tc>
          <w:tcPr>
            <w:tcW w:w="2973" w:type="dxa"/>
            <w:shd w:val="clear" w:color="auto" w:fill="D9E2F3" w:themeFill="accent1" w:themeFillTint="33"/>
          </w:tcPr>
          <w:p w14:paraId="1D4C752D" w14:textId="77777777" w:rsidR="0094644B" w:rsidRPr="00FA3F57" w:rsidRDefault="0094644B" w:rsidP="00FB5086">
            <w:pPr>
              <w:keepNext/>
              <w:rPr>
                <w:sz w:val="20"/>
                <w:szCs w:val="20"/>
              </w:rPr>
            </w:pPr>
            <w:r w:rsidRPr="00FA3F57">
              <w:rPr>
                <w:sz w:val="20"/>
                <w:szCs w:val="20"/>
              </w:rPr>
              <w:t>Name of the investment</w:t>
            </w:r>
          </w:p>
        </w:tc>
        <w:tc>
          <w:tcPr>
            <w:tcW w:w="5669" w:type="dxa"/>
            <w:shd w:val="clear" w:color="auto" w:fill="D9E2F3" w:themeFill="accent1" w:themeFillTint="33"/>
          </w:tcPr>
          <w:p w14:paraId="19380BA1" w14:textId="77777777" w:rsidR="0094644B" w:rsidRPr="00FA3F57" w:rsidRDefault="0094644B" w:rsidP="00FB5086">
            <w:pPr>
              <w:keepNext/>
              <w:rPr>
                <w:sz w:val="20"/>
                <w:szCs w:val="20"/>
              </w:rPr>
            </w:pPr>
            <w:r w:rsidRPr="00FA3F57">
              <w:rPr>
                <w:sz w:val="20"/>
                <w:szCs w:val="20"/>
              </w:rPr>
              <w:t xml:space="preserve">OHL 110 kV </w:t>
            </w:r>
            <w:proofErr w:type="spellStart"/>
            <w:r w:rsidRPr="00FA3F57">
              <w:rPr>
                <w:sz w:val="20"/>
                <w:szCs w:val="20"/>
              </w:rPr>
              <w:t>Đerdap</w:t>
            </w:r>
            <w:proofErr w:type="spellEnd"/>
            <w:r w:rsidRPr="00FA3F57">
              <w:rPr>
                <w:sz w:val="20"/>
                <w:szCs w:val="20"/>
              </w:rPr>
              <w:t xml:space="preserve"> 2 – TS Mosna</w:t>
            </w:r>
            <w:r w:rsidRPr="00FA3F57" w:rsidDel="00491BCE">
              <w:rPr>
                <w:sz w:val="20"/>
                <w:szCs w:val="20"/>
              </w:rPr>
              <w:t xml:space="preserve"> </w:t>
            </w:r>
            <w:r w:rsidRPr="00FA3F57">
              <w:rPr>
                <w:sz w:val="20"/>
                <w:szCs w:val="20"/>
              </w:rPr>
              <w:t xml:space="preserve">SS 110 kV </w:t>
            </w:r>
            <w:proofErr w:type="spellStart"/>
            <w:r w:rsidRPr="00FA3F57">
              <w:rPr>
                <w:sz w:val="20"/>
                <w:szCs w:val="20"/>
              </w:rPr>
              <w:t>Đerdap</w:t>
            </w:r>
            <w:proofErr w:type="spellEnd"/>
            <w:r w:rsidRPr="00FA3F57">
              <w:rPr>
                <w:sz w:val="20"/>
                <w:szCs w:val="20"/>
              </w:rPr>
              <w:t xml:space="preserve"> 2, equipping 110 kV overhead line and connection bay</w:t>
            </w:r>
          </w:p>
        </w:tc>
      </w:tr>
      <w:tr w:rsidR="0094644B" w:rsidRPr="00F07779" w14:paraId="0708A1FB" w14:textId="77777777" w:rsidTr="00FB5086">
        <w:tc>
          <w:tcPr>
            <w:tcW w:w="2973" w:type="dxa"/>
          </w:tcPr>
          <w:p w14:paraId="507FE55A" w14:textId="77777777" w:rsidR="0094644B" w:rsidRPr="00FA3F57" w:rsidRDefault="0094644B" w:rsidP="00FB5086">
            <w:pPr>
              <w:rPr>
                <w:sz w:val="20"/>
                <w:szCs w:val="20"/>
              </w:rPr>
            </w:pPr>
            <w:r w:rsidRPr="00FA3F57">
              <w:rPr>
                <w:sz w:val="20"/>
                <w:szCs w:val="20"/>
              </w:rPr>
              <w:t>Short description of the investment</w:t>
            </w:r>
          </w:p>
        </w:tc>
        <w:tc>
          <w:tcPr>
            <w:tcW w:w="5669" w:type="dxa"/>
          </w:tcPr>
          <w:p w14:paraId="558E84D6" w14:textId="77777777" w:rsidR="0094644B" w:rsidRPr="00FA3F57" w:rsidRDefault="0094644B" w:rsidP="00FB5086">
            <w:pPr>
              <w:rPr>
                <w:sz w:val="20"/>
                <w:szCs w:val="20"/>
              </w:rPr>
            </w:pPr>
            <w:r w:rsidRPr="00F07779">
              <w:rPr>
                <w:sz w:val="20"/>
                <w:szCs w:val="20"/>
              </w:rPr>
              <w:t xml:space="preserve">According to the projected increase in electricity consumption based on the prospective economic development scenario, a need is expected to arise for new 110/x kV substations, and consequently, for the reconstruction of existing and construction of new overhead lines. The OHL 110 kV </w:t>
            </w:r>
            <w:proofErr w:type="spellStart"/>
            <w:r w:rsidRPr="00F07779">
              <w:rPr>
                <w:sz w:val="20"/>
                <w:szCs w:val="20"/>
              </w:rPr>
              <w:t>Đerdap</w:t>
            </w:r>
            <w:proofErr w:type="spellEnd"/>
            <w:r w:rsidRPr="00F07779">
              <w:rPr>
                <w:sz w:val="20"/>
                <w:szCs w:val="20"/>
              </w:rPr>
              <w:t xml:space="preserve"> 2 – Mosna is among the new transmission lines foreseen in the Transmission System Development Plan of Serbia.</w:t>
            </w:r>
          </w:p>
          <w:p w14:paraId="578AE919" w14:textId="77777777" w:rsidR="0094644B" w:rsidRPr="00FA3F57" w:rsidRDefault="0094644B" w:rsidP="00FB5086">
            <w:pPr>
              <w:rPr>
                <w:sz w:val="20"/>
                <w:szCs w:val="20"/>
              </w:rPr>
            </w:pPr>
            <w:r w:rsidRPr="00FA3F57">
              <w:rPr>
                <w:sz w:val="20"/>
                <w:szCs w:val="20"/>
              </w:rPr>
              <w:t>Expected dynamics of project implementation:</w:t>
            </w:r>
          </w:p>
          <w:p w14:paraId="071D3861" w14:textId="77777777" w:rsidR="0094644B" w:rsidRPr="00FA3F57" w:rsidRDefault="0094644B" w:rsidP="00FB5086">
            <w:pPr>
              <w:rPr>
                <w:sz w:val="20"/>
                <w:szCs w:val="20"/>
              </w:rPr>
            </w:pPr>
            <w:r w:rsidRPr="00FA3F57">
              <w:rPr>
                <w:sz w:val="20"/>
                <w:szCs w:val="20"/>
              </w:rPr>
              <w:t>2026.</w:t>
            </w:r>
            <w:r w:rsidRPr="00F07779">
              <w:rPr>
                <w:sz w:val="20"/>
                <w:szCs w:val="20"/>
              </w:rPr>
              <w:t xml:space="preserve"> </w:t>
            </w:r>
            <w:r w:rsidRPr="00FA3F57">
              <w:rPr>
                <w:sz w:val="20"/>
                <w:szCs w:val="20"/>
              </w:rPr>
              <w:t>Construction</w:t>
            </w:r>
          </w:p>
        </w:tc>
      </w:tr>
      <w:tr w:rsidR="0094644B" w:rsidRPr="00F07779" w14:paraId="1C1F8F37" w14:textId="77777777" w:rsidTr="00FB5086">
        <w:tc>
          <w:tcPr>
            <w:tcW w:w="2973" w:type="dxa"/>
          </w:tcPr>
          <w:p w14:paraId="713ACB42" w14:textId="77777777" w:rsidR="0094644B" w:rsidRPr="00FA3F57" w:rsidRDefault="0094644B" w:rsidP="00FB5086">
            <w:pPr>
              <w:rPr>
                <w:sz w:val="20"/>
                <w:szCs w:val="20"/>
              </w:rPr>
            </w:pPr>
            <w:r w:rsidRPr="00FA3F57">
              <w:rPr>
                <w:sz w:val="20"/>
                <w:szCs w:val="20"/>
              </w:rPr>
              <w:t>Institutions responsible for the implementation of measures and activities</w:t>
            </w:r>
          </w:p>
        </w:tc>
        <w:tc>
          <w:tcPr>
            <w:tcW w:w="5669" w:type="dxa"/>
          </w:tcPr>
          <w:p w14:paraId="7794A234" w14:textId="77777777" w:rsidR="0094644B" w:rsidRPr="00FA3F57" w:rsidRDefault="0094644B" w:rsidP="00FB5086">
            <w:pPr>
              <w:rPr>
                <w:sz w:val="20"/>
                <w:szCs w:val="20"/>
              </w:rPr>
            </w:pPr>
            <w:r w:rsidRPr="00FA3F57">
              <w:rPr>
                <w:sz w:val="20"/>
                <w:szCs w:val="20"/>
              </w:rPr>
              <w:t>EMS JSC Belgrade</w:t>
            </w:r>
          </w:p>
        </w:tc>
      </w:tr>
      <w:tr w:rsidR="0094644B" w:rsidRPr="00F07779" w14:paraId="67A46B48" w14:textId="77777777" w:rsidTr="00FB5086">
        <w:tc>
          <w:tcPr>
            <w:tcW w:w="2973" w:type="dxa"/>
          </w:tcPr>
          <w:p w14:paraId="01C6013C" w14:textId="77777777" w:rsidR="0094644B" w:rsidRPr="00FA3F57" w:rsidRDefault="0094644B" w:rsidP="00FB5086">
            <w:pPr>
              <w:rPr>
                <w:sz w:val="20"/>
                <w:szCs w:val="20"/>
              </w:rPr>
            </w:pPr>
            <w:r w:rsidRPr="00FA3F57">
              <w:rPr>
                <w:sz w:val="20"/>
                <w:szCs w:val="20"/>
              </w:rPr>
              <w:t>Institutions responsible for monitoring implementation and reporting on the realization</w:t>
            </w:r>
          </w:p>
        </w:tc>
        <w:tc>
          <w:tcPr>
            <w:tcW w:w="5669" w:type="dxa"/>
          </w:tcPr>
          <w:p w14:paraId="2429FC84" w14:textId="77777777" w:rsidR="0094644B" w:rsidRPr="00F07779" w:rsidRDefault="0094644B" w:rsidP="00FB5086">
            <w:pPr>
              <w:rPr>
                <w:sz w:val="20"/>
                <w:szCs w:val="20"/>
              </w:rPr>
            </w:pPr>
            <w:r w:rsidRPr="00FA3F57">
              <w:rPr>
                <w:sz w:val="20"/>
                <w:szCs w:val="20"/>
              </w:rPr>
              <w:t>EMS JSC Belgrade</w:t>
            </w:r>
          </w:p>
          <w:p w14:paraId="79C923C0" w14:textId="77777777" w:rsidR="0094644B" w:rsidRPr="00FA3F57" w:rsidRDefault="0094644B" w:rsidP="00FB5086">
            <w:pPr>
              <w:rPr>
                <w:sz w:val="20"/>
                <w:szCs w:val="20"/>
              </w:rPr>
            </w:pPr>
            <w:r w:rsidRPr="00FA3F57">
              <w:rPr>
                <w:sz w:val="20"/>
                <w:szCs w:val="20"/>
              </w:rPr>
              <w:t>Republic Commission for Energy Networks</w:t>
            </w:r>
          </w:p>
          <w:p w14:paraId="346D7EC0" w14:textId="77777777" w:rsidR="0094644B" w:rsidRPr="00FA3F57" w:rsidRDefault="0094644B" w:rsidP="00FB5086">
            <w:pPr>
              <w:rPr>
                <w:sz w:val="20"/>
                <w:szCs w:val="20"/>
              </w:rPr>
            </w:pPr>
            <w:r w:rsidRPr="00FA3F57">
              <w:rPr>
                <w:sz w:val="20"/>
                <w:szCs w:val="20"/>
              </w:rPr>
              <w:t>Ministry of Mining and Energy</w:t>
            </w:r>
          </w:p>
        </w:tc>
      </w:tr>
      <w:tr w:rsidR="0094644B" w:rsidRPr="00F07779" w14:paraId="15DDFEF6" w14:textId="77777777" w:rsidTr="00FB5086">
        <w:tc>
          <w:tcPr>
            <w:tcW w:w="2973" w:type="dxa"/>
          </w:tcPr>
          <w:p w14:paraId="29B499B3" w14:textId="77777777" w:rsidR="0094644B" w:rsidRPr="00FA3F57" w:rsidRDefault="0094644B" w:rsidP="00FB5086">
            <w:pPr>
              <w:rPr>
                <w:sz w:val="20"/>
                <w:szCs w:val="20"/>
              </w:rPr>
            </w:pPr>
            <w:r w:rsidRPr="00FA3F57">
              <w:rPr>
                <w:sz w:val="20"/>
                <w:szCs w:val="20"/>
              </w:rPr>
              <w:t>The year of the start of the investment</w:t>
            </w:r>
          </w:p>
        </w:tc>
        <w:tc>
          <w:tcPr>
            <w:tcW w:w="5669" w:type="dxa"/>
          </w:tcPr>
          <w:p w14:paraId="10793B20" w14:textId="77777777" w:rsidR="0094644B" w:rsidRPr="00FA3F57" w:rsidRDefault="0094644B" w:rsidP="00FB5086">
            <w:pPr>
              <w:rPr>
                <w:sz w:val="20"/>
                <w:szCs w:val="20"/>
              </w:rPr>
            </w:pPr>
            <w:r w:rsidRPr="00FA3F57">
              <w:rPr>
                <w:sz w:val="20"/>
                <w:szCs w:val="20"/>
              </w:rPr>
              <w:t xml:space="preserve">2015. </w:t>
            </w:r>
          </w:p>
        </w:tc>
      </w:tr>
      <w:tr w:rsidR="0094644B" w:rsidRPr="00F07779" w14:paraId="0307AFBC" w14:textId="77777777" w:rsidTr="00FB5086">
        <w:tc>
          <w:tcPr>
            <w:tcW w:w="2973" w:type="dxa"/>
          </w:tcPr>
          <w:p w14:paraId="008AF006" w14:textId="77777777" w:rsidR="0094644B" w:rsidRPr="00FA3F57" w:rsidRDefault="0094644B" w:rsidP="00FB5086">
            <w:pPr>
              <w:rPr>
                <w:sz w:val="20"/>
                <w:szCs w:val="20"/>
              </w:rPr>
            </w:pPr>
            <w:r w:rsidRPr="00FA3F57">
              <w:rPr>
                <w:sz w:val="20"/>
                <w:szCs w:val="20"/>
              </w:rPr>
              <w:t>Year of completion of project funding</w:t>
            </w:r>
          </w:p>
        </w:tc>
        <w:tc>
          <w:tcPr>
            <w:tcW w:w="5669" w:type="dxa"/>
          </w:tcPr>
          <w:p w14:paraId="6D26C2AF" w14:textId="77777777" w:rsidR="0094644B" w:rsidRPr="00FA3F57" w:rsidRDefault="0094644B" w:rsidP="00FB5086">
            <w:pPr>
              <w:rPr>
                <w:sz w:val="20"/>
                <w:szCs w:val="20"/>
              </w:rPr>
            </w:pPr>
            <w:r w:rsidRPr="00FA3F57">
              <w:rPr>
                <w:sz w:val="20"/>
                <w:szCs w:val="20"/>
              </w:rPr>
              <w:t>2026.</w:t>
            </w:r>
          </w:p>
        </w:tc>
      </w:tr>
      <w:tr w:rsidR="0094644B" w:rsidRPr="00F07779" w14:paraId="7D557F97" w14:textId="77777777" w:rsidTr="00FB5086">
        <w:tc>
          <w:tcPr>
            <w:tcW w:w="2973" w:type="dxa"/>
          </w:tcPr>
          <w:p w14:paraId="58ED7D90" w14:textId="77777777" w:rsidR="0094644B" w:rsidRPr="00FA3F57" w:rsidRDefault="0094644B" w:rsidP="00FB5086">
            <w:pPr>
              <w:rPr>
                <w:sz w:val="20"/>
                <w:szCs w:val="20"/>
              </w:rPr>
            </w:pPr>
            <w:r w:rsidRPr="00FA3F57">
              <w:rPr>
                <w:sz w:val="20"/>
                <w:szCs w:val="20"/>
              </w:rPr>
              <w:t>Current estimated value of the investment</w:t>
            </w:r>
            <w:r w:rsidRPr="00FA3F57">
              <w:rPr>
                <w:sz w:val="20"/>
                <w:szCs w:val="20"/>
              </w:rPr>
              <w:br/>
              <w:t>(in thousands of RSD)</w:t>
            </w:r>
          </w:p>
        </w:tc>
        <w:tc>
          <w:tcPr>
            <w:tcW w:w="5669" w:type="dxa"/>
          </w:tcPr>
          <w:p w14:paraId="29F6D4FC" w14:textId="77777777" w:rsidR="0094644B" w:rsidRPr="00FA3F57" w:rsidRDefault="0094644B" w:rsidP="00FB5086">
            <w:pPr>
              <w:rPr>
                <w:sz w:val="20"/>
                <w:szCs w:val="20"/>
              </w:rPr>
            </w:pPr>
            <w:r w:rsidRPr="00FA3F57">
              <w:rPr>
                <w:sz w:val="20"/>
                <w:szCs w:val="20"/>
              </w:rPr>
              <w:t>785,575 (6.7 million EUR)</w:t>
            </w:r>
          </w:p>
        </w:tc>
      </w:tr>
      <w:tr w:rsidR="0094644B" w:rsidRPr="00F07779" w14:paraId="08194EF6" w14:textId="77777777" w:rsidTr="00FB5086">
        <w:tc>
          <w:tcPr>
            <w:tcW w:w="2973" w:type="dxa"/>
          </w:tcPr>
          <w:p w14:paraId="540CBEF6" w14:textId="77777777" w:rsidR="0094644B" w:rsidRPr="00FA3F57" w:rsidRDefault="0094644B" w:rsidP="00FB5086">
            <w:pPr>
              <w:rPr>
                <w:sz w:val="20"/>
                <w:szCs w:val="20"/>
              </w:rPr>
            </w:pPr>
            <w:r w:rsidRPr="00FA3F57">
              <w:rPr>
                <w:sz w:val="20"/>
                <w:szCs w:val="20"/>
              </w:rPr>
              <w:t>Planned investments for 2026.</w:t>
            </w:r>
            <w:r w:rsidRPr="00FA3F57">
              <w:rPr>
                <w:sz w:val="20"/>
                <w:szCs w:val="20"/>
              </w:rPr>
              <w:br/>
              <w:t>(in thousands of RSD)</w:t>
            </w:r>
          </w:p>
        </w:tc>
        <w:tc>
          <w:tcPr>
            <w:tcW w:w="5669" w:type="dxa"/>
          </w:tcPr>
          <w:p w14:paraId="0806CDFE" w14:textId="77777777" w:rsidR="0094644B" w:rsidRPr="00FA3F57" w:rsidRDefault="0094644B" w:rsidP="00FB5086">
            <w:pPr>
              <w:rPr>
                <w:sz w:val="20"/>
                <w:szCs w:val="20"/>
              </w:rPr>
            </w:pPr>
            <w:r w:rsidRPr="00FA3F57">
              <w:rPr>
                <w:sz w:val="20"/>
                <w:szCs w:val="20"/>
              </w:rPr>
              <w:t>605,127</w:t>
            </w:r>
            <w:r w:rsidRPr="00FA3F57" w:rsidDel="00537920">
              <w:rPr>
                <w:sz w:val="20"/>
                <w:szCs w:val="20"/>
              </w:rPr>
              <w:t xml:space="preserve"> </w:t>
            </w:r>
            <w:r w:rsidRPr="00FA3F57">
              <w:rPr>
                <w:sz w:val="20"/>
                <w:szCs w:val="20"/>
              </w:rPr>
              <w:t>(own funds of EMS JSC)</w:t>
            </w:r>
          </w:p>
        </w:tc>
      </w:tr>
      <w:tr w:rsidR="0094644B" w:rsidRPr="00F07779" w14:paraId="69D18C9F" w14:textId="77777777" w:rsidTr="00FB5086">
        <w:tc>
          <w:tcPr>
            <w:tcW w:w="2973" w:type="dxa"/>
          </w:tcPr>
          <w:p w14:paraId="4DF6E3FF" w14:textId="77777777" w:rsidR="0094644B" w:rsidRPr="00FA3F57" w:rsidRDefault="0094644B" w:rsidP="00FB5086">
            <w:pPr>
              <w:rPr>
                <w:sz w:val="20"/>
                <w:szCs w:val="20"/>
              </w:rPr>
            </w:pPr>
            <w:r w:rsidRPr="00FA3F57">
              <w:rPr>
                <w:sz w:val="20"/>
                <w:szCs w:val="20"/>
              </w:rPr>
              <w:t>Planned investments for 2027.</w:t>
            </w:r>
            <w:r w:rsidRPr="00FA3F57">
              <w:rPr>
                <w:sz w:val="20"/>
                <w:szCs w:val="20"/>
              </w:rPr>
              <w:br/>
              <w:t>(in thousands of RSD)</w:t>
            </w:r>
          </w:p>
        </w:tc>
        <w:tc>
          <w:tcPr>
            <w:tcW w:w="5669" w:type="dxa"/>
          </w:tcPr>
          <w:p w14:paraId="1395830F" w14:textId="77777777" w:rsidR="0094644B" w:rsidRPr="00FA3F57" w:rsidRDefault="0094644B" w:rsidP="00FB5086">
            <w:pPr>
              <w:rPr>
                <w:sz w:val="20"/>
                <w:szCs w:val="20"/>
              </w:rPr>
            </w:pPr>
            <w:r w:rsidRPr="00F07779">
              <w:rPr>
                <w:sz w:val="20"/>
                <w:szCs w:val="20"/>
              </w:rPr>
              <w:t>0</w:t>
            </w:r>
          </w:p>
        </w:tc>
      </w:tr>
      <w:tr w:rsidR="0094644B" w:rsidRPr="00F07779" w14:paraId="5C185C87" w14:textId="77777777" w:rsidTr="00FB5086">
        <w:tc>
          <w:tcPr>
            <w:tcW w:w="2973" w:type="dxa"/>
          </w:tcPr>
          <w:p w14:paraId="270C961E" w14:textId="77777777" w:rsidR="0094644B" w:rsidRPr="00FA3F57" w:rsidRDefault="0094644B" w:rsidP="00FB5086">
            <w:pPr>
              <w:rPr>
                <w:sz w:val="20"/>
                <w:szCs w:val="20"/>
              </w:rPr>
            </w:pPr>
            <w:r w:rsidRPr="00FA3F57">
              <w:rPr>
                <w:sz w:val="20"/>
                <w:szCs w:val="20"/>
              </w:rPr>
              <w:t>Planned investments for 2028.</w:t>
            </w:r>
            <w:r w:rsidRPr="00FA3F57">
              <w:rPr>
                <w:sz w:val="20"/>
                <w:szCs w:val="20"/>
              </w:rPr>
              <w:br/>
              <w:t>(in thousands of RSD)</w:t>
            </w:r>
          </w:p>
        </w:tc>
        <w:tc>
          <w:tcPr>
            <w:tcW w:w="5669" w:type="dxa"/>
          </w:tcPr>
          <w:p w14:paraId="28E7B505" w14:textId="77777777" w:rsidR="0094644B" w:rsidRPr="00FA3F57" w:rsidRDefault="0094644B" w:rsidP="00FB5086">
            <w:pPr>
              <w:rPr>
                <w:sz w:val="20"/>
                <w:szCs w:val="20"/>
              </w:rPr>
            </w:pPr>
            <w:r w:rsidRPr="00FA3F57">
              <w:rPr>
                <w:sz w:val="20"/>
                <w:szCs w:val="20"/>
              </w:rPr>
              <w:t>0</w:t>
            </w:r>
          </w:p>
        </w:tc>
      </w:tr>
    </w:tbl>
    <w:p w14:paraId="2DA28D79" w14:textId="77777777" w:rsidR="0094644B" w:rsidRPr="00FA3F57" w:rsidRDefault="0094644B" w:rsidP="0094644B"/>
    <w:tbl>
      <w:tblPr>
        <w:tblStyle w:val="TableGrid"/>
        <w:tblW w:w="0" w:type="auto"/>
        <w:tblLook w:val="04A0" w:firstRow="1" w:lastRow="0" w:firstColumn="1" w:lastColumn="0" w:noHBand="0" w:noVBand="1"/>
      </w:tblPr>
      <w:tblGrid>
        <w:gridCol w:w="2973"/>
        <w:gridCol w:w="5669"/>
      </w:tblGrid>
      <w:tr w:rsidR="0094644B" w:rsidRPr="00F07779" w14:paraId="2B64F215" w14:textId="77777777" w:rsidTr="00FB5086">
        <w:tc>
          <w:tcPr>
            <w:tcW w:w="2973" w:type="dxa"/>
            <w:shd w:val="clear" w:color="auto" w:fill="D0CECE" w:themeFill="background2" w:themeFillShade="E6"/>
          </w:tcPr>
          <w:p w14:paraId="501A1A0C" w14:textId="77777777" w:rsidR="0094644B" w:rsidRPr="00FA3F57" w:rsidRDefault="0094644B" w:rsidP="00FB5086">
            <w:pPr>
              <w:keepNext/>
              <w:rPr>
                <w:sz w:val="20"/>
                <w:szCs w:val="20"/>
              </w:rPr>
            </w:pPr>
            <w:r w:rsidRPr="00FA3F57">
              <w:rPr>
                <w:sz w:val="20"/>
                <w:szCs w:val="20"/>
              </w:rPr>
              <w:t>Activity EL5.1</w:t>
            </w:r>
          </w:p>
        </w:tc>
        <w:tc>
          <w:tcPr>
            <w:tcW w:w="5669" w:type="dxa"/>
            <w:shd w:val="clear" w:color="auto" w:fill="D0CECE" w:themeFill="background2" w:themeFillShade="E6"/>
          </w:tcPr>
          <w:p w14:paraId="146615F4" w14:textId="77777777" w:rsidR="0094644B" w:rsidRPr="00FA3F57" w:rsidRDefault="0094644B" w:rsidP="00FB5086">
            <w:pPr>
              <w:keepNext/>
              <w:rPr>
                <w:sz w:val="20"/>
                <w:szCs w:val="20"/>
              </w:rPr>
            </w:pPr>
            <w:r w:rsidRPr="00FA3F57">
              <w:rPr>
                <w:sz w:val="20"/>
                <w:szCs w:val="20"/>
              </w:rPr>
              <w:t>Investment projects focused on the integration of renewable energy sources into the transmission system</w:t>
            </w:r>
          </w:p>
        </w:tc>
      </w:tr>
      <w:tr w:rsidR="0094644B" w:rsidRPr="00F07779" w14:paraId="7C715843" w14:textId="77777777" w:rsidTr="00FB5086">
        <w:tc>
          <w:tcPr>
            <w:tcW w:w="2973" w:type="dxa"/>
            <w:shd w:val="clear" w:color="auto" w:fill="FFF2CC" w:themeFill="accent4" w:themeFillTint="33"/>
          </w:tcPr>
          <w:p w14:paraId="5AA7CB32" w14:textId="77777777" w:rsidR="0094644B" w:rsidRPr="00FA3F57" w:rsidRDefault="0094644B" w:rsidP="00FB5086">
            <w:pPr>
              <w:keepNext/>
              <w:rPr>
                <w:sz w:val="20"/>
                <w:szCs w:val="20"/>
              </w:rPr>
            </w:pPr>
            <w:r w:rsidRPr="00FA3F57">
              <w:rPr>
                <w:sz w:val="20"/>
                <w:szCs w:val="20"/>
              </w:rPr>
              <w:t>Name of the project</w:t>
            </w:r>
          </w:p>
        </w:tc>
        <w:tc>
          <w:tcPr>
            <w:tcW w:w="5669" w:type="dxa"/>
            <w:shd w:val="clear" w:color="auto" w:fill="FFF2CC" w:themeFill="accent4" w:themeFillTint="33"/>
          </w:tcPr>
          <w:p w14:paraId="722B2683" w14:textId="77777777" w:rsidR="0094644B" w:rsidRPr="00FA3F57" w:rsidRDefault="0094644B" w:rsidP="00FB5086">
            <w:pPr>
              <w:keepNext/>
              <w:rPr>
                <w:sz w:val="20"/>
                <w:szCs w:val="20"/>
              </w:rPr>
            </w:pPr>
            <w:r w:rsidRPr="00FA3F57">
              <w:rPr>
                <w:sz w:val="20"/>
                <w:szCs w:val="20"/>
              </w:rPr>
              <w:t xml:space="preserve">Reconstruction of TS </w:t>
            </w:r>
            <w:proofErr w:type="spellStart"/>
            <w:r w:rsidRPr="00FA3F57">
              <w:rPr>
                <w:sz w:val="20"/>
                <w:szCs w:val="20"/>
              </w:rPr>
              <w:t>Zrenjanin</w:t>
            </w:r>
            <w:proofErr w:type="spellEnd"/>
            <w:r w:rsidRPr="00FA3F57">
              <w:rPr>
                <w:sz w:val="20"/>
                <w:szCs w:val="20"/>
              </w:rPr>
              <w:t xml:space="preserve"> 2</w:t>
            </w:r>
          </w:p>
        </w:tc>
      </w:tr>
      <w:tr w:rsidR="0094644B" w:rsidRPr="00F07779" w14:paraId="6EBAECA8" w14:textId="77777777" w:rsidTr="00FB5086">
        <w:tc>
          <w:tcPr>
            <w:tcW w:w="2973" w:type="dxa"/>
            <w:shd w:val="clear" w:color="auto" w:fill="D9E2F3" w:themeFill="accent1" w:themeFillTint="33"/>
          </w:tcPr>
          <w:p w14:paraId="2353F91A" w14:textId="77777777" w:rsidR="0094644B" w:rsidRPr="00FA3F57" w:rsidRDefault="0094644B" w:rsidP="00FB5086">
            <w:pPr>
              <w:keepNext/>
              <w:rPr>
                <w:sz w:val="20"/>
                <w:szCs w:val="20"/>
              </w:rPr>
            </w:pPr>
            <w:r w:rsidRPr="00FA3F57">
              <w:rPr>
                <w:sz w:val="20"/>
                <w:szCs w:val="20"/>
              </w:rPr>
              <w:t>Name of the investment</w:t>
            </w:r>
          </w:p>
        </w:tc>
        <w:tc>
          <w:tcPr>
            <w:tcW w:w="5669" w:type="dxa"/>
            <w:shd w:val="clear" w:color="auto" w:fill="D9E2F3" w:themeFill="accent1" w:themeFillTint="33"/>
          </w:tcPr>
          <w:p w14:paraId="67883089" w14:textId="77777777" w:rsidR="0094644B" w:rsidRPr="00FA3F57" w:rsidRDefault="0094644B" w:rsidP="00FB5086">
            <w:pPr>
              <w:keepNext/>
              <w:rPr>
                <w:sz w:val="20"/>
                <w:szCs w:val="20"/>
              </w:rPr>
            </w:pPr>
            <w:r w:rsidRPr="00FA3F57">
              <w:rPr>
                <w:sz w:val="20"/>
                <w:szCs w:val="20"/>
              </w:rPr>
              <w:t>Reconstruction of TS</w:t>
            </w:r>
            <w:r w:rsidRPr="00F07779">
              <w:rPr>
                <w:sz w:val="20"/>
                <w:szCs w:val="20"/>
              </w:rPr>
              <w:t xml:space="preserve"> </w:t>
            </w:r>
            <w:r w:rsidRPr="00FA3F57">
              <w:rPr>
                <w:sz w:val="20"/>
                <w:szCs w:val="20"/>
              </w:rPr>
              <w:t xml:space="preserve">220/110 kV </w:t>
            </w:r>
            <w:proofErr w:type="spellStart"/>
            <w:r w:rsidRPr="00FA3F57">
              <w:rPr>
                <w:sz w:val="20"/>
                <w:szCs w:val="20"/>
              </w:rPr>
              <w:t>Zrenjanin</w:t>
            </w:r>
            <w:proofErr w:type="spellEnd"/>
            <w:r w:rsidRPr="00FA3F57">
              <w:rPr>
                <w:sz w:val="20"/>
                <w:szCs w:val="20"/>
              </w:rPr>
              <w:t xml:space="preserve"> 2</w:t>
            </w:r>
          </w:p>
        </w:tc>
      </w:tr>
      <w:tr w:rsidR="0094644B" w:rsidRPr="00F07779" w14:paraId="01739F5B" w14:textId="77777777" w:rsidTr="00FB5086">
        <w:tc>
          <w:tcPr>
            <w:tcW w:w="2973" w:type="dxa"/>
          </w:tcPr>
          <w:p w14:paraId="1415D0A9" w14:textId="77777777" w:rsidR="0094644B" w:rsidRPr="00FA3F57" w:rsidRDefault="0094644B" w:rsidP="00FB5086">
            <w:pPr>
              <w:rPr>
                <w:sz w:val="20"/>
                <w:szCs w:val="20"/>
              </w:rPr>
            </w:pPr>
            <w:r w:rsidRPr="00FA3F57">
              <w:rPr>
                <w:sz w:val="20"/>
                <w:szCs w:val="20"/>
              </w:rPr>
              <w:t>Short description of the investment</w:t>
            </w:r>
          </w:p>
        </w:tc>
        <w:tc>
          <w:tcPr>
            <w:tcW w:w="5669" w:type="dxa"/>
          </w:tcPr>
          <w:p w14:paraId="23F29EF7" w14:textId="77777777" w:rsidR="0094644B" w:rsidRPr="00FA3F57" w:rsidRDefault="0094644B" w:rsidP="00FB5086">
            <w:pPr>
              <w:rPr>
                <w:sz w:val="20"/>
                <w:szCs w:val="20"/>
              </w:rPr>
            </w:pPr>
            <w:r w:rsidRPr="00F07779">
              <w:rPr>
                <w:sz w:val="20"/>
                <w:szCs w:val="20"/>
              </w:rPr>
              <w:t xml:space="preserve">This project is conceived as a joint solution addressing both the poor condition of the 220 kV facilities at TS </w:t>
            </w:r>
            <w:proofErr w:type="spellStart"/>
            <w:r w:rsidRPr="00F07779">
              <w:rPr>
                <w:sz w:val="20"/>
                <w:szCs w:val="20"/>
              </w:rPr>
              <w:t>Zrenjanin</w:t>
            </w:r>
            <w:proofErr w:type="spellEnd"/>
            <w:r w:rsidRPr="00F07779">
              <w:rPr>
                <w:sz w:val="20"/>
                <w:szCs w:val="20"/>
              </w:rPr>
              <w:t xml:space="preserve"> 2 and the need for the integration of energy generated from RES, which is </w:t>
            </w:r>
            <w:r w:rsidRPr="00F07779">
              <w:rPr>
                <w:sz w:val="20"/>
                <w:szCs w:val="20"/>
              </w:rPr>
              <w:lastRenderedPageBreak/>
              <w:t>expected to be connected in the southern and central Banat region.</w:t>
            </w:r>
            <w:r w:rsidRPr="00FA3F57">
              <w:rPr>
                <w:sz w:val="20"/>
                <w:szCs w:val="20"/>
              </w:rPr>
              <w:t xml:space="preserve"> </w:t>
            </w:r>
            <w:r w:rsidRPr="00F07779">
              <w:rPr>
                <w:sz w:val="20"/>
                <w:szCs w:val="20"/>
              </w:rPr>
              <w:t xml:space="preserve">A reconstruction of the 220/110 kV </w:t>
            </w:r>
            <w:proofErr w:type="spellStart"/>
            <w:r w:rsidRPr="00F07779">
              <w:rPr>
                <w:sz w:val="20"/>
                <w:szCs w:val="20"/>
              </w:rPr>
              <w:t>Zrenjanin</w:t>
            </w:r>
            <w:proofErr w:type="spellEnd"/>
            <w:r w:rsidRPr="00F07779">
              <w:rPr>
                <w:sz w:val="20"/>
                <w:szCs w:val="20"/>
              </w:rPr>
              <w:t xml:space="preserve"> 2 substation is planned, except for one transformer, the replacement of which is included in the scope of the project titled “Increasing the installed capacity at TS 220/110 kV </w:t>
            </w:r>
            <w:proofErr w:type="spellStart"/>
            <w:r w:rsidRPr="00F07779">
              <w:rPr>
                <w:sz w:val="20"/>
                <w:szCs w:val="20"/>
              </w:rPr>
              <w:t>Zrenjanin</w:t>
            </w:r>
            <w:proofErr w:type="spellEnd"/>
            <w:r w:rsidRPr="00F07779">
              <w:rPr>
                <w:sz w:val="20"/>
                <w:szCs w:val="20"/>
              </w:rPr>
              <w:t xml:space="preserve"> 2”.</w:t>
            </w:r>
          </w:p>
          <w:p w14:paraId="2DC92CB8" w14:textId="77777777" w:rsidR="0094644B" w:rsidRPr="00FA3F57" w:rsidRDefault="0094644B" w:rsidP="00FB5086">
            <w:pPr>
              <w:rPr>
                <w:sz w:val="20"/>
                <w:szCs w:val="20"/>
              </w:rPr>
            </w:pPr>
            <w:r w:rsidRPr="00FA3F57">
              <w:rPr>
                <w:sz w:val="20"/>
                <w:szCs w:val="20"/>
              </w:rPr>
              <w:t>Expected dynamics of project implementation:</w:t>
            </w:r>
          </w:p>
          <w:p w14:paraId="19C55128" w14:textId="77777777" w:rsidR="0094644B" w:rsidRPr="00FA3F57" w:rsidRDefault="0094644B" w:rsidP="00FB5086">
            <w:pPr>
              <w:rPr>
                <w:sz w:val="20"/>
                <w:szCs w:val="20"/>
              </w:rPr>
            </w:pPr>
            <w:r w:rsidRPr="00FA3F57">
              <w:rPr>
                <w:sz w:val="20"/>
                <w:szCs w:val="20"/>
              </w:rPr>
              <w:t>2026. Location conditions</w:t>
            </w:r>
          </w:p>
          <w:p w14:paraId="41C73BDB" w14:textId="77777777" w:rsidR="0094644B" w:rsidRPr="00FA3F57" w:rsidRDefault="0094644B" w:rsidP="00FB5086">
            <w:pPr>
              <w:rPr>
                <w:sz w:val="20"/>
                <w:szCs w:val="20"/>
              </w:rPr>
            </w:pPr>
            <w:r w:rsidRPr="00FA3F57">
              <w:rPr>
                <w:sz w:val="20"/>
                <w:szCs w:val="20"/>
              </w:rPr>
              <w:t>2027. Building permit</w:t>
            </w:r>
          </w:p>
          <w:p w14:paraId="13500F9C" w14:textId="77777777" w:rsidR="0094644B" w:rsidRPr="00FA3F57" w:rsidRDefault="0094644B" w:rsidP="00FB5086">
            <w:pPr>
              <w:rPr>
                <w:sz w:val="20"/>
                <w:szCs w:val="20"/>
              </w:rPr>
            </w:pPr>
            <w:r w:rsidRPr="00FA3F57">
              <w:rPr>
                <w:sz w:val="20"/>
                <w:szCs w:val="20"/>
              </w:rPr>
              <w:t>2028.</w:t>
            </w:r>
            <w:r w:rsidRPr="00F07779">
              <w:rPr>
                <w:sz w:val="20"/>
                <w:szCs w:val="20"/>
              </w:rPr>
              <w:t xml:space="preserve"> </w:t>
            </w:r>
            <w:r w:rsidRPr="00FA3F57">
              <w:rPr>
                <w:sz w:val="20"/>
                <w:szCs w:val="20"/>
              </w:rPr>
              <w:t>Construction</w:t>
            </w:r>
          </w:p>
        </w:tc>
      </w:tr>
      <w:tr w:rsidR="0094644B" w:rsidRPr="00F07779" w14:paraId="749FCC4C" w14:textId="77777777" w:rsidTr="00FB5086">
        <w:tc>
          <w:tcPr>
            <w:tcW w:w="2973" w:type="dxa"/>
          </w:tcPr>
          <w:p w14:paraId="4BB504B4" w14:textId="77777777" w:rsidR="0094644B" w:rsidRPr="00FA3F57" w:rsidRDefault="0094644B" w:rsidP="00FB5086">
            <w:pPr>
              <w:rPr>
                <w:sz w:val="20"/>
                <w:szCs w:val="20"/>
              </w:rPr>
            </w:pPr>
            <w:r w:rsidRPr="00FA3F57">
              <w:rPr>
                <w:sz w:val="20"/>
                <w:szCs w:val="20"/>
              </w:rPr>
              <w:lastRenderedPageBreak/>
              <w:t>Institutions responsible for the implementation of measures and activities</w:t>
            </w:r>
          </w:p>
        </w:tc>
        <w:tc>
          <w:tcPr>
            <w:tcW w:w="5669" w:type="dxa"/>
          </w:tcPr>
          <w:p w14:paraId="7A825264" w14:textId="77777777" w:rsidR="0094644B" w:rsidRPr="00FA3F57" w:rsidRDefault="0094644B" w:rsidP="00FB5086">
            <w:pPr>
              <w:rPr>
                <w:sz w:val="20"/>
                <w:szCs w:val="20"/>
              </w:rPr>
            </w:pPr>
            <w:r w:rsidRPr="00FA3F57">
              <w:rPr>
                <w:sz w:val="20"/>
                <w:szCs w:val="20"/>
              </w:rPr>
              <w:t>EMS JSC Belgrade</w:t>
            </w:r>
          </w:p>
        </w:tc>
      </w:tr>
      <w:tr w:rsidR="0094644B" w:rsidRPr="00F07779" w14:paraId="6D9110FB" w14:textId="77777777" w:rsidTr="00FB5086">
        <w:tc>
          <w:tcPr>
            <w:tcW w:w="2973" w:type="dxa"/>
          </w:tcPr>
          <w:p w14:paraId="316D771F" w14:textId="77777777" w:rsidR="0094644B" w:rsidRPr="00FA3F57" w:rsidRDefault="0094644B" w:rsidP="00FB5086">
            <w:pPr>
              <w:rPr>
                <w:sz w:val="20"/>
                <w:szCs w:val="20"/>
              </w:rPr>
            </w:pPr>
            <w:r w:rsidRPr="00FA3F57">
              <w:rPr>
                <w:sz w:val="20"/>
                <w:szCs w:val="20"/>
              </w:rPr>
              <w:t>Institutions responsible for monitoring implementation and reporting on the realization</w:t>
            </w:r>
          </w:p>
        </w:tc>
        <w:tc>
          <w:tcPr>
            <w:tcW w:w="5669" w:type="dxa"/>
          </w:tcPr>
          <w:p w14:paraId="4F7FAF4F" w14:textId="77777777" w:rsidR="0094644B" w:rsidRPr="00F07779" w:rsidRDefault="0094644B" w:rsidP="00FB5086">
            <w:pPr>
              <w:rPr>
                <w:sz w:val="20"/>
                <w:szCs w:val="20"/>
              </w:rPr>
            </w:pPr>
            <w:r w:rsidRPr="00FA3F57">
              <w:rPr>
                <w:sz w:val="20"/>
                <w:szCs w:val="20"/>
              </w:rPr>
              <w:t>EMS JSC Belgrade</w:t>
            </w:r>
          </w:p>
          <w:p w14:paraId="70755BBD" w14:textId="77777777" w:rsidR="0094644B" w:rsidRPr="00FA3F57" w:rsidRDefault="0094644B" w:rsidP="00FB5086">
            <w:pPr>
              <w:rPr>
                <w:sz w:val="20"/>
                <w:szCs w:val="20"/>
              </w:rPr>
            </w:pPr>
            <w:r w:rsidRPr="00FA3F57">
              <w:rPr>
                <w:sz w:val="20"/>
                <w:szCs w:val="20"/>
              </w:rPr>
              <w:t>Republic Commission for Energy Networks</w:t>
            </w:r>
          </w:p>
          <w:p w14:paraId="614D4D08" w14:textId="77777777" w:rsidR="0094644B" w:rsidRPr="00FA3F57" w:rsidRDefault="0094644B" w:rsidP="00FB5086">
            <w:pPr>
              <w:rPr>
                <w:sz w:val="20"/>
                <w:szCs w:val="20"/>
              </w:rPr>
            </w:pPr>
            <w:r w:rsidRPr="00FA3F57">
              <w:rPr>
                <w:sz w:val="20"/>
                <w:szCs w:val="20"/>
              </w:rPr>
              <w:t>Ministry of Mining and Energy</w:t>
            </w:r>
          </w:p>
        </w:tc>
      </w:tr>
      <w:tr w:rsidR="0094644B" w:rsidRPr="00F07779" w14:paraId="65A38ED2" w14:textId="77777777" w:rsidTr="00FB5086">
        <w:tc>
          <w:tcPr>
            <w:tcW w:w="2973" w:type="dxa"/>
          </w:tcPr>
          <w:p w14:paraId="71456EA8" w14:textId="77777777" w:rsidR="0094644B" w:rsidRPr="00FA3F57" w:rsidRDefault="0094644B" w:rsidP="00FB5086">
            <w:pPr>
              <w:rPr>
                <w:sz w:val="20"/>
                <w:szCs w:val="20"/>
              </w:rPr>
            </w:pPr>
            <w:r w:rsidRPr="00FA3F57">
              <w:rPr>
                <w:sz w:val="20"/>
                <w:szCs w:val="20"/>
              </w:rPr>
              <w:t>Year of the start of the investment</w:t>
            </w:r>
          </w:p>
        </w:tc>
        <w:tc>
          <w:tcPr>
            <w:tcW w:w="5669" w:type="dxa"/>
          </w:tcPr>
          <w:p w14:paraId="0FB31E71" w14:textId="77777777" w:rsidR="0094644B" w:rsidRPr="00FA3F57" w:rsidRDefault="0094644B" w:rsidP="00FB5086">
            <w:pPr>
              <w:rPr>
                <w:sz w:val="20"/>
                <w:szCs w:val="20"/>
              </w:rPr>
            </w:pPr>
            <w:r w:rsidRPr="00FA3F57">
              <w:rPr>
                <w:sz w:val="20"/>
                <w:szCs w:val="20"/>
              </w:rPr>
              <w:t>2025.</w:t>
            </w:r>
          </w:p>
        </w:tc>
      </w:tr>
      <w:tr w:rsidR="0094644B" w:rsidRPr="00F07779" w14:paraId="0557AF46" w14:textId="77777777" w:rsidTr="00FB5086">
        <w:tc>
          <w:tcPr>
            <w:tcW w:w="2973" w:type="dxa"/>
          </w:tcPr>
          <w:p w14:paraId="4EAAE9DA" w14:textId="77777777" w:rsidR="0094644B" w:rsidRPr="00FA3F57" w:rsidRDefault="0094644B" w:rsidP="00FB5086">
            <w:pPr>
              <w:rPr>
                <w:sz w:val="20"/>
                <w:szCs w:val="20"/>
              </w:rPr>
            </w:pPr>
            <w:r w:rsidRPr="00FA3F57">
              <w:rPr>
                <w:sz w:val="20"/>
                <w:szCs w:val="20"/>
              </w:rPr>
              <w:t>Year of completion of project funding</w:t>
            </w:r>
          </w:p>
        </w:tc>
        <w:tc>
          <w:tcPr>
            <w:tcW w:w="5669" w:type="dxa"/>
          </w:tcPr>
          <w:p w14:paraId="0DDA28B0" w14:textId="77777777" w:rsidR="0094644B" w:rsidRPr="00FA3F57" w:rsidRDefault="0094644B" w:rsidP="00FB5086">
            <w:pPr>
              <w:rPr>
                <w:sz w:val="20"/>
                <w:szCs w:val="20"/>
              </w:rPr>
            </w:pPr>
            <w:r w:rsidRPr="00FA3F57">
              <w:rPr>
                <w:sz w:val="20"/>
                <w:szCs w:val="20"/>
              </w:rPr>
              <w:t>2029.</w:t>
            </w:r>
          </w:p>
        </w:tc>
      </w:tr>
      <w:tr w:rsidR="0094644B" w:rsidRPr="00F07779" w14:paraId="5CAB1A67" w14:textId="77777777" w:rsidTr="00FB5086">
        <w:tc>
          <w:tcPr>
            <w:tcW w:w="2973" w:type="dxa"/>
          </w:tcPr>
          <w:p w14:paraId="0FEBC0E9" w14:textId="77777777" w:rsidR="0094644B" w:rsidRPr="00FA3F57" w:rsidRDefault="0094644B" w:rsidP="00FB5086">
            <w:pPr>
              <w:rPr>
                <w:sz w:val="20"/>
                <w:szCs w:val="20"/>
              </w:rPr>
            </w:pPr>
            <w:r w:rsidRPr="00FA3F57">
              <w:rPr>
                <w:sz w:val="20"/>
                <w:szCs w:val="20"/>
              </w:rPr>
              <w:t>Current estimated value of the investment</w:t>
            </w:r>
            <w:r w:rsidRPr="00FA3F57">
              <w:rPr>
                <w:sz w:val="20"/>
                <w:szCs w:val="20"/>
              </w:rPr>
              <w:br/>
              <w:t>(in thousands of RSD)</w:t>
            </w:r>
          </w:p>
        </w:tc>
        <w:tc>
          <w:tcPr>
            <w:tcW w:w="5669" w:type="dxa"/>
          </w:tcPr>
          <w:p w14:paraId="62547220" w14:textId="77777777" w:rsidR="0094644B" w:rsidRPr="00FA3F57" w:rsidRDefault="0094644B" w:rsidP="00FB5086">
            <w:pPr>
              <w:rPr>
                <w:sz w:val="20"/>
                <w:szCs w:val="20"/>
              </w:rPr>
            </w:pPr>
            <w:r w:rsidRPr="00FA3F57">
              <w:rPr>
                <w:sz w:val="20"/>
                <w:szCs w:val="20"/>
              </w:rPr>
              <w:t>2,872,625 (24.5 million EUR)</w:t>
            </w:r>
          </w:p>
        </w:tc>
      </w:tr>
      <w:tr w:rsidR="0094644B" w:rsidRPr="00F07779" w14:paraId="7E343E86" w14:textId="77777777" w:rsidTr="00FB5086">
        <w:tc>
          <w:tcPr>
            <w:tcW w:w="2973" w:type="dxa"/>
          </w:tcPr>
          <w:p w14:paraId="2B20C706" w14:textId="77777777" w:rsidR="0094644B" w:rsidRPr="00FA3F57" w:rsidRDefault="0094644B" w:rsidP="00FB5086">
            <w:pPr>
              <w:rPr>
                <w:sz w:val="20"/>
                <w:szCs w:val="20"/>
              </w:rPr>
            </w:pPr>
            <w:r w:rsidRPr="00FA3F57">
              <w:rPr>
                <w:sz w:val="20"/>
                <w:szCs w:val="20"/>
              </w:rPr>
              <w:t>Planned investments for 2026.</w:t>
            </w:r>
            <w:r w:rsidRPr="00FA3F57">
              <w:rPr>
                <w:sz w:val="20"/>
                <w:szCs w:val="20"/>
              </w:rPr>
              <w:br/>
              <w:t>(in thousands of RSD)</w:t>
            </w:r>
          </w:p>
        </w:tc>
        <w:tc>
          <w:tcPr>
            <w:tcW w:w="5669" w:type="dxa"/>
          </w:tcPr>
          <w:p w14:paraId="237FF059" w14:textId="77777777" w:rsidR="0094644B" w:rsidRPr="00FA3F57" w:rsidRDefault="0094644B" w:rsidP="00FB5086">
            <w:pPr>
              <w:rPr>
                <w:sz w:val="20"/>
                <w:szCs w:val="20"/>
              </w:rPr>
            </w:pPr>
            <w:r w:rsidRPr="00FA3F57">
              <w:rPr>
                <w:sz w:val="20"/>
                <w:szCs w:val="20"/>
              </w:rPr>
              <w:t>103,438</w:t>
            </w:r>
            <w:r w:rsidRPr="00FA3F57" w:rsidDel="00537920">
              <w:rPr>
                <w:sz w:val="20"/>
                <w:szCs w:val="20"/>
              </w:rPr>
              <w:t xml:space="preserve"> </w:t>
            </w:r>
            <w:r w:rsidRPr="00FA3F57">
              <w:rPr>
                <w:sz w:val="20"/>
                <w:szCs w:val="20"/>
              </w:rPr>
              <w:t>(own funds of EMS JSC)</w:t>
            </w:r>
          </w:p>
        </w:tc>
      </w:tr>
      <w:tr w:rsidR="0094644B" w:rsidRPr="00F07779" w14:paraId="43C3B14A" w14:textId="77777777" w:rsidTr="00FB5086">
        <w:tc>
          <w:tcPr>
            <w:tcW w:w="2973" w:type="dxa"/>
          </w:tcPr>
          <w:p w14:paraId="354FA3B9" w14:textId="77777777" w:rsidR="0094644B" w:rsidRPr="00FA3F57" w:rsidRDefault="0094644B" w:rsidP="00FB5086">
            <w:pPr>
              <w:rPr>
                <w:sz w:val="20"/>
                <w:szCs w:val="20"/>
              </w:rPr>
            </w:pPr>
            <w:r w:rsidRPr="00FA3F57">
              <w:rPr>
                <w:sz w:val="20"/>
                <w:szCs w:val="20"/>
              </w:rPr>
              <w:t>Planned investments for 2027.</w:t>
            </w:r>
            <w:r w:rsidRPr="00FA3F57">
              <w:rPr>
                <w:sz w:val="20"/>
                <w:szCs w:val="20"/>
              </w:rPr>
              <w:br/>
              <w:t>(in thousands of RSD)</w:t>
            </w:r>
          </w:p>
        </w:tc>
        <w:tc>
          <w:tcPr>
            <w:tcW w:w="5669" w:type="dxa"/>
          </w:tcPr>
          <w:p w14:paraId="4B48D296" w14:textId="77777777" w:rsidR="0094644B" w:rsidRPr="00FA3F57" w:rsidRDefault="0094644B" w:rsidP="00FB5086">
            <w:pPr>
              <w:rPr>
                <w:sz w:val="20"/>
                <w:szCs w:val="20"/>
              </w:rPr>
            </w:pPr>
            <w:r w:rsidRPr="00FA3F57">
              <w:rPr>
                <w:sz w:val="20"/>
                <w:szCs w:val="20"/>
              </w:rPr>
              <w:t>158,983</w:t>
            </w:r>
            <w:r w:rsidRPr="00FA3F57" w:rsidDel="00537920">
              <w:rPr>
                <w:sz w:val="20"/>
                <w:szCs w:val="20"/>
              </w:rPr>
              <w:t xml:space="preserve"> </w:t>
            </w:r>
            <w:r w:rsidRPr="00FA3F57">
              <w:rPr>
                <w:sz w:val="20"/>
                <w:szCs w:val="20"/>
              </w:rPr>
              <w:t>(own funds of EMS JSC)</w:t>
            </w:r>
          </w:p>
        </w:tc>
      </w:tr>
      <w:tr w:rsidR="0094644B" w:rsidRPr="00F07779" w14:paraId="3B2BFE90" w14:textId="77777777" w:rsidTr="00FB5086">
        <w:tc>
          <w:tcPr>
            <w:tcW w:w="2973" w:type="dxa"/>
          </w:tcPr>
          <w:p w14:paraId="457533D5" w14:textId="77777777" w:rsidR="0094644B" w:rsidRPr="00FA3F57" w:rsidRDefault="0094644B" w:rsidP="00FB5086">
            <w:pPr>
              <w:rPr>
                <w:sz w:val="20"/>
                <w:szCs w:val="20"/>
              </w:rPr>
            </w:pPr>
            <w:r w:rsidRPr="00FA3F57">
              <w:rPr>
                <w:sz w:val="20"/>
                <w:szCs w:val="20"/>
              </w:rPr>
              <w:t>Planned investments for 2028.</w:t>
            </w:r>
            <w:r w:rsidRPr="00FA3F57">
              <w:rPr>
                <w:sz w:val="20"/>
                <w:szCs w:val="20"/>
              </w:rPr>
              <w:br/>
              <w:t>(in thousands of RSD)</w:t>
            </w:r>
          </w:p>
        </w:tc>
        <w:tc>
          <w:tcPr>
            <w:tcW w:w="5669" w:type="dxa"/>
          </w:tcPr>
          <w:p w14:paraId="3C5244F3" w14:textId="77777777" w:rsidR="0094644B" w:rsidRPr="00FA3F57" w:rsidRDefault="0094644B" w:rsidP="00FB5086">
            <w:pPr>
              <w:rPr>
                <w:sz w:val="20"/>
                <w:szCs w:val="20"/>
              </w:rPr>
            </w:pPr>
            <w:r w:rsidRPr="00FA3F57">
              <w:rPr>
                <w:sz w:val="20"/>
                <w:szCs w:val="20"/>
              </w:rPr>
              <w:t>1,293,732</w:t>
            </w:r>
            <w:r w:rsidRPr="00FA3F57" w:rsidDel="00537920">
              <w:rPr>
                <w:sz w:val="20"/>
                <w:szCs w:val="20"/>
              </w:rPr>
              <w:t xml:space="preserve"> </w:t>
            </w:r>
            <w:r w:rsidRPr="00FA3F57">
              <w:rPr>
                <w:sz w:val="20"/>
                <w:szCs w:val="20"/>
              </w:rPr>
              <w:t>(own funds of EMS JSC)</w:t>
            </w:r>
          </w:p>
        </w:tc>
      </w:tr>
    </w:tbl>
    <w:p w14:paraId="21D19D73" w14:textId="77777777" w:rsidR="0094644B" w:rsidRPr="00FA3F57" w:rsidRDefault="0094644B" w:rsidP="0094644B">
      <w:pPr>
        <w:snapToGrid w:val="0"/>
        <w:jc w:val="both"/>
      </w:pPr>
    </w:p>
    <w:p w14:paraId="01921508" w14:textId="77777777" w:rsidR="0094644B" w:rsidRPr="00FA3F57" w:rsidRDefault="0094644B" w:rsidP="0094644B">
      <w:pPr>
        <w:snapToGrid w:val="0"/>
        <w:jc w:val="both"/>
      </w:pPr>
      <w:r w:rsidRPr="00FA3F57">
        <w:t>Table 5.1.5-2:</w:t>
      </w:r>
      <w:r w:rsidRPr="00FA3F57">
        <w:tab/>
        <w:t>Activities for the implementation of measure EL5</w:t>
      </w:r>
      <w:r w:rsidRPr="00FA3F57" w:rsidDel="00A021B8">
        <w:t xml:space="preserve"> </w:t>
      </w:r>
      <w:r w:rsidRPr="00FA3F57">
        <w:t>– Activity EL5.2</w:t>
      </w:r>
    </w:p>
    <w:tbl>
      <w:tblPr>
        <w:tblStyle w:val="TableGrid"/>
        <w:tblW w:w="0" w:type="auto"/>
        <w:tblLook w:val="04A0" w:firstRow="1" w:lastRow="0" w:firstColumn="1" w:lastColumn="0" w:noHBand="0" w:noVBand="1"/>
      </w:tblPr>
      <w:tblGrid>
        <w:gridCol w:w="2973"/>
        <w:gridCol w:w="5669"/>
      </w:tblGrid>
      <w:tr w:rsidR="0094644B" w:rsidRPr="00F07779" w14:paraId="04053633" w14:textId="77777777" w:rsidTr="00FB5086">
        <w:tc>
          <w:tcPr>
            <w:tcW w:w="2973" w:type="dxa"/>
            <w:shd w:val="clear" w:color="auto" w:fill="D0CECE" w:themeFill="background2" w:themeFillShade="E6"/>
          </w:tcPr>
          <w:p w14:paraId="5C3D759F" w14:textId="77777777" w:rsidR="0094644B" w:rsidRPr="00FA3F57" w:rsidRDefault="0094644B" w:rsidP="00FB5086">
            <w:pPr>
              <w:keepNext/>
              <w:rPr>
                <w:sz w:val="20"/>
                <w:szCs w:val="20"/>
              </w:rPr>
            </w:pPr>
            <w:r w:rsidRPr="00FA3F57">
              <w:rPr>
                <w:sz w:val="20"/>
                <w:szCs w:val="20"/>
              </w:rPr>
              <w:t>Activity EL5.2</w:t>
            </w:r>
          </w:p>
        </w:tc>
        <w:tc>
          <w:tcPr>
            <w:tcW w:w="5669" w:type="dxa"/>
            <w:shd w:val="clear" w:color="auto" w:fill="D0CECE" w:themeFill="background2" w:themeFillShade="E6"/>
          </w:tcPr>
          <w:p w14:paraId="3CD64AED" w14:textId="77777777" w:rsidR="0094644B" w:rsidRPr="00FA3F57" w:rsidRDefault="0094644B" w:rsidP="00FB5086">
            <w:pPr>
              <w:keepNext/>
              <w:rPr>
                <w:sz w:val="20"/>
                <w:szCs w:val="20"/>
              </w:rPr>
            </w:pPr>
            <w:r w:rsidRPr="00FA3F57">
              <w:rPr>
                <w:sz w:val="20"/>
                <w:szCs w:val="20"/>
              </w:rPr>
              <w:t>Investment projects focused on the integration of renewable energy sources into the distribution system</w:t>
            </w:r>
          </w:p>
        </w:tc>
      </w:tr>
      <w:tr w:rsidR="0094644B" w:rsidRPr="00F07779" w14:paraId="4A4A40ED" w14:textId="77777777" w:rsidTr="00FB5086">
        <w:tc>
          <w:tcPr>
            <w:tcW w:w="2973" w:type="dxa"/>
            <w:shd w:val="clear" w:color="auto" w:fill="D9E2F3" w:themeFill="accent1" w:themeFillTint="33"/>
            <w:hideMark/>
          </w:tcPr>
          <w:p w14:paraId="56FCFCAC" w14:textId="77777777" w:rsidR="0094644B" w:rsidRPr="00FA3F57" w:rsidRDefault="0094644B" w:rsidP="00FB5086">
            <w:pPr>
              <w:keepNext/>
              <w:rPr>
                <w:sz w:val="20"/>
                <w:szCs w:val="20"/>
              </w:rPr>
            </w:pPr>
            <w:r w:rsidRPr="00FA3F57">
              <w:rPr>
                <w:sz w:val="20"/>
                <w:szCs w:val="20"/>
              </w:rPr>
              <w:t>Name of the investment</w:t>
            </w:r>
          </w:p>
        </w:tc>
        <w:tc>
          <w:tcPr>
            <w:tcW w:w="5669" w:type="dxa"/>
            <w:shd w:val="clear" w:color="auto" w:fill="D9E2F3" w:themeFill="accent1" w:themeFillTint="33"/>
          </w:tcPr>
          <w:p w14:paraId="42762A86" w14:textId="77777777" w:rsidR="0094644B" w:rsidRPr="00FA3F57" w:rsidRDefault="0094644B" w:rsidP="00FB5086">
            <w:pPr>
              <w:keepNext/>
              <w:rPr>
                <w:sz w:val="20"/>
                <w:szCs w:val="20"/>
              </w:rPr>
            </w:pPr>
            <w:r w:rsidRPr="00FA3F57">
              <w:rPr>
                <w:sz w:val="20"/>
                <w:szCs w:val="20"/>
              </w:rPr>
              <w:t>Digitalization of the process of obtaining a connection approval</w:t>
            </w:r>
          </w:p>
        </w:tc>
      </w:tr>
      <w:tr w:rsidR="0094644B" w:rsidRPr="00F07779" w14:paraId="46CAB60E" w14:textId="77777777" w:rsidTr="00FB5086">
        <w:tc>
          <w:tcPr>
            <w:tcW w:w="2973" w:type="dxa"/>
            <w:hideMark/>
          </w:tcPr>
          <w:p w14:paraId="1DA9B3AB" w14:textId="77777777" w:rsidR="0094644B" w:rsidRPr="00FA3F57" w:rsidRDefault="0094644B" w:rsidP="00FB5086">
            <w:pPr>
              <w:rPr>
                <w:sz w:val="20"/>
                <w:szCs w:val="20"/>
              </w:rPr>
            </w:pPr>
            <w:r w:rsidRPr="00FA3F57">
              <w:rPr>
                <w:sz w:val="20"/>
                <w:szCs w:val="20"/>
              </w:rPr>
              <w:t>Description</w:t>
            </w:r>
          </w:p>
        </w:tc>
        <w:tc>
          <w:tcPr>
            <w:tcW w:w="5669" w:type="dxa"/>
          </w:tcPr>
          <w:p w14:paraId="125E6C5C" w14:textId="77777777" w:rsidR="0094644B" w:rsidRPr="00FA3F57" w:rsidRDefault="0094644B" w:rsidP="00FB5086">
            <w:pPr>
              <w:rPr>
                <w:sz w:val="20"/>
                <w:szCs w:val="20"/>
              </w:rPr>
            </w:pPr>
            <w:r w:rsidRPr="00FA3F57">
              <w:rPr>
                <w:sz w:val="20"/>
                <w:szCs w:val="20"/>
              </w:rPr>
              <w:t xml:space="preserve">The objective of the Project is to establish a system for the electronic submission of requests </w:t>
            </w:r>
            <w:proofErr w:type="gramStart"/>
            <w:r w:rsidRPr="00FA3F57">
              <w:rPr>
                <w:sz w:val="20"/>
                <w:szCs w:val="20"/>
              </w:rPr>
              <w:t>for obtaining</w:t>
            </w:r>
            <w:proofErr w:type="gramEnd"/>
            <w:r w:rsidRPr="00FA3F57">
              <w:rPr>
                <w:sz w:val="20"/>
                <w:szCs w:val="20"/>
              </w:rPr>
              <w:t xml:space="preserve"> </w:t>
            </w:r>
            <w:r w:rsidRPr="00F07779">
              <w:rPr>
                <w:sz w:val="20"/>
                <w:szCs w:val="20"/>
              </w:rPr>
              <w:t>approval for connection to the distribution power system</w:t>
            </w:r>
            <w:r w:rsidRPr="00FA3F57">
              <w:rPr>
                <w:sz w:val="20"/>
                <w:szCs w:val="20"/>
              </w:rPr>
              <w:t>. In addition to introducing the possibility of submitting requests in this way, the digitalization of the request submission process will also be enabled. The processes being digitized are:</w:t>
            </w:r>
          </w:p>
          <w:p w14:paraId="4B6FB29A" w14:textId="77777777" w:rsidR="0094644B" w:rsidRPr="00F07779" w:rsidRDefault="0094644B" w:rsidP="00FB5086">
            <w:pPr>
              <w:tabs>
                <w:tab w:val="left" w:pos="172"/>
              </w:tabs>
              <w:rPr>
                <w:sz w:val="20"/>
                <w:szCs w:val="20"/>
              </w:rPr>
            </w:pPr>
            <w:r w:rsidRPr="00FA3F57">
              <w:rPr>
                <w:sz w:val="20"/>
                <w:szCs w:val="20"/>
              </w:rPr>
              <w:t>-</w:t>
            </w:r>
            <w:r w:rsidRPr="00FA3F57">
              <w:rPr>
                <w:sz w:val="20"/>
                <w:szCs w:val="20"/>
              </w:rPr>
              <w:tab/>
              <w:t>the procedure for connecting a facility to the electricity distribution system within the framework of the unification procedure,</w:t>
            </w:r>
          </w:p>
          <w:p w14:paraId="1723AC18" w14:textId="77777777" w:rsidR="0094644B" w:rsidRPr="00FA3F57" w:rsidRDefault="0094644B" w:rsidP="00FB5086">
            <w:pPr>
              <w:tabs>
                <w:tab w:val="left" w:pos="172"/>
              </w:tabs>
              <w:rPr>
                <w:sz w:val="20"/>
                <w:szCs w:val="20"/>
              </w:rPr>
            </w:pPr>
            <w:r w:rsidRPr="00FA3F57">
              <w:rPr>
                <w:sz w:val="20"/>
                <w:szCs w:val="20"/>
              </w:rPr>
              <w:t>-</w:t>
            </w:r>
            <w:r w:rsidRPr="00FA3F57">
              <w:rPr>
                <w:sz w:val="20"/>
                <w:szCs w:val="20"/>
              </w:rPr>
              <w:tab/>
              <w:t xml:space="preserve">the procedure for connecting a facility to the electricity distribution system </w:t>
            </w:r>
            <w:r w:rsidRPr="00F07779">
              <w:rPr>
                <w:sz w:val="20"/>
                <w:szCs w:val="20"/>
              </w:rPr>
              <w:t>through the</w:t>
            </w:r>
            <w:r w:rsidRPr="00FA3F57">
              <w:rPr>
                <w:sz w:val="20"/>
                <w:szCs w:val="20"/>
              </w:rPr>
              <w:t xml:space="preserve"> administrative procedure,</w:t>
            </w:r>
          </w:p>
          <w:p w14:paraId="4E8DC8A5" w14:textId="77777777" w:rsidR="0094644B" w:rsidRPr="00FA3F57" w:rsidRDefault="0094644B" w:rsidP="00FB5086">
            <w:pPr>
              <w:tabs>
                <w:tab w:val="left" w:pos="172"/>
              </w:tabs>
              <w:rPr>
                <w:sz w:val="20"/>
                <w:szCs w:val="20"/>
              </w:rPr>
            </w:pPr>
            <w:r w:rsidRPr="00FA3F57">
              <w:rPr>
                <w:sz w:val="20"/>
                <w:szCs w:val="20"/>
              </w:rPr>
              <w:t>-</w:t>
            </w:r>
            <w:r w:rsidRPr="00FA3F57">
              <w:rPr>
                <w:sz w:val="20"/>
                <w:szCs w:val="20"/>
              </w:rPr>
              <w:tab/>
              <w:t>the p</w:t>
            </w:r>
            <w:r w:rsidRPr="00F07779">
              <w:rPr>
                <w:sz w:val="20"/>
                <w:szCs w:val="20"/>
              </w:rPr>
              <w:t>rocedure for connecting electricity generation facilities</w:t>
            </w:r>
          </w:p>
          <w:p w14:paraId="30573710" w14:textId="77777777" w:rsidR="0094644B" w:rsidRPr="00F07779" w:rsidRDefault="0094644B" w:rsidP="00FB5086">
            <w:pPr>
              <w:tabs>
                <w:tab w:val="left" w:pos="172"/>
              </w:tabs>
              <w:rPr>
                <w:sz w:val="20"/>
                <w:szCs w:val="20"/>
              </w:rPr>
            </w:pPr>
            <w:r w:rsidRPr="00FA3F57">
              <w:rPr>
                <w:sz w:val="20"/>
                <w:szCs w:val="20"/>
              </w:rPr>
              <w:t>-</w:t>
            </w:r>
            <w:r w:rsidRPr="00FA3F57">
              <w:rPr>
                <w:sz w:val="20"/>
                <w:szCs w:val="20"/>
              </w:rPr>
              <w:tab/>
              <w:t>access to the electricity distribution system and related sub-processes.</w:t>
            </w:r>
          </w:p>
          <w:p w14:paraId="1CE8217A" w14:textId="77777777" w:rsidR="0094644B" w:rsidRPr="00FA3F57" w:rsidRDefault="0094644B" w:rsidP="00FB5086">
            <w:pPr>
              <w:tabs>
                <w:tab w:val="left" w:pos="172"/>
              </w:tabs>
              <w:rPr>
                <w:sz w:val="20"/>
                <w:szCs w:val="20"/>
              </w:rPr>
            </w:pPr>
            <w:r w:rsidRPr="00FA3F57">
              <w:rPr>
                <w:sz w:val="20"/>
                <w:szCs w:val="20"/>
              </w:rPr>
              <w:t>Expected dynamics of project implementation:</w:t>
            </w:r>
          </w:p>
          <w:p w14:paraId="105915CC" w14:textId="77777777" w:rsidR="0094644B" w:rsidRPr="00FA3F57" w:rsidRDefault="0094644B" w:rsidP="00FB5086">
            <w:pPr>
              <w:rPr>
                <w:sz w:val="20"/>
                <w:szCs w:val="20"/>
              </w:rPr>
            </w:pPr>
            <w:r w:rsidRPr="00FA3F57">
              <w:rPr>
                <w:sz w:val="20"/>
                <w:szCs w:val="20"/>
              </w:rPr>
              <w:t>2026.</w:t>
            </w:r>
            <w:r w:rsidRPr="00F07779">
              <w:rPr>
                <w:sz w:val="20"/>
                <w:szCs w:val="20"/>
              </w:rPr>
              <w:t xml:space="preserve"> </w:t>
            </w:r>
            <w:r w:rsidRPr="00FA3F57">
              <w:rPr>
                <w:sz w:val="20"/>
                <w:szCs w:val="20"/>
              </w:rPr>
              <w:t>Construction</w:t>
            </w:r>
          </w:p>
          <w:p w14:paraId="44A5E9BB" w14:textId="77777777" w:rsidR="0094644B" w:rsidRPr="00FA3F57" w:rsidRDefault="0094644B" w:rsidP="00FB5086">
            <w:pPr>
              <w:rPr>
                <w:sz w:val="20"/>
                <w:szCs w:val="20"/>
              </w:rPr>
            </w:pPr>
            <w:r w:rsidRPr="00FA3F57">
              <w:rPr>
                <w:sz w:val="20"/>
                <w:szCs w:val="20"/>
              </w:rPr>
              <w:t>2027.</w:t>
            </w:r>
            <w:r w:rsidRPr="00F07779">
              <w:rPr>
                <w:sz w:val="20"/>
                <w:szCs w:val="20"/>
              </w:rPr>
              <w:t xml:space="preserve"> </w:t>
            </w:r>
            <w:r w:rsidRPr="00FA3F57">
              <w:rPr>
                <w:sz w:val="20"/>
                <w:szCs w:val="20"/>
              </w:rPr>
              <w:t>Construction</w:t>
            </w:r>
          </w:p>
          <w:p w14:paraId="2C0494BC" w14:textId="77777777" w:rsidR="0094644B" w:rsidRPr="00FA3F57" w:rsidRDefault="0094644B" w:rsidP="00FB5086">
            <w:pPr>
              <w:rPr>
                <w:sz w:val="20"/>
                <w:szCs w:val="20"/>
              </w:rPr>
            </w:pPr>
            <w:r w:rsidRPr="00FA3F57">
              <w:rPr>
                <w:sz w:val="20"/>
                <w:szCs w:val="20"/>
              </w:rPr>
              <w:t>2028. Use permit; end of project</w:t>
            </w:r>
          </w:p>
        </w:tc>
      </w:tr>
      <w:tr w:rsidR="0094644B" w:rsidRPr="00F07779" w14:paraId="71038FF1" w14:textId="77777777" w:rsidTr="00FB5086">
        <w:tc>
          <w:tcPr>
            <w:tcW w:w="2973" w:type="dxa"/>
            <w:hideMark/>
          </w:tcPr>
          <w:p w14:paraId="69B7150B" w14:textId="77777777" w:rsidR="0094644B" w:rsidRPr="00FA3F57" w:rsidRDefault="0094644B" w:rsidP="00FB5086">
            <w:pPr>
              <w:rPr>
                <w:sz w:val="20"/>
                <w:szCs w:val="20"/>
              </w:rPr>
            </w:pPr>
            <w:r w:rsidRPr="00FA3F57">
              <w:rPr>
                <w:sz w:val="20"/>
                <w:szCs w:val="20"/>
              </w:rPr>
              <w:t>Institutions responsible for the implementation of measures and activities</w:t>
            </w:r>
          </w:p>
        </w:tc>
        <w:tc>
          <w:tcPr>
            <w:tcW w:w="5669" w:type="dxa"/>
          </w:tcPr>
          <w:p w14:paraId="2FAF3EA8" w14:textId="77777777" w:rsidR="0094644B" w:rsidRPr="00FA3F57" w:rsidRDefault="0094644B" w:rsidP="00FB5086">
            <w:pPr>
              <w:rPr>
                <w:sz w:val="20"/>
                <w:szCs w:val="20"/>
              </w:rPr>
            </w:pPr>
            <w:r w:rsidRPr="00FA3F57">
              <w:rPr>
                <w:sz w:val="20"/>
                <w:szCs w:val="20"/>
              </w:rPr>
              <w:t>Elektrodistribucija Srbije Ltd. Belgrade</w:t>
            </w:r>
          </w:p>
        </w:tc>
      </w:tr>
      <w:tr w:rsidR="0094644B" w:rsidRPr="00F07779" w14:paraId="13582AD3" w14:textId="77777777" w:rsidTr="00FB5086">
        <w:tc>
          <w:tcPr>
            <w:tcW w:w="2973" w:type="dxa"/>
            <w:hideMark/>
          </w:tcPr>
          <w:p w14:paraId="30B5F362" w14:textId="77777777" w:rsidR="0094644B" w:rsidRPr="00FA3F57" w:rsidRDefault="0094644B" w:rsidP="00FB5086">
            <w:pPr>
              <w:rPr>
                <w:sz w:val="20"/>
                <w:szCs w:val="20"/>
              </w:rPr>
            </w:pPr>
            <w:r w:rsidRPr="00FA3F57">
              <w:rPr>
                <w:sz w:val="20"/>
                <w:szCs w:val="20"/>
              </w:rPr>
              <w:t>Institutions responsible for monitoring implementation and reporting on the realization</w:t>
            </w:r>
          </w:p>
        </w:tc>
        <w:tc>
          <w:tcPr>
            <w:tcW w:w="5669" w:type="dxa"/>
          </w:tcPr>
          <w:p w14:paraId="4F46C08E" w14:textId="77777777" w:rsidR="0094644B" w:rsidRPr="00FA3F57" w:rsidRDefault="0094644B" w:rsidP="00FB5086">
            <w:pPr>
              <w:rPr>
                <w:sz w:val="20"/>
                <w:szCs w:val="20"/>
              </w:rPr>
            </w:pPr>
            <w:r w:rsidRPr="00FA3F57">
              <w:rPr>
                <w:sz w:val="20"/>
                <w:szCs w:val="20"/>
              </w:rPr>
              <w:t>Elektrodistribucija Srbije Ltd. Belgrade</w:t>
            </w:r>
          </w:p>
          <w:p w14:paraId="6855EC23" w14:textId="77777777" w:rsidR="0094644B" w:rsidRPr="00FA3F57" w:rsidRDefault="0094644B" w:rsidP="00FB5086">
            <w:pPr>
              <w:rPr>
                <w:sz w:val="20"/>
                <w:szCs w:val="20"/>
              </w:rPr>
            </w:pPr>
            <w:r w:rsidRPr="00FA3F57">
              <w:rPr>
                <w:sz w:val="20"/>
                <w:szCs w:val="20"/>
              </w:rPr>
              <w:t>Ministry of Mining and Energy</w:t>
            </w:r>
          </w:p>
          <w:p w14:paraId="4350F1C7" w14:textId="77777777" w:rsidR="0094644B" w:rsidRPr="00FA3F57" w:rsidRDefault="0094644B" w:rsidP="00FB5086">
            <w:pPr>
              <w:rPr>
                <w:sz w:val="20"/>
                <w:szCs w:val="20"/>
              </w:rPr>
            </w:pPr>
            <w:r w:rsidRPr="00FA3F57">
              <w:rPr>
                <w:sz w:val="20"/>
                <w:szCs w:val="20"/>
              </w:rPr>
              <w:t>Ministry of Economy</w:t>
            </w:r>
          </w:p>
        </w:tc>
      </w:tr>
      <w:tr w:rsidR="0094644B" w:rsidRPr="00F07779" w14:paraId="5C9F1289" w14:textId="77777777" w:rsidTr="00FB5086">
        <w:tc>
          <w:tcPr>
            <w:tcW w:w="2973" w:type="dxa"/>
          </w:tcPr>
          <w:p w14:paraId="386F97BA" w14:textId="77777777" w:rsidR="0094644B" w:rsidRPr="00FA3F57" w:rsidRDefault="0094644B" w:rsidP="00FB5086">
            <w:pPr>
              <w:rPr>
                <w:sz w:val="20"/>
                <w:szCs w:val="20"/>
              </w:rPr>
            </w:pPr>
            <w:r w:rsidRPr="00FA3F57">
              <w:rPr>
                <w:sz w:val="20"/>
                <w:szCs w:val="20"/>
              </w:rPr>
              <w:t>Year of project funding start</w:t>
            </w:r>
          </w:p>
        </w:tc>
        <w:tc>
          <w:tcPr>
            <w:tcW w:w="5669" w:type="dxa"/>
          </w:tcPr>
          <w:p w14:paraId="2C1C8174" w14:textId="77777777" w:rsidR="0094644B" w:rsidRPr="00FA3F57" w:rsidRDefault="0094644B" w:rsidP="00FB5086">
            <w:pPr>
              <w:rPr>
                <w:sz w:val="20"/>
                <w:szCs w:val="20"/>
              </w:rPr>
            </w:pPr>
            <w:r w:rsidRPr="00FA3F57">
              <w:rPr>
                <w:sz w:val="20"/>
                <w:szCs w:val="20"/>
              </w:rPr>
              <w:t>2025.</w:t>
            </w:r>
          </w:p>
        </w:tc>
      </w:tr>
      <w:tr w:rsidR="0094644B" w:rsidRPr="00F07779" w14:paraId="300ADF11" w14:textId="77777777" w:rsidTr="00FB5086">
        <w:tc>
          <w:tcPr>
            <w:tcW w:w="2973" w:type="dxa"/>
            <w:hideMark/>
          </w:tcPr>
          <w:p w14:paraId="5D96F1FA" w14:textId="77777777" w:rsidR="0094644B" w:rsidRPr="00FA3F57" w:rsidRDefault="0094644B" w:rsidP="00FB5086">
            <w:pPr>
              <w:rPr>
                <w:sz w:val="20"/>
                <w:szCs w:val="20"/>
              </w:rPr>
            </w:pPr>
            <w:r w:rsidRPr="00FA3F57">
              <w:rPr>
                <w:sz w:val="20"/>
                <w:szCs w:val="20"/>
              </w:rPr>
              <w:t>Year of completion of project funding</w:t>
            </w:r>
          </w:p>
        </w:tc>
        <w:tc>
          <w:tcPr>
            <w:tcW w:w="5669" w:type="dxa"/>
          </w:tcPr>
          <w:p w14:paraId="02CDE65B" w14:textId="77777777" w:rsidR="0094644B" w:rsidRPr="00FA3F57" w:rsidRDefault="0094644B" w:rsidP="00FB5086">
            <w:pPr>
              <w:rPr>
                <w:sz w:val="20"/>
                <w:szCs w:val="20"/>
              </w:rPr>
            </w:pPr>
            <w:r w:rsidRPr="00FA3F57">
              <w:rPr>
                <w:sz w:val="20"/>
                <w:szCs w:val="20"/>
              </w:rPr>
              <w:t>2027.</w:t>
            </w:r>
          </w:p>
        </w:tc>
      </w:tr>
      <w:tr w:rsidR="0094644B" w:rsidRPr="00F07779" w14:paraId="435F940B" w14:textId="77777777" w:rsidTr="00FB5086">
        <w:tc>
          <w:tcPr>
            <w:tcW w:w="2973" w:type="dxa"/>
            <w:hideMark/>
          </w:tcPr>
          <w:p w14:paraId="2C1C56E3" w14:textId="77777777" w:rsidR="0094644B" w:rsidRPr="00FA3F57" w:rsidRDefault="0094644B" w:rsidP="00FB5086">
            <w:pPr>
              <w:rPr>
                <w:sz w:val="20"/>
                <w:szCs w:val="20"/>
              </w:rPr>
            </w:pPr>
            <w:r w:rsidRPr="00FA3F57">
              <w:rPr>
                <w:sz w:val="20"/>
                <w:szCs w:val="20"/>
              </w:rPr>
              <w:t>Required funds and source of financing</w:t>
            </w:r>
          </w:p>
          <w:p w14:paraId="563E066C" w14:textId="77777777" w:rsidR="0094644B" w:rsidRPr="00FA3F57" w:rsidRDefault="0094644B" w:rsidP="00FB5086">
            <w:pPr>
              <w:rPr>
                <w:sz w:val="20"/>
                <w:szCs w:val="20"/>
              </w:rPr>
            </w:pPr>
            <w:r w:rsidRPr="00FA3F57">
              <w:rPr>
                <w:sz w:val="20"/>
                <w:szCs w:val="20"/>
              </w:rPr>
              <w:t>(in thousands of RSD)</w:t>
            </w:r>
          </w:p>
        </w:tc>
        <w:tc>
          <w:tcPr>
            <w:tcW w:w="5669" w:type="dxa"/>
          </w:tcPr>
          <w:p w14:paraId="248953C6" w14:textId="77777777" w:rsidR="0094644B" w:rsidRPr="00FA3F57" w:rsidRDefault="0094644B" w:rsidP="00FB5086">
            <w:pPr>
              <w:rPr>
                <w:sz w:val="20"/>
                <w:szCs w:val="20"/>
              </w:rPr>
            </w:pPr>
            <w:r w:rsidRPr="00FA3F57">
              <w:rPr>
                <w:sz w:val="20"/>
                <w:szCs w:val="20"/>
              </w:rPr>
              <w:t>1,172,500 (10 million EUR)</w:t>
            </w:r>
            <w:r w:rsidRPr="00FA3F57" w:rsidDel="00A021B8">
              <w:rPr>
                <w:sz w:val="20"/>
                <w:szCs w:val="20"/>
              </w:rPr>
              <w:t xml:space="preserve"> </w:t>
            </w:r>
            <w:r w:rsidRPr="00FA3F57">
              <w:rPr>
                <w:sz w:val="20"/>
                <w:szCs w:val="20"/>
              </w:rPr>
              <w:t>(funds not provided)</w:t>
            </w:r>
          </w:p>
        </w:tc>
      </w:tr>
      <w:tr w:rsidR="0094644B" w:rsidRPr="00F07779" w14:paraId="48052089" w14:textId="77777777" w:rsidTr="00FB5086">
        <w:tc>
          <w:tcPr>
            <w:tcW w:w="2973" w:type="dxa"/>
          </w:tcPr>
          <w:p w14:paraId="44BF3DEA" w14:textId="77777777" w:rsidR="0094644B" w:rsidRPr="00FA3F57" w:rsidRDefault="0094644B" w:rsidP="00FB5086">
            <w:pPr>
              <w:rPr>
                <w:sz w:val="20"/>
                <w:szCs w:val="20"/>
              </w:rPr>
            </w:pPr>
            <w:r w:rsidRPr="00FA3F57">
              <w:rPr>
                <w:sz w:val="20"/>
                <w:szCs w:val="20"/>
              </w:rPr>
              <w:lastRenderedPageBreak/>
              <w:t>Planned investments for 2026.</w:t>
            </w:r>
            <w:r w:rsidRPr="00FA3F57">
              <w:rPr>
                <w:sz w:val="20"/>
                <w:szCs w:val="20"/>
              </w:rPr>
              <w:br/>
              <w:t>(in thousands of RSD)</w:t>
            </w:r>
          </w:p>
        </w:tc>
        <w:tc>
          <w:tcPr>
            <w:tcW w:w="5669" w:type="dxa"/>
          </w:tcPr>
          <w:p w14:paraId="77B724A1" w14:textId="77777777" w:rsidR="0094644B" w:rsidRPr="00FA3F57" w:rsidRDefault="0094644B" w:rsidP="00FB5086">
            <w:pPr>
              <w:rPr>
                <w:sz w:val="20"/>
                <w:szCs w:val="20"/>
              </w:rPr>
            </w:pPr>
            <w:r w:rsidRPr="00FA3F57">
              <w:rPr>
                <w:sz w:val="20"/>
                <w:szCs w:val="20"/>
              </w:rPr>
              <w:t>422,100 (own funds)</w:t>
            </w:r>
          </w:p>
        </w:tc>
      </w:tr>
      <w:tr w:rsidR="0094644B" w:rsidRPr="00F07779" w14:paraId="6EB1184B" w14:textId="77777777" w:rsidTr="00FB5086">
        <w:tc>
          <w:tcPr>
            <w:tcW w:w="2973" w:type="dxa"/>
          </w:tcPr>
          <w:p w14:paraId="07BDFEEA" w14:textId="77777777" w:rsidR="0094644B" w:rsidRPr="00FA3F57" w:rsidRDefault="0094644B" w:rsidP="00FB5086">
            <w:pPr>
              <w:rPr>
                <w:sz w:val="20"/>
                <w:szCs w:val="20"/>
              </w:rPr>
            </w:pPr>
            <w:r w:rsidRPr="00FA3F57">
              <w:rPr>
                <w:sz w:val="20"/>
                <w:szCs w:val="20"/>
              </w:rPr>
              <w:t>Planned investments for 2027.</w:t>
            </w:r>
            <w:r w:rsidRPr="00FA3F57">
              <w:rPr>
                <w:sz w:val="20"/>
                <w:szCs w:val="20"/>
              </w:rPr>
              <w:br/>
              <w:t>(in thousands of RSD)</w:t>
            </w:r>
          </w:p>
        </w:tc>
        <w:tc>
          <w:tcPr>
            <w:tcW w:w="5669" w:type="dxa"/>
          </w:tcPr>
          <w:p w14:paraId="1EE91400" w14:textId="77777777" w:rsidR="0094644B" w:rsidRPr="00FA3F57" w:rsidRDefault="0094644B" w:rsidP="00FB5086">
            <w:pPr>
              <w:rPr>
                <w:sz w:val="20"/>
                <w:szCs w:val="20"/>
              </w:rPr>
            </w:pPr>
            <w:r w:rsidRPr="00FA3F57">
              <w:rPr>
                <w:sz w:val="20"/>
                <w:szCs w:val="20"/>
              </w:rPr>
              <w:t>750,400 (own funds)</w:t>
            </w:r>
          </w:p>
        </w:tc>
      </w:tr>
      <w:tr w:rsidR="0094644B" w:rsidRPr="00F07779" w14:paraId="171899CC" w14:textId="77777777" w:rsidTr="00FB5086">
        <w:tc>
          <w:tcPr>
            <w:tcW w:w="2973" w:type="dxa"/>
          </w:tcPr>
          <w:p w14:paraId="1AFDDC5A" w14:textId="77777777" w:rsidR="0094644B" w:rsidRPr="00FA3F57" w:rsidRDefault="0094644B" w:rsidP="00FB5086">
            <w:pPr>
              <w:rPr>
                <w:sz w:val="20"/>
                <w:szCs w:val="20"/>
              </w:rPr>
            </w:pPr>
            <w:r w:rsidRPr="00FA3F57">
              <w:rPr>
                <w:sz w:val="20"/>
                <w:szCs w:val="20"/>
              </w:rPr>
              <w:t>Planned investments for 2028.</w:t>
            </w:r>
            <w:r w:rsidRPr="00FA3F57">
              <w:rPr>
                <w:sz w:val="20"/>
                <w:szCs w:val="20"/>
              </w:rPr>
              <w:br/>
              <w:t>(in thousands of RSD)</w:t>
            </w:r>
          </w:p>
        </w:tc>
        <w:tc>
          <w:tcPr>
            <w:tcW w:w="5669" w:type="dxa"/>
          </w:tcPr>
          <w:p w14:paraId="17FB19C7" w14:textId="77777777" w:rsidR="0094644B" w:rsidRPr="00FA3F57" w:rsidRDefault="0094644B" w:rsidP="00FB5086">
            <w:pPr>
              <w:rPr>
                <w:sz w:val="20"/>
                <w:szCs w:val="20"/>
              </w:rPr>
            </w:pPr>
            <w:r w:rsidRPr="00FA3F57">
              <w:rPr>
                <w:sz w:val="20"/>
                <w:szCs w:val="20"/>
              </w:rPr>
              <w:t>0</w:t>
            </w:r>
          </w:p>
        </w:tc>
      </w:tr>
      <w:tr w:rsidR="0094644B" w:rsidRPr="00F07779" w14:paraId="241116D0" w14:textId="77777777" w:rsidTr="00FB5086">
        <w:tc>
          <w:tcPr>
            <w:tcW w:w="2973" w:type="dxa"/>
            <w:hideMark/>
          </w:tcPr>
          <w:p w14:paraId="25D0EAEC" w14:textId="77777777" w:rsidR="0094644B" w:rsidRPr="00FA3F57" w:rsidRDefault="0094644B" w:rsidP="00FB5086">
            <w:pPr>
              <w:rPr>
                <w:sz w:val="20"/>
                <w:szCs w:val="20"/>
              </w:rPr>
            </w:pPr>
            <w:r w:rsidRPr="00FA3F57">
              <w:rPr>
                <w:sz w:val="20"/>
                <w:szCs w:val="20"/>
              </w:rPr>
              <w:t>Implementation indicator</w:t>
            </w:r>
          </w:p>
        </w:tc>
        <w:tc>
          <w:tcPr>
            <w:tcW w:w="5669" w:type="dxa"/>
          </w:tcPr>
          <w:p w14:paraId="5AD121F8" w14:textId="77777777" w:rsidR="0094644B" w:rsidRPr="00FA3F57" w:rsidRDefault="0094644B" w:rsidP="00FB5086">
            <w:pPr>
              <w:rPr>
                <w:sz w:val="20"/>
                <w:szCs w:val="20"/>
              </w:rPr>
            </w:pPr>
            <w:r w:rsidRPr="00FA3F57">
              <w:rPr>
                <w:sz w:val="20"/>
                <w:szCs w:val="20"/>
              </w:rPr>
              <w:t>Data not available.</w:t>
            </w:r>
          </w:p>
        </w:tc>
      </w:tr>
      <w:tr w:rsidR="0094644B" w:rsidRPr="00F07779" w14:paraId="0F45737B" w14:textId="77777777" w:rsidTr="00FB5086">
        <w:tc>
          <w:tcPr>
            <w:tcW w:w="2973" w:type="dxa"/>
            <w:hideMark/>
          </w:tcPr>
          <w:p w14:paraId="3EA4FCBC" w14:textId="77777777" w:rsidR="0094644B" w:rsidRPr="00FA3F57" w:rsidRDefault="0094644B" w:rsidP="00FB5086">
            <w:pPr>
              <w:rPr>
                <w:sz w:val="20"/>
                <w:szCs w:val="20"/>
              </w:rPr>
            </w:pPr>
            <w:r w:rsidRPr="00FA3F57">
              <w:rPr>
                <w:sz w:val="20"/>
                <w:szCs w:val="20"/>
              </w:rPr>
              <w:t>Impact of the activity on the achievement of the objective</w:t>
            </w:r>
          </w:p>
        </w:tc>
        <w:tc>
          <w:tcPr>
            <w:tcW w:w="5669" w:type="dxa"/>
          </w:tcPr>
          <w:p w14:paraId="5A808399" w14:textId="77777777" w:rsidR="0094644B" w:rsidRPr="00FA3F57" w:rsidRDefault="0094644B" w:rsidP="00FB5086">
            <w:pPr>
              <w:rPr>
                <w:sz w:val="20"/>
                <w:szCs w:val="20"/>
              </w:rPr>
            </w:pPr>
            <w:r w:rsidRPr="00F07779">
              <w:rPr>
                <w:sz w:val="20"/>
                <w:szCs w:val="20"/>
              </w:rPr>
              <w:t>The process of submitting requests will be digitalized.</w:t>
            </w:r>
          </w:p>
        </w:tc>
      </w:tr>
      <w:tr w:rsidR="0094644B" w:rsidRPr="00F07779" w14:paraId="56147CD6" w14:textId="77777777" w:rsidTr="00FB5086">
        <w:tc>
          <w:tcPr>
            <w:tcW w:w="2973" w:type="dxa"/>
            <w:hideMark/>
          </w:tcPr>
          <w:p w14:paraId="766BE290" w14:textId="77777777" w:rsidR="0094644B" w:rsidRPr="00FA3F57" w:rsidRDefault="0094644B" w:rsidP="00FB5086">
            <w:pPr>
              <w:rPr>
                <w:sz w:val="20"/>
                <w:szCs w:val="20"/>
              </w:rPr>
            </w:pPr>
            <w:r w:rsidRPr="00FA3F57">
              <w:rPr>
                <w:sz w:val="20"/>
                <w:szCs w:val="20"/>
              </w:rPr>
              <w:t xml:space="preserve">Impact on EE, climate, and environmental protection </w:t>
            </w:r>
          </w:p>
        </w:tc>
        <w:tc>
          <w:tcPr>
            <w:tcW w:w="5669" w:type="dxa"/>
          </w:tcPr>
          <w:p w14:paraId="23DFA6F3" w14:textId="77777777" w:rsidR="0094644B" w:rsidRPr="00FA3F57" w:rsidRDefault="0094644B" w:rsidP="00FB5086">
            <w:pPr>
              <w:rPr>
                <w:sz w:val="20"/>
                <w:szCs w:val="20"/>
              </w:rPr>
            </w:pPr>
            <w:r w:rsidRPr="00FA3F57">
              <w:rPr>
                <w:sz w:val="20"/>
                <w:szCs w:val="20"/>
              </w:rPr>
              <w:t xml:space="preserve">Data </w:t>
            </w:r>
            <w:proofErr w:type="gramStart"/>
            <w:r w:rsidRPr="00FA3F57">
              <w:rPr>
                <w:sz w:val="20"/>
                <w:szCs w:val="20"/>
              </w:rPr>
              <w:t>not</w:t>
            </w:r>
            <w:proofErr w:type="gramEnd"/>
            <w:r w:rsidRPr="00FA3F57">
              <w:rPr>
                <w:sz w:val="20"/>
                <w:szCs w:val="20"/>
              </w:rPr>
              <w:t xml:space="preserve"> available.  </w:t>
            </w:r>
          </w:p>
        </w:tc>
      </w:tr>
    </w:tbl>
    <w:p w14:paraId="6B05FF4C" w14:textId="77777777" w:rsidR="0094644B" w:rsidRPr="00FA3F57" w:rsidRDefault="0094644B" w:rsidP="0094644B">
      <w:pPr>
        <w:snapToGrid w:val="0"/>
        <w:jc w:val="both"/>
      </w:pPr>
    </w:p>
    <w:p w14:paraId="601FF37B" w14:textId="77777777" w:rsidR="0094644B" w:rsidRPr="00FA3F57" w:rsidRDefault="0094644B" w:rsidP="0094644B">
      <w:pPr>
        <w:snapToGrid w:val="0"/>
        <w:jc w:val="both"/>
      </w:pPr>
    </w:p>
    <w:p w14:paraId="44CC8CAD" w14:textId="77777777" w:rsidR="0094644B" w:rsidRPr="00FA3F57" w:rsidRDefault="0094644B" w:rsidP="0094644B">
      <w:pPr>
        <w:keepNext/>
        <w:tabs>
          <w:tab w:val="left" w:pos="1276"/>
          <w:tab w:val="left" w:pos="1560"/>
        </w:tabs>
        <w:ind w:left="1440" w:hanging="1440"/>
      </w:pPr>
      <w:r w:rsidRPr="00FA3F57">
        <w:t>Table 5.1.6-1:</w:t>
      </w:r>
      <w:r w:rsidRPr="00FA3F57">
        <w:tab/>
        <w:t>Activities for the implementation of measure EL6</w:t>
      </w:r>
      <w:r w:rsidRPr="00FA3F57" w:rsidDel="00FC127C">
        <w:t xml:space="preserve"> </w:t>
      </w:r>
      <w:r w:rsidRPr="00FA3F57">
        <w:t>– Activity EL6.1</w:t>
      </w:r>
    </w:p>
    <w:tbl>
      <w:tblPr>
        <w:tblStyle w:val="TableGrid"/>
        <w:tblW w:w="8642" w:type="dxa"/>
        <w:tblLook w:val="04A0" w:firstRow="1" w:lastRow="0" w:firstColumn="1" w:lastColumn="0" w:noHBand="0" w:noVBand="1"/>
      </w:tblPr>
      <w:tblGrid>
        <w:gridCol w:w="2973"/>
        <w:gridCol w:w="5669"/>
      </w:tblGrid>
      <w:tr w:rsidR="0094644B" w:rsidRPr="00F07779" w14:paraId="146AD197" w14:textId="77777777" w:rsidTr="00FB5086">
        <w:tc>
          <w:tcPr>
            <w:tcW w:w="2973" w:type="dxa"/>
            <w:shd w:val="clear" w:color="auto" w:fill="D9D9D9" w:themeFill="background1" w:themeFillShade="D9"/>
          </w:tcPr>
          <w:p w14:paraId="763D9E43" w14:textId="77777777" w:rsidR="0094644B" w:rsidRPr="00FA3F57" w:rsidRDefault="0094644B" w:rsidP="00FB5086">
            <w:pPr>
              <w:keepNext/>
              <w:rPr>
                <w:sz w:val="20"/>
                <w:szCs w:val="20"/>
              </w:rPr>
            </w:pPr>
            <w:r w:rsidRPr="00FA3F57">
              <w:rPr>
                <w:sz w:val="20"/>
                <w:szCs w:val="20"/>
              </w:rPr>
              <w:t>Activity EL6.1</w:t>
            </w:r>
          </w:p>
        </w:tc>
        <w:tc>
          <w:tcPr>
            <w:tcW w:w="5669" w:type="dxa"/>
            <w:shd w:val="clear" w:color="auto" w:fill="D9D9D9" w:themeFill="background1" w:themeFillShade="D9"/>
          </w:tcPr>
          <w:p w14:paraId="34ED733E" w14:textId="77777777" w:rsidR="0094644B" w:rsidRPr="00FA3F57" w:rsidRDefault="0094644B" w:rsidP="00FB5086">
            <w:pPr>
              <w:keepNext/>
              <w:rPr>
                <w:sz w:val="20"/>
                <w:szCs w:val="20"/>
              </w:rPr>
            </w:pPr>
            <w:r w:rsidRPr="00FA3F57">
              <w:rPr>
                <w:sz w:val="20"/>
                <w:szCs w:val="20"/>
              </w:rPr>
              <w:t>Increasing the reliability of the transmission system and the security of the consumer supply</w:t>
            </w:r>
          </w:p>
        </w:tc>
      </w:tr>
      <w:tr w:rsidR="0094644B" w:rsidRPr="00F07779" w14:paraId="2F3FB6AB" w14:textId="77777777" w:rsidTr="00FB5086">
        <w:tc>
          <w:tcPr>
            <w:tcW w:w="2973" w:type="dxa"/>
            <w:shd w:val="clear" w:color="auto" w:fill="FFF2CC" w:themeFill="accent4" w:themeFillTint="33"/>
          </w:tcPr>
          <w:p w14:paraId="60F74CF2" w14:textId="77777777" w:rsidR="0094644B" w:rsidRPr="00FA3F57" w:rsidRDefault="0094644B" w:rsidP="00FB5086">
            <w:pPr>
              <w:keepNext/>
              <w:rPr>
                <w:sz w:val="20"/>
                <w:szCs w:val="20"/>
              </w:rPr>
            </w:pPr>
            <w:r w:rsidRPr="00FA3F57">
              <w:rPr>
                <w:sz w:val="20"/>
                <w:szCs w:val="20"/>
              </w:rPr>
              <w:t>Name of the project</w:t>
            </w:r>
          </w:p>
        </w:tc>
        <w:tc>
          <w:tcPr>
            <w:tcW w:w="5669" w:type="dxa"/>
            <w:shd w:val="clear" w:color="auto" w:fill="FFF2CC" w:themeFill="accent4" w:themeFillTint="33"/>
          </w:tcPr>
          <w:p w14:paraId="0A4FB782" w14:textId="77777777" w:rsidR="0094644B" w:rsidRPr="00FA3F57" w:rsidRDefault="0094644B" w:rsidP="00FB5086">
            <w:pPr>
              <w:keepNext/>
              <w:rPr>
                <w:sz w:val="20"/>
                <w:szCs w:val="20"/>
              </w:rPr>
            </w:pPr>
            <w:r w:rsidRPr="00FA3F57">
              <w:rPr>
                <w:sz w:val="20"/>
                <w:szCs w:val="20"/>
              </w:rPr>
              <w:t xml:space="preserve">SS 220 kV CHP </w:t>
            </w:r>
            <w:proofErr w:type="spellStart"/>
            <w:r w:rsidRPr="00FA3F57">
              <w:rPr>
                <w:sz w:val="20"/>
                <w:szCs w:val="20"/>
              </w:rPr>
              <w:t>Pančevo</w:t>
            </w:r>
            <w:proofErr w:type="spellEnd"/>
            <w:r w:rsidRPr="00FA3F57">
              <w:rPr>
                <w:sz w:val="20"/>
                <w:szCs w:val="20"/>
              </w:rPr>
              <w:t xml:space="preserve"> </w:t>
            </w:r>
          </w:p>
        </w:tc>
      </w:tr>
      <w:tr w:rsidR="0094644B" w:rsidRPr="00F07779" w14:paraId="3BC6D17D" w14:textId="77777777" w:rsidTr="00FB5086">
        <w:tc>
          <w:tcPr>
            <w:tcW w:w="2973" w:type="dxa"/>
            <w:shd w:val="clear" w:color="auto" w:fill="D9E2F3" w:themeFill="accent1" w:themeFillTint="33"/>
          </w:tcPr>
          <w:p w14:paraId="3A4F79B1" w14:textId="77777777" w:rsidR="0094644B" w:rsidRPr="00FA3F57" w:rsidRDefault="0094644B" w:rsidP="00FB5086">
            <w:pPr>
              <w:keepNext/>
              <w:rPr>
                <w:sz w:val="20"/>
                <w:szCs w:val="20"/>
              </w:rPr>
            </w:pPr>
            <w:r w:rsidRPr="00FA3F57">
              <w:rPr>
                <w:sz w:val="20"/>
                <w:szCs w:val="20"/>
              </w:rPr>
              <w:t>Name of the investment</w:t>
            </w:r>
          </w:p>
        </w:tc>
        <w:tc>
          <w:tcPr>
            <w:tcW w:w="5669" w:type="dxa"/>
            <w:shd w:val="clear" w:color="auto" w:fill="D9E2F3" w:themeFill="accent1" w:themeFillTint="33"/>
          </w:tcPr>
          <w:p w14:paraId="15FC3E4A" w14:textId="77777777" w:rsidR="0094644B" w:rsidRPr="00FA3F57" w:rsidRDefault="0094644B" w:rsidP="00FB5086">
            <w:pPr>
              <w:keepNext/>
              <w:rPr>
                <w:sz w:val="20"/>
                <w:szCs w:val="20"/>
              </w:rPr>
            </w:pPr>
            <w:r w:rsidRPr="00F07779">
              <w:rPr>
                <w:sz w:val="20"/>
                <w:szCs w:val="20"/>
              </w:rPr>
              <w:t xml:space="preserve">OHL layout at the SS 220 kV CHP </w:t>
            </w:r>
            <w:proofErr w:type="spellStart"/>
            <w:r w:rsidRPr="00F07779">
              <w:rPr>
                <w:sz w:val="20"/>
                <w:szCs w:val="20"/>
              </w:rPr>
              <w:t>Pančevo</w:t>
            </w:r>
            <w:proofErr w:type="spellEnd"/>
          </w:p>
          <w:p w14:paraId="08EE5F33" w14:textId="77777777" w:rsidR="0094644B" w:rsidRPr="00FA3F57" w:rsidRDefault="0094644B" w:rsidP="00FB5086">
            <w:pPr>
              <w:keepNext/>
              <w:rPr>
                <w:sz w:val="20"/>
                <w:szCs w:val="20"/>
              </w:rPr>
            </w:pPr>
            <w:r w:rsidRPr="00F07779">
              <w:rPr>
                <w:sz w:val="20"/>
                <w:szCs w:val="20"/>
              </w:rPr>
              <w:t xml:space="preserve">SS </w:t>
            </w:r>
            <w:r w:rsidRPr="00FA3F57">
              <w:rPr>
                <w:sz w:val="20"/>
                <w:szCs w:val="20"/>
              </w:rPr>
              <w:t xml:space="preserve">220 kV CHP </w:t>
            </w:r>
            <w:proofErr w:type="spellStart"/>
            <w:r w:rsidRPr="00FA3F57">
              <w:rPr>
                <w:sz w:val="20"/>
                <w:szCs w:val="20"/>
              </w:rPr>
              <w:t>Pančevo</w:t>
            </w:r>
            <w:proofErr w:type="spellEnd"/>
            <w:r w:rsidRPr="00FA3F57">
              <w:rPr>
                <w:sz w:val="20"/>
                <w:szCs w:val="20"/>
              </w:rPr>
              <w:t>, e</w:t>
            </w:r>
            <w:r w:rsidRPr="00F07779">
              <w:rPr>
                <w:sz w:val="20"/>
                <w:szCs w:val="20"/>
              </w:rPr>
              <w:t>quipping of 4 bays</w:t>
            </w:r>
          </w:p>
        </w:tc>
      </w:tr>
      <w:tr w:rsidR="0094644B" w:rsidRPr="00F07779" w14:paraId="6E3C3FCF" w14:textId="77777777" w:rsidTr="00FB5086">
        <w:tc>
          <w:tcPr>
            <w:tcW w:w="2973" w:type="dxa"/>
          </w:tcPr>
          <w:p w14:paraId="555F7775" w14:textId="77777777" w:rsidR="0094644B" w:rsidRPr="00FA3F57" w:rsidRDefault="0094644B" w:rsidP="00FB5086">
            <w:pPr>
              <w:rPr>
                <w:sz w:val="20"/>
                <w:szCs w:val="20"/>
              </w:rPr>
            </w:pPr>
            <w:r w:rsidRPr="00FA3F57">
              <w:rPr>
                <w:sz w:val="20"/>
                <w:szCs w:val="20"/>
              </w:rPr>
              <w:t>Short description of the investment</w:t>
            </w:r>
          </w:p>
        </w:tc>
        <w:tc>
          <w:tcPr>
            <w:tcW w:w="5669" w:type="dxa"/>
          </w:tcPr>
          <w:p w14:paraId="4A76B58B" w14:textId="77777777" w:rsidR="0094644B" w:rsidRPr="00FA3F57" w:rsidRDefault="0094644B" w:rsidP="00FB5086">
            <w:pPr>
              <w:rPr>
                <w:sz w:val="20"/>
                <w:szCs w:val="20"/>
              </w:rPr>
            </w:pPr>
            <w:r w:rsidRPr="00F07779">
              <w:rPr>
                <w:sz w:val="20"/>
                <w:szCs w:val="20"/>
              </w:rPr>
              <w:t xml:space="preserve">The first phase involves the connection of CHP </w:t>
            </w:r>
            <w:proofErr w:type="spellStart"/>
            <w:r w:rsidRPr="00F07779">
              <w:rPr>
                <w:sz w:val="20"/>
                <w:szCs w:val="20"/>
              </w:rPr>
              <w:t>Pančevo</w:t>
            </w:r>
            <w:proofErr w:type="spellEnd"/>
            <w:r w:rsidRPr="00F07779">
              <w:rPr>
                <w:sz w:val="20"/>
                <w:szCs w:val="20"/>
              </w:rPr>
              <w:t xml:space="preserve"> to the transmission system and will be financed by the client as part of the connection process of CHP </w:t>
            </w:r>
            <w:proofErr w:type="spellStart"/>
            <w:r w:rsidRPr="00F07779">
              <w:rPr>
                <w:sz w:val="20"/>
                <w:szCs w:val="20"/>
              </w:rPr>
              <w:t>Pančevo</w:t>
            </w:r>
            <w:proofErr w:type="spellEnd"/>
            <w:r w:rsidRPr="00F07779">
              <w:rPr>
                <w:sz w:val="20"/>
                <w:szCs w:val="20"/>
              </w:rPr>
              <w:t xml:space="preserve"> to the transmission network. Phase two encompasses the construction of cable connections from the 220 kV CHP </w:t>
            </w:r>
            <w:proofErr w:type="spellStart"/>
            <w:r w:rsidRPr="00F07779">
              <w:rPr>
                <w:sz w:val="20"/>
                <w:szCs w:val="20"/>
              </w:rPr>
              <w:t>Pančevo</w:t>
            </w:r>
            <w:proofErr w:type="spellEnd"/>
            <w:r w:rsidRPr="00F07779">
              <w:rPr>
                <w:sz w:val="20"/>
                <w:szCs w:val="20"/>
              </w:rPr>
              <w:t xml:space="preserve"> switching station to the TS HIP and TS NIS.</w:t>
            </w:r>
          </w:p>
          <w:p w14:paraId="471F80DE" w14:textId="77777777" w:rsidR="0094644B" w:rsidRPr="00FA3F57" w:rsidRDefault="0094644B" w:rsidP="00FB5086">
            <w:pPr>
              <w:rPr>
                <w:sz w:val="20"/>
                <w:szCs w:val="20"/>
              </w:rPr>
            </w:pPr>
            <w:r w:rsidRPr="00FA3F57">
              <w:rPr>
                <w:sz w:val="20"/>
                <w:szCs w:val="20"/>
              </w:rPr>
              <w:t>Expected dynamics of project implementation:</w:t>
            </w:r>
          </w:p>
          <w:p w14:paraId="1E9FA9A7" w14:textId="77777777" w:rsidR="0094644B" w:rsidRPr="00FA3F57" w:rsidRDefault="0094644B" w:rsidP="00FB5086">
            <w:pPr>
              <w:rPr>
                <w:sz w:val="20"/>
                <w:szCs w:val="20"/>
              </w:rPr>
            </w:pPr>
            <w:r w:rsidRPr="00FA3F57">
              <w:rPr>
                <w:sz w:val="20"/>
                <w:szCs w:val="20"/>
              </w:rPr>
              <w:t>2026. The beginning of the project</w:t>
            </w:r>
          </w:p>
        </w:tc>
      </w:tr>
      <w:tr w:rsidR="0094644B" w:rsidRPr="00F07779" w14:paraId="7B2C1778" w14:textId="77777777" w:rsidTr="00FB5086">
        <w:tc>
          <w:tcPr>
            <w:tcW w:w="2973" w:type="dxa"/>
          </w:tcPr>
          <w:p w14:paraId="1868E7BB" w14:textId="77777777" w:rsidR="0094644B" w:rsidRPr="00FA3F57" w:rsidRDefault="0094644B" w:rsidP="00FB5086">
            <w:pPr>
              <w:rPr>
                <w:sz w:val="20"/>
                <w:szCs w:val="20"/>
              </w:rPr>
            </w:pPr>
            <w:r w:rsidRPr="00FA3F57">
              <w:rPr>
                <w:sz w:val="20"/>
                <w:szCs w:val="20"/>
              </w:rPr>
              <w:t>Institutions responsible for the implementation of measures and activities</w:t>
            </w:r>
          </w:p>
        </w:tc>
        <w:tc>
          <w:tcPr>
            <w:tcW w:w="5669" w:type="dxa"/>
          </w:tcPr>
          <w:p w14:paraId="0B8EAA68" w14:textId="77777777" w:rsidR="0094644B" w:rsidRPr="00FA3F57" w:rsidRDefault="0094644B" w:rsidP="00FB5086">
            <w:pPr>
              <w:rPr>
                <w:sz w:val="20"/>
                <w:szCs w:val="20"/>
              </w:rPr>
            </w:pPr>
            <w:r w:rsidRPr="00FA3F57">
              <w:rPr>
                <w:sz w:val="20"/>
                <w:szCs w:val="20"/>
              </w:rPr>
              <w:t>EMS JSC Belgrade</w:t>
            </w:r>
          </w:p>
        </w:tc>
      </w:tr>
      <w:tr w:rsidR="0094644B" w:rsidRPr="00F07779" w14:paraId="42ABC30F" w14:textId="77777777" w:rsidTr="00FB5086">
        <w:tc>
          <w:tcPr>
            <w:tcW w:w="2973" w:type="dxa"/>
          </w:tcPr>
          <w:p w14:paraId="658D3F91" w14:textId="77777777" w:rsidR="0094644B" w:rsidRPr="00FA3F57" w:rsidRDefault="0094644B" w:rsidP="00FB5086">
            <w:pPr>
              <w:rPr>
                <w:sz w:val="20"/>
                <w:szCs w:val="20"/>
              </w:rPr>
            </w:pPr>
            <w:r w:rsidRPr="00FA3F57">
              <w:rPr>
                <w:sz w:val="20"/>
                <w:szCs w:val="20"/>
              </w:rPr>
              <w:t>Institutions responsible for monitoring implementation and reporting on the realization</w:t>
            </w:r>
          </w:p>
        </w:tc>
        <w:tc>
          <w:tcPr>
            <w:tcW w:w="5669" w:type="dxa"/>
          </w:tcPr>
          <w:p w14:paraId="76CC89F2" w14:textId="77777777" w:rsidR="0094644B" w:rsidRPr="00F07779" w:rsidRDefault="0094644B" w:rsidP="00FB5086">
            <w:pPr>
              <w:rPr>
                <w:sz w:val="20"/>
                <w:szCs w:val="20"/>
              </w:rPr>
            </w:pPr>
            <w:r w:rsidRPr="00FA3F57">
              <w:rPr>
                <w:sz w:val="20"/>
                <w:szCs w:val="20"/>
              </w:rPr>
              <w:t>EMS JSC Belgrade</w:t>
            </w:r>
          </w:p>
          <w:p w14:paraId="1FD4F4D0" w14:textId="77777777" w:rsidR="0094644B" w:rsidRPr="00FA3F57" w:rsidRDefault="0094644B" w:rsidP="00FB5086">
            <w:pPr>
              <w:rPr>
                <w:sz w:val="20"/>
                <w:szCs w:val="20"/>
              </w:rPr>
            </w:pPr>
            <w:r w:rsidRPr="00FA3F57">
              <w:rPr>
                <w:sz w:val="20"/>
                <w:szCs w:val="20"/>
              </w:rPr>
              <w:t>Republic Commission for Energy Networks</w:t>
            </w:r>
          </w:p>
          <w:p w14:paraId="47C0989E" w14:textId="77777777" w:rsidR="0094644B" w:rsidRPr="00FA3F57" w:rsidRDefault="0094644B" w:rsidP="00FB5086">
            <w:pPr>
              <w:rPr>
                <w:sz w:val="20"/>
                <w:szCs w:val="20"/>
              </w:rPr>
            </w:pPr>
            <w:r w:rsidRPr="00FA3F57">
              <w:rPr>
                <w:sz w:val="20"/>
                <w:szCs w:val="20"/>
              </w:rPr>
              <w:t>Ministry of Mining and Energy</w:t>
            </w:r>
          </w:p>
        </w:tc>
      </w:tr>
      <w:tr w:rsidR="0094644B" w:rsidRPr="00F07779" w14:paraId="746A9A21" w14:textId="77777777" w:rsidTr="00FB5086">
        <w:tc>
          <w:tcPr>
            <w:tcW w:w="2973" w:type="dxa"/>
          </w:tcPr>
          <w:p w14:paraId="5266F23C" w14:textId="77777777" w:rsidR="0094644B" w:rsidRPr="00FA3F57" w:rsidRDefault="0094644B" w:rsidP="00FB5086">
            <w:pPr>
              <w:rPr>
                <w:sz w:val="20"/>
                <w:szCs w:val="20"/>
              </w:rPr>
            </w:pPr>
            <w:r w:rsidRPr="00FA3F57">
              <w:rPr>
                <w:sz w:val="20"/>
                <w:szCs w:val="20"/>
              </w:rPr>
              <w:t>Year of the start of the investment</w:t>
            </w:r>
          </w:p>
        </w:tc>
        <w:tc>
          <w:tcPr>
            <w:tcW w:w="5669" w:type="dxa"/>
          </w:tcPr>
          <w:p w14:paraId="5267D531" w14:textId="77777777" w:rsidR="0094644B" w:rsidRPr="00FA3F57" w:rsidRDefault="0094644B" w:rsidP="00FB5086">
            <w:pPr>
              <w:rPr>
                <w:sz w:val="20"/>
                <w:szCs w:val="20"/>
              </w:rPr>
            </w:pPr>
            <w:r w:rsidRPr="00FA3F57">
              <w:rPr>
                <w:sz w:val="20"/>
                <w:szCs w:val="20"/>
              </w:rPr>
              <w:t xml:space="preserve">2017. </w:t>
            </w:r>
          </w:p>
        </w:tc>
      </w:tr>
      <w:tr w:rsidR="0094644B" w:rsidRPr="00F07779" w14:paraId="35D34CD2" w14:textId="77777777" w:rsidTr="00FB5086">
        <w:tc>
          <w:tcPr>
            <w:tcW w:w="2973" w:type="dxa"/>
          </w:tcPr>
          <w:p w14:paraId="38A7E251" w14:textId="77777777" w:rsidR="0094644B" w:rsidRPr="00FA3F57" w:rsidRDefault="0094644B" w:rsidP="00FB5086">
            <w:pPr>
              <w:rPr>
                <w:sz w:val="20"/>
                <w:szCs w:val="20"/>
              </w:rPr>
            </w:pPr>
            <w:r w:rsidRPr="00FA3F57">
              <w:rPr>
                <w:sz w:val="20"/>
                <w:szCs w:val="20"/>
              </w:rPr>
              <w:t>Year of completion of project funding</w:t>
            </w:r>
          </w:p>
        </w:tc>
        <w:tc>
          <w:tcPr>
            <w:tcW w:w="5669" w:type="dxa"/>
          </w:tcPr>
          <w:p w14:paraId="1BA220DC" w14:textId="77777777" w:rsidR="0094644B" w:rsidRPr="00FA3F57" w:rsidRDefault="0094644B" w:rsidP="00FB5086">
            <w:pPr>
              <w:rPr>
                <w:sz w:val="20"/>
                <w:szCs w:val="20"/>
              </w:rPr>
            </w:pPr>
            <w:r w:rsidRPr="00FA3F57">
              <w:rPr>
                <w:sz w:val="20"/>
                <w:szCs w:val="20"/>
              </w:rPr>
              <w:t>2029.</w:t>
            </w:r>
          </w:p>
        </w:tc>
      </w:tr>
      <w:tr w:rsidR="0094644B" w:rsidRPr="00F07779" w14:paraId="21F15872" w14:textId="77777777" w:rsidTr="00FB5086">
        <w:tc>
          <w:tcPr>
            <w:tcW w:w="2973" w:type="dxa"/>
          </w:tcPr>
          <w:p w14:paraId="0636F746" w14:textId="77777777" w:rsidR="0094644B" w:rsidRPr="00FA3F57" w:rsidRDefault="0094644B" w:rsidP="00FB5086">
            <w:pPr>
              <w:rPr>
                <w:sz w:val="20"/>
                <w:szCs w:val="20"/>
              </w:rPr>
            </w:pPr>
            <w:r w:rsidRPr="00FA3F57">
              <w:rPr>
                <w:sz w:val="20"/>
                <w:szCs w:val="20"/>
              </w:rPr>
              <w:t>Current estimated value of the investment</w:t>
            </w:r>
            <w:r w:rsidRPr="00FA3F57">
              <w:rPr>
                <w:sz w:val="20"/>
                <w:szCs w:val="20"/>
              </w:rPr>
              <w:br/>
              <w:t>(in thousands of RSD)</w:t>
            </w:r>
          </w:p>
        </w:tc>
        <w:tc>
          <w:tcPr>
            <w:tcW w:w="5669" w:type="dxa"/>
          </w:tcPr>
          <w:p w14:paraId="05B8E9E3" w14:textId="77777777" w:rsidR="0094644B" w:rsidRPr="00FA3F57" w:rsidRDefault="0094644B" w:rsidP="00FB5086">
            <w:pPr>
              <w:rPr>
                <w:sz w:val="20"/>
                <w:szCs w:val="20"/>
              </w:rPr>
            </w:pPr>
            <w:r w:rsidRPr="00FA3F57">
              <w:rPr>
                <w:sz w:val="20"/>
                <w:szCs w:val="20"/>
              </w:rPr>
              <w:t>410,375 (3.5 million EUR)</w:t>
            </w:r>
          </w:p>
        </w:tc>
      </w:tr>
      <w:tr w:rsidR="0094644B" w:rsidRPr="00F07779" w14:paraId="31408824" w14:textId="77777777" w:rsidTr="00FB5086">
        <w:tc>
          <w:tcPr>
            <w:tcW w:w="2973" w:type="dxa"/>
          </w:tcPr>
          <w:p w14:paraId="42DAE2FB" w14:textId="77777777" w:rsidR="0094644B" w:rsidRPr="00FA3F57" w:rsidRDefault="0094644B" w:rsidP="00FB5086">
            <w:pPr>
              <w:rPr>
                <w:sz w:val="20"/>
                <w:szCs w:val="20"/>
              </w:rPr>
            </w:pPr>
            <w:r w:rsidRPr="00FA3F57">
              <w:rPr>
                <w:sz w:val="20"/>
                <w:szCs w:val="20"/>
              </w:rPr>
              <w:t>Planned investments for 2026.</w:t>
            </w:r>
            <w:r w:rsidRPr="00FA3F57">
              <w:rPr>
                <w:sz w:val="20"/>
                <w:szCs w:val="20"/>
              </w:rPr>
              <w:br/>
              <w:t>(in thousands of RSD)</w:t>
            </w:r>
          </w:p>
        </w:tc>
        <w:tc>
          <w:tcPr>
            <w:tcW w:w="5669" w:type="dxa"/>
          </w:tcPr>
          <w:p w14:paraId="6242A1A8" w14:textId="77777777" w:rsidR="0094644B" w:rsidRPr="00F07779" w:rsidRDefault="0094644B" w:rsidP="00FB5086">
            <w:pPr>
              <w:rPr>
                <w:sz w:val="20"/>
                <w:szCs w:val="20"/>
              </w:rPr>
            </w:pPr>
            <w:r w:rsidRPr="00F07779">
              <w:rPr>
                <w:sz w:val="20"/>
                <w:szCs w:val="20"/>
              </w:rPr>
              <w:t xml:space="preserve">497 </w:t>
            </w:r>
            <w:r w:rsidRPr="00FA3F57">
              <w:rPr>
                <w:sz w:val="20"/>
                <w:szCs w:val="20"/>
              </w:rPr>
              <w:t>(own funds of EMS JSC)</w:t>
            </w:r>
          </w:p>
        </w:tc>
      </w:tr>
      <w:tr w:rsidR="0094644B" w:rsidRPr="00F07779" w14:paraId="1440E284" w14:textId="77777777" w:rsidTr="00FB5086">
        <w:tc>
          <w:tcPr>
            <w:tcW w:w="2973" w:type="dxa"/>
          </w:tcPr>
          <w:p w14:paraId="13B3AC51" w14:textId="77777777" w:rsidR="0094644B" w:rsidRPr="00FA3F57" w:rsidRDefault="0094644B" w:rsidP="00FB5086">
            <w:pPr>
              <w:rPr>
                <w:sz w:val="20"/>
                <w:szCs w:val="20"/>
              </w:rPr>
            </w:pPr>
            <w:r w:rsidRPr="00FA3F57">
              <w:rPr>
                <w:sz w:val="20"/>
                <w:szCs w:val="20"/>
              </w:rPr>
              <w:t>Planned investments for 2027.</w:t>
            </w:r>
            <w:r w:rsidRPr="00FA3F57">
              <w:rPr>
                <w:sz w:val="20"/>
                <w:szCs w:val="20"/>
              </w:rPr>
              <w:br/>
              <w:t>(in thousands of RSD)</w:t>
            </w:r>
          </w:p>
        </w:tc>
        <w:tc>
          <w:tcPr>
            <w:tcW w:w="5669" w:type="dxa"/>
          </w:tcPr>
          <w:p w14:paraId="6EE64DBB" w14:textId="77777777" w:rsidR="0094644B" w:rsidRPr="00FA3F57" w:rsidRDefault="0094644B" w:rsidP="00FB5086">
            <w:pPr>
              <w:rPr>
                <w:sz w:val="20"/>
                <w:szCs w:val="20"/>
              </w:rPr>
            </w:pPr>
            <w:r w:rsidRPr="00FA3F57">
              <w:rPr>
                <w:sz w:val="20"/>
                <w:szCs w:val="20"/>
              </w:rPr>
              <w:t>57,471</w:t>
            </w:r>
            <w:r w:rsidRPr="00FA3F57" w:rsidDel="006F157C">
              <w:rPr>
                <w:sz w:val="20"/>
                <w:szCs w:val="20"/>
              </w:rPr>
              <w:t xml:space="preserve"> </w:t>
            </w:r>
            <w:r w:rsidRPr="00FA3F57">
              <w:rPr>
                <w:sz w:val="20"/>
                <w:szCs w:val="20"/>
              </w:rPr>
              <w:t>(own funds of EMS JSC)</w:t>
            </w:r>
          </w:p>
        </w:tc>
      </w:tr>
      <w:tr w:rsidR="0094644B" w:rsidRPr="00F07779" w14:paraId="73054BB7" w14:textId="77777777" w:rsidTr="00FB5086">
        <w:tc>
          <w:tcPr>
            <w:tcW w:w="2973" w:type="dxa"/>
          </w:tcPr>
          <w:p w14:paraId="183EA4DE" w14:textId="77777777" w:rsidR="0094644B" w:rsidRPr="00FA3F57" w:rsidRDefault="0094644B" w:rsidP="00FB5086">
            <w:pPr>
              <w:rPr>
                <w:sz w:val="20"/>
                <w:szCs w:val="20"/>
              </w:rPr>
            </w:pPr>
            <w:r w:rsidRPr="00FA3F57">
              <w:rPr>
                <w:sz w:val="20"/>
                <w:szCs w:val="20"/>
              </w:rPr>
              <w:t>Planned investments for 2028.</w:t>
            </w:r>
            <w:r w:rsidRPr="00FA3F57">
              <w:rPr>
                <w:sz w:val="20"/>
                <w:szCs w:val="20"/>
              </w:rPr>
              <w:br/>
              <w:t>(in thousands of RSD)</w:t>
            </w:r>
          </w:p>
        </w:tc>
        <w:tc>
          <w:tcPr>
            <w:tcW w:w="5669" w:type="dxa"/>
          </w:tcPr>
          <w:p w14:paraId="364793FE" w14:textId="77777777" w:rsidR="0094644B" w:rsidRPr="00FA3F57" w:rsidRDefault="0094644B" w:rsidP="00FB5086">
            <w:pPr>
              <w:rPr>
                <w:sz w:val="20"/>
                <w:szCs w:val="20"/>
              </w:rPr>
            </w:pPr>
            <w:r w:rsidRPr="00FA3F57">
              <w:rPr>
                <w:sz w:val="20"/>
                <w:szCs w:val="20"/>
              </w:rPr>
              <w:t>171,889</w:t>
            </w:r>
            <w:r w:rsidRPr="00FA3F57" w:rsidDel="006F157C">
              <w:rPr>
                <w:sz w:val="20"/>
                <w:szCs w:val="20"/>
              </w:rPr>
              <w:t xml:space="preserve"> </w:t>
            </w:r>
            <w:r w:rsidRPr="00FA3F57">
              <w:rPr>
                <w:sz w:val="20"/>
                <w:szCs w:val="20"/>
              </w:rPr>
              <w:t>(own funds of EMS JSC)</w:t>
            </w:r>
          </w:p>
        </w:tc>
      </w:tr>
    </w:tbl>
    <w:p w14:paraId="2D36A085" w14:textId="77777777" w:rsidR="0094644B" w:rsidRPr="00F07779" w:rsidRDefault="0094644B" w:rsidP="0094644B"/>
    <w:tbl>
      <w:tblPr>
        <w:tblStyle w:val="TableGrid"/>
        <w:tblW w:w="0" w:type="auto"/>
        <w:tblLook w:val="04A0" w:firstRow="1" w:lastRow="0" w:firstColumn="1" w:lastColumn="0" w:noHBand="0" w:noVBand="1"/>
      </w:tblPr>
      <w:tblGrid>
        <w:gridCol w:w="2973"/>
        <w:gridCol w:w="5669"/>
      </w:tblGrid>
      <w:tr w:rsidR="0094644B" w:rsidRPr="00F07779" w14:paraId="14BE7397" w14:textId="77777777" w:rsidTr="00FB5086">
        <w:tc>
          <w:tcPr>
            <w:tcW w:w="2973" w:type="dxa"/>
            <w:shd w:val="clear" w:color="auto" w:fill="D0CECE" w:themeFill="background2" w:themeFillShade="E6"/>
          </w:tcPr>
          <w:p w14:paraId="23B8DDAB" w14:textId="77777777" w:rsidR="0094644B" w:rsidRPr="00FA3F57" w:rsidRDefault="0094644B" w:rsidP="00FB5086">
            <w:pPr>
              <w:keepNext/>
              <w:rPr>
                <w:sz w:val="20"/>
                <w:szCs w:val="20"/>
              </w:rPr>
            </w:pPr>
            <w:r w:rsidRPr="00FA3F57">
              <w:rPr>
                <w:sz w:val="20"/>
                <w:szCs w:val="20"/>
              </w:rPr>
              <w:t>Activity EL6.1</w:t>
            </w:r>
          </w:p>
        </w:tc>
        <w:tc>
          <w:tcPr>
            <w:tcW w:w="5669" w:type="dxa"/>
            <w:shd w:val="clear" w:color="auto" w:fill="D0CECE" w:themeFill="background2" w:themeFillShade="E6"/>
          </w:tcPr>
          <w:p w14:paraId="061CAA50" w14:textId="77777777" w:rsidR="0094644B" w:rsidRPr="00FA3F57" w:rsidRDefault="0094644B" w:rsidP="00FB5086">
            <w:pPr>
              <w:keepNext/>
              <w:rPr>
                <w:sz w:val="20"/>
                <w:szCs w:val="20"/>
              </w:rPr>
            </w:pPr>
            <w:r w:rsidRPr="00FA3F57">
              <w:rPr>
                <w:sz w:val="20"/>
                <w:szCs w:val="20"/>
              </w:rPr>
              <w:t>Increasing the reliability of the transmission system and the security of the consumer supply</w:t>
            </w:r>
          </w:p>
        </w:tc>
      </w:tr>
      <w:tr w:rsidR="0094644B" w:rsidRPr="00F07779" w14:paraId="154BAB23" w14:textId="77777777" w:rsidTr="00FB5086">
        <w:tc>
          <w:tcPr>
            <w:tcW w:w="2973" w:type="dxa"/>
            <w:shd w:val="clear" w:color="auto" w:fill="FFF2CC" w:themeFill="accent4" w:themeFillTint="33"/>
          </w:tcPr>
          <w:p w14:paraId="696527FE" w14:textId="77777777" w:rsidR="0094644B" w:rsidRPr="00FA3F57" w:rsidRDefault="0094644B" w:rsidP="00FB5086">
            <w:pPr>
              <w:keepNext/>
              <w:rPr>
                <w:sz w:val="20"/>
                <w:szCs w:val="20"/>
              </w:rPr>
            </w:pPr>
            <w:r w:rsidRPr="00FA3F57">
              <w:rPr>
                <w:sz w:val="20"/>
                <w:szCs w:val="20"/>
              </w:rPr>
              <w:t>Name of the project</w:t>
            </w:r>
          </w:p>
        </w:tc>
        <w:tc>
          <w:tcPr>
            <w:tcW w:w="5669" w:type="dxa"/>
            <w:shd w:val="clear" w:color="auto" w:fill="FFF2CC" w:themeFill="accent4" w:themeFillTint="33"/>
          </w:tcPr>
          <w:p w14:paraId="68BC27B1" w14:textId="77777777" w:rsidR="0094644B" w:rsidRPr="00FA3F57" w:rsidRDefault="0094644B" w:rsidP="00FB5086">
            <w:pPr>
              <w:keepNext/>
              <w:rPr>
                <w:sz w:val="20"/>
                <w:szCs w:val="20"/>
              </w:rPr>
            </w:pPr>
            <w:r w:rsidRPr="00FA3F57">
              <w:rPr>
                <w:sz w:val="20"/>
                <w:szCs w:val="20"/>
              </w:rPr>
              <w:t xml:space="preserve">OHL 220 kV No. 213/1 TS </w:t>
            </w:r>
            <w:proofErr w:type="spellStart"/>
            <w:r w:rsidRPr="00FA3F57">
              <w:rPr>
                <w:sz w:val="20"/>
                <w:szCs w:val="20"/>
              </w:rPr>
              <w:t>Bajina</w:t>
            </w:r>
            <w:proofErr w:type="spellEnd"/>
            <w:r w:rsidRPr="00FA3F57">
              <w:rPr>
                <w:sz w:val="20"/>
                <w:szCs w:val="20"/>
              </w:rPr>
              <w:t xml:space="preserve"> </w:t>
            </w:r>
            <w:proofErr w:type="spellStart"/>
            <w:r w:rsidRPr="00FA3F57">
              <w:rPr>
                <w:sz w:val="20"/>
                <w:szCs w:val="20"/>
              </w:rPr>
              <w:t>Bašta</w:t>
            </w:r>
            <w:proofErr w:type="spellEnd"/>
            <w:r w:rsidRPr="00FA3F57">
              <w:rPr>
                <w:sz w:val="20"/>
                <w:szCs w:val="20"/>
              </w:rPr>
              <w:t xml:space="preserve"> – TS Obrenovac and No. 204 TS </w:t>
            </w:r>
            <w:proofErr w:type="spellStart"/>
            <w:r w:rsidRPr="00FA3F57">
              <w:rPr>
                <w:sz w:val="20"/>
                <w:szCs w:val="20"/>
              </w:rPr>
              <w:t>Bajina</w:t>
            </w:r>
            <w:proofErr w:type="spellEnd"/>
            <w:r w:rsidRPr="00FA3F57">
              <w:rPr>
                <w:sz w:val="20"/>
                <w:szCs w:val="20"/>
              </w:rPr>
              <w:t xml:space="preserve"> </w:t>
            </w:r>
            <w:proofErr w:type="spellStart"/>
            <w:r w:rsidRPr="00FA3F57">
              <w:rPr>
                <w:sz w:val="20"/>
                <w:szCs w:val="20"/>
              </w:rPr>
              <w:t>Bašta</w:t>
            </w:r>
            <w:proofErr w:type="spellEnd"/>
            <w:r w:rsidRPr="00FA3F57">
              <w:rPr>
                <w:sz w:val="20"/>
                <w:szCs w:val="20"/>
              </w:rPr>
              <w:t xml:space="preserve"> -TS Belgrade 3 (reconnection)</w:t>
            </w:r>
          </w:p>
        </w:tc>
      </w:tr>
      <w:tr w:rsidR="0094644B" w:rsidRPr="00F07779" w14:paraId="2450D9E3" w14:textId="77777777" w:rsidTr="00FB5086">
        <w:tc>
          <w:tcPr>
            <w:tcW w:w="2973" w:type="dxa"/>
            <w:shd w:val="clear" w:color="auto" w:fill="D9E2F3" w:themeFill="accent1" w:themeFillTint="33"/>
          </w:tcPr>
          <w:p w14:paraId="12F11E88" w14:textId="77777777" w:rsidR="0094644B" w:rsidRPr="00FA3F57" w:rsidRDefault="0094644B" w:rsidP="00FB5086">
            <w:pPr>
              <w:keepNext/>
              <w:rPr>
                <w:sz w:val="20"/>
                <w:szCs w:val="20"/>
              </w:rPr>
            </w:pPr>
            <w:r w:rsidRPr="00FA3F57">
              <w:rPr>
                <w:sz w:val="20"/>
                <w:szCs w:val="20"/>
              </w:rPr>
              <w:t>Name of the investment</w:t>
            </w:r>
          </w:p>
        </w:tc>
        <w:tc>
          <w:tcPr>
            <w:tcW w:w="5669" w:type="dxa"/>
            <w:shd w:val="clear" w:color="auto" w:fill="D9E2F3" w:themeFill="accent1" w:themeFillTint="33"/>
          </w:tcPr>
          <w:p w14:paraId="472CFF74" w14:textId="77777777" w:rsidR="0094644B" w:rsidRPr="00FA3F57" w:rsidRDefault="0094644B" w:rsidP="00FB5086">
            <w:pPr>
              <w:keepNext/>
              <w:rPr>
                <w:sz w:val="20"/>
                <w:szCs w:val="20"/>
              </w:rPr>
            </w:pPr>
            <w:r w:rsidRPr="00FA3F57">
              <w:rPr>
                <w:sz w:val="20"/>
                <w:szCs w:val="20"/>
              </w:rPr>
              <w:t xml:space="preserve">OHL 220 kV No. 213/1 TS </w:t>
            </w:r>
            <w:proofErr w:type="spellStart"/>
            <w:r w:rsidRPr="00FA3F57">
              <w:rPr>
                <w:sz w:val="20"/>
                <w:szCs w:val="20"/>
              </w:rPr>
              <w:t>Bajina</w:t>
            </w:r>
            <w:proofErr w:type="spellEnd"/>
            <w:r w:rsidRPr="00FA3F57">
              <w:rPr>
                <w:sz w:val="20"/>
                <w:szCs w:val="20"/>
              </w:rPr>
              <w:t xml:space="preserve"> </w:t>
            </w:r>
            <w:proofErr w:type="spellStart"/>
            <w:r w:rsidRPr="00FA3F57">
              <w:rPr>
                <w:sz w:val="20"/>
                <w:szCs w:val="20"/>
              </w:rPr>
              <w:t>Bašta</w:t>
            </w:r>
            <w:proofErr w:type="spellEnd"/>
            <w:r w:rsidRPr="00FA3F57">
              <w:rPr>
                <w:sz w:val="20"/>
                <w:szCs w:val="20"/>
              </w:rPr>
              <w:t xml:space="preserve"> – TS Obrenovac and No. 204 TS </w:t>
            </w:r>
            <w:proofErr w:type="spellStart"/>
            <w:r w:rsidRPr="00FA3F57">
              <w:rPr>
                <w:sz w:val="20"/>
                <w:szCs w:val="20"/>
              </w:rPr>
              <w:t>Bajina</w:t>
            </w:r>
            <w:proofErr w:type="spellEnd"/>
            <w:r w:rsidRPr="00FA3F57">
              <w:rPr>
                <w:sz w:val="20"/>
                <w:szCs w:val="20"/>
              </w:rPr>
              <w:t xml:space="preserve"> </w:t>
            </w:r>
            <w:proofErr w:type="spellStart"/>
            <w:r w:rsidRPr="00FA3F57">
              <w:rPr>
                <w:sz w:val="20"/>
                <w:szCs w:val="20"/>
              </w:rPr>
              <w:t>Bašta</w:t>
            </w:r>
            <w:proofErr w:type="spellEnd"/>
            <w:r w:rsidRPr="00FA3F57">
              <w:rPr>
                <w:sz w:val="20"/>
                <w:szCs w:val="20"/>
              </w:rPr>
              <w:t xml:space="preserve"> -TS Belgrade 3 (reconnection)</w:t>
            </w:r>
          </w:p>
        </w:tc>
      </w:tr>
      <w:tr w:rsidR="0094644B" w:rsidRPr="00F07779" w14:paraId="09BDBE0B" w14:textId="77777777" w:rsidTr="00FB5086">
        <w:tc>
          <w:tcPr>
            <w:tcW w:w="2973" w:type="dxa"/>
          </w:tcPr>
          <w:p w14:paraId="4CC39DA6" w14:textId="77777777" w:rsidR="0094644B" w:rsidRPr="00FA3F57" w:rsidRDefault="0094644B" w:rsidP="00FB5086">
            <w:pPr>
              <w:rPr>
                <w:sz w:val="20"/>
                <w:szCs w:val="20"/>
              </w:rPr>
            </w:pPr>
            <w:r w:rsidRPr="00FA3F57">
              <w:rPr>
                <w:sz w:val="20"/>
                <w:szCs w:val="20"/>
              </w:rPr>
              <w:t>Short description of the investment</w:t>
            </w:r>
          </w:p>
        </w:tc>
        <w:tc>
          <w:tcPr>
            <w:tcW w:w="5669" w:type="dxa"/>
          </w:tcPr>
          <w:p w14:paraId="0783CE63" w14:textId="77777777" w:rsidR="0094644B" w:rsidRPr="00F07779" w:rsidRDefault="0094644B" w:rsidP="00FB5086">
            <w:pPr>
              <w:rPr>
                <w:sz w:val="20"/>
                <w:szCs w:val="20"/>
              </w:rPr>
            </w:pPr>
            <w:r w:rsidRPr="00F07779">
              <w:rPr>
                <w:sz w:val="20"/>
                <w:szCs w:val="20"/>
              </w:rPr>
              <w:t xml:space="preserve">Within this project, the construction of a new segment of the 220 kV OHL is planned, which would connect the routes of the existing 220 kV OHL No. 204 (TS Belgrade 3 – TS </w:t>
            </w:r>
            <w:proofErr w:type="spellStart"/>
            <w:r w:rsidRPr="00F07779">
              <w:rPr>
                <w:sz w:val="20"/>
                <w:szCs w:val="20"/>
              </w:rPr>
              <w:t>Bajina</w:t>
            </w:r>
            <w:proofErr w:type="spellEnd"/>
            <w:r w:rsidRPr="00F07779">
              <w:rPr>
                <w:sz w:val="20"/>
                <w:szCs w:val="20"/>
              </w:rPr>
              <w:t xml:space="preserve"> </w:t>
            </w:r>
            <w:proofErr w:type="spellStart"/>
            <w:r w:rsidRPr="00F07779">
              <w:rPr>
                <w:sz w:val="20"/>
                <w:szCs w:val="20"/>
              </w:rPr>
              <w:t>Bašta</w:t>
            </w:r>
            <w:proofErr w:type="spellEnd"/>
            <w:r w:rsidRPr="00F07779">
              <w:rPr>
                <w:sz w:val="20"/>
                <w:szCs w:val="20"/>
              </w:rPr>
              <w:t>) and No. 213/1 (TS Obrenovac – TS Valjevo 3). This project would establish a second direct connection between TS Belgrade 3 and TS Obrenovac, thereby improving the reliability of the transmission system operation in this region.</w:t>
            </w:r>
          </w:p>
          <w:p w14:paraId="669160B6" w14:textId="77777777" w:rsidR="0094644B" w:rsidRPr="00FA3F57" w:rsidRDefault="0094644B" w:rsidP="00FB5086">
            <w:pPr>
              <w:rPr>
                <w:sz w:val="20"/>
                <w:szCs w:val="20"/>
              </w:rPr>
            </w:pPr>
            <w:r w:rsidRPr="00FA3F57">
              <w:rPr>
                <w:sz w:val="20"/>
                <w:szCs w:val="20"/>
              </w:rPr>
              <w:t>Expected dynamics of project implementation:</w:t>
            </w:r>
          </w:p>
          <w:p w14:paraId="72382185" w14:textId="77777777" w:rsidR="0094644B" w:rsidRPr="00FA3F57" w:rsidRDefault="0094644B" w:rsidP="00FB5086">
            <w:pPr>
              <w:rPr>
                <w:sz w:val="20"/>
                <w:szCs w:val="20"/>
              </w:rPr>
            </w:pPr>
            <w:r w:rsidRPr="00FA3F57">
              <w:rPr>
                <w:sz w:val="20"/>
                <w:szCs w:val="20"/>
              </w:rPr>
              <w:t>2026. The beginning of the project</w:t>
            </w:r>
          </w:p>
          <w:p w14:paraId="6E6AF1BC" w14:textId="77777777" w:rsidR="0094644B" w:rsidRPr="00FA3F57" w:rsidRDefault="0094644B" w:rsidP="00FB5086">
            <w:pPr>
              <w:rPr>
                <w:sz w:val="20"/>
                <w:szCs w:val="20"/>
              </w:rPr>
            </w:pPr>
            <w:r w:rsidRPr="00FA3F57">
              <w:rPr>
                <w:sz w:val="20"/>
                <w:szCs w:val="20"/>
              </w:rPr>
              <w:lastRenderedPageBreak/>
              <w:t>2027. Preliminary design</w:t>
            </w:r>
          </w:p>
          <w:p w14:paraId="17C8B468" w14:textId="77777777" w:rsidR="0094644B" w:rsidRPr="00FA3F57" w:rsidRDefault="0094644B" w:rsidP="00FB5086">
            <w:pPr>
              <w:rPr>
                <w:sz w:val="20"/>
                <w:szCs w:val="20"/>
              </w:rPr>
            </w:pPr>
            <w:r w:rsidRPr="00FA3F57">
              <w:rPr>
                <w:sz w:val="20"/>
                <w:szCs w:val="20"/>
              </w:rPr>
              <w:t>2028.</w:t>
            </w:r>
            <w:r w:rsidRPr="00F07779">
              <w:rPr>
                <w:sz w:val="20"/>
                <w:szCs w:val="20"/>
              </w:rPr>
              <w:t xml:space="preserve"> </w:t>
            </w:r>
            <w:r w:rsidRPr="00FA3F57">
              <w:rPr>
                <w:sz w:val="20"/>
                <w:szCs w:val="20"/>
              </w:rPr>
              <w:t>Construction</w:t>
            </w:r>
          </w:p>
        </w:tc>
      </w:tr>
      <w:tr w:rsidR="0094644B" w:rsidRPr="00F07779" w14:paraId="7E695B4E" w14:textId="77777777" w:rsidTr="00FB5086">
        <w:tc>
          <w:tcPr>
            <w:tcW w:w="2973" w:type="dxa"/>
          </w:tcPr>
          <w:p w14:paraId="4F3071AE" w14:textId="77777777" w:rsidR="0094644B" w:rsidRPr="00FA3F57" w:rsidRDefault="0094644B" w:rsidP="00FB5086">
            <w:pPr>
              <w:rPr>
                <w:sz w:val="20"/>
                <w:szCs w:val="20"/>
              </w:rPr>
            </w:pPr>
            <w:r w:rsidRPr="00FA3F57">
              <w:rPr>
                <w:sz w:val="20"/>
                <w:szCs w:val="20"/>
              </w:rPr>
              <w:lastRenderedPageBreak/>
              <w:t>Institutions responsible for the implementation of measures and activities</w:t>
            </w:r>
          </w:p>
        </w:tc>
        <w:tc>
          <w:tcPr>
            <w:tcW w:w="5669" w:type="dxa"/>
          </w:tcPr>
          <w:p w14:paraId="1085F735" w14:textId="77777777" w:rsidR="0094644B" w:rsidRPr="00FA3F57" w:rsidRDefault="0094644B" w:rsidP="00FB5086">
            <w:pPr>
              <w:rPr>
                <w:sz w:val="20"/>
                <w:szCs w:val="20"/>
              </w:rPr>
            </w:pPr>
            <w:r w:rsidRPr="00FA3F57">
              <w:rPr>
                <w:sz w:val="20"/>
                <w:szCs w:val="20"/>
              </w:rPr>
              <w:t>EMS JSC Belgrade</w:t>
            </w:r>
          </w:p>
        </w:tc>
      </w:tr>
      <w:tr w:rsidR="0094644B" w:rsidRPr="00F07779" w14:paraId="270BCDDA" w14:textId="77777777" w:rsidTr="00FB5086">
        <w:tc>
          <w:tcPr>
            <w:tcW w:w="2973" w:type="dxa"/>
          </w:tcPr>
          <w:p w14:paraId="2AE0C23D" w14:textId="77777777" w:rsidR="0094644B" w:rsidRPr="00FA3F57" w:rsidRDefault="0094644B" w:rsidP="00FB5086">
            <w:pPr>
              <w:rPr>
                <w:sz w:val="20"/>
                <w:szCs w:val="20"/>
              </w:rPr>
            </w:pPr>
            <w:r w:rsidRPr="00FA3F57">
              <w:rPr>
                <w:sz w:val="20"/>
                <w:szCs w:val="20"/>
              </w:rPr>
              <w:t>Institutions responsible for monitoring implementation and reporting on the realization</w:t>
            </w:r>
          </w:p>
        </w:tc>
        <w:tc>
          <w:tcPr>
            <w:tcW w:w="5669" w:type="dxa"/>
          </w:tcPr>
          <w:p w14:paraId="0B885E3A" w14:textId="77777777" w:rsidR="0094644B" w:rsidRPr="00F07779" w:rsidRDefault="0094644B" w:rsidP="00FB5086">
            <w:pPr>
              <w:rPr>
                <w:sz w:val="20"/>
                <w:szCs w:val="20"/>
              </w:rPr>
            </w:pPr>
            <w:r w:rsidRPr="00FA3F57">
              <w:rPr>
                <w:sz w:val="20"/>
                <w:szCs w:val="20"/>
              </w:rPr>
              <w:t>EMS JSC Belgrade</w:t>
            </w:r>
          </w:p>
          <w:p w14:paraId="0993962A" w14:textId="77777777" w:rsidR="0094644B" w:rsidRPr="00FA3F57" w:rsidRDefault="0094644B" w:rsidP="00FB5086">
            <w:pPr>
              <w:rPr>
                <w:sz w:val="20"/>
                <w:szCs w:val="20"/>
              </w:rPr>
            </w:pPr>
            <w:r w:rsidRPr="00FA3F57">
              <w:rPr>
                <w:sz w:val="20"/>
                <w:szCs w:val="20"/>
              </w:rPr>
              <w:t>Republic Commission for Energy Networks</w:t>
            </w:r>
          </w:p>
          <w:p w14:paraId="7DF47A7B" w14:textId="77777777" w:rsidR="0094644B" w:rsidRPr="00FA3F57" w:rsidRDefault="0094644B" w:rsidP="00FB5086">
            <w:pPr>
              <w:rPr>
                <w:sz w:val="20"/>
                <w:szCs w:val="20"/>
              </w:rPr>
            </w:pPr>
            <w:r w:rsidRPr="00FA3F57">
              <w:rPr>
                <w:sz w:val="20"/>
                <w:szCs w:val="20"/>
              </w:rPr>
              <w:t>Ministry of Mining and Energy</w:t>
            </w:r>
          </w:p>
        </w:tc>
      </w:tr>
      <w:tr w:rsidR="0094644B" w:rsidRPr="00F07779" w14:paraId="21C48B1D" w14:textId="77777777" w:rsidTr="00FB5086">
        <w:tc>
          <w:tcPr>
            <w:tcW w:w="2973" w:type="dxa"/>
          </w:tcPr>
          <w:p w14:paraId="0AE4DFC4" w14:textId="77777777" w:rsidR="0094644B" w:rsidRPr="00FA3F57" w:rsidRDefault="0094644B" w:rsidP="00FB5086">
            <w:pPr>
              <w:rPr>
                <w:sz w:val="20"/>
                <w:szCs w:val="20"/>
              </w:rPr>
            </w:pPr>
            <w:r w:rsidRPr="00FA3F57">
              <w:rPr>
                <w:sz w:val="20"/>
                <w:szCs w:val="20"/>
              </w:rPr>
              <w:t>Year of the start of the investment</w:t>
            </w:r>
          </w:p>
        </w:tc>
        <w:tc>
          <w:tcPr>
            <w:tcW w:w="5669" w:type="dxa"/>
          </w:tcPr>
          <w:p w14:paraId="09692531" w14:textId="77777777" w:rsidR="0094644B" w:rsidRPr="00FA3F57" w:rsidRDefault="0094644B" w:rsidP="00FB5086">
            <w:pPr>
              <w:rPr>
                <w:sz w:val="20"/>
                <w:szCs w:val="20"/>
              </w:rPr>
            </w:pPr>
            <w:r w:rsidRPr="00FA3F57">
              <w:rPr>
                <w:sz w:val="20"/>
                <w:szCs w:val="20"/>
              </w:rPr>
              <w:t xml:space="preserve">2025. </w:t>
            </w:r>
          </w:p>
        </w:tc>
      </w:tr>
      <w:tr w:rsidR="0094644B" w:rsidRPr="00F07779" w14:paraId="4FA62922" w14:textId="77777777" w:rsidTr="00FB5086">
        <w:tc>
          <w:tcPr>
            <w:tcW w:w="2973" w:type="dxa"/>
          </w:tcPr>
          <w:p w14:paraId="0C19A7DD" w14:textId="77777777" w:rsidR="0094644B" w:rsidRPr="00FA3F57" w:rsidRDefault="0094644B" w:rsidP="00FB5086">
            <w:pPr>
              <w:rPr>
                <w:sz w:val="20"/>
                <w:szCs w:val="20"/>
              </w:rPr>
            </w:pPr>
            <w:r w:rsidRPr="00FA3F57">
              <w:rPr>
                <w:sz w:val="20"/>
                <w:szCs w:val="20"/>
              </w:rPr>
              <w:t>Year of completion of project funding</w:t>
            </w:r>
          </w:p>
        </w:tc>
        <w:tc>
          <w:tcPr>
            <w:tcW w:w="5669" w:type="dxa"/>
          </w:tcPr>
          <w:p w14:paraId="4F4971F8" w14:textId="77777777" w:rsidR="0094644B" w:rsidRPr="00FA3F57" w:rsidRDefault="0094644B" w:rsidP="00FB5086">
            <w:pPr>
              <w:rPr>
                <w:sz w:val="20"/>
                <w:szCs w:val="20"/>
              </w:rPr>
            </w:pPr>
            <w:r w:rsidRPr="00FA3F57">
              <w:rPr>
                <w:sz w:val="20"/>
                <w:szCs w:val="20"/>
              </w:rPr>
              <w:t>2028.</w:t>
            </w:r>
          </w:p>
        </w:tc>
      </w:tr>
      <w:tr w:rsidR="0094644B" w:rsidRPr="00F07779" w14:paraId="73EC79C2" w14:textId="77777777" w:rsidTr="00FB5086">
        <w:tc>
          <w:tcPr>
            <w:tcW w:w="2973" w:type="dxa"/>
          </w:tcPr>
          <w:p w14:paraId="3484E8BA" w14:textId="77777777" w:rsidR="0094644B" w:rsidRPr="00FA3F57" w:rsidRDefault="0094644B" w:rsidP="00FB5086">
            <w:pPr>
              <w:rPr>
                <w:sz w:val="20"/>
                <w:szCs w:val="20"/>
              </w:rPr>
            </w:pPr>
            <w:r w:rsidRPr="00FA3F57">
              <w:rPr>
                <w:sz w:val="20"/>
                <w:szCs w:val="20"/>
              </w:rPr>
              <w:t>Current estimated value of the investment</w:t>
            </w:r>
            <w:r w:rsidRPr="00FA3F57">
              <w:rPr>
                <w:sz w:val="20"/>
                <w:szCs w:val="20"/>
              </w:rPr>
              <w:br/>
              <w:t>(in thousands of RSD)</w:t>
            </w:r>
          </w:p>
        </w:tc>
        <w:tc>
          <w:tcPr>
            <w:tcW w:w="5669" w:type="dxa"/>
          </w:tcPr>
          <w:p w14:paraId="69E0E635" w14:textId="77777777" w:rsidR="0094644B" w:rsidRPr="00FA3F57" w:rsidRDefault="0094644B" w:rsidP="00FB5086">
            <w:pPr>
              <w:rPr>
                <w:sz w:val="20"/>
                <w:szCs w:val="20"/>
              </w:rPr>
            </w:pPr>
            <w:r w:rsidRPr="00FA3F57">
              <w:rPr>
                <w:sz w:val="20"/>
                <w:szCs w:val="20"/>
              </w:rPr>
              <w:t>70,350 (0.6 million EUR)</w:t>
            </w:r>
          </w:p>
        </w:tc>
      </w:tr>
      <w:tr w:rsidR="0094644B" w:rsidRPr="00F07779" w14:paraId="6C2C1137" w14:textId="77777777" w:rsidTr="00FB5086">
        <w:tc>
          <w:tcPr>
            <w:tcW w:w="2973" w:type="dxa"/>
          </w:tcPr>
          <w:p w14:paraId="52080701" w14:textId="77777777" w:rsidR="0094644B" w:rsidRPr="00FA3F57" w:rsidRDefault="0094644B" w:rsidP="00FB5086">
            <w:pPr>
              <w:rPr>
                <w:sz w:val="20"/>
                <w:szCs w:val="20"/>
              </w:rPr>
            </w:pPr>
            <w:r w:rsidRPr="00FA3F57">
              <w:rPr>
                <w:sz w:val="20"/>
                <w:szCs w:val="20"/>
              </w:rPr>
              <w:t>Planned investments for 2026.</w:t>
            </w:r>
            <w:r w:rsidRPr="00FA3F57">
              <w:rPr>
                <w:sz w:val="20"/>
                <w:szCs w:val="20"/>
              </w:rPr>
              <w:br/>
              <w:t>(in thousands of RSD)</w:t>
            </w:r>
          </w:p>
        </w:tc>
        <w:tc>
          <w:tcPr>
            <w:tcW w:w="5669" w:type="dxa"/>
          </w:tcPr>
          <w:p w14:paraId="19019133" w14:textId="77777777" w:rsidR="0094644B" w:rsidRPr="00FA3F57" w:rsidRDefault="0094644B" w:rsidP="00FB5086">
            <w:pPr>
              <w:rPr>
                <w:sz w:val="20"/>
                <w:szCs w:val="20"/>
              </w:rPr>
            </w:pPr>
            <w:r w:rsidRPr="00FA3F57">
              <w:rPr>
                <w:sz w:val="20"/>
                <w:szCs w:val="20"/>
              </w:rPr>
              <w:t>1,173</w:t>
            </w:r>
            <w:r w:rsidRPr="00FA3F57" w:rsidDel="007F2EF7">
              <w:rPr>
                <w:sz w:val="20"/>
                <w:szCs w:val="20"/>
              </w:rPr>
              <w:t xml:space="preserve"> </w:t>
            </w:r>
            <w:r w:rsidRPr="00FA3F57">
              <w:rPr>
                <w:sz w:val="20"/>
                <w:szCs w:val="20"/>
              </w:rPr>
              <w:t>(own funds of EMS JSC)</w:t>
            </w:r>
          </w:p>
        </w:tc>
      </w:tr>
      <w:tr w:rsidR="0094644B" w:rsidRPr="00F07779" w14:paraId="1C5F0D9E" w14:textId="77777777" w:rsidTr="00FB5086">
        <w:tc>
          <w:tcPr>
            <w:tcW w:w="2973" w:type="dxa"/>
          </w:tcPr>
          <w:p w14:paraId="719D53F4" w14:textId="77777777" w:rsidR="0094644B" w:rsidRPr="00FA3F57" w:rsidRDefault="0094644B" w:rsidP="00FB5086">
            <w:pPr>
              <w:rPr>
                <w:sz w:val="20"/>
                <w:szCs w:val="20"/>
              </w:rPr>
            </w:pPr>
            <w:r w:rsidRPr="00FA3F57">
              <w:rPr>
                <w:sz w:val="20"/>
                <w:szCs w:val="20"/>
              </w:rPr>
              <w:t>Planned investments for 2027.</w:t>
            </w:r>
            <w:r w:rsidRPr="00FA3F57">
              <w:rPr>
                <w:sz w:val="20"/>
                <w:szCs w:val="20"/>
              </w:rPr>
              <w:br/>
              <w:t>(in thousands of RSD)</w:t>
            </w:r>
          </w:p>
        </w:tc>
        <w:tc>
          <w:tcPr>
            <w:tcW w:w="5669" w:type="dxa"/>
          </w:tcPr>
          <w:p w14:paraId="3BAAA3EA" w14:textId="77777777" w:rsidR="0094644B" w:rsidRPr="00F07779" w:rsidRDefault="0094644B" w:rsidP="00FB5086">
            <w:pPr>
              <w:rPr>
                <w:sz w:val="20"/>
                <w:szCs w:val="20"/>
              </w:rPr>
            </w:pPr>
            <w:r w:rsidRPr="00FA3F57">
              <w:rPr>
                <w:sz w:val="20"/>
                <w:szCs w:val="20"/>
              </w:rPr>
              <w:t>9,936</w:t>
            </w:r>
            <w:r w:rsidRPr="00FA3F57" w:rsidDel="007F2EF7">
              <w:rPr>
                <w:sz w:val="20"/>
                <w:szCs w:val="20"/>
              </w:rPr>
              <w:t xml:space="preserve"> </w:t>
            </w:r>
            <w:r w:rsidRPr="00FA3F57">
              <w:rPr>
                <w:sz w:val="20"/>
                <w:szCs w:val="20"/>
              </w:rPr>
              <w:t>(own funds of EMS JSC)</w:t>
            </w:r>
          </w:p>
        </w:tc>
      </w:tr>
      <w:tr w:rsidR="0094644B" w:rsidRPr="00F07779" w14:paraId="4DD8D617" w14:textId="77777777" w:rsidTr="00FB5086">
        <w:tc>
          <w:tcPr>
            <w:tcW w:w="2973" w:type="dxa"/>
            <w:tcBorders>
              <w:bottom w:val="single" w:sz="4" w:space="0" w:color="auto"/>
            </w:tcBorders>
          </w:tcPr>
          <w:p w14:paraId="059A366D" w14:textId="77777777" w:rsidR="0094644B" w:rsidRPr="00FA3F57" w:rsidRDefault="0094644B" w:rsidP="00FB5086">
            <w:pPr>
              <w:rPr>
                <w:sz w:val="20"/>
                <w:szCs w:val="20"/>
              </w:rPr>
            </w:pPr>
            <w:r w:rsidRPr="00FA3F57">
              <w:rPr>
                <w:sz w:val="20"/>
                <w:szCs w:val="20"/>
              </w:rPr>
              <w:t>Planned investments for 2028.</w:t>
            </w:r>
            <w:r w:rsidRPr="00FA3F57">
              <w:rPr>
                <w:sz w:val="20"/>
                <w:szCs w:val="20"/>
              </w:rPr>
              <w:br/>
              <w:t>(in thousands of RSD)</w:t>
            </w:r>
          </w:p>
        </w:tc>
        <w:tc>
          <w:tcPr>
            <w:tcW w:w="5669" w:type="dxa"/>
            <w:tcBorders>
              <w:bottom w:val="single" w:sz="4" w:space="0" w:color="auto"/>
            </w:tcBorders>
          </w:tcPr>
          <w:p w14:paraId="0826A6C7" w14:textId="77777777" w:rsidR="0094644B" w:rsidRPr="00F07779" w:rsidRDefault="0094644B" w:rsidP="00FB5086">
            <w:pPr>
              <w:rPr>
                <w:sz w:val="20"/>
                <w:szCs w:val="20"/>
              </w:rPr>
            </w:pPr>
            <w:r w:rsidRPr="00FA3F57">
              <w:rPr>
                <w:sz w:val="20"/>
                <w:szCs w:val="20"/>
              </w:rPr>
              <w:t>58,546</w:t>
            </w:r>
            <w:r w:rsidRPr="00FA3F57" w:rsidDel="007F2EF7">
              <w:rPr>
                <w:sz w:val="20"/>
                <w:szCs w:val="20"/>
              </w:rPr>
              <w:t xml:space="preserve"> </w:t>
            </w:r>
            <w:r w:rsidRPr="00FA3F57">
              <w:rPr>
                <w:sz w:val="20"/>
                <w:szCs w:val="20"/>
              </w:rPr>
              <w:t>(own funds of EMS JSC)</w:t>
            </w:r>
          </w:p>
        </w:tc>
      </w:tr>
    </w:tbl>
    <w:p w14:paraId="129A1A3B" w14:textId="77777777" w:rsidR="0094644B" w:rsidRPr="00F07779" w:rsidRDefault="0094644B" w:rsidP="0094644B"/>
    <w:tbl>
      <w:tblPr>
        <w:tblStyle w:val="TableGrid"/>
        <w:tblW w:w="0" w:type="auto"/>
        <w:tblLook w:val="04A0" w:firstRow="1" w:lastRow="0" w:firstColumn="1" w:lastColumn="0" w:noHBand="0" w:noVBand="1"/>
      </w:tblPr>
      <w:tblGrid>
        <w:gridCol w:w="2973"/>
        <w:gridCol w:w="5669"/>
      </w:tblGrid>
      <w:tr w:rsidR="0094644B" w:rsidRPr="00F07779" w14:paraId="0C2789F9" w14:textId="77777777" w:rsidTr="00FB5086">
        <w:tc>
          <w:tcPr>
            <w:tcW w:w="2973" w:type="dxa"/>
            <w:tcBorders>
              <w:bottom w:val="single" w:sz="4" w:space="0" w:color="auto"/>
            </w:tcBorders>
            <w:shd w:val="clear" w:color="auto" w:fill="D0CECE" w:themeFill="background2" w:themeFillShade="E6"/>
          </w:tcPr>
          <w:p w14:paraId="3CED1629" w14:textId="77777777" w:rsidR="0094644B" w:rsidRPr="00FA3F57" w:rsidRDefault="0094644B" w:rsidP="00FB5086">
            <w:pPr>
              <w:keepNext/>
              <w:rPr>
                <w:sz w:val="20"/>
                <w:szCs w:val="20"/>
              </w:rPr>
            </w:pPr>
            <w:r w:rsidRPr="00FA3F57">
              <w:rPr>
                <w:sz w:val="20"/>
                <w:szCs w:val="20"/>
              </w:rPr>
              <w:t>Activity EL6.1</w:t>
            </w:r>
          </w:p>
        </w:tc>
        <w:tc>
          <w:tcPr>
            <w:tcW w:w="5669" w:type="dxa"/>
            <w:tcBorders>
              <w:bottom w:val="single" w:sz="4" w:space="0" w:color="auto"/>
            </w:tcBorders>
            <w:shd w:val="clear" w:color="auto" w:fill="D0CECE" w:themeFill="background2" w:themeFillShade="E6"/>
          </w:tcPr>
          <w:p w14:paraId="6E77FCBB" w14:textId="77777777" w:rsidR="0094644B" w:rsidRPr="00FA3F57" w:rsidRDefault="0094644B" w:rsidP="00FB5086">
            <w:pPr>
              <w:keepNext/>
              <w:rPr>
                <w:sz w:val="20"/>
                <w:szCs w:val="20"/>
              </w:rPr>
            </w:pPr>
            <w:r w:rsidRPr="00FA3F57">
              <w:rPr>
                <w:sz w:val="20"/>
                <w:szCs w:val="20"/>
              </w:rPr>
              <w:t>Increasing the reliability of the transmission system and the security of the consumer supply</w:t>
            </w:r>
          </w:p>
        </w:tc>
      </w:tr>
      <w:tr w:rsidR="0094644B" w:rsidRPr="00F07779" w14:paraId="09061BF8" w14:textId="77777777" w:rsidTr="00FB5086">
        <w:tc>
          <w:tcPr>
            <w:tcW w:w="2973" w:type="dxa"/>
            <w:tcBorders>
              <w:bottom w:val="single" w:sz="4" w:space="0" w:color="auto"/>
            </w:tcBorders>
            <w:shd w:val="clear" w:color="auto" w:fill="FFF2CC" w:themeFill="accent4" w:themeFillTint="33"/>
          </w:tcPr>
          <w:p w14:paraId="63E4C8A2" w14:textId="77777777" w:rsidR="0094644B" w:rsidRPr="00FA3F57" w:rsidRDefault="0094644B" w:rsidP="00FB5086">
            <w:pPr>
              <w:keepNext/>
              <w:rPr>
                <w:sz w:val="20"/>
                <w:szCs w:val="20"/>
              </w:rPr>
            </w:pPr>
            <w:r w:rsidRPr="00FA3F57">
              <w:rPr>
                <w:sz w:val="20"/>
                <w:szCs w:val="20"/>
              </w:rPr>
              <w:t>Name of the project</w:t>
            </w:r>
          </w:p>
        </w:tc>
        <w:tc>
          <w:tcPr>
            <w:tcW w:w="5669" w:type="dxa"/>
            <w:tcBorders>
              <w:bottom w:val="single" w:sz="4" w:space="0" w:color="auto"/>
            </w:tcBorders>
            <w:shd w:val="clear" w:color="auto" w:fill="FFF2CC" w:themeFill="accent4" w:themeFillTint="33"/>
          </w:tcPr>
          <w:p w14:paraId="5AF1CB03" w14:textId="77777777" w:rsidR="0094644B" w:rsidRPr="00FA3F57" w:rsidRDefault="0094644B" w:rsidP="00FB5086">
            <w:pPr>
              <w:keepNext/>
              <w:rPr>
                <w:sz w:val="20"/>
                <w:szCs w:val="20"/>
              </w:rPr>
            </w:pPr>
            <w:r w:rsidRPr="00FA3F57">
              <w:rPr>
                <w:sz w:val="20"/>
                <w:szCs w:val="20"/>
              </w:rPr>
              <w:t xml:space="preserve">Increasing the transmission capacity of the </w:t>
            </w:r>
            <w:proofErr w:type="spellStart"/>
            <w:r w:rsidRPr="00FA3F57">
              <w:rPr>
                <w:sz w:val="20"/>
                <w:szCs w:val="20"/>
              </w:rPr>
              <w:t>Bor</w:t>
            </w:r>
            <w:proofErr w:type="spellEnd"/>
            <w:r w:rsidRPr="00FA3F57">
              <w:rPr>
                <w:sz w:val="20"/>
                <w:szCs w:val="20"/>
              </w:rPr>
              <w:t xml:space="preserve"> region</w:t>
            </w:r>
          </w:p>
        </w:tc>
      </w:tr>
      <w:tr w:rsidR="0094644B" w:rsidRPr="00F07779" w14:paraId="3C44D6F8" w14:textId="77777777" w:rsidTr="00FB5086">
        <w:tc>
          <w:tcPr>
            <w:tcW w:w="2973" w:type="dxa"/>
            <w:tcBorders>
              <w:top w:val="single" w:sz="4" w:space="0" w:color="auto"/>
            </w:tcBorders>
            <w:shd w:val="clear" w:color="auto" w:fill="D9E2F3" w:themeFill="accent1" w:themeFillTint="33"/>
          </w:tcPr>
          <w:p w14:paraId="4A6B9F75" w14:textId="77777777" w:rsidR="0094644B" w:rsidRPr="00FA3F57" w:rsidRDefault="0094644B" w:rsidP="00FB5086">
            <w:pPr>
              <w:keepNext/>
              <w:rPr>
                <w:sz w:val="20"/>
                <w:szCs w:val="20"/>
              </w:rPr>
            </w:pPr>
            <w:r w:rsidRPr="00FA3F57">
              <w:rPr>
                <w:sz w:val="20"/>
                <w:szCs w:val="20"/>
              </w:rPr>
              <w:t>Name of the investment</w:t>
            </w:r>
          </w:p>
        </w:tc>
        <w:tc>
          <w:tcPr>
            <w:tcW w:w="5669" w:type="dxa"/>
            <w:tcBorders>
              <w:top w:val="single" w:sz="4" w:space="0" w:color="auto"/>
            </w:tcBorders>
            <w:shd w:val="clear" w:color="auto" w:fill="D9E2F3" w:themeFill="accent1" w:themeFillTint="33"/>
          </w:tcPr>
          <w:p w14:paraId="1DD12558" w14:textId="77777777" w:rsidR="0094644B" w:rsidRPr="00FA3F57" w:rsidRDefault="0094644B" w:rsidP="00FB5086">
            <w:pPr>
              <w:keepNext/>
              <w:rPr>
                <w:sz w:val="20"/>
                <w:szCs w:val="20"/>
              </w:rPr>
            </w:pPr>
            <w:r w:rsidRPr="00FA3F57">
              <w:rPr>
                <w:sz w:val="20"/>
                <w:szCs w:val="20"/>
              </w:rPr>
              <w:t xml:space="preserve">TS 400/110 </w:t>
            </w:r>
            <w:proofErr w:type="gramStart"/>
            <w:r w:rsidRPr="00FA3F57">
              <w:rPr>
                <w:sz w:val="20"/>
                <w:szCs w:val="20"/>
              </w:rPr>
              <w:t xml:space="preserve">kV  </w:t>
            </w:r>
            <w:proofErr w:type="spellStart"/>
            <w:r w:rsidRPr="00FA3F57">
              <w:rPr>
                <w:sz w:val="20"/>
                <w:szCs w:val="20"/>
              </w:rPr>
              <w:t>Bor</w:t>
            </w:r>
            <w:proofErr w:type="spellEnd"/>
            <w:proofErr w:type="gramEnd"/>
            <w:r w:rsidRPr="00FA3F57">
              <w:rPr>
                <w:sz w:val="20"/>
                <w:szCs w:val="20"/>
              </w:rPr>
              <w:t xml:space="preserve"> 6</w:t>
            </w:r>
          </w:p>
          <w:p w14:paraId="7B9272A3" w14:textId="77777777" w:rsidR="0094644B" w:rsidRPr="00FA3F57" w:rsidRDefault="0094644B" w:rsidP="00FB5086">
            <w:pPr>
              <w:keepNext/>
              <w:rPr>
                <w:sz w:val="20"/>
                <w:szCs w:val="20"/>
              </w:rPr>
            </w:pPr>
            <w:r w:rsidRPr="00FA3F57">
              <w:rPr>
                <w:sz w:val="20"/>
                <w:szCs w:val="20"/>
              </w:rPr>
              <w:t xml:space="preserve">OHL 400 kV, leading into TS </w:t>
            </w:r>
            <w:proofErr w:type="spellStart"/>
            <w:r w:rsidRPr="00FA3F57">
              <w:rPr>
                <w:sz w:val="20"/>
                <w:szCs w:val="20"/>
              </w:rPr>
              <w:t>Bor</w:t>
            </w:r>
            <w:proofErr w:type="spellEnd"/>
            <w:r w:rsidRPr="00FA3F57">
              <w:rPr>
                <w:sz w:val="20"/>
                <w:szCs w:val="20"/>
              </w:rPr>
              <w:t xml:space="preserve"> 6</w:t>
            </w:r>
          </w:p>
        </w:tc>
      </w:tr>
      <w:tr w:rsidR="0094644B" w:rsidRPr="00F07779" w14:paraId="1213C3AD" w14:textId="77777777" w:rsidTr="00FB5086">
        <w:tc>
          <w:tcPr>
            <w:tcW w:w="2973" w:type="dxa"/>
          </w:tcPr>
          <w:p w14:paraId="37F7B665" w14:textId="77777777" w:rsidR="0094644B" w:rsidRPr="00FA3F57" w:rsidRDefault="0094644B" w:rsidP="00FB5086">
            <w:pPr>
              <w:rPr>
                <w:sz w:val="20"/>
                <w:szCs w:val="20"/>
              </w:rPr>
            </w:pPr>
            <w:r w:rsidRPr="00FA3F57">
              <w:rPr>
                <w:sz w:val="20"/>
                <w:szCs w:val="20"/>
              </w:rPr>
              <w:t>Short description of the investment</w:t>
            </w:r>
          </w:p>
        </w:tc>
        <w:tc>
          <w:tcPr>
            <w:tcW w:w="5669" w:type="dxa"/>
          </w:tcPr>
          <w:p w14:paraId="351D136A" w14:textId="77777777" w:rsidR="0094644B" w:rsidRPr="00F07779" w:rsidRDefault="0094644B" w:rsidP="00FB5086">
            <w:pPr>
              <w:rPr>
                <w:sz w:val="20"/>
                <w:szCs w:val="20"/>
              </w:rPr>
            </w:pPr>
            <w:r w:rsidRPr="00FA3F57">
              <w:rPr>
                <w:sz w:val="20"/>
                <w:szCs w:val="20"/>
              </w:rPr>
              <w:t>This project envisages the construction of a new TS</w:t>
            </w:r>
            <w:r w:rsidRPr="00F07779">
              <w:rPr>
                <w:sz w:val="20"/>
                <w:szCs w:val="20"/>
              </w:rPr>
              <w:t xml:space="preserve"> </w:t>
            </w:r>
            <w:r w:rsidRPr="00FA3F57">
              <w:rPr>
                <w:sz w:val="20"/>
                <w:szCs w:val="20"/>
              </w:rPr>
              <w:t xml:space="preserve">400/110 kV </w:t>
            </w:r>
            <w:proofErr w:type="spellStart"/>
            <w:r w:rsidRPr="00FA3F57">
              <w:rPr>
                <w:sz w:val="20"/>
                <w:szCs w:val="20"/>
              </w:rPr>
              <w:t>Bor</w:t>
            </w:r>
            <w:proofErr w:type="spellEnd"/>
            <w:r w:rsidRPr="00FA3F57">
              <w:rPr>
                <w:sz w:val="20"/>
                <w:szCs w:val="20"/>
              </w:rPr>
              <w:t xml:space="preserve"> 6, as well as the construction of a 400 kV transmission line.</w:t>
            </w:r>
            <w:r w:rsidRPr="00F07779">
              <w:rPr>
                <w:sz w:val="20"/>
                <w:szCs w:val="20"/>
              </w:rPr>
              <w:t xml:space="preserve"> It is planned to split the OHL 400 kV SS TS </w:t>
            </w:r>
            <w:proofErr w:type="spellStart"/>
            <w:r w:rsidRPr="00F07779">
              <w:rPr>
                <w:sz w:val="20"/>
                <w:szCs w:val="20"/>
              </w:rPr>
              <w:t>Đerdap</w:t>
            </w:r>
            <w:proofErr w:type="spellEnd"/>
            <w:r w:rsidRPr="00F07779">
              <w:rPr>
                <w:sz w:val="20"/>
                <w:szCs w:val="20"/>
              </w:rPr>
              <w:t xml:space="preserve"> 1 - TS </w:t>
            </w:r>
            <w:proofErr w:type="spellStart"/>
            <w:r w:rsidRPr="00F07779">
              <w:rPr>
                <w:sz w:val="20"/>
                <w:szCs w:val="20"/>
              </w:rPr>
              <w:t>Drmno</w:t>
            </w:r>
            <w:proofErr w:type="spellEnd"/>
            <w:r w:rsidRPr="00F07779">
              <w:rPr>
                <w:sz w:val="20"/>
                <w:szCs w:val="20"/>
              </w:rPr>
              <w:t xml:space="preserve">, enabling its integration into the transmission system via TS </w:t>
            </w:r>
            <w:proofErr w:type="spellStart"/>
            <w:r w:rsidRPr="00F07779">
              <w:rPr>
                <w:sz w:val="20"/>
                <w:szCs w:val="20"/>
              </w:rPr>
              <w:t>Bor</w:t>
            </w:r>
            <w:proofErr w:type="spellEnd"/>
            <w:r w:rsidRPr="00F07779">
              <w:rPr>
                <w:sz w:val="20"/>
                <w:szCs w:val="20"/>
              </w:rPr>
              <w:t xml:space="preserve"> 6 and TS </w:t>
            </w:r>
            <w:proofErr w:type="spellStart"/>
            <w:r w:rsidRPr="00F07779">
              <w:rPr>
                <w:sz w:val="20"/>
                <w:szCs w:val="20"/>
              </w:rPr>
              <w:t>Bor</w:t>
            </w:r>
            <w:proofErr w:type="spellEnd"/>
            <w:r w:rsidRPr="00F07779">
              <w:rPr>
                <w:sz w:val="20"/>
                <w:szCs w:val="20"/>
              </w:rPr>
              <w:t xml:space="preserve"> 2. </w:t>
            </w:r>
            <w:r w:rsidRPr="00FA3F57">
              <w:rPr>
                <w:sz w:val="20"/>
                <w:szCs w:val="20"/>
              </w:rPr>
              <w:t xml:space="preserve">This would form the OHL 400 kV SS </w:t>
            </w:r>
            <w:proofErr w:type="spellStart"/>
            <w:r w:rsidRPr="00FA3F57">
              <w:rPr>
                <w:sz w:val="20"/>
                <w:szCs w:val="20"/>
              </w:rPr>
              <w:t>Đerdap</w:t>
            </w:r>
            <w:proofErr w:type="spellEnd"/>
            <w:r w:rsidRPr="00FA3F57">
              <w:rPr>
                <w:sz w:val="20"/>
                <w:szCs w:val="20"/>
              </w:rPr>
              <w:t xml:space="preserve"> 1 - TS </w:t>
            </w:r>
            <w:proofErr w:type="spellStart"/>
            <w:r w:rsidRPr="00FA3F57">
              <w:rPr>
                <w:sz w:val="20"/>
                <w:szCs w:val="20"/>
              </w:rPr>
              <w:t>Bor</w:t>
            </w:r>
            <w:proofErr w:type="spellEnd"/>
            <w:r w:rsidRPr="00FA3F57">
              <w:rPr>
                <w:sz w:val="20"/>
                <w:szCs w:val="20"/>
              </w:rPr>
              <w:t xml:space="preserve"> 6 and the OHL 400 kV SS </w:t>
            </w:r>
            <w:proofErr w:type="spellStart"/>
            <w:r w:rsidRPr="00FA3F57">
              <w:rPr>
                <w:sz w:val="20"/>
                <w:szCs w:val="20"/>
              </w:rPr>
              <w:t>Bor</w:t>
            </w:r>
            <w:proofErr w:type="spellEnd"/>
            <w:r w:rsidRPr="00FA3F57">
              <w:rPr>
                <w:sz w:val="20"/>
                <w:szCs w:val="20"/>
              </w:rPr>
              <w:t xml:space="preserve"> 2 - SS </w:t>
            </w:r>
            <w:proofErr w:type="spellStart"/>
            <w:r w:rsidRPr="00FA3F57">
              <w:rPr>
                <w:sz w:val="20"/>
                <w:szCs w:val="20"/>
              </w:rPr>
              <w:t>Drmno</w:t>
            </w:r>
            <w:proofErr w:type="spellEnd"/>
            <w:r w:rsidRPr="00FA3F57">
              <w:rPr>
                <w:sz w:val="20"/>
                <w:szCs w:val="20"/>
              </w:rPr>
              <w:t xml:space="preserve">. The leading of the OHL 400 kV SS </w:t>
            </w:r>
            <w:proofErr w:type="spellStart"/>
            <w:r w:rsidRPr="00FA3F57">
              <w:rPr>
                <w:sz w:val="20"/>
                <w:szCs w:val="20"/>
              </w:rPr>
              <w:t>Đerdap</w:t>
            </w:r>
            <w:proofErr w:type="spellEnd"/>
            <w:r w:rsidRPr="00FA3F57">
              <w:rPr>
                <w:sz w:val="20"/>
                <w:szCs w:val="20"/>
              </w:rPr>
              <w:t xml:space="preserve"> 1 - TS </w:t>
            </w:r>
            <w:proofErr w:type="spellStart"/>
            <w:r w:rsidRPr="00FA3F57">
              <w:rPr>
                <w:sz w:val="20"/>
                <w:szCs w:val="20"/>
              </w:rPr>
              <w:t>Bor</w:t>
            </w:r>
            <w:proofErr w:type="spellEnd"/>
            <w:r w:rsidRPr="00FA3F57">
              <w:rPr>
                <w:sz w:val="20"/>
                <w:szCs w:val="20"/>
              </w:rPr>
              <w:t xml:space="preserve"> 2 and the OHL 400 kV TS </w:t>
            </w:r>
            <w:proofErr w:type="spellStart"/>
            <w:r w:rsidRPr="00FA3F57">
              <w:rPr>
                <w:sz w:val="20"/>
                <w:szCs w:val="20"/>
              </w:rPr>
              <w:t>Bor</w:t>
            </w:r>
            <w:proofErr w:type="spellEnd"/>
            <w:r w:rsidRPr="00FA3F57">
              <w:rPr>
                <w:sz w:val="20"/>
                <w:szCs w:val="20"/>
              </w:rPr>
              <w:t xml:space="preserve"> 2 - </w:t>
            </w:r>
            <w:proofErr w:type="spellStart"/>
            <w:r w:rsidRPr="00FA3F57">
              <w:rPr>
                <w:sz w:val="20"/>
                <w:szCs w:val="20"/>
              </w:rPr>
              <w:t>Niš</w:t>
            </w:r>
            <w:proofErr w:type="spellEnd"/>
            <w:r w:rsidRPr="00FA3F57">
              <w:rPr>
                <w:sz w:val="20"/>
                <w:szCs w:val="20"/>
              </w:rPr>
              <w:t xml:space="preserve"> 2 into TS </w:t>
            </w:r>
            <w:proofErr w:type="spellStart"/>
            <w:r w:rsidRPr="00FA3F57">
              <w:rPr>
                <w:sz w:val="20"/>
                <w:szCs w:val="20"/>
              </w:rPr>
              <w:t>Bor</w:t>
            </w:r>
            <w:proofErr w:type="spellEnd"/>
            <w:r w:rsidRPr="00FA3F57">
              <w:rPr>
                <w:sz w:val="20"/>
                <w:szCs w:val="20"/>
              </w:rPr>
              <w:t xml:space="preserve"> 6 is also planned.</w:t>
            </w:r>
            <w:r w:rsidRPr="00FA3F57">
              <w:rPr>
                <w:sz w:val="20"/>
                <w:szCs w:val="20"/>
              </w:rPr>
              <w:br/>
            </w:r>
            <w:r w:rsidRPr="00F07779">
              <w:rPr>
                <w:sz w:val="20"/>
                <w:szCs w:val="20"/>
              </w:rPr>
              <w:t xml:space="preserve">The project has been declared a project of special importance by the Decision of the Government of the Republic of Serbia, due to the planned industrial development of the </w:t>
            </w:r>
            <w:proofErr w:type="spellStart"/>
            <w:r w:rsidRPr="00F07779">
              <w:rPr>
                <w:sz w:val="20"/>
                <w:szCs w:val="20"/>
              </w:rPr>
              <w:t>Bor</w:t>
            </w:r>
            <w:proofErr w:type="spellEnd"/>
            <w:r w:rsidRPr="00F07779">
              <w:rPr>
                <w:sz w:val="20"/>
                <w:szCs w:val="20"/>
              </w:rPr>
              <w:t xml:space="preserve"> region resulting from the announced connection of new mining capacities.</w:t>
            </w:r>
          </w:p>
          <w:p w14:paraId="377E915D" w14:textId="77777777" w:rsidR="0094644B" w:rsidRPr="00FA3F57" w:rsidRDefault="0094644B" w:rsidP="00FB5086">
            <w:pPr>
              <w:rPr>
                <w:sz w:val="20"/>
                <w:szCs w:val="20"/>
              </w:rPr>
            </w:pPr>
            <w:r w:rsidRPr="00FA3F57">
              <w:rPr>
                <w:sz w:val="20"/>
                <w:szCs w:val="20"/>
              </w:rPr>
              <w:t>Expected dynamics of project implementation:</w:t>
            </w:r>
          </w:p>
          <w:p w14:paraId="0D9B7E0C" w14:textId="77777777" w:rsidR="0094644B" w:rsidRPr="00FA3F57" w:rsidRDefault="0094644B" w:rsidP="00FB5086">
            <w:pPr>
              <w:rPr>
                <w:sz w:val="20"/>
                <w:szCs w:val="20"/>
              </w:rPr>
            </w:pPr>
            <w:r w:rsidRPr="00FA3F57">
              <w:rPr>
                <w:sz w:val="20"/>
                <w:szCs w:val="20"/>
              </w:rPr>
              <w:t>2026.</w:t>
            </w:r>
            <w:r w:rsidRPr="00F07779">
              <w:rPr>
                <w:sz w:val="20"/>
                <w:szCs w:val="20"/>
              </w:rPr>
              <w:t xml:space="preserve"> </w:t>
            </w:r>
            <w:r w:rsidRPr="00FA3F57">
              <w:rPr>
                <w:sz w:val="20"/>
                <w:szCs w:val="20"/>
              </w:rPr>
              <w:t>Construction</w:t>
            </w:r>
          </w:p>
          <w:p w14:paraId="213F3CFF" w14:textId="77777777" w:rsidR="0094644B" w:rsidRPr="00FA3F57" w:rsidRDefault="0094644B" w:rsidP="00FB5086">
            <w:pPr>
              <w:rPr>
                <w:sz w:val="20"/>
                <w:szCs w:val="20"/>
              </w:rPr>
            </w:pPr>
            <w:r w:rsidRPr="00FA3F57">
              <w:rPr>
                <w:sz w:val="20"/>
                <w:szCs w:val="20"/>
              </w:rPr>
              <w:t>2027.</w:t>
            </w:r>
            <w:r w:rsidRPr="00F07779">
              <w:rPr>
                <w:sz w:val="20"/>
                <w:szCs w:val="20"/>
              </w:rPr>
              <w:t xml:space="preserve"> </w:t>
            </w:r>
            <w:r w:rsidRPr="00FA3F57">
              <w:rPr>
                <w:sz w:val="20"/>
                <w:szCs w:val="20"/>
              </w:rPr>
              <w:t>Construction</w:t>
            </w:r>
          </w:p>
        </w:tc>
      </w:tr>
      <w:tr w:rsidR="0094644B" w:rsidRPr="00F07779" w14:paraId="61B226DE" w14:textId="77777777" w:rsidTr="00FB5086">
        <w:tc>
          <w:tcPr>
            <w:tcW w:w="2973" w:type="dxa"/>
          </w:tcPr>
          <w:p w14:paraId="1B4690CD" w14:textId="77777777" w:rsidR="0094644B" w:rsidRPr="00FA3F57" w:rsidRDefault="0094644B" w:rsidP="00FB5086">
            <w:pPr>
              <w:rPr>
                <w:sz w:val="20"/>
                <w:szCs w:val="20"/>
              </w:rPr>
            </w:pPr>
            <w:r w:rsidRPr="00FA3F57">
              <w:rPr>
                <w:sz w:val="20"/>
                <w:szCs w:val="20"/>
              </w:rPr>
              <w:t>Institutions responsible for the implementation of measures and activities</w:t>
            </w:r>
          </w:p>
        </w:tc>
        <w:tc>
          <w:tcPr>
            <w:tcW w:w="5669" w:type="dxa"/>
          </w:tcPr>
          <w:p w14:paraId="7D2DD0DA" w14:textId="77777777" w:rsidR="0094644B" w:rsidRPr="00FA3F57" w:rsidRDefault="0094644B" w:rsidP="00FB5086">
            <w:pPr>
              <w:rPr>
                <w:sz w:val="20"/>
                <w:szCs w:val="20"/>
              </w:rPr>
            </w:pPr>
            <w:r w:rsidRPr="00FA3F57">
              <w:rPr>
                <w:sz w:val="20"/>
                <w:szCs w:val="20"/>
              </w:rPr>
              <w:t>EMS JSC Belgrade</w:t>
            </w:r>
          </w:p>
        </w:tc>
      </w:tr>
      <w:tr w:rsidR="0094644B" w:rsidRPr="00F07779" w14:paraId="017D1571" w14:textId="77777777" w:rsidTr="00FB5086">
        <w:tc>
          <w:tcPr>
            <w:tcW w:w="2973" w:type="dxa"/>
          </w:tcPr>
          <w:p w14:paraId="0A89ED3E" w14:textId="77777777" w:rsidR="0094644B" w:rsidRPr="00FA3F57" w:rsidRDefault="0094644B" w:rsidP="00FB5086">
            <w:pPr>
              <w:rPr>
                <w:sz w:val="20"/>
                <w:szCs w:val="20"/>
              </w:rPr>
            </w:pPr>
            <w:r w:rsidRPr="00FA3F57">
              <w:rPr>
                <w:sz w:val="20"/>
                <w:szCs w:val="20"/>
              </w:rPr>
              <w:t>Institutions responsible for monitoring implementation and reporting on the realization</w:t>
            </w:r>
          </w:p>
        </w:tc>
        <w:tc>
          <w:tcPr>
            <w:tcW w:w="5669" w:type="dxa"/>
          </w:tcPr>
          <w:p w14:paraId="685F07C9" w14:textId="77777777" w:rsidR="0094644B" w:rsidRPr="00F07779" w:rsidRDefault="0094644B" w:rsidP="00FB5086">
            <w:pPr>
              <w:rPr>
                <w:sz w:val="20"/>
                <w:szCs w:val="20"/>
              </w:rPr>
            </w:pPr>
            <w:r w:rsidRPr="00FA3F57">
              <w:rPr>
                <w:sz w:val="20"/>
                <w:szCs w:val="20"/>
              </w:rPr>
              <w:t>EMS JSC Belgrade</w:t>
            </w:r>
          </w:p>
          <w:p w14:paraId="20BAA6ED" w14:textId="77777777" w:rsidR="0094644B" w:rsidRPr="00F07779" w:rsidRDefault="0094644B" w:rsidP="00FB5086">
            <w:pPr>
              <w:rPr>
                <w:sz w:val="20"/>
                <w:szCs w:val="20"/>
              </w:rPr>
            </w:pPr>
            <w:r w:rsidRPr="00FA3F57">
              <w:rPr>
                <w:sz w:val="20"/>
                <w:szCs w:val="20"/>
              </w:rPr>
              <w:t>Republic Commission for Energy Networks</w:t>
            </w:r>
          </w:p>
          <w:p w14:paraId="33A2A412" w14:textId="77777777" w:rsidR="0094644B" w:rsidRPr="00FA3F57" w:rsidRDefault="0094644B" w:rsidP="00FB5086">
            <w:pPr>
              <w:rPr>
                <w:sz w:val="20"/>
                <w:szCs w:val="20"/>
              </w:rPr>
            </w:pPr>
            <w:r w:rsidRPr="00FA3F57">
              <w:rPr>
                <w:sz w:val="20"/>
                <w:szCs w:val="20"/>
              </w:rPr>
              <w:t>Ministry of Mining and Energy</w:t>
            </w:r>
          </w:p>
        </w:tc>
      </w:tr>
      <w:tr w:rsidR="0094644B" w:rsidRPr="00F07779" w14:paraId="7957F35A" w14:textId="77777777" w:rsidTr="00FB5086">
        <w:tc>
          <w:tcPr>
            <w:tcW w:w="2973" w:type="dxa"/>
          </w:tcPr>
          <w:p w14:paraId="36AC4DCB" w14:textId="77777777" w:rsidR="0094644B" w:rsidRPr="00FA3F57" w:rsidRDefault="0094644B" w:rsidP="00FB5086">
            <w:pPr>
              <w:rPr>
                <w:sz w:val="20"/>
                <w:szCs w:val="20"/>
              </w:rPr>
            </w:pPr>
            <w:r w:rsidRPr="00FA3F57">
              <w:rPr>
                <w:sz w:val="20"/>
                <w:szCs w:val="20"/>
              </w:rPr>
              <w:t>Year of the start of the investment</w:t>
            </w:r>
          </w:p>
        </w:tc>
        <w:tc>
          <w:tcPr>
            <w:tcW w:w="5669" w:type="dxa"/>
          </w:tcPr>
          <w:p w14:paraId="0B313200" w14:textId="77777777" w:rsidR="0094644B" w:rsidRPr="00FA3F57" w:rsidRDefault="0094644B" w:rsidP="00FB5086">
            <w:pPr>
              <w:rPr>
                <w:sz w:val="20"/>
                <w:szCs w:val="20"/>
              </w:rPr>
            </w:pPr>
            <w:r w:rsidRPr="00FA3F57">
              <w:rPr>
                <w:sz w:val="20"/>
                <w:szCs w:val="20"/>
              </w:rPr>
              <w:t xml:space="preserve">2022. </w:t>
            </w:r>
          </w:p>
        </w:tc>
      </w:tr>
      <w:tr w:rsidR="0094644B" w:rsidRPr="00F07779" w14:paraId="608B19EE" w14:textId="77777777" w:rsidTr="00FB5086">
        <w:tc>
          <w:tcPr>
            <w:tcW w:w="2973" w:type="dxa"/>
          </w:tcPr>
          <w:p w14:paraId="3E1FBD3B" w14:textId="77777777" w:rsidR="0094644B" w:rsidRPr="00FA3F57" w:rsidRDefault="0094644B" w:rsidP="00FB5086">
            <w:pPr>
              <w:rPr>
                <w:sz w:val="20"/>
                <w:szCs w:val="20"/>
              </w:rPr>
            </w:pPr>
            <w:r w:rsidRPr="00FA3F57">
              <w:rPr>
                <w:sz w:val="20"/>
                <w:szCs w:val="20"/>
              </w:rPr>
              <w:t>Year of completion of project funding</w:t>
            </w:r>
          </w:p>
        </w:tc>
        <w:tc>
          <w:tcPr>
            <w:tcW w:w="5669" w:type="dxa"/>
          </w:tcPr>
          <w:p w14:paraId="62AB4BE2" w14:textId="77777777" w:rsidR="0094644B" w:rsidRPr="00FA3F57" w:rsidRDefault="0094644B" w:rsidP="00FB5086">
            <w:pPr>
              <w:rPr>
                <w:sz w:val="20"/>
                <w:szCs w:val="20"/>
              </w:rPr>
            </w:pPr>
            <w:r w:rsidRPr="00FA3F57">
              <w:rPr>
                <w:sz w:val="20"/>
                <w:szCs w:val="20"/>
              </w:rPr>
              <w:t>2027.</w:t>
            </w:r>
          </w:p>
        </w:tc>
      </w:tr>
      <w:tr w:rsidR="0094644B" w:rsidRPr="00F07779" w14:paraId="22A9A500" w14:textId="77777777" w:rsidTr="00FB5086">
        <w:tc>
          <w:tcPr>
            <w:tcW w:w="2973" w:type="dxa"/>
          </w:tcPr>
          <w:p w14:paraId="536EB0D4" w14:textId="77777777" w:rsidR="0094644B" w:rsidRPr="00FA3F57" w:rsidRDefault="0094644B" w:rsidP="00FB5086">
            <w:pPr>
              <w:rPr>
                <w:sz w:val="20"/>
                <w:szCs w:val="20"/>
              </w:rPr>
            </w:pPr>
            <w:r w:rsidRPr="00FA3F57">
              <w:rPr>
                <w:sz w:val="20"/>
                <w:szCs w:val="20"/>
              </w:rPr>
              <w:t>Current estimated value of the investment</w:t>
            </w:r>
            <w:r w:rsidRPr="00FA3F57">
              <w:rPr>
                <w:sz w:val="20"/>
                <w:szCs w:val="20"/>
              </w:rPr>
              <w:br/>
              <w:t>(in thousands of RSD)</w:t>
            </w:r>
          </w:p>
        </w:tc>
        <w:tc>
          <w:tcPr>
            <w:tcW w:w="5669" w:type="dxa"/>
          </w:tcPr>
          <w:p w14:paraId="58828809" w14:textId="77777777" w:rsidR="0094644B" w:rsidRPr="00FA3F57" w:rsidRDefault="0094644B" w:rsidP="00FB5086">
            <w:pPr>
              <w:rPr>
                <w:sz w:val="20"/>
                <w:szCs w:val="20"/>
              </w:rPr>
            </w:pPr>
            <w:r w:rsidRPr="00FA3F57">
              <w:rPr>
                <w:sz w:val="20"/>
                <w:szCs w:val="20"/>
              </w:rPr>
              <w:t>9,450,350 (80.6 million EUR)</w:t>
            </w:r>
          </w:p>
        </w:tc>
      </w:tr>
      <w:tr w:rsidR="0094644B" w:rsidRPr="00F07779" w14:paraId="60187DE9" w14:textId="77777777" w:rsidTr="00FB5086">
        <w:tc>
          <w:tcPr>
            <w:tcW w:w="2973" w:type="dxa"/>
          </w:tcPr>
          <w:p w14:paraId="612BC1C5" w14:textId="77777777" w:rsidR="0094644B" w:rsidRPr="00FA3F57" w:rsidRDefault="0094644B" w:rsidP="00FB5086">
            <w:pPr>
              <w:rPr>
                <w:sz w:val="20"/>
                <w:szCs w:val="20"/>
              </w:rPr>
            </w:pPr>
            <w:r w:rsidRPr="00FA3F57">
              <w:rPr>
                <w:sz w:val="20"/>
                <w:szCs w:val="20"/>
              </w:rPr>
              <w:t>Planned investments for 2026.</w:t>
            </w:r>
            <w:r w:rsidRPr="00FA3F57">
              <w:rPr>
                <w:sz w:val="20"/>
                <w:szCs w:val="20"/>
              </w:rPr>
              <w:br/>
              <w:t>(in thousands of RSD)</w:t>
            </w:r>
          </w:p>
        </w:tc>
        <w:tc>
          <w:tcPr>
            <w:tcW w:w="5669" w:type="dxa"/>
          </w:tcPr>
          <w:p w14:paraId="66B59B6C" w14:textId="77777777" w:rsidR="0094644B" w:rsidRPr="00FA3F57" w:rsidRDefault="0094644B" w:rsidP="00FB5086">
            <w:pPr>
              <w:rPr>
                <w:sz w:val="20"/>
                <w:szCs w:val="20"/>
              </w:rPr>
            </w:pPr>
            <w:r w:rsidRPr="00FA3F57">
              <w:rPr>
                <w:sz w:val="20"/>
                <w:szCs w:val="20"/>
              </w:rPr>
              <w:t>0</w:t>
            </w:r>
          </w:p>
        </w:tc>
      </w:tr>
      <w:tr w:rsidR="0094644B" w:rsidRPr="00F07779" w14:paraId="38A9025E" w14:textId="77777777" w:rsidTr="00FB5086">
        <w:tc>
          <w:tcPr>
            <w:tcW w:w="2973" w:type="dxa"/>
          </w:tcPr>
          <w:p w14:paraId="26A34144" w14:textId="77777777" w:rsidR="0094644B" w:rsidRPr="00FA3F57" w:rsidRDefault="0094644B" w:rsidP="00FB5086">
            <w:pPr>
              <w:rPr>
                <w:sz w:val="20"/>
                <w:szCs w:val="20"/>
              </w:rPr>
            </w:pPr>
            <w:r w:rsidRPr="00FA3F57">
              <w:rPr>
                <w:sz w:val="20"/>
                <w:szCs w:val="20"/>
              </w:rPr>
              <w:t>Planned investments for 2027.</w:t>
            </w:r>
            <w:r w:rsidRPr="00FA3F57">
              <w:rPr>
                <w:sz w:val="20"/>
                <w:szCs w:val="20"/>
              </w:rPr>
              <w:br/>
              <w:t>(in thousands of RSD)</w:t>
            </w:r>
          </w:p>
        </w:tc>
        <w:tc>
          <w:tcPr>
            <w:tcW w:w="5669" w:type="dxa"/>
          </w:tcPr>
          <w:p w14:paraId="600B9D93" w14:textId="77777777" w:rsidR="0094644B" w:rsidRPr="00FA3F57" w:rsidRDefault="0094644B" w:rsidP="00FB5086">
            <w:pPr>
              <w:rPr>
                <w:sz w:val="20"/>
                <w:szCs w:val="20"/>
              </w:rPr>
            </w:pPr>
            <w:r w:rsidRPr="00FA3F57">
              <w:rPr>
                <w:sz w:val="20"/>
                <w:szCs w:val="20"/>
              </w:rPr>
              <w:t>9,450,350 (system user funds)</w:t>
            </w:r>
          </w:p>
        </w:tc>
      </w:tr>
      <w:tr w:rsidR="0094644B" w:rsidRPr="00F07779" w14:paraId="0791201B" w14:textId="77777777" w:rsidTr="00FB5086">
        <w:tc>
          <w:tcPr>
            <w:tcW w:w="2973" w:type="dxa"/>
          </w:tcPr>
          <w:p w14:paraId="46CCB48D" w14:textId="77777777" w:rsidR="0094644B" w:rsidRPr="00FA3F57" w:rsidRDefault="0094644B" w:rsidP="00FB5086">
            <w:pPr>
              <w:rPr>
                <w:sz w:val="20"/>
                <w:szCs w:val="20"/>
              </w:rPr>
            </w:pPr>
            <w:r w:rsidRPr="00FA3F57">
              <w:rPr>
                <w:sz w:val="20"/>
                <w:szCs w:val="20"/>
              </w:rPr>
              <w:t>Planned investments for 2028.</w:t>
            </w:r>
            <w:r w:rsidRPr="00FA3F57">
              <w:rPr>
                <w:sz w:val="20"/>
                <w:szCs w:val="20"/>
              </w:rPr>
              <w:br/>
              <w:t>(in thousands of RSD)</w:t>
            </w:r>
          </w:p>
        </w:tc>
        <w:tc>
          <w:tcPr>
            <w:tcW w:w="5669" w:type="dxa"/>
          </w:tcPr>
          <w:p w14:paraId="36376E59" w14:textId="77777777" w:rsidR="0094644B" w:rsidRPr="00FA3F57" w:rsidRDefault="0094644B" w:rsidP="00FB5086">
            <w:pPr>
              <w:rPr>
                <w:sz w:val="20"/>
                <w:szCs w:val="20"/>
              </w:rPr>
            </w:pPr>
            <w:r w:rsidRPr="00FA3F57">
              <w:rPr>
                <w:sz w:val="20"/>
                <w:szCs w:val="20"/>
              </w:rPr>
              <w:t>0</w:t>
            </w:r>
          </w:p>
        </w:tc>
      </w:tr>
    </w:tbl>
    <w:p w14:paraId="65896221" w14:textId="77777777" w:rsidR="0094644B" w:rsidRPr="00F07779" w:rsidRDefault="0094644B" w:rsidP="0094644B"/>
    <w:tbl>
      <w:tblPr>
        <w:tblStyle w:val="TableGrid"/>
        <w:tblW w:w="0" w:type="auto"/>
        <w:tblLook w:val="04A0" w:firstRow="1" w:lastRow="0" w:firstColumn="1" w:lastColumn="0" w:noHBand="0" w:noVBand="1"/>
      </w:tblPr>
      <w:tblGrid>
        <w:gridCol w:w="2973"/>
        <w:gridCol w:w="5669"/>
      </w:tblGrid>
      <w:tr w:rsidR="0094644B" w:rsidRPr="00F07779" w14:paraId="16CC07BC" w14:textId="77777777" w:rsidTr="00FB5086">
        <w:tc>
          <w:tcPr>
            <w:tcW w:w="2973" w:type="dxa"/>
            <w:shd w:val="clear" w:color="auto" w:fill="D0CECE" w:themeFill="background2" w:themeFillShade="E6"/>
          </w:tcPr>
          <w:p w14:paraId="62868046" w14:textId="77777777" w:rsidR="0094644B" w:rsidRPr="00FA3F57" w:rsidRDefault="0094644B" w:rsidP="00FB5086">
            <w:pPr>
              <w:keepNext/>
              <w:rPr>
                <w:sz w:val="20"/>
                <w:szCs w:val="20"/>
              </w:rPr>
            </w:pPr>
            <w:r w:rsidRPr="00FA3F57">
              <w:rPr>
                <w:sz w:val="20"/>
                <w:szCs w:val="20"/>
              </w:rPr>
              <w:lastRenderedPageBreak/>
              <w:t>Activity EL6.1</w:t>
            </w:r>
          </w:p>
        </w:tc>
        <w:tc>
          <w:tcPr>
            <w:tcW w:w="5669" w:type="dxa"/>
            <w:shd w:val="clear" w:color="auto" w:fill="D0CECE" w:themeFill="background2" w:themeFillShade="E6"/>
          </w:tcPr>
          <w:p w14:paraId="5CF3FA09" w14:textId="77777777" w:rsidR="0094644B" w:rsidRPr="00FA3F57" w:rsidRDefault="0094644B" w:rsidP="00FB5086">
            <w:pPr>
              <w:keepNext/>
              <w:rPr>
                <w:sz w:val="20"/>
                <w:szCs w:val="20"/>
              </w:rPr>
            </w:pPr>
            <w:r w:rsidRPr="00FA3F57">
              <w:rPr>
                <w:sz w:val="20"/>
                <w:szCs w:val="20"/>
              </w:rPr>
              <w:t>Increasing the reliability of the transmission system and the security of the consumer supply</w:t>
            </w:r>
          </w:p>
        </w:tc>
      </w:tr>
      <w:tr w:rsidR="0094644B" w:rsidRPr="00F07779" w14:paraId="25AA2C3F" w14:textId="77777777" w:rsidTr="00FB5086">
        <w:tc>
          <w:tcPr>
            <w:tcW w:w="2973" w:type="dxa"/>
            <w:shd w:val="clear" w:color="auto" w:fill="FFF2CC" w:themeFill="accent4" w:themeFillTint="33"/>
            <w:hideMark/>
          </w:tcPr>
          <w:p w14:paraId="2C517052" w14:textId="77777777" w:rsidR="0094644B" w:rsidRPr="00FA3F57" w:rsidRDefault="0094644B" w:rsidP="00FB5086">
            <w:pPr>
              <w:keepNext/>
              <w:rPr>
                <w:sz w:val="20"/>
                <w:szCs w:val="20"/>
              </w:rPr>
            </w:pPr>
            <w:r w:rsidRPr="00FA3F57">
              <w:rPr>
                <w:sz w:val="20"/>
                <w:szCs w:val="20"/>
              </w:rPr>
              <w:t>Name of the project</w:t>
            </w:r>
          </w:p>
        </w:tc>
        <w:tc>
          <w:tcPr>
            <w:tcW w:w="5669" w:type="dxa"/>
            <w:shd w:val="clear" w:color="auto" w:fill="FFF2CC" w:themeFill="accent4" w:themeFillTint="33"/>
          </w:tcPr>
          <w:p w14:paraId="4B4EB608" w14:textId="77777777" w:rsidR="0094644B" w:rsidRPr="00FA3F57" w:rsidRDefault="0094644B" w:rsidP="00FB5086">
            <w:pPr>
              <w:keepNext/>
              <w:rPr>
                <w:sz w:val="20"/>
                <w:szCs w:val="20"/>
              </w:rPr>
            </w:pPr>
            <w:r w:rsidRPr="00FA3F57">
              <w:rPr>
                <w:sz w:val="20"/>
                <w:szCs w:val="20"/>
              </w:rPr>
              <w:t xml:space="preserve">Strengthening the transmission network </w:t>
            </w:r>
            <w:proofErr w:type="gramStart"/>
            <w:r w:rsidRPr="00FA3F57">
              <w:rPr>
                <w:sz w:val="20"/>
                <w:szCs w:val="20"/>
              </w:rPr>
              <w:t>in the area of</w:t>
            </w:r>
            <w:proofErr w:type="gramEnd"/>
            <w:r w:rsidRPr="00FA3F57">
              <w:rPr>
                <w:sz w:val="20"/>
                <w:szCs w:val="20"/>
              </w:rPr>
              <w:t xml:space="preserve"> </w:t>
            </w:r>
            <w:proofErr w:type="spellStart"/>
            <w:r w:rsidRPr="00FA3F57">
              <w:rPr>
                <w:sz w:val="20"/>
                <w:szCs w:val="20"/>
              </w:rPr>
              <w:t>Inđija</w:t>
            </w:r>
            <w:proofErr w:type="spellEnd"/>
            <w:r w:rsidRPr="00FA3F57">
              <w:rPr>
                <w:sz w:val="20"/>
                <w:szCs w:val="20"/>
              </w:rPr>
              <w:t xml:space="preserve"> and Stara </w:t>
            </w:r>
            <w:proofErr w:type="spellStart"/>
            <w:r w:rsidRPr="00FA3F57">
              <w:rPr>
                <w:sz w:val="20"/>
                <w:szCs w:val="20"/>
              </w:rPr>
              <w:t>Pazova</w:t>
            </w:r>
            <w:proofErr w:type="spellEnd"/>
          </w:p>
        </w:tc>
      </w:tr>
      <w:tr w:rsidR="0094644B" w:rsidRPr="00F07779" w14:paraId="7B64E102" w14:textId="77777777" w:rsidTr="00FB5086">
        <w:tc>
          <w:tcPr>
            <w:tcW w:w="2973" w:type="dxa"/>
            <w:shd w:val="clear" w:color="auto" w:fill="D9E2F3" w:themeFill="accent1" w:themeFillTint="33"/>
            <w:hideMark/>
          </w:tcPr>
          <w:p w14:paraId="0C70307A" w14:textId="77777777" w:rsidR="0094644B" w:rsidRPr="00FA3F57" w:rsidRDefault="0094644B" w:rsidP="00FB5086">
            <w:pPr>
              <w:keepNext/>
              <w:rPr>
                <w:sz w:val="20"/>
                <w:szCs w:val="20"/>
              </w:rPr>
            </w:pPr>
            <w:r w:rsidRPr="00FA3F57">
              <w:rPr>
                <w:sz w:val="20"/>
                <w:szCs w:val="20"/>
              </w:rPr>
              <w:t>Name of the investment</w:t>
            </w:r>
          </w:p>
        </w:tc>
        <w:tc>
          <w:tcPr>
            <w:tcW w:w="5669" w:type="dxa"/>
            <w:shd w:val="clear" w:color="auto" w:fill="D9E2F3" w:themeFill="accent1" w:themeFillTint="33"/>
          </w:tcPr>
          <w:p w14:paraId="470065A7" w14:textId="77777777" w:rsidR="0094644B" w:rsidRPr="00FA3F57" w:rsidRDefault="0094644B" w:rsidP="00FB5086">
            <w:pPr>
              <w:keepNext/>
              <w:rPr>
                <w:sz w:val="20"/>
                <w:szCs w:val="20"/>
              </w:rPr>
            </w:pPr>
            <w:r w:rsidRPr="00FA3F57">
              <w:rPr>
                <w:sz w:val="20"/>
                <w:szCs w:val="20"/>
              </w:rPr>
              <w:t xml:space="preserve">OHL 110 kV No. 104 TS </w:t>
            </w:r>
            <w:proofErr w:type="spellStart"/>
            <w:r w:rsidRPr="00FA3F57">
              <w:rPr>
                <w:sz w:val="20"/>
                <w:szCs w:val="20"/>
              </w:rPr>
              <w:t>Inđija</w:t>
            </w:r>
            <w:proofErr w:type="spellEnd"/>
            <w:r w:rsidRPr="00FA3F57">
              <w:rPr>
                <w:sz w:val="20"/>
                <w:szCs w:val="20"/>
              </w:rPr>
              <w:t xml:space="preserve"> 2 – TS Belgrade 5, equipping with a special conductor</w:t>
            </w:r>
          </w:p>
          <w:p w14:paraId="75488D62" w14:textId="77777777" w:rsidR="0094644B" w:rsidRPr="00FA3F57" w:rsidRDefault="0094644B" w:rsidP="00FB5086">
            <w:pPr>
              <w:keepNext/>
              <w:rPr>
                <w:sz w:val="20"/>
                <w:szCs w:val="20"/>
              </w:rPr>
            </w:pPr>
            <w:r w:rsidRPr="00FA3F57">
              <w:rPr>
                <w:sz w:val="20"/>
                <w:szCs w:val="20"/>
              </w:rPr>
              <w:t xml:space="preserve">TS Novi Sad 3, equipping the bay for the leading of OHL No. 217 ML110 kV Novi Sad 3 – TS </w:t>
            </w:r>
            <w:proofErr w:type="spellStart"/>
            <w:r w:rsidRPr="00FA3F57">
              <w:rPr>
                <w:sz w:val="20"/>
                <w:szCs w:val="20"/>
              </w:rPr>
              <w:t>Inđija</w:t>
            </w:r>
            <w:proofErr w:type="spellEnd"/>
            <w:r w:rsidRPr="00FA3F57">
              <w:rPr>
                <w:sz w:val="20"/>
                <w:szCs w:val="20"/>
              </w:rPr>
              <w:t xml:space="preserve"> 2 into TS</w:t>
            </w:r>
          </w:p>
        </w:tc>
      </w:tr>
      <w:tr w:rsidR="0094644B" w:rsidRPr="00F07779" w14:paraId="472B9B5D" w14:textId="77777777" w:rsidTr="00FB5086">
        <w:tc>
          <w:tcPr>
            <w:tcW w:w="2973" w:type="dxa"/>
            <w:hideMark/>
          </w:tcPr>
          <w:p w14:paraId="68190608" w14:textId="77777777" w:rsidR="0094644B" w:rsidRPr="00FA3F57" w:rsidRDefault="0094644B" w:rsidP="00FB5086">
            <w:pPr>
              <w:rPr>
                <w:sz w:val="20"/>
                <w:szCs w:val="20"/>
              </w:rPr>
            </w:pPr>
            <w:r w:rsidRPr="00FA3F57">
              <w:rPr>
                <w:sz w:val="20"/>
                <w:szCs w:val="20"/>
              </w:rPr>
              <w:t>Short description of the investment</w:t>
            </w:r>
          </w:p>
        </w:tc>
        <w:tc>
          <w:tcPr>
            <w:tcW w:w="5669" w:type="dxa"/>
          </w:tcPr>
          <w:p w14:paraId="230947EF" w14:textId="77777777" w:rsidR="0094644B" w:rsidRPr="00F07779" w:rsidRDefault="0094644B" w:rsidP="00FB5086">
            <w:pPr>
              <w:rPr>
                <w:sz w:val="20"/>
                <w:szCs w:val="20"/>
              </w:rPr>
            </w:pPr>
            <w:r w:rsidRPr="00FA3F57">
              <w:rPr>
                <w:sz w:val="20"/>
                <w:szCs w:val="20"/>
              </w:rPr>
              <w:t xml:space="preserve">Increasing capacity for the expansion of the existing consumer industry in the </w:t>
            </w:r>
            <w:proofErr w:type="spellStart"/>
            <w:r w:rsidRPr="00FA3F57">
              <w:rPr>
                <w:sz w:val="20"/>
                <w:szCs w:val="20"/>
              </w:rPr>
              <w:t>Inđija</w:t>
            </w:r>
            <w:proofErr w:type="spellEnd"/>
            <w:r w:rsidRPr="00FA3F57">
              <w:rPr>
                <w:sz w:val="20"/>
                <w:szCs w:val="20"/>
              </w:rPr>
              <w:t xml:space="preserve"> and Stara </w:t>
            </w:r>
            <w:proofErr w:type="spellStart"/>
            <w:r w:rsidRPr="00FA3F57">
              <w:rPr>
                <w:sz w:val="20"/>
                <w:szCs w:val="20"/>
              </w:rPr>
              <w:t>Pazova</w:t>
            </w:r>
            <w:proofErr w:type="spellEnd"/>
            <w:r w:rsidRPr="00FA3F57">
              <w:rPr>
                <w:sz w:val="20"/>
                <w:szCs w:val="20"/>
              </w:rPr>
              <w:t xml:space="preserve"> region and connecting new consumers.</w:t>
            </w:r>
            <w:r w:rsidRPr="00F07779">
              <w:rPr>
                <w:sz w:val="20"/>
                <w:szCs w:val="20"/>
              </w:rPr>
              <w:t xml:space="preserve"> </w:t>
            </w:r>
            <w:r w:rsidRPr="00FA3F57">
              <w:rPr>
                <w:sz w:val="20"/>
                <w:szCs w:val="20"/>
              </w:rPr>
              <w:t xml:space="preserve">The project involves the adaptation of transmission line No. 104 with the installation of special conductors to increase the transmission capacity of the transmission line. The equipment of the OHL bay at TS Novi Sad 3 includes works on section A and section </w:t>
            </w:r>
            <w:proofErr w:type="gramStart"/>
            <w:r w:rsidRPr="00FA3F57">
              <w:rPr>
                <w:sz w:val="20"/>
                <w:szCs w:val="20"/>
              </w:rPr>
              <w:t>B..</w:t>
            </w:r>
            <w:proofErr w:type="gramEnd"/>
            <w:r w:rsidRPr="00FA3F57">
              <w:rPr>
                <w:sz w:val="20"/>
                <w:szCs w:val="20"/>
              </w:rPr>
              <w:t xml:space="preserve"> Works on section C include the construction of a new route of a single-system line to the TS </w:t>
            </w:r>
            <w:proofErr w:type="spellStart"/>
            <w:r w:rsidRPr="00FA3F57">
              <w:rPr>
                <w:sz w:val="20"/>
                <w:szCs w:val="20"/>
              </w:rPr>
              <w:t>Inđija</w:t>
            </w:r>
            <w:proofErr w:type="spellEnd"/>
            <w:r w:rsidRPr="00FA3F57">
              <w:rPr>
                <w:sz w:val="20"/>
                <w:szCs w:val="20"/>
              </w:rPr>
              <w:t xml:space="preserve"> 2.</w:t>
            </w:r>
          </w:p>
          <w:p w14:paraId="36196C4C" w14:textId="77777777" w:rsidR="0094644B" w:rsidRPr="00FA3F57" w:rsidRDefault="0094644B" w:rsidP="00FB5086">
            <w:pPr>
              <w:rPr>
                <w:sz w:val="20"/>
                <w:szCs w:val="20"/>
              </w:rPr>
            </w:pPr>
            <w:r w:rsidRPr="00FA3F57">
              <w:rPr>
                <w:sz w:val="20"/>
                <w:szCs w:val="20"/>
              </w:rPr>
              <w:t>Expected dynamics of project implementation:</w:t>
            </w:r>
          </w:p>
          <w:p w14:paraId="085C7C99" w14:textId="77777777" w:rsidR="0094644B" w:rsidRPr="00FA3F57" w:rsidRDefault="0094644B" w:rsidP="00FB5086">
            <w:pPr>
              <w:rPr>
                <w:sz w:val="20"/>
                <w:szCs w:val="20"/>
              </w:rPr>
            </w:pPr>
            <w:r w:rsidRPr="00FA3F57">
              <w:rPr>
                <w:sz w:val="20"/>
                <w:szCs w:val="20"/>
              </w:rPr>
              <w:t>2026.</w:t>
            </w:r>
            <w:r w:rsidRPr="00F07779">
              <w:rPr>
                <w:sz w:val="20"/>
                <w:szCs w:val="20"/>
              </w:rPr>
              <w:t xml:space="preserve"> </w:t>
            </w:r>
            <w:r w:rsidRPr="00FA3F57">
              <w:rPr>
                <w:sz w:val="20"/>
                <w:szCs w:val="20"/>
              </w:rPr>
              <w:t>Construction</w:t>
            </w:r>
          </w:p>
          <w:p w14:paraId="5F24BD04" w14:textId="77777777" w:rsidR="0094644B" w:rsidRPr="00FA3F57" w:rsidRDefault="0094644B" w:rsidP="00FB5086">
            <w:pPr>
              <w:rPr>
                <w:sz w:val="20"/>
                <w:szCs w:val="20"/>
              </w:rPr>
            </w:pPr>
            <w:r w:rsidRPr="00FA3F57">
              <w:rPr>
                <w:sz w:val="20"/>
                <w:szCs w:val="20"/>
              </w:rPr>
              <w:t>2027.</w:t>
            </w:r>
            <w:r w:rsidRPr="00F07779">
              <w:rPr>
                <w:sz w:val="20"/>
                <w:szCs w:val="20"/>
              </w:rPr>
              <w:t xml:space="preserve"> </w:t>
            </w:r>
            <w:r w:rsidRPr="00FA3F57">
              <w:rPr>
                <w:sz w:val="20"/>
                <w:szCs w:val="20"/>
              </w:rPr>
              <w:t>Construction</w:t>
            </w:r>
          </w:p>
          <w:p w14:paraId="1F742E94" w14:textId="77777777" w:rsidR="0094644B" w:rsidRPr="00FA3F57" w:rsidRDefault="0094644B" w:rsidP="00FB5086">
            <w:pPr>
              <w:rPr>
                <w:sz w:val="20"/>
                <w:szCs w:val="20"/>
              </w:rPr>
            </w:pPr>
            <w:r w:rsidRPr="00FA3F57">
              <w:rPr>
                <w:sz w:val="20"/>
                <w:szCs w:val="20"/>
              </w:rPr>
              <w:t>2028. Commissioning; trial operation</w:t>
            </w:r>
          </w:p>
        </w:tc>
      </w:tr>
      <w:tr w:rsidR="0094644B" w:rsidRPr="00F07779" w14:paraId="0DAEDAF7" w14:textId="77777777" w:rsidTr="00FB5086">
        <w:tc>
          <w:tcPr>
            <w:tcW w:w="2973" w:type="dxa"/>
          </w:tcPr>
          <w:p w14:paraId="6EF41014" w14:textId="77777777" w:rsidR="0094644B" w:rsidRPr="00FA3F57" w:rsidRDefault="0094644B" w:rsidP="00FB5086">
            <w:pPr>
              <w:rPr>
                <w:sz w:val="20"/>
                <w:szCs w:val="20"/>
              </w:rPr>
            </w:pPr>
            <w:r w:rsidRPr="00FA3F57">
              <w:rPr>
                <w:sz w:val="20"/>
                <w:szCs w:val="20"/>
              </w:rPr>
              <w:t>Institutions responsible for the implementation of measures and activities</w:t>
            </w:r>
          </w:p>
        </w:tc>
        <w:tc>
          <w:tcPr>
            <w:tcW w:w="5669" w:type="dxa"/>
          </w:tcPr>
          <w:p w14:paraId="2419D28B" w14:textId="77777777" w:rsidR="0094644B" w:rsidRPr="00FA3F57" w:rsidRDefault="0094644B" w:rsidP="00FB5086">
            <w:pPr>
              <w:rPr>
                <w:sz w:val="20"/>
                <w:szCs w:val="20"/>
              </w:rPr>
            </w:pPr>
            <w:r w:rsidRPr="00FA3F57">
              <w:rPr>
                <w:sz w:val="20"/>
                <w:szCs w:val="20"/>
              </w:rPr>
              <w:t>EMS JSC Belgrade</w:t>
            </w:r>
          </w:p>
        </w:tc>
      </w:tr>
      <w:tr w:rsidR="0094644B" w:rsidRPr="00F07779" w14:paraId="4A94915F" w14:textId="77777777" w:rsidTr="00FB5086">
        <w:tc>
          <w:tcPr>
            <w:tcW w:w="2973" w:type="dxa"/>
          </w:tcPr>
          <w:p w14:paraId="0812FF9D" w14:textId="77777777" w:rsidR="0094644B" w:rsidRPr="00FA3F57" w:rsidRDefault="0094644B" w:rsidP="00FB5086">
            <w:pPr>
              <w:rPr>
                <w:sz w:val="20"/>
                <w:szCs w:val="20"/>
              </w:rPr>
            </w:pPr>
            <w:r w:rsidRPr="00FA3F57">
              <w:rPr>
                <w:sz w:val="20"/>
                <w:szCs w:val="20"/>
              </w:rPr>
              <w:t>Institutions responsible for monitoring implementation and reporting on the realization</w:t>
            </w:r>
          </w:p>
        </w:tc>
        <w:tc>
          <w:tcPr>
            <w:tcW w:w="5669" w:type="dxa"/>
          </w:tcPr>
          <w:p w14:paraId="5BE4E142" w14:textId="77777777" w:rsidR="0094644B" w:rsidRPr="00F07779" w:rsidRDefault="0094644B" w:rsidP="00FB5086">
            <w:pPr>
              <w:rPr>
                <w:sz w:val="20"/>
                <w:szCs w:val="20"/>
              </w:rPr>
            </w:pPr>
            <w:r w:rsidRPr="00FA3F57">
              <w:rPr>
                <w:sz w:val="20"/>
                <w:szCs w:val="20"/>
              </w:rPr>
              <w:t>EMS JSC Belgrade</w:t>
            </w:r>
          </w:p>
          <w:p w14:paraId="76A275CB" w14:textId="77777777" w:rsidR="0094644B" w:rsidRPr="00FA3F57" w:rsidRDefault="0094644B" w:rsidP="00FB5086">
            <w:pPr>
              <w:rPr>
                <w:sz w:val="20"/>
                <w:szCs w:val="20"/>
              </w:rPr>
            </w:pPr>
            <w:r w:rsidRPr="00FA3F57">
              <w:rPr>
                <w:sz w:val="20"/>
                <w:szCs w:val="20"/>
              </w:rPr>
              <w:t>Republic Commission for Energy Networks</w:t>
            </w:r>
          </w:p>
          <w:p w14:paraId="518DDE43" w14:textId="77777777" w:rsidR="0094644B" w:rsidRPr="00FA3F57" w:rsidRDefault="0094644B" w:rsidP="00FB5086">
            <w:pPr>
              <w:rPr>
                <w:sz w:val="20"/>
                <w:szCs w:val="20"/>
              </w:rPr>
            </w:pPr>
            <w:r w:rsidRPr="00FA3F57">
              <w:rPr>
                <w:sz w:val="20"/>
                <w:szCs w:val="20"/>
              </w:rPr>
              <w:t>Ministry of Mining and Energy</w:t>
            </w:r>
          </w:p>
        </w:tc>
      </w:tr>
      <w:tr w:rsidR="0094644B" w:rsidRPr="00F07779" w14:paraId="1F8FF1F7" w14:textId="77777777" w:rsidTr="00FB5086">
        <w:tc>
          <w:tcPr>
            <w:tcW w:w="2973" w:type="dxa"/>
            <w:hideMark/>
          </w:tcPr>
          <w:p w14:paraId="4099CBF8" w14:textId="77777777" w:rsidR="0094644B" w:rsidRPr="00FA3F57" w:rsidRDefault="0094644B" w:rsidP="00FB5086">
            <w:pPr>
              <w:rPr>
                <w:sz w:val="20"/>
                <w:szCs w:val="20"/>
              </w:rPr>
            </w:pPr>
            <w:r w:rsidRPr="00FA3F57">
              <w:rPr>
                <w:sz w:val="20"/>
                <w:szCs w:val="20"/>
              </w:rPr>
              <w:t>Year of the start of the investment</w:t>
            </w:r>
          </w:p>
        </w:tc>
        <w:tc>
          <w:tcPr>
            <w:tcW w:w="5669" w:type="dxa"/>
          </w:tcPr>
          <w:p w14:paraId="6732B67E" w14:textId="77777777" w:rsidR="0094644B" w:rsidRPr="00FA3F57" w:rsidRDefault="0094644B" w:rsidP="00FB5086">
            <w:pPr>
              <w:rPr>
                <w:sz w:val="20"/>
                <w:szCs w:val="20"/>
              </w:rPr>
            </w:pPr>
            <w:r w:rsidRPr="00FA3F57">
              <w:rPr>
                <w:sz w:val="20"/>
                <w:szCs w:val="20"/>
              </w:rPr>
              <w:t>2021.</w:t>
            </w:r>
          </w:p>
        </w:tc>
      </w:tr>
      <w:tr w:rsidR="0094644B" w:rsidRPr="00F07779" w14:paraId="3E47F5B7" w14:textId="77777777" w:rsidTr="00FB5086">
        <w:tc>
          <w:tcPr>
            <w:tcW w:w="2973" w:type="dxa"/>
            <w:hideMark/>
          </w:tcPr>
          <w:p w14:paraId="704263AC" w14:textId="77777777" w:rsidR="0094644B" w:rsidRPr="00FA3F57" w:rsidRDefault="0094644B" w:rsidP="00FB5086">
            <w:pPr>
              <w:rPr>
                <w:sz w:val="20"/>
                <w:szCs w:val="20"/>
              </w:rPr>
            </w:pPr>
            <w:r w:rsidRPr="00FA3F57">
              <w:rPr>
                <w:sz w:val="20"/>
                <w:szCs w:val="20"/>
              </w:rPr>
              <w:t>Year of completion of project funding</w:t>
            </w:r>
          </w:p>
        </w:tc>
        <w:tc>
          <w:tcPr>
            <w:tcW w:w="5669" w:type="dxa"/>
          </w:tcPr>
          <w:p w14:paraId="3DF6C09C" w14:textId="77777777" w:rsidR="0094644B" w:rsidRPr="00FA3F57" w:rsidRDefault="0094644B" w:rsidP="00FB5086">
            <w:pPr>
              <w:rPr>
                <w:sz w:val="20"/>
                <w:szCs w:val="20"/>
              </w:rPr>
            </w:pPr>
            <w:r w:rsidRPr="00FA3F57">
              <w:rPr>
                <w:sz w:val="20"/>
                <w:szCs w:val="20"/>
              </w:rPr>
              <w:t>202</w:t>
            </w:r>
            <w:r w:rsidRPr="00F07779">
              <w:rPr>
                <w:sz w:val="20"/>
                <w:szCs w:val="20"/>
              </w:rPr>
              <w:t>8</w:t>
            </w:r>
            <w:r w:rsidRPr="00FA3F57">
              <w:rPr>
                <w:sz w:val="20"/>
                <w:szCs w:val="20"/>
              </w:rPr>
              <w:t>.</w:t>
            </w:r>
          </w:p>
        </w:tc>
      </w:tr>
      <w:tr w:rsidR="0094644B" w:rsidRPr="00F07779" w14:paraId="14306B2F" w14:textId="77777777" w:rsidTr="00FB5086">
        <w:tc>
          <w:tcPr>
            <w:tcW w:w="2973" w:type="dxa"/>
            <w:hideMark/>
          </w:tcPr>
          <w:p w14:paraId="69AA4D89" w14:textId="77777777" w:rsidR="0094644B" w:rsidRPr="00FA3F57" w:rsidRDefault="0094644B" w:rsidP="00FB5086">
            <w:pPr>
              <w:rPr>
                <w:sz w:val="20"/>
                <w:szCs w:val="20"/>
              </w:rPr>
            </w:pPr>
            <w:r w:rsidRPr="00FA3F57">
              <w:rPr>
                <w:sz w:val="20"/>
                <w:szCs w:val="20"/>
              </w:rPr>
              <w:t>Current estimated value of the investment</w:t>
            </w:r>
            <w:r w:rsidRPr="00FA3F57">
              <w:rPr>
                <w:sz w:val="20"/>
                <w:szCs w:val="20"/>
              </w:rPr>
              <w:br/>
              <w:t>(in thousands of RSD)</w:t>
            </w:r>
          </w:p>
        </w:tc>
        <w:tc>
          <w:tcPr>
            <w:tcW w:w="5669" w:type="dxa"/>
          </w:tcPr>
          <w:p w14:paraId="456D7BBA" w14:textId="77777777" w:rsidR="0094644B" w:rsidRPr="00FA3F57" w:rsidRDefault="0094644B" w:rsidP="00FB5086">
            <w:pPr>
              <w:rPr>
                <w:sz w:val="20"/>
                <w:szCs w:val="20"/>
              </w:rPr>
            </w:pPr>
            <w:r w:rsidRPr="00FA3F57">
              <w:rPr>
                <w:sz w:val="20"/>
                <w:szCs w:val="20"/>
              </w:rPr>
              <w:t>1,266,300 (10.8 million EUR)</w:t>
            </w:r>
          </w:p>
        </w:tc>
      </w:tr>
      <w:tr w:rsidR="0094644B" w:rsidRPr="00F07779" w14:paraId="0143E528" w14:textId="77777777" w:rsidTr="00FB5086">
        <w:tc>
          <w:tcPr>
            <w:tcW w:w="2973" w:type="dxa"/>
            <w:hideMark/>
          </w:tcPr>
          <w:p w14:paraId="208CB109" w14:textId="77777777" w:rsidR="0094644B" w:rsidRPr="00FA3F57" w:rsidRDefault="0094644B" w:rsidP="00FB5086">
            <w:pPr>
              <w:rPr>
                <w:sz w:val="20"/>
                <w:szCs w:val="20"/>
              </w:rPr>
            </w:pPr>
            <w:r w:rsidRPr="00FA3F57">
              <w:rPr>
                <w:sz w:val="20"/>
                <w:szCs w:val="20"/>
              </w:rPr>
              <w:t>Planned investments for 2026.</w:t>
            </w:r>
            <w:r w:rsidRPr="00FA3F57">
              <w:rPr>
                <w:sz w:val="20"/>
                <w:szCs w:val="20"/>
              </w:rPr>
              <w:br/>
              <w:t>(in thousands of RSD)</w:t>
            </w:r>
          </w:p>
        </w:tc>
        <w:tc>
          <w:tcPr>
            <w:tcW w:w="5669" w:type="dxa"/>
          </w:tcPr>
          <w:p w14:paraId="50705A45" w14:textId="77777777" w:rsidR="0094644B" w:rsidRPr="00FA3F57" w:rsidRDefault="0094644B" w:rsidP="00FB5086">
            <w:pPr>
              <w:rPr>
                <w:sz w:val="20"/>
                <w:szCs w:val="20"/>
              </w:rPr>
            </w:pPr>
            <w:r w:rsidRPr="00FA3F57">
              <w:rPr>
                <w:sz w:val="20"/>
                <w:szCs w:val="20"/>
              </w:rPr>
              <w:t>250,943</w:t>
            </w:r>
            <w:r w:rsidRPr="00FA3F57" w:rsidDel="00A35D5D">
              <w:rPr>
                <w:sz w:val="20"/>
                <w:szCs w:val="20"/>
              </w:rPr>
              <w:t xml:space="preserve"> </w:t>
            </w:r>
            <w:r w:rsidRPr="00FA3F57">
              <w:rPr>
                <w:sz w:val="20"/>
                <w:szCs w:val="20"/>
              </w:rPr>
              <w:t>(own funds of EMS JSC)</w:t>
            </w:r>
          </w:p>
        </w:tc>
      </w:tr>
      <w:tr w:rsidR="0094644B" w:rsidRPr="00F07779" w14:paraId="2DEF5BB8" w14:textId="77777777" w:rsidTr="00FB5086">
        <w:tc>
          <w:tcPr>
            <w:tcW w:w="2973" w:type="dxa"/>
            <w:hideMark/>
          </w:tcPr>
          <w:p w14:paraId="24BAEC13" w14:textId="77777777" w:rsidR="0094644B" w:rsidRPr="00FA3F57" w:rsidRDefault="0094644B" w:rsidP="00FB5086">
            <w:pPr>
              <w:rPr>
                <w:sz w:val="20"/>
                <w:szCs w:val="20"/>
              </w:rPr>
            </w:pPr>
            <w:r w:rsidRPr="00FA3F57">
              <w:rPr>
                <w:sz w:val="20"/>
                <w:szCs w:val="20"/>
              </w:rPr>
              <w:t>Planned investments for 2027.</w:t>
            </w:r>
            <w:r w:rsidRPr="00FA3F57">
              <w:rPr>
                <w:sz w:val="20"/>
                <w:szCs w:val="20"/>
              </w:rPr>
              <w:br/>
              <w:t>(in thousands of RSD)</w:t>
            </w:r>
          </w:p>
        </w:tc>
        <w:tc>
          <w:tcPr>
            <w:tcW w:w="5669" w:type="dxa"/>
          </w:tcPr>
          <w:p w14:paraId="31FF65C1" w14:textId="77777777" w:rsidR="0094644B" w:rsidRPr="00FA3F57" w:rsidRDefault="0094644B" w:rsidP="00FB5086">
            <w:pPr>
              <w:rPr>
                <w:sz w:val="20"/>
                <w:szCs w:val="20"/>
              </w:rPr>
            </w:pPr>
            <w:r w:rsidRPr="00FA3F57">
              <w:rPr>
                <w:sz w:val="20"/>
                <w:szCs w:val="20"/>
              </w:rPr>
              <w:t>0</w:t>
            </w:r>
          </w:p>
        </w:tc>
      </w:tr>
      <w:tr w:rsidR="0094644B" w:rsidRPr="00F07779" w14:paraId="5D094C9F" w14:textId="77777777" w:rsidTr="00FB5086">
        <w:tc>
          <w:tcPr>
            <w:tcW w:w="2973" w:type="dxa"/>
            <w:hideMark/>
          </w:tcPr>
          <w:p w14:paraId="529E5F52" w14:textId="77777777" w:rsidR="0094644B" w:rsidRPr="00FA3F57" w:rsidRDefault="0094644B" w:rsidP="00FB5086">
            <w:pPr>
              <w:rPr>
                <w:sz w:val="20"/>
                <w:szCs w:val="20"/>
              </w:rPr>
            </w:pPr>
            <w:r w:rsidRPr="00FA3F57">
              <w:rPr>
                <w:sz w:val="20"/>
                <w:szCs w:val="20"/>
              </w:rPr>
              <w:t>Planned investments for 2028.</w:t>
            </w:r>
            <w:r w:rsidRPr="00FA3F57">
              <w:rPr>
                <w:sz w:val="20"/>
                <w:szCs w:val="20"/>
              </w:rPr>
              <w:br/>
              <w:t>(in thousands of RSD)</w:t>
            </w:r>
          </w:p>
        </w:tc>
        <w:tc>
          <w:tcPr>
            <w:tcW w:w="5669" w:type="dxa"/>
          </w:tcPr>
          <w:p w14:paraId="20BBBB33" w14:textId="77777777" w:rsidR="0094644B" w:rsidRPr="00FA3F57" w:rsidRDefault="0094644B" w:rsidP="00FB5086">
            <w:pPr>
              <w:rPr>
                <w:sz w:val="20"/>
                <w:szCs w:val="20"/>
              </w:rPr>
            </w:pPr>
            <w:r w:rsidRPr="00FA3F57">
              <w:rPr>
                <w:sz w:val="20"/>
                <w:szCs w:val="20"/>
              </w:rPr>
              <w:t>0</w:t>
            </w:r>
          </w:p>
        </w:tc>
      </w:tr>
    </w:tbl>
    <w:p w14:paraId="48CD5956" w14:textId="77777777" w:rsidR="0094644B" w:rsidRPr="00F07779" w:rsidRDefault="0094644B" w:rsidP="0094644B"/>
    <w:tbl>
      <w:tblPr>
        <w:tblStyle w:val="TableGrid"/>
        <w:tblW w:w="0" w:type="auto"/>
        <w:tblLook w:val="04A0" w:firstRow="1" w:lastRow="0" w:firstColumn="1" w:lastColumn="0" w:noHBand="0" w:noVBand="1"/>
      </w:tblPr>
      <w:tblGrid>
        <w:gridCol w:w="2973"/>
        <w:gridCol w:w="5669"/>
      </w:tblGrid>
      <w:tr w:rsidR="0094644B" w:rsidRPr="00F07779" w14:paraId="3A37C631" w14:textId="77777777" w:rsidTr="00FB5086">
        <w:tc>
          <w:tcPr>
            <w:tcW w:w="2973" w:type="dxa"/>
            <w:shd w:val="clear" w:color="auto" w:fill="D0CECE" w:themeFill="background2" w:themeFillShade="E6"/>
          </w:tcPr>
          <w:p w14:paraId="08E90F76" w14:textId="77777777" w:rsidR="0094644B" w:rsidRPr="00FA3F57" w:rsidRDefault="0094644B" w:rsidP="00FB5086">
            <w:pPr>
              <w:keepNext/>
              <w:rPr>
                <w:sz w:val="20"/>
                <w:szCs w:val="20"/>
              </w:rPr>
            </w:pPr>
            <w:r w:rsidRPr="00FA3F57">
              <w:rPr>
                <w:sz w:val="20"/>
                <w:szCs w:val="20"/>
              </w:rPr>
              <w:t>Activity EL6.1</w:t>
            </w:r>
          </w:p>
        </w:tc>
        <w:tc>
          <w:tcPr>
            <w:tcW w:w="5669" w:type="dxa"/>
            <w:shd w:val="clear" w:color="auto" w:fill="D0CECE" w:themeFill="background2" w:themeFillShade="E6"/>
          </w:tcPr>
          <w:p w14:paraId="7002E5D3" w14:textId="77777777" w:rsidR="0094644B" w:rsidRPr="00FA3F57" w:rsidRDefault="0094644B" w:rsidP="00FB5086">
            <w:pPr>
              <w:keepNext/>
              <w:rPr>
                <w:sz w:val="20"/>
                <w:szCs w:val="20"/>
              </w:rPr>
            </w:pPr>
            <w:r w:rsidRPr="00FA3F57">
              <w:rPr>
                <w:sz w:val="20"/>
                <w:szCs w:val="20"/>
              </w:rPr>
              <w:t>Increasing the reliability of the transmission system and the security of the consumer supply</w:t>
            </w:r>
          </w:p>
        </w:tc>
      </w:tr>
      <w:tr w:rsidR="0094644B" w:rsidRPr="00F07779" w14:paraId="5C40CC80" w14:textId="77777777" w:rsidTr="00FB5086">
        <w:tc>
          <w:tcPr>
            <w:tcW w:w="2973" w:type="dxa"/>
            <w:shd w:val="clear" w:color="auto" w:fill="FFF2CC" w:themeFill="accent4" w:themeFillTint="33"/>
            <w:hideMark/>
          </w:tcPr>
          <w:p w14:paraId="08BB0711" w14:textId="77777777" w:rsidR="0094644B" w:rsidRPr="00FA3F57" w:rsidRDefault="0094644B" w:rsidP="00FB5086">
            <w:pPr>
              <w:keepNext/>
              <w:rPr>
                <w:sz w:val="20"/>
                <w:szCs w:val="20"/>
              </w:rPr>
            </w:pPr>
            <w:r w:rsidRPr="00FA3F57">
              <w:rPr>
                <w:sz w:val="20"/>
                <w:szCs w:val="20"/>
              </w:rPr>
              <w:t>Name of the project</w:t>
            </w:r>
          </w:p>
        </w:tc>
        <w:tc>
          <w:tcPr>
            <w:tcW w:w="5669" w:type="dxa"/>
            <w:shd w:val="clear" w:color="auto" w:fill="FFF2CC" w:themeFill="accent4" w:themeFillTint="33"/>
          </w:tcPr>
          <w:p w14:paraId="0A0AD2AC" w14:textId="77777777" w:rsidR="0094644B" w:rsidRPr="00FA3F57" w:rsidRDefault="0094644B" w:rsidP="00FB5086">
            <w:pPr>
              <w:keepNext/>
              <w:rPr>
                <w:sz w:val="20"/>
                <w:szCs w:val="20"/>
              </w:rPr>
            </w:pPr>
            <w:r w:rsidRPr="00FA3F57">
              <w:rPr>
                <w:sz w:val="20"/>
                <w:szCs w:val="20"/>
              </w:rPr>
              <w:t>Connection line for TS</w:t>
            </w:r>
            <w:r w:rsidRPr="00F07779">
              <w:rPr>
                <w:sz w:val="20"/>
                <w:szCs w:val="20"/>
              </w:rPr>
              <w:t xml:space="preserve"> </w:t>
            </w:r>
            <w:r w:rsidRPr="00FA3F57">
              <w:rPr>
                <w:sz w:val="20"/>
                <w:szCs w:val="20"/>
              </w:rPr>
              <w:t>110/20 kV Perlez</w:t>
            </w:r>
          </w:p>
        </w:tc>
      </w:tr>
      <w:tr w:rsidR="0094644B" w:rsidRPr="00F07779" w14:paraId="7D6C2C99" w14:textId="77777777" w:rsidTr="00FB5086">
        <w:tc>
          <w:tcPr>
            <w:tcW w:w="2973" w:type="dxa"/>
            <w:shd w:val="clear" w:color="auto" w:fill="D9E2F3" w:themeFill="accent1" w:themeFillTint="33"/>
            <w:hideMark/>
          </w:tcPr>
          <w:p w14:paraId="3CF2374C" w14:textId="77777777" w:rsidR="0094644B" w:rsidRPr="00FA3F57" w:rsidRDefault="0094644B" w:rsidP="00FB5086">
            <w:pPr>
              <w:keepNext/>
              <w:rPr>
                <w:sz w:val="20"/>
                <w:szCs w:val="20"/>
              </w:rPr>
            </w:pPr>
            <w:r w:rsidRPr="00FA3F57">
              <w:rPr>
                <w:sz w:val="20"/>
                <w:szCs w:val="20"/>
              </w:rPr>
              <w:t>Name of the investment</w:t>
            </w:r>
          </w:p>
        </w:tc>
        <w:tc>
          <w:tcPr>
            <w:tcW w:w="5669" w:type="dxa"/>
            <w:shd w:val="clear" w:color="auto" w:fill="D9E2F3" w:themeFill="accent1" w:themeFillTint="33"/>
          </w:tcPr>
          <w:p w14:paraId="33402E8F" w14:textId="77777777" w:rsidR="0094644B" w:rsidRPr="00FA3F57" w:rsidRDefault="0094644B" w:rsidP="00FB5086">
            <w:pPr>
              <w:keepNext/>
              <w:rPr>
                <w:sz w:val="20"/>
                <w:szCs w:val="20"/>
              </w:rPr>
            </w:pPr>
            <w:r w:rsidRPr="00FA3F57">
              <w:rPr>
                <w:sz w:val="20"/>
                <w:szCs w:val="20"/>
              </w:rPr>
              <w:t xml:space="preserve">OHL 110 kV TS Perlez - TS </w:t>
            </w:r>
            <w:proofErr w:type="spellStart"/>
            <w:r w:rsidRPr="00FA3F57">
              <w:rPr>
                <w:sz w:val="20"/>
                <w:szCs w:val="20"/>
              </w:rPr>
              <w:t>Zrenjanin</w:t>
            </w:r>
            <w:proofErr w:type="spellEnd"/>
            <w:r w:rsidRPr="00FA3F57">
              <w:rPr>
                <w:sz w:val="20"/>
                <w:szCs w:val="20"/>
              </w:rPr>
              <w:t xml:space="preserve"> 2</w:t>
            </w:r>
          </w:p>
          <w:p w14:paraId="4046F685" w14:textId="77777777" w:rsidR="0094644B" w:rsidRPr="00FA3F57" w:rsidRDefault="0094644B" w:rsidP="00FB5086">
            <w:pPr>
              <w:keepNext/>
              <w:rPr>
                <w:sz w:val="20"/>
                <w:szCs w:val="20"/>
              </w:rPr>
            </w:pPr>
            <w:r w:rsidRPr="00FA3F57">
              <w:rPr>
                <w:sz w:val="20"/>
                <w:szCs w:val="20"/>
              </w:rPr>
              <w:t xml:space="preserve">TS 220/110 kV </w:t>
            </w:r>
            <w:proofErr w:type="spellStart"/>
            <w:r w:rsidRPr="00FA3F57">
              <w:rPr>
                <w:sz w:val="20"/>
                <w:szCs w:val="20"/>
              </w:rPr>
              <w:t>Zrenjanin</w:t>
            </w:r>
            <w:proofErr w:type="spellEnd"/>
            <w:r w:rsidRPr="00FA3F57">
              <w:rPr>
                <w:sz w:val="20"/>
                <w:szCs w:val="20"/>
              </w:rPr>
              <w:t xml:space="preserve"> 2, equipping 110 kV bay</w:t>
            </w:r>
          </w:p>
        </w:tc>
      </w:tr>
      <w:tr w:rsidR="0094644B" w:rsidRPr="00F07779" w14:paraId="32B0A338" w14:textId="77777777" w:rsidTr="00FB5086">
        <w:tc>
          <w:tcPr>
            <w:tcW w:w="2973" w:type="dxa"/>
            <w:hideMark/>
          </w:tcPr>
          <w:p w14:paraId="39F7D315" w14:textId="77777777" w:rsidR="0094644B" w:rsidRPr="00FA3F57" w:rsidRDefault="0094644B" w:rsidP="00FB5086">
            <w:pPr>
              <w:rPr>
                <w:sz w:val="20"/>
                <w:szCs w:val="20"/>
              </w:rPr>
            </w:pPr>
            <w:r w:rsidRPr="00FA3F57">
              <w:rPr>
                <w:sz w:val="20"/>
                <w:szCs w:val="20"/>
              </w:rPr>
              <w:t>Short description of the investment</w:t>
            </w:r>
          </w:p>
        </w:tc>
        <w:tc>
          <w:tcPr>
            <w:tcW w:w="5669" w:type="dxa"/>
          </w:tcPr>
          <w:p w14:paraId="73699CE0" w14:textId="77777777" w:rsidR="0094644B" w:rsidRPr="00F07779" w:rsidRDefault="0094644B" w:rsidP="00FB5086">
            <w:pPr>
              <w:rPr>
                <w:sz w:val="20"/>
                <w:szCs w:val="20"/>
              </w:rPr>
            </w:pPr>
            <w:r w:rsidRPr="00FA3F57">
              <w:rPr>
                <w:sz w:val="20"/>
                <w:szCs w:val="20"/>
              </w:rPr>
              <w:t xml:space="preserve">Construction of 20 km of power lines along the route of </w:t>
            </w:r>
            <w:proofErr w:type="gramStart"/>
            <w:r w:rsidRPr="00FA3F57">
              <w:rPr>
                <w:sz w:val="20"/>
                <w:szCs w:val="20"/>
              </w:rPr>
              <w:t>power line</w:t>
            </w:r>
            <w:proofErr w:type="gramEnd"/>
            <w:r w:rsidRPr="00FA3F57">
              <w:rPr>
                <w:sz w:val="20"/>
                <w:szCs w:val="20"/>
              </w:rPr>
              <w:t xml:space="preserve"> No. 1148 operating at 35 kV, with the installation of 240/40 mm</w:t>
            </w:r>
            <w:r w:rsidRPr="00FA3F57">
              <w:rPr>
                <w:sz w:val="20"/>
                <w:szCs w:val="20"/>
                <w:vertAlign w:val="superscript"/>
              </w:rPr>
              <w:t>2</w:t>
            </w:r>
            <w:r w:rsidRPr="00FA3F57">
              <w:rPr>
                <w:sz w:val="20"/>
                <w:szCs w:val="20"/>
              </w:rPr>
              <w:t xml:space="preserve"> conductors and OPGW over a length of 30.4 km. Construction and equipping of a new OHL in the 110 kV plant for the connection of the Perlez transmission line.</w:t>
            </w:r>
          </w:p>
          <w:p w14:paraId="35B42BD2" w14:textId="77777777" w:rsidR="0094644B" w:rsidRPr="00FA3F57" w:rsidRDefault="0094644B" w:rsidP="00FB5086">
            <w:pPr>
              <w:rPr>
                <w:sz w:val="20"/>
                <w:szCs w:val="20"/>
              </w:rPr>
            </w:pPr>
            <w:r w:rsidRPr="00FA3F57">
              <w:rPr>
                <w:sz w:val="20"/>
                <w:szCs w:val="20"/>
              </w:rPr>
              <w:t>Expected dynamics of project implementation:</w:t>
            </w:r>
          </w:p>
          <w:p w14:paraId="5C01E73C" w14:textId="77777777" w:rsidR="0094644B" w:rsidRPr="00FA3F57" w:rsidRDefault="0094644B" w:rsidP="00FB5086">
            <w:pPr>
              <w:rPr>
                <w:sz w:val="20"/>
                <w:szCs w:val="20"/>
              </w:rPr>
            </w:pPr>
            <w:r w:rsidRPr="00FA3F57">
              <w:rPr>
                <w:sz w:val="20"/>
                <w:szCs w:val="20"/>
              </w:rPr>
              <w:t>2026. Building permit</w:t>
            </w:r>
          </w:p>
          <w:p w14:paraId="5010E1BB" w14:textId="77777777" w:rsidR="0094644B" w:rsidRPr="00FA3F57" w:rsidRDefault="0094644B" w:rsidP="00FB5086">
            <w:pPr>
              <w:rPr>
                <w:sz w:val="20"/>
                <w:szCs w:val="20"/>
              </w:rPr>
            </w:pPr>
            <w:r w:rsidRPr="00FA3F57">
              <w:rPr>
                <w:sz w:val="20"/>
                <w:szCs w:val="20"/>
              </w:rPr>
              <w:t>2027.</w:t>
            </w:r>
            <w:r w:rsidRPr="00F07779">
              <w:rPr>
                <w:sz w:val="20"/>
                <w:szCs w:val="20"/>
              </w:rPr>
              <w:t xml:space="preserve"> </w:t>
            </w:r>
            <w:r w:rsidRPr="00FA3F57">
              <w:rPr>
                <w:sz w:val="20"/>
                <w:szCs w:val="20"/>
              </w:rPr>
              <w:t>Construction</w:t>
            </w:r>
          </w:p>
        </w:tc>
      </w:tr>
      <w:tr w:rsidR="0094644B" w:rsidRPr="00F07779" w14:paraId="68EFECE7" w14:textId="77777777" w:rsidTr="00FB5086">
        <w:tc>
          <w:tcPr>
            <w:tcW w:w="2973" w:type="dxa"/>
          </w:tcPr>
          <w:p w14:paraId="3D725E7B" w14:textId="77777777" w:rsidR="0094644B" w:rsidRPr="00FA3F57" w:rsidRDefault="0094644B" w:rsidP="00FB5086">
            <w:pPr>
              <w:rPr>
                <w:sz w:val="20"/>
                <w:szCs w:val="20"/>
              </w:rPr>
            </w:pPr>
            <w:r w:rsidRPr="00FA3F57">
              <w:rPr>
                <w:sz w:val="20"/>
                <w:szCs w:val="20"/>
              </w:rPr>
              <w:t>Institutions responsible for the implementation of measures and activities</w:t>
            </w:r>
          </w:p>
        </w:tc>
        <w:tc>
          <w:tcPr>
            <w:tcW w:w="5669" w:type="dxa"/>
          </w:tcPr>
          <w:p w14:paraId="679F64EE" w14:textId="77777777" w:rsidR="0094644B" w:rsidRPr="00FA3F57" w:rsidRDefault="0094644B" w:rsidP="00FB5086">
            <w:pPr>
              <w:rPr>
                <w:sz w:val="20"/>
                <w:szCs w:val="20"/>
              </w:rPr>
            </w:pPr>
            <w:r w:rsidRPr="00FA3F57">
              <w:rPr>
                <w:sz w:val="20"/>
                <w:szCs w:val="20"/>
              </w:rPr>
              <w:t>EMS JSC Belgrade</w:t>
            </w:r>
          </w:p>
        </w:tc>
      </w:tr>
      <w:tr w:rsidR="0094644B" w:rsidRPr="00F07779" w14:paraId="7D6F9F8F" w14:textId="77777777" w:rsidTr="00FB5086">
        <w:tc>
          <w:tcPr>
            <w:tcW w:w="2973" w:type="dxa"/>
          </w:tcPr>
          <w:p w14:paraId="57605014" w14:textId="77777777" w:rsidR="0094644B" w:rsidRPr="00FA3F57" w:rsidRDefault="0094644B" w:rsidP="00FB5086">
            <w:pPr>
              <w:rPr>
                <w:sz w:val="20"/>
                <w:szCs w:val="20"/>
              </w:rPr>
            </w:pPr>
            <w:r w:rsidRPr="00FA3F57">
              <w:rPr>
                <w:sz w:val="20"/>
                <w:szCs w:val="20"/>
              </w:rPr>
              <w:t>Institutions responsible for monitoring implementation and reporting on the realization</w:t>
            </w:r>
          </w:p>
        </w:tc>
        <w:tc>
          <w:tcPr>
            <w:tcW w:w="5669" w:type="dxa"/>
          </w:tcPr>
          <w:p w14:paraId="24ECFA44" w14:textId="77777777" w:rsidR="0094644B" w:rsidRPr="00F07779" w:rsidRDefault="0094644B" w:rsidP="00FB5086">
            <w:pPr>
              <w:rPr>
                <w:sz w:val="20"/>
                <w:szCs w:val="20"/>
              </w:rPr>
            </w:pPr>
            <w:r w:rsidRPr="00FA3F57">
              <w:rPr>
                <w:sz w:val="20"/>
                <w:szCs w:val="20"/>
              </w:rPr>
              <w:t>EMS JSC Belgrade</w:t>
            </w:r>
          </w:p>
          <w:p w14:paraId="3249C4DE" w14:textId="77777777" w:rsidR="0094644B" w:rsidRPr="00FA3F57" w:rsidRDefault="0094644B" w:rsidP="00FB5086">
            <w:pPr>
              <w:rPr>
                <w:sz w:val="20"/>
                <w:szCs w:val="20"/>
              </w:rPr>
            </w:pPr>
            <w:r w:rsidRPr="00FA3F57">
              <w:rPr>
                <w:sz w:val="20"/>
                <w:szCs w:val="20"/>
              </w:rPr>
              <w:t>Republic Commission for Energy Networks</w:t>
            </w:r>
          </w:p>
          <w:p w14:paraId="53123B09" w14:textId="77777777" w:rsidR="0094644B" w:rsidRPr="00FA3F57" w:rsidRDefault="0094644B" w:rsidP="00FB5086">
            <w:pPr>
              <w:rPr>
                <w:sz w:val="20"/>
                <w:szCs w:val="20"/>
              </w:rPr>
            </w:pPr>
            <w:r w:rsidRPr="00FA3F57">
              <w:rPr>
                <w:sz w:val="20"/>
                <w:szCs w:val="20"/>
              </w:rPr>
              <w:t>Ministry of Mining and Energy</w:t>
            </w:r>
          </w:p>
        </w:tc>
      </w:tr>
      <w:tr w:rsidR="0094644B" w:rsidRPr="00F07779" w14:paraId="7CF29F40" w14:textId="77777777" w:rsidTr="00FB5086">
        <w:tc>
          <w:tcPr>
            <w:tcW w:w="2973" w:type="dxa"/>
            <w:hideMark/>
          </w:tcPr>
          <w:p w14:paraId="3E49223E" w14:textId="77777777" w:rsidR="0094644B" w:rsidRPr="00FA3F57" w:rsidRDefault="0094644B" w:rsidP="00FB5086">
            <w:pPr>
              <w:rPr>
                <w:sz w:val="20"/>
                <w:szCs w:val="20"/>
              </w:rPr>
            </w:pPr>
            <w:r w:rsidRPr="00FA3F57">
              <w:rPr>
                <w:sz w:val="20"/>
                <w:szCs w:val="20"/>
              </w:rPr>
              <w:t>Year of the start of the investment</w:t>
            </w:r>
          </w:p>
        </w:tc>
        <w:tc>
          <w:tcPr>
            <w:tcW w:w="5669" w:type="dxa"/>
          </w:tcPr>
          <w:p w14:paraId="16B37094" w14:textId="77777777" w:rsidR="0094644B" w:rsidRPr="00FA3F57" w:rsidRDefault="0094644B" w:rsidP="00FB5086">
            <w:pPr>
              <w:rPr>
                <w:sz w:val="20"/>
                <w:szCs w:val="20"/>
              </w:rPr>
            </w:pPr>
            <w:r w:rsidRPr="00FA3F57">
              <w:rPr>
                <w:sz w:val="20"/>
                <w:szCs w:val="20"/>
              </w:rPr>
              <w:t>2018.</w:t>
            </w:r>
          </w:p>
        </w:tc>
      </w:tr>
      <w:tr w:rsidR="0094644B" w:rsidRPr="00F07779" w14:paraId="4F3DF79A" w14:textId="77777777" w:rsidTr="00FB5086">
        <w:tc>
          <w:tcPr>
            <w:tcW w:w="2973" w:type="dxa"/>
            <w:hideMark/>
          </w:tcPr>
          <w:p w14:paraId="02D45104" w14:textId="77777777" w:rsidR="0094644B" w:rsidRPr="00FA3F57" w:rsidRDefault="0094644B" w:rsidP="00FB5086">
            <w:pPr>
              <w:rPr>
                <w:sz w:val="20"/>
                <w:szCs w:val="20"/>
              </w:rPr>
            </w:pPr>
            <w:r w:rsidRPr="00FA3F57">
              <w:rPr>
                <w:sz w:val="20"/>
                <w:szCs w:val="20"/>
              </w:rPr>
              <w:t>Year of completion of project funding</w:t>
            </w:r>
          </w:p>
        </w:tc>
        <w:tc>
          <w:tcPr>
            <w:tcW w:w="5669" w:type="dxa"/>
          </w:tcPr>
          <w:p w14:paraId="2634B62F" w14:textId="77777777" w:rsidR="0094644B" w:rsidRPr="00FA3F57" w:rsidRDefault="0094644B" w:rsidP="00FB5086">
            <w:pPr>
              <w:rPr>
                <w:sz w:val="20"/>
                <w:szCs w:val="20"/>
              </w:rPr>
            </w:pPr>
            <w:r w:rsidRPr="00FA3F57">
              <w:rPr>
                <w:sz w:val="20"/>
                <w:szCs w:val="20"/>
              </w:rPr>
              <w:t>2027.</w:t>
            </w:r>
          </w:p>
        </w:tc>
      </w:tr>
      <w:tr w:rsidR="0094644B" w:rsidRPr="00F07779" w14:paraId="7FF5C7FC" w14:textId="77777777" w:rsidTr="00FB5086">
        <w:tc>
          <w:tcPr>
            <w:tcW w:w="2973" w:type="dxa"/>
            <w:hideMark/>
          </w:tcPr>
          <w:p w14:paraId="1750A737" w14:textId="77777777" w:rsidR="0094644B" w:rsidRPr="00FA3F57" w:rsidRDefault="0094644B" w:rsidP="00FB5086">
            <w:pPr>
              <w:rPr>
                <w:sz w:val="20"/>
                <w:szCs w:val="20"/>
              </w:rPr>
            </w:pPr>
            <w:r w:rsidRPr="00FA3F57">
              <w:rPr>
                <w:sz w:val="20"/>
                <w:szCs w:val="20"/>
              </w:rPr>
              <w:lastRenderedPageBreak/>
              <w:t>Current estimated value of the investment</w:t>
            </w:r>
            <w:r w:rsidRPr="00FA3F57">
              <w:rPr>
                <w:sz w:val="20"/>
                <w:szCs w:val="20"/>
              </w:rPr>
              <w:br/>
              <w:t>(in thousands of RSD)</w:t>
            </w:r>
          </w:p>
        </w:tc>
        <w:tc>
          <w:tcPr>
            <w:tcW w:w="5669" w:type="dxa"/>
          </w:tcPr>
          <w:p w14:paraId="0C2B9B69" w14:textId="77777777" w:rsidR="0094644B" w:rsidRPr="00FA3F57" w:rsidRDefault="0094644B" w:rsidP="00FB5086">
            <w:pPr>
              <w:rPr>
                <w:sz w:val="20"/>
                <w:szCs w:val="20"/>
              </w:rPr>
            </w:pPr>
            <w:r w:rsidRPr="00FA3F57">
              <w:rPr>
                <w:sz w:val="20"/>
                <w:szCs w:val="20"/>
              </w:rPr>
              <w:t>433,825 (3.7 million EUR)</w:t>
            </w:r>
          </w:p>
        </w:tc>
      </w:tr>
      <w:tr w:rsidR="0094644B" w:rsidRPr="00F07779" w14:paraId="003935ED" w14:textId="77777777" w:rsidTr="00FB5086">
        <w:tc>
          <w:tcPr>
            <w:tcW w:w="2973" w:type="dxa"/>
            <w:hideMark/>
          </w:tcPr>
          <w:p w14:paraId="1305FB45" w14:textId="77777777" w:rsidR="0094644B" w:rsidRPr="00FA3F57" w:rsidRDefault="0094644B" w:rsidP="00FB5086">
            <w:pPr>
              <w:rPr>
                <w:sz w:val="20"/>
                <w:szCs w:val="20"/>
              </w:rPr>
            </w:pPr>
            <w:r w:rsidRPr="00FA3F57">
              <w:rPr>
                <w:sz w:val="20"/>
                <w:szCs w:val="20"/>
              </w:rPr>
              <w:t>Planned investments for 2026.</w:t>
            </w:r>
            <w:r w:rsidRPr="00FA3F57">
              <w:rPr>
                <w:sz w:val="20"/>
                <w:szCs w:val="20"/>
              </w:rPr>
              <w:br/>
              <w:t>(in thousands of RSD)</w:t>
            </w:r>
          </w:p>
        </w:tc>
        <w:tc>
          <w:tcPr>
            <w:tcW w:w="5669" w:type="dxa"/>
          </w:tcPr>
          <w:p w14:paraId="67854F1F" w14:textId="77777777" w:rsidR="0094644B" w:rsidRPr="00FA3F57" w:rsidRDefault="0094644B" w:rsidP="00FB5086">
            <w:pPr>
              <w:rPr>
                <w:sz w:val="20"/>
                <w:szCs w:val="20"/>
              </w:rPr>
            </w:pPr>
            <w:r w:rsidRPr="00FA3F57">
              <w:rPr>
                <w:sz w:val="20"/>
                <w:szCs w:val="20"/>
              </w:rPr>
              <w:t>119,784</w:t>
            </w:r>
            <w:r w:rsidRPr="00FA3F57" w:rsidDel="00A229E9">
              <w:rPr>
                <w:sz w:val="20"/>
                <w:szCs w:val="20"/>
              </w:rPr>
              <w:t xml:space="preserve"> </w:t>
            </w:r>
            <w:r w:rsidRPr="00FA3F57">
              <w:rPr>
                <w:sz w:val="20"/>
                <w:szCs w:val="20"/>
              </w:rPr>
              <w:t>(own funds of EMS JSC)</w:t>
            </w:r>
          </w:p>
        </w:tc>
      </w:tr>
      <w:tr w:rsidR="0094644B" w:rsidRPr="00F07779" w14:paraId="32118ED6" w14:textId="77777777" w:rsidTr="00FB5086">
        <w:tc>
          <w:tcPr>
            <w:tcW w:w="2973" w:type="dxa"/>
            <w:hideMark/>
          </w:tcPr>
          <w:p w14:paraId="2DD67A86" w14:textId="77777777" w:rsidR="0094644B" w:rsidRPr="00FA3F57" w:rsidRDefault="0094644B" w:rsidP="00FB5086">
            <w:pPr>
              <w:rPr>
                <w:sz w:val="20"/>
                <w:szCs w:val="20"/>
              </w:rPr>
            </w:pPr>
            <w:r w:rsidRPr="00FA3F57">
              <w:rPr>
                <w:sz w:val="20"/>
                <w:szCs w:val="20"/>
              </w:rPr>
              <w:t>Planned investments for 2027.</w:t>
            </w:r>
            <w:r w:rsidRPr="00FA3F57">
              <w:rPr>
                <w:sz w:val="20"/>
                <w:szCs w:val="20"/>
              </w:rPr>
              <w:br/>
              <w:t>(in thousands of RSD)</w:t>
            </w:r>
          </w:p>
        </w:tc>
        <w:tc>
          <w:tcPr>
            <w:tcW w:w="5669" w:type="dxa"/>
          </w:tcPr>
          <w:p w14:paraId="18272DB7" w14:textId="77777777" w:rsidR="0094644B" w:rsidRPr="00FA3F57" w:rsidRDefault="0094644B" w:rsidP="00FB5086">
            <w:pPr>
              <w:rPr>
                <w:sz w:val="20"/>
                <w:szCs w:val="20"/>
              </w:rPr>
            </w:pPr>
            <w:r w:rsidRPr="00FA3F57">
              <w:rPr>
                <w:sz w:val="20"/>
                <w:szCs w:val="20"/>
              </w:rPr>
              <w:t>238,144</w:t>
            </w:r>
            <w:r w:rsidRPr="00FA3F57" w:rsidDel="00783A15">
              <w:rPr>
                <w:sz w:val="20"/>
                <w:szCs w:val="20"/>
              </w:rPr>
              <w:t xml:space="preserve"> </w:t>
            </w:r>
            <w:r w:rsidRPr="00FA3F57">
              <w:rPr>
                <w:sz w:val="20"/>
                <w:szCs w:val="20"/>
              </w:rPr>
              <w:t>(own funds of EMS JSC)</w:t>
            </w:r>
          </w:p>
        </w:tc>
      </w:tr>
      <w:tr w:rsidR="0094644B" w:rsidRPr="00F07779" w14:paraId="67FE7B97" w14:textId="77777777" w:rsidTr="00FB5086">
        <w:tc>
          <w:tcPr>
            <w:tcW w:w="2973" w:type="dxa"/>
            <w:hideMark/>
          </w:tcPr>
          <w:p w14:paraId="66A17AE9" w14:textId="77777777" w:rsidR="0094644B" w:rsidRPr="00FA3F57" w:rsidRDefault="0094644B" w:rsidP="00FB5086">
            <w:pPr>
              <w:rPr>
                <w:sz w:val="20"/>
                <w:szCs w:val="20"/>
              </w:rPr>
            </w:pPr>
            <w:r w:rsidRPr="00FA3F57">
              <w:rPr>
                <w:sz w:val="20"/>
                <w:szCs w:val="20"/>
              </w:rPr>
              <w:t>Planned investments for 2028.</w:t>
            </w:r>
            <w:r w:rsidRPr="00FA3F57">
              <w:rPr>
                <w:sz w:val="20"/>
                <w:szCs w:val="20"/>
              </w:rPr>
              <w:br/>
              <w:t>(in thousands of RSD)</w:t>
            </w:r>
          </w:p>
        </w:tc>
        <w:tc>
          <w:tcPr>
            <w:tcW w:w="5669" w:type="dxa"/>
          </w:tcPr>
          <w:p w14:paraId="5BF52E4F" w14:textId="77777777" w:rsidR="0094644B" w:rsidRPr="00FA3F57" w:rsidRDefault="0094644B" w:rsidP="00FB5086">
            <w:pPr>
              <w:rPr>
                <w:sz w:val="20"/>
                <w:szCs w:val="20"/>
              </w:rPr>
            </w:pPr>
            <w:r w:rsidRPr="00FA3F57">
              <w:rPr>
                <w:sz w:val="20"/>
                <w:szCs w:val="20"/>
              </w:rPr>
              <w:t>0</w:t>
            </w:r>
          </w:p>
        </w:tc>
      </w:tr>
    </w:tbl>
    <w:p w14:paraId="28D84977" w14:textId="77777777" w:rsidR="0094644B" w:rsidRPr="00F07779" w:rsidRDefault="0094644B" w:rsidP="0094644B"/>
    <w:tbl>
      <w:tblPr>
        <w:tblStyle w:val="TableGrid"/>
        <w:tblW w:w="0" w:type="auto"/>
        <w:tblLook w:val="04A0" w:firstRow="1" w:lastRow="0" w:firstColumn="1" w:lastColumn="0" w:noHBand="0" w:noVBand="1"/>
      </w:tblPr>
      <w:tblGrid>
        <w:gridCol w:w="2973"/>
        <w:gridCol w:w="5669"/>
      </w:tblGrid>
      <w:tr w:rsidR="0094644B" w:rsidRPr="00F07779" w14:paraId="2F13F20D" w14:textId="77777777" w:rsidTr="00FB5086">
        <w:tc>
          <w:tcPr>
            <w:tcW w:w="2973" w:type="dxa"/>
            <w:shd w:val="clear" w:color="auto" w:fill="D0CECE" w:themeFill="background2" w:themeFillShade="E6"/>
          </w:tcPr>
          <w:p w14:paraId="0C872C81" w14:textId="77777777" w:rsidR="0094644B" w:rsidRPr="00FA3F57" w:rsidRDefault="0094644B" w:rsidP="00FB5086">
            <w:pPr>
              <w:keepNext/>
              <w:rPr>
                <w:sz w:val="20"/>
                <w:szCs w:val="20"/>
              </w:rPr>
            </w:pPr>
            <w:r w:rsidRPr="00FA3F57">
              <w:rPr>
                <w:sz w:val="20"/>
                <w:szCs w:val="20"/>
              </w:rPr>
              <w:t>Activity EL6.1</w:t>
            </w:r>
          </w:p>
        </w:tc>
        <w:tc>
          <w:tcPr>
            <w:tcW w:w="5669" w:type="dxa"/>
            <w:shd w:val="clear" w:color="auto" w:fill="D0CECE" w:themeFill="background2" w:themeFillShade="E6"/>
          </w:tcPr>
          <w:p w14:paraId="38C31546" w14:textId="77777777" w:rsidR="0094644B" w:rsidRPr="00FA3F57" w:rsidRDefault="0094644B" w:rsidP="00FB5086">
            <w:pPr>
              <w:keepNext/>
              <w:rPr>
                <w:sz w:val="20"/>
                <w:szCs w:val="20"/>
              </w:rPr>
            </w:pPr>
            <w:r w:rsidRPr="00FA3F57">
              <w:rPr>
                <w:sz w:val="20"/>
                <w:szCs w:val="20"/>
              </w:rPr>
              <w:t>Increasing the reliability of the transmission system and the security of the consumer supply</w:t>
            </w:r>
          </w:p>
        </w:tc>
      </w:tr>
      <w:tr w:rsidR="0094644B" w:rsidRPr="00F07779" w14:paraId="26A7FC1F" w14:textId="77777777" w:rsidTr="00FB5086">
        <w:tc>
          <w:tcPr>
            <w:tcW w:w="2973" w:type="dxa"/>
            <w:shd w:val="clear" w:color="auto" w:fill="FFF2CC" w:themeFill="accent4" w:themeFillTint="33"/>
            <w:hideMark/>
          </w:tcPr>
          <w:p w14:paraId="2B39AB79" w14:textId="77777777" w:rsidR="0094644B" w:rsidRPr="00FA3F57" w:rsidRDefault="0094644B" w:rsidP="00FB5086">
            <w:pPr>
              <w:keepNext/>
              <w:rPr>
                <w:sz w:val="20"/>
                <w:szCs w:val="20"/>
              </w:rPr>
            </w:pPr>
            <w:r w:rsidRPr="00FA3F57">
              <w:rPr>
                <w:sz w:val="20"/>
                <w:szCs w:val="20"/>
              </w:rPr>
              <w:t>Name of the project</w:t>
            </w:r>
          </w:p>
        </w:tc>
        <w:tc>
          <w:tcPr>
            <w:tcW w:w="5669" w:type="dxa"/>
            <w:shd w:val="clear" w:color="auto" w:fill="FFF2CC" w:themeFill="accent4" w:themeFillTint="33"/>
          </w:tcPr>
          <w:p w14:paraId="5E74171F" w14:textId="77777777" w:rsidR="0094644B" w:rsidRPr="00FA3F57" w:rsidRDefault="0094644B" w:rsidP="00FB5086">
            <w:pPr>
              <w:keepNext/>
              <w:rPr>
                <w:sz w:val="20"/>
                <w:szCs w:val="20"/>
              </w:rPr>
            </w:pPr>
            <w:r w:rsidRPr="00F07779">
              <w:rPr>
                <w:sz w:val="20"/>
                <w:szCs w:val="20"/>
              </w:rPr>
              <w:t>Res</w:t>
            </w:r>
            <w:r w:rsidRPr="00FA3F57">
              <w:rPr>
                <w:sz w:val="20"/>
                <w:szCs w:val="20"/>
              </w:rPr>
              <w:t xml:space="preserve">olving the radial power supply of the TS </w:t>
            </w:r>
            <w:proofErr w:type="spellStart"/>
            <w:r w:rsidRPr="00FA3F57">
              <w:rPr>
                <w:sz w:val="20"/>
                <w:szCs w:val="20"/>
              </w:rPr>
              <w:t>Kopaonik</w:t>
            </w:r>
            <w:proofErr w:type="spellEnd"/>
          </w:p>
        </w:tc>
      </w:tr>
      <w:tr w:rsidR="0094644B" w:rsidRPr="00F07779" w14:paraId="0E9D0A2B" w14:textId="77777777" w:rsidTr="00FB5086">
        <w:tc>
          <w:tcPr>
            <w:tcW w:w="2973" w:type="dxa"/>
            <w:shd w:val="clear" w:color="auto" w:fill="D9E2F3" w:themeFill="accent1" w:themeFillTint="33"/>
            <w:hideMark/>
          </w:tcPr>
          <w:p w14:paraId="157FEE68" w14:textId="77777777" w:rsidR="0094644B" w:rsidRPr="00FA3F57" w:rsidRDefault="0094644B" w:rsidP="00FB5086">
            <w:pPr>
              <w:keepNext/>
              <w:rPr>
                <w:sz w:val="20"/>
                <w:szCs w:val="20"/>
              </w:rPr>
            </w:pPr>
            <w:r w:rsidRPr="00FA3F57">
              <w:rPr>
                <w:sz w:val="20"/>
                <w:szCs w:val="20"/>
              </w:rPr>
              <w:t>Name of the investment</w:t>
            </w:r>
          </w:p>
        </w:tc>
        <w:tc>
          <w:tcPr>
            <w:tcW w:w="5669" w:type="dxa"/>
            <w:shd w:val="clear" w:color="auto" w:fill="D9E2F3" w:themeFill="accent1" w:themeFillTint="33"/>
          </w:tcPr>
          <w:p w14:paraId="67E9C7A6" w14:textId="77777777" w:rsidR="0094644B" w:rsidRPr="00FA3F57" w:rsidRDefault="0094644B" w:rsidP="00FB5086">
            <w:pPr>
              <w:keepNext/>
              <w:rPr>
                <w:sz w:val="20"/>
                <w:szCs w:val="20"/>
              </w:rPr>
            </w:pPr>
            <w:r w:rsidRPr="00FA3F57">
              <w:rPr>
                <w:sz w:val="20"/>
                <w:szCs w:val="20"/>
              </w:rPr>
              <w:t xml:space="preserve">OHL 110 kV No. 161 TS </w:t>
            </w:r>
            <w:proofErr w:type="spellStart"/>
            <w:r w:rsidRPr="00FA3F57">
              <w:rPr>
                <w:sz w:val="20"/>
                <w:szCs w:val="20"/>
              </w:rPr>
              <w:t>Kraljevo</w:t>
            </w:r>
            <w:proofErr w:type="spellEnd"/>
            <w:r w:rsidRPr="00FA3F57">
              <w:rPr>
                <w:sz w:val="20"/>
                <w:szCs w:val="20"/>
              </w:rPr>
              <w:t xml:space="preserve"> 3 – TS </w:t>
            </w:r>
            <w:proofErr w:type="spellStart"/>
            <w:r w:rsidRPr="00FA3F57">
              <w:rPr>
                <w:sz w:val="20"/>
                <w:szCs w:val="20"/>
              </w:rPr>
              <w:t>Raška</w:t>
            </w:r>
            <w:proofErr w:type="spellEnd"/>
            <w:r w:rsidRPr="00FA3F57">
              <w:rPr>
                <w:sz w:val="20"/>
                <w:szCs w:val="20"/>
              </w:rPr>
              <w:t xml:space="preserve">, leading into TS </w:t>
            </w:r>
            <w:proofErr w:type="spellStart"/>
            <w:r w:rsidRPr="00FA3F57">
              <w:rPr>
                <w:sz w:val="20"/>
                <w:szCs w:val="20"/>
              </w:rPr>
              <w:t>Kopaonik</w:t>
            </w:r>
            <w:proofErr w:type="spellEnd"/>
          </w:p>
        </w:tc>
      </w:tr>
      <w:tr w:rsidR="0094644B" w:rsidRPr="00F07779" w14:paraId="2602464A" w14:textId="77777777" w:rsidTr="00FB5086">
        <w:tc>
          <w:tcPr>
            <w:tcW w:w="2973" w:type="dxa"/>
            <w:hideMark/>
          </w:tcPr>
          <w:p w14:paraId="399BC573" w14:textId="77777777" w:rsidR="0094644B" w:rsidRPr="00FA3F57" w:rsidRDefault="0094644B" w:rsidP="00FB5086">
            <w:pPr>
              <w:rPr>
                <w:sz w:val="20"/>
                <w:szCs w:val="20"/>
              </w:rPr>
            </w:pPr>
            <w:r w:rsidRPr="00FA3F57">
              <w:rPr>
                <w:sz w:val="20"/>
                <w:szCs w:val="20"/>
              </w:rPr>
              <w:t>Short description of the investment</w:t>
            </w:r>
          </w:p>
        </w:tc>
        <w:tc>
          <w:tcPr>
            <w:tcW w:w="5669" w:type="dxa"/>
          </w:tcPr>
          <w:p w14:paraId="27F29E9A" w14:textId="77777777" w:rsidR="0094644B" w:rsidRPr="00F07779" w:rsidRDefault="0094644B" w:rsidP="00FB5086">
            <w:pPr>
              <w:rPr>
                <w:sz w:val="20"/>
                <w:szCs w:val="20"/>
              </w:rPr>
            </w:pPr>
            <w:r w:rsidRPr="00FA3F57">
              <w:rPr>
                <w:sz w:val="20"/>
                <w:szCs w:val="20"/>
              </w:rPr>
              <w:t xml:space="preserve">To </w:t>
            </w:r>
            <w:r w:rsidRPr="00F07779">
              <w:rPr>
                <w:sz w:val="20"/>
                <w:szCs w:val="20"/>
              </w:rPr>
              <w:t>re</w:t>
            </w:r>
            <w:r w:rsidRPr="00FA3F57">
              <w:rPr>
                <w:sz w:val="20"/>
                <w:szCs w:val="20"/>
              </w:rPr>
              <w:t xml:space="preserve">solve the radial power supply problem of the TS </w:t>
            </w:r>
            <w:proofErr w:type="spellStart"/>
            <w:r w:rsidRPr="00FA3F57">
              <w:rPr>
                <w:sz w:val="20"/>
                <w:szCs w:val="20"/>
              </w:rPr>
              <w:t>Kopaonik</w:t>
            </w:r>
            <w:proofErr w:type="spellEnd"/>
            <w:r w:rsidRPr="00FA3F57">
              <w:rPr>
                <w:sz w:val="20"/>
                <w:szCs w:val="20"/>
              </w:rPr>
              <w:t xml:space="preserve">, the construction of a single-system transmission line from the TS </w:t>
            </w:r>
            <w:proofErr w:type="spellStart"/>
            <w:r w:rsidRPr="00FA3F57">
              <w:rPr>
                <w:sz w:val="20"/>
                <w:szCs w:val="20"/>
              </w:rPr>
              <w:t>Kopaonik</w:t>
            </w:r>
            <w:proofErr w:type="spellEnd"/>
            <w:r w:rsidRPr="00FA3F57">
              <w:rPr>
                <w:sz w:val="20"/>
                <w:szCs w:val="20"/>
              </w:rPr>
              <w:t xml:space="preserve"> to transmission line No. 161 north of </w:t>
            </w:r>
            <w:proofErr w:type="spellStart"/>
            <w:r w:rsidRPr="00FA3F57">
              <w:rPr>
                <w:sz w:val="20"/>
                <w:szCs w:val="20"/>
              </w:rPr>
              <w:t>Raška</w:t>
            </w:r>
            <w:proofErr w:type="spellEnd"/>
            <w:r w:rsidRPr="00FA3F57">
              <w:rPr>
                <w:sz w:val="20"/>
                <w:szCs w:val="20"/>
              </w:rPr>
              <w:t xml:space="preserve"> is planned.</w:t>
            </w:r>
          </w:p>
          <w:p w14:paraId="21BB3AE9" w14:textId="77777777" w:rsidR="0094644B" w:rsidRPr="00FA3F57" w:rsidRDefault="0094644B" w:rsidP="00FB5086">
            <w:pPr>
              <w:rPr>
                <w:sz w:val="20"/>
                <w:szCs w:val="20"/>
              </w:rPr>
            </w:pPr>
            <w:r w:rsidRPr="00FA3F57">
              <w:rPr>
                <w:sz w:val="20"/>
                <w:szCs w:val="20"/>
              </w:rPr>
              <w:t>Expected dynamics of project implementation:</w:t>
            </w:r>
          </w:p>
          <w:p w14:paraId="26CFC2A1" w14:textId="77777777" w:rsidR="0094644B" w:rsidRPr="00FA3F57" w:rsidRDefault="0094644B" w:rsidP="00FB5086">
            <w:pPr>
              <w:rPr>
                <w:sz w:val="20"/>
                <w:szCs w:val="20"/>
              </w:rPr>
            </w:pPr>
            <w:r w:rsidRPr="00FA3F57">
              <w:rPr>
                <w:sz w:val="20"/>
                <w:szCs w:val="20"/>
              </w:rPr>
              <w:t>2026. Location conditions</w:t>
            </w:r>
          </w:p>
          <w:p w14:paraId="0B6A66FE" w14:textId="77777777" w:rsidR="0094644B" w:rsidRPr="00FA3F57" w:rsidRDefault="0094644B" w:rsidP="00FB5086">
            <w:pPr>
              <w:rPr>
                <w:sz w:val="20"/>
                <w:szCs w:val="20"/>
              </w:rPr>
            </w:pPr>
            <w:r w:rsidRPr="00FA3F57">
              <w:rPr>
                <w:sz w:val="20"/>
                <w:szCs w:val="20"/>
              </w:rPr>
              <w:t>2027. Building permit</w:t>
            </w:r>
          </w:p>
          <w:p w14:paraId="0BFDE336" w14:textId="77777777" w:rsidR="0094644B" w:rsidRPr="00FA3F57" w:rsidRDefault="0094644B" w:rsidP="00FB5086">
            <w:pPr>
              <w:rPr>
                <w:sz w:val="20"/>
                <w:szCs w:val="20"/>
              </w:rPr>
            </w:pPr>
            <w:r w:rsidRPr="00FA3F57">
              <w:rPr>
                <w:sz w:val="20"/>
                <w:szCs w:val="20"/>
              </w:rPr>
              <w:t>2028.</w:t>
            </w:r>
            <w:r w:rsidRPr="00F07779">
              <w:rPr>
                <w:sz w:val="20"/>
                <w:szCs w:val="20"/>
              </w:rPr>
              <w:t xml:space="preserve"> </w:t>
            </w:r>
            <w:r w:rsidRPr="00FA3F57">
              <w:rPr>
                <w:sz w:val="20"/>
                <w:szCs w:val="20"/>
              </w:rPr>
              <w:t>Construction</w:t>
            </w:r>
          </w:p>
        </w:tc>
      </w:tr>
      <w:tr w:rsidR="0094644B" w:rsidRPr="00F07779" w14:paraId="2A54D16D" w14:textId="77777777" w:rsidTr="00FB5086">
        <w:tc>
          <w:tcPr>
            <w:tcW w:w="2973" w:type="dxa"/>
          </w:tcPr>
          <w:p w14:paraId="404F5D26" w14:textId="77777777" w:rsidR="0094644B" w:rsidRPr="00FA3F57" w:rsidRDefault="0094644B" w:rsidP="00FB5086">
            <w:pPr>
              <w:rPr>
                <w:sz w:val="20"/>
                <w:szCs w:val="20"/>
              </w:rPr>
            </w:pPr>
            <w:r w:rsidRPr="00FA3F57">
              <w:rPr>
                <w:sz w:val="20"/>
                <w:szCs w:val="20"/>
              </w:rPr>
              <w:t>Institutions responsible for the implementation of measures and activities</w:t>
            </w:r>
          </w:p>
        </w:tc>
        <w:tc>
          <w:tcPr>
            <w:tcW w:w="5669" w:type="dxa"/>
          </w:tcPr>
          <w:p w14:paraId="3FB55398" w14:textId="77777777" w:rsidR="0094644B" w:rsidRPr="00FA3F57" w:rsidRDefault="0094644B" w:rsidP="00FB5086">
            <w:pPr>
              <w:rPr>
                <w:sz w:val="20"/>
                <w:szCs w:val="20"/>
              </w:rPr>
            </w:pPr>
            <w:r w:rsidRPr="00FA3F57">
              <w:rPr>
                <w:sz w:val="20"/>
                <w:szCs w:val="20"/>
              </w:rPr>
              <w:t>EMS JSC Belgrade</w:t>
            </w:r>
          </w:p>
        </w:tc>
      </w:tr>
      <w:tr w:rsidR="0094644B" w:rsidRPr="00F07779" w14:paraId="73E4DA32" w14:textId="77777777" w:rsidTr="00FB5086">
        <w:tc>
          <w:tcPr>
            <w:tcW w:w="2973" w:type="dxa"/>
          </w:tcPr>
          <w:p w14:paraId="12F308F5" w14:textId="77777777" w:rsidR="0094644B" w:rsidRPr="00FA3F57" w:rsidRDefault="0094644B" w:rsidP="00FB5086">
            <w:pPr>
              <w:rPr>
                <w:sz w:val="20"/>
                <w:szCs w:val="20"/>
              </w:rPr>
            </w:pPr>
            <w:r w:rsidRPr="00FA3F57">
              <w:rPr>
                <w:sz w:val="20"/>
                <w:szCs w:val="20"/>
              </w:rPr>
              <w:t>Institutions responsible for monitoring implementation and reporting on the realization</w:t>
            </w:r>
          </w:p>
        </w:tc>
        <w:tc>
          <w:tcPr>
            <w:tcW w:w="5669" w:type="dxa"/>
          </w:tcPr>
          <w:p w14:paraId="10AB67FD" w14:textId="77777777" w:rsidR="0094644B" w:rsidRPr="00F07779" w:rsidRDefault="0094644B" w:rsidP="00FB5086">
            <w:pPr>
              <w:rPr>
                <w:sz w:val="20"/>
                <w:szCs w:val="20"/>
              </w:rPr>
            </w:pPr>
            <w:r w:rsidRPr="00FA3F57">
              <w:rPr>
                <w:sz w:val="20"/>
                <w:szCs w:val="20"/>
              </w:rPr>
              <w:t>EMS JSC Belgrade</w:t>
            </w:r>
          </w:p>
          <w:p w14:paraId="1AC1053E" w14:textId="77777777" w:rsidR="0094644B" w:rsidRPr="00FA3F57" w:rsidRDefault="0094644B" w:rsidP="00FB5086">
            <w:pPr>
              <w:rPr>
                <w:sz w:val="20"/>
                <w:szCs w:val="20"/>
              </w:rPr>
            </w:pPr>
            <w:r w:rsidRPr="00FA3F57">
              <w:rPr>
                <w:sz w:val="20"/>
                <w:szCs w:val="20"/>
              </w:rPr>
              <w:t>Republic Commission for Energy Networks</w:t>
            </w:r>
          </w:p>
          <w:p w14:paraId="79F2D511" w14:textId="77777777" w:rsidR="0094644B" w:rsidRPr="00FA3F57" w:rsidRDefault="0094644B" w:rsidP="00FB5086">
            <w:pPr>
              <w:rPr>
                <w:sz w:val="20"/>
                <w:szCs w:val="20"/>
              </w:rPr>
            </w:pPr>
            <w:r w:rsidRPr="00FA3F57">
              <w:rPr>
                <w:sz w:val="20"/>
                <w:szCs w:val="20"/>
              </w:rPr>
              <w:t>Ministry of Mining and Energy</w:t>
            </w:r>
          </w:p>
        </w:tc>
      </w:tr>
      <w:tr w:rsidR="0094644B" w:rsidRPr="00F07779" w14:paraId="4805BC59" w14:textId="77777777" w:rsidTr="00FB5086">
        <w:tc>
          <w:tcPr>
            <w:tcW w:w="2973" w:type="dxa"/>
            <w:hideMark/>
          </w:tcPr>
          <w:p w14:paraId="2D939518" w14:textId="77777777" w:rsidR="0094644B" w:rsidRPr="00FA3F57" w:rsidRDefault="0094644B" w:rsidP="00FB5086">
            <w:pPr>
              <w:rPr>
                <w:sz w:val="20"/>
                <w:szCs w:val="20"/>
              </w:rPr>
            </w:pPr>
            <w:r w:rsidRPr="00FA3F57">
              <w:rPr>
                <w:sz w:val="20"/>
                <w:szCs w:val="20"/>
              </w:rPr>
              <w:t>Year of the start of the investment</w:t>
            </w:r>
          </w:p>
        </w:tc>
        <w:tc>
          <w:tcPr>
            <w:tcW w:w="5669" w:type="dxa"/>
          </w:tcPr>
          <w:p w14:paraId="11CB86F9" w14:textId="77777777" w:rsidR="0094644B" w:rsidRPr="00FA3F57" w:rsidRDefault="0094644B" w:rsidP="00FB5086">
            <w:pPr>
              <w:rPr>
                <w:sz w:val="20"/>
                <w:szCs w:val="20"/>
              </w:rPr>
            </w:pPr>
            <w:r w:rsidRPr="00FA3F57">
              <w:rPr>
                <w:sz w:val="20"/>
                <w:szCs w:val="20"/>
              </w:rPr>
              <w:t>2022.</w:t>
            </w:r>
          </w:p>
        </w:tc>
      </w:tr>
      <w:tr w:rsidR="0094644B" w:rsidRPr="00F07779" w14:paraId="57B8F974" w14:textId="77777777" w:rsidTr="00FB5086">
        <w:tc>
          <w:tcPr>
            <w:tcW w:w="2973" w:type="dxa"/>
            <w:hideMark/>
          </w:tcPr>
          <w:p w14:paraId="1F177D86" w14:textId="77777777" w:rsidR="0094644B" w:rsidRPr="00FA3F57" w:rsidRDefault="0094644B" w:rsidP="00FB5086">
            <w:pPr>
              <w:rPr>
                <w:sz w:val="20"/>
                <w:szCs w:val="20"/>
              </w:rPr>
            </w:pPr>
            <w:r w:rsidRPr="00FA3F57">
              <w:rPr>
                <w:sz w:val="20"/>
                <w:szCs w:val="20"/>
              </w:rPr>
              <w:t>Year of completion of project funding</w:t>
            </w:r>
          </w:p>
        </w:tc>
        <w:tc>
          <w:tcPr>
            <w:tcW w:w="5669" w:type="dxa"/>
          </w:tcPr>
          <w:p w14:paraId="63373354" w14:textId="77777777" w:rsidR="0094644B" w:rsidRPr="00FA3F57" w:rsidRDefault="0094644B" w:rsidP="00FB5086">
            <w:pPr>
              <w:rPr>
                <w:sz w:val="20"/>
                <w:szCs w:val="20"/>
              </w:rPr>
            </w:pPr>
            <w:r w:rsidRPr="00FA3F57">
              <w:rPr>
                <w:sz w:val="20"/>
                <w:szCs w:val="20"/>
              </w:rPr>
              <w:t>202</w:t>
            </w:r>
            <w:r w:rsidRPr="00F07779">
              <w:rPr>
                <w:sz w:val="20"/>
                <w:szCs w:val="20"/>
              </w:rPr>
              <w:t>8</w:t>
            </w:r>
            <w:r w:rsidRPr="00FA3F57">
              <w:rPr>
                <w:sz w:val="20"/>
                <w:szCs w:val="20"/>
              </w:rPr>
              <w:t>.</w:t>
            </w:r>
          </w:p>
        </w:tc>
      </w:tr>
      <w:tr w:rsidR="0094644B" w:rsidRPr="00F07779" w14:paraId="0E62EE22" w14:textId="77777777" w:rsidTr="00FB5086">
        <w:tc>
          <w:tcPr>
            <w:tcW w:w="2973" w:type="dxa"/>
            <w:hideMark/>
          </w:tcPr>
          <w:p w14:paraId="6E46AC1B" w14:textId="77777777" w:rsidR="0094644B" w:rsidRPr="00FA3F57" w:rsidRDefault="0094644B" w:rsidP="00FB5086">
            <w:pPr>
              <w:rPr>
                <w:sz w:val="20"/>
                <w:szCs w:val="20"/>
              </w:rPr>
            </w:pPr>
            <w:r w:rsidRPr="00FA3F57">
              <w:rPr>
                <w:sz w:val="20"/>
                <w:szCs w:val="20"/>
              </w:rPr>
              <w:t>Current estimated value of the investment</w:t>
            </w:r>
            <w:r w:rsidRPr="00FA3F57">
              <w:rPr>
                <w:sz w:val="20"/>
                <w:szCs w:val="20"/>
              </w:rPr>
              <w:br/>
              <w:t>(in thousands of RSD)</w:t>
            </w:r>
          </w:p>
        </w:tc>
        <w:tc>
          <w:tcPr>
            <w:tcW w:w="5669" w:type="dxa"/>
          </w:tcPr>
          <w:p w14:paraId="28458743" w14:textId="77777777" w:rsidR="0094644B" w:rsidRPr="00FA3F57" w:rsidRDefault="0094644B" w:rsidP="00FB5086">
            <w:pPr>
              <w:rPr>
                <w:sz w:val="20"/>
                <w:szCs w:val="20"/>
              </w:rPr>
            </w:pPr>
            <w:r w:rsidRPr="00FA3F57">
              <w:rPr>
                <w:sz w:val="20"/>
                <w:szCs w:val="20"/>
              </w:rPr>
              <w:t>539,350 (4.6 million EUR)</w:t>
            </w:r>
          </w:p>
        </w:tc>
      </w:tr>
      <w:tr w:rsidR="0094644B" w:rsidRPr="00F07779" w14:paraId="05B574AA" w14:textId="77777777" w:rsidTr="00FB5086">
        <w:tc>
          <w:tcPr>
            <w:tcW w:w="2973" w:type="dxa"/>
            <w:hideMark/>
          </w:tcPr>
          <w:p w14:paraId="04564B33" w14:textId="77777777" w:rsidR="0094644B" w:rsidRPr="00FA3F57" w:rsidRDefault="0094644B" w:rsidP="00FB5086">
            <w:pPr>
              <w:rPr>
                <w:sz w:val="20"/>
                <w:szCs w:val="20"/>
              </w:rPr>
            </w:pPr>
            <w:r w:rsidRPr="00FA3F57">
              <w:rPr>
                <w:sz w:val="20"/>
                <w:szCs w:val="20"/>
              </w:rPr>
              <w:t>Planned investments for 2026.</w:t>
            </w:r>
            <w:r w:rsidRPr="00FA3F57">
              <w:rPr>
                <w:sz w:val="20"/>
                <w:szCs w:val="20"/>
              </w:rPr>
              <w:br/>
              <w:t>(in thousands of RSD)</w:t>
            </w:r>
          </w:p>
        </w:tc>
        <w:tc>
          <w:tcPr>
            <w:tcW w:w="5669" w:type="dxa"/>
          </w:tcPr>
          <w:p w14:paraId="7D8F8385" w14:textId="77777777" w:rsidR="0094644B" w:rsidRPr="00FA3F57" w:rsidRDefault="0094644B" w:rsidP="00FB5086">
            <w:pPr>
              <w:rPr>
                <w:sz w:val="20"/>
                <w:szCs w:val="20"/>
              </w:rPr>
            </w:pPr>
            <w:r w:rsidRPr="00FA3F57">
              <w:rPr>
                <w:sz w:val="20"/>
                <w:szCs w:val="20"/>
              </w:rPr>
              <w:t>216</w:t>
            </w:r>
            <w:r w:rsidRPr="00F07779">
              <w:rPr>
                <w:sz w:val="20"/>
                <w:szCs w:val="20"/>
              </w:rPr>
              <w:t>,</w:t>
            </w:r>
            <w:r w:rsidRPr="00FA3F57">
              <w:rPr>
                <w:sz w:val="20"/>
                <w:szCs w:val="20"/>
              </w:rPr>
              <w:t>771</w:t>
            </w:r>
            <w:r w:rsidRPr="00FA3F57" w:rsidDel="00EC5CAB">
              <w:rPr>
                <w:sz w:val="20"/>
                <w:szCs w:val="20"/>
              </w:rPr>
              <w:t xml:space="preserve"> </w:t>
            </w:r>
            <w:r w:rsidRPr="00FA3F57">
              <w:rPr>
                <w:sz w:val="20"/>
                <w:szCs w:val="20"/>
              </w:rPr>
              <w:t>(own funds of EMS JSC)</w:t>
            </w:r>
          </w:p>
        </w:tc>
      </w:tr>
      <w:tr w:rsidR="0094644B" w:rsidRPr="00F07779" w14:paraId="0222155C" w14:textId="77777777" w:rsidTr="00FB5086">
        <w:tc>
          <w:tcPr>
            <w:tcW w:w="2973" w:type="dxa"/>
            <w:hideMark/>
          </w:tcPr>
          <w:p w14:paraId="1D494E3D" w14:textId="77777777" w:rsidR="0094644B" w:rsidRPr="00FA3F57" w:rsidRDefault="0094644B" w:rsidP="00FB5086">
            <w:pPr>
              <w:rPr>
                <w:sz w:val="20"/>
                <w:szCs w:val="20"/>
              </w:rPr>
            </w:pPr>
            <w:r w:rsidRPr="00FA3F57">
              <w:rPr>
                <w:sz w:val="20"/>
                <w:szCs w:val="20"/>
              </w:rPr>
              <w:t>Planned investments for 2027.</w:t>
            </w:r>
            <w:r w:rsidRPr="00FA3F57">
              <w:rPr>
                <w:sz w:val="20"/>
                <w:szCs w:val="20"/>
              </w:rPr>
              <w:br/>
              <w:t>(in thousands of RSD)</w:t>
            </w:r>
          </w:p>
        </w:tc>
        <w:tc>
          <w:tcPr>
            <w:tcW w:w="5669" w:type="dxa"/>
          </w:tcPr>
          <w:p w14:paraId="204B41A5" w14:textId="77777777" w:rsidR="0094644B" w:rsidRPr="00FA3F57" w:rsidRDefault="0094644B" w:rsidP="00FB5086">
            <w:pPr>
              <w:rPr>
                <w:sz w:val="20"/>
                <w:szCs w:val="20"/>
              </w:rPr>
            </w:pPr>
            <w:r w:rsidRPr="00FA3F57">
              <w:rPr>
                <w:sz w:val="20"/>
                <w:szCs w:val="20"/>
              </w:rPr>
              <w:t>296</w:t>
            </w:r>
            <w:r w:rsidRPr="00F07779">
              <w:rPr>
                <w:sz w:val="20"/>
                <w:szCs w:val="20"/>
              </w:rPr>
              <w:t>,</w:t>
            </w:r>
            <w:r w:rsidRPr="00FA3F57">
              <w:rPr>
                <w:sz w:val="20"/>
                <w:szCs w:val="20"/>
              </w:rPr>
              <w:t>040</w:t>
            </w:r>
            <w:r w:rsidRPr="00FA3F57" w:rsidDel="00EC5CAB">
              <w:rPr>
                <w:sz w:val="20"/>
                <w:szCs w:val="20"/>
              </w:rPr>
              <w:t xml:space="preserve"> </w:t>
            </w:r>
            <w:r w:rsidRPr="00FA3F57">
              <w:rPr>
                <w:sz w:val="20"/>
                <w:szCs w:val="20"/>
              </w:rPr>
              <w:t>(own funds of EMS JSC)</w:t>
            </w:r>
          </w:p>
        </w:tc>
      </w:tr>
      <w:tr w:rsidR="0094644B" w:rsidRPr="00F07779" w14:paraId="74B1DC4B" w14:textId="77777777" w:rsidTr="00FB5086">
        <w:tc>
          <w:tcPr>
            <w:tcW w:w="2973" w:type="dxa"/>
            <w:hideMark/>
          </w:tcPr>
          <w:p w14:paraId="709A29A9" w14:textId="77777777" w:rsidR="0094644B" w:rsidRPr="00FA3F57" w:rsidRDefault="0094644B" w:rsidP="00FB5086">
            <w:pPr>
              <w:rPr>
                <w:sz w:val="20"/>
                <w:szCs w:val="20"/>
              </w:rPr>
            </w:pPr>
            <w:r w:rsidRPr="00FA3F57">
              <w:rPr>
                <w:sz w:val="20"/>
                <w:szCs w:val="20"/>
              </w:rPr>
              <w:t>Planned investments for 2028.</w:t>
            </w:r>
            <w:r w:rsidRPr="00FA3F57">
              <w:rPr>
                <w:sz w:val="20"/>
                <w:szCs w:val="20"/>
              </w:rPr>
              <w:br/>
              <w:t>(in thousands of RSD)</w:t>
            </w:r>
          </w:p>
        </w:tc>
        <w:tc>
          <w:tcPr>
            <w:tcW w:w="5669" w:type="dxa"/>
          </w:tcPr>
          <w:p w14:paraId="653D1DEC" w14:textId="77777777" w:rsidR="0094644B" w:rsidRPr="00FA3F57" w:rsidRDefault="0094644B" w:rsidP="00FB5086">
            <w:pPr>
              <w:rPr>
                <w:sz w:val="20"/>
                <w:szCs w:val="20"/>
              </w:rPr>
            </w:pPr>
            <w:r w:rsidRPr="00FA3F57">
              <w:rPr>
                <w:sz w:val="20"/>
                <w:szCs w:val="20"/>
              </w:rPr>
              <w:t>0</w:t>
            </w:r>
          </w:p>
        </w:tc>
      </w:tr>
    </w:tbl>
    <w:p w14:paraId="665D2939" w14:textId="77777777" w:rsidR="0094644B" w:rsidRPr="00F07779" w:rsidRDefault="0094644B" w:rsidP="0094644B"/>
    <w:tbl>
      <w:tblPr>
        <w:tblStyle w:val="TableGrid"/>
        <w:tblW w:w="0" w:type="auto"/>
        <w:tblLook w:val="04A0" w:firstRow="1" w:lastRow="0" w:firstColumn="1" w:lastColumn="0" w:noHBand="0" w:noVBand="1"/>
      </w:tblPr>
      <w:tblGrid>
        <w:gridCol w:w="2973"/>
        <w:gridCol w:w="5669"/>
      </w:tblGrid>
      <w:tr w:rsidR="0094644B" w:rsidRPr="00F07779" w14:paraId="2244F23D" w14:textId="77777777" w:rsidTr="00FB5086">
        <w:tc>
          <w:tcPr>
            <w:tcW w:w="2973" w:type="dxa"/>
            <w:shd w:val="clear" w:color="auto" w:fill="D0CECE" w:themeFill="background2" w:themeFillShade="E6"/>
          </w:tcPr>
          <w:p w14:paraId="1F0352D7" w14:textId="77777777" w:rsidR="0094644B" w:rsidRPr="00FA3F57" w:rsidRDefault="0094644B" w:rsidP="00FB5086">
            <w:pPr>
              <w:keepNext/>
              <w:rPr>
                <w:sz w:val="20"/>
                <w:szCs w:val="20"/>
              </w:rPr>
            </w:pPr>
            <w:r w:rsidRPr="00FA3F57">
              <w:rPr>
                <w:sz w:val="20"/>
                <w:szCs w:val="20"/>
              </w:rPr>
              <w:t>Activity EL6.1</w:t>
            </w:r>
          </w:p>
        </w:tc>
        <w:tc>
          <w:tcPr>
            <w:tcW w:w="5669" w:type="dxa"/>
            <w:shd w:val="clear" w:color="auto" w:fill="D0CECE" w:themeFill="background2" w:themeFillShade="E6"/>
          </w:tcPr>
          <w:p w14:paraId="5D8DC17E" w14:textId="77777777" w:rsidR="0094644B" w:rsidRPr="00FA3F57" w:rsidRDefault="0094644B" w:rsidP="00FB5086">
            <w:pPr>
              <w:keepNext/>
              <w:rPr>
                <w:sz w:val="20"/>
                <w:szCs w:val="20"/>
              </w:rPr>
            </w:pPr>
            <w:r w:rsidRPr="00FA3F57">
              <w:rPr>
                <w:sz w:val="20"/>
                <w:szCs w:val="20"/>
              </w:rPr>
              <w:t>Increasing the reliability of the transmission system and the security of the consumer supply</w:t>
            </w:r>
          </w:p>
        </w:tc>
      </w:tr>
      <w:tr w:rsidR="0094644B" w:rsidRPr="00F07779" w14:paraId="181A4404" w14:textId="77777777" w:rsidTr="00FB5086">
        <w:tc>
          <w:tcPr>
            <w:tcW w:w="2973" w:type="dxa"/>
            <w:shd w:val="clear" w:color="auto" w:fill="FFF2CC" w:themeFill="accent4" w:themeFillTint="33"/>
            <w:hideMark/>
          </w:tcPr>
          <w:p w14:paraId="4A0DE47A" w14:textId="77777777" w:rsidR="0094644B" w:rsidRPr="00FA3F57" w:rsidRDefault="0094644B" w:rsidP="00FB5086">
            <w:pPr>
              <w:keepNext/>
              <w:rPr>
                <w:sz w:val="20"/>
                <w:szCs w:val="20"/>
              </w:rPr>
            </w:pPr>
            <w:r w:rsidRPr="00FA3F57">
              <w:rPr>
                <w:sz w:val="20"/>
                <w:szCs w:val="20"/>
              </w:rPr>
              <w:t>Name of the project</w:t>
            </w:r>
          </w:p>
        </w:tc>
        <w:tc>
          <w:tcPr>
            <w:tcW w:w="5669" w:type="dxa"/>
            <w:shd w:val="clear" w:color="auto" w:fill="FFF2CC" w:themeFill="accent4" w:themeFillTint="33"/>
          </w:tcPr>
          <w:p w14:paraId="1202FFC1" w14:textId="77777777" w:rsidR="0094644B" w:rsidRPr="00FA3F57" w:rsidRDefault="0094644B" w:rsidP="00FB5086">
            <w:pPr>
              <w:keepNext/>
              <w:rPr>
                <w:sz w:val="20"/>
                <w:szCs w:val="20"/>
              </w:rPr>
            </w:pPr>
            <w:r w:rsidRPr="00FA3F57">
              <w:rPr>
                <w:sz w:val="20"/>
                <w:szCs w:val="20"/>
              </w:rPr>
              <w:t>Connecting lines for TS</w:t>
            </w:r>
            <w:r w:rsidRPr="00F07779">
              <w:rPr>
                <w:sz w:val="20"/>
                <w:szCs w:val="20"/>
              </w:rPr>
              <w:t xml:space="preserve"> 1</w:t>
            </w:r>
            <w:r w:rsidRPr="00FA3F57">
              <w:rPr>
                <w:sz w:val="20"/>
                <w:szCs w:val="20"/>
              </w:rPr>
              <w:t>10/10 kV Kragujevac 22</w:t>
            </w:r>
          </w:p>
        </w:tc>
      </w:tr>
      <w:tr w:rsidR="0094644B" w:rsidRPr="00F07779" w14:paraId="07D57468" w14:textId="77777777" w:rsidTr="00FB5086">
        <w:tc>
          <w:tcPr>
            <w:tcW w:w="2973" w:type="dxa"/>
            <w:shd w:val="clear" w:color="auto" w:fill="D9E2F3" w:themeFill="accent1" w:themeFillTint="33"/>
            <w:hideMark/>
          </w:tcPr>
          <w:p w14:paraId="42B00A12" w14:textId="77777777" w:rsidR="0094644B" w:rsidRPr="00FA3F57" w:rsidRDefault="0094644B" w:rsidP="00FB5086">
            <w:pPr>
              <w:keepNext/>
              <w:rPr>
                <w:sz w:val="20"/>
                <w:szCs w:val="20"/>
              </w:rPr>
            </w:pPr>
            <w:r w:rsidRPr="00FA3F57">
              <w:rPr>
                <w:sz w:val="20"/>
                <w:szCs w:val="20"/>
              </w:rPr>
              <w:t>Name of the investment</w:t>
            </w:r>
          </w:p>
        </w:tc>
        <w:tc>
          <w:tcPr>
            <w:tcW w:w="5669" w:type="dxa"/>
            <w:shd w:val="clear" w:color="auto" w:fill="D9E2F3" w:themeFill="accent1" w:themeFillTint="33"/>
          </w:tcPr>
          <w:p w14:paraId="767F2C5A" w14:textId="77777777" w:rsidR="0094644B" w:rsidRPr="00FA3F57" w:rsidRDefault="0094644B" w:rsidP="00FB5086">
            <w:pPr>
              <w:keepNext/>
              <w:rPr>
                <w:sz w:val="20"/>
                <w:szCs w:val="20"/>
              </w:rPr>
            </w:pPr>
            <w:r w:rsidRPr="00FA3F57">
              <w:rPr>
                <w:sz w:val="20"/>
                <w:szCs w:val="20"/>
              </w:rPr>
              <w:t>CB 110 kV TS Kragujevac 22 - TS Kragujevac 3CB 110 kV TS Kragujevac 4 - TS Kragujevac 22</w:t>
            </w:r>
          </w:p>
        </w:tc>
      </w:tr>
      <w:tr w:rsidR="0094644B" w:rsidRPr="00F07779" w14:paraId="772E857E" w14:textId="77777777" w:rsidTr="00FB5086">
        <w:tc>
          <w:tcPr>
            <w:tcW w:w="2973" w:type="dxa"/>
            <w:hideMark/>
          </w:tcPr>
          <w:p w14:paraId="22DF6910" w14:textId="77777777" w:rsidR="0094644B" w:rsidRPr="00FA3F57" w:rsidRDefault="0094644B" w:rsidP="00FB5086">
            <w:pPr>
              <w:rPr>
                <w:sz w:val="20"/>
                <w:szCs w:val="20"/>
              </w:rPr>
            </w:pPr>
            <w:r w:rsidRPr="00FA3F57">
              <w:rPr>
                <w:sz w:val="20"/>
                <w:szCs w:val="20"/>
              </w:rPr>
              <w:t>Short description of the investment</w:t>
            </w:r>
          </w:p>
        </w:tc>
        <w:tc>
          <w:tcPr>
            <w:tcW w:w="5669" w:type="dxa"/>
          </w:tcPr>
          <w:p w14:paraId="6FCE55E3" w14:textId="77777777" w:rsidR="0094644B" w:rsidRPr="00FA3F57" w:rsidRDefault="0094644B" w:rsidP="00FB5086">
            <w:pPr>
              <w:rPr>
                <w:sz w:val="20"/>
                <w:szCs w:val="20"/>
              </w:rPr>
            </w:pPr>
            <w:r w:rsidRPr="00FA3F57">
              <w:rPr>
                <w:sz w:val="20"/>
                <w:szCs w:val="20"/>
              </w:rPr>
              <w:t>Construction of a cable line from TS Kragujevac 22 to TS Kragujevac 3. In the process of harmonizing the plans of the OPS and ODS, the need for a 110/10 kV substation TS Kragujevac 22 (Center) to the transmission system was indicated.</w:t>
            </w:r>
          </w:p>
          <w:p w14:paraId="59C1E5D1" w14:textId="77777777" w:rsidR="0094644B" w:rsidRPr="00F07779" w:rsidRDefault="0094644B" w:rsidP="00FB5086">
            <w:pPr>
              <w:rPr>
                <w:sz w:val="20"/>
                <w:szCs w:val="20"/>
              </w:rPr>
            </w:pPr>
            <w:r w:rsidRPr="00FA3F57">
              <w:rPr>
                <w:sz w:val="20"/>
                <w:szCs w:val="20"/>
              </w:rPr>
              <w:t>The construction of the cable line from TS Kragujevac 4 to TS Kragujevac 22 is being carried out due to the connection of the new TS Kragujevac 22.</w:t>
            </w:r>
          </w:p>
          <w:p w14:paraId="7E9A629B" w14:textId="77777777" w:rsidR="0094644B" w:rsidRPr="00FA3F57" w:rsidRDefault="0094644B" w:rsidP="00FB5086">
            <w:pPr>
              <w:rPr>
                <w:sz w:val="20"/>
                <w:szCs w:val="20"/>
              </w:rPr>
            </w:pPr>
            <w:r w:rsidRPr="00FA3F57">
              <w:rPr>
                <w:sz w:val="20"/>
                <w:szCs w:val="20"/>
              </w:rPr>
              <w:t>Expected dynamics of project implementation:</w:t>
            </w:r>
          </w:p>
          <w:p w14:paraId="03C5D2CB" w14:textId="77777777" w:rsidR="0094644B" w:rsidRPr="00FA3F57" w:rsidRDefault="0094644B" w:rsidP="00FB5086">
            <w:pPr>
              <w:rPr>
                <w:sz w:val="20"/>
                <w:szCs w:val="20"/>
              </w:rPr>
            </w:pPr>
            <w:r w:rsidRPr="00FA3F57">
              <w:rPr>
                <w:sz w:val="20"/>
                <w:szCs w:val="20"/>
              </w:rPr>
              <w:t>2026. The beginning of the project</w:t>
            </w:r>
          </w:p>
          <w:p w14:paraId="57345A3C" w14:textId="77777777" w:rsidR="0094644B" w:rsidRPr="00FA3F57" w:rsidRDefault="0094644B" w:rsidP="00FB5086">
            <w:pPr>
              <w:rPr>
                <w:sz w:val="20"/>
                <w:szCs w:val="20"/>
              </w:rPr>
            </w:pPr>
            <w:r w:rsidRPr="00FA3F57">
              <w:rPr>
                <w:sz w:val="20"/>
                <w:szCs w:val="20"/>
              </w:rPr>
              <w:t>2027. Location conditions</w:t>
            </w:r>
          </w:p>
          <w:p w14:paraId="0E769B3F" w14:textId="77777777" w:rsidR="0094644B" w:rsidRPr="00FA3F57" w:rsidRDefault="0094644B" w:rsidP="00FB5086">
            <w:pPr>
              <w:rPr>
                <w:sz w:val="20"/>
                <w:szCs w:val="20"/>
              </w:rPr>
            </w:pPr>
            <w:r w:rsidRPr="00FA3F57">
              <w:rPr>
                <w:sz w:val="20"/>
                <w:szCs w:val="20"/>
              </w:rPr>
              <w:t>2028. Preliminary design</w:t>
            </w:r>
          </w:p>
        </w:tc>
      </w:tr>
      <w:tr w:rsidR="0094644B" w:rsidRPr="00F07779" w14:paraId="0400F57D" w14:textId="77777777" w:rsidTr="00FB5086">
        <w:tc>
          <w:tcPr>
            <w:tcW w:w="2973" w:type="dxa"/>
          </w:tcPr>
          <w:p w14:paraId="4EC42929" w14:textId="77777777" w:rsidR="0094644B" w:rsidRPr="00FA3F57" w:rsidRDefault="0094644B" w:rsidP="00FB5086">
            <w:pPr>
              <w:rPr>
                <w:sz w:val="20"/>
                <w:szCs w:val="20"/>
              </w:rPr>
            </w:pPr>
            <w:r w:rsidRPr="00FA3F57">
              <w:rPr>
                <w:sz w:val="20"/>
                <w:szCs w:val="20"/>
              </w:rPr>
              <w:t>Institutions responsible for the implementation of measures and activities</w:t>
            </w:r>
          </w:p>
        </w:tc>
        <w:tc>
          <w:tcPr>
            <w:tcW w:w="5669" w:type="dxa"/>
          </w:tcPr>
          <w:p w14:paraId="566BE36F" w14:textId="77777777" w:rsidR="0094644B" w:rsidRPr="00FA3F57" w:rsidRDefault="0094644B" w:rsidP="00FB5086">
            <w:pPr>
              <w:rPr>
                <w:sz w:val="20"/>
                <w:szCs w:val="20"/>
              </w:rPr>
            </w:pPr>
            <w:r w:rsidRPr="00FA3F57">
              <w:rPr>
                <w:sz w:val="20"/>
                <w:szCs w:val="20"/>
              </w:rPr>
              <w:t>EMS JSC Belgrade</w:t>
            </w:r>
          </w:p>
        </w:tc>
      </w:tr>
      <w:tr w:rsidR="0094644B" w:rsidRPr="00F07779" w14:paraId="79BE0522" w14:textId="77777777" w:rsidTr="00FB5086">
        <w:tc>
          <w:tcPr>
            <w:tcW w:w="2973" w:type="dxa"/>
          </w:tcPr>
          <w:p w14:paraId="33D67FEC" w14:textId="77777777" w:rsidR="0094644B" w:rsidRPr="00FA3F57" w:rsidRDefault="0094644B" w:rsidP="00FB5086">
            <w:pPr>
              <w:rPr>
                <w:sz w:val="20"/>
                <w:szCs w:val="20"/>
              </w:rPr>
            </w:pPr>
            <w:r w:rsidRPr="00FA3F57">
              <w:rPr>
                <w:sz w:val="20"/>
                <w:szCs w:val="20"/>
              </w:rPr>
              <w:lastRenderedPageBreak/>
              <w:t>Institutions responsible for monitoring implementation and reporting on the realization</w:t>
            </w:r>
          </w:p>
        </w:tc>
        <w:tc>
          <w:tcPr>
            <w:tcW w:w="5669" w:type="dxa"/>
          </w:tcPr>
          <w:p w14:paraId="46F64D76" w14:textId="77777777" w:rsidR="0094644B" w:rsidRPr="00F07779" w:rsidRDefault="0094644B" w:rsidP="00FB5086">
            <w:pPr>
              <w:rPr>
                <w:sz w:val="20"/>
                <w:szCs w:val="20"/>
              </w:rPr>
            </w:pPr>
            <w:r w:rsidRPr="00FA3F57">
              <w:rPr>
                <w:sz w:val="20"/>
                <w:szCs w:val="20"/>
              </w:rPr>
              <w:t>EMS JSC Belgrade</w:t>
            </w:r>
          </w:p>
          <w:p w14:paraId="720681B4" w14:textId="77777777" w:rsidR="0094644B" w:rsidRPr="00FA3F57" w:rsidRDefault="0094644B" w:rsidP="00FB5086">
            <w:pPr>
              <w:rPr>
                <w:sz w:val="20"/>
                <w:szCs w:val="20"/>
              </w:rPr>
            </w:pPr>
            <w:r w:rsidRPr="00FA3F57">
              <w:rPr>
                <w:sz w:val="20"/>
                <w:szCs w:val="20"/>
              </w:rPr>
              <w:t>Republic Commission for Energy Networks</w:t>
            </w:r>
          </w:p>
          <w:p w14:paraId="7EAACE6C" w14:textId="77777777" w:rsidR="0094644B" w:rsidRPr="00FA3F57" w:rsidRDefault="0094644B" w:rsidP="00FB5086">
            <w:pPr>
              <w:rPr>
                <w:sz w:val="20"/>
                <w:szCs w:val="20"/>
              </w:rPr>
            </w:pPr>
            <w:r w:rsidRPr="00FA3F57">
              <w:rPr>
                <w:sz w:val="20"/>
                <w:szCs w:val="20"/>
              </w:rPr>
              <w:t>Ministry of Mining and Energy</w:t>
            </w:r>
          </w:p>
        </w:tc>
      </w:tr>
      <w:tr w:rsidR="0094644B" w:rsidRPr="00F07779" w14:paraId="478ADFBD" w14:textId="77777777" w:rsidTr="00FB5086">
        <w:tc>
          <w:tcPr>
            <w:tcW w:w="2973" w:type="dxa"/>
            <w:hideMark/>
          </w:tcPr>
          <w:p w14:paraId="09D7EBF5" w14:textId="77777777" w:rsidR="0094644B" w:rsidRPr="00FA3F57" w:rsidRDefault="0094644B" w:rsidP="00FB5086">
            <w:pPr>
              <w:rPr>
                <w:sz w:val="20"/>
                <w:szCs w:val="20"/>
              </w:rPr>
            </w:pPr>
            <w:r w:rsidRPr="00FA3F57">
              <w:rPr>
                <w:sz w:val="20"/>
                <w:szCs w:val="20"/>
              </w:rPr>
              <w:t>Year of the start of the investment</w:t>
            </w:r>
          </w:p>
        </w:tc>
        <w:tc>
          <w:tcPr>
            <w:tcW w:w="5669" w:type="dxa"/>
          </w:tcPr>
          <w:p w14:paraId="3B83BA32" w14:textId="77777777" w:rsidR="0094644B" w:rsidRPr="00FA3F57" w:rsidRDefault="0094644B" w:rsidP="00FB5086">
            <w:pPr>
              <w:rPr>
                <w:sz w:val="20"/>
                <w:szCs w:val="20"/>
              </w:rPr>
            </w:pPr>
            <w:r w:rsidRPr="00FA3F57">
              <w:rPr>
                <w:sz w:val="20"/>
                <w:szCs w:val="20"/>
              </w:rPr>
              <w:t>2021.</w:t>
            </w:r>
          </w:p>
        </w:tc>
      </w:tr>
      <w:tr w:rsidR="0094644B" w:rsidRPr="00F07779" w14:paraId="69B0A9D7" w14:textId="77777777" w:rsidTr="00FB5086">
        <w:tc>
          <w:tcPr>
            <w:tcW w:w="2973" w:type="dxa"/>
            <w:hideMark/>
          </w:tcPr>
          <w:p w14:paraId="35B62BC1" w14:textId="77777777" w:rsidR="0094644B" w:rsidRPr="00FA3F57" w:rsidRDefault="0094644B" w:rsidP="00FB5086">
            <w:pPr>
              <w:rPr>
                <w:sz w:val="20"/>
                <w:szCs w:val="20"/>
              </w:rPr>
            </w:pPr>
            <w:r w:rsidRPr="00FA3F57">
              <w:rPr>
                <w:sz w:val="20"/>
                <w:szCs w:val="20"/>
              </w:rPr>
              <w:t>Year of completion of project funding</w:t>
            </w:r>
          </w:p>
        </w:tc>
        <w:tc>
          <w:tcPr>
            <w:tcW w:w="5669" w:type="dxa"/>
          </w:tcPr>
          <w:p w14:paraId="28B959A4" w14:textId="77777777" w:rsidR="0094644B" w:rsidRPr="00FA3F57" w:rsidRDefault="0094644B" w:rsidP="00FB5086">
            <w:pPr>
              <w:rPr>
                <w:sz w:val="20"/>
                <w:szCs w:val="20"/>
              </w:rPr>
            </w:pPr>
            <w:r w:rsidRPr="00FA3F57">
              <w:rPr>
                <w:sz w:val="20"/>
                <w:szCs w:val="20"/>
              </w:rPr>
              <w:t>202</w:t>
            </w:r>
            <w:r w:rsidRPr="00F07779">
              <w:rPr>
                <w:sz w:val="20"/>
                <w:szCs w:val="20"/>
              </w:rPr>
              <w:t>8</w:t>
            </w:r>
            <w:r w:rsidRPr="00FA3F57">
              <w:rPr>
                <w:sz w:val="20"/>
                <w:szCs w:val="20"/>
              </w:rPr>
              <w:t>.</w:t>
            </w:r>
          </w:p>
        </w:tc>
      </w:tr>
      <w:tr w:rsidR="0094644B" w:rsidRPr="00F07779" w14:paraId="06EEDD30" w14:textId="77777777" w:rsidTr="00FB5086">
        <w:tc>
          <w:tcPr>
            <w:tcW w:w="2973" w:type="dxa"/>
            <w:hideMark/>
          </w:tcPr>
          <w:p w14:paraId="39707EF6" w14:textId="77777777" w:rsidR="0094644B" w:rsidRPr="00FA3F57" w:rsidRDefault="0094644B" w:rsidP="00FB5086">
            <w:pPr>
              <w:rPr>
                <w:sz w:val="20"/>
                <w:szCs w:val="20"/>
              </w:rPr>
            </w:pPr>
            <w:r w:rsidRPr="00FA3F57">
              <w:rPr>
                <w:sz w:val="20"/>
                <w:szCs w:val="20"/>
              </w:rPr>
              <w:t>Current estimated value of the investment</w:t>
            </w:r>
            <w:r w:rsidRPr="00FA3F57">
              <w:rPr>
                <w:sz w:val="20"/>
                <w:szCs w:val="20"/>
              </w:rPr>
              <w:br/>
              <w:t>(in thousands of RSD)</w:t>
            </w:r>
          </w:p>
        </w:tc>
        <w:tc>
          <w:tcPr>
            <w:tcW w:w="5669" w:type="dxa"/>
          </w:tcPr>
          <w:p w14:paraId="2BC385C0" w14:textId="77777777" w:rsidR="0094644B" w:rsidRPr="00FA3F57" w:rsidRDefault="0094644B" w:rsidP="00FB5086">
            <w:pPr>
              <w:rPr>
                <w:sz w:val="20"/>
                <w:szCs w:val="20"/>
              </w:rPr>
            </w:pPr>
            <w:r w:rsidRPr="00FA3F57">
              <w:rPr>
                <w:sz w:val="20"/>
                <w:szCs w:val="20"/>
              </w:rPr>
              <w:t>1,172,500 (10 million EUR)</w:t>
            </w:r>
          </w:p>
        </w:tc>
      </w:tr>
      <w:tr w:rsidR="0094644B" w:rsidRPr="00F07779" w14:paraId="2F0DC209" w14:textId="77777777" w:rsidTr="00FB5086">
        <w:tc>
          <w:tcPr>
            <w:tcW w:w="2973" w:type="dxa"/>
            <w:hideMark/>
          </w:tcPr>
          <w:p w14:paraId="14A82407" w14:textId="77777777" w:rsidR="0094644B" w:rsidRPr="00FA3F57" w:rsidRDefault="0094644B" w:rsidP="00FB5086">
            <w:pPr>
              <w:rPr>
                <w:sz w:val="20"/>
                <w:szCs w:val="20"/>
              </w:rPr>
            </w:pPr>
            <w:r w:rsidRPr="00FA3F57">
              <w:rPr>
                <w:sz w:val="20"/>
                <w:szCs w:val="20"/>
              </w:rPr>
              <w:t>Planned investments for 2026.</w:t>
            </w:r>
            <w:r w:rsidRPr="00FA3F57">
              <w:rPr>
                <w:sz w:val="20"/>
                <w:szCs w:val="20"/>
              </w:rPr>
              <w:br/>
              <w:t>(in thousands of RSD)</w:t>
            </w:r>
          </w:p>
        </w:tc>
        <w:tc>
          <w:tcPr>
            <w:tcW w:w="5669" w:type="dxa"/>
          </w:tcPr>
          <w:p w14:paraId="117ACCC1" w14:textId="77777777" w:rsidR="0094644B" w:rsidRPr="00FA3F57" w:rsidRDefault="0094644B" w:rsidP="00FB5086">
            <w:pPr>
              <w:rPr>
                <w:sz w:val="20"/>
                <w:szCs w:val="20"/>
              </w:rPr>
            </w:pPr>
            <w:r w:rsidRPr="00FA3F57">
              <w:rPr>
                <w:sz w:val="20"/>
                <w:szCs w:val="20"/>
              </w:rPr>
              <w:t>599,</w:t>
            </w:r>
            <w:r w:rsidRPr="00F07779">
              <w:rPr>
                <w:sz w:val="20"/>
                <w:szCs w:val="20"/>
              </w:rPr>
              <w:t>276</w:t>
            </w:r>
            <w:r w:rsidRPr="00FA3F57">
              <w:rPr>
                <w:sz w:val="20"/>
                <w:szCs w:val="20"/>
              </w:rPr>
              <w:t xml:space="preserve"> (own funds of EMS JSC)</w:t>
            </w:r>
          </w:p>
        </w:tc>
      </w:tr>
      <w:tr w:rsidR="0094644B" w:rsidRPr="00F07779" w14:paraId="4917CEFD" w14:textId="77777777" w:rsidTr="00FB5086">
        <w:tc>
          <w:tcPr>
            <w:tcW w:w="2973" w:type="dxa"/>
            <w:hideMark/>
          </w:tcPr>
          <w:p w14:paraId="3DD99668" w14:textId="77777777" w:rsidR="0094644B" w:rsidRPr="00FA3F57" w:rsidRDefault="0094644B" w:rsidP="00FB5086">
            <w:pPr>
              <w:rPr>
                <w:sz w:val="20"/>
                <w:szCs w:val="20"/>
              </w:rPr>
            </w:pPr>
            <w:r w:rsidRPr="00FA3F57">
              <w:rPr>
                <w:sz w:val="20"/>
                <w:szCs w:val="20"/>
              </w:rPr>
              <w:t>Planned investments for 2027.</w:t>
            </w:r>
            <w:r w:rsidRPr="00FA3F57">
              <w:rPr>
                <w:sz w:val="20"/>
                <w:szCs w:val="20"/>
              </w:rPr>
              <w:br/>
              <w:t>(in thousands of RSD)</w:t>
            </w:r>
          </w:p>
        </w:tc>
        <w:tc>
          <w:tcPr>
            <w:tcW w:w="5669" w:type="dxa"/>
          </w:tcPr>
          <w:p w14:paraId="5F6BE407" w14:textId="77777777" w:rsidR="0094644B" w:rsidRPr="00FA3F57" w:rsidRDefault="0094644B" w:rsidP="00FB5086">
            <w:pPr>
              <w:rPr>
                <w:sz w:val="20"/>
                <w:szCs w:val="20"/>
              </w:rPr>
            </w:pPr>
            <w:r w:rsidRPr="00FA3F57">
              <w:rPr>
                <w:sz w:val="20"/>
                <w:szCs w:val="20"/>
              </w:rPr>
              <w:t>557</w:t>
            </w:r>
            <w:r w:rsidRPr="00F07779">
              <w:rPr>
                <w:sz w:val="20"/>
                <w:szCs w:val="20"/>
              </w:rPr>
              <w:t>,</w:t>
            </w:r>
            <w:r w:rsidRPr="00FA3F57">
              <w:rPr>
                <w:sz w:val="20"/>
                <w:szCs w:val="20"/>
              </w:rPr>
              <w:t>875</w:t>
            </w:r>
            <w:r w:rsidRPr="00FA3F57" w:rsidDel="00EC5CAB">
              <w:rPr>
                <w:sz w:val="20"/>
                <w:szCs w:val="20"/>
              </w:rPr>
              <w:t xml:space="preserve"> </w:t>
            </w:r>
            <w:r w:rsidRPr="00FA3F57">
              <w:rPr>
                <w:sz w:val="20"/>
                <w:szCs w:val="20"/>
              </w:rPr>
              <w:t>(own funds of EMS JSC)</w:t>
            </w:r>
          </w:p>
        </w:tc>
      </w:tr>
      <w:tr w:rsidR="0094644B" w:rsidRPr="00F07779" w14:paraId="0F009747" w14:textId="77777777" w:rsidTr="00FB5086">
        <w:tc>
          <w:tcPr>
            <w:tcW w:w="2973" w:type="dxa"/>
            <w:hideMark/>
          </w:tcPr>
          <w:p w14:paraId="316C8FB6" w14:textId="77777777" w:rsidR="0094644B" w:rsidRPr="00FA3F57" w:rsidRDefault="0094644B" w:rsidP="00FB5086">
            <w:pPr>
              <w:rPr>
                <w:sz w:val="20"/>
                <w:szCs w:val="20"/>
              </w:rPr>
            </w:pPr>
            <w:r w:rsidRPr="00FA3F57">
              <w:rPr>
                <w:sz w:val="20"/>
                <w:szCs w:val="20"/>
              </w:rPr>
              <w:t>Planned investments for 2028.</w:t>
            </w:r>
            <w:r w:rsidRPr="00FA3F57">
              <w:rPr>
                <w:sz w:val="20"/>
                <w:szCs w:val="20"/>
              </w:rPr>
              <w:br/>
              <w:t>(in thousands of RSD)</w:t>
            </w:r>
          </w:p>
        </w:tc>
        <w:tc>
          <w:tcPr>
            <w:tcW w:w="5669" w:type="dxa"/>
          </w:tcPr>
          <w:p w14:paraId="2CD1FDC1" w14:textId="77777777" w:rsidR="0094644B" w:rsidRPr="00FA3F57" w:rsidRDefault="0094644B" w:rsidP="00FB5086">
            <w:pPr>
              <w:rPr>
                <w:sz w:val="20"/>
                <w:szCs w:val="20"/>
              </w:rPr>
            </w:pPr>
            <w:r w:rsidRPr="00FA3F57">
              <w:rPr>
                <w:sz w:val="20"/>
                <w:szCs w:val="20"/>
              </w:rPr>
              <w:t>0</w:t>
            </w:r>
          </w:p>
        </w:tc>
      </w:tr>
    </w:tbl>
    <w:p w14:paraId="24B8412E" w14:textId="77777777" w:rsidR="0094644B" w:rsidRPr="00F07779" w:rsidRDefault="0094644B" w:rsidP="0094644B"/>
    <w:tbl>
      <w:tblPr>
        <w:tblStyle w:val="TableGrid"/>
        <w:tblW w:w="0" w:type="auto"/>
        <w:tblLook w:val="04A0" w:firstRow="1" w:lastRow="0" w:firstColumn="1" w:lastColumn="0" w:noHBand="0" w:noVBand="1"/>
      </w:tblPr>
      <w:tblGrid>
        <w:gridCol w:w="2973"/>
        <w:gridCol w:w="5669"/>
      </w:tblGrid>
      <w:tr w:rsidR="0094644B" w:rsidRPr="00F07779" w14:paraId="303D774D" w14:textId="77777777" w:rsidTr="00FB5086">
        <w:tc>
          <w:tcPr>
            <w:tcW w:w="2973" w:type="dxa"/>
            <w:shd w:val="clear" w:color="auto" w:fill="D0CECE" w:themeFill="background2" w:themeFillShade="E6"/>
          </w:tcPr>
          <w:p w14:paraId="4BA95901" w14:textId="77777777" w:rsidR="0094644B" w:rsidRPr="00FA3F57" w:rsidRDefault="0094644B" w:rsidP="00FB5086">
            <w:pPr>
              <w:keepNext/>
              <w:rPr>
                <w:sz w:val="20"/>
                <w:szCs w:val="20"/>
              </w:rPr>
            </w:pPr>
            <w:r w:rsidRPr="00FA3F57">
              <w:rPr>
                <w:sz w:val="20"/>
                <w:szCs w:val="20"/>
              </w:rPr>
              <w:t>Activity EL6.1</w:t>
            </w:r>
          </w:p>
        </w:tc>
        <w:tc>
          <w:tcPr>
            <w:tcW w:w="5669" w:type="dxa"/>
            <w:shd w:val="clear" w:color="auto" w:fill="D0CECE" w:themeFill="background2" w:themeFillShade="E6"/>
          </w:tcPr>
          <w:p w14:paraId="3AC8464B" w14:textId="77777777" w:rsidR="0094644B" w:rsidRPr="00FA3F57" w:rsidRDefault="0094644B" w:rsidP="00FB5086">
            <w:pPr>
              <w:keepNext/>
              <w:rPr>
                <w:sz w:val="20"/>
                <w:szCs w:val="20"/>
              </w:rPr>
            </w:pPr>
            <w:r w:rsidRPr="00FA3F57">
              <w:rPr>
                <w:sz w:val="20"/>
                <w:szCs w:val="20"/>
              </w:rPr>
              <w:t>Increasing the reliability of the transmission system and the security of the consumer supply</w:t>
            </w:r>
          </w:p>
        </w:tc>
      </w:tr>
      <w:tr w:rsidR="0094644B" w:rsidRPr="00F07779" w14:paraId="31A25FB9" w14:textId="77777777" w:rsidTr="00FB5086">
        <w:tc>
          <w:tcPr>
            <w:tcW w:w="2973" w:type="dxa"/>
            <w:shd w:val="clear" w:color="auto" w:fill="FFF2CC" w:themeFill="accent4" w:themeFillTint="33"/>
            <w:hideMark/>
          </w:tcPr>
          <w:p w14:paraId="41168676" w14:textId="77777777" w:rsidR="0094644B" w:rsidRPr="00FA3F57" w:rsidRDefault="0094644B" w:rsidP="00FB5086">
            <w:pPr>
              <w:keepNext/>
              <w:rPr>
                <w:sz w:val="20"/>
                <w:szCs w:val="20"/>
              </w:rPr>
            </w:pPr>
            <w:r w:rsidRPr="00FA3F57">
              <w:rPr>
                <w:sz w:val="20"/>
                <w:szCs w:val="20"/>
              </w:rPr>
              <w:t>Name of the project</w:t>
            </w:r>
          </w:p>
        </w:tc>
        <w:tc>
          <w:tcPr>
            <w:tcW w:w="5669" w:type="dxa"/>
            <w:shd w:val="clear" w:color="auto" w:fill="FFF2CC" w:themeFill="accent4" w:themeFillTint="33"/>
          </w:tcPr>
          <w:p w14:paraId="18312D45" w14:textId="77777777" w:rsidR="0094644B" w:rsidRPr="00FA3F57" w:rsidRDefault="0094644B" w:rsidP="00FB5086">
            <w:pPr>
              <w:keepNext/>
              <w:rPr>
                <w:sz w:val="20"/>
                <w:szCs w:val="20"/>
              </w:rPr>
            </w:pPr>
            <w:r w:rsidRPr="00FA3F57">
              <w:rPr>
                <w:sz w:val="20"/>
                <w:szCs w:val="20"/>
              </w:rPr>
              <w:t xml:space="preserve">OHL 110 kV TS </w:t>
            </w:r>
            <w:proofErr w:type="spellStart"/>
            <w:r w:rsidRPr="00FA3F57">
              <w:rPr>
                <w:sz w:val="20"/>
                <w:szCs w:val="20"/>
              </w:rPr>
              <w:t>Jagodina</w:t>
            </w:r>
            <w:proofErr w:type="spellEnd"/>
            <w:r w:rsidRPr="00FA3F57">
              <w:rPr>
                <w:sz w:val="20"/>
                <w:szCs w:val="20"/>
              </w:rPr>
              <w:t xml:space="preserve"> 4 -TS </w:t>
            </w:r>
            <w:proofErr w:type="spellStart"/>
            <w:r w:rsidRPr="00FA3F57">
              <w:rPr>
                <w:sz w:val="20"/>
                <w:szCs w:val="20"/>
              </w:rPr>
              <w:t>Stenjevac</w:t>
            </w:r>
            <w:proofErr w:type="spellEnd"/>
          </w:p>
        </w:tc>
      </w:tr>
      <w:tr w:rsidR="0094644B" w:rsidRPr="00F07779" w14:paraId="137ACAFA" w14:textId="77777777" w:rsidTr="00FB5086">
        <w:tc>
          <w:tcPr>
            <w:tcW w:w="2973" w:type="dxa"/>
            <w:shd w:val="clear" w:color="auto" w:fill="D9E2F3" w:themeFill="accent1" w:themeFillTint="33"/>
            <w:hideMark/>
          </w:tcPr>
          <w:p w14:paraId="3D3F03C4" w14:textId="77777777" w:rsidR="0094644B" w:rsidRPr="00FA3F57" w:rsidRDefault="0094644B" w:rsidP="00FB5086">
            <w:pPr>
              <w:keepNext/>
              <w:rPr>
                <w:sz w:val="20"/>
                <w:szCs w:val="20"/>
              </w:rPr>
            </w:pPr>
            <w:r w:rsidRPr="00FA3F57">
              <w:rPr>
                <w:sz w:val="20"/>
                <w:szCs w:val="20"/>
              </w:rPr>
              <w:t>Name of the investment</w:t>
            </w:r>
          </w:p>
        </w:tc>
        <w:tc>
          <w:tcPr>
            <w:tcW w:w="5669" w:type="dxa"/>
            <w:shd w:val="clear" w:color="auto" w:fill="D9E2F3" w:themeFill="accent1" w:themeFillTint="33"/>
          </w:tcPr>
          <w:p w14:paraId="35803B96" w14:textId="77777777" w:rsidR="0094644B" w:rsidRPr="00FA3F57" w:rsidRDefault="0094644B" w:rsidP="00FB5086">
            <w:pPr>
              <w:keepNext/>
              <w:rPr>
                <w:sz w:val="20"/>
                <w:szCs w:val="20"/>
              </w:rPr>
            </w:pPr>
            <w:r w:rsidRPr="00FA3F57">
              <w:rPr>
                <w:sz w:val="20"/>
                <w:szCs w:val="20"/>
              </w:rPr>
              <w:t xml:space="preserve">OHL 110 kV TS </w:t>
            </w:r>
            <w:proofErr w:type="spellStart"/>
            <w:r w:rsidRPr="00FA3F57">
              <w:rPr>
                <w:sz w:val="20"/>
                <w:szCs w:val="20"/>
              </w:rPr>
              <w:t>Jagodina</w:t>
            </w:r>
            <w:proofErr w:type="spellEnd"/>
            <w:r w:rsidRPr="00FA3F57">
              <w:rPr>
                <w:sz w:val="20"/>
                <w:szCs w:val="20"/>
              </w:rPr>
              <w:t xml:space="preserve"> 4 -TS </w:t>
            </w:r>
            <w:proofErr w:type="spellStart"/>
            <w:r w:rsidRPr="00FA3F57">
              <w:rPr>
                <w:sz w:val="20"/>
                <w:szCs w:val="20"/>
              </w:rPr>
              <w:t>Stenjevac</w:t>
            </w:r>
            <w:proofErr w:type="spellEnd"/>
            <w:r w:rsidRPr="00FA3F57" w:rsidDel="00A73094">
              <w:rPr>
                <w:sz w:val="20"/>
                <w:szCs w:val="20"/>
              </w:rPr>
              <w:t xml:space="preserve"> </w:t>
            </w:r>
            <w:r w:rsidRPr="00FA3F57">
              <w:rPr>
                <w:sz w:val="20"/>
                <w:szCs w:val="20"/>
              </w:rPr>
              <w:t xml:space="preserve">400/110 kV TS </w:t>
            </w:r>
            <w:proofErr w:type="spellStart"/>
            <w:r w:rsidRPr="00FA3F57">
              <w:rPr>
                <w:sz w:val="20"/>
                <w:szCs w:val="20"/>
              </w:rPr>
              <w:t>Jagodina</w:t>
            </w:r>
            <w:proofErr w:type="spellEnd"/>
            <w:r w:rsidRPr="00FA3F57">
              <w:rPr>
                <w:sz w:val="20"/>
                <w:szCs w:val="20"/>
              </w:rPr>
              <w:t xml:space="preserve"> 4, equipping the bay for the leading the OHL 110 kV into TS </w:t>
            </w:r>
            <w:proofErr w:type="spellStart"/>
            <w:r w:rsidRPr="00FA3F57">
              <w:rPr>
                <w:sz w:val="20"/>
                <w:szCs w:val="20"/>
              </w:rPr>
              <w:t>Stenjevac</w:t>
            </w:r>
            <w:proofErr w:type="spellEnd"/>
          </w:p>
        </w:tc>
      </w:tr>
      <w:tr w:rsidR="0094644B" w:rsidRPr="00F07779" w14:paraId="734EBE6C" w14:textId="77777777" w:rsidTr="00FB5086">
        <w:tc>
          <w:tcPr>
            <w:tcW w:w="2973" w:type="dxa"/>
            <w:hideMark/>
          </w:tcPr>
          <w:p w14:paraId="68C9985B" w14:textId="77777777" w:rsidR="0094644B" w:rsidRPr="00FA3F57" w:rsidRDefault="0094644B" w:rsidP="00FB5086">
            <w:pPr>
              <w:rPr>
                <w:sz w:val="20"/>
                <w:szCs w:val="20"/>
              </w:rPr>
            </w:pPr>
            <w:r w:rsidRPr="00FA3F57">
              <w:rPr>
                <w:sz w:val="20"/>
                <w:szCs w:val="20"/>
              </w:rPr>
              <w:t>Short description of the investment</w:t>
            </w:r>
          </w:p>
        </w:tc>
        <w:tc>
          <w:tcPr>
            <w:tcW w:w="5669" w:type="dxa"/>
          </w:tcPr>
          <w:p w14:paraId="18E6DC76" w14:textId="77777777" w:rsidR="0094644B" w:rsidRPr="00F07779" w:rsidRDefault="0094644B" w:rsidP="00FB5086">
            <w:pPr>
              <w:rPr>
                <w:sz w:val="20"/>
                <w:szCs w:val="20"/>
              </w:rPr>
            </w:pPr>
            <w:r w:rsidRPr="00F07779">
              <w:rPr>
                <w:sz w:val="20"/>
                <w:szCs w:val="20"/>
              </w:rPr>
              <w:t xml:space="preserve">The overhead line would be implemented in two sections, with the first section (section A) connecting TS </w:t>
            </w:r>
            <w:proofErr w:type="spellStart"/>
            <w:r w:rsidRPr="00F07779">
              <w:rPr>
                <w:sz w:val="20"/>
                <w:szCs w:val="20"/>
              </w:rPr>
              <w:t>Jagodina</w:t>
            </w:r>
            <w:proofErr w:type="spellEnd"/>
            <w:r w:rsidRPr="00F07779">
              <w:rPr>
                <w:sz w:val="20"/>
                <w:szCs w:val="20"/>
              </w:rPr>
              <w:t xml:space="preserve"> 4 to a new industrial complex in </w:t>
            </w:r>
            <w:proofErr w:type="spellStart"/>
            <w:r w:rsidRPr="00F07779">
              <w:rPr>
                <w:sz w:val="20"/>
                <w:szCs w:val="20"/>
              </w:rPr>
              <w:t>Ćuprija</w:t>
            </w:r>
            <w:proofErr w:type="spellEnd"/>
            <w:r w:rsidRPr="00F07779">
              <w:rPr>
                <w:sz w:val="20"/>
                <w:szCs w:val="20"/>
              </w:rPr>
              <w:t>, located along the Belgrade–</w:t>
            </w:r>
            <w:proofErr w:type="spellStart"/>
            <w:r w:rsidRPr="00F07779">
              <w:rPr>
                <w:sz w:val="20"/>
                <w:szCs w:val="20"/>
              </w:rPr>
              <w:t>Niš</w:t>
            </w:r>
            <w:proofErr w:type="spellEnd"/>
            <w:r w:rsidRPr="00F07779">
              <w:rPr>
                <w:sz w:val="20"/>
                <w:szCs w:val="20"/>
              </w:rPr>
              <w:t xml:space="preserve"> highway, and the second section (section B) extending from the said industrial complex to TS </w:t>
            </w:r>
            <w:proofErr w:type="spellStart"/>
            <w:r w:rsidRPr="00F07779">
              <w:rPr>
                <w:sz w:val="20"/>
                <w:szCs w:val="20"/>
              </w:rPr>
              <w:t>Stenjevac</w:t>
            </w:r>
            <w:proofErr w:type="spellEnd"/>
            <w:r w:rsidRPr="00F07779">
              <w:rPr>
                <w:sz w:val="20"/>
                <w:szCs w:val="20"/>
              </w:rPr>
              <w:t xml:space="preserve">, thereby providing dual supply for TS </w:t>
            </w:r>
            <w:proofErr w:type="spellStart"/>
            <w:r w:rsidRPr="00F07779">
              <w:rPr>
                <w:sz w:val="20"/>
                <w:szCs w:val="20"/>
              </w:rPr>
              <w:t>Stenjevac</w:t>
            </w:r>
            <w:proofErr w:type="spellEnd"/>
            <w:r w:rsidRPr="00F07779">
              <w:rPr>
                <w:sz w:val="20"/>
                <w:szCs w:val="20"/>
              </w:rPr>
              <w:t xml:space="preserve">, TS </w:t>
            </w:r>
            <w:proofErr w:type="spellStart"/>
            <w:r w:rsidRPr="00F07779">
              <w:rPr>
                <w:sz w:val="20"/>
                <w:szCs w:val="20"/>
              </w:rPr>
              <w:t>Ćuprija</w:t>
            </w:r>
            <w:proofErr w:type="spellEnd"/>
            <w:r w:rsidRPr="00F07779">
              <w:rPr>
                <w:sz w:val="20"/>
                <w:szCs w:val="20"/>
              </w:rPr>
              <w:t xml:space="preserve">, and the </w:t>
            </w:r>
            <w:proofErr w:type="spellStart"/>
            <w:r w:rsidRPr="00F07779">
              <w:rPr>
                <w:sz w:val="20"/>
                <w:szCs w:val="20"/>
              </w:rPr>
              <w:t>Resavica</w:t>
            </w:r>
            <w:proofErr w:type="spellEnd"/>
            <w:r w:rsidRPr="00F07779">
              <w:rPr>
                <w:sz w:val="20"/>
                <w:szCs w:val="20"/>
              </w:rPr>
              <w:t xml:space="preserve"> mine, and ensuring reliable electricity supply for the consumption area in the region of interest. Equipping two overhead line bays at TS </w:t>
            </w:r>
            <w:proofErr w:type="spellStart"/>
            <w:r w:rsidRPr="00F07779">
              <w:rPr>
                <w:sz w:val="20"/>
                <w:szCs w:val="20"/>
              </w:rPr>
              <w:t>Jagodina</w:t>
            </w:r>
            <w:proofErr w:type="spellEnd"/>
            <w:r w:rsidRPr="00F07779">
              <w:rPr>
                <w:sz w:val="20"/>
                <w:szCs w:val="20"/>
              </w:rPr>
              <w:t xml:space="preserve"> due to the planned construction of a new double-circuit 110 kV overhead line (2×Al/Fe 490/65 mm²) from the TS 400/110 kV </w:t>
            </w:r>
            <w:proofErr w:type="spellStart"/>
            <w:r w:rsidRPr="00F07779">
              <w:rPr>
                <w:sz w:val="20"/>
                <w:szCs w:val="20"/>
              </w:rPr>
              <w:t>Jagodina</w:t>
            </w:r>
            <w:proofErr w:type="spellEnd"/>
            <w:r w:rsidRPr="00F07779">
              <w:rPr>
                <w:sz w:val="20"/>
                <w:szCs w:val="20"/>
              </w:rPr>
              <w:t xml:space="preserve"> 4 to the new 110/X kV substation of the industrial complex in the </w:t>
            </w:r>
            <w:proofErr w:type="spellStart"/>
            <w:r w:rsidRPr="00F07779">
              <w:rPr>
                <w:sz w:val="20"/>
                <w:szCs w:val="20"/>
              </w:rPr>
              <w:t>Ćuprija</w:t>
            </w:r>
            <w:proofErr w:type="spellEnd"/>
            <w:r w:rsidRPr="00F07779">
              <w:rPr>
                <w:sz w:val="20"/>
                <w:szCs w:val="20"/>
              </w:rPr>
              <w:t xml:space="preserve"> region, with a length of approximately 15 km.</w:t>
            </w:r>
          </w:p>
          <w:p w14:paraId="6BA468F1" w14:textId="77777777" w:rsidR="0094644B" w:rsidRPr="00FA3F57" w:rsidRDefault="0094644B" w:rsidP="00FB5086">
            <w:pPr>
              <w:rPr>
                <w:sz w:val="20"/>
                <w:szCs w:val="20"/>
              </w:rPr>
            </w:pPr>
            <w:r w:rsidRPr="00FA3F57">
              <w:rPr>
                <w:sz w:val="20"/>
                <w:szCs w:val="20"/>
              </w:rPr>
              <w:t>Expected dynamics of project implementation:</w:t>
            </w:r>
          </w:p>
          <w:p w14:paraId="1D5AC9BB" w14:textId="77777777" w:rsidR="0094644B" w:rsidRPr="00FA3F57" w:rsidRDefault="0094644B" w:rsidP="00FB5086">
            <w:pPr>
              <w:rPr>
                <w:sz w:val="20"/>
                <w:szCs w:val="20"/>
              </w:rPr>
            </w:pPr>
            <w:r w:rsidRPr="00FA3F57">
              <w:rPr>
                <w:sz w:val="20"/>
                <w:szCs w:val="20"/>
              </w:rPr>
              <w:t>2026. Building permit</w:t>
            </w:r>
          </w:p>
          <w:p w14:paraId="3EF9DF3A" w14:textId="77777777" w:rsidR="0094644B" w:rsidRPr="00FA3F57" w:rsidRDefault="0094644B" w:rsidP="00FB5086">
            <w:pPr>
              <w:rPr>
                <w:sz w:val="20"/>
                <w:szCs w:val="20"/>
              </w:rPr>
            </w:pPr>
            <w:r w:rsidRPr="00FA3F57">
              <w:rPr>
                <w:sz w:val="20"/>
                <w:szCs w:val="20"/>
              </w:rPr>
              <w:t>2027.</w:t>
            </w:r>
            <w:r w:rsidRPr="00F07779">
              <w:rPr>
                <w:sz w:val="20"/>
                <w:szCs w:val="20"/>
              </w:rPr>
              <w:t xml:space="preserve"> </w:t>
            </w:r>
            <w:r w:rsidRPr="00FA3F57">
              <w:rPr>
                <w:sz w:val="20"/>
                <w:szCs w:val="20"/>
              </w:rPr>
              <w:t>Construction</w:t>
            </w:r>
          </w:p>
          <w:p w14:paraId="12F59B2D" w14:textId="77777777" w:rsidR="0094644B" w:rsidRPr="00FA3F57" w:rsidRDefault="0094644B" w:rsidP="00FB5086">
            <w:pPr>
              <w:rPr>
                <w:sz w:val="20"/>
                <w:szCs w:val="20"/>
              </w:rPr>
            </w:pPr>
            <w:r w:rsidRPr="00FA3F57">
              <w:rPr>
                <w:sz w:val="20"/>
                <w:szCs w:val="20"/>
              </w:rPr>
              <w:t>2028.</w:t>
            </w:r>
            <w:r w:rsidRPr="00F07779">
              <w:rPr>
                <w:sz w:val="20"/>
                <w:szCs w:val="20"/>
              </w:rPr>
              <w:t xml:space="preserve"> </w:t>
            </w:r>
            <w:r w:rsidRPr="00FA3F57">
              <w:rPr>
                <w:sz w:val="20"/>
                <w:szCs w:val="20"/>
              </w:rPr>
              <w:t>Construction</w:t>
            </w:r>
          </w:p>
        </w:tc>
      </w:tr>
      <w:tr w:rsidR="0094644B" w:rsidRPr="00F07779" w14:paraId="05C090FA" w14:textId="77777777" w:rsidTr="00FB5086">
        <w:tc>
          <w:tcPr>
            <w:tcW w:w="2973" w:type="dxa"/>
          </w:tcPr>
          <w:p w14:paraId="2EEC3477" w14:textId="77777777" w:rsidR="0094644B" w:rsidRPr="00FA3F57" w:rsidRDefault="0094644B" w:rsidP="00FB5086">
            <w:pPr>
              <w:rPr>
                <w:sz w:val="20"/>
                <w:szCs w:val="20"/>
              </w:rPr>
            </w:pPr>
            <w:r w:rsidRPr="00FA3F57">
              <w:rPr>
                <w:sz w:val="20"/>
                <w:szCs w:val="20"/>
              </w:rPr>
              <w:t>Institutions responsible for the implementation of measures and activities</w:t>
            </w:r>
          </w:p>
        </w:tc>
        <w:tc>
          <w:tcPr>
            <w:tcW w:w="5669" w:type="dxa"/>
          </w:tcPr>
          <w:p w14:paraId="36A57D31" w14:textId="77777777" w:rsidR="0094644B" w:rsidRPr="00FA3F57" w:rsidRDefault="0094644B" w:rsidP="00FB5086">
            <w:pPr>
              <w:rPr>
                <w:sz w:val="20"/>
                <w:szCs w:val="20"/>
              </w:rPr>
            </w:pPr>
            <w:r w:rsidRPr="00FA3F57">
              <w:rPr>
                <w:sz w:val="20"/>
                <w:szCs w:val="20"/>
              </w:rPr>
              <w:t>EMS JSC Belgrade</w:t>
            </w:r>
          </w:p>
        </w:tc>
      </w:tr>
      <w:tr w:rsidR="0094644B" w:rsidRPr="00F07779" w14:paraId="662BD7E6" w14:textId="77777777" w:rsidTr="00FB5086">
        <w:tc>
          <w:tcPr>
            <w:tcW w:w="2973" w:type="dxa"/>
          </w:tcPr>
          <w:p w14:paraId="478687EF" w14:textId="77777777" w:rsidR="0094644B" w:rsidRPr="00FA3F57" w:rsidRDefault="0094644B" w:rsidP="00FB5086">
            <w:pPr>
              <w:rPr>
                <w:sz w:val="20"/>
                <w:szCs w:val="20"/>
              </w:rPr>
            </w:pPr>
            <w:r w:rsidRPr="00FA3F57">
              <w:rPr>
                <w:sz w:val="20"/>
                <w:szCs w:val="20"/>
              </w:rPr>
              <w:t>Institutions responsible for monitoring implementation and reporting on the realization</w:t>
            </w:r>
          </w:p>
        </w:tc>
        <w:tc>
          <w:tcPr>
            <w:tcW w:w="5669" w:type="dxa"/>
          </w:tcPr>
          <w:p w14:paraId="0F19AFBF" w14:textId="77777777" w:rsidR="0094644B" w:rsidRPr="00F07779" w:rsidRDefault="0094644B" w:rsidP="00FB5086">
            <w:pPr>
              <w:rPr>
                <w:sz w:val="20"/>
                <w:szCs w:val="20"/>
              </w:rPr>
            </w:pPr>
            <w:r w:rsidRPr="00FA3F57">
              <w:rPr>
                <w:sz w:val="20"/>
                <w:szCs w:val="20"/>
              </w:rPr>
              <w:t>EMS JSC Belgrade</w:t>
            </w:r>
          </w:p>
          <w:p w14:paraId="6777F6A5" w14:textId="77777777" w:rsidR="0094644B" w:rsidRPr="00FA3F57" w:rsidRDefault="0094644B" w:rsidP="00FB5086">
            <w:pPr>
              <w:rPr>
                <w:sz w:val="20"/>
                <w:szCs w:val="20"/>
              </w:rPr>
            </w:pPr>
            <w:r w:rsidRPr="00FA3F57">
              <w:rPr>
                <w:sz w:val="20"/>
                <w:szCs w:val="20"/>
              </w:rPr>
              <w:t>Republic Commission for Energy Networks</w:t>
            </w:r>
          </w:p>
          <w:p w14:paraId="003E03FE" w14:textId="77777777" w:rsidR="0094644B" w:rsidRPr="00FA3F57" w:rsidRDefault="0094644B" w:rsidP="00FB5086">
            <w:pPr>
              <w:rPr>
                <w:sz w:val="20"/>
                <w:szCs w:val="20"/>
              </w:rPr>
            </w:pPr>
            <w:r w:rsidRPr="00FA3F57">
              <w:rPr>
                <w:sz w:val="20"/>
                <w:szCs w:val="20"/>
              </w:rPr>
              <w:t>Ministry of Mining and Energy</w:t>
            </w:r>
          </w:p>
        </w:tc>
      </w:tr>
      <w:tr w:rsidR="0094644B" w:rsidRPr="00F07779" w14:paraId="690280D0" w14:textId="77777777" w:rsidTr="00FB5086">
        <w:tc>
          <w:tcPr>
            <w:tcW w:w="2973" w:type="dxa"/>
            <w:hideMark/>
          </w:tcPr>
          <w:p w14:paraId="3B068E57" w14:textId="77777777" w:rsidR="0094644B" w:rsidRPr="00FA3F57" w:rsidRDefault="0094644B" w:rsidP="00FB5086">
            <w:pPr>
              <w:rPr>
                <w:sz w:val="20"/>
                <w:szCs w:val="20"/>
              </w:rPr>
            </w:pPr>
            <w:r w:rsidRPr="00FA3F57">
              <w:rPr>
                <w:sz w:val="20"/>
                <w:szCs w:val="20"/>
              </w:rPr>
              <w:t>Year of the start of the investment</w:t>
            </w:r>
          </w:p>
        </w:tc>
        <w:tc>
          <w:tcPr>
            <w:tcW w:w="5669" w:type="dxa"/>
          </w:tcPr>
          <w:p w14:paraId="058F642B" w14:textId="77777777" w:rsidR="0094644B" w:rsidRPr="00FA3F57" w:rsidRDefault="0094644B" w:rsidP="00FB5086">
            <w:pPr>
              <w:rPr>
                <w:sz w:val="20"/>
                <w:szCs w:val="20"/>
              </w:rPr>
            </w:pPr>
            <w:r w:rsidRPr="00FA3F57">
              <w:rPr>
                <w:sz w:val="20"/>
                <w:szCs w:val="20"/>
              </w:rPr>
              <w:t>2021.</w:t>
            </w:r>
          </w:p>
        </w:tc>
      </w:tr>
      <w:tr w:rsidR="0094644B" w:rsidRPr="00F07779" w14:paraId="212465FA" w14:textId="77777777" w:rsidTr="00FB5086">
        <w:tc>
          <w:tcPr>
            <w:tcW w:w="2973" w:type="dxa"/>
            <w:hideMark/>
          </w:tcPr>
          <w:p w14:paraId="20149870" w14:textId="77777777" w:rsidR="0094644B" w:rsidRPr="00FA3F57" w:rsidRDefault="0094644B" w:rsidP="00FB5086">
            <w:pPr>
              <w:rPr>
                <w:sz w:val="20"/>
                <w:szCs w:val="20"/>
              </w:rPr>
            </w:pPr>
            <w:r w:rsidRPr="00FA3F57">
              <w:rPr>
                <w:sz w:val="20"/>
                <w:szCs w:val="20"/>
              </w:rPr>
              <w:t>Year of completion of project funding</w:t>
            </w:r>
          </w:p>
        </w:tc>
        <w:tc>
          <w:tcPr>
            <w:tcW w:w="5669" w:type="dxa"/>
          </w:tcPr>
          <w:p w14:paraId="5128B13E" w14:textId="77777777" w:rsidR="0094644B" w:rsidRPr="00FA3F57" w:rsidRDefault="0094644B" w:rsidP="00FB5086">
            <w:pPr>
              <w:rPr>
                <w:sz w:val="20"/>
                <w:szCs w:val="20"/>
              </w:rPr>
            </w:pPr>
            <w:r w:rsidRPr="00FA3F57">
              <w:rPr>
                <w:sz w:val="20"/>
                <w:szCs w:val="20"/>
              </w:rPr>
              <w:t>202</w:t>
            </w:r>
            <w:r w:rsidRPr="00F07779">
              <w:rPr>
                <w:sz w:val="20"/>
                <w:szCs w:val="20"/>
              </w:rPr>
              <w:t>8</w:t>
            </w:r>
            <w:r w:rsidRPr="00FA3F57">
              <w:rPr>
                <w:sz w:val="20"/>
                <w:szCs w:val="20"/>
              </w:rPr>
              <w:t>.</w:t>
            </w:r>
          </w:p>
        </w:tc>
      </w:tr>
      <w:tr w:rsidR="0094644B" w:rsidRPr="00F07779" w14:paraId="4ACB7B99" w14:textId="77777777" w:rsidTr="00FB5086">
        <w:tc>
          <w:tcPr>
            <w:tcW w:w="2973" w:type="dxa"/>
            <w:hideMark/>
          </w:tcPr>
          <w:p w14:paraId="0C68E21E" w14:textId="77777777" w:rsidR="0094644B" w:rsidRPr="00FA3F57" w:rsidRDefault="0094644B" w:rsidP="00FB5086">
            <w:pPr>
              <w:rPr>
                <w:sz w:val="20"/>
                <w:szCs w:val="20"/>
              </w:rPr>
            </w:pPr>
            <w:r w:rsidRPr="00FA3F57">
              <w:rPr>
                <w:sz w:val="20"/>
                <w:szCs w:val="20"/>
              </w:rPr>
              <w:t>Current estimated value of the investment</w:t>
            </w:r>
            <w:r w:rsidRPr="00FA3F57">
              <w:rPr>
                <w:sz w:val="20"/>
                <w:szCs w:val="20"/>
              </w:rPr>
              <w:br/>
              <w:t>(in thousands of RSD)</w:t>
            </w:r>
          </w:p>
        </w:tc>
        <w:tc>
          <w:tcPr>
            <w:tcW w:w="5669" w:type="dxa"/>
          </w:tcPr>
          <w:p w14:paraId="2EB75884" w14:textId="77777777" w:rsidR="0094644B" w:rsidRPr="00FA3F57" w:rsidRDefault="0094644B" w:rsidP="00FB5086">
            <w:pPr>
              <w:rPr>
                <w:sz w:val="20"/>
                <w:szCs w:val="20"/>
              </w:rPr>
            </w:pPr>
            <w:r w:rsidRPr="00FA3F57">
              <w:rPr>
                <w:sz w:val="20"/>
                <w:szCs w:val="20"/>
              </w:rPr>
              <w:t>1,782,200 (15.2 million EUR)</w:t>
            </w:r>
          </w:p>
        </w:tc>
      </w:tr>
      <w:tr w:rsidR="0094644B" w:rsidRPr="00F07779" w14:paraId="717C92FF" w14:textId="77777777" w:rsidTr="00FB5086">
        <w:tc>
          <w:tcPr>
            <w:tcW w:w="2973" w:type="dxa"/>
            <w:hideMark/>
          </w:tcPr>
          <w:p w14:paraId="7B516688" w14:textId="77777777" w:rsidR="0094644B" w:rsidRPr="00FA3F57" w:rsidRDefault="0094644B" w:rsidP="00FB5086">
            <w:pPr>
              <w:rPr>
                <w:sz w:val="20"/>
                <w:szCs w:val="20"/>
              </w:rPr>
            </w:pPr>
            <w:r w:rsidRPr="00FA3F57">
              <w:rPr>
                <w:sz w:val="20"/>
                <w:szCs w:val="20"/>
              </w:rPr>
              <w:t>Planned investments for 2026.</w:t>
            </w:r>
            <w:r w:rsidRPr="00FA3F57">
              <w:rPr>
                <w:sz w:val="20"/>
                <w:szCs w:val="20"/>
              </w:rPr>
              <w:br/>
              <w:t>(in thousands of RSD)</w:t>
            </w:r>
          </w:p>
        </w:tc>
        <w:tc>
          <w:tcPr>
            <w:tcW w:w="5669" w:type="dxa"/>
          </w:tcPr>
          <w:p w14:paraId="7CD77A52" w14:textId="77777777" w:rsidR="0094644B" w:rsidRPr="00FA3F57" w:rsidRDefault="0094644B" w:rsidP="00FB5086">
            <w:pPr>
              <w:rPr>
                <w:sz w:val="20"/>
                <w:szCs w:val="20"/>
              </w:rPr>
            </w:pPr>
            <w:r w:rsidRPr="00FA3F57">
              <w:rPr>
                <w:sz w:val="20"/>
                <w:szCs w:val="20"/>
              </w:rPr>
              <w:t>48</w:t>
            </w:r>
            <w:r w:rsidRPr="00F07779">
              <w:rPr>
                <w:sz w:val="20"/>
                <w:szCs w:val="20"/>
              </w:rPr>
              <w:t>,</w:t>
            </w:r>
            <w:r w:rsidRPr="00FA3F57">
              <w:rPr>
                <w:sz w:val="20"/>
                <w:szCs w:val="20"/>
              </w:rPr>
              <w:t>451</w:t>
            </w:r>
            <w:r w:rsidRPr="00FA3F57" w:rsidDel="00EC5CAB">
              <w:rPr>
                <w:sz w:val="20"/>
                <w:szCs w:val="20"/>
              </w:rPr>
              <w:t xml:space="preserve"> </w:t>
            </w:r>
            <w:r w:rsidRPr="00FA3F57">
              <w:rPr>
                <w:sz w:val="20"/>
                <w:szCs w:val="20"/>
              </w:rPr>
              <w:t>(own funds of EMS JSC)</w:t>
            </w:r>
          </w:p>
        </w:tc>
      </w:tr>
      <w:tr w:rsidR="0094644B" w:rsidRPr="00F07779" w14:paraId="445868FE" w14:textId="77777777" w:rsidTr="00FB5086">
        <w:tc>
          <w:tcPr>
            <w:tcW w:w="2973" w:type="dxa"/>
            <w:hideMark/>
          </w:tcPr>
          <w:p w14:paraId="5320408A" w14:textId="77777777" w:rsidR="0094644B" w:rsidRPr="00FA3F57" w:rsidRDefault="0094644B" w:rsidP="00FB5086">
            <w:pPr>
              <w:rPr>
                <w:sz w:val="20"/>
                <w:szCs w:val="20"/>
              </w:rPr>
            </w:pPr>
            <w:r w:rsidRPr="00FA3F57">
              <w:rPr>
                <w:sz w:val="20"/>
                <w:szCs w:val="20"/>
              </w:rPr>
              <w:t>Planned investments for 2027.</w:t>
            </w:r>
            <w:r w:rsidRPr="00FA3F57">
              <w:rPr>
                <w:sz w:val="20"/>
                <w:szCs w:val="20"/>
              </w:rPr>
              <w:br/>
              <w:t>(in thousands of RSD)</w:t>
            </w:r>
          </w:p>
        </w:tc>
        <w:tc>
          <w:tcPr>
            <w:tcW w:w="5669" w:type="dxa"/>
          </w:tcPr>
          <w:p w14:paraId="1758CA5F" w14:textId="77777777" w:rsidR="0094644B" w:rsidRPr="00FA3F57" w:rsidRDefault="0094644B" w:rsidP="00FB5086">
            <w:pPr>
              <w:rPr>
                <w:sz w:val="20"/>
                <w:szCs w:val="20"/>
              </w:rPr>
            </w:pPr>
            <w:r w:rsidRPr="00FA3F57">
              <w:rPr>
                <w:sz w:val="20"/>
                <w:szCs w:val="20"/>
              </w:rPr>
              <w:t>1</w:t>
            </w:r>
            <w:r w:rsidRPr="00F07779">
              <w:rPr>
                <w:sz w:val="20"/>
                <w:szCs w:val="20"/>
              </w:rPr>
              <w:t>,</w:t>
            </w:r>
            <w:r w:rsidRPr="00FA3F57">
              <w:rPr>
                <w:sz w:val="20"/>
                <w:szCs w:val="20"/>
              </w:rPr>
              <w:t>601</w:t>
            </w:r>
            <w:r w:rsidRPr="00F07779">
              <w:rPr>
                <w:sz w:val="20"/>
                <w:szCs w:val="20"/>
              </w:rPr>
              <w:t>,</w:t>
            </w:r>
            <w:r w:rsidRPr="00FA3F57">
              <w:rPr>
                <w:sz w:val="20"/>
                <w:szCs w:val="20"/>
              </w:rPr>
              <w:t>483</w:t>
            </w:r>
            <w:r w:rsidRPr="00FA3F57" w:rsidDel="00EC5CAB">
              <w:rPr>
                <w:sz w:val="20"/>
                <w:szCs w:val="20"/>
              </w:rPr>
              <w:t xml:space="preserve"> </w:t>
            </w:r>
            <w:r w:rsidRPr="00FA3F57">
              <w:rPr>
                <w:sz w:val="20"/>
                <w:szCs w:val="20"/>
              </w:rPr>
              <w:t>(own funds of EMS JSC)</w:t>
            </w:r>
          </w:p>
        </w:tc>
      </w:tr>
      <w:tr w:rsidR="0094644B" w:rsidRPr="00F07779" w14:paraId="0FFFABCB" w14:textId="77777777" w:rsidTr="00FB5086">
        <w:tc>
          <w:tcPr>
            <w:tcW w:w="2973" w:type="dxa"/>
            <w:hideMark/>
          </w:tcPr>
          <w:p w14:paraId="0EC0A0E2" w14:textId="77777777" w:rsidR="0094644B" w:rsidRPr="00FA3F57" w:rsidRDefault="0094644B" w:rsidP="00FB5086">
            <w:pPr>
              <w:rPr>
                <w:sz w:val="20"/>
                <w:szCs w:val="20"/>
              </w:rPr>
            </w:pPr>
            <w:r w:rsidRPr="00FA3F57">
              <w:rPr>
                <w:sz w:val="20"/>
                <w:szCs w:val="20"/>
              </w:rPr>
              <w:t>Planned investments for 2028.</w:t>
            </w:r>
            <w:r w:rsidRPr="00FA3F57">
              <w:rPr>
                <w:sz w:val="20"/>
                <w:szCs w:val="20"/>
              </w:rPr>
              <w:br/>
              <w:t>(in thousands of RSD)</w:t>
            </w:r>
          </w:p>
        </w:tc>
        <w:tc>
          <w:tcPr>
            <w:tcW w:w="5669" w:type="dxa"/>
          </w:tcPr>
          <w:p w14:paraId="0EE8B1F5" w14:textId="77777777" w:rsidR="0094644B" w:rsidRPr="00FA3F57" w:rsidRDefault="0094644B" w:rsidP="00FB5086">
            <w:pPr>
              <w:rPr>
                <w:sz w:val="20"/>
                <w:szCs w:val="20"/>
              </w:rPr>
            </w:pPr>
            <w:r w:rsidRPr="00FA3F57">
              <w:rPr>
                <w:sz w:val="20"/>
                <w:szCs w:val="20"/>
              </w:rPr>
              <w:t>0</w:t>
            </w:r>
          </w:p>
        </w:tc>
      </w:tr>
    </w:tbl>
    <w:p w14:paraId="5E6E4F87" w14:textId="77777777" w:rsidR="0094644B" w:rsidRPr="00FA3F57" w:rsidRDefault="0094644B" w:rsidP="0094644B">
      <w:pPr>
        <w:tabs>
          <w:tab w:val="left" w:pos="1276"/>
        </w:tabs>
      </w:pPr>
    </w:p>
    <w:p w14:paraId="48EDE481" w14:textId="77777777" w:rsidR="0094644B" w:rsidRPr="00FA3F57" w:rsidRDefault="0094644B" w:rsidP="0094644B">
      <w:pPr>
        <w:tabs>
          <w:tab w:val="left" w:pos="1276"/>
        </w:tabs>
      </w:pPr>
    </w:p>
    <w:p w14:paraId="6964095E" w14:textId="77777777" w:rsidR="0094644B" w:rsidRPr="00FA3F57" w:rsidRDefault="0094644B" w:rsidP="0094644B">
      <w:pPr>
        <w:keepNext/>
        <w:tabs>
          <w:tab w:val="left" w:pos="1276"/>
        </w:tabs>
        <w:ind w:left="1560" w:hanging="1560"/>
      </w:pPr>
      <w:r w:rsidRPr="00F07779">
        <w:lastRenderedPageBreak/>
        <w:t>Table</w:t>
      </w:r>
      <w:r w:rsidRPr="00FA3F57">
        <w:t xml:space="preserve"> 5.1.7-1:</w:t>
      </w:r>
      <w:r w:rsidRPr="00FA3F57">
        <w:tab/>
        <w:t>Activities for the implementation of measure EL7</w:t>
      </w:r>
      <w:r w:rsidRPr="00FA3F57" w:rsidDel="00997458">
        <w:t xml:space="preserve"> </w:t>
      </w:r>
      <w:r w:rsidRPr="00FA3F57">
        <w:t>– Activity EL7.1</w:t>
      </w:r>
    </w:p>
    <w:tbl>
      <w:tblPr>
        <w:tblStyle w:val="TableGrid"/>
        <w:tblW w:w="8642" w:type="dxa"/>
        <w:tblLook w:val="04A0" w:firstRow="1" w:lastRow="0" w:firstColumn="1" w:lastColumn="0" w:noHBand="0" w:noVBand="1"/>
      </w:tblPr>
      <w:tblGrid>
        <w:gridCol w:w="2973"/>
        <w:gridCol w:w="5669"/>
      </w:tblGrid>
      <w:tr w:rsidR="0094644B" w:rsidRPr="00F07779" w14:paraId="5721CB29" w14:textId="77777777" w:rsidTr="00FB5086">
        <w:tc>
          <w:tcPr>
            <w:tcW w:w="2973" w:type="dxa"/>
            <w:shd w:val="clear" w:color="auto" w:fill="D9D9D9" w:themeFill="background1" w:themeFillShade="D9"/>
          </w:tcPr>
          <w:p w14:paraId="3DC8598E" w14:textId="77777777" w:rsidR="0094644B" w:rsidRPr="00FA3F57" w:rsidRDefault="0094644B" w:rsidP="00FB5086">
            <w:pPr>
              <w:keepNext/>
              <w:rPr>
                <w:sz w:val="20"/>
                <w:szCs w:val="20"/>
              </w:rPr>
            </w:pPr>
            <w:r w:rsidRPr="00FA3F57">
              <w:rPr>
                <w:sz w:val="20"/>
                <w:szCs w:val="20"/>
              </w:rPr>
              <w:t>Activity EL7.1</w:t>
            </w:r>
          </w:p>
        </w:tc>
        <w:tc>
          <w:tcPr>
            <w:tcW w:w="5669" w:type="dxa"/>
            <w:shd w:val="clear" w:color="auto" w:fill="D9D9D9" w:themeFill="background1" w:themeFillShade="D9"/>
          </w:tcPr>
          <w:p w14:paraId="4A206078" w14:textId="77777777" w:rsidR="0094644B" w:rsidRPr="00FA3F57" w:rsidRDefault="0094644B" w:rsidP="00FB5086">
            <w:pPr>
              <w:keepNext/>
              <w:rPr>
                <w:sz w:val="20"/>
                <w:szCs w:val="20"/>
              </w:rPr>
            </w:pPr>
            <w:r w:rsidRPr="00FA3F57">
              <w:rPr>
                <w:sz w:val="20"/>
                <w:szCs w:val="20"/>
              </w:rPr>
              <w:t>Investment projects for modernization in electricity production</w:t>
            </w:r>
          </w:p>
        </w:tc>
      </w:tr>
      <w:tr w:rsidR="0094644B" w:rsidRPr="00F07779" w14:paraId="5A845992" w14:textId="77777777" w:rsidTr="00FB5086">
        <w:tc>
          <w:tcPr>
            <w:tcW w:w="2973" w:type="dxa"/>
            <w:shd w:val="clear" w:color="auto" w:fill="D9E2F3" w:themeFill="accent1" w:themeFillTint="33"/>
          </w:tcPr>
          <w:p w14:paraId="467BCF7E" w14:textId="77777777" w:rsidR="0094644B" w:rsidRPr="00FA3F57" w:rsidRDefault="0094644B" w:rsidP="00FB5086">
            <w:pPr>
              <w:keepNext/>
              <w:rPr>
                <w:sz w:val="20"/>
                <w:szCs w:val="20"/>
              </w:rPr>
            </w:pPr>
            <w:r w:rsidRPr="00FA3F57">
              <w:rPr>
                <w:sz w:val="20"/>
                <w:szCs w:val="20"/>
              </w:rPr>
              <w:t>Name of the investment</w:t>
            </w:r>
          </w:p>
        </w:tc>
        <w:tc>
          <w:tcPr>
            <w:tcW w:w="5669" w:type="dxa"/>
            <w:shd w:val="clear" w:color="auto" w:fill="D9E2F3" w:themeFill="accent1" w:themeFillTint="33"/>
          </w:tcPr>
          <w:p w14:paraId="16D3E852" w14:textId="77777777" w:rsidR="0094644B" w:rsidRPr="00FA3F57" w:rsidRDefault="0094644B" w:rsidP="00FB5086">
            <w:pPr>
              <w:keepNext/>
              <w:rPr>
                <w:sz w:val="20"/>
                <w:szCs w:val="20"/>
              </w:rPr>
            </w:pPr>
            <w:r w:rsidRPr="00F07779">
              <w:rPr>
                <w:sz w:val="20"/>
                <w:szCs w:val="20"/>
              </w:rPr>
              <w:t xml:space="preserve">Revitalization of the units at the PSHPP </w:t>
            </w:r>
            <w:proofErr w:type="spellStart"/>
            <w:r w:rsidRPr="00F07779">
              <w:rPr>
                <w:sz w:val="20"/>
                <w:szCs w:val="20"/>
              </w:rPr>
              <w:t>Bajina</w:t>
            </w:r>
            <w:proofErr w:type="spellEnd"/>
            <w:r w:rsidRPr="00F07779">
              <w:rPr>
                <w:sz w:val="20"/>
                <w:szCs w:val="20"/>
              </w:rPr>
              <w:t xml:space="preserve"> </w:t>
            </w:r>
            <w:proofErr w:type="spellStart"/>
            <w:r w:rsidRPr="00F07779">
              <w:rPr>
                <w:sz w:val="20"/>
                <w:szCs w:val="20"/>
              </w:rPr>
              <w:t>Bašta</w:t>
            </w:r>
            <w:proofErr w:type="spellEnd"/>
          </w:p>
        </w:tc>
      </w:tr>
      <w:tr w:rsidR="0094644B" w:rsidRPr="00F07779" w14:paraId="6CF33435" w14:textId="77777777" w:rsidTr="00FB5086">
        <w:tc>
          <w:tcPr>
            <w:tcW w:w="2973" w:type="dxa"/>
          </w:tcPr>
          <w:p w14:paraId="226D1054" w14:textId="77777777" w:rsidR="0094644B" w:rsidRPr="00FA3F57" w:rsidRDefault="0094644B" w:rsidP="00FB5086">
            <w:pPr>
              <w:rPr>
                <w:sz w:val="20"/>
                <w:szCs w:val="20"/>
              </w:rPr>
            </w:pPr>
            <w:r w:rsidRPr="00FA3F57">
              <w:rPr>
                <w:sz w:val="20"/>
                <w:szCs w:val="20"/>
              </w:rPr>
              <w:t>Short description of the investment</w:t>
            </w:r>
          </w:p>
        </w:tc>
        <w:tc>
          <w:tcPr>
            <w:tcW w:w="5669" w:type="dxa"/>
          </w:tcPr>
          <w:p w14:paraId="4D183BA2" w14:textId="77777777" w:rsidR="0094644B" w:rsidRPr="00F07779" w:rsidRDefault="0094644B" w:rsidP="00FB5086">
            <w:pPr>
              <w:rPr>
                <w:sz w:val="20"/>
                <w:szCs w:val="20"/>
              </w:rPr>
            </w:pPr>
            <w:r w:rsidRPr="00FA3F57">
              <w:rPr>
                <w:sz w:val="20"/>
                <w:szCs w:val="20"/>
              </w:rPr>
              <w:t>The subject of the project is the revitalization of mechanical and electrical equipment, control equipment, generator voltage equipment, and electrical protection systems, as well as the replacement of the excitation system and the revision of the supply and discharge tunnel.</w:t>
            </w:r>
          </w:p>
          <w:p w14:paraId="35B49CE1" w14:textId="77777777" w:rsidR="0094644B" w:rsidRPr="00FA3F57" w:rsidRDefault="0094644B" w:rsidP="00FB5086">
            <w:pPr>
              <w:rPr>
                <w:sz w:val="20"/>
                <w:szCs w:val="20"/>
              </w:rPr>
            </w:pPr>
            <w:r w:rsidRPr="00FA3F57">
              <w:rPr>
                <w:sz w:val="20"/>
                <w:szCs w:val="20"/>
              </w:rPr>
              <w:t xml:space="preserve">After its revitalization, the PSHPP </w:t>
            </w:r>
            <w:proofErr w:type="spellStart"/>
            <w:r w:rsidRPr="00FA3F57">
              <w:rPr>
                <w:sz w:val="20"/>
                <w:szCs w:val="20"/>
              </w:rPr>
              <w:t>Bajina</w:t>
            </w:r>
            <w:proofErr w:type="spellEnd"/>
            <w:r w:rsidRPr="00FA3F57">
              <w:rPr>
                <w:sz w:val="20"/>
                <w:szCs w:val="20"/>
              </w:rPr>
              <w:t xml:space="preserve"> </w:t>
            </w:r>
            <w:proofErr w:type="spellStart"/>
            <w:r w:rsidRPr="00FA3F57">
              <w:rPr>
                <w:sz w:val="20"/>
                <w:szCs w:val="20"/>
              </w:rPr>
              <w:t>Bašta</w:t>
            </w:r>
            <w:proofErr w:type="spellEnd"/>
            <w:r w:rsidRPr="00FA3F57">
              <w:rPr>
                <w:sz w:val="20"/>
                <w:szCs w:val="20"/>
              </w:rPr>
              <w:t xml:space="preserve"> will continue to represent a stable and reliable source of electricity in the coming decades.</w:t>
            </w:r>
          </w:p>
        </w:tc>
      </w:tr>
      <w:tr w:rsidR="0094644B" w:rsidRPr="00F07779" w14:paraId="13C4C605" w14:textId="77777777" w:rsidTr="00FB5086">
        <w:tc>
          <w:tcPr>
            <w:tcW w:w="2973" w:type="dxa"/>
          </w:tcPr>
          <w:p w14:paraId="4926D89A" w14:textId="77777777" w:rsidR="0094644B" w:rsidRPr="00FA3F57" w:rsidRDefault="0094644B" w:rsidP="00FB5086">
            <w:pPr>
              <w:rPr>
                <w:sz w:val="20"/>
                <w:szCs w:val="20"/>
              </w:rPr>
            </w:pPr>
            <w:r w:rsidRPr="00FA3F57">
              <w:rPr>
                <w:sz w:val="20"/>
                <w:szCs w:val="20"/>
              </w:rPr>
              <w:t>Institutions responsible for the implementation of measures and activities</w:t>
            </w:r>
          </w:p>
        </w:tc>
        <w:tc>
          <w:tcPr>
            <w:tcW w:w="5669" w:type="dxa"/>
          </w:tcPr>
          <w:p w14:paraId="725075D1" w14:textId="77777777" w:rsidR="0094644B" w:rsidRPr="00FA3F57" w:rsidRDefault="0094644B" w:rsidP="00FB5086">
            <w:pPr>
              <w:rPr>
                <w:sz w:val="20"/>
                <w:szCs w:val="20"/>
              </w:rPr>
            </w:pPr>
            <w:r w:rsidRPr="00FA3F57">
              <w:rPr>
                <w:sz w:val="20"/>
                <w:szCs w:val="20"/>
              </w:rPr>
              <w:t>Joint Stock Company "</w:t>
            </w:r>
            <w:proofErr w:type="spellStart"/>
            <w:r w:rsidRPr="00FA3F57">
              <w:rPr>
                <w:sz w:val="20"/>
                <w:szCs w:val="20"/>
              </w:rPr>
              <w:t>Elektroprivreda</w:t>
            </w:r>
            <w:proofErr w:type="spellEnd"/>
            <w:r w:rsidRPr="00FA3F57">
              <w:rPr>
                <w:sz w:val="20"/>
                <w:szCs w:val="20"/>
              </w:rPr>
              <w:t xml:space="preserve"> Srbije"</w:t>
            </w:r>
          </w:p>
        </w:tc>
      </w:tr>
      <w:tr w:rsidR="0094644B" w:rsidRPr="00F07779" w14:paraId="79A979E1" w14:textId="77777777" w:rsidTr="00FB5086">
        <w:tc>
          <w:tcPr>
            <w:tcW w:w="2973" w:type="dxa"/>
          </w:tcPr>
          <w:p w14:paraId="7EED614A" w14:textId="77777777" w:rsidR="0094644B" w:rsidRPr="00FA3F57" w:rsidRDefault="0094644B" w:rsidP="00FB5086">
            <w:pPr>
              <w:rPr>
                <w:sz w:val="20"/>
                <w:szCs w:val="20"/>
              </w:rPr>
            </w:pPr>
            <w:r w:rsidRPr="00FA3F57">
              <w:rPr>
                <w:sz w:val="20"/>
                <w:szCs w:val="20"/>
              </w:rPr>
              <w:t>Institutions responsible for monitoring implementation and reporting on the realization</w:t>
            </w:r>
          </w:p>
        </w:tc>
        <w:tc>
          <w:tcPr>
            <w:tcW w:w="5669" w:type="dxa"/>
          </w:tcPr>
          <w:p w14:paraId="73BA4BEA" w14:textId="77777777" w:rsidR="0094644B" w:rsidRPr="00F07779" w:rsidRDefault="0094644B" w:rsidP="00FB5086">
            <w:pPr>
              <w:rPr>
                <w:sz w:val="20"/>
                <w:szCs w:val="20"/>
              </w:rPr>
            </w:pPr>
            <w:r w:rsidRPr="00FA3F57">
              <w:rPr>
                <w:sz w:val="20"/>
                <w:szCs w:val="20"/>
              </w:rPr>
              <w:t>Joint Stock Company "</w:t>
            </w:r>
            <w:proofErr w:type="spellStart"/>
            <w:r w:rsidRPr="00FA3F57">
              <w:rPr>
                <w:sz w:val="20"/>
                <w:szCs w:val="20"/>
              </w:rPr>
              <w:t>Elektroprivreda</w:t>
            </w:r>
            <w:proofErr w:type="spellEnd"/>
            <w:r w:rsidRPr="00FA3F57">
              <w:rPr>
                <w:sz w:val="20"/>
                <w:szCs w:val="20"/>
              </w:rPr>
              <w:t xml:space="preserve"> Srbije"</w:t>
            </w:r>
          </w:p>
          <w:p w14:paraId="4CFF4FE9" w14:textId="77777777" w:rsidR="0094644B" w:rsidRPr="00FA3F57" w:rsidRDefault="0094644B" w:rsidP="00FB5086">
            <w:pPr>
              <w:rPr>
                <w:sz w:val="20"/>
                <w:szCs w:val="20"/>
              </w:rPr>
            </w:pPr>
            <w:r w:rsidRPr="00FA3F57">
              <w:rPr>
                <w:sz w:val="20"/>
                <w:szCs w:val="20"/>
              </w:rPr>
              <w:t>Ministry of Mining and Energy</w:t>
            </w:r>
          </w:p>
        </w:tc>
      </w:tr>
      <w:tr w:rsidR="0094644B" w:rsidRPr="00F07779" w14:paraId="50993753" w14:textId="77777777" w:rsidTr="00FB5086">
        <w:tc>
          <w:tcPr>
            <w:tcW w:w="2973" w:type="dxa"/>
          </w:tcPr>
          <w:p w14:paraId="75B59D94" w14:textId="77777777" w:rsidR="0094644B" w:rsidRPr="00FA3F57" w:rsidRDefault="0094644B" w:rsidP="00FB5086">
            <w:pPr>
              <w:rPr>
                <w:sz w:val="20"/>
                <w:szCs w:val="20"/>
              </w:rPr>
            </w:pPr>
            <w:r w:rsidRPr="00FA3F57">
              <w:rPr>
                <w:sz w:val="20"/>
                <w:szCs w:val="20"/>
              </w:rPr>
              <w:t>Year of project funding start</w:t>
            </w:r>
          </w:p>
        </w:tc>
        <w:tc>
          <w:tcPr>
            <w:tcW w:w="5669" w:type="dxa"/>
          </w:tcPr>
          <w:p w14:paraId="536B25E2" w14:textId="77777777" w:rsidR="0094644B" w:rsidRPr="00FA3F57" w:rsidRDefault="0094644B" w:rsidP="00FB5086">
            <w:pPr>
              <w:rPr>
                <w:sz w:val="20"/>
                <w:szCs w:val="20"/>
              </w:rPr>
            </w:pPr>
            <w:r w:rsidRPr="00FA3F57">
              <w:rPr>
                <w:sz w:val="20"/>
                <w:szCs w:val="20"/>
              </w:rPr>
              <w:t>2020.</w:t>
            </w:r>
          </w:p>
        </w:tc>
      </w:tr>
      <w:tr w:rsidR="0094644B" w:rsidRPr="00F07779" w14:paraId="1506773E" w14:textId="77777777" w:rsidTr="00FB5086">
        <w:tc>
          <w:tcPr>
            <w:tcW w:w="2973" w:type="dxa"/>
          </w:tcPr>
          <w:p w14:paraId="20EC5E65" w14:textId="77777777" w:rsidR="0094644B" w:rsidRPr="00FA3F57" w:rsidRDefault="0094644B" w:rsidP="00FB5086">
            <w:pPr>
              <w:rPr>
                <w:sz w:val="20"/>
                <w:szCs w:val="20"/>
              </w:rPr>
            </w:pPr>
            <w:r w:rsidRPr="00FA3F57">
              <w:rPr>
                <w:sz w:val="20"/>
                <w:szCs w:val="20"/>
              </w:rPr>
              <w:t>Year of completion of project funding</w:t>
            </w:r>
          </w:p>
        </w:tc>
        <w:tc>
          <w:tcPr>
            <w:tcW w:w="5669" w:type="dxa"/>
          </w:tcPr>
          <w:p w14:paraId="26EE0A1B" w14:textId="77777777" w:rsidR="0094644B" w:rsidRPr="00FA3F57" w:rsidRDefault="0094644B" w:rsidP="00FB5086">
            <w:pPr>
              <w:rPr>
                <w:sz w:val="20"/>
                <w:szCs w:val="20"/>
              </w:rPr>
            </w:pPr>
            <w:r w:rsidRPr="00FA3F57">
              <w:rPr>
                <w:sz w:val="20"/>
                <w:szCs w:val="20"/>
              </w:rPr>
              <w:t>2026.</w:t>
            </w:r>
          </w:p>
        </w:tc>
      </w:tr>
      <w:tr w:rsidR="0094644B" w:rsidRPr="00F07779" w14:paraId="1CD0F570" w14:textId="77777777" w:rsidTr="00FB5086">
        <w:tc>
          <w:tcPr>
            <w:tcW w:w="2973" w:type="dxa"/>
          </w:tcPr>
          <w:p w14:paraId="3419394D" w14:textId="77777777" w:rsidR="0094644B" w:rsidRPr="00FA3F57" w:rsidRDefault="0094644B" w:rsidP="00FB5086">
            <w:pPr>
              <w:rPr>
                <w:sz w:val="20"/>
                <w:szCs w:val="20"/>
              </w:rPr>
            </w:pPr>
            <w:r w:rsidRPr="00FA3F57">
              <w:rPr>
                <w:sz w:val="20"/>
                <w:szCs w:val="20"/>
              </w:rPr>
              <w:t>Total project value</w:t>
            </w:r>
            <w:r w:rsidRPr="00FA3F57">
              <w:rPr>
                <w:sz w:val="20"/>
                <w:szCs w:val="20"/>
              </w:rPr>
              <w:br/>
              <w:t>(in thousands of RSD)</w:t>
            </w:r>
          </w:p>
        </w:tc>
        <w:tc>
          <w:tcPr>
            <w:tcW w:w="5669" w:type="dxa"/>
          </w:tcPr>
          <w:p w14:paraId="46B80628" w14:textId="77777777" w:rsidR="0094644B" w:rsidRPr="00FA3F57" w:rsidRDefault="0094644B" w:rsidP="00FB5086">
            <w:pPr>
              <w:rPr>
                <w:sz w:val="20"/>
                <w:szCs w:val="20"/>
              </w:rPr>
            </w:pPr>
            <w:r w:rsidRPr="00FA3F57">
              <w:rPr>
                <w:sz w:val="20"/>
                <w:szCs w:val="20"/>
              </w:rPr>
              <w:t>4,711,975 (40.2 million EUR)</w:t>
            </w:r>
          </w:p>
        </w:tc>
      </w:tr>
      <w:tr w:rsidR="0094644B" w:rsidRPr="00F07779" w14:paraId="7E2AC5A0" w14:textId="77777777" w:rsidTr="00FB5086">
        <w:tc>
          <w:tcPr>
            <w:tcW w:w="2973" w:type="dxa"/>
          </w:tcPr>
          <w:p w14:paraId="1764996A" w14:textId="77777777" w:rsidR="0094644B" w:rsidRPr="00FA3F57" w:rsidRDefault="0094644B" w:rsidP="00FB5086">
            <w:pPr>
              <w:rPr>
                <w:sz w:val="20"/>
                <w:szCs w:val="20"/>
              </w:rPr>
            </w:pPr>
            <w:r w:rsidRPr="00FA3F57">
              <w:rPr>
                <w:sz w:val="20"/>
                <w:szCs w:val="20"/>
              </w:rPr>
              <w:t>Planned investments for 2026.</w:t>
            </w:r>
            <w:r w:rsidRPr="00FA3F57">
              <w:rPr>
                <w:sz w:val="20"/>
                <w:szCs w:val="20"/>
              </w:rPr>
              <w:br/>
              <w:t>(in thousands of RSD)</w:t>
            </w:r>
          </w:p>
        </w:tc>
        <w:tc>
          <w:tcPr>
            <w:tcW w:w="5669" w:type="dxa"/>
          </w:tcPr>
          <w:p w14:paraId="095E352D" w14:textId="77777777" w:rsidR="0094644B" w:rsidRPr="00FA3F57" w:rsidRDefault="0094644B" w:rsidP="00FB5086">
            <w:pPr>
              <w:rPr>
                <w:sz w:val="20"/>
                <w:szCs w:val="20"/>
              </w:rPr>
            </w:pPr>
            <w:r w:rsidRPr="00FA3F57">
              <w:rPr>
                <w:sz w:val="20"/>
                <w:szCs w:val="20"/>
              </w:rPr>
              <w:t>0</w:t>
            </w:r>
          </w:p>
        </w:tc>
      </w:tr>
      <w:tr w:rsidR="0094644B" w:rsidRPr="00F07779" w14:paraId="2C76147D" w14:textId="77777777" w:rsidTr="00FB5086">
        <w:tc>
          <w:tcPr>
            <w:tcW w:w="2973" w:type="dxa"/>
          </w:tcPr>
          <w:p w14:paraId="49EC99DD" w14:textId="77777777" w:rsidR="0094644B" w:rsidRPr="00FA3F57" w:rsidRDefault="0094644B" w:rsidP="00FB5086">
            <w:pPr>
              <w:rPr>
                <w:sz w:val="20"/>
                <w:szCs w:val="20"/>
              </w:rPr>
            </w:pPr>
            <w:r w:rsidRPr="00FA3F57">
              <w:rPr>
                <w:sz w:val="20"/>
                <w:szCs w:val="20"/>
              </w:rPr>
              <w:t>Planned investments for 2027.</w:t>
            </w:r>
            <w:r w:rsidRPr="00FA3F57">
              <w:rPr>
                <w:sz w:val="20"/>
                <w:szCs w:val="20"/>
              </w:rPr>
              <w:br/>
              <w:t>(in thousands of RSD)</w:t>
            </w:r>
          </w:p>
        </w:tc>
        <w:tc>
          <w:tcPr>
            <w:tcW w:w="5669" w:type="dxa"/>
          </w:tcPr>
          <w:p w14:paraId="14D78E2D" w14:textId="77777777" w:rsidR="0094644B" w:rsidRPr="00FA3F57" w:rsidRDefault="0094644B" w:rsidP="00FB5086">
            <w:pPr>
              <w:rPr>
                <w:sz w:val="20"/>
                <w:szCs w:val="20"/>
              </w:rPr>
            </w:pPr>
            <w:r w:rsidRPr="00FA3F57">
              <w:rPr>
                <w:sz w:val="20"/>
                <w:szCs w:val="20"/>
              </w:rPr>
              <w:t>0</w:t>
            </w:r>
          </w:p>
        </w:tc>
      </w:tr>
      <w:tr w:rsidR="0094644B" w:rsidRPr="00F07779" w14:paraId="6EE22CFC" w14:textId="77777777" w:rsidTr="00FB5086">
        <w:tc>
          <w:tcPr>
            <w:tcW w:w="2973" w:type="dxa"/>
          </w:tcPr>
          <w:p w14:paraId="48FCC578" w14:textId="77777777" w:rsidR="0094644B" w:rsidRPr="00FA3F57" w:rsidRDefault="0094644B" w:rsidP="00FB5086">
            <w:pPr>
              <w:rPr>
                <w:sz w:val="20"/>
                <w:szCs w:val="20"/>
              </w:rPr>
            </w:pPr>
            <w:r w:rsidRPr="00FA3F57">
              <w:rPr>
                <w:sz w:val="20"/>
                <w:szCs w:val="20"/>
              </w:rPr>
              <w:t>Planned investments for 2028.</w:t>
            </w:r>
            <w:r w:rsidRPr="00FA3F57">
              <w:rPr>
                <w:sz w:val="20"/>
                <w:szCs w:val="20"/>
              </w:rPr>
              <w:br/>
              <w:t>(in thousands of RSD)</w:t>
            </w:r>
          </w:p>
        </w:tc>
        <w:tc>
          <w:tcPr>
            <w:tcW w:w="5669" w:type="dxa"/>
          </w:tcPr>
          <w:p w14:paraId="24306011" w14:textId="77777777" w:rsidR="0094644B" w:rsidRPr="00FA3F57" w:rsidRDefault="0094644B" w:rsidP="00FB5086">
            <w:pPr>
              <w:rPr>
                <w:sz w:val="20"/>
                <w:szCs w:val="20"/>
              </w:rPr>
            </w:pPr>
            <w:r w:rsidRPr="00FA3F57">
              <w:rPr>
                <w:sz w:val="20"/>
                <w:szCs w:val="20"/>
              </w:rPr>
              <w:t>0</w:t>
            </w:r>
          </w:p>
        </w:tc>
      </w:tr>
    </w:tbl>
    <w:p w14:paraId="75E4C451" w14:textId="77777777" w:rsidR="0094644B" w:rsidRPr="00FA3F57" w:rsidRDefault="0094644B" w:rsidP="0094644B">
      <w:pPr>
        <w:tabs>
          <w:tab w:val="left" w:pos="1276"/>
        </w:tabs>
        <w:ind w:left="1560" w:hanging="1560"/>
      </w:pPr>
    </w:p>
    <w:p w14:paraId="644C5288" w14:textId="77777777" w:rsidR="0094644B" w:rsidRPr="00FA3F57" w:rsidRDefault="0094644B" w:rsidP="0094644B">
      <w:pPr>
        <w:keepNext/>
        <w:tabs>
          <w:tab w:val="left" w:pos="1276"/>
        </w:tabs>
        <w:ind w:left="1560" w:hanging="1560"/>
      </w:pPr>
      <w:r w:rsidRPr="00F07779">
        <w:t>Table</w:t>
      </w:r>
      <w:r w:rsidRPr="00FA3F57">
        <w:t xml:space="preserve"> 5.1.7-2:</w:t>
      </w:r>
      <w:r w:rsidRPr="00FA3F57">
        <w:tab/>
        <w:t>Activities for the implementation of measure EL7</w:t>
      </w:r>
      <w:r w:rsidRPr="00FA3F57" w:rsidDel="00997458">
        <w:t xml:space="preserve"> </w:t>
      </w:r>
      <w:r w:rsidRPr="00FA3F57">
        <w:t>– Activity EL7.</w:t>
      </w:r>
      <w:r w:rsidRPr="00F07779">
        <w:t>2</w:t>
      </w:r>
    </w:p>
    <w:tbl>
      <w:tblPr>
        <w:tblStyle w:val="TableGrid"/>
        <w:tblW w:w="0" w:type="auto"/>
        <w:tblLook w:val="04A0" w:firstRow="1" w:lastRow="0" w:firstColumn="1" w:lastColumn="0" w:noHBand="0" w:noVBand="1"/>
      </w:tblPr>
      <w:tblGrid>
        <w:gridCol w:w="2973"/>
        <w:gridCol w:w="5669"/>
      </w:tblGrid>
      <w:tr w:rsidR="0094644B" w:rsidRPr="00F07779" w14:paraId="43D4D5D9" w14:textId="77777777" w:rsidTr="00FB5086">
        <w:tc>
          <w:tcPr>
            <w:tcW w:w="2973" w:type="dxa"/>
            <w:shd w:val="clear" w:color="auto" w:fill="D9D9D9" w:themeFill="background1" w:themeFillShade="D9"/>
          </w:tcPr>
          <w:p w14:paraId="5F071607" w14:textId="77777777" w:rsidR="0094644B" w:rsidRPr="00FA3F57" w:rsidRDefault="0094644B" w:rsidP="00FB5086">
            <w:pPr>
              <w:keepNext/>
              <w:rPr>
                <w:sz w:val="20"/>
                <w:szCs w:val="20"/>
              </w:rPr>
            </w:pPr>
            <w:r w:rsidRPr="00FA3F57">
              <w:rPr>
                <w:sz w:val="20"/>
                <w:szCs w:val="20"/>
              </w:rPr>
              <w:t>Activity EL7.2</w:t>
            </w:r>
          </w:p>
        </w:tc>
        <w:tc>
          <w:tcPr>
            <w:tcW w:w="5669" w:type="dxa"/>
            <w:shd w:val="clear" w:color="auto" w:fill="D9D9D9" w:themeFill="background1" w:themeFillShade="D9"/>
          </w:tcPr>
          <w:p w14:paraId="2DE4F697" w14:textId="77777777" w:rsidR="0094644B" w:rsidRPr="00FA3F57" w:rsidRDefault="0094644B" w:rsidP="00FB5086">
            <w:pPr>
              <w:keepNext/>
              <w:rPr>
                <w:sz w:val="20"/>
                <w:szCs w:val="20"/>
              </w:rPr>
            </w:pPr>
            <w:r w:rsidRPr="00FA3F57">
              <w:rPr>
                <w:sz w:val="20"/>
                <w:szCs w:val="20"/>
              </w:rPr>
              <w:t xml:space="preserve">Investment projects for the modernization of the transmission </w:t>
            </w:r>
            <w:proofErr w:type="spellStart"/>
            <w:r w:rsidRPr="00FA3F57">
              <w:rPr>
                <w:sz w:val="20"/>
                <w:szCs w:val="20"/>
              </w:rPr>
              <w:t>systemInvestment</w:t>
            </w:r>
            <w:proofErr w:type="spellEnd"/>
            <w:r w:rsidRPr="00FA3F57">
              <w:rPr>
                <w:sz w:val="20"/>
                <w:szCs w:val="20"/>
              </w:rPr>
              <w:t xml:space="preserve"> projects for the modernization of the transmission system</w:t>
            </w:r>
          </w:p>
        </w:tc>
      </w:tr>
      <w:tr w:rsidR="0094644B" w:rsidRPr="00F07779" w14:paraId="68029F5F" w14:textId="77777777" w:rsidTr="00FB5086">
        <w:tc>
          <w:tcPr>
            <w:tcW w:w="2973" w:type="dxa"/>
            <w:shd w:val="clear" w:color="auto" w:fill="FFF2CC" w:themeFill="accent4" w:themeFillTint="33"/>
          </w:tcPr>
          <w:p w14:paraId="571CBB40" w14:textId="77777777" w:rsidR="0094644B" w:rsidRPr="00FA3F57" w:rsidRDefault="0094644B" w:rsidP="00FB5086">
            <w:pPr>
              <w:keepNext/>
              <w:rPr>
                <w:sz w:val="20"/>
                <w:szCs w:val="20"/>
              </w:rPr>
            </w:pPr>
            <w:r w:rsidRPr="00FA3F57">
              <w:rPr>
                <w:sz w:val="20"/>
                <w:szCs w:val="20"/>
              </w:rPr>
              <w:t>Name of the project</w:t>
            </w:r>
          </w:p>
        </w:tc>
        <w:tc>
          <w:tcPr>
            <w:tcW w:w="5669" w:type="dxa"/>
            <w:shd w:val="clear" w:color="auto" w:fill="FFF2CC" w:themeFill="accent4" w:themeFillTint="33"/>
          </w:tcPr>
          <w:p w14:paraId="044862CA" w14:textId="77777777" w:rsidR="0094644B" w:rsidRPr="00FA3F57" w:rsidRDefault="0094644B" w:rsidP="00FB5086">
            <w:pPr>
              <w:keepNext/>
              <w:rPr>
                <w:sz w:val="20"/>
                <w:szCs w:val="20"/>
              </w:rPr>
            </w:pPr>
            <w:r w:rsidRPr="00FA3F57">
              <w:rPr>
                <w:sz w:val="20"/>
                <w:szCs w:val="20"/>
              </w:rPr>
              <w:t>Installation of a variable shunt reactor at EMS facilities</w:t>
            </w:r>
          </w:p>
        </w:tc>
      </w:tr>
      <w:tr w:rsidR="0094644B" w:rsidRPr="00F07779" w14:paraId="63124BC2" w14:textId="77777777" w:rsidTr="00FB5086">
        <w:tc>
          <w:tcPr>
            <w:tcW w:w="2973" w:type="dxa"/>
            <w:shd w:val="clear" w:color="auto" w:fill="D9E2F3" w:themeFill="accent1" w:themeFillTint="33"/>
          </w:tcPr>
          <w:p w14:paraId="47A8DDFF" w14:textId="77777777" w:rsidR="0094644B" w:rsidRPr="00FA3F57" w:rsidRDefault="0094644B" w:rsidP="00FB5086">
            <w:pPr>
              <w:keepNext/>
              <w:rPr>
                <w:sz w:val="20"/>
                <w:szCs w:val="20"/>
              </w:rPr>
            </w:pPr>
            <w:r w:rsidRPr="00FA3F57">
              <w:rPr>
                <w:sz w:val="20"/>
                <w:szCs w:val="20"/>
              </w:rPr>
              <w:t>Name of the investment</w:t>
            </w:r>
          </w:p>
        </w:tc>
        <w:tc>
          <w:tcPr>
            <w:tcW w:w="5669" w:type="dxa"/>
            <w:shd w:val="clear" w:color="auto" w:fill="D9E2F3" w:themeFill="accent1" w:themeFillTint="33"/>
          </w:tcPr>
          <w:p w14:paraId="34595B5A" w14:textId="77777777" w:rsidR="0094644B" w:rsidRPr="00FA3F57" w:rsidRDefault="0094644B" w:rsidP="00FB5086">
            <w:pPr>
              <w:keepNext/>
              <w:rPr>
                <w:sz w:val="20"/>
                <w:szCs w:val="20"/>
              </w:rPr>
            </w:pPr>
            <w:r w:rsidRPr="00FA3F57">
              <w:rPr>
                <w:sz w:val="20"/>
                <w:szCs w:val="20"/>
              </w:rPr>
              <w:t>400/110 kV TS Vranje 4, installation of variable shunt reactor</w:t>
            </w:r>
          </w:p>
        </w:tc>
      </w:tr>
      <w:tr w:rsidR="0094644B" w:rsidRPr="00F07779" w14:paraId="53690D7E" w14:textId="77777777" w:rsidTr="00FB5086">
        <w:tc>
          <w:tcPr>
            <w:tcW w:w="2973" w:type="dxa"/>
          </w:tcPr>
          <w:p w14:paraId="4FF136EE" w14:textId="77777777" w:rsidR="0094644B" w:rsidRPr="00FA3F57" w:rsidRDefault="0094644B" w:rsidP="00FB5086">
            <w:pPr>
              <w:rPr>
                <w:sz w:val="20"/>
                <w:szCs w:val="20"/>
              </w:rPr>
            </w:pPr>
            <w:r w:rsidRPr="00FA3F57">
              <w:rPr>
                <w:sz w:val="20"/>
                <w:szCs w:val="20"/>
              </w:rPr>
              <w:t>Short description of the investment</w:t>
            </w:r>
          </w:p>
        </w:tc>
        <w:tc>
          <w:tcPr>
            <w:tcW w:w="5669" w:type="dxa"/>
          </w:tcPr>
          <w:p w14:paraId="73D5200D" w14:textId="77777777" w:rsidR="0094644B" w:rsidRPr="00FA3F57" w:rsidRDefault="0094644B" w:rsidP="00FB5086">
            <w:pPr>
              <w:rPr>
                <w:sz w:val="20"/>
                <w:szCs w:val="20"/>
              </w:rPr>
            </w:pPr>
            <w:r w:rsidRPr="00FA3F57">
              <w:rPr>
                <w:sz w:val="20"/>
                <w:szCs w:val="20"/>
              </w:rPr>
              <w:t xml:space="preserve">The project envisages the installation of a new reactive power compensator in the 400/110 kV TS Vranje 4. </w:t>
            </w:r>
            <w:r w:rsidRPr="00F07779">
              <w:rPr>
                <w:sz w:val="20"/>
                <w:szCs w:val="20"/>
              </w:rPr>
              <w:t>Over the past decade, the issue of excessively high voltage levels has become particularly acute within the segment of the network operating at the 400 kV voltage level, notably in the southern region of Serbia, specifically at TS Vranje 4 and TS Leskovac 2.</w:t>
            </w:r>
          </w:p>
          <w:p w14:paraId="523B7986" w14:textId="77777777" w:rsidR="0094644B" w:rsidRPr="00FA3F57" w:rsidRDefault="0094644B" w:rsidP="00FB5086">
            <w:pPr>
              <w:rPr>
                <w:sz w:val="20"/>
                <w:szCs w:val="20"/>
              </w:rPr>
            </w:pPr>
            <w:r w:rsidRPr="00FA3F57">
              <w:rPr>
                <w:sz w:val="20"/>
                <w:szCs w:val="20"/>
              </w:rPr>
              <w:t>Expected dynamics of project implementation:</w:t>
            </w:r>
          </w:p>
          <w:p w14:paraId="4EB1EB9C" w14:textId="77777777" w:rsidR="0094644B" w:rsidRPr="00FA3F57" w:rsidRDefault="0094644B" w:rsidP="00FB5086">
            <w:pPr>
              <w:rPr>
                <w:sz w:val="20"/>
                <w:szCs w:val="20"/>
              </w:rPr>
            </w:pPr>
            <w:r w:rsidRPr="00FA3F57">
              <w:rPr>
                <w:sz w:val="20"/>
                <w:szCs w:val="20"/>
              </w:rPr>
              <w:t>2026. Commissioning; trial operation</w:t>
            </w:r>
          </w:p>
          <w:p w14:paraId="1AA8A906" w14:textId="77777777" w:rsidR="0094644B" w:rsidRPr="00FA3F57" w:rsidRDefault="0094644B" w:rsidP="00FB5086">
            <w:pPr>
              <w:rPr>
                <w:sz w:val="20"/>
                <w:szCs w:val="20"/>
              </w:rPr>
            </w:pPr>
            <w:r w:rsidRPr="00FA3F57">
              <w:rPr>
                <w:sz w:val="20"/>
                <w:szCs w:val="20"/>
              </w:rPr>
              <w:t>2027. Use permit; end of project</w:t>
            </w:r>
          </w:p>
        </w:tc>
      </w:tr>
      <w:tr w:rsidR="0094644B" w:rsidRPr="00F07779" w14:paraId="4FAB7D08" w14:textId="77777777" w:rsidTr="00FB5086">
        <w:tc>
          <w:tcPr>
            <w:tcW w:w="2973" w:type="dxa"/>
          </w:tcPr>
          <w:p w14:paraId="00376B1A" w14:textId="77777777" w:rsidR="0094644B" w:rsidRPr="00FA3F57" w:rsidRDefault="0094644B" w:rsidP="00FB5086">
            <w:pPr>
              <w:rPr>
                <w:sz w:val="20"/>
                <w:szCs w:val="20"/>
              </w:rPr>
            </w:pPr>
            <w:r w:rsidRPr="00FA3F57">
              <w:rPr>
                <w:sz w:val="20"/>
                <w:szCs w:val="20"/>
              </w:rPr>
              <w:t>Institutions responsible for the implementation of measures and activities</w:t>
            </w:r>
          </w:p>
        </w:tc>
        <w:tc>
          <w:tcPr>
            <w:tcW w:w="5669" w:type="dxa"/>
          </w:tcPr>
          <w:p w14:paraId="69146D21" w14:textId="77777777" w:rsidR="0094644B" w:rsidRPr="00FA3F57" w:rsidRDefault="0094644B" w:rsidP="00FB5086">
            <w:pPr>
              <w:rPr>
                <w:sz w:val="20"/>
                <w:szCs w:val="20"/>
              </w:rPr>
            </w:pPr>
            <w:r w:rsidRPr="00FA3F57">
              <w:rPr>
                <w:sz w:val="20"/>
                <w:szCs w:val="20"/>
              </w:rPr>
              <w:t>EMS JSC Belgrade</w:t>
            </w:r>
          </w:p>
        </w:tc>
      </w:tr>
      <w:tr w:rsidR="0094644B" w:rsidRPr="00F07779" w14:paraId="2C917ADB" w14:textId="77777777" w:rsidTr="00FB5086">
        <w:tc>
          <w:tcPr>
            <w:tcW w:w="2973" w:type="dxa"/>
          </w:tcPr>
          <w:p w14:paraId="00E86F4E" w14:textId="77777777" w:rsidR="0094644B" w:rsidRPr="00FA3F57" w:rsidRDefault="0094644B" w:rsidP="00FB5086">
            <w:pPr>
              <w:rPr>
                <w:sz w:val="20"/>
                <w:szCs w:val="20"/>
              </w:rPr>
            </w:pPr>
            <w:r w:rsidRPr="00FA3F57">
              <w:rPr>
                <w:sz w:val="20"/>
                <w:szCs w:val="20"/>
              </w:rPr>
              <w:t>Institutions responsible for monitoring implementation and reporting on the realization</w:t>
            </w:r>
          </w:p>
        </w:tc>
        <w:tc>
          <w:tcPr>
            <w:tcW w:w="5669" w:type="dxa"/>
          </w:tcPr>
          <w:p w14:paraId="7002BD2E" w14:textId="77777777" w:rsidR="0094644B" w:rsidRPr="00F07779" w:rsidRDefault="0094644B" w:rsidP="00FB5086">
            <w:pPr>
              <w:rPr>
                <w:sz w:val="20"/>
                <w:szCs w:val="20"/>
              </w:rPr>
            </w:pPr>
            <w:r w:rsidRPr="00FA3F57">
              <w:rPr>
                <w:sz w:val="20"/>
                <w:szCs w:val="20"/>
              </w:rPr>
              <w:t>EMS JSC Belgrade</w:t>
            </w:r>
          </w:p>
          <w:p w14:paraId="3420703E" w14:textId="77777777" w:rsidR="0094644B" w:rsidRPr="00FA3F57" w:rsidRDefault="0094644B" w:rsidP="00FB5086">
            <w:pPr>
              <w:rPr>
                <w:sz w:val="20"/>
                <w:szCs w:val="20"/>
              </w:rPr>
            </w:pPr>
            <w:r w:rsidRPr="00FA3F57">
              <w:rPr>
                <w:sz w:val="20"/>
                <w:szCs w:val="20"/>
              </w:rPr>
              <w:t>Republic Commission for Energy Networks</w:t>
            </w:r>
          </w:p>
          <w:p w14:paraId="5B7EDA81" w14:textId="77777777" w:rsidR="0094644B" w:rsidRPr="00FA3F57" w:rsidRDefault="0094644B" w:rsidP="00FB5086">
            <w:pPr>
              <w:rPr>
                <w:sz w:val="20"/>
                <w:szCs w:val="20"/>
              </w:rPr>
            </w:pPr>
            <w:r w:rsidRPr="00FA3F57">
              <w:rPr>
                <w:sz w:val="20"/>
                <w:szCs w:val="20"/>
              </w:rPr>
              <w:t>Ministry of Mining and Energy</w:t>
            </w:r>
          </w:p>
        </w:tc>
      </w:tr>
      <w:tr w:rsidR="0094644B" w:rsidRPr="00F07779" w14:paraId="6BF615E1" w14:textId="77777777" w:rsidTr="00FB5086">
        <w:tc>
          <w:tcPr>
            <w:tcW w:w="2973" w:type="dxa"/>
          </w:tcPr>
          <w:p w14:paraId="6422DDED" w14:textId="77777777" w:rsidR="0094644B" w:rsidRPr="00FA3F57" w:rsidRDefault="0094644B" w:rsidP="00FB5086">
            <w:pPr>
              <w:rPr>
                <w:sz w:val="20"/>
                <w:szCs w:val="20"/>
              </w:rPr>
            </w:pPr>
            <w:r w:rsidRPr="00FA3F57">
              <w:rPr>
                <w:sz w:val="20"/>
                <w:szCs w:val="20"/>
              </w:rPr>
              <w:t>Year of the start of the investment</w:t>
            </w:r>
          </w:p>
        </w:tc>
        <w:tc>
          <w:tcPr>
            <w:tcW w:w="5669" w:type="dxa"/>
          </w:tcPr>
          <w:p w14:paraId="28A8BA0C" w14:textId="77777777" w:rsidR="0094644B" w:rsidRPr="00FA3F57" w:rsidRDefault="0094644B" w:rsidP="00FB5086">
            <w:pPr>
              <w:rPr>
                <w:sz w:val="20"/>
                <w:szCs w:val="20"/>
              </w:rPr>
            </w:pPr>
            <w:r w:rsidRPr="00FA3F57">
              <w:rPr>
                <w:sz w:val="20"/>
                <w:szCs w:val="20"/>
              </w:rPr>
              <w:t xml:space="preserve">2023. </w:t>
            </w:r>
          </w:p>
        </w:tc>
      </w:tr>
      <w:tr w:rsidR="0094644B" w:rsidRPr="00F07779" w14:paraId="1D65AFBB" w14:textId="77777777" w:rsidTr="00FB5086">
        <w:tc>
          <w:tcPr>
            <w:tcW w:w="2973" w:type="dxa"/>
          </w:tcPr>
          <w:p w14:paraId="5AB2496E" w14:textId="77777777" w:rsidR="0094644B" w:rsidRPr="00FA3F57" w:rsidRDefault="0094644B" w:rsidP="00FB5086">
            <w:pPr>
              <w:rPr>
                <w:sz w:val="20"/>
                <w:szCs w:val="20"/>
              </w:rPr>
            </w:pPr>
            <w:r w:rsidRPr="00FA3F57">
              <w:rPr>
                <w:sz w:val="20"/>
                <w:szCs w:val="20"/>
              </w:rPr>
              <w:t>Year of completion of project funding</w:t>
            </w:r>
          </w:p>
        </w:tc>
        <w:tc>
          <w:tcPr>
            <w:tcW w:w="5669" w:type="dxa"/>
          </w:tcPr>
          <w:p w14:paraId="04B7E1FF" w14:textId="77777777" w:rsidR="0094644B" w:rsidRPr="00FA3F57" w:rsidRDefault="0094644B" w:rsidP="00FB5086">
            <w:pPr>
              <w:rPr>
                <w:sz w:val="20"/>
                <w:szCs w:val="20"/>
              </w:rPr>
            </w:pPr>
            <w:r w:rsidRPr="00FA3F57">
              <w:rPr>
                <w:sz w:val="20"/>
                <w:szCs w:val="20"/>
              </w:rPr>
              <w:t>2026.</w:t>
            </w:r>
          </w:p>
        </w:tc>
      </w:tr>
      <w:tr w:rsidR="0094644B" w:rsidRPr="00F07779" w14:paraId="67E72E7C" w14:textId="77777777" w:rsidTr="00FB5086">
        <w:tc>
          <w:tcPr>
            <w:tcW w:w="2973" w:type="dxa"/>
          </w:tcPr>
          <w:p w14:paraId="61136655" w14:textId="77777777" w:rsidR="0094644B" w:rsidRPr="00FA3F57" w:rsidRDefault="0094644B" w:rsidP="00FB5086">
            <w:pPr>
              <w:rPr>
                <w:sz w:val="20"/>
                <w:szCs w:val="20"/>
              </w:rPr>
            </w:pPr>
            <w:r w:rsidRPr="00FA3F57">
              <w:rPr>
                <w:sz w:val="20"/>
                <w:szCs w:val="20"/>
              </w:rPr>
              <w:t>Current estimated value of the investment</w:t>
            </w:r>
            <w:r w:rsidRPr="00FA3F57">
              <w:rPr>
                <w:sz w:val="20"/>
                <w:szCs w:val="20"/>
              </w:rPr>
              <w:br/>
              <w:t>(in thousands of RSD)</w:t>
            </w:r>
          </w:p>
        </w:tc>
        <w:tc>
          <w:tcPr>
            <w:tcW w:w="5669" w:type="dxa"/>
          </w:tcPr>
          <w:p w14:paraId="4049BD12" w14:textId="77777777" w:rsidR="0094644B" w:rsidRPr="00FA3F57" w:rsidRDefault="0094644B" w:rsidP="00FB5086">
            <w:pPr>
              <w:rPr>
                <w:sz w:val="20"/>
                <w:szCs w:val="20"/>
              </w:rPr>
            </w:pPr>
            <w:r w:rsidRPr="00FA3F57">
              <w:rPr>
                <w:sz w:val="20"/>
                <w:szCs w:val="20"/>
              </w:rPr>
              <w:t>1,641,500 (14 million EUR)</w:t>
            </w:r>
          </w:p>
        </w:tc>
      </w:tr>
      <w:tr w:rsidR="0094644B" w:rsidRPr="00F07779" w14:paraId="5AEB3BD7" w14:textId="77777777" w:rsidTr="00FB5086">
        <w:tc>
          <w:tcPr>
            <w:tcW w:w="2973" w:type="dxa"/>
          </w:tcPr>
          <w:p w14:paraId="2AEF27CF" w14:textId="77777777" w:rsidR="0094644B" w:rsidRPr="00FA3F57" w:rsidRDefault="0094644B" w:rsidP="00FB5086">
            <w:pPr>
              <w:rPr>
                <w:sz w:val="20"/>
                <w:szCs w:val="20"/>
              </w:rPr>
            </w:pPr>
            <w:r w:rsidRPr="00FA3F57">
              <w:rPr>
                <w:sz w:val="20"/>
                <w:szCs w:val="20"/>
              </w:rPr>
              <w:t>Planned investments for 2026.</w:t>
            </w:r>
            <w:r w:rsidRPr="00FA3F57">
              <w:rPr>
                <w:sz w:val="20"/>
                <w:szCs w:val="20"/>
              </w:rPr>
              <w:br/>
              <w:t>(in thousands of RSD)</w:t>
            </w:r>
          </w:p>
        </w:tc>
        <w:tc>
          <w:tcPr>
            <w:tcW w:w="5669" w:type="dxa"/>
          </w:tcPr>
          <w:p w14:paraId="33D70518" w14:textId="77777777" w:rsidR="0094644B" w:rsidRPr="00FA3F57" w:rsidRDefault="0094644B" w:rsidP="00FB5086">
            <w:pPr>
              <w:rPr>
                <w:sz w:val="20"/>
                <w:szCs w:val="20"/>
              </w:rPr>
            </w:pPr>
            <w:r w:rsidRPr="00FA3F57">
              <w:rPr>
                <w:sz w:val="20"/>
                <w:szCs w:val="20"/>
              </w:rPr>
              <w:t>1,584,670</w:t>
            </w:r>
            <w:r w:rsidRPr="00FA3F57" w:rsidDel="009E6CFC">
              <w:rPr>
                <w:sz w:val="20"/>
                <w:szCs w:val="20"/>
              </w:rPr>
              <w:t xml:space="preserve"> </w:t>
            </w:r>
            <w:r w:rsidRPr="00FA3F57">
              <w:rPr>
                <w:sz w:val="20"/>
                <w:szCs w:val="20"/>
              </w:rPr>
              <w:t>(own funds of EMS JSC)</w:t>
            </w:r>
          </w:p>
        </w:tc>
      </w:tr>
      <w:tr w:rsidR="0094644B" w:rsidRPr="00F07779" w14:paraId="78B60081" w14:textId="77777777" w:rsidTr="00FB5086">
        <w:tc>
          <w:tcPr>
            <w:tcW w:w="2973" w:type="dxa"/>
          </w:tcPr>
          <w:p w14:paraId="0D6383F2" w14:textId="77777777" w:rsidR="0094644B" w:rsidRPr="00FA3F57" w:rsidRDefault="0094644B" w:rsidP="00FB5086">
            <w:pPr>
              <w:rPr>
                <w:sz w:val="20"/>
                <w:szCs w:val="20"/>
              </w:rPr>
            </w:pPr>
            <w:r w:rsidRPr="00FA3F57">
              <w:rPr>
                <w:sz w:val="20"/>
                <w:szCs w:val="20"/>
              </w:rPr>
              <w:t>Planned investments for 2027.</w:t>
            </w:r>
            <w:r w:rsidRPr="00FA3F57">
              <w:rPr>
                <w:sz w:val="20"/>
                <w:szCs w:val="20"/>
              </w:rPr>
              <w:br/>
              <w:t>(in thousands of RSD)</w:t>
            </w:r>
          </w:p>
        </w:tc>
        <w:tc>
          <w:tcPr>
            <w:tcW w:w="5669" w:type="dxa"/>
          </w:tcPr>
          <w:p w14:paraId="3DC9906A" w14:textId="77777777" w:rsidR="0094644B" w:rsidRPr="00FA3F57" w:rsidRDefault="0094644B" w:rsidP="00FB5086">
            <w:pPr>
              <w:rPr>
                <w:sz w:val="20"/>
                <w:szCs w:val="20"/>
              </w:rPr>
            </w:pPr>
            <w:r w:rsidRPr="00FA3F57">
              <w:rPr>
                <w:sz w:val="20"/>
                <w:szCs w:val="20"/>
              </w:rPr>
              <w:t>0</w:t>
            </w:r>
          </w:p>
        </w:tc>
      </w:tr>
      <w:tr w:rsidR="0094644B" w:rsidRPr="00F07779" w14:paraId="3BA28160" w14:textId="77777777" w:rsidTr="00FB5086">
        <w:tc>
          <w:tcPr>
            <w:tcW w:w="2973" w:type="dxa"/>
          </w:tcPr>
          <w:p w14:paraId="793E586F" w14:textId="77777777" w:rsidR="0094644B" w:rsidRPr="00FA3F57" w:rsidRDefault="0094644B" w:rsidP="00FB5086">
            <w:pPr>
              <w:rPr>
                <w:sz w:val="20"/>
                <w:szCs w:val="20"/>
              </w:rPr>
            </w:pPr>
            <w:r w:rsidRPr="00FA3F57">
              <w:rPr>
                <w:sz w:val="20"/>
                <w:szCs w:val="20"/>
              </w:rPr>
              <w:lastRenderedPageBreak/>
              <w:t>Planned investments for 2028.</w:t>
            </w:r>
            <w:r w:rsidRPr="00FA3F57">
              <w:rPr>
                <w:sz w:val="20"/>
                <w:szCs w:val="20"/>
              </w:rPr>
              <w:br/>
              <w:t>(in thousands of RSD)</w:t>
            </w:r>
          </w:p>
        </w:tc>
        <w:tc>
          <w:tcPr>
            <w:tcW w:w="5669" w:type="dxa"/>
          </w:tcPr>
          <w:p w14:paraId="67D39907" w14:textId="77777777" w:rsidR="0094644B" w:rsidRPr="00FA3F57" w:rsidRDefault="0094644B" w:rsidP="00FB5086">
            <w:pPr>
              <w:rPr>
                <w:sz w:val="20"/>
                <w:szCs w:val="20"/>
              </w:rPr>
            </w:pPr>
            <w:r w:rsidRPr="00FA3F57">
              <w:rPr>
                <w:sz w:val="20"/>
                <w:szCs w:val="20"/>
              </w:rPr>
              <w:t>0</w:t>
            </w:r>
          </w:p>
        </w:tc>
      </w:tr>
    </w:tbl>
    <w:p w14:paraId="644A25ED" w14:textId="77777777" w:rsidR="0094644B" w:rsidRPr="00F07779" w:rsidRDefault="0094644B" w:rsidP="0094644B"/>
    <w:tbl>
      <w:tblPr>
        <w:tblStyle w:val="TableGrid"/>
        <w:tblW w:w="0" w:type="auto"/>
        <w:tblLook w:val="04A0" w:firstRow="1" w:lastRow="0" w:firstColumn="1" w:lastColumn="0" w:noHBand="0" w:noVBand="1"/>
      </w:tblPr>
      <w:tblGrid>
        <w:gridCol w:w="2973"/>
        <w:gridCol w:w="5669"/>
      </w:tblGrid>
      <w:tr w:rsidR="0094644B" w:rsidRPr="00F07779" w14:paraId="0F22C53B" w14:textId="77777777" w:rsidTr="00FB5086">
        <w:tc>
          <w:tcPr>
            <w:tcW w:w="2973" w:type="dxa"/>
            <w:shd w:val="clear" w:color="auto" w:fill="D0CECE" w:themeFill="background2" w:themeFillShade="E6"/>
          </w:tcPr>
          <w:p w14:paraId="0B9DDE13" w14:textId="77777777" w:rsidR="0094644B" w:rsidRPr="00FA3F57" w:rsidRDefault="0094644B" w:rsidP="00FB5086">
            <w:pPr>
              <w:keepNext/>
              <w:rPr>
                <w:sz w:val="20"/>
                <w:szCs w:val="20"/>
              </w:rPr>
            </w:pPr>
            <w:r w:rsidRPr="00FA3F57">
              <w:rPr>
                <w:sz w:val="20"/>
                <w:szCs w:val="20"/>
              </w:rPr>
              <w:t>Activity EL7.2</w:t>
            </w:r>
          </w:p>
        </w:tc>
        <w:tc>
          <w:tcPr>
            <w:tcW w:w="5669" w:type="dxa"/>
            <w:shd w:val="clear" w:color="auto" w:fill="D0CECE" w:themeFill="background2" w:themeFillShade="E6"/>
          </w:tcPr>
          <w:p w14:paraId="425D44BC" w14:textId="77777777" w:rsidR="0094644B" w:rsidRPr="00FA3F57" w:rsidRDefault="0094644B" w:rsidP="00FB5086">
            <w:pPr>
              <w:keepNext/>
              <w:rPr>
                <w:sz w:val="20"/>
                <w:szCs w:val="20"/>
              </w:rPr>
            </w:pPr>
            <w:r w:rsidRPr="00FA3F57">
              <w:rPr>
                <w:sz w:val="20"/>
                <w:szCs w:val="20"/>
              </w:rPr>
              <w:t>Investment projects for the modernization of the transmission system</w:t>
            </w:r>
          </w:p>
        </w:tc>
      </w:tr>
      <w:tr w:rsidR="0094644B" w:rsidRPr="00F07779" w14:paraId="3A3D944B" w14:textId="77777777" w:rsidTr="00FB5086">
        <w:tc>
          <w:tcPr>
            <w:tcW w:w="2973" w:type="dxa"/>
            <w:shd w:val="clear" w:color="auto" w:fill="FFF2CC" w:themeFill="accent4" w:themeFillTint="33"/>
          </w:tcPr>
          <w:p w14:paraId="43F50F3F" w14:textId="77777777" w:rsidR="0094644B" w:rsidRPr="00FA3F57" w:rsidRDefault="0094644B" w:rsidP="00FB5086">
            <w:pPr>
              <w:keepNext/>
              <w:rPr>
                <w:sz w:val="20"/>
                <w:szCs w:val="20"/>
              </w:rPr>
            </w:pPr>
            <w:r w:rsidRPr="00FA3F57">
              <w:rPr>
                <w:sz w:val="20"/>
                <w:szCs w:val="20"/>
              </w:rPr>
              <w:t>Name of the project</w:t>
            </w:r>
          </w:p>
        </w:tc>
        <w:tc>
          <w:tcPr>
            <w:tcW w:w="5669" w:type="dxa"/>
            <w:shd w:val="clear" w:color="auto" w:fill="FFF2CC" w:themeFill="accent4" w:themeFillTint="33"/>
          </w:tcPr>
          <w:p w14:paraId="2B56C12D" w14:textId="77777777" w:rsidR="0094644B" w:rsidRPr="00FA3F57" w:rsidRDefault="0094644B" w:rsidP="00FB5086">
            <w:pPr>
              <w:keepNext/>
              <w:rPr>
                <w:sz w:val="20"/>
                <w:szCs w:val="20"/>
              </w:rPr>
            </w:pPr>
            <w:r w:rsidRPr="00FA3F57">
              <w:rPr>
                <w:sz w:val="20"/>
                <w:szCs w:val="20"/>
              </w:rPr>
              <w:t xml:space="preserve">Reconstruction of SS 110 kV </w:t>
            </w:r>
            <w:proofErr w:type="spellStart"/>
            <w:r w:rsidRPr="00FA3F57">
              <w:rPr>
                <w:sz w:val="20"/>
                <w:szCs w:val="20"/>
              </w:rPr>
              <w:t>Pančevo</w:t>
            </w:r>
            <w:proofErr w:type="spellEnd"/>
            <w:r w:rsidRPr="00FA3F57">
              <w:rPr>
                <w:sz w:val="20"/>
                <w:szCs w:val="20"/>
              </w:rPr>
              <w:t xml:space="preserve"> 1</w:t>
            </w:r>
          </w:p>
        </w:tc>
      </w:tr>
      <w:tr w:rsidR="0094644B" w:rsidRPr="00F07779" w14:paraId="1DA1BC87" w14:textId="77777777" w:rsidTr="00FB5086">
        <w:tc>
          <w:tcPr>
            <w:tcW w:w="2973" w:type="dxa"/>
            <w:shd w:val="clear" w:color="auto" w:fill="D9E2F3" w:themeFill="accent1" w:themeFillTint="33"/>
          </w:tcPr>
          <w:p w14:paraId="676EDCE2" w14:textId="77777777" w:rsidR="0094644B" w:rsidRPr="00FA3F57" w:rsidRDefault="0094644B" w:rsidP="00FB5086">
            <w:pPr>
              <w:keepNext/>
              <w:rPr>
                <w:sz w:val="20"/>
                <w:szCs w:val="20"/>
              </w:rPr>
            </w:pPr>
            <w:r w:rsidRPr="00FA3F57">
              <w:rPr>
                <w:sz w:val="20"/>
                <w:szCs w:val="20"/>
              </w:rPr>
              <w:t>Name of the investment</w:t>
            </w:r>
          </w:p>
        </w:tc>
        <w:tc>
          <w:tcPr>
            <w:tcW w:w="5669" w:type="dxa"/>
            <w:shd w:val="clear" w:color="auto" w:fill="D9E2F3" w:themeFill="accent1" w:themeFillTint="33"/>
          </w:tcPr>
          <w:p w14:paraId="231CA990" w14:textId="77777777" w:rsidR="0094644B" w:rsidRPr="00FA3F57" w:rsidRDefault="0094644B" w:rsidP="00FB5086">
            <w:pPr>
              <w:keepNext/>
              <w:rPr>
                <w:sz w:val="20"/>
                <w:szCs w:val="20"/>
              </w:rPr>
            </w:pPr>
            <w:r w:rsidRPr="00FA3F57">
              <w:rPr>
                <w:sz w:val="20"/>
                <w:szCs w:val="20"/>
              </w:rPr>
              <w:t xml:space="preserve">SS </w:t>
            </w:r>
            <w:proofErr w:type="spellStart"/>
            <w:r w:rsidRPr="00FA3F57">
              <w:rPr>
                <w:sz w:val="20"/>
                <w:szCs w:val="20"/>
              </w:rPr>
              <w:t>Pančevo</w:t>
            </w:r>
            <w:proofErr w:type="spellEnd"/>
            <w:r w:rsidRPr="00FA3F57">
              <w:rPr>
                <w:sz w:val="20"/>
                <w:szCs w:val="20"/>
              </w:rPr>
              <w:t xml:space="preserve"> 1, reconstruction into a digital facility</w:t>
            </w:r>
          </w:p>
        </w:tc>
      </w:tr>
      <w:tr w:rsidR="0094644B" w:rsidRPr="00F07779" w14:paraId="20F8A869" w14:textId="77777777" w:rsidTr="00FB5086">
        <w:tc>
          <w:tcPr>
            <w:tcW w:w="2973" w:type="dxa"/>
          </w:tcPr>
          <w:p w14:paraId="60CA37E5" w14:textId="77777777" w:rsidR="0094644B" w:rsidRPr="00FA3F57" w:rsidRDefault="0094644B" w:rsidP="00FB5086">
            <w:pPr>
              <w:rPr>
                <w:sz w:val="20"/>
                <w:szCs w:val="20"/>
              </w:rPr>
            </w:pPr>
            <w:r w:rsidRPr="00FA3F57">
              <w:rPr>
                <w:sz w:val="20"/>
                <w:szCs w:val="20"/>
              </w:rPr>
              <w:t>Short description of the investment</w:t>
            </w:r>
          </w:p>
        </w:tc>
        <w:tc>
          <w:tcPr>
            <w:tcW w:w="5669" w:type="dxa"/>
          </w:tcPr>
          <w:p w14:paraId="48CF3684" w14:textId="77777777" w:rsidR="0094644B" w:rsidRPr="00FA3F57" w:rsidRDefault="0094644B" w:rsidP="00FB5086">
            <w:pPr>
              <w:rPr>
                <w:sz w:val="20"/>
                <w:szCs w:val="20"/>
              </w:rPr>
            </w:pPr>
            <w:r w:rsidRPr="00F07779">
              <w:rPr>
                <w:sz w:val="20"/>
                <w:szCs w:val="20"/>
              </w:rPr>
              <w:t xml:space="preserve">Reconstruction of the entire switching station with equipment replacement, including the digitalization of the SS as part of the project. </w:t>
            </w:r>
            <w:r w:rsidRPr="00FA3F57">
              <w:rPr>
                <w:sz w:val="20"/>
                <w:szCs w:val="20"/>
              </w:rPr>
              <w:t>Expected dynamics of project implementation:</w:t>
            </w:r>
          </w:p>
          <w:p w14:paraId="506B3620" w14:textId="77777777" w:rsidR="0094644B" w:rsidRPr="00FA3F57" w:rsidRDefault="0094644B" w:rsidP="00FB5086">
            <w:pPr>
              <w:rPr>
                <w:sz w:val="20"/>
                <w:szCs w:val="20"/>
              </w:rPr>
            </w:pPr>
            <w:r w:rsidRPr="00FA3F57">
              <w:rPr>
                <w:sz w:val="20"/>
                <w:szCs w:val="20"/>
              </w:rPr>
              <w:t>2026. The beginning of the project</w:t>
            </w:r>
          </w:p>
          <w:p w14:paraId="3C08511A" w14:textId="77777777" w:rsidR="0094644B" w:rsidRPr="00FA3F57" w:rsidRDefault="0094644B" w:rsidP="00FB5086">
            <w:pPr>
              <w:rPr>
                <w:sz w:val="20"/>
                <w:szCs w:val="20"/>
              </w:rPr>
            </w:pPr>
            <w:r w:rsidRPr="00FA3F57">
              <w:rPr>
                <w:sz w:val="20"/>
                <w:szCs w:val="20"/>
              </w:rPr>
              <w:t>2027. Preliminary design</w:t>
            </w:r>
          </w:p>
          <w:p w14:paraId="261C265E" w14:textId="77777777" w:rsidR="0094644B" w:rsidRPr="00FA3F57" w:rsidRDefault="0094644B" w:rsidP="00FB5086">
            <w:pPr>
              <w:rPr>
                <w:sz w:val="20"/>
                <w:szCs w:val="20"/>
              </w:rPr>
            </w:pPr>
            <w:r w:rsidRPr="00FA3F57">
              <w:rPr>
                <w:sz w:val="20"/>
                <w:szCs w:val="20"/>
              </w:rPr>
              <w:t>2028. Construction</w:t>
            </w:r>
          </w:p>
        </w:tc>
      </w:tr>
      <w:tr w:rsidR="0094644B" w:rsidRPr="00F07779" w14:paraId="0D235F39" w14:textId="77777777" w:rsidTr="00FB5086">
        <w:tc>
          <w:tcPr>
            <w:tcW w:w="2973" w:type="dxa"/>
          </w:tcPr>
          <w:p w14:paraId="7E6189D3" w14:textId="77777777" w:rsidR="0094644B" w:rsidRPr="00FA3F57" w:rsidRDefault="0094644B" w:rsidP="00FB5086">
            <w:pPr>
              <w:rPr>
                <w:sz w:val="20"/>
                <w:szCs w:val="20"/>
              </w:rPr>
            </w:pPr>
            <w:r w:rsidRPr="00FA3F57">
              <w:rPr>
                <w:sz w:val="20"/>
                <w:szCs w:val="20"/>
              </w:rPr>
              <w:t>Institutions responsible for the implementation of measures and activities</w:t>
            </w:r>
          </w:p>
        </w:tc>
        <w:tc>
          <w:tcPr>
            <w:tcW w:w="5669" w:type="dxa"/>
          </w:tcPr>
          <w:p w14:paraId="7EF16101" w14:textId="77777777" w:rsidR="0094644B" w:rsidRPr="00FA3F57" w:rsidRDefault="0094644B" w:rsidP="00FB5086">
            <w:pPr>
              <w:rPr>
                <w:sz w:val="20"/>
                <w:szCs w:val="20"/>
              </w:rPr>
            </w:pPr>
            <w:r w:rsidRPr="00FA3F57">
              <w:rPr>
                <w:sz w:val="20"/>
                <w:szCs w:val="20"/>
              </w:rPr>
              <w:t>EMS JSC Belgrade</w:t>
            </w:r>
          </w:p>
        </w:tc>
      </w:tr>
      <w:tr w:rsidR="0094644B" w:rsidRPr="00F07779" w14:paraId="4926B390" w14:textId="77777777" w:rsidTr="00FB5086">
        <w:tc>
          <w:tcPr>
            <w:tcW w:w="2973" w:type="dxa"/>
          </w:tcPr>
          <w:p w14:paraId="2108CAED" w14:textId="77777777" w:rsidR="0094644B" w:rsidRPr="00FA3F57" w:rsidRDefault="0094644B" w:rsidP="00FB5086">
            <w:pPr>
              <w:rPr>
                <w:sz w:val="20"/>
                <w:szCs w:val="20"/>
              </w:rPr>
            </w:pPr>
            <w:r w:rsidRPr="00FA3F57">
              <w:rPr>
                <w:sz w:val="20"/>
                <w:szCs w:val="20"/>
              </w:rPr>
              <w:t>Institutions responsible for monitoring implementation and reporting on the realization</w:t>
            </w:r>
          </w:p>
        </w:tc>
        <w:tc>
          <w:tcPr>
            <w:tcW w:w="5669" w:type="dxa"/>
          </w:tcPr>
          <w:p w14:paraId="695DA8EE" w14:textId="77777777" w:rsidR="0094644B" w:rsidRPr="00FA3F57" w:rsidRDefault="0094644B" w:rsidP="00FB5086">
            <w:pPr>
              <w:rPr>
                <w:sz w:val="20"/>
                <w:szCs w:val="20"/>
              </w:rPr>
            </w:pPr>
            <w:r w:rsidRPr="00FA3F57">
              <w:rPr>
                <w:sz w:val="20"/>
                <w:szCs w:val="20"/>
              </w:rPr>
              <w:t xml:space="preserve">EMS JSC </w:t>
            </w:r>
            <w:proofErr w:type="spellStart"/>
            <w:r w:rsidRPr="00FA3F57">
              <w:rPr>
                <w:sz w:val="20"/>
                <w:szCs w:val="20"/>
              </w:rPr>
              <w:t>BelgradeMinistry</w:t>
            </w:r>
            <w:proofErr w:type="spellEnd"/>
            <w:r w:rsidRPr="00FA3F57">
              <w:rPr>
                <w:sz w:val="20"/>
                <w:szCs w:val="20"/>
              </w:rPr>
              <w:t xml:space="preserve"> of Mining and Energy</w:t>
            </w:r>
          </w:p>
        </w:tc>
      </w:tr>
      <w:tr w:rsidR="0094644B" w:rsidRPr="00F07779" w14:paraId="61354B6D" w14:textId="77777777" w:rsidTr="00FB5086">
        <w:tc>
          <w:tcPr>
            <w:tcW w:w="2973" w:type="dxa"/>
          </w:tcPr>
          <w:p w14:paraId="6CC373E0" w14:textId="77777777" w:rsidR="0094644B" w:rsidRPr="00FA3F57" w:rsidRDefault="0094644B" w:rsidP="00FB5086">
            <w:pPr>
              <w:rPr>
                <w:sz w:val="20"/>
                <w:szCs w:val="20"/>
              </w:rPr>
            </w:pPr>
            <w:r w:rsidRPr="00FA3F57">
              <w:rPr>
                <w:sz w:val="20"/>
                <w:szCs w:val="20"/>
              </w:rPr>
              <w:t>Year of the start of the investment</w:t>
            </w:r>
          </w:p>
        </w:tc>
        <w:tc>
          <w:tcPr>
            <w:tcW w:w="5669" w:type="dxa"/>
          </w:tcPr>
          <w:p w14:paraId="21414D0A" w14:textId="77777777" w:rsidR="0094644B" w:rsidRPr="00FA3F57" w:rsidRDefault="0094644B" w:rsidP="00FB5086">
            <w:pPr>
              <w:rPr>
                <w:sz w:val="20"/>
                <w:szCs w:val="20"/>
              </w:rPr>
            </w:pPr>
            <w:r w:rsidRPr="00FA3F57">
              <w:rPr>
                <w:sz w:val="20"/>
                <w:szCs w:val="20"/>
              </w:rPr>
              <w:t xml:space="preserve">2021. </w:t>
            </w:r>
          </w:p>
        </w:tc>
      </w:tr>
      <w:tr w:rsidR="0094644B" w:rsidRPr="00F07779" w14:paraId="545BECE7" w14:textId="77777777" w:rsidTr="00FB5086">
        <w:tc>
          <w:tcPr>
            <w:tcW w:w="2973" w:type="dxa"/>
          </w:tcPr>
          <w:p w14:paraId="549B89C9" w14:textId="77777777" w:rsidR="0094644B" w:rsidRPr="00FA3F57" w:rsidRDefault="0094644B" w:rsidP="00FB5086">
            <w:pPr>
              <w:rPr>
                <w:sz w:val="20"/>
                <w:szCs w:val="20"/>
              </w:rPr>
            </w:pPr>
            <w:r w:rsidRPr="00FA3F57">
              <w:rPr>
                <w:sz w:val="20"/>
                <w:szCs w:val="20"/>
              </w:rPr>
              <w:t>Year of completion of project funding</w:t>
            </w:r>
          </w:p>
        </w:tc>
        <w:tc>
          <w:tcPr>
            <w:tcW w:w="5669" w:type="dxa"/>
          </w:tcPr>
          <w:p w14:paraId="6E01C127" w14:textId="77777777" w:rsidR="0094644B" w:rsidRPr="00FA3F57" w:rsidRDefault="0094644B" w:rsidP="00FB5086">
            <w:pPr>
              <w:rPr>
                <w:sz w:val="20"/>
                <w:szCs w:val="20"/>
              </w:rPr>
            </w:pPr>
            <w:r w:rsidRPr="00FA3F57">
              <w:rPr>
                <w:sz w:val="20"/>
                <w:szCs w:val="20"/>
              </w:rPr>
              <w:t>2028.</w:t>
            </w:r>
          </w:p>
        </w:tc>
      </w:tr>
      <w:tr w:rsidR="0094644B" w:rsidRPr="00F07779" w14:paraId="6CD5AB52" w14:textId="77777777" w:rsidTr="00FB5086">
        <w:tc>
          <w:tcPr>
            <w:tcW w:w="2973" w:type="dxa"/>
          </w:tcPr>
          <w:p w14:paraId="659C3DF2" w14:textId="77777777" w:rsidR="0094644B" w:rsidRPr="00FA3F57" w:rsidRDefault="0094644B" w:rsidP="00FB5086">
            <w:pPr>
              <w:rPr>
                <w:sz w:val="20"/>
                <w:szCs w:val="20"/>
              </w:rPr>
            </w:pPr>
            <w:r w:rsidRPr="00FA3F57">
              <w:rPr>
                <w:sz w:val="20"/>
                <w:szCs w:val="20"/>
              </w:rPr>
              <w:t>Current estimated value of the investment</w:t>
            </w:r>
            <w:r w:rsidRPr="00FA3F57">
              <w:rPr>
                <w:sz w:val="20"/>
                <w:szCs w:val="20"/>
              </w:rPr>
              <w:br/>
              <w:t>(in thousands of RSD)</w:t>
            </w:r>
          </w:p>
        </w:tc>
        <w:tc>
          <w:tcPr>
            <w:tcW w:w="5669" w:type="dxa"/>
          </w:tcPr>
          <w:p w14:paraId="36015990" w14:textId="77777777" w:rsidR="0094644B" w:rsidRPr="00FA3F57" w:rsidRDefault="0094644B" w:rsidP="00FB5086">
            <w:pPr>
              <w:rPr>
                <w:sz w:val="20"/>
                <w:szCs w:val="20"/>
              </w:rPr>
            </w:pPr>
            <w:r w:rsidRPr="00FA3F57">
              <w:rPr>
                <w:sz w:val="20"/>
                <w:szCs w:val="20"/>
              </w:rPr>
              <w:t>1,430,450 (12.2 million EUR)</w:t>
            </w:r>
          </w:p>
        </w:tc>
      </w:tr>
      <w:tr w:rsidR="0094644B" w:rsidRPr="00F07779" w14:paraId="0B29E2E3" w14:textId="77777777" w:rsidTr="00FB5086">
        <w:tc>
          <w:tcPr>
            <w:tcW w:w="2973" w:type="dxa"/>
          </w:tcPr>
          <w:p w14:paraId="5C1A69F7" w14:textId="77777777" w:rsidR="0094644B" w:rsidRPr="00FA3F57" w:rsidRDefault="0094644B" w:rsidP="00FB5086">
            <w:pPr>
              <w:rPr>
                <w:sz w:val="20"/>
                <w:szCs w:val="20"/>
              </w:rPr>
            </w:pPr>
            <w:r w:rsidRPr="00FA3F57">
              <w:rPr>
                <w:sz w:val="20"/>
                <w:szCs w:val="20"/>
              </w:rPr>
              <w:t>Planned investments for 2026.</w:t>
            </w:r>
            <w:r w:rsidRPr="00FA3F57">
              <w:rPr>
                <w:sz w:val="20"/>
                <w:szCs w:val="20"/>
              </w:rPr>
              <w:br/>
              <w:t>(in thousands of RSD)</w:t>
            </w:r>
          </w:p>
        </w:tc>
        <w:tc>
          <w:tcPr>
            <w:tcW w:w="5669" w:type="dxa"/>
          </w:tcPr>
          <w:p w14:paraId="7C600843" w14:textId="77777777" w:rsidR="0094644B" w:rsidRPr="00FA3F57" w:rsidRDefault="0094644B" w:rsidP="00FB5086">
            <w:pPr>
              <w:rPr>
                <w:sz w:val="20"/>
                <w:szCs w:val="20"/>
              </w:rPr>
            </w:pPr>
            <w:r w:rsidRPr="00FA3F57">
              <w:rPr>
                <w:sz w:val="20"/>
                <w:szCs w:val="20"/>
              </w:rPr>
              <w:t>590,721 (loan)</w:t>
            </w:r>
          </w:p>
        </w:tc>
      </w:tr>
      <w:tr w:rsidR="0094644B" w:rsidRPr="00F07779" w14:paraId="6B4BE9B7" w14:textId="77777777" w:rsidTr="00FB5086">
        <w:tc>
          <w:tcPr>
            <w:tcW w:w="2973" w:type="dxa"/>
          </w:tcPr>
          <w:p w14:paraId="60F1CB58" w14:textId="77777777" w:rsidR="0094644B" w:rsidRPr="00FA3F57" w:rsidRDefault="0094644B" w:rsidP="00FB5086">
            <w:pPr>
              <w:rPr>
                <w:sz w:val="20"/>
                <w:szCs w:val="20"/>
              </w:rPr>
            </w:pPr>
            <w:r w:rsidRPr="00FA3F57">
              <w:rPr>
                <w:sz w:val="20"/>
                <w:szCs w:val="20"/>
              </w:rPr>
              <w:t>Planned investments for 2027.</w:t>
            </w:r>
            <w:r w:rsidRPr="00FA3F57">
              <w:rPr>
                <w:sz w:val="20"/>
                <w:szCs w:val="20"/>
              </w:rPr>
              <w:br/>
              <w:t>(in thousands of RSD)</w:t>
            </w:r>
          </w:p>
        </w:tc>
        <w:tc>
          <w:tcPr>
            <w:tcW w:w="5669" w:type="dxa"/>
          </w:tcPr>
          <w:p w14:paraId="3712E79B" w14:textId="77777777" w:rsidR="0094644B" w:rsidRPr="00FA3F57" w:rsidRDefault="0094644B" w:rsidP="00FB5086">
            <w:pPr>
              <w:rPr>
                <w:sz w:val="20"/>
                <w:szCs w:val="20"/>
              </w:rPr>
            </w:pPr>
            <w:r w:rsidRPr="00FA3F57">
              <w:rPr>
                <w:sz w:val="20"/>
                <w:szCs w:val="20"/>
              </w:rPr>
              <w:t>650,340 (loan)</w:t>
            </w:r>
          </w:p>
        </w:tc>
      </w:tr>
      <w:tr w:rsidR="0094644B" w:rsidRPr="00F07779" w14:paraId="330F4D5A" w14:textId="77777777" w:rsidTr="00FB5086">
        <w:tc>
          <w:tcPr>
            <w:tcW w:w="2973" w:type="dxa"/>
          </w:tcPr>
          <w:p w14:paraId="5A520B76" w14:textId="77777777" w:rsidR="0094644B" w:rsidRPr="00FA3F57" w:rsidRDefault="0094644B" w:rsidP="00FB5086">
            <w:pPr>
              <w:rPr>
                <w:sz w:val="20"/>
                <w:szCs w:val="20"/>
              </w:rPr>
            </w:pPr>
            <w:r w:rsidRPr="00FA3F57">
              <w:rPr>
                <w:sz w:val="20"/>
                <w:szCs w:val="20"/>
              </w:rPr>
              <w:t>Planned investments for 2028.</w:t>
            </w:r>
            <w:r w:rsidRPr="00FA3F57">
              <w:rPr>
                <w:sz w:val="20"/>
                <w:szCs w:val="20"/>
              </w:rPr>
              <w:br/>
              <w:t>(in thousands of RSD)</w:t>
            </w:r>
          </w:p>
        </w:tc>
        <w:tc>
          <w:tcPr>
            <w:tcW w:w="5669" w:type="dxa"/>
          </w:tcPr>
          <w:p w14:paraId="188EA2FC" w14:textId="77777777" w:rsidR="0094644B" w:rsidRPr="00FA3F57" w:rsidRDefault="0094644B" w:rsidP="00FB5086">
            <w:pPr>
              <w:rPr>
                <w:sz w:val="20"/>
                <w:szCs w:val="20"/>
              </w:rPr>
            </w:pPr>
            <w:r w:rsidRPr="00FA3F57">
              <w:rPr>
                <w:sz w:val="20"/>
                <w:szCs w:val="20"/>
              </w:rPr>
              <w:t>85,257 (loan)</w:t>
            </w:r>
          </w:p>
        </w:tc>
      </w:tr>
    </w:tbl>
    <w:p w14:paraId="6D174B30" w14:textId="77777777" w:rsidR="0094644B" w:rsidRPr="00F07779" w:rsidRDefault="0094644B" w:rsidP="0094644B"/>
    <w:tbl>
      <w:tblPr>
        <w:tblStyle w:val="TableGrid"/>
        <w:tblW w:w="0" w:type="auto"/>
        <w:tblLook w:val="04A0" w:firstRow="1" w:lastRow="0" w:firstColumn="1" w:lastColumn="0" w:noHBand="0" w:noVBand="1"/>
      </w:tblPr>
      <w:tblGrid>
        <w:gridCol w:w="2973"/>
        <w:gridCol w:w="5669"/>
      </w:tblGrid>
      <w:tr w:rsidR="0094644B" w:rsidRPr="00F07779" w14:paraId="6865A583" w14:textId="77777777" w:rsidTr="00FB5086">
        <w:tc>
          <w:tcPr>
            <w:tcW w:w="2973" w:type="dxa"/>
            <w:shd w:val="clear" w:color="auto" w:fill="D0CECE" w:themeFill="background2" w:themeFillShade="E6"/>
          </w:tcPr>
          <w:p w14:paraId="31AC53F2" w14:textId="77777777" w:rsidR="0094644B" w:rsidRPr="00FA3F57" w:rsidRDefault="0094644B" w:rsidP="00FB5086">
            <w:pPr>
              <w:keepNext/>
              <w:rPr>
                <w:sz w:val="20"/>
                <w:szCs w:val="20"/>
              </w:rPr>
            </w:pPr>
            <w:r w:rsidRPr="00FA3F57">
              <w:rPr>
                <w:sz w:val="20"/>
                <w:szCs w:val="20"/>
              </w:rPr>
              <w:t>Activity EL7.2</w:t>
            </w:r>
          </w:p>
        </w:tc>
        <w:tc>
          <w:tcPr>
            <w:tcW w:w="5669" w:type="dxa"/>
            <w:shd w:val="clear" w:color="auto" w:fill="D0CECE" w:themeFill="background2" w:themeFillShade="E6"/>
          </w:tcPr>
          <w:p w14:paraId="3B1D26C8" w14:textId="77777777" w:rsidR="0094644B" w:rsidRPr="00FA3F57" w:rsidRDefault="0094644B" w:rsidP="00FB5086">
            <w:pPr>
              <w:keepNext/>
              <w:rPr>
                <w:sz w:val="20"/>
                <w:szCs w:val="20"/>
              </w:rPr>
            </w:pPr>
            <w:r w:rsidRPr="00FA3F57">
              <w:rPr>
                <w:sz w:val="20"/>
                <w:szCs w:val="20"/>
              </w:rPr>
              <w:t>Investment projects for the modernization of the transmission system</w:t>
            </w:r>
          </w:p>
        </w:tc>
      </w:tr>
      <w:tr w:rsidR="0094644B" w:rsidRPr="00F07779" w14:paraId="5F3293AA" w14:textId="77777777" w:rsidTr="00FB5086">
        <w:tc>
          <w:tcPr>
            <w:tcW w:w="2973" w:type="dxa"/>
            <w:shd w:val="clear" w:color="auto" w:fill="FFF2CC" w:themeFill="accent4" w:themeFillTint="33"/>
          </w:tcPr>
          <w:p w14:paraId="1E8B9125" w14:textId="77777777" w:rsidR="0094644B" w:rsidRPr="00FA3F57" w:rsidRDefault="0094644B" w:rsidP="00FB5086">
            <w:pPr>
              <w:keepNext/>
              <w:rPr>
                <w:sz w:val="20"/>
                <w:szCs w:val="20"/>
              </w:rPr>
            </w:pPr>
            <w:r w:rsidRPr="00FA3F57">
              <w:rPr>
                <w:sz w:val="20"/>
                <w:szCs w:val="20"/>
              </w:rPr>
              <w:t>Name of the project</w:t>
            </w:r>
          </w:p>
        </w:tc>
        <w:tc>
          <w:tcPr>
            <w:tcW w:w="5669" w:type="dxa"/>
            <w:shd w:val="clear" w:color="auto" w:fill="FFF2CC" w:themeFill="accent4" w:themeFillTint="33"/>
          </w:tcPr>
          <w:p w14:paraId="6B4C0A43" w14:textId="77777777" w:rsidR="0094644B" w:rsidRPr="00FA3F57" w:rsidRDefault="0094644B" w:rsidP="00FB5086">
            <w:pPr>
              <w:keepNext/>
              <w:rPr>
                <w:sz w:val="20"/>
                <w:szCs w:val="20"/>
              </w:rPr>
            </w:pPr>
            <w:r w:rsidRPr="00FA3F57">
              <w:rPr>
                <w:sz w:val="20"/>
                <w:szCs w:val="20"/>
              </w:rPr>
              <w:t>Connection lines for TS Belgrade 59 (Bio4 campus)</w:t>
            </w:r>
          </w:p>
        </w:tc>
      </w:tr>
      <w:tr w:rsidR="0094644B" w:rsidRPr="00F07779" w14:paraId="05B41AF4" w14:textId="77777777" w:rsidTr="00FB5086">
        <w:tc>
          <w:tcPr>
            <w:tcW w:w="2973" w:type="dxa"/>
            <w:shd w:val="clear" w:color="auto" w:fill="D9E2F3" w:themeFill="accent1" w:themeFillTint="33"/>
          </w:tcPr>
          <w:p w14:paraId="3257CD2E" w14:textId="77777777" w:rsidR="0094644B" w:rsidRPr="00FA3F57" w:rsidRDefault="0094644B" w:rsidP="00FB5086">
            <w:pPr>
              <w:keepNext/>
              <w:rPr>
                <w:sz w:val="20"/>
                <w:szCs w:val="20"/>
              </w:rPr>
            </w:pPr>
            <w:r w:rsidRPr="00FA3F57">
              <w:rPr>
                <w:sz w:val="20"/>
                <w:szCs w:val="20"/>
              </w:rPr>
              <w:t>Name of the investment</w:t>
            </w:r>
          </w:p>
        </w:tc>
        <w:tc>
          <w:tcPr>
            <w:tcW w:w="5669" w:type="dxa"/>
            <w:shd w:val="clear" w:color="auto" w:fill="D9E2F3" w:themeFill="accent1" w:themeFillTint="33"/>
          </w:tcPr>
          <w:p w14:paraId="6D67312E" w14:textId="77777777" w:rsidR="0094644B" w:rsidRPr="00FA3F57" w:rsidRDefault="0094644B" w:rsidP="00FB5086">
            <w:pPr>
              <w:keepNext/>
              <w:rPr>
                <w:sz w:val="20"/>
                <w:szCs w:val="20"/>
              </w:rPr>
            </w:pPr>
            <w:r w:rsidRPr="00F07779">
              <w:rPr>
                <w:sz w:val="20"/>
                <w:szCs w:val="20"/>
              </w:rPr>
              <w:t>ML</w:t>
            </w:r>
            <w:r w:rsidRPr="00FA3F57">
              <w:rPr>
                <w:sz w:val="20"/>
                <w:szCs w:val="20"/>
              </w:rPr>
              <w:t xml:space="preserve"> 2x110 kV TS Belgrade 17 – TS Belgrade 59</w:t>
            </w:r>
          </w:p>
          <w:p w14:paraId="2AD698E4" w14:textId="77777777" w:rsidR="0094644B" w:rsidRPr="00FA3F57" w:rsidRDefault="0094644B" w:rsidP="00FB5086">
            <w:pPr>
              <w:keepNext/>
              <w:rPr>
                <w:sz w:val="20"/>
                <w:szCs w:val="20"/>
                <w:highlight w:val="yellow"/>
              </w:rPr>
            </w:pPr>
            <w:r w:rsidRPr="00FA3F57">
              <w:rPr>
                <w:sz w:val="20"/>
                <w:szCs w:val="20"/>
              </w:rPr>
              <w:t>OHL 110 kV TS Belgrade 13 – TS Belgrade 59 and OHL 110 kV TS Belgrade 11 – TS Belgrade 59</w:t>
            </w:r>
          </w:p>
        </w:tc>
      </w:tr>
      <w:tr w:rsidR="0094644B" w:rsidRPr="00F07779" w14:paraId="1A17FF50" w14:textId="77777777" w:rsidTr="00FB5086">
        <w:tc>
          <w:tcPr>
            <w:tcW w:w="2973" w:type="dxa"/>
          </w:tcPr>
          <w:p w14:paraId="697AB7FD" w14:textId="77777777" w:rsidR="0094644B" w:rsidRPr="00FA3F57" w:rsidRDefault="0094644B" w:rsidP="00FB5086">
            <w:pPr>
              <w:rPr>
                <w:sz w:val="20"/>
                <w:szCs w:val="20"/>
              </w:rPr>
            </w:pPr>
            <w:r w:rsidRPr="00FA3F57">
              <w:rPr>
                <w:sz w:val="20"/>
                <w:szCs w:val="20"/>
              </w:rPr>
              <w:t>Short description of the investment</w:t>
            </w:r>
          </w:p>
        </w:tc>
        <w:tc>
          <w:tcPr>
            <w:tcW w:w="5669" w:type="dxa"/>
          </w:tcPr>
          <w:p w14:paraId="23F14B57" w14:textId="77777777" w:rsidR="0094644B" w:rsidRPr="00F07779" w:rsidRDefault="0094644B" w:rsidP="00FB5086">
            <w:pPr>
              <w:rPr>
                <w:sz w:val="20"/>
                <w:szCs w:val="20"/>
              </w:rPr>
            </w:pPr>
            <w:r w:rsidRPr="00F07779">
              <w:rPr>
                <w:sz w:val="20"/>
                <w:szCs w:val="20"/>
              </w:rPr>
              <w:t xml:space="preserve">The project encompasses both cable and overhead integration of the </w:t>
            </w:r>
            <w:r w:rsidRPr="00FA3F57">
              <w:rPr>
                <w:sz w:val="20"/>
                <w:szCs w:val="20"/>
              </w:rPr>
              <w:t xml:space="preserve">OHL </w:t>
            </w:r>
            <w:r w:rsidRPr="00F07779">
              <w:rPr>
                <w:sz w:val="20"/>
                <w:szCs w:val="20"/>
              </w:rPr>
              <w:t>110 kV No. 136A/2 (TS Belgrade 11 – TS Belgrade 17) and No. 136B/2 (TS Belgrade 13 – TS Belgrade 17), as well as cabling of a section of the existing OHL 110 kV No. 136A/2 (TS Belgrade 11 – TS Belgrade 17) and No. 136B/2 (TS Belgrade 13 – TS Belgrade 17) from pole No. 11 to TS Belgrade 59 (Bio4 Campus).</w:t>
            </w:r>
          </w:p>
          <w:p w14:paraId="7AE407B1" w14:textId="77777777" w:rsidR="0094644B" w:rsidRPr="00FA3F57" w:rsidRDefault="0094644B" w:rsidP="00FB5086">
            <w:pPr>
              <w:rPr>
                <w:sz w:val="20"/>
                <w:szCs w:val="20"/>
              </w:rPr>
            </w:pPr>
            <w:r w:rsidRPr="00FA3F57">
              <w:rPr>
                <w:sz w:val="20"/>
                <w:szCs w:val="20"/>
              </w:rPr>
              <w:t>Expected dynamics of project implementation:</w:t>
            </w:r>
          </w:p>
          <w:p w14:paraId="19080F42" w14:textId="77777777" w:rsidR="0094644B" w:rsidRPr="00FA3F57" w:rsidRDefault="0094644B" w:rsidP="00FB5086">
            <w:pPr>
              <w:rPr>
                <w:sz w:val="20"/>
                <w:szCs w:val="20"/>
              </w:rPr>
            </w:pPr>
            <w:r w:rsidRPr="00FA3F57">
              <w:rPr>
                <w:sz w:val="20"/>
                <w:szCs w:val="20"/>
              </w:rPr>
              <w:t>2026. Building permit</w:t>
            </w:r>
          </w:p>
          <w:p w14:paraId="653E177D" w14:textId="77777777" w:rsidR="0094644B" w:rsidRPr="00FA3F57" w:rsidRDefault="0094644B" w:rsidP="00FB5086">
            <w:pPr>
              <w:rPr>
                <w:sz w:val="20"/>
                <w:szCs w:val="20"/>
              </w:rPr>
            </w:pPr>
            <w:r w:rsidRPr="00FA3F57">
              <w:rPr>
                <w:sz w:val="20"/>
                <w:szCs w:val="20"/>
              </w:rPr>
              <w:t>2027.</w:t>
            </w:r>
            <w:r w:rsidRPr="00F07779">
              <w:rPr>
                <w:sz w:val="20"/>
                <w:szCs w:val="20"/>
              </w:rPr>
              <w:t xml:space="preserve"> </w:t>
            </w:r>
            <w:r w:rsidRPr="00FA3F57">
              <w:rPr>
                <w:sz w:val="20"/>
                <w:szCs w:val="20"/>
              </w:rPr>
              <w:t>Construction</w:t>
            </w:r>
          </w:p>
        </w:tc>
      </w:tr>
      <w:tr w:rsidR="0094644B" w:rsidRPr="00F07779" w14:paraId="2801E59C" w14:textId="77777777" w:rsidTr="00FB5086">
        <w:tc>
          <w:tcPr>
            <w:tcW w:w="2973" w:type="dxa"/>
          </w:tcPr>
          <w:p w14:paraId="25AA5EEE" w14:textId="77777777" w:rsidR="0094644B" w:rsidRPr="00FA3F57" w:rsidRDefault="0094644B" w:rsidP="00FB5086">
            <w:pPr>
              <w:rPr>
                <w:sz w:val="20"/>
                <w:szCs w:val="20"/>
              </w:rPr>
            </w:pPr>
            <w:r w:rsidRPr="00FA3F57">
              <w:rPr>
                <w:sz w:val="20"/>
                <w:szCs w:val="20"/>
              </w:rPr>
              <w:t>Institutions responsible for the implementation of measures and activities</w:t>
            </w:r>
          </w:p>
        </w:tc>
        <w:tc>
          <w:tcPr>
            <w:tcW w:w="5669" w:type="dxa"/>
          </w:tcPr>
          <w:p w14:paraId="14089326" w14:textId="77777777" w:rsidR="0094644B" w:rsidRPr="00FA3F57" w:rsidRDefault="0094644B" w:rsidP="00FB5086">
            <w:pPr>
              <w:rPr>
                <w:sz w:val="20"/>
                <w:szCs w:val="20"/>
              </w:rPr>
            </w:pPr>
            <w:r w:rsidRPr="00FA3F57">
              <w:rPr>
                <w:sz w:val="20"/>
                <w:szCs w:val="20"/>
              </w:rPr>
              <w:t>EMS JSC Belgrade</w:t>
            </w:r>
          </w:p>
        </w:tc>
      </w:tr>
      <w:tr w:rsidR="0094644B" w:rsidRPr="00F07779" w14:paraId="305C4826" w14:textId="77777777" w:rsidTr="00FB5086">
        <w:tc>
          <w:tcPr>
            <w:tcW w:w="2973" w:type="dxa"/>
          </w:tcPr>
          <w:p w14:paraId="6BD24C1D" w14:textId="77777777" w:rsidR="0094644B" w:rsidRPr="00FA3F57" w:rsidRDefault="0094644B" w:rsidP="00FB5086">
            <w:pPr>
              <w:rPr>
                <w:sz w:val="20"/>
                <w:szCs w:val="20"/>
              </w:rPr>
            </w:pPr>
            <w:r w:rsidRPr="00FA3F57">
              <w:rPr>
                <w:sz w:val="20"/>
                <w:szCs w:val="20"/>
              </w:rPr>
              <w:t>Institutions responsible for monitoring implementation and reporting on the realization</w:t>
            </w:r>
          </w:p>
        </w:tc>
        <w:tc>
          <w:tcPr>
            <w:tcW w:w="5669" w:type="dxa"/>
          </w:tcPr>
          <w:p w14:paraId="7DBEE872" w14:textId="77777777" w:rsidR="0094644B" w:rsidRPr="00F07779" w:rsidRDefault="0094644B" w:rsidP="00FB5086">
            <w:pPr>
              <w:rPr>
                <w:sz w:val="20"/>
                <w:szCs w:val="20"/>
              </w:rPr>
            </w:pPr>
            <w:r w:rsidRPr="00FA3F57">
              <w:rPr>
                <w:sz w:val="20"/>
                <w:szCs w:val="20"/>
              </w:rPr>
              <w:t>EMS JSC Belgrade</w:t>
            </w:r>
          </w:p>
          <w:p w14:paraId="1FE85D9E" w14:textId="77777777" w:rsidR="0094644B" w:rsidRPr="00FA3F57" w:rsidRDefault="0094644B" w:rsidP="00FB5086">
            <w:pPr>
              <w:rPr>
                <w:sz w:val="20"/>
                <w:szCs w:val="20"/>
              </w:rPr>
            </w:pPr>
            <w:r w:rsidRPr="00FA3F57">
              <w:rPr>
                <w:sz w:val="20"/>
                <w:szCs w:val="20"/>
              </w:rPr>
              <w:t>Ministry of Mining and Energy</w:t>
            </w:r>
          </w:p>
        </w:tc>
      </w:tr>
      <w:tr w:rsidR="0094644B" w:rsidRPr="00F07779" w14:paraId="00BF9EE6" w14:textId="77777777" w:rsidTr="00FB5086">
        <w:tc>
          <w:tcPr>
            <w:tcW w:w="2973" w:type="dxa"/>
          </w:tcPr>
          <w:p w14:paraId="5F4893CC" w14:textId="77777777" w:rsidR="0094644B" w:rsidRPr="00FA3F57" w:rsidRDefault="0094644B" w:rsidP="00FB5086">
            <w:pPr>
              <w:rPr>
                <w:sz w:val="20"/>
                <w:szCs w:val="20"/>
              </w:rPr>
            </w:pPr>
            <w:r w:rsidRPr="00FA3F57">
              <w:rPr>
                <w:sz w:val="20"/>
                <w:szCs w:val="20"/>
              </w:rPr>
              <w:t>Year of the start of the investment</w:t>
            </w:r>
          </w:p>
        </w:tc>
        <w:tc>
          <w:tcPr>
            <w:tcW w:w="5669" w:type="dxa"/>
          </w:tcPr>
          <w:p w14:paraId="7E5AE993" w14:textId="77777777" w:rsidR="0094644B" w:rsidRPr="00FA3F57" w:rsidRDefault="0094644B" w:rsidP="00FB5086">
            <w:pPr>
              <w:rPr>
                <w:sz w:val="20"/>
                <w:szCs w:val="20"/>
              </w:rPr>
            </w:pPr>
            <w:r w:rsidRPr="00FA3F57">
              <w:rPr>
                <w:sz w:val="20"/>
                <w:szCs w:val="20"/>
              </w:rPr>
              <w:t xml:space="preserve">2024. </w:t>
            </w:r>
          </w:p>
        </w:tc>
      </w:tr>
      <w:tr w:rsidR="0094644B" w:rsidRPr="00F07779" w14:paraId="44F868FC" w14:textId="77777777" w:rsidTr="00FB5086">
        <w:tc>
          <w:tcPr>
            <w:tcW w:w="2973" w:type="dxa"/>
          </w:tcPr>
          <w:p w14:paraId="523F7FA5" w14:textId="77777777" w:rsidR="0094644B" w:rsidRPr="00FA3F57" w:rsidRDefault="0094644B" w:rsidP="00FB5086">
            <w:pPr>
              <w:rPr>
                <w:sz w:val="20"/>
                <w:szCs w:val="20"/>
              </w:rPr>
            </w:pPr>
            <w:r w:rsidRPr="00FA3F57">
              <w:rPr>
                <w:sz w:val="20"/>
                <w:szCs w:val="20"/>
              </w:rPr>
              <w:t>Year of completion of project funding</w:t>
            </w:r>
          </w:p>
        </w:tc>
        <w:tc>
          <w:tcPr>
            <w:tcW w:w="5669" w:type="dxa"/>
          </w:tcPr>
          <w:p w14:paraId="6910CF95" w14:textId="77777777" w:rsidR="0094644B" w:rsidRPr="00FA3F57" w:rsidRDefault="0094644B" w:rsidP="00FB5086">
            <w:pPr>
              <w:rPr>
                <w:sz w:val="20"/>
                <w:szCs w:val="20"/>
              </w:rPr>
            </w:pPr>
            <w:r w:rsidRPr="00FA3F57">
              <w:rPr>
                <w:sz w:val="20"/>
                <w:szCs w:val="20"/>
              </w:rPr>
              <w:t>2027.</w:t>
            </w:r>
          </w:p>
        </w:tc>
      </w:tr>
      <w:tr w:rsidR="0094644B" w:rsidRPr="00F07779" w14:paraId="28166624" w14:textId="77777777" w:rsidTr="00FB5086">
        <w:tc>
          <w:tcPr>
            <w:tcW w:w="2973" w:type="dxa"/>
          </w:tcPr>
          <w:p w14:paraId="08E06DEE" w14:textId="77777777" w:rsidR="0094644B" w:rsidRPr="00FA3F57" w:rsidRDefault="0094644B" w:rsidP="00FB5086">
            <w:pPr>
              <w:rPr>
                <w:sz w:val="20"/>
                <w:szCs w:val="20"/>
              </w:rPr>
            </w:pPr>
            <w:r w:rsidRPr="00FA3F57">
              <w:rPr>
                <w:sz w:val="20"/>
                <w:szCs w:val="20"/>
              </w:rPr>
              <w:t>Current estimated value of the investment</w:t>
            </w:r>
            <w:r w:rsidRPr="00FA3F57">
              <w:rPr>
                <w:sz w:val="20"/>
                <w:szCs w:val="20"/>
              </w:rPr>
              <w:br/>
              <w:t>(in thousands of RSD)</w:t>
            </w:r>
          </w:p>
        </w:tc>
        <w:tc>
          <w:tcPr>
            <w:tcW w:w="5669" w:type="dxa"/>
          </w:tcPr>
          <w:p w14:paraId="24E609E5" w14:textId="77777777" w:rsidR="0094644B" w:rsidRPr="00FA3F57" w:rsidRDefault="0094644B" w:rsidP="00FB5086">
            <w:pPr>
              <w:rPr>
                <w:sz w:val="20"/>
                <w:szCs w:val="20"/>
              </w:rPr>
            </w:pPr>
            <w:r w:rsidRPr="00FA3F57">
              <w:rPr>
                <w:sz w:val="20"/>
                <w:szCs w:val="20"/>
              </w:rPr>
              <w:t>551,075 (4.7 million EUR)</w:t>
            </w:r>
          </w:p>
        </w:tc>
      </w:tr>
      <w:tr w:rsidR="0094644B" w:rsidRPr="00F07779" w14:paraId="29625111" w14:textId="77777777" w:rsidTr="00FB5086">
        <w:tc>
          <w:tcPr>
            <w:tcW w:w="2973" w:type="dxa"/>
          </w:tcPr>
          <w:p w14:paraId="7E5945A5" w14:textId="77777777" w:rsidR="0094644B" w:rsidRPr="00FA3F57" w:rsidRDefault="0094644B" w:rsidP="00FB5086">
            <w:pPr>
              <w:rPr>
                <w:sz w:val="20"/>
                <w:szCs w:val="20"/>
              </w:rPr>
            </w:pPr>
            <w:r w:rsidRPr="00FA3F57">
              <w:rPr>
                <w:sz w:val="20"/>
                <w:szCs w:val="20"/>
              </w:rPr>
              <w:t>Planned investments for 2026.</w:t>
            </w:r>
            <w:r w:rsidRPr="00FA3F57">
              <w:rPr>
                <w:sz w:val="20"/>
                <w:szCs w:val="20"/>
              </w:rPr>
              <w:br/>
              <w:t>(in thousands of RSD)</w:t>
            </w:r>
          </w:p>
        </w:tc>
        <w:tc>
          <w:tcPr>
            <w:tcW w:w="5669" w:type="dxa"/>
          </w:tcPr>
          <w:p w14:paraId="41D1D196" w14:textId="77777777" w:rsidR="0094644B" w:rsidRPr="00FA3F57" w:rsidRDefault="0094644B" w:rsidP="00FB5086">
            <w:pPr>
              <w:rPr>
                <w:sz w:val="20"/>
                <w:szCs w:val="20"/>
              </w:rPr>
            </w:pPr>
            <w:r w:rsidRPr="00FA3F57">
              <w:rPr>
                <w:sz w:val="20"/>
                <w:szCs w:val="20"/>
              </w:rPr>
              <w:t>135,136 (budget RS)</w:t>
            </w:r>
          </w:p>
        </w:tc>
      </w:tr>
      <w:tr w:rsidR="0094644B" w:rsidRPr="00F07779" w14:paraId="71CBB4D7" w14:textId="77777777" w:rsidTr="00FB5086">
        <w:tc>
          <w:tcPr>
            <w:tcW w:w="2973" w:type="dxa"/>
          </w:tcPr>
          <w:p w14:paraId="3BCCD065" w14:textId="77777777" w:rsidR="0094644B" w:rsidRPr="00FA3F57" w:rsidRDefault="0094644B" w:rsidP="00FB5086">
            <w:pPr>
              <w:rPr>
                <w:sz w:val="20"/>
                <w:szCs w:val="20"/>
              </w:rPr>
            </w:pPr>
            <w:r w:rsidRPr="00FA3F57">
              <w:rPr>
                <w:sz w:val="20"/>
                <w:szCs w:val="20"/>
              </w:rPr>
              <w:lastRenderedPageBreak/>
              <w:t>Planned investments for 2027.</w:t>
            </w:r>
            <w:r w:rsidRPr="00FA3F57">
              <w:rPr>
                <w:sz w:val="20"/>
                <w:szCs w:val="20"/>
              </w:rPr>
              <w:br/>
              <w:t>(in thousands of RSD)</w:t>
            </w:r>
          </w:p>
        </w:tc>
        <w:tc>
          <w:tcPr>
            <w:tcW w:w="5669" w:type="dxa"/>
          </w:tcPr>
          <w:p w14:paraId="3B6376A7" w14:textId="77777777" w:rsidR="0094644B" w:rsidRPr="00FA3F57" w:rsidRDefault="0094644B" w:rsidP="00FB5086">
            <w:pPr>
              <w:rPr>
                <w:sz w:val="20"/>
                <w:szCs w:val="20"/>
              </w:rPr>
            </w:pPr>
            <w:r w:rsidRPr="00FA3F57">
              <w:rPr>
                <w:sz w:val="20"/>
                <w:szCs w:val="20"/>
              </w:rPr>
              <w:t>408,984 (budget RS)</w:t>
            </w:r>
          </w:p>
        </w:tc>
      </w:tr>
      <w:tr w:rsidR="0094644B" w:rsidRPr="00F07779" w14:paraId="2FB1F9DB" w14:textId="77777777" w:rsidTr="00FB5086">
        <w:tc>
          <w:tcPr>
            <w:tcW w:w="2973" w:type="dxa"/>
          </w:tcPr>
          <w:p w14:paraId="2EE58395" w14:textId="77777777" w:rsidR="0094644B" w:rsidRPr="00FA3F57" w:rsidRDefault="0094644B" w:rsidP="00FB5086">
            <w:pPr>
              <w:rPr>
                <w:sz w:val="20"/>
                <w:szCs w:val="20"/>
              </w:rPr>
            </w:pPr>
            <w:r w:rsidRPr="00FA3F57">
              <w:rPr>
                <w:sz w:val="20"/>
                <w:szCs w:val="20"/>
              </w:rPr>
              <w:t>Planned investments for 2028.</w:t>
            </w:r>
            <w:r w:rsidRPr="00FA3F57">
              <w:rPr>
                <w:sz w:val="20"/>
                <w:szCs w:val="20"/>
              </w:rPr>
              <w:br/>
              <w:t>(in thousands of RSD)</w:t>
            </w:r>
          </w:p>
        </w:tc>
        <w:tc>
          <w:tcPr>
            <w:tcW w:w="5669" w:type="dxa"/>
          </w:tcPr>
          <w:p w14:paraId="35F5BF20" w14:textId="77777777" w:rsidR="0094644B" w:rsidRPr="00FA3F57" w:rsidRDefault="0094644B" w:rsidP="00FB5086">
            <w:pPr>
              <w:rPr>
                <w:sz w:val="20"/>
                <w:szCs w:val="20"/>
              </w:rPr>
            </w:pPr>
            <w:r w:rsidRPr="00FA3F57">
              <w:rPr>
                <w:sz w:val="20"/>
                <w:szCs w:val="20"/>
              </w:rPr>
              <w:t>0</w:t>
            </w:r>
          </w:p>
        </w:tc>
      </w:tr>
    </w:tbl>
    <w:p w14:paraId="59CB081F" w14:textId="77777777" w:rsidR="0094644B" w:rsidRPr="00F07779" w:rsidRDefault="0094644B" w:rsidP="0094644B"/>
    <w:tbl>
      <w:tblPr>
        <w:tblStyle w:val="TableGrid"/>
        <w:tblW w:w="0" w:type="auto"/>
        <w:tblLook w:val="04A0" w:firstRow="1" w:lastRow="0" w:firstColumn="1" w:lastColumn="0" w:noHBand="0" w:noVBand="1"/>
      </w:tblPr>
      <w:tblGrid>
        <w:gridCol w:w="2973"/>
        <w:gridCol w:w="5669"/>
      </w:tblGrid>
      <w:tr w:rsidR="0094644B" w:rsidRPr="00F07779" w14:paraId="17F10BE6" w14:textId="77777777" w:rsidTr="00FB5086">
        <w:tc>
          <w:tcPr>
            <w:tcW w:w="2973" w:type="dxa"/>
            <w:shd w:val="clear" w:color="auto" w:fill="D0CECE" w:themeFill="background2" w:themeFillShade="E6"/>
          </w:tcPr>
          <w:p w14:paraId="5D0364A0" w14:textId="77777777" w:rsidR="0094644B" w:rsidRPr="00FA3F57" w:rsidRDefault="0094644B" w:rsidP="00FB5086">
            <w:pPr>
              <w:keepNext/>
              <w:rPr>
                <w:sz w:val="20"/>
                <w:szCs w:val="20"/>
              </w:rPr>
            </w:pPr>
            <w:r w:rsidRPr="00FA3F57">
              <w:rPr>
                <w:sz w:val="20"/>
                <w:szCs w:val="20"/>
              </w:rPr>
              <w:t>Activity EL7.2</w:t>
            </w:r>
          </w:p>
        </w:tc>
        <w:tc>
          <w:tcPr>
            <w:tcW w:w="5669" w:type="dxa"/>
            <w:shd w:val="clear" w:color="auto" w:fill="D0CECE" w:themeFill="background2" w:themeFillShade="E6"/>
          </w:tcPr>
          <w:p w14:paraId="66384662" w14:textId="77777777" w:rsidR="0094644B" w:rsidRPr="00FA3F57" w:rsidRDefault="0094644B" w:rsidP="00FB5086">
            <w:pPr>
              <w:keepNext/>
              <w:rPr>
                <w:sz w:val="20"/>
                <w:szCs w:val="20"/>
              </w:rPr>
            </w:pPr>
            <w:r w:rsidRPr="00FA3F57">
              <w:rPr>
                <w:sz w:val="20"/>
                <w:szCs w:val="20"/>
              </w:rPr>
              <w:t>Investment projects for the modernization of the transmission system</w:t>
            </w:r>
          </w:p>
        </w:tc>
      </w:tr>
      <w:tr w:rsidR="0094644B" w:rsidRPr="00F07779" w14:paraId="51B6E029" w14:textId="77777777" w:rsidTr="00FB5086">
        <w:tc>
          <w:tcPr>
            <w:tcW w:w="2973" w:type="dxa"/>
            <w:shd w:val="clear" w:color="auto" w:fill="FFF2CC" w:themeFill="accent4" w:themeFillTint="33"/>
          </w:tcPr>
          <w:p w14:paraId="1562386B" w14:textId="77777777" w:rsidR="0094644B" w:rsidRPr="00FA3F57" w:rsidRDefault="0094644B" w:rsidP="00FB5086">
            <w:pPr>
              <w:keepNext/>
              <w:rPr>
                <w:sz w:val="20"/>
                <w:szCs w:val="20"/>
              </w:rPr>
            </w:pPr>
            <w:r w:rsidRPr="00FA3F57">
              <w:rPr>
                <w:sz w:val="20"/>
                <w:szCs w:val="20"/>
              </w:rPr>
              <w:t>Name of the project</w:t>
            </w:r>
          </w:p>
        </w:tc>
        <w:tc>
          <w:tcPr>
            <w:tcW w:w="5669" w:type="dxa"/>
            <w:shd w:val="clear" w:color="auto" w:fill="FFF2CC" w:themeFill="accent4" w:themeFillTint="33"/>
          </w:tcPr>
          <w:p w14:paraId="741B2DBF" w14:textId="77777777" w:rsidR="0094644B" w:rsidRPr="00FA3F57" w:rsidRDefault="0094644B" w:rsidP="00FB5086">
            <w:pPr>
              <w:keepNext/>
              <w:rPr>
                <w:sz w:val="20"/>
                <w:szCs w:val="20"/>
              </w:rPr>
            </w:pPr>
            <w:r w:rsidRPr="00FA3F57">
              <w:rPr>
                <w:sz w:val="20"/>
                <w:szCs w:val="20"/>
              </w:rPr>
              <w:t>Connection line for 110/10 kV TS Belgrade 58 (National Stadium)</w:t>
            </w:r>
          </w:p>
        </w:tc>
      </w:tr>
      <w:tr w:rsidR="0094644B" w:rsidRPr="00F07779" w14:paraId="14835657" w14:textId="77777777" w:rsidTr="00FB5086">
        <w:tc>
          <w:tcPr>
            <w:tcW w:w="2973" w:type="dxa"/>
            <w:shd w:val="clear" w:color="auto" w:fill="D9E2F3" w:themeFill="accent1" w:themeFillTint="33"/>
          </w:tcPr>
          <w:p w14:paraId="6FC274C3" w14:textId="77777777" w:rsidR="0094644B" w:rsidRPr="00FA3F57" w:rsidRDefault="0094644B" w:rsidP="00FB5086">
            <w:pPr>
              <w:keepNext/>
              <w:rPr>
                <w:sz w:val="20"/>
                <w:szCs w:val="20"/>
              </w:rPr>
            </w:pPr>
            <w:r w:rsidRPr="00FA3F57">
              <w:rPr>
                <w:sz w:val="20"/>
                <w:szCs w:val="20"/>
              </w:rPr>
              <w:t>Name of the investment</w:t>
            </w:r>
          </w:p>
        </w:tc>
        <w:tc>
          <w:tcPr>
            <w:tcW w:w="5669" w:type="dxa"/>
            <w:shd w:val="clear" w:color="auto" w:fill="D9E2F3" w:themeFill="accent1" w:themeFillTint="33"/>
          </w:tcPr>
          <w:p w14:paraId="12063DF3" w14:textId="77777777" w:rsidR="0094644B" w:rsidRPr="00FA3F57" w:rsidRDefault="0094644B" w:rsidP="00FB5086">
            <w:pPr>
              <w:keepNext/>
              <w:rPr>
                <w:sz w:val="20"/>
                <w:szCs w:val="20"/>
              </w:rPr>
            </w:pPr>
            <w:r w:rsidRPr="00FA3F57">
              <w:rPr>
                <w:sz w:val="20"/>
                <w:szCs w:val="20"/>
              </w:rPr>
              <w:t>CB 2×110 kV TS Belgrade 44 - TS Belgrade 58 (National Stadium)</w:t>
            </w:r>
          </w:p>
        </w:tc>
      </w:tr>
      <w:tr w:rsidR="0094644B" w:rsidRPr="00F07779" w14:paraId="57188F8B" w14:textId="77777777" w:rsidTr="00FB5086">
        <w:tc>
          <w:tcPr>
            <w:tcW w:w="2973" w:type="dxa"/>
          </w:tcPr>
          <w:p w14:paraId="0D9410E4" w14:textId="77777777" w:rsidR="0094644B" w:rsidRPr="00FA3F57" w:rsidRDefault="0094644B" w:rsidP="00FB5086">
            <w:pPr>
              <w:rPr>
                <w:sz w:val="20"/>
                <w:szCs w:val="20"/>
              </w:rPr>
            </w:pPr>
            <w:r w:rsidRPr="00FA3F57">
              <w:rPr>
                <w:sz w:val="20"/>
                <w:szCs w:val="20"/>
              </w:rPr>
              <w:t>Short description of the investment</w:t>
            </w:r>
          </w:p>
        </w:tc>
        <w:tc>
          <w:tcPr>
            <w:tcW w:w="5669" w:type="dxa"/>
          </w:tcPr>
          <w:p w14:paraId="0458A0AC" w14:textId="77777777" w:rsidR="0094644B" w:rsidRPr="00FA3F57" w:rsidRDefault="0094644B" w:rsidP="00FB5086">
            <w:pPr>
              <w:rPr>
                <w:sz w:val="20"/>
                <w:szCs w:val="20"/>
              </w:rPr>
            </w:pPr>
            <w:r w:rsidRPr="00FA3F57">
              <w:rPr>
                <w:sz w:val="20"/>
                <w:szCs w:val="20"/>
              </w:rPr>
              <w:t>The project is important due to the implementation of the international specialized exhibition EXPO BELGRADE 2027.</w:t>
            </w:r>
            <w:r w:rsidRPr="00F07779">
              <w:rPr>
                <w:sz w:val="20"/>
                <w:szCs w:val="20"/>
              </w:rPr>
              <w:t xml:space="preserve"> </w:t>
            </w:r>
            <w:r w:rsidRPr="00FA3F57">
              <w:rPr>
                <w:sz w:val="20"/>
                <w:szCs w:val="20"/>
              </w:rPr>
              <w:t>The project has been declared a project of importance for the Republic of Serbia and includes the construction of two cable lines from TS Belgrade 44 - TS Belgrade 58 (National Stadium) with a length of approximately 4.1 km.</w:t>
            </w:r>
          </w:p>
        </w:tc>
      </w:tr>
      <w:tr w:rsidR="0094644B" w:rsidRPr="00F07779" w14:paraId="6542E138" w14:textId="77777777" w:rsidTr="00FB5086">
        <w:tc>
          <w:tcPr>
            <w:tcW w:w="2973" w:type="dxa"/>
          </w:tcPr>
          <w:p w14:paraId="6447B603" w14:textId="77777777" w:rsidR="0094644B" w:rsidRPr="00FA3F57" w:rsidRDefault="0094644B" w:rsidP="00FB5086">
            <w:pPr>
              <w:rPr>
                <w:sz w:val="20"/>
                <w:szCs w:val="20"/>
              </w:rPr>
            </w:pPr>
            <w:r w:rsidRPr="00FA3F57">
              <w:rPr>
                <w:sz w:val="20"/>
                <w:szCs w:val="20"/>
              </w:rPr>
              <w:t>Institutions responsible for the implementation of measures and activities</w:t>
            </w:r>
          </w:p>
        </w:tc>
        <w:tc>
          <w:tcPr>
            <w:tcW w:w="5669" w:type="dxa"/>
          </w:tcPr>
          <w:p w14:paraId="2E1E8E39" w14:textId="77777777" w:rsidR="0094644B" w:rsidRPr="00FA3F57" w:rsidRDefault="0094644B" w:rsidP="00FB5086">
            <w:pPr>
              <w:rPr>
                <w:sz w:val="20"/>
                <w:szCs w:val="20"/>
              </w:rPr>
            </w:pPr>
            <w:r w:rsidRPr="00FA3F57">
              <w:rPr>
                <w:sz w:val="20"/>
                <w:szCs w:val="20"/>
              </w:rPr>
              <w:t>EMS JSC Belgrade</w:t>
            </w:r>
          </w:p>
        </w:tc>
      </w:tr>
      <w:tr w:rsidR="0094644B" w:rsidRPr="00F07779" w14:paraId="35F4D446" w14:textId="77777777" w:rsidTr="00FB5086">
        <w:tc>
          <w:tcPr>
            <w:tcW w:w="2973" w:type="dxa"/>
          </w:tcPr>
          <w:p w14:paraId="51C70A3E" w14:textId="77777777" w:rsidR="0094644B" w:rsidRPr="00FA3F57" w:rsidRDefault="0094644B" w:rsidP="00FB5086">
            <w:pPr>
              <w:rPr>
                <w:sz w:val="20"/>
                <w:szCs w:val="20"/>
              </w:rPr>
            </w:pPr>
            <w:r w:rsidRPr="00FA3F57">
              <w:rPr>
                <w:sz w:val="20"/>
                <w:szCs w:val="20"/>
              </w:rPr>
              <w:t>Institutions responsible for monitoring implementation and reporting on the realization</w:t>
            </w:r>
          </w:p>
        </w:tc>
        <w:tc>
          <w:tcPr>
            <w:tcW w:w="5669" w:type="dxa"/>
          </w:tcPr>
          <w:p w14:paraId="5BE0D1C0" w14:textId="77777777" w:rsidR="0094644B" w:rsidRPr="00F07779" w:rsidRDefault="0094644B" w:rsidP="00FB5086">
            <w:pPr>
              <w:rPr>
                <w:sz w:val="20"/>
                <w:szCs w:val="20"/>
              </w:rPr>
            </w:pPr>
            <w:r w:rsidRPr="00FA3F57">
              <w:rPr>
                <w:sz w:val="20"/>
                <w:szCs w:val="20"/>
              </w:rPr>
              <w:t>EMS JSC Belgrade</w:t>
            </w:r>
          </w:p>
          <w:p w14:paraId="5ADB9BCC" w14:textId="77777777" w:rsidR="0094644B" w:rsidRPr="00FA3F57" w:rsidRDefault="0094644B" w:rsidP="00FB5086">
            <w:pPr>
              <w:rPr>
                <w:sz w:val="20"/>
                <w:szCs w:val="20"/>
              </w:rPr>
            </w:pPr>
            <w:r w:rsidRPr="00FA3F57">
              <w:rPr>
                <w:sz w:val="20"/>
                <w:szCs w:val="20"/>
              </w:rPr>
              <w:t>Ministry of Mining and Energy</w:t>
            </w:r>
          </w:p>
        </w:tc>
      </w:tr>
      <w:tr w:rsidR="0094644B" w:rsidRPr="00F07779" w14:paraId="6B0D9EE1" w14:textId="77777777" w:rsidTr="00FB5086">
        <w:tc>
          <w:tcPr>
            <w:tcW w:w="2973" w:type="dxa"/>
          </w:tcPr>
          <w:p w14:paraId="0C80623E" w14:textId="77777777" w:rsidR="0094644B" w:rsidRPr="00FA3F57" w:rsidRDefault="0094644B" w:rsidP="00FB5086">
            <w:pPr>
              <w:rPr>
                <w:sz w:val="20"/>
                <w:szCs w:val="20"/>
              </w:rPr>
            </w:pPr>
            <w:r w:rsidRPr="00FA3F57">
              <w:rPr>
                <w:sz w:val="20"/>
                <w:szCs w:val="20"/>
              </w:rPr>
              <w:t>Year of the start of the investment</w:t>
            </w:r>
          </w:p>
        </w:tc>
        <w:tc>
          <w:tcPr>
            <w:tcW w:w="5669" w:type="dxa"/>
          </w:tcPr>
          <w:p w14:paraId="34458BB6" w14:textId="77777777" w:rsidR="0094644B" w:rsidRPr="00FA3F57" w:rsidRDefault="0094644B" w:rsidP="00FB5086">
            <w:pPr>
              <w:rPr>
                <w:sz w:val="20"/>
                <w:szCs w:val="20"/>
              </w:rPr>
            </w:pPr>
            <w:r w:rsidRPr="00FA3F57">
              <w:rPr>
                <w:sz w:val="20"/>
                <w:szCs w:val="20"/>
              </w:rPr>
              <w:t xml:space="preserve">2024. </w:t>
            </w:r>
          </w:p>
        </w:tc>
      </w:tr>
      <w:tr w:rsidR="0094644B" w:rsidRPr="00F07779" w14:paraId="0E464E0E" w14:textId="77777777" w:rsidTr="00FB5086">
        <w:tc>
          <w:tcPr>
            <w:tcW w:w="2973" w:type="dxa"/>
          </w:tcPr>
          <w:p w14:paraId="04950ECF" w14:textId="77777777" w:rsidR="0094644B" w:rsidRPr="00FA3F57" w:rsidRDefault="0094644B" w:rsidP="00FB5086">
            <w:pPr>
              <w:rPr>
                <w:sz w:val="20"/>
                <w:szCs w:val="20"/>
              </w:rPr>
            </w:pPr>
            <w:r w:rsidRPr="00FA3F57">
              <w:rPr>
                <w:sz w:val="20"/>
                <w:szCs w:val="20"/>
              </w:rPr>
              <w:t>Year of completion of project funding</w:t>
            </w:r>
          </w:p>
        </w:tc>
        <w:tc>
          <w:tcPr>
            <w:tcW w:w="5669" w:type="dxa"/>
          </w:tcPr>
          <w:p w14:paraId="6565D26B" w14:textId="77777777" w:rsidR="0094644B" w:rsidRPr="00FA3F57" w:rsidRDefault="0094644B" w:rsidP="00FB5086">
            <w:pPr>
              <w:rPr>
                <w:sz w:val="20"/>
                <w:szCs w:val="20"/>
              </w:rPr>
            </w:pPr>
            <w:r w:rsidRPr="00FA3F57">
              <w:rPr>
                <w:sz w:val="20"/>
                <w:szCs w:val="20"/>
              </w:rPr>
              <w:t>2026.</w:t>
            </w:r>
          </w:p>
        </w:tc>
      </w:tr>
      <w:tr w:rsidR="0094644B" w:rsidRPr="00F07779" w14:paraId="0E23B564" w14:textId="77777777" w:rsidTr="00FB5086">
        <w:tc>
          <w:tcPr>
            <w:tcW w:w="2973" w:type="dxa"/>
          </w:tcPr>
          <w:p w14:paraId="3A2D3A3D" w14:textId="77777777" w:rsidR="0094644B" w:rsidRPr="00FA3F57" w:rsidRDefault="0094644B" w:rsidP="00FB5086">
            <w:pPr>
              <w:rPr>
                <w:sz w:val="20"/>
                <w:szCs w:val="20"/>
              </w:rPr>
            </w:pPr>
            <w:r w:rsidRPr="00FA3F57">
              <w:rPr>
                <w:sz w:val="20"/>
                <w:szCs w:val="20"/>
              </w:rPr>
              <w:t>Current estimated value of the investment</w:t>
            </w:r>
            <w:r w:rsidRPr="00FA3F57">
              <w:rPr>
                <w:sz w:val="20"/>
                <w:szCs w:val="20"/>
              </w:rPr>
              <w:br/>
              <w:t>(in thousands of RSD)</w:t>
            </w:r>
          </w:p>
        </w:tc>
        <w:tc>
          <w:tcPr>
            <w:tcW w:w="5669" w:type="dxa"/>
          </w:tcPr>
          <w:p w14:paraId="7420171D" w14:textId="77777777" w:rsidR="0094644B" w:rsidRPr="00FA3F57" w:rsidRDefault="0094644B" w:rsidP="00FB5086">
            <w:pPr>
              <w:rPr>
                <w:sz w:val="20"/>
                <w:szCs w:val="20"/>
              </w:rPr>
            </w:pPr>
            <w:r w:rsidRPr="00FA3F57">
              <w:rPr>
                <w:sz w:val="20"/>
                <w:szCs w:val="20"/>
              </w:rPr>
              <w:t>973,175 (8.3 million EUR)</w:t>
            </w:r>
          </w:p>
        </w:tc>
      </w:tr>
      <w:tr w:rsidR="0094644B" w:rsidRPr="00F07779" w14:paraId="38E7B4A5" w14:textId="77777777" w:rsidTr="00FB5086">
        <w:tc>
          <w:tcPr>
            <w:tcW w:w="2973" w:type="dxa"/>
          </w:tcPr>
          <w:p w14:paraId="0AF26891" w14:textId="77777777" w:rsidR="0094644B" w:rsidRPr="00FA3F57" w:rsidRDefault="0094644B" w:rsidP="00FB5086">
            <w:pPr>
              <w:rPr>
                <w:sz w:val="20"/>
                <w:szCs w:val="20"/>
              </w:rPr>
            </w:pPr>
            <w:r w:rsidRPr="00FA3F57">
              <w:rPr>
                <w:sz w:val="20"/>
                <w:szCs w:val="20"/>
              </w:rPr>
              <w:t>Planned investments for 2026.</w:t>
            </w:r>
            <w:r w:rsidRPr="00FA3F57">
              <w:rPr>
                <w:sz w:val="20"/>
                <w:szCs w:val="20"/>
              </w:rPr>
              <w:br/>
              <w:t>(in thousands of RSD)</w:t>
            </w:r>
          </w:p>
        </w:tc>
        <w:tc>
          <w:tcPr>
            <w:tcW w:w="5669" w:type="dxa"/>
          </w:tcPr>
          <w:p w14:paraId="10A22EBD" w14:textId="77777777" w:rsidR="0094644B" w:rsidRPr="00FA3F57" w:rsidRDefault="0094644B" w:rsidP="00FB5086">
            <w:pPr>
              <w:rPr>
                <w:sz w:val="20"/>
                <w:szCs w:val="20"/>
              </w:rPr>
            </w:pPr>
            <w:r w:rsidRPr="00FA3F57">
              <w:rPr>
                <w:sz w:val="20"/>
                <w:szCs w:val="20"/>
              </w:rPr>
              <w:t>406,897 (budget RS)</w:t>
            </w:r>
          </w:p>
        </w:tc>
      </w:tr>
      <w:tr w:rsidR="0094644B" w:rsidRPr="00F07779" w14:paraId="68B8EC01" w14:textId="77777777" w:rsidTr="00FB5086">
        <w:tc>
          <w:tcPr>
            <w:tcW w:w="2973" w:type="dxa"/>
          </w:tcPr>
          <w:p w14:paraId="2C09E952" w14:textId="77777777" w:rsidR="0094644B" w:rsidRPr="00FA3F57" w:rsidRDefault="0094644B" w:rsidP="00FB5086">
            <w:pPr>
              <w:rPr>
                <w:sz w:val="20"/>
                <w:szCs w:val="20"/>
              </w:rPr>
            </w:pPr>
            <w:r w:rsidRPr="00FA3F57">
              <w:rPr>
                <w:sz w:val="20"/>
                <w:szCs w:val="20"/>
              </w:rPr>
              <w:t>Planned investments for 2027.</w:t>
            </w:r>
            <w:r w:rsidRPr="00FA3F57">
              <w:rPr>
                <w:sz w:val="20"/>
                <w:szCs w:val="20"/>
              </w:rPr>
              <w:br/>
              <w:t>(in thousands of RSD)</w:t>
            </w:r>
          </w:p>
        </w:tc>
        <w:tc>
          <w:tcPr>
            <w:tcW w:w="5669" w:type="dxa"/>
          </w:tcPr>
          <w:p w14:paraId="1348BE4B" w14:textId="77777777" w:rsidR="0094644B" w:rsidRPr="00FA3F57" w:rsidRDefault="0094644B" w:rsidP="00FB5086">
            <w:pPr>
              <w:rPr>
                <w:sz w:val="20"/>
                <w:szCs w:val="20"/>
              </w:rPr>
            </w:pPr>
            <w:r w:rsidRPr="00FA3F57">
              <w:rPr>
                <w:sz w:val="20"/>
                <w:szCs w:val="20"/>
              </w:rPr>
              <w:t>0</w:t>
            </w:r>
          </w:p>
        </w:tc>
      </w:tr>
      <w:tr w:rsidR="0094644B" w:rsidRPr="00F07779" w14:paraId="1164C839" w14:textId="77777777" w:rsidTr="00FB5086">
        <w:tc>
          <w:tcPr>
            <w:tcW w:w="2973" w:type="dxa"/>
          </w:tcPr>
          <w:p w14:paraId="1942DB60" w14:textId="77777777" w:rsidR="0094644B" w:rsidRPr="00FA3F57" w:rsidRDefault="0094644B" w:rsidP="00FB5086">
            <w:pPr>
              <w:rPr>
                <w:sz w:val="20"/>
                <w:szCs w:val="20"/>
              </w:rPr>
            </w:pPr>
            <w:r w:rsidRPr="00FA3F57">
              <w:rPr>
                <w:sz w:val="20"/>
                <w:szCs w:val="20"/>
              </w:rPr>
              <w:t>Planned investments for 2028.</w:t>
            </w:r>
            <w:r w:rsidRPr="00FA3F57">
              <w:rPr>
                <w:sz w:val="20"/>
                <w:szCs w:val="20"/>
              </w:rPr>
              <w:br/>
              <w:t>(in thousands of RSD)</w:t>
            </w:r>
          </w:p>
        </w:tc>
        <w:tc>
          <w:tcPr>
            <w:tcW w:w="5669" w:type="dxa"/>
          </w:tcPr>
          <w:p w14:paraId="34E6B2C4" w14:textId="77777777" w:rsidR="0094644B" w:rsidRPr="00FA3F57" w:rsidRDefault="0094644B" w:rsidP="00FB5086">
            <w:pPr>
              <w:rPr>
                <w:sz w:val="20"/>
                <w:szCs w:val="20"/>
              </w:rPr>
            </w:pPr>
            <w:r w:rsidRPr="00FA3F57">
              <w:rPr>
                <w:sz w:val="20"/>
                <w:szCs w:val="20"/>
              </w:rPr>
              <w:t>0</w:t>
            </w:r>
          </w:p>
        </w:tc>
      </w:tr>
    </w:tbl>
    <w:p w14:paraId="6261DCF7" w14:textId="77777777" w:rsidR="0094644B" w:rsidRPr="00F07779" w:rsidRDefault="0094644B" w:rsidP="0094644B"/>
    <w:tbl>
      <w:tblPr>
        <w:tblStyle w:val="TableGrid"/>
        <w:tblW w:w="0" w:type="auto"/>
        <w:tblLook w:val="04A0" w:firstRow="1" w:lastRow="0" w:firstColumn="1" w:lastColumn="0" w:noHBand="0" w:noVBand="1"/>
      </w:tblPr>
      <w:tblGrid>
        <w:gridCol w:w="2973"/>
        <w:gridCol w:w="5669"/>
      </w:tblGrid>
      <w:tr w:rsidR="0094644B" w:rsidRPr="00F07779" w14:paraId="14FDE995" w14:textId="77777777" w:rsidTr="00FB5086">
        <w:tc>
          <w:tcPr>
            <w:tcW w:w="2973" w:type="dxa"/>
            <w:shd w:val="clear" w:color="auto" w:fill="D0CECE" w:themeFill="background2" w:themeFillShade="E6"/>
          </w:tcPr>
          <w:p w14:paraId="5F66DAA7" w14:textId="77777777" w:rsidR="0094644B" w:rsidRPr="00FA3F57" w:rsidRDefault="0094644B" w:rsidP="00FB5086">
            <w:pPr>
              <w:keepNext/>
              <w:rPr>
                <w:sz w:val="20"/>
                <w:szCs w:val="20"/>
              </w:rPr>
            </w:pPr>
            <w:r w:rsidRPr="00FA3F57">
              <w:rPr>
                <w:sz w:val="20"/>
                <w:szCs w:val="20"/>
              </w:rPr>
              <w:t>Activity EL7.2</w:t>
            </w:r>
          </w:p>
        </w:tc>
        <w:tc>
          <w:tcPr>
            <w:tcW w:w="5669" w:type="dxa"/>
            <w:shd w:val="clear" w:color="auto" w:fill="D0CECE" w:themeFill="background2" w:themeFillShade="E6"/>
          </w:tcPr>
          <w:p w14:paraId="07DF1A3A" w14:textId="77777777" w:rsidR="0094644B" w:rsidRPr="00FA3F57" w:rsidRDefault="0094644B" w:rsidP="00FB5086">
            <w:pPr>
              <w:keepNext/>
              <w:rPr>
                <w:sz w:val="20"/>
                <w:szCs w:val="20"/>
              </w:rPr>
            </w:pPr>
            <w:r w:rsidRPr="00FA3F57">
              <w:rPr>
                <w:sz w:val="20"/>
                <w:szCs w:val="20"/>
              </w:rPr>
              <w:t>Investment projects for the modernization of the transmission system</w:t>
            </w:r>
          </w:p>
        </w:tc>
      </w:tr>
      <w:tr w:rsidR="0094644B" w:rsidRPr="00F07779" w14:paraId="39DB5FEA" w14:textId="77777777" w:rsidTr="00FB5086">
        <w:tc>
          <w:tcPr>
            <w:tcW w:w="2973" w:type="dxa"/>
            <w:shd w:val="clear" w:color="auto" w:fill="FFF2CC" w:themeFill="accent4" w:themeFillTint="33"/>
          </w:tcPr>
          <w:p w14:paraId="6BF6A9AE" w14:textId="77777777" w:rsidR="0094644B" w:rsidRPr="00FA3F57" w:rsidRDefault="0094644B" w:rsidP="00FB5086">
            <w:pPr>
              <w:keepNext/>
              <w:rPr>
                <w:sz w:val="20"/>
                <w:szCs w:val="20"/>
              </w:rPr>
            </w:pPr>
            <w:r w:rsidRPr="00FA3F57">
              <w:rPr>
                <w:sz w:val="20"/>
                <w:szCs w:val="20"/>
              </w:rPr>
              <w:t>Name of the project</w:t>
            </w:r>
          </w:p>
        </w:tc>
        <w:tc>
          <w:tcPr>
            <w:tcW w:w="5669" w:type="dxa"/>
            <w:shd w:val="clear" w:color="auto" w:fill="FFF2CC" w:themeFill="accent4" w:themeFillTint="33"/>
          </w:tcPr>
          <w:p w14:paraId="70D86D06" w14:textId="77777777" w:rsidR="0094644B" w:rsidRPr="00FA3F57" w:rsidRDefault="0094644B" w:rsidP="00FB5086">
            <w:pPr>
              <w:keepNext/>
              <w:rPr>
                <w:sz w:val="20"/>
                <w:szCs w:val="20"/>
              </w:rPr>
            </w:pPr>
            <w:r w:rsidRPr="00FA3F57">
              <w:rPr>
                <w:sz w:val="20"/>
                <w:szCs w:val="20"/>
              </w:rPr>
              <w:t>Reconstruction of 110 kV overhead line No. 134/6 TS Zlatibor 2 – TS Bistrica from TS Zlatibor 2 to pole 140</w:t>
            </w:r>
          </w:p>
        </w:tc>
      </w:tr>
      <w:tr w:rsidR="0094644B" w:rsidRPr="00F07779" w14:paraId="0DD41D3F" w14:textId="77777777" w:rsidTr="00FB5086">
        <w:tc>
          <w:tcPr>
            <w:tcW w:w="2973" w:type="dxa"/>
            <w:shd w:val="clear" w:color="auto" w:fill="D9E2F3" w:themeFill="accent1" w:themeFillTint="33"/>
          </w:tcPr>
          <w:p w14:paraId="2FFB5AAB" w14:textId="77777777" w:rsidR="0094644B" w:rsidRPr="00FA3F57" w:rsidRDefault="0094644B" w:rsidP="00FB5086">
            <w:pPr>
              <w:keepNext/>
              <w:rPr>
                <w:sz w:val="20"/>
                <w:szCs w:val="20"/>
              </w:rPr>
            </w:pPr>
            <w:r w:rsidRPr="00FA3F57">
              <w:rPr>
                <w:sz w:val="20"/>
                <w:szCs w:val="20"/>
              </w:rPr>
              <w:t>Name of the investment</w:t>
            </w:r>
          </w:p>
        </w:tc>
        <w:tc>
          <w:tcPr>
            <w:tcW w:w="5669" w:type="dxa"/>
            <w:shd w:val="clear" w:color="auto" w:fill="D9E2F3" w:themeFill="accent1" w:themeFillTint="33"/>
          </w:tcPr>
          <w:p w14:paraId="58D2109C" w14:textId="77777777" w:rsidR="0094644B" w:rsidRPr="00FA3F57" w:rsidRDefault="0094644B" w:rsidP="00FB5086">
            <w:pPr>
              <w:keepNext/>
              <w:rPr>
                <w:sz w:val="20"/>
                <w:szCs w:val="20"/>
              </w:rPr>
            </w:pPr>
            <w:r w:rsidRPr="00FA3F57">
              <w:rPr>
                <w:sz w:val="20"/>
                <w:szCs w:val="20"/>
              </w:rPr>
              <w:t>Reconstruction of 110 kV overhead line No. 134/6 TS Zlatibor 2 – TS Bistrica from TS Zlatibor 2 to pole 140</w:t>
            </w:r>
          </w:p>
        </w:tc>
      </w:tr>
      <w:tr w:rsidR="0094644B" w:rsidRPr="00F07779" w14:paraId="75625600" w14:textId="77777777" w:rsidTr="00FB5086">
        <w:tc>
          <w:tcPr>
            <w:tcW w:w="2973" w:type="dxa"/>
          </w:tcPr>
          <w:p w14:paraId="1D72B4EF" w14:textId="77777777" w:rsidR="0094644B" w:rsidRPr="00FA3F57" w:rsidRDefault="0094644B" w:rsidP="00FB5086">
            <w:pPr>
              <w:rPr>
                <w:sz w:val="20"/>
                <w:szCs w:val="20"/>
              </w:rPr>
            </w:pPr>
            <w:r w:rsidRPr="00FA3F57">
              <w:rPr>
                <w:sz w:val="20"/>
                <w:szCs w:val="20"/>
              </w:rPr>
              <w:t>Short description of the investment</w:t>
            </w:r>
          </w:p>
        </w:tc>
        <w:tc>
          <w:tcPr>
            <w:tcW w:w="5669" w:type="dxa"/>
          </w:tcPr>
          <w:p w14:paraId="5493ED65" w14:textId="77777777" w:rsidR="0094644B" w:rsidRPr="00FA3F57" w:rsidRDefault="0094644B" w:rsidP="00FB5086">
            <w:pPr>
              <w:rPr>
                <w:sz w:val="20"/>
                <w:szCs w:val="20"/>
              </w:rPr>
            </w:pPr>
            <w:r w:rsidRPr="00FA3F57">
              <w:rPr>
                <w:sz w:val="20"/>
                <w:szCs w:val="20"/>
              </w:rPr>
              <w:t>A complete reconstruction of the 110 kV transmission line No. 134/6 from TS Zlatibor 2 to pole 140 is planned, with an increase in the cross-section of the conductors.</w:t>
            </w:r>
            <w:r w:rsidRPr="00F07779">
              <w:rPr>
                <w:sz w:val="20"/>
                <w:szCs w:val="20"/>
              </w:rPr>
              <w:t xml:space="preserve"> </w:t>
            </w:r>
            <w:r w:rsidRPr="00FA3F57">
              <w:rPr>
                <w:sz w:val="20"/>
                <w:szCs w:val="20"/>
              </w:rPr>
              <w:t>The reconstruction is due to the age of the transmission line.</w:t>
            </w:r>
          </w:p>
          <w:p w14:paraId="4A071ADA" w14:textId="77777777" w:rsidR="0094644B" w:rsidRPr="00FA3F57" w:rsidRDefault="0094644B" w:rsidP="00FB5086">
            <w:pPr>
              <w:rPr>
                <w:sz w:val="20"/>
                <w:szCs w:val="20"/>
              </w:rPr>
            </w:pPr>
            <w:r w:rsidRPr="00FA3F57">
              <w:rPr>
                <w:sz w:val="20"/>
                <w:szCs w:val="20"/>
              </w:rPr>
              <w:t>Expected dynamics of project implementation:</w:t>
            </w:r>
          </w:p>
          <w:p w14:paraId="0D9DEAE6" w14:textId="77777777" w:rsidR="0094644B" w:rsidRPr="00FA3F57" w:rsidRDefault="0094644B" w:rsidP="00FB5086">
            <w:pPr>
              <w:rPr>
                <w:sz w:val="20"/>
                <w:szCs w:val="20"/>
              </w:rPr>
            </w:pPr>
            <w:r w:rsidRPr="00FA3F57">
              <w:rPr>
                <w:sz w:val="20"/>
                <w:szCs w:val="20"/>
              </w:rPr>
              <w:t>2026. The beginning of the project</w:t>
            </w:r>
          </w:p>
          <w:p w14:paraId="7E493AE4" w14:textId="77777777" w:rsidR="0094644B" w:rsidRPr="00FA3F57" w:rsidRDefault="0094644B" w:rsidP="00FB5086">
            <w:pPr>
              <w:rPr>
                <w:sz w:val="20"/>
                <w:szCs w:val="20"/>
              </w:rPr>
            </w:pPr>
            <w:r w:rsidRPr="00FA3F57">
              <w:rPr>
                <w:sz w:val="20"/>
                <w:szCs w:val="20"/>
              </w:rPr>
              <w:t>2027. Location conditions</w:t>
            </w:r>
          </w:p>
          <w:p w14:paraId="5A6525A7" w14:textId="77777777" w:rsidR="0094644B" w:rsidRPr="00FA3F57" w:rsidRDefault="0094644B" w:rsidP="00FB5086">
            <w:pPr>
              <w:rPr>
                <w:sz w:val="20"/>
                <w:szCs w:val="20"/>
              </w:rPr>
            </w:pPr>
            <w:r w:rsidRPr="00FA3F57">
              <w:rPr>
                <w:sz w:val="20"/>
                <w:szCs w:val="20"/>
              </w:rPr>
              <w:t>2028. Building permit</w:t>
            </w:r>
          </w:p>
        </w:tc>
      </w:tr>
      <w:tr w:rsidR="0094644B" w:rsidRPr="00F07779" w14:paraId="7CD4EF0B" w14:textId="77777777" w:rsidTr="00FB5086">
        <w:tc>
          <w:tcPr>
            <w:tcW w:w="2973" w:type="dxa"/>
          </w:tcPr>
          <w:p w14:paraId="588A3223" w14:textId="77777777" w:rsidR="0094644B" w:rsidRPr="00FA3F57" w:rsidRDefault="0094644B" w:rsidP="00FB5086">
            <w:pPr>
              <w:rPr>
                <w:sz w:val="20"/>
                <w:szCs w:val="20"/>
              </w:rPr>
            </w:pPr>
            <w:r w:rsidRPr="00FA3F57">
              <w:rPr>
                <w:sz w:val="20"/>
                <w:szCs w:val="20"/>
              </w:rPr>
              <w:t>Institutions responsible for the implementation of measures and activities</w:t>
            </w:r>
          </w:p>
        </w:tc>
        <w:tc>
          <w:tcPr>
            <w:tcW w:w="5669" w:type="dxa"/>
          </w:tcPr>
          <w:p w14:paraId="48B25789" w14:textId="77777777" w:rsidR="0094644B" w:rsidRPr="00FA3F57" w:rsidRDefault="0094644B" w:rsidP="00FB5086">
            <w:pPr>
              <w:rPr>
                <w:sz w:val="20"/>
                <w:szCs w:val="20"/>
              </w:rPr>
            </w:pPr>
            <w:r w:rsidRPr="00FA3F57">
              <w:rPr>
                <w:sz w:val="20"/>
                <w:szCs w:val="20"/>
              </w:rPr>
              <w:t>EMS JSC Belgrade</w:t>
            </w:r>
          </w:p>
        </w:tc>
      </w:tr>
      <w:tr w:rsidR="0094644B" w:rsidRPr="00F07779" w14:paraId="7BE77228" w14:textId="77777777" w:rsidTr="00FB5086">
        <w:tc>
          <w:tcPr>
            <w:tcW w:w="2973" w:type="dxa"/>
          </w:tcPr>
          <w:p w14:paraId="0FE375C1" w14:textId="77777777" w:rsidR="0094644B" w:rsidRPr="00FA3F57" w:rsidRDefault="0094644B" w:rsidP="00FB5086">
            <w:pPr>
              <w:rPr>
                <w:sz w:val="20"/>
                <w:szCs w:val="20"/>
              </w:rPr>
            </w:pPr>
            <w:r w:rsidRPr="00FA3F57">
              <w:rPr>
                <w:sz w:val="20"/>
                <w:szCs w:val="20"/>
              </w:rPr>
              <w:t>Institutions responsible for monitoring implementation and reporting on the realization</w:t>
            </w:r>
          </w:p>
        </w:tc>
        <w:tc>
          <w:tcPr>
            <w:tcW w:w="5669" w:type="dxa"/>
          </w:tcPr>
          <w:p w14:paraId="2429313A" w14:textId="77777777" w:rsidR="0094644B" w:rsidRPr="00FA3F57" w:rsidRDefault="0094644B" w:rsidP="00FB5086">
            <w:pPr>
              <w:rPr>
                <w:sz w:val="20"/>
                <w:szCs w:val="20"/>
              </w:rPr>
            </w:pPr>
            <w:r w:rsidRPr="00FA3F57">
              <w:rPr>
                <w:sz w:val="20"/>
                <w:szCs w:val="20"/>
              </w:rPr>
              <w:t xml:space="preserve">EMS JSC </w:t>
            </w:r>
            <w:proofErr w:type="spellStart"/>
            <w:r w:rsidRPr="00FA3F57">
              <w:rPr>
                <w:sz w:val="20"/>
                <w:szCs w:val="20"/>
              </w:rPr>
              <w:t>BelgradeRepublic</w:t>
            </w:r>
            <w:proofErr w:type="spellEnd"/>
            <w:r w:rsidRPr="00FA3F57">
              <w:rPr>
                <w:sz w:val="20"/>
                <w:szCs w:val="20"/>
              </w:rPr>
              <w:t xml:space="preserve"> Commission for Energy Networks</w:t>
            </w:r>
          </w:p>
          <w:p w14:paraId="5B5235D1" w14:textId="77777777" w:rsidR="0094644B" w:rsidRPr="00FA3F57" w:rsidRDefault="0094644B" w:rsidP="00FB5086">
            <w:pPr>
              <w:rPr>
                <w:sz w:val="20"/>
                <w:szCs w:val="20"/>
              </w:rPr>
            </w:pPr>
            <w:r w:rsidRPr="00FA3F57">
              <w:rPr>
                <w:sz w:val="20"/>
                <w:szCs w:val="20"/>
              </w:rPr>
              <w:t>Ministry of Mining and Energy</w:t>
            </w:r>
          </w:p>
        </w:tc>
      </w:tr>
      <w:tr w:rsidR="0094644B" w:rsidRPr="00F07779" w14:paraId="51B3C9D8" w14:textId="77777777" w:rsidTr="00FB5086">
        <w:tc>
          <w:tcPr>
            <w:tcW w:w="2973" w:type="dxa"/>
          </w:tcPr>
          <w:p w14:paraId="7913638F" w14:textId="77777777" w:rsidR="0094644B" w:rsidRPr="00FA3F57" w:rsidRDefault="0094644B" w:rsidP="00FB5086">
            <w:pPr>
              <w:rPr>
                <w:sz w:val="20"/>
                <w:szCs w:val="20"/>
              </w:rPr>
            </w:pPr>
            <w:r w:rsidRPr="00FA3F57">
              <w:rPr>
                <w:sz w:val="20"/>
                <w:szCs w:val="20"/>
              </w:rPr>
              <w:t>Year of the start of the investment</w:t>
            </w:r>
          </w:p>
        </w:tc>
        <w:tc>
          <w:tcPr>
            <w:tcW w:w="5669" w:type="dxa"/>
          </w:tcPr>
          <w:p w14:paraId="77DF6F0A" w14:textId="77777777" w:rsidR="0094644B" w:rsidRPr="00FA3F57" w:rsidRDefault="0094644B" w:rsidP="00FB5086">
            <w:pPr>
              <w:rPr>
                <w:sz w:val="20"/>
                <w:szCs w:val="20"/>
              </w:rPr>
            </w:pPr>
            <w:r w:rsidRPr="00FA3F57">
              <w:rPr>
                <w:sz w:val="20"/>
                <w:szCs w:val="20"/>
              </w:rPr>
              <w:t>2025.</w:t>
            </w:r>
          </w:p>
        </w:tc>
      </w:tr>
      <w:tr w:rsidR="0094644B" w:rsidRPr="00F07779" w14:paraId="1C4A5B7E" w14:textId="77777777" w:rsidTr="00FB5086">
        <w:tc>
          <w:tcPr>
            <w:tcW w:w="2973" w:type="dxa"/>
          </w:tcPr>
          <w:p w14:paraId="79533D01" w14:textId="77777777" w:rsidR="0094644B" w:rsidRPr="00FA3F57" w:rsidRDefault="0094644B" w:rsidP="00FB5086">
            <w:pPr>
              <w:rPr>
                <w:sz w:val="20"/>
                <w:szCs w:val="20"/>
              </w:rPr>
            </w:pPr>
            <w:r w:rsidRPr="00FA3F57">
              <w:rPr>
                <w:sz w:val="20"/>
                <w:szCs w:val="20"/>
              </w:rPr>
              <w:t>Year of completion of project funding</w:t>
            </w:r>
          </w:p>
        </w:tc>
        <w:tc>
          <w:tcPr>
            <w:tcW w:w="5669" w:type="dxa"/>
          </w:tcPr>
          <w:p w14:paraId="095851E4" w14:textId="77777777" w:rsidR="0094644B" w:rsidRPr="00FA3F57" w:rsidRDefault="0094644B" w:rsidP="00FB5086">
            <w:pPr>
              <w:rPr>
                <w:sz w:val="20"/>
                <w:szCs w:val="20"/>
              </w:rPr>
            </w:pPr>
            <w:r w:rsidRPr="00FA3F57">
              <w:rPr>
                <w:sz w:val="20"/>
                <w:szCs w:val="20"/>
              </w:rPr>
              <w:t>2029.</w:t>
            </w:r>
          </w:p>
        </w:tc>
      </w:tr>
      <w:tr w:rsidR="0094644B" w:rsidRPr="00F07779" w14:paraId="70234FFE" w14:textId="77777777" w:rsidTr="00FB5086">
        <w:tc>
          <w:tcPr>
            <w:tcW w:w="2973" w:type="dxa"/>
          </w:tcPr>
          <w:p w14:paraId="6BA4A512" w14:textId="77777777" w:rsidR="0094644B" w:rsidRPr="00FA3F57" w:rsidRDefault="0094644B" w:rsidP="00FB5086">
            <w:pPr>
              <w:rPr>
                <w:sz w:val="20"/>
                <w:szCs w:val="20"/>
              </w:rPr>
            </w:pPr>
            <w:r w:rsidRPr="00FA3F57">
              <w:rPr>
                <w:sz w:val="20"/>
                <w:szCs w:val="20"/>
              </w:rPr>
              <w:t>Current estimated value of the investment</w:t>
            </w:r>
            <w:r w:rsidRPr="00FA3F57">
              <w:rPr>
                <w:sz w:val="20"/>
                <w:szCs w:val="20"/>
              </w:rPr>
              <w:br/>
              <w:t>(in thousands of RSD)</w:t>
            </w:r>
          </w:p>
        </w:tc>
        <w:tc>
          <w:tcPr>
            <w:tcW w:w="5669" w:type="dxa"/>
          </w:tcPr>
          <w:p w14:paraId="265D9B80" w14:textId="77777777" w:rsidR="0094644B" w:rsidRPr="00FA3F57" w:rsidRDefault="0094644B" w:rsidP="00FB5086">
            <w:pPr>
              <w:rPr>
                <w:sz w:val="20"/>
                <w:szCs w:val="20"/>
              </w:rPr>
            </w:pPr>
            <w:r w:rsidRPr="00FA3F57">
              <w:rPr>
                <w:sz w:val="20"/>
                <w:szCs w:val="20"/>
              </w:rPr>
              <w:t>351,750 (3 million EUR)</w:t>
            </w:r>
          </w:p>
        </w:tc>
      </w:tr>
      <w:tr w:rsidR="0094644B" w:rsidRPr="00F07779" w14:paraId="7098346D" w14:textId="77777777" w:rsidTr="00FB5086">
        <w:tc>
          <w:tcPr>
            <w:tcW w:w="2973" w:type="dxa"/>
          </w:tcPr>
          <w:p w14:paraId="15C0C2F4" w14:textId="77777777" w:rsidR="0094644B" w:rsidRPr="00FA3F57" w:rsidRDefault="0094644B" w:rsidP="00FB5086">
            <w:pPr>
              <w:rPr>
                <w:sz w:val="20"/>
                <w:szCs w:val="20"/>
              </w:rPr>
            </w:pPr>
            <w:r w:rsidRPr="00FA3F57">
              <w:rPr>
                <w:sz w:val="20"/>
                <w:szCs w:val="20"/>
              </w:rPr>
              <w:lastRenderedPageBreak/>
              <w:t>Planned investments for 2026.</w:t>
            </w:r>
            <w:r w:rsidRPr="00FA3F57">
              <w:rPr>
                <w:sz w:val="20"/>
                <w:szCs w:val="20"/>
              </w:rPr>
              <w:br/>
              <w:t>(in thousands of RSD)</w:t>
            </w:r>
          </w:p>
        </w:tc>
        <w:tc>
          <w:tcPr>
            <w:tcW w:w="5669" w:type="dxa"/>
          </w:tcPr>
          <w:p w14:paraId="1F03D1E6" w14:textId="77777777" w:rsidR="0094644B" w:rsidRPr="00FA3F57" w:rsidRDefault="0094644B" w:rsidP="00FB5086">
            <w:pPr>
              <w:rPr>
                <w:sz w:val="20"/>
                <w:szCs w:val="20"/>
              </w:rPr>
            </w:pPr>
            <w:r w:rsidRPr="00FA3F57">
              <w:rPr>
                <w:sz w:val="20"/>
                <w:szCs w:val="20"/>
              </w:rPr>
              <w:t>10</w:t>
            </w:r>
            <w:r w:rsidRPr="00F07779">
              <w:rPr>
                <w:sz w:val="20"/>
                <w:szCs w:val="20"/>
              </w:rPr>
              <w:t>,</w:t>
            </w:r>
            <w:r w:rsidRPr="00FA3F57">
              <w:rPr>
                <w:sz w:val="20"/>
                <w:szCs w:val="20"/>
              </w:rPr>
              <w:t>084</w:t>
            </w:r>
            <w:r w:rsidRPr="00FA3F57" w:rsidDel="00EC5CAB">
              <w:rPr>
                <w:sz w:val="20"/>
                <w:szCs w:val="20"/>
              </w:rPr>
              <w:t xml:space="preserve"> </w:t>
            </w:r>
            <w:r w:rsidRPr="00FA3F57">
              <w:rPr>
                <w:sz w:val="20"/>
                <w:szCs w:val="20"/>
              </w:rPr>
              <w:t>(own funds of EMS JSC)</w:t>
            </w:r>
          </w:p>
        </w:tc>
      </w:tr>
      <w:tr w:rsidR="0094644B" w:rsidRPr="00F07779" w14:paraId="6C819079" w14:textId="77777777" w:rsidTr="00FB5086">
        <w:tc>
          <w:tcPr>
            <w:tcW w:w="2973" w:type="dxa"/>
          </w:tcPr>
          <w:p w14:paraId="1A202B91" w14:textId="77777777" w:rsidR="0094644B" w:rsidRPr="00FA3F57" w:rsidRDefault="0094644B" w:rsidP="00FB5086">
            <w:pPr>
              <w:rPr>
                <w:sz w:val="20"/>
                <w:szCs w:val="20"/>
              </w:rPr>
            </w:pPr>
            <w:r w:rsidRPr="00FA3F57">
              <w:rPr>
                <w:sz w:val="20"/>
                <w:szCs w:val="20"/>
              </w:rPr>
              <w:t>Planned investments for 2027.</w:t>
            </w:r>
            <w:r w:rsidRPr="00FA3F57">
              <w:rPr>
                <w:sz w:val="20"/>
                <w:szCs w:val="20"/>
              </w:rPr>
              <w:br/>
              <w:t>(in thousands of RSD)</w:t>
            </w:r>
          </w:p>
        </w:tc>
        <w:tc>
          <w:tcPr>
            <w:tcW w:w="5669" w:type="dxa"/>
          </w:tcPr>
          <w:p w14:paraId="5F3417CA" w14:textId="77777777" w:rsidR="0094644B" w:rsidRPr="00FA3F57" w:rsidRDefault="0094644B" w:rsidP="00FB5086">
            <w:pPr>
              <w:rPr>
                <w:sz w:val="20"/>
                <w:szCs w:val="20"/>
              </w:rPr>
            </w:pPr>
            <w:r w:rsidRPr="00FA3F57">
              <w:rPr>
                <w:sz w:val="20"/>
                <w:szCs w:val="20"/>
              </w:rPr>
              <w:t>41</w:t>
            </w:r>
            <w:r w:rsidRPr="00F07779">
              <w:rPr>
                <w:sz w:val="20"/>
                <w:szCs w:val="20"/>
              </w:rPr>
              <w:t>,</w:t>
            </w:r>
            <w:r w:rsidRPr="00FA3F57">
              <w:rPr>
                <w:sz w:val="20"/>
                <w:szCs w:val="20"/>
              </w:rPr>
              <w:t>624</w:t>
            </w:r>
            <w:r w:rsidRPr="00FA3F57" w:rsidDel="00EC5CAB">
              <w:rPr>
                <w:sz w:val="20"/>
                <w:szCs w:val="20"/>
              </w:rPr>
              <w:t xml:space="preserve"> </w:t>
            </w:r>
            <w:r w:rsidRPr="00FA3F57">
              <w:rPr>
                <w:sz w:val="20"/>
                <w:szCs w:val="20"/>
              </w:rPr>
              <w:t>(own funds of EMS JSC)</w:t>
            </w:r>
          </w:p>
        </w:tc>
      </w:tr>
      <w:tr w:rsidR="0094644B" w:rsidRPr="00F07779" w14:paraId="58B812CE" w14:textId="77777777" w:rsidTr="00FB5086">
        <w:tc>
          <w:tcPr>
            <w:tcW w:w="2973" w:type="dxa"/>
          </w:tcPr>
          <w:p w14:paraId="419067F8" w14:textId="77777777" w:rsidR="0094644B" w:rsidRPr="00FA3F57" w:rsidRDefault="0094644B" w:rsidP="00FB5086">
            <w:pPr>
              <w:rPr>
                <w:sz w:val="20"/>
                <w:szCs w:val="20"/>
              </w:rPr>
            </w:pPr>
            <w:r w:rsidRPr="00FA3F57">
              <w:rPr>
                <w:sz w:val="20"/>
                <w:szCs w:val="20"/>
              </w:rPr>
              <w:t>Planned investments for 2028.</w:t>
            </w:r>
            <w:r w:rsidRPr="00FA3F57">
              <w:rPr>
                <w:sz w:val="20"/>
                <w:szCs w:val="20"/>
              </w:rPr>
              <w:br/>
              <w:t>(in thousands of RSD)</w:t>
            </w:r>
          </w:p>
        </w:tc>
        <w:tc>
          <w:tcPr>
            <w:tcW w:w="5669" w:type="dxa"/>
          </w:tcPr>
          <w:p w14:paraId="5BF1723A" w14:textId="77777777" w:rsidR="0094644B" w:rsidRPr="00FA3F57" w:rsidRDefault="0094644B" w:rsidP="00FB5086">
            <w:pPr>
              <w:rPr>
                <w:sz w:val="20"/>
                <w:szCs w:val="20"/>
              </w:rPr>
            </w:pPr>
            <w:r w:rsidRPr="00FA3F57">
              <w:rPr>
                <w:sz w:val="20"/>
                <w:szCs w:val="20"/>
              </w:rPr>
              <w:t>150,080 (own funds of EMS JSC)</w:t>
            </w:r>
          </w:p>
        </w:tc>
      </w:tr>
    </w:tbl>
    <w:p w14:paraId="28B64CB8" w14:textId="77777777" w:rsidR="0094644B" w:rsidRPr="00F07779" w:rsidRDefault="0094644B" w:rsidP="0094644B"/>
    <w:tbl>
      <w:tblPr>
        <w:tblStyle w:val="TableGrid"/>
        <w:tblW w:w="0" w:type="auto"/>
        <w:tblLook w:val="04A0" w:firstRow="1" w:lastRow="0" w:firstColumn="1" w:lastColumn="0" w:noHBand="0" w:noVBand="1"/>
      </w:tblPr>
      <w:tblGrid>
        <w:gridCol w:w="2973"/>
        <w:gridCol w:w="5669"/>
      </w:tblGrid>
      <w:tr w:rsidR="0094644B" w:rsidRPr="00F07779" w14:paraId="505CAC39" w14:textId="77777777" w:rsidTr="00FB5086">
        <w:tc>
          <w:tcPr>
            <w:tcW w:w="2973" w:type="dxa"/>
            <w:shd w:val="clear" w:color="auto" w:fill="D0CECE" w:themeFill="background2" w:themeFillShade="E6"/>
          </w:tcPr>
          <w:p w14:paraId="74A9E730" w14:textId="77777777" w:rsidR="0094644B" w:rsidRPr="00FA3F57" w:rsidRDefault="0094644B" w:rsidP="00FB5086">
            <w:pPr>
              <w:keepNext/>
              <w:rPr>
                <w:sz w:val="20"/>
                <w:szCs w:val="20"/>
              </w:rPr>
            </w:pPr>
            <w:r w:rsidRPr="00FA3F57">
              <w:rPr>
                <w:sz w:val="20"/>
                <w:szCs w:val="20"/>
              </w:rPr>
              <w:t>Activity EL7.2</w:t>
            </w:r>
          </w:p>
        </w:tc>
        <w:tc>
          <w:tcPr>
            <w:tcW w:w="5669" w:type="dxa"/>
            <w:shd w:val="clear" w:color="auto" w:fill="D0CECE" w:themeFill="background2" w:themeFillShade="E6"/>
          </w:tcPr>
          <w:p w14:paraId="35170D0E" w14:textId="77777777" w:rsidR="0094644B" w:rsidRPr="00FA3F57" w:rsidRDefault="0094644B" w:rsidP="00FB5086">
            <w:pPr>
              <w:keepNext/>
              <w:rPr>
                <w:sz w:val="20"/>
                <w:szCs w:val="20"/>
              </w:rPr>
            </w:pPr>
            <w:r w:rsidRPr="00FA3F57">
              <w:rPr>
                <w:sz w:val="20"/>
                <w:szCs w:val="20"/>
              </w:rPr>
              <w:t>Investment projects for the modernization of the transmission system</w:t>
            </w:r>
          </w:p>
        </w:tc>
      </w:tr>
      <w:tr w:rsidR="0094644B" w:rsidRPr="00F07779" w14:paraId="2BD6000B" w14:textId="77777777" w:rsidTr="00FB5086">
        <w:tc>
          <w:tcPr>
            <w:tcW w:w="2973" w:type="dxa"/>
            <w:shd w:val="clear" w:color="auto" w:fill="FFF2CC" w:themeFill="accent4" w:themeFillTint="33"/>
          </w:tcPr>
          <w:p w14:paraId="0E47F441" w14:textId="77777777" w:rsidR="0094644B" w:rsidRPr="00FA3F57" w:rsidRDefault="0094644B" w:rsidP="00FB5086">
            <w:pPr>
              <w:keepNext/>
              <w:rPr>
                <w:sz w:val="20"/>
                <w:szCs w:val="20"/>
              </w:rPr>
            </w:pPr>
            <w:r w:rsidRPr="00FA3F57">
              <w:rPr>
                <w:sz w:val="20"/>
                <w:szCs w:val="20"/>
              </w:rPr>
              <w:t>Name of the project</w:t>
            </w:r>
          </w:p>
        </w:tc>
        <w:tc>
          <w:tcPr>
            <w:tcW w:w="5669" w:type="dxa"/>
            <w:shd w:val="clear" w:color="auto" w:fill="FFF2CC" w:themeFill="accent4" w:themeFillTint="33"/>
          </w:tcPr>
          <w:p w14:paraId="79722A84" w14:textId="77777777" w:rsidR="0094644B" w:rsidRPr="00FA3F57" w:rsidRDefault="0094644B" w:rsidP="00FB5086">
            <w:pPr>
              <w:keepNext/>
              <w:rPr>
                <w:sz w:val="20"/>
                <w:szCs w:val="20"/>
              </w:rPr>
            </w:pPr>
            <w:r w:rsidRPr="00FA3F57">
              <w:rPr>
                <w:sz w:val="20"/>
                <w:szCs w:val="20"/>
              </w:rPr>
              <w:t>Installation of a variable shunt reactor at EMS JSC facilities</w:t>
            </w:r>
          </w:p>
        </w:tc>
      </w:tr>
      <w:tr w:rsidR="0094644B" w:rsidRPr="00F07779" w14:paraId="033E539E" w14:textId="77777777" w:rsidTr="00FB5086">
        <w:tc>
          <w:tcPr>
            <w:tcW w:w="2973" w:type="dxa"/>
            <w:shd w:val="clear" w:color="auto" w:fill="D9E2F3" w:themeFill="accent1" w:themeFillTint="33"/>
          </w:tcPr>
          <w:p w14:paraId="4BCC63A9" w14:textId="77777777" w:rsidR="0094644B" w:rsidRPr="00FA3F57" w:rsidRDefault="0094644B" w:rsidP="00FB5086">
            <w:pPr>
              <w:keepNext/>
              <w:rPr>
                <w:sz w:val="20"/>
                <w:szCs w:val="20"/>
              </w:rPr>
            </w:pPr>
            <w:r w:rsidRPr="00FA3F57">
              <w:rPr>
                <w:sz w:val="20"/>
                <w:szCs w:val="20"/>
              </w:rPr>
              <w:t>Name of the investment</w:t>
            </w:r>
          </w:p>
        </w:tc>
        <w:tc>
          <w:tcPr>
            <w:tcW w:w="5669" w:type="dxa"/>
            <w:shd w:val="clear" w:color="auto" w:fill="D9E2F3" w:themeFill="accent1" w:themeFillTint="33"/>
          </w:tcPr>
          <w:p w14:paraId="7B18370A" w14:textId="77777777" w:rsidR="0094644B" w:rsidRPr="00FA3F57" w:rsidRDefault="0094644B" w:rsidP="00FB5086">
            <w:pPr>
              <w:keepNext/>
              <w:rPr>
                <w:sz w:val="20"/>
                <w:szCs w:val="20"/>
              </w:rPr>
            </w:pPr>
            <w:r w:rsidRPr="00FA3F57">
              <w:rPr>
                <w:sz w:val="20"/>
                <w:szCs w:val="20"/>
              </w:rPr>
              <w:t>Installation of a variable shunt reactor at the TS Belgrade 20</w:t>
            </w:r>
          </w:p>
          <w:p w14:paraId="6B046301" w14:textId="77777777" w:rsidR="0094644B" w:rsidRPr="00F07779" w:rsidRDefault="0094644B" w:rsidP="00FB5086">
            <w:pPr>
              <w:keepNext/>
              <w:rPr>
                <w:sz w:val="20"/>
                <w:szCs w:val="20"/>
              </w:rPr>
            </w:pPr>
            <w:r w:rsidRPr="00FA3F57">
              <w:rPr>
                <w:sz w:val="20"/>
                <w:szCs w:val="20"/>
              </w:rPr>
              <w:t xml:space="preserve">Installation of a variable shunt reactor at the TS </w:t>
            </w:r>
            <w:proofErr w:type="spellStart"/>
            <w:r w:rsidRPr="00FA3F57">
              <w:rPr>
                <w:sz w:val="20"/>
                <w:szCs w:val="20"/>
              </w:rPr>
              <w:t>Kraljevo</w:t>
            </w:r>
            <w:proofErr w:type="spellEnd"/>
            <w:r w:rsidRPr="00FA3F57">
              <w:rPr>
                <w:sz w:val="20"/>
                <w:szCs w:val="20"/>
              </w:rPr>
              <w:t xml:space="preserve"> 3</w:t>
            </w:r>
          </w:p>
          <w:p w14:paraId="22571E9E" w14:textId="77777777" w:rsidR="0094644B" w:rsidRPr="00FA3F57" w:rsidRDefault="0094644B" w:rsidP="00FB5086">
            <w:pPr>
              <w:keepNext/>
              <w:rPr>
                <w:sz w:val="20"/>
                <w:szCs w:val="20"/>
              </w:rPr>
            </w:pPr>
            <w:r w:rsidRPr="00FA3F57">
              <w:rPr>
                <w:sz w:val="20"/>
                <w:szCs w:val="20"/>
              </w:rPr>
              <w:t>Installation of a variable shunt reactor at the TS Novi Sad 3</w:t>
            </w:r>
          </w:p>
        </w:tc>
      </w:tr>
      <w:tr w:rsidR="0094644B" w:rsidRPr="00F07779" w14:paraId="1F258025" w14:textId="77777777" w:rsidTr="00FB5086">
        <w:tc>
          <w:tcPr>
            <w:tcW w:w="2973" w:type="dxa"/>
          </w:tcPr>
          <w:p w14:paraId="091A7B11" w14:textId="77777777" w:rsidR="0094644B" w:rsidRPr="00FA3F57" w:rsidRDefault="0094644B" w:rsidP="00FB5086">
            <w:pPr>
              <w:rPr>
                <w:sz w:val="20"/>
                <w:szCs w:val="20"/>
              </w:rPr>
            </w:pPr>
            <w:r w:rsidRPr="00FA3F57">
              <w:rPr>
                <w:sz w:val="20"/>
                <w:szCs w:val="20"/>
              </w:rPr>
              <w:t>Short description of the investment</w:t>
            </w:r>
          </w:p>
        </w:tc>
        <w:tc>
          <w:tcPr>
            <w:tcW w:w="5669" w:type="dxa"/>
          </w:tcPr>
          <w:p w14:paraId="57EFE42A" w14:textId="77777777" w:rsidR="0094644B" w:rsidRPr="00F07779" w:rsidRDefault="0094644B" w:rsidP="00FB5086">
            <w:pPr>
              <w:rPr>
                <w:sz w:val="20"/>
                <w:szCs w:val="20"/>
              </w:rPr>
            </w:pPr>
            <w:r w:rsidRPr="00F07779">
              <w:rPr>
                <w:sz w:val="20"/>
                <w:szCs w:val="20"/>
              </w:rPr>
              <w:t xml:space="preserve">Transmission system operators in the region initiated the development of a study in 2018 aimed at proposing a solution to the subject issue at the regional level. The study proposed that, regarding Serbia’s transmission system, a 100 MVAr variable shunt reactor be installed at TS Vranje 4. </w:t>
            </w:r>
            <w:r w:rsidRPr="00FA3F57">
              <w:rPr>
                <w:sz w:val="20"/>
                <w:szCs w:val="20"/>
              </w:rPr>
              <w:t xml:space="preserve">After a more detailed examination of the problem, a decision was made to increase the power to 200 </w:t>
            </w:r>
            <w:proofErr w:type="spellStart"/>
            <w:r w:rsidRPr="00FA3F57">
              <w:rPr>
                <w:sz w:val="20"/>
                <w:szCs w:val="20"/>
              </w:rPr>
              <w:t>MVAr.As</w:t>
            </w:r>
            <w:proofErr w:type="spellEnd"/>
            <w:r w:rsidRPr="00FA3F57">
              <w:rPr>
                <w:sz w:val="20"/>
                <w:szCs w:val="20"/>
              </w:rPr>
              <w:t xml:space="preserve"> it was concluded that this reactor would not be able to solve the problems that would arise in the Serbian transmission system, EMS JSC launched a new study in 2023, focused exclusively on the conditions in the Serbian system. During 2024, the first results of this study were obtained, recommending the installation of variable shunt reactors with a power of 250 MVAr in the following EMS JSC plants: TS Belgrade 20, TS </w:t>
            </w:r>
            <w:proofErr w:type="spellStart"/>
            <w:r w:rsidRPr="00FA3F57">
              <w:rPr>
                <w:sz w:val="20"/>
                <w:szCs w:val="20"/>
              </w:rPr>
              <w:t>Kraljevo</w:t>
            </w:r>
            <w:proofErr w:type="spellEnd"/>
            <w:r w:rsidRPr="00FA3F57">
              <w:rPr>
                <w:sz w:val="20"/>
                <w:szCs w:val="20"/>
              </w:rPr>
              <w:t xml:space="preserve"> 3, and TS Novi Sad 3.</w:t>
            </w:r>
          </w:p>
          <w:p w14:paraId="2910F771" w14:textId="77777777" w:rsidR="0094644B" w:rsidRPr="00FA3F57" w:rsidRDefault="0094644B" w:rsidP="00FB5086">
            <w:pPr>
              <w:rPr>
                <w:sz w:val="20"/>
                <w:szCs w:val="20"/>
              </w:rPr>
            </w:pPr>
            <w:r w:rsidRPr="00FA3F57">
              <w:rPr>
                <w:sz w:val="20"/>
                <w:szCs w:val="20"/>
              </w:rPr>
              <w:t>Expected dynamics of project implementation:</w:t>
            </w:r>
          </w:p>
          <w:p w14:paraId="0AF16C97" w14:textId="77777777" w:rsidR="0094644B" w:rsidRPr="00FA3F57" w:rsidRDefault="0094644B" w:rsidP="00FB5086">
            <w:pPr>
              <w:rPr>
                <w:sz w:val="20"/>
                <w:szCs w:val="20"/>
              </w:rPr>
            </w:pPr>
            <w:r w:rsidRPr="00FA3F57">
              <w:rPr>
                <w:sz w:val="20"/>
                <w:szCs w:val="20"/>
              </w:rPr>
              <w:t>2026. The beginning of the project</w:t>
            </w:r>
          </w:p>
          <w:p w14:paraId="6ADF9BB8" w14:textId="77777777" w:rsidR="0094644B" w:rsidRPr="00FA3F57" w:rsidRDefault="0094644B" w:rsidP="00FB5086">
            <w:pPr>
              <w:rPr>
                <w:sz w:val="20"/>
                <w:szCs w:val="20"/>
              </w:rPr>
            </w:pPr>
            <w:r w:rsidRPr="00FA3F57">
              <w:rPr>
                <w:sz w:val="20"/>
                <w:szCs w:val="20"/>
              </w:rPr>
              <w:t>2027. Preliminary design</w:t>
            </w:r>
          </w:p>
          <w:p w14:paraId="1F65CAE5" w14:textId="77777777" w:rsidR="0094644B" w:rsidRPr="00FA3F57" w:rsidRDefault="0094644B" w:rsidP="00FB5086">
            <w:pPr>
              <w:rPr>
                <w:sz w:val="20"/>
                <w:szCs w:val="20"/>
              </w:rPr>
            </w:pPr>
            <w:r w:rsidRPr="00FA3F57">
              <w:rPr>
                <w:sz w:val="20"/>
                <w:szCs w:val="20"/>
              </w:rPr>
              <w:t>2028. Construction</w:t>
            </w:r>
          </w:p>
        </w:tc>
      </w:tr>
      <w:tr w:rsidR="0094644B" w:rsidRPr="00F07779" w14:paraId="2E6959F5" w14:textId="77777777" w:rsidTr="00FB5086">
        <w:tc>
          <w:tcPr>
            <w:tcW w:w="2973" w:type="dxa"/>
          </w:tcPr>
          <w:p w14:paraId="7CB1D3D2" w14:textId="77777777" w:rsidR="0094644B" w:rsidRPr="00FA3F57" w:rsidRDefault="0094644B" w:rsidP="00FB5086">
            <w:pPr>
              <w:rPr>
                <w:sz w:val="20"/>
                <w:szCs w:val="20"/>
              </w:rPr>
            </w:pPr>
            <w:r w:rsidRPr="00FA3F57">
              <w:rPr>
                <w:sz w:val="20"/>
                <w:szCs w:val="20"/>
              </w:rPr>
              <w:t>Institutions responsible for the implementation of measures and activities</w:t>
            </w:r>
          </w:p>
        </w:tc>
        <w:tc>
          <w:tcPr>
            <w:tcW w:w="5669" w:type="dxa"/>
          </w:tcPr>
          <w:p w14:paraId="4D180AF6" w14:textId="77777777" w:rsidR="0094644B" w:rsidRPr="00FA3F57" w:rsidRDefault="0094644B" w:rsidP="00FB5086">
            <w:pPr>
              <w:rPr>
                <w:sz w:val="20"/>
                <w:szCs w:val="20"/>
              </w:rPr>
            </w:pPr>
            <w:r w:rsidRPr="00FA3F57">
              <w:rPr>
                <w:sz w:val="20"/>
                <w:szCs w:val="20"/>
              </w:rPr>
              <w:t>EMS JSC Belgrade</w:t>
            </w:r>
          </w:p>
        </w:tc>
      </w:tr>
      <w:tr w:rsidR="0094644B" w:rsidRPr="00F07779" w14:paraId="1D70D3E1" w14:textId="77777777" w:rsidTr="00FB5086">
        <w:tc>
          <w:tcPr>
            <w:tcW w:w="2973" w:type="dxa"/>
          </w:tcPr>
          <w:p w14:paraId="1AACD6A3" w14:textId="77777777" w:rsidR="0094644B" w:rsidRPr="00FA3F57" w:rsidRDefault="0094644B" w:rsidP="00FB5086">
            <w:pPr>
              <w:rPr>
                <w:sz w:val="20"/>
                <w:szCs w:val="20"/>
              </w:rPr>
            </w:pPr>
            <w:r w:rsidRPr="00FA3F57">
              <w:rPr>
                <w:sz w:val="20"/>
                <w:szCs w:val="20"/>
              </w:rPr>
              <w:t>Institutions responsible for monitoring implementation and reporting on the realization</w:t>
            </w:r>
          </w:p>
        </w:tc>
        <w:tc>
          <w:tcPr>
            <w:tcW w:w="5669" w:type="dxa"/>
          </w:tcPr>
          <w:p w14:paraId="73B2DB64" w14:textId="77777777" w:rsidR="0094644B" w:rsidRPr="00F07779" w:rsidRDefault="0094644B" w:rsidP="00FB5086">
            <w:pPr>
              <w:rPr>
                <w:sz w:val="20"/>
                <w:szCs w:val="20"/>
              </w:rPr>
            </w:pPr>
            <w:r w:rsidRPr="00FA3F57">
              <w:rPr>
                <w:sz w:val="20"/>
                <w:szCs w:val="20"/>
              </w:rPr>
              <w:t>EMS JSC Belgrade</w:t>
            </w:r>
          </w:p>
          <w:p w14:paraId="2F9783AA" w14:textId="77777777" w:rsidR="0094644B" w:rsidRPr="00FA3F57" w:rsidRDefault="0094644B" w:rsidP="00FB5086">
            <w:pPr>
              <w:rPr>
                <w:sz w:val="20"/>
                <w:szCs w:val="20"/>
              </w:rPr>
            </w:pPr>
            <w:r w:rsidRPr="00FA3F57">
              <w:rPr>
                <w:sz w:val="20"/>
                <w:szCs w:val="20"/>
              </w:rPr>
              <w:t>Republic Commission for Energy Networks</w:t>
            </w:r>
          </w:p>
          <w:p w14:paraId="62A2DFCE" w14:textId="77777777" w:rsidR="0094644B" w:rsidRPr="00FA3F57" w:rsidRDefault="0094644B" w:rsidP="00FB5086">
            <w:pPr>
              <w:rPr>
                <w:sz w:val="20"/>
                <w:szCs w:val="20"/>
              </w:rPr>
            </w:pPr>
            <w:r w:rsidRPr="00FA3F57">
              <w:rPr>
                <w:sz w:val="20"/>
                <w:szCs w:val="20"/>
              </w:rPr>
              <w:t>Ministry of Mining and Energy</w:t>
            </w:r>
          </w:p>
        </w:tc>
      </w:tr>
      <w:tr w:rsidR="0094644B" w:rsidRPr="00F07779" w14:paraId="70E03F78" w14:textId="77777777" w:rsidTr="00FB5086">
        <w:tc>
          <w:tcPr>
            <w:tcW w:w="2973" w:type="dxa"/>
          </w:tcPr>
          <w:p w14:paraId="0C7D23C0" w14:textId="77777777" w:rsidR="0094644B" w:rsidRPr="00FA3F57" w:rsidRDefault="0094644B" w:rsidP="00FB5086">
            <w:pPr>
              <w:rPr>
                <w:sz w:val="20"/>
                <w:szCs w:val="20"/>
              </w:rPr>
            </w:pPr>
            <w:r w:rsidRPr="00FA3F57">
              <w:rPr>
                <w:sz w:val="20"/>
                <w:szCs w:val="20"/>
              </w:rPr>
              <w:t>Year of the start of the investment</w:t>
            </w:r>
          </w:p>
        </w:tc>
        <w:tc>
          <w:tcPr>
            <w:tcW w:w="5669" w:type="dxa"/>
          </w:tcPr>
          <w:p w14:paraId="37D13B64" w14:textId="77777777" w:rsidR="0094644B" w:rsidRPr="00FA3F57" w:rsidRDefault="0094644B" w:rsidP="00FB5086">
            <w:pPr>
              <w:rPr>
                <w:sz w:val="20"/>
                <w:szCs w:val="20"/>
              </w:rPr>
            </w:pPr>
            <w:r w:rsidRPr="00FA3F57">
              <w:rPr>
                <w:sz w:val="20"/>
                <w:szCs w:val="20"/>
              </w:rPr>
              <w:t>2025.</w:t>
            </w:r>
          </w:p>
        </w:tc>
      </w:tr>
      <w:tr w:rsidR="0094644B" w:rsidRPr="00F07779" w14:paraId="4C671DC5" w14:textId="77777777" w:rsidTr="00FB5086">
        <w:tc>
          <w:tcPr>
            <w:tcW w:w="2973" w:type="dxa"/>
          </w:tcPr>
          <w:p w14:paraId="65EFDE1F" w14:textId="77777777" w:rsidR="0094644B" w:rsidRPr="00FA3F57" w:rsidRDefault="0094644B" w:rsidP="00FB5086">
            <w:pPr>
              <w:rPr>
                <w:sz w:val="20"/>
                <w:szCs w:val="20"/>
              </w:rPr>
            </w:pPr>
            <w:r w:rsidRPr="00FA3F57">
              <w:rPr>
                <w:sz w:val="20"/>
                <w:szCs w:val="20"/>
              </w:rPr>
              <w:t>Year of completion of project funding</w:t>
            </w:r>
          </w:p>
        </w:tc>
        <w:tc>
          <w:tcPr>
            <w:tcW w:w="5669" w:type="dxa"/>
          </w:tcPr>
          <w:p w14:paraId="3E292B18" w14:textId="77777777" w:rsidR="0094644B" w:rsidRPr="00FA3F57" w:rsidRDefault="0094644B" w:rsidP="00FB5086">
            <w:pPr>
              <w:rPr>
                <w:sz w:val="20"/>
                <w:szCs w:val="20"/>
              </w:rPr>
            </w:pPr>
            <w:r w:rsidRPr="00FA3F57">
              <w:rPr>
                <w:sz w:val="20"/>
                <w:szCs w:val="20"/>
              </w:rPr>
              <w:t>2029.</w:t>
            </w:r>
          </w:p>
        </w:tc>
      </w:tr>
      <w:tr w:rsidR="0094644B" w:rsidRPr="00F07779" w14:paraId="205C5C72" w14:textId="77777777" w:rsidTr="00FB5086">
        <w:tc>
          <w:tcPr>
            <w:tcW w:w="2973" w:type="dxa"/>
          </w:tcPr>
          <w:p w14:paraId="2AEDF78B" w14:textId="77777777" w:rsidR="0094644B" w:rsidRPr="00FA3F57" w:rsidRDefault="0094644B" w:rsidP="00FB5086">
            <w:pPr>
              <w:rPr>
                <w:sz w:val="20"/>
                <w:szCs w:val="20"/>
              </w:rPr>
            </w:pPr>
            <w:r w:rsidRPr="00FA3F57">
              <w:rPr>
                <w:sz w:val="20"/>
                <w:szCs w:val="20"/>
              </w:rPr>
              <w:t>Current estimated value of the investment</w:t>
            </w:r>
            <w:r w:rsidRPr="00FA3F57">
              <w:rPr>
                <w:sz w:val="20"/>
                <w:szCs w:val="20"/>
              </w:rPr>
              <w:br/>
              <w:t>(in thousands of RSD)</w:t>
            </w:r>
          </w:p>
        </w:tc>
        <w:tc>
          <w:tcPr>
            <w:tcW w:w="5669" w:type="dxa"/>
          </w:tcPr>
          <w:p w14:paraId="063E5555" w14:textId="77777777" w:rsidR="0094644B" w:rsidRPr="00FA3F57" w:rsidRDefault="0094644B" w:rsidP="00FB5086">
            <w:pPr>
              <w:rPr>
                <w:sz w:val="20"/>
                <w:szCs w:val="20"/>
              </w:rPr>
            </w:pPr>
            <w:r w:rsidRPr="00FA3F57">
              <w:rPr>
                <w:sz w:val="20"/>
                <w:szCs w:val="20"/>
              </w:rPr>
              <w:t>4,947,950</w:t>
            </w:r>
            <w:r w:rsidRPr="00FA3F57">
              <w:rPr>
                <w:rStyle w:val="FootnoteReference"/>
                <w:sz w:val="20"/>
                <w:szCs w:val="20"/>
              </w:rPr>
              <w:footnoteReference w:id="21"/>
            </w:r>
            <w:r w:rsidRPr="00FA3F57">
              <w:rPr>
                <w:sz w:val="20"/>
                <w:szCs w:val="20"/>
              </w:rPr>
              <w:t xml:space="preserve"> (42.2 million EUR)</w:t>
            </w:r>
          </w:p>
        </w:tc>
      </w:tr>
      <w:tr w:rsidR="0094644B" w:rsidRPr="00F07779" w14:paraId="51A94863" w14:textId="77777777" w:rsidTr="00FB5086">
        <w:tc>
          <w:tcPr>
            <w:tcW w:w="2973" w:type="dxa"/>
          </w:tcPr>
          <w:p w14:paraId="12534E98" w14:textId="77777777" w:rsidR="0094644B" w:rsidRPr="00FA3F57" w:rsidRDefault="0094644B" w:rsidP="00FB5086">
            <w:pPr>
              <w:rPr>
                <w:sz w:val="20"/>
                <w:szCs w:val="20"/>
              </w:rPr>
            </w:pPr>
            <w:r w:rsidRPr="00FA3F57">
              <w:rPr>
                <w:sz w:val="20"/>
                <w:szCs w:val="20"/>
              </w:rPr>
              <w:t>Planned investments for 2026.</w:t>
            </w:r>
            <w:r w:rsidRPr="00FA3F57">
              <w:rPr>
                <w:sz w:val="20"/>
                <w:szCs w:val="20"/>
              </w:rPr>
              <w:br/>
              <w:t>(in thousands of RSD)</w:t>
            </w:r>
          </w:p>
        </w:tc>
        <w:tc>
          <w:tcPr>
            <w:tcW w:w="5669" w:type="dxa"/>
          </w:tcPr>
          <w:p w14:paraId="20FAD425" w14:textId="77777777" w:rsidR="0094644B" w:rsidRPr="00FA3F57" w:rsidRDefault="0094644B" w:rsidP="00FB5086">
            <w:pPr>
              <w:rPr>
                <w:sz w:val="20"/>
                <w:szCs w:val="20"/>
              </w:rPr>
            </w:pPr>
            <w:r w:rsidRPr="00FA3F57">
              <w:rPr>
                <w:sz w:val="20"/>
                <w:szCs w:val="20"/>
              </w:rPr>
              <w:t>8</w:t>
            </w:r>
            <w:r w:rsidRPr="00F07779">
              <w:rPr>
                <w:sz w:val="20"/>
                <w:szCs w:val="20"/>
              </w:rPr>
              <w:t>,</w:t>
            </w:r>
            <w:r w:rsidRPr="00FA3F57">
              <w:rPr>
                <w:sz w:val="20"/>
                <w:szCs w:val="20"/>
              </w:rPr>
              <w:t>943</w:t>
            </w:r>
            <w:r w:rsidRPr="00FA3F57" w:rsidDel="00EC5CAB">
              <w:rPr>
                <w:sz w:val="20"/>
                <w:szCs w:val="20"/>
              </w:rPr>
              <w:t xml:space="preserve"> </w:t>
            </w:r>
            <w:r w:rsidRPr="00FA3F57">
              <w:rPr>
                <w:sz w:val="20"/>
                <w:szCs w:val="20"/>
              </w:rPr>
              <w:t>(own funds of EMS JSC)</w:t>
            </w:r>
          </w:p>
        </w:tc>
      </w:tr>
      <w:tr w:rsidR="0094644B" w:rsidRPr="00F07779" w14:paraId="473700FE" w14:textId="77777777" w:rsidTr="00FB5086">
        <w:tc>
          <w:tcPr>
            <w:tcW w:w="2973" w:type="dxa"/>
          </w:tcPr>
          <w:p w14:paraId="664AD99A" w14:textId="77777777" w:rsidR="0094644B" w:rsidRPr="00FA3F57" w:rsidRDefault="0094644B" w:rsidP="00FB5086">
            <w:pPr>
              <w:rPr>
                <w:sz w:val="20"/>
                <w:szCs w:val="20"/>
              </w:rPr>
            </w:pPr>
            <w:r w:rsidRPr="00FA3F57">
              <w:rPr>
                <w:sz w:val="20"/>
                <w:szCs w:val="20"/>
              </w:rPr>
              <w:t>Planned investments for 2027.</w:t>
            </w:r>
            <w:r w:rsidRPr="00FA3F57">
              <w:rPr>
                <w:sz w:val="20"/>
                <w:szCs w:val="20"/>
              </w:rPr>
              <w:br/>
              <w:t>(in thousands of RSD)</w:t>
            </w:r>
          </w:p>
        </w:tc>
        <w:tc>
          <w:tcPr>
            <w:tcW w:w="5669" w:type="dxa"/>
          </w:tcPr>
          <w:p w14:paraId="608AC867" w14:textId="77777777" w:rsidR="0094644B" w:rsidRPr="00FA3F57" w:rsidRDefault="0094644B" w:rsidP="00FB5086">
            <w:pPr>
              <w:rPr>
                <w:sz w:val="20"/>
                <w:szCs w:val="20"/>
              </w:rPr>
            </w:pPr>
            <w:r w:rsidRPr="00FA3F57">
              <w:rPr>
                <w:sz w:val="20"/>
                <w:szCs w:val="20"/>
              </w:rPr>
              <w:t>11</w:t>
            </w:r>
            <w:r w:rsidRPr="00F07779">
              <w:rPr>
                <w:sz w:val="20"/>
                <w:szCs w:val="20"/>
              </w:rPr>
              <w:t>,</w:t>
            </w:r>
            <w:r w:rsidRPr="00FA3F57">
              <w:rPr>
                <w:sz w:val="20"/>
                <w:szCs w:val="20"/>
              </w:rPr>
              <w:t>924</w:t>
            </w:r>
            <w:r w:rsidRPr="00FA3F57" w:rsidDel="00EC5CAB">
              <w:rPr>
                <w:sz w:val="20"/>
                <w:szCs w:val="20"/>
              </w:rPr>
              <w:t xml:space="preserve"> </w:t>
            </w:r>
            <w:r w:rsidRPr="00FA3F57">
              <w:rPr>
                <w:sz w:val="20"/>
                <w:szCs w:val="20"/>
              </w:rPr>
              <w:t>(own funds of EMS JSC)</w:t>
            </w:r>
          </w:p>
        </w:tc>
      </w:tr>
      <w:tr w:rsidR="0094644B" w:rsidRPr="00F07779" w14:paraId="4CBB4C78" w14:textId="77777777" w:rsidTr="00FB5086">
        <w:tc>
          <w:tcPr>
            <w:tcW w:w="2973" w:type="dxa"/>
          </w:tcPr>
          <w:p w14:paraId="242DE77E" w14:textId="77777777" w:rsidR="0094644B" w:rsidRPr="00FA3F57" w:rsidRDefault="0094644B" w:rsidP="00FB5086">
            <w:pPr>
              <w:rPr>
                <w:sz w:val="20"/>
                <w:szCs w:val="20"/>
              </w:rPr>
            </w:pPr>
            <w:r w:rsidRPr="00FA3F57">
              <w:rPr>
                <w:sz w:val="20"/>
                <w:szCs w:val="20"/>
              </w:rPr>
              <w:t>Planned investments for 2028.</w:t>
            </w:r>
            <w:r w:rsidRPr="00FA3F57">
              <w:rPr>
                <w:sz w:val="20"/>
                <w:szCs w:val="20"/>
              </w:rPr>
              <w:br/>
              <w:t>(in thousands of RSD)</w:t>
            </w:r>
          </w:p>
        </w:tc>
        <w:tc>
          <w:tcPr>
            <w:tcW w:w="5669" w:type="dxa"/>
          </w:tcPr>
          <w:p w14:paraId="101690BD" w14:textId="77777777" w:rsidR="0094644B" w:rsidRPr="00FA3F57" w:rsidRDefault="0094644B" w:rsidP="00FB5086">
            <w:pPr>
              <w:rPr>
                <w:sz w:val="20"/>
                <w:szCs w:val="20"/>
              </w:rPr>
            </w:pPr>
            <w:r w:rsidRPr="00FA3F57">
              <w:rPr>
                <w:sz w:val="20"/>
                <w:szCs w:val="20"/>
              </w:rPr>
              <w:t>2</w:t>
            </w:r>
            <w:r w:rsidRPr="00F07779">
              <w:rPr>
                <w:sz w:val="20"/>
                <w:szCs w:val="20"/>
              </w:rPr>
              <w:t>,</w:t>
            </w:r>
            <w:r w:rsidRPr="00FA3F57">
              <w:rPr>
                <w:sz w:val="20"/>
                <w:szCs w:val="20"/>
              </w:rPr>
              <w:t>444</w:t>
            </w:r>
            <w:r w:rsidRPr="00F07779">
              <w:rPr>
                <w:sz w:val="20"/>
                <w:szCs w:val="20"/>
              </w:rPr>
              <w:t>,</w:t>
            </w:r>
            <w:r w:rsidRPr="00FA3F57">
              <w:rPr>
                <w:sz w:val="20"/>
                <w:szCs w:val="20"/>
              </w:rPr>
              <w:t>096</w:t>
            </w:r>
            <w:r w:rsidRPr="00FA3F57" w:rsidDel="00EC5CAB">
              <w:rPr>
                <w:sz w:val="20"/>
                <w:szCs w:val="20"/>
              </w:rPr>
              <w:t xml:space="preserve"> </w:t>
            </w:r>
            <w:r w:rsidRPr="00FA3F57">
              <w:rPr>
                <w:sz w:val="20"/>
                <w:szCs w:val="20"/>
              </w:rPr>
              <w:t>(own funds of EMS JSC)</w:t>
            </w:r>
          </w:p>
        </w:tc>
      </w:tr>
    </w:tbl>
    <w:p w14:paraId="48717F12" w14:textId="77777777" w:rsidR="0094644B" w:rsidRPr="00F07779" w:rsidRDefault="0094644B" w:rsidP="0094644B"/>
    <w:tbl>
      <w:tblPr>
        <w:tblStyle w:val="TableGrid"/>
        <w:tblW w:w="0" w:type="auto"/>
        <w:tblLook w:val="04A0" w:firstRow="1" w:lastRow="0" w:firstColumn="1" w:lastColumn="0" w:noHBand="0" w:noVBand="1"/>
      </w:tblPr>
      <w:tblGrid>
        <w:gridCol w:w="2973"/>
        <w:gridCol w:w="5669"/>
      </w:tblGrid>
      <w:tr w:rsidR="0094644B" w:rsidRPr="00F07779" w14:paraId="6BC12FAB" w14:textId="77777777" w:rsidTr="00FB5086">
        <w:tc>
          <w:tcPr>
            <w:tcW w:w="2973" w:type="dxa"/>
            <w:shd w:val="clear" w:color="auto" w:fill="D0CECE" w:themeFill="background2" w:themeFillShade="E6"/>
          </w:tcPr>
          <w:p w14:paraId="4524A975" w14:textId="77777777" w:rsidR="0094644B" w:rsidRPr="00FA3F57" w:rsidRDefault="0094644B" w:rsidP="00FB5086">
            <w:pPr>
              <w:keepNext/>
              <w:rPr>
                <w:sz w:val="20"/>
                <w:szCs w:val="20"/>
              </w:rPr>
            </w:pPr>
            <w:r w:rsidRPr="00FA3F57">
              <w:rPr>
                <w:sz w:val="20"/>
                <w:szCs w:val="20"/>
              </w:rPr>
              <w:lastRenderedPageBreak/>
              <w:t>Activity EL7.2</w:t>
            </w:r>
          </w:p>
        </w:tc>
        <w:tc>
          <w:tcPr>
            <w:tcW w:w="5669" w:type="dxa"/>
            <w:shd w:val="clear" w:color="auto" w:fill="D0CECE" w:themeFill="background2" w:themeFillShade="E6"/>
          </w:tcPr>
          <w:p w14:paraId="2A85D821" w14:textId="77777777" w:rsidR="0094644B" w:rsidRPr="00FA3F57" w:rsidRDefault="0094644B" w:rsidP="00FB5086">
            <w:pPr>
              <w:keepNext/>
              <w:rPr>
                <w:sz w:val="20"/>
                <w:szCs w:val="20"/>
              </w:rPr>
            </w:pPr>
            <w:r w:rsidRPr="00FA3F57">
              <w:rPr>
                <w:sz w:val="20"/>
                <w:szCs w:val="20"/>
              </w:rPr>
              <w:t>Investment projects for the modernization of the transmission system</w:t>
            </w:r>
          </w:p>
        </w:tc>
      </w:tr>
      <w:tr w:rsidR="0094644B" w:rsidRPr="00F07779" w14:paraId="4E7FC824" w14:textId="77777777" w:rsidTr="00FB5086">
        <w:tc>
          <w:tcPr>
            <w:tcW w:w="2973" w:type="dxa"/>
            <w:shd w:val="clear" w:color="auto" w:fill="FFF2CC" w:themeFill="accent4" w:themeFillTint="33"/>
          </w:tcPr>
          <w:p w14:paraId="6D4EB079" w14:textId="77777777" w:rsidR="0094644B" w:rsidRPr="00FA3F57" w:rsidRDefault="0094644B" w:rsidP="00FB5086">
            <w:pPr>
              <w:keepNext/>
              <w:rPr>
                <w:sz w:val="20"/>
                <w:szCs w:val="20"/>
              </w:rPr>
            </w:pPr>
            <w:r w:rsidRPr="00FA3F57">
              <w:rPr>
                <w:sz w:val="20"/>
                <w:szCs w:val="20"/>
              </w:rPr>
              <w:t>Name of the project</w:t>
            </w:r>
          </w:p>
        </w:tc>
        <w:tc>
          <w:tcPr>
            <w:tcW w:w="5669" w:type="dxa"/>
            <w:shd w:val="clear" w:color="auto" w:fill="FFF2CC" w:themeFill="accent4" w:themeFillTint="33"/>
          </w:tcPr>
          <w:p w14:paraId="7ED50DCF" w14:textId="77777777" w:rsidR="0094644B" w:rsidRPr="00FA3F57" w:rsidRDefault="0094644B" w:rsidP="00FB5086">
            <w:pPr>
              <w:keepNext/>
              <w:rPr>
                <w:sz w:val="20"/>
                <w:szCs w:val="20"/>
              </w:rPr>
            </w:pPr>
            <w:r w:rsidRPr="00FA3F57">
              <w:rPr>
                <w:sz w:val="20"/>
                <w:szCs w:val="20"/>
              </w:rPr>
              <w:t xml:space="preserve">OHL 2x400 kV TS </w:t>
            </w:r>
            <w:proofErr w:type="spellStart"/>
            <w:r w:rsidRPr="00FA3F57">
              <w:rPr>
                <w:sz w:val="20"/>
                <w:szCs w:val="20"/>
              </w:rPr>
              <w:t>Jagodina</w:t>
            </w:r>
            <w:proofErr w:type="spellEnd"/>
            <w:r w:rsidRPr="00FA3F57">
              <w:rPr>
                <w:sz w:val="20"/>
                <w:szCs w:val="20"/>
              </w:rPr>
              <w:t xml:space="preserve"> 4 – TS </w:t>
            </w:r>
            <w:proofErr w:type="spellStart"/>
            <w:r w:rsidRPr="00FA3F57">
              <w:rPr>
                <w:sz w:val="20"/>
                <w:szCs w:val="20"/>
              </w:rPr>
              <w:t>Požarevac</w:t>
            </w:r>
            <w:proofErr w:type="spellEnd"/>
            <w:r w:rsidRPr="00FA3F57">
              <w:rPr>
                <w:sz w:val="20"/>
                <w:szCs w:val="20"/>
              </w:rPr>
              <w:t xml:space="preserve"> 3</w:t>
            </w:r>
          </w:p>
        </w:tc>
      </w:tr>
      <w:tr w:rsidR="0094644B" w:rsidRPr="00F07779" w14:paraId="2593DFF6" w14:textId="77777777" w:rsidTr="00FB5086">
        <w:tc>
          <w:tcPr>
            <w:tcW w:w="2973" w:type="dxa"/>
            <w:shd w:val="clear" w:color="auto" w:fill="D9E2F3" w:themeFill="accent1" w:themeFillTint="33"/>
          </w:tcPr>
          <w:p w14:paraId="172DF65B" w14:textId="77777777" w:rsidR="0094644B" w:rsidRPr="00FA3F57" w:rsidRDefault="0094644B" w:rsidP="00FB5086">
            <w:pPr>
              <w:keepNext/>
              <w:rPr>
                <w:sz w:val="20"/>
                <w:szCs w:val="20"/>
              </w:rPr>
            </w:pPr>
            <w:r w:rsidRPr="00FA3F57">
              <w:rPr>
                <w:sz w:val="20"/>
                <w:szCs w:val="20"/>
              </w:rPr>
              <w:t>Name of the investment</w:t>
            </w:r>
          </w:p>
        </w:tc>
        <w:tc>
          <w:tcPr>
            <w:tcW w:w="5669" w:type="dxa"/>
            <w:shd w:val="clear" w:color="auto" w:fill="D9E2F3" w:themeFill="accent1" w:themeFillTint="33"/>
          </w:tcPr>
          <w:p w14:paraId="5950BC67" w14:textId="77777777" w:rsidR="0094644B" w:rsidRPr="00FA3F57" w:rsidRDefault="0094644B" w:rsidP="00FB5086">
            <w:pPr>
              <w:keepNext/>
              <w:rPr>
                <w:sz w:val="20"/>
                <w:szCs w:val="20"/>
              </w:rPr>
            </w:pPr>
            <w:r w:rsidRPr="00FA3F57">
              <w:rPr>
                <w:sz w:val="20"/>
                <w:szCs w:val="20"/>
              </w:rPr>
              <w:t xml:space="preserve">400/110 kV TS </w:t>
            </w:r>
            <w:proofErr w:type="spellStart"/>
            <w:r w:rsidRPr="00FA3F57">
              <w:rPr>
                <w:sz w:val="20"/>
                <w:szCs w:val="20"/>
              </w:rPr>
              <w:t>Požarevac</w:t>
            </w:r>
            <w:proofErr w:type="spellEnd"/>
            <w:r w:rsidRPr="00FA3F57">
              <w:rPr>
                <w:sz w:val="20"/>
                <w:szCs w:val="20"/>
              </w:rPr>
              <w:t xml:space="preserve"> 3</w:t>
            </w:r>
            <w:r w:rsidRPr="00FA3F57">
              <w:rPr>
                <w:sz w:val="20"/>
                <w:szCs w:val="20"/>
              </w:rPr>
              <w:br/>
              <w:t xml:space="preserve">OHL 2х400 kV TS </w:t>
            </w:r>
            <w:proofErr w:type="spellStart"/>
            <w:r w:rsidRPr="00FA3F57">
              <w:rPr>
                <w:sz w:val="20"/>
                <w:szCs w:val="20"/>
              </w:rPr>
              <w:t>Jagodina</w:t>
            </w:r>
            <w:proofErr w:type="spellEnd"/>
            <w:r w:rsidRPr="00FA3F57">
              <w:rPr>
                <w:sz w:val="20"/>
                <w:szCs w:val="20"/>
              </w:rPr>
              <w:t xml:space="preserve"> 4 – TS </w:t>
            </w:r>
            <w:proofErr w:type="spellStart"/>
            <w:r w:rsidRPr="00FA3F57">
              <w:rPr>
                <w:sz w:val="20"/>
                <w:szCs w:val="20"/>
              </w:rPr>
              <w:t>Požarevac</w:t>
            </w:r>
            <w:proofErr w:type="spellEnd"/>
            <w:r w:rsidRPr="00FA3F57">
              <w:rPr>
                <w:sz w:val="20"/>
                <w:szCs w:val="20"/>
              </w:rPr>
              <w:t xml:space="preserve"> 3</w:t>
            </w:r>
          </w:p>
          <w:p w14:paraId="09588FDE" w14:textId="77777777" w:rsidR="0094644B" w:rsidRPr="00FA3F57" w:rsidRDefault="0094644B" w:rsidP="00FB5086">
            <w:pPr>
              <w:keepNext/>
              <w:rPr>
                <w:sz w:val="20"/>
                <w:szCs w:val="20"/>
              </w:rPr>
            </w:pPr>
            <w:r w:rsidRPr="00FA3F57">
              <w:rPr>
                <w:sz w:val="20"/>
                <w:szCs w:val="20"/>
              </w:rPr>
              <w:t xml:space="preserve">TS </w:t>
            </w:r>
            <w:proofErr w:type="spellStart"/>
            <w:r w:rsidRPr="00FA3F57">
              <w:rPr>
                <w:sz w:val="20"/>
                <w:szCs w:val="20"/>
              </w:rPr>
              <w:t>Jagodina</w:t>
            </w:r>
            <w:proofErr w:type="spellEnd"/>
            <w:r w:rsidRPr="00FA3F57">
              <w:rPr>
                <w:sz w:val="20"/>
                <w:szCs w:val="20"/>
              </w:rPr>
              <w:t xml:space="preserve"> 4, extension with the equipment of two 400 kV overhead lines</w:t>
            </w:r>
            <w:r w:rsidRPr="00F07779">
              <w:rPr>
                <w:sz w:val="20"/>
                <w:szCs w:val="20"/>
              </w:rPr>
              <w:t xml:space="preserve"> </w:t>
            </w:r>
            <w:r w:rsidRPr="00FA3F57">
              <w:rPr>
                <w:sz w:val="20"/>
                <w:szCs w:val="20"/>
              </w:rPr>
              <w:t xml:space="preserve">OHL 400 kV No. 401/2 SS </w:t>
            </w:r>
            <w:proofErr w:type="spellStart"/>
            <w:r w:rsidRPr="00FA3F57">
              <w:rPr>
                <w:sz w:val="20"/>
                <w:szCs w:val="20"/>
              </w:rPr>
              <w:t>Drmno</w:t>
            </w:r>
            <w:proofErr w:type="spellEnd"/>
            <w:r w:rsidRPr="00FA3F57">
              <w:rPr>
                <w:sz w:val="20"/>
                <w:szCs w:val="20"/>
              </w:rPr>
              <w:t xml:space="preserve"> - HPP </w:t>
            </w:r>
            <w:proofErr w:type="spellStart"/>
            <w:r w:rsidRPr="00FA3F57">
              <w:rPr>
                <w:sz w:val="20"/>
                <w:szCs w:val="20"/>
              </w:rPr>
              <w:t>Đerdap</w:t>
            </w:r>
            <w:proofErr w:type="spellEnd"/>
            <w:r w:rsidRPr="00FA3F57">
              <w:rPr>
                <w:sz w:val="20"/>
                <w:szCs w:val="20"/>
              </w:rPr>
              <w:t xml:space="preserve"> 1 and OHL 400 kV No. 401/4 SS </w:t>
            </w:r>
            <w:proofErr w:type="spellStart"/>
            <w:r w:rsidRPr="00FA3F57">
              <w:rPr>
                <w:sz w:val="20"/>
                <w:szCs w:val="20"/>
              </w:rPr>
              <w:t>Drmno</w:t>
            </w:r>
            <w:proofErr w:type="spellEnd"/>
            <w:r w:rsidRPr="00FA3F57">
              <w:rPr>
                <w:sz w:val="20"/>
                <w:szCs w:val="20"/>
              </w:rPr>
              <w:t xml:space="preserve"> – TS Smederevo 3, leading into TS </w:t>
            </w:r>
            <w:proofErr w:type="spellStart"/>
            <w:r w:rsidRPr="00FA3F57">
              <w:rPr>
                <w:sz w:val="20"/>
                <w:szCs w:val="20"/>
              </w:rPr>
              <w:t>Požarevac</w:t>
            </w:r>
            <w:proofErr w:type="spellEnd"/>
            <w:r w:rsidRPr="00FA3F57">
              <w:rPr>
                <w:sz w:val="20"/>
                <w:szCs w:val="20"/>
              </w:rPr>
              <w:t xml:space="preserve"> 3</w:t>
            </w:r>
          </w:p>
        </w:tc>
      </w:tr>
      <w:tr w:rsidR="0094644B" w:rsidRPr="00F07779" w14:paraId="17F429CA" w14:textId="77777777" w:rsidTr="00FB5086">
        <w:tc>
          <w:tcPr>
            <w:tcW w:w="2973" w:type="dxa"/>
          </w:tcPr>
          <w:p w14:paraId="3503AF91" w14:textId="77777777" w:rsidR="0094644B" w:rsidRPr="00FA3F57" w:rsidRDefault="0094644B" w:rsidP="00FB5086">
            <w:pPr>
              <w:rPr>
                <w:sz w:val="20"/>
                <w:szCs w:val="20"/>
              </w:rPr>
            </w:pPr>
            <w:r w:rsidRPr="00FA3F57">
              <w:rPr>
                <w:sz w:val="20"/>
                <w:szCs w:val="20"/>
              </w:rPr>
              <w:t>Short description of the investment</w:t>
            </w:r>
          </w:p>
        </w:tc>
        <w:tc>
          <w:tcPr>
            <w:tcW w:w="5669" w:type="dxa"/>
          </w:tcPr>
          <w:p w14:paraId="6973274A" w14:textId="77777777" w:rsidR="0094644B" w:rsidRPr="00FA3F57" w:rsidRDefault="0094644B" w:rsidP="00FB5086">
            <w:pPr>
              <w:rPr>
                <w:sz w:val="20"/>
                <w:szCs w:val="20"/>
              </w:rPr>
            </w:pPr>
            <w:r w:rsidRPr="00FA3F57">
              <w:rPr>
                <w:sz w:val="20"/>
                <w:szCs w:val="20"/>
              </w:rPr>
              <w:t xml:space="preserve">This project would connect production </w:t>
            </w:r>
            <w:proofErr w:type="gramStart"/>
            <w:r w:rsidRPr="00FA3F57">
              <w:rPr>
                <w:sz w:val="20"/>
                <w:szCs w:val="20"/>
              </w:rPr>
              <w:t>in the area of</w:t>
            </w:r>
            <w:proofErr w:type="gramEnd"/>
            <w:r w:rsidRPr="00FA3F57">
              <w:rPr>
                <w:sz w:val="20"/>
                <w:szCs w:val="20"/>
              </w:rPr>
              <w:t xml:space="preserve"> southern Banat and the </w:t>
            </w:r>
            <w:proofErr w:type="spellStart"/>
            <w:r w:rsidRPr="00FA3F57">
              <w:rPr>
                <w:sz w:val="20"/>
                <w:szCs w:val="20"/>
              </w:rPr>
              <w:t>Braničevo</w:t>
            </w:r>
            <w:proofErr w:type="spellEnd"/>
            <w:r w:rsidRPr="00FA3F57">
              <w:rPr>
                <w:sz w:val="20"/>
                <w:szCs w:val="20"/>
              </w:rPr>
              <w:t xml:space="preserve"> District with consumer regions located in central Serbia, which would lead to both more efficient distribution of energy from power plants built in the aforementioned areas, as well as a more reliable supply of consumption.</w:t>
            </w:r>
            <w:r w:rsidRPr="00F07779">
              <w:rPr>
                <w:sz w:val="20"/>
                <w:szCs w:val="20"/>
              </w:rPr>
              <w:t xml:space="preserve"> In addition, the construction of this overhead line would enhance energy transit across the territory of the Republic of Serbia, as it would establish a link between the international projects Central Balkan Corridor (of which it is a part) and the Northern Corridor. The construction of the new TS </w:t>
            </w:r>
            <w:proofErr w:type="spellStart"/>
            <w:r w:rsidRPr="00F07779">
              <w:rPr>
                <w:sz w:val="20"/>
                <w:szCs w:val="20"/>
              </w:rPr>
              <w:t>Požarevac</w:t>
            </w:r>
            <w:proofErr w:type="spellEnd"/>
            <w:r w:rsidRPr="00F07779">
              <w:rPr>
                <w:sz w:val="20"/>
                <w:szCs w:val="20"/>
              </w:rPr>
              <w:t xml:space="preserve"> is planned to enable further reinforcement of the transmission system in the </w:t>
            </w:r>
            <w:proofErr w:type="spellStart"/>
            <w:r w:rsidRPr="00F07779">
              <w:rPr>
                <w:sz w:val="20"/>
                <w:szCs w:val="20"/>
              </w:rPr>
              <w:t>Kostolac</w:t>
            </w:r>
            <w:proofErr w:type="spellEnd"/>
            <w:r w:rsidRPr="00F07779">
              <w:rPr>
                <w:sz w:val="20"/>
                <w:szCs w:val="20"/>
              </w:rPr>
              <w:t xml:space="preserve"> region and to establish its interconnection with other parts of the transmission network.</w:t>
            </w:r>
          </w:p>
          <w:p w14:paraId="01B72504" w14:textId="77777777" w:rsidR="0094644B" w:rsidRPr="00FA3F57" w:rsidRDefault="0094644B" w:rsidP="00FB5086">
            <w:pPr>
              <w:rPr>
                <w:sz w:val="20"/>
                <w:szCs w:val="20"/>
              </w:rPr>
            </w:pPr>
            <w:r w:rsidRPr="00FA3F57">
              <w:rPr>
                <w:sz w:val="20"/>
                <w:szCs w:val="20"/>
              </w:rPr>
              <w:t>Expected dynamics of project implementation:</w:t>
            </w:r>
          </w:p>
          <w:p w14:paraId="6A13C9D7" w14:textId="77777777" w:rsidR="0094644B" w:rsidRPr="00FA3F57" w:rsidRDefault="0094644B" w:rsidP="00FB5086">
            <w:pPr>
              <w:rPr>
                <w:sz w:val="20"/>
                <w:szCs w:val="20"/>
              </w:rPr>
            </w:pPr>
            <w:r w:rsidRPr="00FA3F57">
              <w:rPr>
                <w:sz w:val="20"/>
                <w:szCs w:val="20"/>
              </w:rPr>
              <w:t>2026. Location conditions</w:t>
            </w:r>
          </w:p>
          <w:p w14:paraId="14333093" w14:textId="77777777" w:rsidR="0094644B" w:rsidRPr="00FA3F57" w:rsidRDefault="0094644B" w:rsidP="00FB5086">
            <w:pPr>
              <w:rPr>
                <w:sz w:val="20"/>
                <w:szCs w:val="20"/>
              </w:rPr>
            </w:pPr>
            <w:r w:rsidRPr="00FA3F57">
              <w:rPr>
                <w:sz w:val="20"/>
                <w:szCs w:val="20"/>
              </w:rPr>
              <w:t>2027. Preliminary design</w:t>
            </w:r>
          </w:p>
          <w:p w14:paraId="0ADB3E5D" w14:textId="77777777" w:rsidR="0094644B" w:rsidRPr="00FA3F57" w:rsidRDefault="0094644B" w:rsidP="00FB5086">
            <w:pPr>
              <w:rPr>
                <w:sz w:val="20"/>
                <w:szCs w:val="20"/>
              </w:rPr>
            </w:pPr>
            <w:r w:rsidRPr="00FA3F57">
              <w:rPr>
                <w:sz w:val="20"/>
                <w:szCs w:val="20"/>
              </w:rPr>
              <w:t>2028. Building permit</w:t>
            </w:r>
          </w:p>
        </w:tc>
      </w:tr>
      <w:tr w:rsidR="0094644B" w:rsidRPr="00F07779" w14:paraId="4B7D9354" w14:textId="77777777" w:rsidTr="00FB5086">
        <w:tc>
          <w:tcPr>
            <w:tcW w:w="2973" w:type="dxa"/>
          </w:tcPr>
          <w:p w14:paraId="0CF3E01C" w14:textId="77777777" w:rsidR="0094644B" w:rsidRPr="00FA3F57" w:rsidRDefault="0094644B" w:rsidP="00FB5086">
            <w:pPr>
              <w:rPr>
                <w:sz w:val="20"/>
                <w:szCs w:val="20"/>
              </w:rPr>
            </w:pPr>
            <w:r w:rsidRPr="00FA3F57">
              <w:rPr>
                <w:sz w:val="20"/>
                <w:szCs w:val="20"/>
              </w:rPr>
              <w:t>Institutions responsible for the implementation of measures and activities</w:t>
            </w:r>
          </w:p>
        </w:tc>
        <w:tc>
          <w:tcPr>
            <w:tcW w:w="5669" w:type="dxa"/>
          </w:tcPr>
          <w:p w14:paraId="02E94EB8" w14:textId="77777777" w:rsidR="0094644B" w:rsidRPr="00FA3F57" w:rsidRDefault="0094644B" w:rsidP="00FB5086">
            <w:pPr>
              <w:rPr>
                <w:sz w:val="20"/>
                <w:szCs w:val="20"/>
              </w:rPr>
            </w:pPr>
            <w:r w:rsidRPr="00FA3F57">
              <w:rPr>
                <w:sz w:val="20"/>
                <w:szCs w:val="20"/>
              </w:rPr>
              <w:t>EMS JSC Belgrade</w:t>
            </w:r>
          </w:p>
        </w:tc>
      </w:tr>
      <w:tr w:rsidR="0094644B" w:rsidRPr="00F07779" w14:paraId="15C2B666" w14:textId="77777777" w:rsidTr="00FB5086">
        <w:tc>
          <w:tcPr>
            <w:tcW w:w="2973" w:type="dxa"/>
          </w:tcPr>
          <w:p w14:paraId="2B89D6FC" w14:textId="77777777" w:rsidR="0094644B" w:rsidRPr="00FA3F57" w:rsidRDefault="0094644B" w:rsidP="00FB5086">
            <w:pPr>
              <w:rPr>
                <w:sz w:val="20"/>
                <w:szCs w:val="20"/>
              </w:rPr>
            </w:pPr>
            <w:r w:rsidRPr="00FA3F57">
              <w:rPr>
                <w:sz w:val="20"/>
                <w:szCs w:val="20"/>
              </w:rPr>
              <w:t>Institutions responsible for monitoring implementation and reporting on the realization</w:t>
            </w:r>
          </w:p>
        </w:tc>
        <w:tc>
          <w:tcPr>
            <w:tcW w:w="5669" w:type="dxa"/>
          </w:tcPr>
          <w:p w14:paraId="62094761" w14:textId="77777777" w:rsidR="0094644B" w:rsidRPr="00F07779" w:rsidRDefault="0094644B" w:rsidP="00FB5086">
            <w:pPr>
              <w:rPr>
                <w:sz w:val="20"/>
                <w:szCs w:val="20"/>
              </w:rPr>
            </w:pPr>
            <w:r w:rsidRPr="00FA3F57">
              <w:rPr>
                <w:sz w:val="20"/>
                <w:szCs w:val="20"/>
              </w:rPr>
              <w:t>EMS JSC Belgrade</w:t>
            </w:r>
          </w:p>
          <w:p w14:paraId="1904392B" w14:textId="77777777" w:rsidR="0094644B" w:rsidRPr="00FA3F57" w:rsidRDefault="0094644B" w:rsidP="00FB5086">
            <w:pPr>
              <w:rPr>
                <w:sz w:val="20"/>
                <w:szCs w:val="20"/>
              </w:rPr>
            </w:pPr>
            <w:r w:rsidRPr="00FA3F57">
              <w:rPr>
                <w:sz w:val="20"/>
                <w:szCs w:val="20"/>
              </w:rPr>
              <w:t>Republic Commission for Energy Networks</w:t>
            </w:r>
          </w:p>
          <w:p w14:paraId="5211F3CC" w14:textId="77777777" w:rsidR="0094644B" w:rsidRPr="00FA3F57" w:rsidRDefault="0094644B" w:rsidP="00FB5086">
            <w:pPr>
              <w:rPr>
                <w:sz w:val="20"/>
                <w:szCs w:val="20"/>
              </w:rPr>
            </w:pPr>
            <w:r w:rsidRPr="00FA3F57">
              <w:rPr>
                <w:sz w:val="20"/>
                <w:szCs w:val="20"/>
              </w:rPr>
              <w:t>Ministry of Mining and Energy</w:t>
            </w:r>
          </w:p>
        </w:tc>
      </w:tr>
      <w:tr w:rsidR="0094644B" w:rsidRPr="00F07779" w14:paraId="58C7FBAC" w14:textId="77777777" w:rsidTr="00FB5086">
        <w:tc>
          <w:tcPr>
            <w:tcW w:w="2973" w:type="dxa"/>
          </w:tcPr>
          <w:p w14:paraId="69DC1FFF" w14:textId="77777777" w:rsidR="0094644B" w:rsidRPr="00FA3F57" w:rsidRDefault="0094644B" w:rsidP="00FB5086">
            <w:pPr>
              <w:rPr>
                <w:sz w:val="20"/>
                <w:szCs w:val="20"/>
              </w:rPr>
            </w:pPr>
            <w:r w:rsidRPr="00FA3F57">
              <w:rPr>
                <w:sz w:val="20"/>
                <w:szCs w:val="20"/>
              </w:rPr>
              <w:t>Year of the start of the investment</w:t>
            </w:r>
          </w:p>
        </w:tc>
        <w:tc>
          <w:tcPr>
            <w:tcW w:w="5669" w:type="dxa"/>
          </w:tcPr>
          <w:p w14:paraId="3CC47BA3" w14:textId="77777777" w:rsidR="0094644B" w:rsidRPr="00FA3F57" w:rsidRDefault="0094644B" w:rsidP="00FB5086">
            <w:pPr>
              <w:rPr>
                <w:sz w:val="20"/>
                <w:szCs w:val="20"/>
              </w:rPr>
            </w:pPr>
            <w:r w:rsidRPr="00FA3F57">
              <w:rPr>
                <w:sz w:val="20"/>
                <w:szCs w:val="20"/>
              </w:rPr>
              <w:t>2023.</w:t>
            </w:r>
          </w:p>
        </w:tc>
      </w:tr>
      <w:tr w:rsidR="0094644B" w:rsidRPr="00F07779" w14:paraId="37357915" w14:textId="77777777" w:rsidTr="00FB5086">
        <w:tc>
          <w:tcPr>
            <w:tcW w:w="2973" w:type="dxa"/>
          </w:tcPr>
          <w:p w14:paraId="0B0EDF10" w14:textId="77777777" w:rsidR="0094644B" w:rsidRPr="00FA3F57" w:rsidRDefault="0094644B" w:rsidP="00FB5086">
            <w:pPr>
              <w:rPr>
                <w:sz w:val="20"/>
                <w:szCs w:val="20"/>
              </w:rPr>
            </w:pPr>
            <w:r w:rsidRPr="00FA3F57">
              <w:rPr>
                <w:sz w:val="20"/>
                <w:szCs w:val="20"/>
              </w:rPr>
              <w:t>Year of completion of project funding</w:t>
            </w:r>
          </w:p>
        </w:tc>
        <w:tc>
          <w:tcPr>
            <w:tcW w:w="5669" w:type="dxa"/>
          </w:tcPr>
          <w:p w14:paraId="549019AA" w14:textId="77777777" w:rsidR="0094644B" w:rsidRPr="00FA3F57" w:rsidRDefault="0094644B" w:rsidP="00FB5086">
            <w:pPr>
              <w:rPr>
                <w:sz w:val="20"/>
                <w:szCs w:val="20"/>
              </w:rPr>
            </w:pPr>
            <w:r w:rsidRPr="00FA3F57">
              <w:rPr>
                <w:sz w:val="20"/>
                <w:szCs w:val="20"/>
              </w:rPr>
              <w:t>2030.</w:t>
            </w:r>
          </w:p>
        </w:tc>
      </w:tr>
      <w:tr w:rsidR="0094644B" w:rsidRPr="00F07779" w14:paraId="5B9FBB32" w14:textId="77777777" w:rsidTr="00FB5086">
        <w:tc>
          <w:tcPr>
            <w:tcW w:w="2973" w:type="dxa"/>
          </w:tcPr>
          <w:p w14:paraId="1972EACE" w14:textId="77777777" w:rsidR="0094644B" w:rsidRPr="00FA3F57" w:rsidRDefault="0094644B" w:rsidP="00FB5086">
            <w:pPr>
              <w:rPr>
                <w:sz w:val="20"/>
                <w:szCs w:val="20"/>
              </w:rPr>
            </w:pPr>
            <w:r w:rsidRPr="00FA3F57">
              <w:rPr>
                <w:sz w:val="20"/>
                <w:szCs w:val="20"/>
              </w:rPr>
              <w:t>Current estimated value of the investment</w:t>
            </w:r>
            <w:r w:rsidRPr="00FA3F57">
              <w:rPr>
                <w:sz w:val="20"/>
                <w:szCs w:val="20"/>
              </w:rPr>
              <w:br/>
              <w:t>(in thousands of RSD)</w:t>
            </w:r>
          </w:p>
        </w:tc>
        <w:tc>
          <w:tcPr>
            <w:tcW w:w="5669" w:type="dxa"/>
          </w:tcPr>
          <w:p w14:paraId="68A6A1F2" w14:textId="77777777" w:rsidR="0094644B" w:rsidRPr="00FA3F57" w:rsidRDefault="0094644B" w:rsidP="00FB5086">
            <w:pPr>
              <w:rPr>
                <w:sz w:val="20"/>
                <w:szCs w:val="20"/>
              </w:rPr>
            </w:pPr>
            <w:r w:rsidRPr="00FA3F57">
              <w:rPr>
                <w:sz w:val="20"/>
                <w:szCs w:val="20"/>
              </w:rPr>
              <w:t>6,495,650 (55.4 million EUR)</w:t>
            </w:r>
          </w:p>
        </w:tc>
      </w:tr>
      <w:tr w:rsidR="0094644B" w:rsidRPr="00F07779" w14:paraId="7E58B12A" w14:textId="77777777" w:rsidTr="00FB5086">
        <w:tc>
          <w:tcPr>
            <w:tcW w:w="2973" w:type="dxa"/>
          </w:tcPr>
          <w:p w14:paraId="19DD57CA" w14:textId="77777777" w:rsidR="0094644B" w:rsidRPr="00FA3F57" w:rsidRDefault="0094644B" w:rsidP="00FB5086">
            <w:pPr>
              <w:rPr>
                <w:sz w:val="20"/>
                <w:szCs w:val="20"/>
              </w:rPr>
            </w:pPr>
            <w:r w:rsidRPr="00FA3F57">
              <w:rPr>
                <w:sz w:val="20"/>
                <w:szCs w:val="20"/>
              </w:rPr>
              <w:t>Planned investments for 2026.</w:t>
            </w:r>
            <w:r w:rsidRPr="00FA3F57">
              <w:rPr>
                <w:sz w:val="20"/>
                <w:szCs w:val="20"/>
              </w:rPr>
              <w:br/>
              <w:t>(in thousands of RSD)</w:t>
            </w:r>
          </w:p>
        </w:tc>
        <w:tc>
          <w:tcPr>
            <w:tcW w:w="5669" w:type="dxa"/>
          </w:tcPr>
          <w:p w14:paraId="5B7DA611" w14:textId="77777777" w:rsidR="0094644B" w:rsidRPr="00FA3F57" w:rsidRDefault="0094644B" w:rsidP="00FB5086">
            <w:pPr>
              <w:rPr>
                <w:sz w:val="20"/>
                <w:szCs w:val="20"/>
              </w:rPr>
            </w:pPr>
            <w:r w:rsidRPr="00FA3F57">
              <w:rPr>
                <w:sz w:val="20"/>
                <w:szCs w:val="20"/>
              </w:rPr>
              <w:t>19,</w:t>
            </w:r>
            <w:r w:rsidRPr="00F07779">
              <w:rPr>
                <w:sz w:val="20"/>
                <w:szCs w:val="20"/>
              </w:rPr>
              <w:t>873</w:t>
            </w:r>
            <w:r w:rsidRPr="00FA3F57">
              <w:rPr>
                <w:sz w:val="20"/>
                <w:szCs w:val="20"/>
              </w:rPr>
              <w:t xml:space="preserve"> (own funds of EMS JSC)</w:t>
            </w:r>
          </w:p>
        </w:tc>
      </w:tr>
      <w:tr w:rsidR="0094644B" w:rsidRPr="00F07779" w14:paraId="2C83F7FA" w14:textId="77777777" w:rsidTr="00FB5086">
        <w:tc>
          <w:tcPr>
            <w:tcW w:w="2973" w:type="dxa"/>
          </w:tcPr>
          <w:p w14:paraId="2B91940A" w14:textId="77777777" w:rsidR="0094644B" w:rsidRPr="00FA3F57" w:rsidRDefault="0094644B" w:rsidP="00FB5086">
            <w:pPr>
              <w:rPr>
                <w:sz w:val="20"/>
                <w:szCs w:val="20"/>
              </w:rPr>
            </w:pPr>
            <w:r w:rsidRPr="00FA3F57">
              <w:rPr>
                <w:sz w:val="20"/>
                <w:szCs w:val="20"/>
              </w:rPr>
              <w:t>Planned investments for 2027.</w:t>
            </w:r>
            <w:r w:rsidRPr="00FA3F57">
              <w:rPr>
                <w:sz w:val="20"/>
                <w:szCs w:val="20"/>
              </w:rPr>
              <w:br/>
              <w:t>(in thousands of RSD)</w:t>
            </w:r>
          </w:p>
        </w:tc>
        <w:tc>
          <w:tcPr>
            <w:tcW w:w="5669" w:type="dxa"/>
          </w:tcPr>
          <w:p w14:paraId="0AE9202C" w14:textId="77777777" w:rsidR="0094644B" w:rsidRPr="00FA3F57" w:rsidRDefault="0094644B" w:rsidP="00FB5086">
            <w:pPr>
              <w:rPr>
                <w:sz w:val="20"/>
                <w:szCs w:val="20"/>
              </w:rPr>
            </w:pPr>
            <w:r w:rsidRPr="00FA3F57">
              <w:rPr>
                <w:sz w:val="20"/>
                <w:szCs w:val="20"/>
              </w:rPr>
              <w:t>0</w:t>
            </w:r>
          </w:p>
        </w:tc>
      </w:tr>
      <w:tr w:rsidR="0094644B" w:rsidRPr="00F07779" w14:paraId="05BF56C5" w14:textId="77777777" w:rsidTr="00FB5086">
        <w:tc>
          <w:tcPr>
            <w:tcW w:w="2973" w:type="dxa"/>
          </w:tcPr>
          <w:p w14:paraId="5DCCE9F1" w14:textId="77777777" w:rsidR="0094644B" w:rsidRPr="00FA3F57" w:rsidRDefault="0094644B" w:rsidP="00FB5086">
            <w:pPr>
              <w:rPr>
                <w:sz w:val="20"/>
                <w:szCs w:val="20"/>
              </w:rPr>
            </w:pPr>
            <w:r w:rsidRPr="00FA3F57">
              <w:rPr>
                <w:sz w:val="20"/>
                <w:szCs w:val="20"/>
              </w:rPr>
              <w:t>Planned investments for 2028.</w:t>
            </w:r>
            <w:r w:rsidRPr="00FA3F57">
              <w:rPr>
                <w:sz w:val="20"/>
                <w:szCs w:val="20"/>
              </w:rPr>
              <w:br/>
              <w:t>(in thousands of RSD)</w:t>
            </w:r>
          </w:p>
        </w:tc>
        <w:tc>
          <w:tcPr>
            <w:tcW w:w="5669" w:type="dxa"/>
          </w:tcPr>
          <w:p w14:paraId="19379E44" w14:textId="77777777" w:rsidR="0094644B" w:rsidRPr="00FA3F57" w:rsidRDefault="0094644B" w:rsidP="00FB5086">
            <w:pPr>
              <w:rPr>
                <w:sz w:val="20"/>
                <w:szCs w:val="20"/>
              </w:rPr>
            </w:pPr>
            <w:r w:rsidRPr="00FA3F57">
              <w:rPr>
                <w:sz w:val="20"/>
                <w:szCs w:val="20"/>
              </w:rPr>
              <w:t>0</w:t>
            </w:r>
          </w:p>
        </w:tc>
      </w:tr>
    </w:tbl>
    <w:p w14:paraId="187082A9" w14:textId="77777777" w:rsidR="0094644B" w:rsidRPr="00FA3F57" w:rsidRDefault="0094644B" w:rsidP="0094644B">
      <w:pPr>
        <w:tabs>
          <w:tab w:val="left" w:pos="1276"/>
        </w:tabs>
        <w:ind w:left="1560" w:hanging="1560"/>
      </w:pPr>
    </w:p>
    <w:p w14:paraId="2F513EA0" w14:textId="77777777" w:rsidR="0094644B" w:rsidRPr="00FA3F57" w:rsidRDefault="0094644B" w:rsidP="0094644B">
      <w:pPr>
        <w:tabs>
          <w:tab w:val="left" w:pos="1276"/>
        </w:tabs>
        <w:ind w:left="1560" w:hanging="1560"/>
      </w:pPr>
      <w:r w:rsidRPr="00F07779">
        <w:t>Table</w:t>
      </w:r>
      <w:r w:rsidRPr="00FA3F57">
        <w:t xml:space="preserve"> 5.1.7-3:</w:t>
      </w:r>
      <w:r w:rsidRPr="00FA3F57">
        <w:tab/>
        <w:t>Activities for the implementation of measure EL7</w:t>
      </w:r>
      <w:r w:rsidRPr="00FA3F57" w:rsidDel="00EB46F2">
        <w:t xml:space="preserve"> </w:t>
      </w:r>
      <w:r w:rsidRPr="00FA3F57">
        <w:t>– Activity EL7.3</w:t>
      </w:r>
    </w:p>
    <w:tbl>
      <w:tblPr>
        <w:tblStyle w:val="TableGrid"/>
        <w:tblW w:w="0" w:type="auto"/>
        <w:tblLook w:val="04A0" w:firstRow="1" w:lastRow="0" w:firstColumn="1" w:lastColumn="0" w:noHBand="0" w:noVBand="1"/>
      </w:tblPr>
      <w:tblGrid>
        <w:gridCol w:w="2973"/>
        <w:gridCol w:w="5669"/>
      </w:tblGrid>
      <w:tr w:rsidR="0094644B" w:rsidRPr="00F07779" w14:paraId="464D51DF" w14:textId="77777777" w:rsidTr="00FB5086">
        <w:tc>
          <w:tcPr>
            <w:tcW w:w="2973" w:type="dxa"/>
            <w:shd w:val="clear" w:color="auto" w:fill="D9D9D9" w:themeFill="background1" w:themeFillShade="D9"/>
          </w:tcPr>
          <w:p w14:paraId="5ADC4090" w14:textId="77777777" w:rsidR="0094644B" w:rsidRPr="00FA3F57" w:rsidRDefault="0094644B" w:rsidP="00FB5086">
            <w:pPr>
              <w:keepNext/>
              <w:rPr>
                <w:sz w:val="20"/>
                <w:szCs w:val="20"/>
              </w:rPr>
            </w:pPr>
            <w:r w:rsidRPr="00FA3F57">
              <w:rPr>
                <w:sz w:val="20"/>
                <w:szCs w:val="20"/>
              </w:rPr>
              <w:t>Activity EL7.3</w:t>
            </w:r>
          </w:p>
        </w:tc>
        <w:tc>
          <w:tcPr>
            <w:tcW w:w="5669" w:type="dxa"/>
            <w:shd w:val="clear" w:color="auto" w:fill="D9D9D9" w:themeFill="background1" w:themeFillShade="D9"/>
          </w:tcPr>
          <w:p w14:paraId="4EA5B63E" w14:textId="77777777" w:rsidR="0094644B" w:rsidRPr="00FA3F57" w:rsidRDefault="0094644B" w:rsidP="00FB5086">
            <w:pPr>
              <w:keepNext/>
              <w:rPr>
                <w:sz w:val="20"/>
                <w:szCs w:val="20"/>
              </w:rPr>
            </w:pPr>
            <w:r w:rsidRPr="00FA3F57">
              <w:rPr>
                <w:sz w:val="20"/>
                <w:szCs w:val="20"/>
              </w:rPr>
              <w:t>Investment projects for the modernization of the distribution system</w:t>
            </w:r>
          </w:p>
        </w:tc>
      </w:tr>
      <w:tr w:rsidR="0094644B" w:rsidRPr="00F07779" w14:paraId="4AE40964" w14:textId="77777777" w:rsidTr="00FB5086">
        <w:tc>
          <w:tcPr>
            <w:tcW w:w="2973" w:type="dxa"/>
            <w:shd w:val="clear" w:color="auto" w:fill="D9E2F3" w:themeFill="accent1" w:themeFillTint="33"/>
          </w:tcPr>
          <w:p w14:paraId="1F4AC0B0" w14:textId="77777777" w:rsidR="0094644B" w:rsidRPr="00FA3F57" w:rsidRDefault="0094644B" w:rsidP="00FB5086">
            <w:pPr>
              <w:keepNext/>
              <w:rPr>
                <w:sz w:val="20"/>
                <w:szCs w:val="20"/>
              </w:rPr>
            </w:pPr>
            <w:r w:rsidRPr="00FA3F57">
              <w:rPr>
                <w:sz w:val="20"/>
                <w:szCs w:val="20"/>
              </w:rPr>
              <w:t>Name of the project</w:t>
            </w:r>
          </w:p>
        </w:tc>
        <w:tc>
          <w:tcPr>
            <w:tcW w:w="5669" w:type="dxa"/>
            <w:shd w:val="clear" w:color="auto" w:fill="D9E2F3" w:themeFill="accent1" w:themeFillTint="33"/>
          </w:tcPr>
          <w:p w14:paraId="11CEF044" w14:textId="77777777" w:rsidR="0094644B" w:rsidRPr="00FA3F57" w:rsidRDefault="0094644B" w:rsidP="00FB5086">
            <w:pPr>
              <w:keepNext/>
              <w:rPr>
                <w:sz w:val="20"/>
                <w:szCs w:val="20"/>
              </w:rPr>
            </w:pPr>
            <w:bookmarkStart w:id="12" w:name="_Hlk207630695"/>
            <w:r w:rsidRPr="00FA3F57">
              <w:rPr>
                <w:sz w:val="20"/>
                <w:szCs w:val="20"/>
              </w:rPr>
              <w:t>Integrated system for remote monitoring, diagnostics and management of low-voltage distribution networks</w:t>
            </w:r>
            <w:bookmarkEnd w:id="12"/>
          </w:p>
        </w:tc>
      </w:tr>
      <w:tr w:rsidR="0094644B" w:rsidRPr="00F07779" w14:paraId="0873A850" w14:textId="77777777" w:rsidTr="00FB5086">
        <w:tc>
          <w:tcPr>
            <w:tcW w:w="2973" w:type="dxa"/>
          </w:tcPr>
          <w:p w14:paraId="29490D02" w14:textId="77777777" w:rsidR="0094644B" w:rsidRPr="00FA3F57" w:rsidRDefault="0094644B" w:rsidP="00FB5086">
            <w:pPr>
              <w:rPr>
                <w:sz w:val="20"/>
                <w:szCs w:val="20"/>
              </w:rPr>
            </w:pPr>
            <w:r w:rsidRPr="00FA3F57">
              <w:rPr>
                <w:sz w:val="20"/>
                <w:szCs w:val="20"/>
              </w:rPr>
              <w:t>Description</w:t>
            </w:r>
          </w:p>
        </w:tc>
        <w:tc>
          <w:tcPr>
            <w:tcW w:w="5669" w:type="dxa"/>
          </w:tcPr>
          <w:p w14:paraId="7284CABC" w14:textId="77777777" w:rsidR="0094644B" w:rsidRPr="00FA3F57" w:rsidRDefault="0094644B" w:rsidP="00FB5086">
            <w:pPr>
              <w:rPr>
                <w:sz w:val="20"/>
                <w:szCs w:val="20"/>
              </w:rPr>
            </w:pPr>
            <w:r w:rsidRPr="00F07779">
              <w:rPr>
                <w:sz w:val="20"/>
                <w:szCs w:val="20"/>
              </w:rPr>
              <w:t>The main benefits that the system can provide to the Electric Distribution of Serbia are:</w:t>
            </w:r>
            <w:r w:rsidRPr="00FA3F57">
              <w:rPr>
                <w:sz w:val="20"/>
                <w:szCs w:val="20"/>
              </w:rPr>
              <w:t xml:space="preserve">- </w:t>
            </w:r>
            <w:r w:rsidRPr="00F07779">
              <w:rPr>
                <w:sz w:val="20"/>
                <w:szCs w:val="20"/>
              </w:rPr>
              <w:t>Monitoring of power quality parameters at the level of transformer substations and low-voltage feeders according to the EN50160 standard (a standard for devices used to measure power quality parameters) is carried out in compliance with regulatory requirements set by the Energy Agency as well as the Distribution System Operating Rules from 2017. This enables the reduction of power supply interruption duration for low-voltage consumers, faster fault location, quicker determination of fault types, detection of asymmetry and phase outages, and the collection of all necessary data for reporting to the Energy Agency on consumer power quality parameters, among other benefits;</w:t>
            </w:r>
            <w:r w:rsidRPr="00FA3F57">
              <w:rPr>
                <w:sz w:val="20"/>
                <w:szCs w:val="20"/>
              </w:rPr>
              <w:t xml:space="preserve">- </w:t>
            </w:r>
            <w:r w:rsidRPr="00F07779">
              <w:rPr>
                <w:sz w:val="20"/>
                <w:szCs w:val="20"/>
              </w:rPr>
              <w:t xml:space="preserve">Monitoring of physical parameters of power transformers in 20/10/0.4 kV transformer substations — according to applicable </w:t>
            </w:r>
            <w:r w:rsidRPr="00F07779">
              <w:rPr>
                <w:sz w:val="20"/>
                <w:szCs w:val="20"/>
              </w:rPr>
              <w:lastRenderedPageBreak/>
              <w:t>IEC standards — is necessary on selectively chosen transformers (based on installed capacity, importance of consumers supplied, consumption density, maximum load, etc.) for safety reasons (including prevention of potential overheating, assessment of transformer health indices, preventive maintenance of the low-voltage distribution network, and avoidance of catastrophic failures such as explosions, fires, and uncontrolled outages);</w:t>
            </w:r>
          </w:p>
          <w:p w14:paraId="6B62734C" w14:textId="77777777" w:rsidR="0094644B" w:rsidRPr="00FA3F57" w:rsidRDefault="0094644B" w:rsidP="00FB5086">
            <w:pPr>
              <w:rPr>
                <w:sz w:val="20"/>
                <w:szCs w:val="20"/>
              </w:rPr>
            </w:pPr>
            <w:r w:rsidRPr="00FA3F57">
              <w:rPr>
                <w:sz w:val="20"/>
                <w:szCs w:val="20"/>
              </w:rPr>
              <w:t xml:space="preserve">- Determining accurate calculations of delivered or non-delivered aggregated energy from medium to low </w:t>
            </w:r>
            <w:proofErr w:type="gramStart"/>
            <w:r w:rsidRPr="00FA3F57">
              <w:rPr>
                <w:sz w:val="20"/>
                <w:szCs w:val="20"/>
              </w:rPr>
              <w:t>voltage;</w:t>
            </w:r>
            <w:proofErr w:type="gramEnd"/>
          </w:p>
          <w:p w14:paraId="3AEE251E" w14:textId="77777777" w:rsidR="0094644B" w:rsidRPr="00FA3F57" w:rsidRDefault="0094644B" w:rsidP="00FB5086">
            <w:pPr>
              <w:rPr>
                <w:sz w:val="20"/>
                <w:szCs w:val="20"/>
              </w:rPr>
            </w:pPr>
            <w:r w:rsidRPr="00FA3F57">
              <w:rPr>
                <w:sz w:val="20"/>
                <w:szCs w:val="20"/>
              </w:rPr>
              <w:t>- Allocation of losses within the "third balance group" of the electricity distribution system (aggregation/estimation of total losses in 10kV areas - one 10kV line has a larger number of 10/04 kV secondary transformer stations</w:t>
            </w:r>
            <w:proofErr w:type="gramStart"/>
            <w:r w:rsidRPr="00FA3F57">
              <w:rPr>
                <w:sz w:val="20"/>
                <w:szCs w:val="20"/>
              </w:rPr>
              <w:t>);-</w:t>
            </w:r>
            <w:proofErr w:type="gramEnd"/>
            <w:r w:rsidRPr="00FA3F57">
              <w:rPr>
                <w:sz w:val="20"/>
                <w:szCs w:val="20"/>
              </w:rPr>
              <w:t xml:space="preserve"> Integration with existing smart meters (for control metering purposes) in private transformer </w:t>
            </w:r>
            <w:proofErr w:type="gramStart"/>
            <w:r w:rsidRPr="00FA3F57">
              <w:rPr>
                <w:sz w:val="20"/>
                <w:szCs w:val="20"/>
              </w:rPr>
              <w:t>stations;</w:t>
            </w:r>
            <w:proofErr w:type="gramEnd"/>
          </w:p>
          <w:p w14:paraId="5D12C923" w14:textId="77777777" w:rsidR="0094644B" w:rsidRPr="00FA3F57" w:rsidRDefault="0094644B" w:rsidP="00FB5086">
            <w:pPr>
              <w:rPr>
                <w:sz w:val="20"/>
                <w:szCs w:val="20"/>
              </w:rPr>
            </w:pPr>
            <w:r w:rsidRPr="00FA3F57">
              <w:rPr>
                <w:sz w:val="20"/>
                <w:szCs w:val="20"/>
              </w:rPr>
              <w:t xml:space="preserve">- Identification of voltage profile problems on the medium-voltage and low-voltage distribution network - especially important in rural areas (mainly in Serbia) due to the frequent occurrence of poor voltage at end </w:t>
            </w:r>
            <w:proofErr w:type="gramStart"/>
            <w:r w:rsidRPr="00FA3F57">
              <w:rPr>
                <w:sz w:val="20"/>
                <w:szCs w:val="20"/>
              </w:rPr>
              <w:t>consumers;</w:t>
            </w:r>
            <w:proofErr w:type="gramEnd"/>
          </w:p>
          <w:p w14:paraId="34BB2A5E" w14:textId="77777777" w:rsidR="0094644B" w:rsidRPr="00FA3F57" w:rsidRDefault="0094644B" w:rsidP="00FB5086">
            <w:pPr>
              <w:rPr>
                <w:sz w:val="20"/>
                <w:szCs w:val="20"/>
              </w:rPr>
            </w:pPr>
            <w:r w:rsidRPr="00FA3F57">
              <w:rPr>
                <w:sz w:val="20"/>
                <w:szCs w:val="20"/>
              </w:rPr>
              <w:t>- Detection of asymmetry at the level of the low-voltage distribution network (low-voltage outlets, transformers</w:t>
            </w:r>
            <w:proofErr w:type="gramStart"/>
            <w:r w:rsidRPr="00FA3F57">
              <w:rPr>
                <w:sz w:val="20"/>
                <w:szCs w:val="20"/>
              </w:rPr>
              <w:t>);</w:t>
            </w:r>
            <w:proofErr w:type="gramEnd"/>
          </w:p>
          <w:p w14:paraId="0B552C26" w14:textId="77777777" w:rsidR="0094644B" w:rsidRPr="00FA3F57" w:rsidRDefault="0094644B" w:rsidP="00FB5086">
            <w:pPr>
              <w:rPr>
                <w:sz w:val="20"/>
                <w:szCs w:val="20"/>
              </w:rPr>
            </w:pPr>
            <w:r w:rsidRPr="00FA3F57">
              <w:rPr>
                <w:sz w:val="20"/>
                <w:szCs w:val="20"/>
              </w:rPr>
              <w:t xml:space="preserve">- Assessment of technical losses caused by asymmetry to take adequate measures to reduce </w:t>
            </w:r>
            <w:proofErr w:type="gramStart"/>
            <w:r w:rsidRPr="00FA3F57">
              <w:rPr>
                <w:sz w:val="20"/>
                <w:szCs w:val="20"/>
              </w:rPr>
              <w:t>asymmetry;</w:t>
            </w:r>
            <w:proofErr w:type="gramEnd"/>
          </w:p>
          <w:p w14:paraId="5D8B52AB" w14:textId="77777777" w:rsidR="0094644B" w:rsidRPr="00FA3F57" w:rsidRDefault="0094644B" w:rsidP="00FB5086">
            <w:pPr>
              <w:rPr>
                <w:sz w:val="20"/>
                <w:szCs w:val="20"/>
              </w:rPr>
            </w:pPr>
            <w:r w:rsidRPr="00FA3F57">
              <w:rPr>
                <w:sz w:val="20"/>
                <w:szCs w:val="20"/>
              </w:rPr>
              <w:t xml:space="preserve">- Monitoring reactive power at low voltage feeders and transformer bays and creating prerequisites for dynamic compensation of reactive power at low voltage to reduce total technical losses, i.e. assessment of technical losses caused by reactive power at low </w:t>
            </w:r>
            <w:proofErr w:type="gramStart"/>
            <w:r w:rsidRPr="00FA3F57">
              <w:rPr>
                <w:sz w:val="20"/>
                <w:szCs w:val="20"/>
              </w:rPr>
              <w:t>voltage;</w:t>
            </w:r>
            <w:proofErr w:type="gramEnd"/>
          </w:p>
          <w:p w14:paraId="44EF520C" w14:textId="77777777" w:rsidR="0094644B" w:rsidRPr="00FA3F57" w:rsidRDefault="0094644B" w:rsidP="00FB5086">
            <w:pPr>
              <w:rPr>
                <w:sz w:val="20"/>
                <w:szCs w:val="20"/>
              </w:rPr>
            </w:pPr>
            <w:r w:rsidRPr="00FA3F57">
              <w:rPr>
                <w:sz w:val="20"/>
                <w:szCs w:val="20"/>
              </w:rPr>
              <w:t xml:space="preserve">- Aggregated allocation and assessment of non-technical losses at the level of distribution transformer stations and low-voltage outlets, as well as along the depth of the low-voltage distribution </w:t>
            </w:r>
            <w:proofErr w:type="gramStart"/>
            <w:r w:rsidRPr="00FA3F57">
              <w:rPr>
                <w:sz w:val="20"/>
                <w:szCs w:val="20"/>
              </w:rPr>
              <w:t>network;</w:t>
            </w:r>
            <w:proofErr w:type="gramEnd"/>
          </w:p>
          <w:p w14:paraId="2C2B6DBA" w14:textId="77777777" w:rsidR="0094644B" w:rsidRPr="00FA3F57" w:rsidRDefault="0094644B" w:rsidP="00FB5086">
            <w:pPr>
              <w:rPr>
                <w:sz w:val="20"/>
                <w:szCs w:val="20"/>
              </w:rPr>
            </w:pPr>
            <w:r w:rsidRPr="00FA3F57">
              <w:rPr>
                <w:sz w:val="20"/>
                <w:szCs w:val="20"/>
              </w:rPr>
              <w:t>- Possibility of estimating technical losses at the level of the low-voltage distribution network and higher voltage levels.</w:t>
            </w:r>
          </w:p>
          <w:p w14:paraId="191D4A78" w14:textId="77777777" w:rsidR="0094644B" w:rsidRPr="00FA3F57" w:rsidRDefault="0094644B" w:rsidP="00FB5086">
            <w:pPr>
              <w:rPr>
                <w:sz w:val="20"/>
                <w:szCs w:val="20"/>
              </w:rPr>
            </w:pPr>
            <w:r w:rsidRPr="00FA3F57">
              <w:rPr>
                <w:sz w:val="20"/>
                <w:szCs w:val="20"/>
              </w:rPr>
              <w:t>Expected dynamics of project implementation:</w:t>
            </w:r>
          </w:p>
          <w:p w14:paraId="13BEA587" w14:textId="77777777" w:rsidR="0094644B" w:rsidRPr="00FA3F57" w:rsidRDefault="0094644B" w:rsidP="00FB5086">
            <w:pPr>
              <w:rPr>
                <w:sz w:val="20"/>
                <w:szCs w:val="20"/>
              </w:rPr>
            </w:pPr>
            <w:r w:rsidRPr="00FA3F57">
              <w:rPr>
                <w:sz w:val="20"/>
                <w:szCs w:val="20"/>
              </w:rPr>
              <w:t>2026. The beginning of the project</w:t>
            </w:r>
          </w:p>
          <w:p w14:paraId="13E0EDE8" w14:textId="77777777" w:rsidR="0094644B" w:rsidRPr="00FA3F57" w:rsidRDefault="0094644B" w:rsidP="00FB5086">
            <w:pPr>
              <w:rPr>
                <w:sz w:val="20"/>
                <w:szCs w:val="20"/>
              </w:rPr>
            </w:pPr>
            <w:r w:rsidRPr="00FA3F57">
              <w:rPr>
                <w:sz w:val="20"/>
                <w:szCs w:val="20"/>
              </w:rPr>
              <w:t>2027. Construction</w:t>
            </w:r>
          </w:p>
          <w:p w14:paraId="3713AA29" w14:textId="77777777" w:rsidR="0094644B" w:rsidRPr="00FA3F57" w:rsidRDefault="0094644B" w:rsidP="00FB5086">
            <w:pPr>
              <w:rPr>
                <w:sz w:val="20"/>
                <w:szCs w:val="20"/>
              </w:rPr>
            </w:pPr>
            <w:r w:rsidRPr="00FA3F57">
              <w:rPr>
                <w:sz w:val="20"/>
                <w:szCs w:val="20"/>
              </w:rPr>
              <w:t>2028. Use permit; end of project</w:t>
            </w:r>
          </w:p>
        </w:tc>
      </w:tr>
      <w:tr w:rsidR="0094644B" w:rsidRPr="00F07779" w14:paraId="66C8BD2B" w14:textId="77777777" w:rsidTr="00FB5086">
        <w:tc>
          <w:tcPr>
            <w:tcW w:w="2973" w:type="dxa"/>
          </w:tcPr>
          <w:p w14:paraId="580CA821" w14:textId="77777777" w:rsidR="0094644B" w:rsidRPr="00FA3F57" w:rsidRDefault="0094644B" w:rsidP="00FB5086">
            <w:pPr>
              <w:rPr>
                <w:sz w:val="20"/>
                <w:szCs w:val="20"/>
              </w:rPr>
            </w:pPr>
            <w:r w:rsidRPr="00FA3F57">
              <w:rPr>
                <w:sz w:val="20"/>
                <w:szCs w:val="20"/>
              </w:rPr>
              <w:lastRenderedPageBreak/>
              <w:t>Institutions responsible for the implementation of measures and activities</w:t>
            </w:r>
          </w:p>
        </w:tc>
        <w:tc>
          <w:tcPr>
            <w:tcW w:w="5669" w:type="dxa"/>
          </w:tcPr>
          <w:p w14:paraId="789AD420" w14:textId="77777777" w:rsidR="0094644B" w:rsidRPr="00FA3F57" w:rsidRDefault="0094644B" w:rsidP="00FB5086">
            <w:pPr>
              <w:rPr>
                <w:sz w:val="20"/>
                <w:szCs w:val="20"/>
              </w:rPr>
            </w:pPr>
            <w:r w:rsidRPr="00FA3F57">
              <w:rPr>
                <w:sz w:val="20"/>
                <w:szCs w:val="20"/>
              </w:rPr>
              <w:t>Elektrodistribucija Srbije Ltd. Belgrade</w:t>
            </w:r>
          </w:p>
        </w:tc>
      </w:tr>
      <w:tr w:rsidR="0094644B" w:rsidRPr="00F07779" w14:paraId="35C6A74E" w14:textId="77777777" w:rsidTr="00FB5086">
        <w:tc>
          <w:tcPr>
            <w:tcW w:w="2973" w:type="dxa"/>
          </w:tcPr>
          <w:p w14:paraId="3E0E0A0A" w14:textId="77777777" w:rsidR="0094644B" w:rsidRPr="00FA3F57" w:rsidRDefault="0094644B" w:rsidP="00FB5086">
            <w:pPr>
              <w:rPr>
                <w:sz w:val="20"/>
                <w:szCs w:val="20"/>
              </w:rPr>
            </w:pPr>
            <w:r w:rsidRPr="00FA3F57">
              <w:rPr>
                <w:sz w:val="20"/>
                <w:szCs w:val="20"/>
              </w:rPr>
              <w:t>Institutions responsible for monitoring implementation and reporting on the realization</w:t>
            </w:r>
          </w:p>
        </w:tc>
        <w:tc>
          <w:tcPr>
            <w:tcW w:w="5669" w:type="dxa"/>
          </w:tcPr>
          <w:p w14:paraId="3BA3FF4B" w14:textId="77777777" w:rsidR="0094644B" w:rsidRPr="00F07779" w:rsidRDefault="0094644B" w:rsidP="00FB5086">
            <w:pPr>
              <w:rPr>
                <w:sz w:val="20"/>
                <w:szCs w:val="20"/>
              </w:rPr>
            </w:pPr>
            <w:r w:rsidRPr="00FA3F57">
              <w:rPr>
                <w:sz w:val="20"/>
                <w:szCs w:val="20"/>
              </w:rPr>
              <w:t>Elektrodistribucija Srbije Ltd. Belgrade</w:t>
            </w:r>
          </w:p>
          <w:p w14:paraId="1D85BC09" w14:textId="77777777" w:rsidR="0094644B" w:rsidRPr="00F07779" w:rsidRDefault="0094644B" w:rsidP="00FB5086">
            <w:pPr>
              <w:rPr>
                <w:sz w:val="20"/>
                <w:szCs w:val="20"/>
              </w:rPr>
            </w:pPr>
            <w:r w:rsidRPr="00FA3F57">
              <w:rPr>
                <w:sz w:val="20"/>
                <w:szCs w:val="20"/>
              </w:rPr>
              <w:t>Ministry of Mining and Energy</w:t>
            </w:r>
          </w:p>
          <w:p w14:paraId="2E8B6C4E" w14:textId="77777777" w:rsidR="0094644B" w:rsidRPr="00F07779" w:rsidRDefault="0094644B" w:rsidP="00FB5086">
            <w:pPr>
              <w:rPr>
                <w:sz w:val="20"/>
                <w:szCs w:val="20"/>
              </w:rPr>
            </w:pPr>
            <w:r w:rsidRPr="00FA3F57">
              <w:rPr>
                <w:sz w:val="20"/>
                <w:szCs w:val="20"/>
              </w:rPr>
              <w:t>Ministry of Economy</w:t>
            </w:r>
          </w:p>
        </w:tc>
      </w:tr>
      <w:tr w:rsidR="0094644B" w:rsidRPr="00F07779" w14:paraId="52282EF0" w14:textId="77777777" w:rsidTr="00FB5086">
        <w:tc>
          <w:tcPr>
            <w:tcW w:w="2973" w:type="dxa"/>
          </w:tcPr>
          <w:p w14:paraId="210D334E" w14:textId="77777777" w:rsidR="0094644B" w:rsidRPr="00FA3F57" w:rsidRDefault="0094644B" w:rsidP="00FB5086">
            <w:pPr>
              <w:rPr>
                <w:sz w:val="20"/>
                <w:szCs w:val="20"/>
              </w:rPr>
            </w:pPr>
            <w:r w:rsidRPr="00FA3F57">
              <w:rPr>
                <w:sz w:val="20"/>
                <w:szCs w:val="20"/>
              </w:rPr>
              <w:t>Year of project funding start</w:t>
            </w:r>
          </w:p>
        </w:tc>
        <w:tc>
          <w:tcPr>
            <w:tcW w:w="5669" w:type="dxa"/>
          </w:tcPr>
          <w:p w14:paraId="1275F441" w14:textId="77777777" w:rsidR="0094644B" w:rsidRPr="00FA3F57" w:rsidRDefault="0094644B" w:rsidP="00FB5086">
            <w:pPr>
              <w:rPr>
                <w:sz w:val="20"/>
                <w:szCs w:val="20"/>
              </w:rPr>
            </w:pPr>
            <w:r w:rsidRPr="00FA3F57">
              <w:rPr>
                <w:sz w:val="20"/>
                <w:szCs w:val="20"/>
              </w:rPr>
              <w:t>n/a</w:t>
            </w:r>
          </w:p>
        </w:tc>
      </w:tr>
      <w:tr w:rsidR="0094644B" w:rsidRPr="00F07779" w14:paraId="293CB301" w14:textId="77777777" w:rsidTr="00FB5086">
        <w:tc>
          <w:tcPr>
            <w:tcW w:w="2973" w:type="dxa"/>
          </w:tcPr>
          <w:p w14:paraId="6A9D9868" w14:textId="77777777" w:rsidR="0094644B" w:rsidRPr="00FA3F57" w:rsidRDefault="0094644B" w:rsidP="00FB5086">
            <w:pPr>
              <w:rPr>
                <w:sz w:val="20"/>
                <w:szCs w:val="20"/>
              </w:rPr>
            </w:pPr>
            <w:r w:rsidRPr="00FA3F57">
              <w:rPr>
                <w:sz w:val="20"/>
                <w:szCs w:val="20"/>
              </w:rPr>
              <w:t>Year of completion of project funding</w:t>
            </w:r>
          </w:p>
        </w:tc>
        <w:tc>
          <w:tcPr>
            <w:tcW w:w="5669" w:type="dxa"/>
          </w:tcPr>
          <w:p w14:paraId="3AECCB36" w14:textId="77777777" w:rsidR="0094644B" w:rsidRPr="00FA3F57" w:rsidRDefault="0094644B" w:rsidP="00FB5086">
            <w:pPr>
              <w:rPr>
                <w:sz w:val="20"/>
                <w:szCs w:val="20"/>
              </w:rPr>
            </w:pPr>
            <w:r w:rsidRPr="00FA3F57">
              <w:rPr>
                <w:sz w:val="20"/>
                <w:szCs w:val="20"/>
              </w:rPr>
              <w:t>2028.</w:t>
            </w:r>
          </w:p>
        </w:tc>
      </w:tr>
      <w:tr w:rsidR="0094644B" w:rsidRPr="00F07779" w14:paraId="585C0BC3" w14:textId="77777777" w:rsidTr="00FB5086">
        <w:tc>
          <w:tcPr>
            <w:tcW w:w="2973" w:type="dxa"/>
          </w:tcPr>
          <w:p w14:paraId="18AC05C8" w14:textId="77777777" w:rsidR="0094644B" w:rsidRPr="00FA3F57" w:rsidRDefault="0094644B" w:rsidP="00FB5086">
            <w:pPr>
              <w:rPr>
                <w:sz w:val="20"/>
                <w:szCs w:val="20"/>
              </w:rPr>
            </w:pPr>
            <w:r w:rsidRPr="00FA3F57">
              <w:rPr>
                <w:sz w:val="20"/>
                <w:szCs w:val="20"/>
              </w:rPr>
              <w:t xml:space="preserve">Required funds and source of financing </w:t>
            </w:r>
          </w:p>
          <w:p w14:paraId="1A668A06" w14:textId="77777777" w:rsidR="0094644B" w:rsidRPr="00FA3F57" w:rsidRDefault="0094644B" w:rsidP="00FB5086">
            <w:pPr>
              <w:rPr>
                <w:sz w:val="20"/>
                <w:szCs w:val="20"/>
              </w:rPr>
            </w:pPr>
            <w:r w:rsidRPr="00FA3F57">
              <w:rPr>
                <w:sz w:val="20"/>
                <w:szCs w:val="20"/>
              </w:rPr>
              <w:t>(in thousands of RSD)</w:t>
            </w:r>
          </w:p>
        </w:tc>
        <w:tc>
          <w:tcPr>
            <w:tcW w:w="5669" w:type="dxa"/>
          </w:tcPr>
          <w:p w14:paraId="6AC9BCC7" w14:textId="77777777" w:rsidR="0094644B" w:rsidRPr="00FA3F57" w:rsidRDefault="0094644B" w:rsidP="00FB5086">
            <w:pPr>
              <w:rPr>
                <w:sz w:val="20"/>
                <w:szCs w:val="20"/>
              </w:rPr>
            </w:pPr>
            <w:r w:rsidRPr="00FA3F57">
              <w:rPr>
                <w:sz w:val="20"/>
                <w:szCs w:val="20"/>
              </w:rPr>
              <w:t>1,172,500 (10 million EUR)</w:t>
            </w:r>
            <w:r w:rsidRPr="00FA3F57" w:rsidDel="00EB46F2">
              <w:rPr>
                <w:sz w:val="20"/>
                <w:szCs w:val="20"/>
              </w:rPr>
              <w:t xml:space="preserve"> </w:t>
            </w:r>
            <w:r w:rsidRPr="00FA3F57">
              <w:rPr>
                <w:sz w:val="20"/>
                <w:szCs w:val="20"/>
              </w:rPr>
              <w:t>(funds not provided)</w:t>
            </w:r>
          </w:p>
        </w:tc>
      </w:tr>
      <w:tr w:rsidR="0094644B" w:rsidRPr="00F07779" w14:paraId="543A2347" w14:textId="77777777" w:rsidTr="00FB5086">
        <w:tc>
          <w:tcPr>
            <w:tcW w:w="2973" w:type="dxa"/>
          </w:tcPr>
          <w:p w14:paraId="5E3C2037" w14:textId="77777777" w:rsidR="0094644B" w:rsidRPr="00FA3F57" w:rsidRDefault="0094644B" w:rsidP="00FB5086">
            <w:pPr>
              <w:rPr>
                <w:sz w:val="20"/>
                <w:szCs w:val="20"/>
              </w:rPr>
            </w:pPr>
            <w:r w:rsidRPr="00FA3F57">
              <w:rPr>
                <w:sz w:val="20"/>
                <w:szCs w:val="20"/>
              </w:rPr>
              <w:t>Planned investments for 2026.</w:t>
            </w:r>
            <w:r w:rsidRPr="00FA3F57">
              <w:rPr>
                <w:sz w:val="20"/>
                <w:szCs w:val="20"/>
              </w:rPr>
              <w:br/>
              <w:t>(in thousands of RSD)</w:t>
            </w:r>
          </w:p>
        </w:tc>
        <w:tc>
          <w:tcPr>
            <w:tcW w:w="5669" w:type="dxa"/>
          </w:tcPr>
          <w:p w14:paraId="43ACB8CB" w14:textId="77777777" w:rsidR="0094644B" w:rsidRPr="00FA3F57" w:rsidRDefault="0094644B" w:rsidP="00FB5086">
            <w:pPr>
              <w:rPr>
                <w:sz w:val="20"/>
                <w:szCs w:val="20"/>
              </w:rPr>
            </w:pPr>
            <w:r w:rsidRPr="00FA3F57">
              <w:rPr>
                <w:sz w:val="20"/>
                <w:szCs w:val="20"/>
              </w:rPr>
              <w:t>410,375 (own funds)</w:t>
            </w:r>
          </w:p>
        </w:tc>
      </w:tr>
      <w:tr w:rsidR="0094644B" w:rsidRPr="00F07779" w14:paraId="47B6CEF1" w14:textId="77777777" w:rsidTr="00FB5086">
        <w:tc>
          <w:tcPr>
            <w:tcW w:w="2973" w:type="dxa"/>
          </w:tcPr>
          <w:p w14:paraId="55684B56" w14:textId="77777777" w:rsidR="0094644B" w:rsidRPr="00FA3F57" w:rsidRDefault="0094644B" w:rsidP="00FB5086">
            <w:pPr>
              <w:rPr>
                <w:sz w:val="20"/>
                <w:szCs w:val="20"/>
              </w:rPr>
            </w:pPr>
            <w:r w:rsidRPr="00FA3F57">
              <w:rPr>
                <w:sz w:val="20"/>
                <w:szCs w:val="20"/>
              </w:rPr>
              <w:t>Planned investments for 2027.</w:t>
            </w:r>
            <w:r w:rsidRPr="00FA3F57">
              <w:rPr>
                <w:sz w:val="20"/>
                <w:szCs w:val="20"/>
              </w:rPr>
              <w:br/>
              <w:t>(in thousands of RSD)</w:t>
            </w:r>
          </w:p>
        </w:tc>
        <w:tc>
          <w:tcPr>
            <w:tcW w:w="5669" w:type="dxa"/>
          </w:tcPr>
          <w:p w14:paraId="1D1EF557" w14:textId="77777777" w:rsidR="0094644B" w:rsidRPr="00FA3F57" w:rsidRDefault="0094644B" w:rsidP="00FB5086">
            <w:pPr>
              <w:rPr>
                <w:sz w:val="20"/>
                <w:szCs w:val="20"/>
              </w:rPr>
            </w:pPr>
            <w:r w:rsidRPr="00FA3F57">
              <w:rPr>
                <w:sz w:val="20"/>
                <w:szCs w:val="20"/>
              </w:rPr>
              <w:t>351,750 (own funds)</w:t>
            </w:r>
          </w:p>
        </w:tc>
      </w:tr>
      <w:tr w:rsidR="0094644B" w:rsidRPr="00F07779" w14:paraId="0EA0D7A3" w14:textId="77777777" w:rsidTr="00FB5086">
        <w:tc>
          <w:tcPr>
            <w:tcW w:w="2973" w:type="dxa"/>
          </w:tcPr>
          <w:p w14:paraId="4B2DC034" w14:textId="77777777" w:rsidR="0094644B" w:rsidRPr="00FA3F57" w:rsidRDefault="0094644B" w:rsidP="00FB5086">
            <w:pPr>
              <w:rPr>
                <w:sz w:val="20"/>
                <w:szCs w:val="20"/>
              </w:rPr>
            </w:pPr>
            <w:r w:rsidRPr="00FA3F57">
              <w:rPr>
                <w:sz w:val="20"/>
                <w:szCs w:val="20"/>
              </w:rPr>
              <w:t>Planned investments for 2028.</w:t>
            </w:r>
            <w:r w:rsidRPr="00FA3F57">
              <w:rPr>
                <w:sz w:val="20"/>
                <w:szCs w:val="20"/>
              </w:rPr>
              <w:br/>
              <w:t>(in thousands of RSD)</w:t>
            </w:r>
          </w:p>
        </w:tc>
        <w:tc>
          <w:tcPr>
            <w:tcW w:w="5669" w:type="dxa"/>
          </w:tcPr>
          <w:p w14:paraId="35335DC3" w14:textId="77777777" w:rsidR="0094644B" w:rsidRPr="00FA3F57" w:rsidRDefault="0094644B" w:rsidP="00FB5086">
            <w:pPr>
              <w:rPr>
                <w:sz w:val="20"/>
                <w:szCs w:val="20"/>
              </w:rPr>
            </w:pPr>
            <w:r w:rsidRPr="00FA3F57">
              <w:rPr>
                <w:sz w:val="20"/>
                <w:szCs w:val="20"/>
              </w:rPr>
              <w:t>410,375 (own funds)</w:t>
            </w:r>
          </w:p>
        </w:tc>
      </w:tr>
      <w:tr w:rsidR="0094644B" w:rsidRPr="00F07779" w14:paraId="51428B0C" w14:textId="77777777" w:rsidTr="00FB5086">
        <w:tc>
          <w:tcPr>
            <w:tcW w:w="2973" w:type="dxa"/>
          </w:tcPr>
          <w:p w14:paraId="4B7D3ADE" w14:textId="77777777" w:rsidR="0094644B" w:rsidRPr="00FA3F57" w:rsidRDefault="0094644B" w:rsidP="00FB5086">
            <w:pPr>
              <w:rPr>
                <w:sz w:val="20"/>
                <w:szCs w:val="20"/>
              </w:rPr>
            </w:pPr>
            <w:r w:rsidRPr="00FA3F57">
              <w:rPr>
                <w:sz w:val="20"/>
                <w:szCs w:val="20"/>
              </w:rPr>
              <w:t>Required funds and source of financing</w:t>
            </w:r>
          </w:p>
        </w:tc>
        <w:tc>
          <w:tcPr>
            <w:tcW w:w="5669" w:type="dxa"/>
          </w:tcPr>
          <w:p w14:paraId="1E482866" w14:textId="77777777" w:rsidR="0094644B" w:rsidRPr="00FA3F57" w:rsidRDefault="0094644B" w:rsidP="00FB5086">
            <w:pPr>
              <w:rPr>
                <w:sz w:val="20"/>
                <w:szCs w:val="20"/>
              </w:rPr>
            </w:pPr>
            <w:r w:rsidRPr="00F07779">
              <w:rPr>
                <w:sz w:val="20"/>
                <w:szCs w:val="20"/>
              </w:rPr>
              <w:t>It will be possible to collect, store, analyze, and exchange data with other dispatch centers.</w:t>
            </w:r>
          </w:p>
        </w:tc>
      </w:tr>
    </w:tbl>
    <w:p w14:paraId="00DD3BD5" w14:textId="77777777" w:rsidR="0094644B" w:rsidRPr="00FA3F57" w:rsidRDefault="0094644B" w:rsidP="0094644B"/>
    <w:tbl>
      <w:tblPr>
        <w:tblStyle w:val="TableGrid"/>
        <w:tblW w:w="0" w:type="auto"/>
        <w:tblLook w:val="04A0" w:firstRow="1" w:lastRow="0" w:firstColumn="1" w:lastColumn="0" w:noHBand="0" w:noVBand="1"/>
      </w:tblPr>
      <w:tblGrid>
        <w:gridCol w:w="2973"/>
        <w:gridCol w:w="5669"/>
      </w:tblGrid>
      <w:tr w:rsidR="0094644B" w:rsidRPr="00F07779" w14:paraId="109E764D" w14:textId="77777777" w:rsidTr="00FB5086">
        <w:tc>
          <w:tcPr>
            <w:tcW w:w="2973" w:type="dxa"/>
            <w:shd w:val="clear" w:color="auto" w:fill="D0CECE" w:themeFill="background2" w:themeFillShade="E6"/>
          </w:tcPr>
          <w:p w14:paraId="424D0025" w14:textId="77777777" w:rsidR="0094644B" w:rsidRPr="00FA3F57" w:rsidRDefault="0094644B" w:rsidP="00FB5086">
            <w:pPr>
              <w:keepNext/>
              <w:rPr>
                <w:sz w:val="20"/>
                <w:szCs w:val="20"/>
              </w:rPr>
            </w:pPr>
            <w:r w:rsidRPr="00FA3F57">
              <w:rPr>
                <w:sz w:val="20"/>
                <w:szCs w:val="20"/>
              </w:rPr>
              <w:lastRenderedPageBreak/>
              <w:t>Activity EL7.3</w:t>
            </w:r>
          </w:p>
        </w:tc>
        <w:tc>
          <w:tcPr>
            <w:tcW w:w="5669" w:type="dxa"/>
            <w:shd w:val="clear" w:color="auto" w:fill="D0CECE" w:themeFill="background2" w:themeFillShade="E6"/>
          </w:tcPr>
          <w:p w14:paraId="1F0B53E7" w14:textId="77777777" w:rsidR="0094644B" w:rsidRPr="00FA3F57" w:rsidRDefault="0094644B" w:rsidP="00FB5086">
            <w:pPr>
              <w:keepNext/>
              <w:rPr>
                <w:sz w:val="20"/>
                <w:szCs w:val="20"/>
              </w:rPr>
            </w:pPr>
            <w:r w:rsidRPr="00FA3F57">
              <w:rPr>
                <w:sz w:val="20"/>
                <w:szCs w:val="20"/>
              </w:rPr>
              <w:t>Investment projects for the modernization of the distribution system</w:t>
            </w:r>
          </w:p>
        </w:tc>
      </w:tr>
      <w:tr w:rsidR="0094644B" w:rsidRPr="00F07779" w14:paraId="123AB7E6" w14:textId="77777777" w:rsidTr="00FB5086">
        <w:tc>
          <w:tcPr>
            <w:tcW w:w="2973" w:type="dxa"/>
            <w:shd w:val="clear" w:color="auto" w:fill="D9E2F3" w:themeFill="accent1" w:themeFillTint="33"/>
          </w:tcPr>
          <w:p w14:paraId="2A2D0FFC" w14:textId="77777777" w:rsidR="0094644B" w:rsidRPr="00FA3F57" w:rsidRDefault="0094644B" w:rsidP="00FB5086">
            <w:pPr>
              <w:keepNext/>
              <w:rPr>
                <w:sz w:val="20"/>
                <w:szCs w:val="20"/>
              </w:rPr>
            </w:pPr>
            <w:r w:rsidRPr="00FA3F57">
              <w:rPr>
                <w:sz w:val="20"/>
                <w:szCs w:val="20"/>
              </w:rPr>
              <w:t>Name of the project</w:t>
            </w:r>
          </w:p>
        </w:tc>
        <w:tc>
          <w:tcPr>
            <w:tcW w:w="5669" w:type="dxa"/>
            <w:shd w:val="clear" w:color="auto" w:fill="D9E2F3" w:themeFill="accent1" w:themeFillTint="33"/>
          </w:tcPr>
          <w:p w14:paraId="1DCB103D" w14:textId="77777777" w:rsidR="0094644B" w:rsidRPr="00FA3F57" w:rsidRDefault="0094644B" w:rsidP="00FB5086">
            <w:pPr>
              <w:keepNext/>
              <w:rPr>
                <w:sz w:val="20"/>
                <w:szCs w:val="20"/>
              </w:rPr>
            </w:pPr>
            <w:r w:rsidRPr="00F07779">
              <w:rPr>
                <w:sz w:val="20"/>
                <w:szCs w:val="20"/>
              </w:rPr>
              <w:t>Replacement of measuring transformers at voltage levels of 35 kV and 110 kV</w:t>
            </w:r>
          </w:p>
        </w:tc>
      </w:tr>
      <w:tr w:rsidR="0094644B" w:rsidRPr="00F07779" w14:paraId="0C867DD5" w14:textId="77777777" w:rsidTr="00FB5086">
        <w:tc>
          <w:tcPr>
            <w:tcW w:w="2973" w:type="dxa"/>
          </w:tcPr>
          <w:p w14:paraId="71ADADD2" w14:textId="77777777" w:rsidR="0094644B" w:rsidRPr="00FA3F57" w:rsidRDefault="0094644B" w:rsidP="00FB5086">
            <w:pPr>
              <w:rPr>
                <w:sz w:val="20"/>
                <w:szCs w:val="20"/>
              </w:rPr>
            </w:pPr>
            <w:r w:rsidRPr="00FA3F57">
              <w:rPr>
                <w:sz w:val="20"/>
                <w:szCs w:val="20"/>
              </w:rPr>
              <w:t>Description</w:t>
            </w:r>
          </w:p>
        </w:tc>
        <w:tc>
          <w:tcPr>
            <w:tcW w:w="5669" w:type="dxa"/>
          </w:tcPr>
          <w:p w14:paraId="2EF24521" w14:textId="77777777" w:rsidR="0094644B" w:rsidRPr="00F07779" w:rsidRDefault="0094644B" w:rsidP="00FB5086">
            <w:pPr>
              <w:rPr>
                <w:sz w:val="20"/>
                <w:szCs w:val="20"/>
              </w:rPr>
            </w:pPr>
            <w:r w:rsidRPr="00FA3F57">
              <w:rPr>
                <w:sz w:val="20"/>
                <w:szCs w:val="20"/>
              </w:rPr>
              <w:t>The project includes the replacement of current and voltage measuring transformers at medium and high voltage with new ones with the appropriate accuracy class.</w:t>
            </w:r>
          </w:p>
          <w:p w14:paraId="1F52D5F0" w14:textId="77777777" w:rsidR="0094644B" w:rsidRPr="00FA3F57" w:rsidRDefault="0094644B" w:rsidP="00FB5086">
            <w:pPr>
              <w:rPr>
                <w:sz w:val="20"/>
                <w:szCs w:val="20"/>
              </w:rPr>
            </w:pPr>
            <w:r w:rsidRPr="00FA3F57">
              <w:rPr>
                <w:sz w:val="20"/>
                <w:szCs w:val="20"/>
              </w:rPr>
              <w:t>Expected dynamics of project implementation:</w:t>
            </w:r>
          </w:p>
          <w:p w14:paraId="47E60E96" w14:textId="77777777" w:rsidR="0094644B" w:rsidRPr="00FA3F57" w:rsidRDefault="0094644B" w:rsidP="00FB5086">
            <w:pPr>
              <w:rPr>
                <w:sz w:val="20"/>
                <w:szCs w:val="20"/>
              </w:rPr>
            </w:pPr>
            <w:r w:rsidRPr="00FA3F57">
              <w:rPr>
                <w:sz w:val="20"/>
                <w:szCs w:val="20"/>
              </w:rPr>
              <w:t>2026. The beginning of the project</w:t>
            </w:r>
          </w:p>
          <w:p w14:paraId="5FCA6562" w14:textId="77777777" w:rsidR="0094644B" w:rsidRPr="00FA3F57" w:rsidRDefault="0094644B" w:rsidP="00FB5086">
            <w:pPr>
              <w:rPr>
                <w:sz w:val="20"/>
                <w:szCs w:val="20"/>
              </w:rPr>
            </w:pPr>
            <w:r w:rsidRPr="00FA3F57">
              <w:rPr>
                <w:sz w:val="20"/>
                <w:szCs w:val="20"/>
              </w:rPr>
              <w:t>2027.</w:t>
            </w:r>
            <w:r w:rsidRPr="00F07779">
              <w:rPr>
                <w:sz w:val="20"/>
                <w:szCs w:val="20"/>
              </w:rPr>
              <w:t xml:space="preserve"> </w:t>
            </w:r>
            <w:r w:rsidRPr="00FA3F57">
              <w:rPr>
                <w:sz w:val="20"/>
                <w:szCs w:val="20"/>
              </w:rPr>
              <w:t>Construction</w:t>
            </w:r>
          </w:p>
          <w:p w14:paraId="72A05915" w14:textId="77777777" w:rsidR="0094644B" w:rsidRPr="00FA3F57" w:rsidRDefault="0094644B" w:rsidP="00FB5086">
            <w:pPr>
              <w:rPr>
                <w:sz w:val="20"/>
                <w:szCs w:val="20"/>
              </w:rPr>
            </w:pPr>
            <w:r w:rsidRPr="00FA3F57">
              <w:rPr>
                <w:sz w:val="20"/>
                <w:szCs w:val="20"/>
              </w:rPr>
              <w:t>2028. Commissioning; trial operation</w:t>
            </w:r>
          </w:p>
        </w:tc>
      </w:tr>
      <w:tr w:rsidR="0094644B" w:rsidRPr="00F07779" w14:paraId="5085FBC3" w14:textId="77777777" w:rsidTr="00FB5086">
        <w:tc>
          <w:tcPr>
            <w:tcW w:w="2973" w:type="dxa"/>
          </w:tcPr>
          <w:p w14:paraId="1E9609F4" w14:textId="77777777" w:rsidR="0094644B" w:rsidRPr="00FA3F57" w:rsidRDefault="0094644B" w:rsidP="00FB5086">
            <w:pPr>
              <w:rPr>
                <w:sz w:val="20"/>
                <w:szCs w:val="20"/>
              </w:rPr>
            </w:pPr>
            <w:r w:rsidRPr="00FA3F57">
              <w:rPr>
                <w:sz w:val="20"/>
                <w:szCs w:val="20"/>
              </w:rPr>
              <w:t>Institutions responsible for the implementation of measures and activities</w:t>
            </w:r>
          </w:p>
        </w:tc>
        <w:tc>
          <w:tcPr>
            <w:tcW w:w="5669" w:type="dxa"/>
          </w:tcPr>
          <w:p w14:paraId="7D08AA9B" w14:textId="77777777" w:rsidR="0094644B" w:rsidRPr="00FA3F57" w:rsidRDefault="0094644B" w:rsidP="00FB5086">
            <w:pPr>
              <w:rPr>
                <w:sz w:val="20"/>
                <w:szCs w:val="20"/>
              </w:rPr>
            </w:pPr>
            <w:r w:rsidRPr="00FA3F57">
              <w:rPr>
                <w:sz w:val="20"/>
                <w:szCs w:val="20"/>
              </w:rPr>
              <w:t>Elektrodistribucija Srbije Ltd. Belgrade</w:t>
            </w:r>
          </w:p>
        </w:tc>
      </w:tr>
      <w:tr w:rsidR="0094644B" w:rsidRPr="00F07779" w14:paraId="65832896" w14:textId="77777777" w:rsidTr="00FB5086">
        <w:tc>
          <w:tcPr>
            <w:tcW w:w="2973" w:type="dxa"/>
          </w:tcPr>
          <w:p w14:paraId="3F1840A1" w14:textId="77777777" w:rsidR="0094644B" w:rsidRPr="00FA3F57" w:rsidRDefault="0094644B" w:rsidP="00FB5086">
            <w:pPr>
              <w:rPr>
                <w:sz w:val="20"/>
                <w:szCs w:val="20"/>
              </w:rPr>
            </w:pPr>
            <w:r w:rsidRPr="00FA3F57">
              <w:rPr>
                <w:sz w:val="20"/>
                <w:szCs w:val="20"/>
              </w:rPr>
              <w:t>Institutions responsible for monitoring implementation and reporting on the realization</w:t>
            </w:r>
          </w:p>
        </w:tc>
        <w:tc>
          <w:tcPr>
            <w:tcW w:w="5669" w:type="dxa"/>
          </w:tcPr>
          <w:p w14:paraId="207443B2" w14:textId="77777777" w:rsidR="0094644B" w:rsidRPr="00F07779" w:rsidRDefault="0094644B" w:rsidP="00FB5086">
            <w:pPr>
              <w:rPr>
                <w:sz w:val="20"/>
                <w:szCs w:val="20"/>
              </w:rPr>
            </w:pPr>
            <w:r w:rsidRPr="00FA3F57">
              <w:rPr>
                <w:sz w:val="20"/>
                <w:szCs w:val="20"/>
              </w:rPr>
              <w:t>Elektrodistribucija Srbije Ltd. Belgrade</w:t>
            </w:r>
          </w:p>
          <w:p w14:paraId="2755CA06" w14:textId="77777777" w:rsidR="0094644B" w:rsidRPr="00FA3F57" w:rsidRDefault="0094644B" w:rsidP="00FB5086">
            <w:pPr>
              <w:rPr>
                <w:sz w:val="20"/>
                <w:szCs w:val="20"/>
              </w:rPr>
            </w:pPr>
            <w:r w:rsidRPr="00FA3F57">
              <w:rPr>
                <w:sz w:val="20"/>
                <w:szCs w:val="20"/>
              </w:rPr>
              <w:t>Ministry of Mining and Energy</w:t>
            </w:r>
          </w:p>
          <w:p w14:paraId="21341129" w14:textId="77777777" w:rsidR="0094644B" w:rsidRPr="00FA3F57" w:rsidRDefault="0094644B" w:rsidP="00FB5086">
            <w:pPr>
              <w:rPr>
                <w:sz w:val="20"/>
                <w:szCs w:val="20"/>
              </w:rPr>
            </w:pPr>
            <w:r w:rsidRPr="00FA3F57">
              <w:rPr>
                <w:sz w:val="20"/>
                <w:szCs w:val="20"/>
              </w:rPr>
              <w:t>Ministry of Economy</w:t>
            </w:r>
          </w:p>
        </w:tc>
      </w:tr>
      <w:tr w:rsidR="0094644B" w:rsidRPr="00F07779" w14:paraId="1D56CDD5" w14:textId="77777777" w:rsidTr="00FB5086">
        <w:tc>
          <w:tcPr>
            <w:tcW w:w="2973" w:type="dxa"/>
          </w:tcPr>
          <w:p w14:paraId="73B8E266" w14:textId="77777777" w:rsidR="0094644B" w:rsidRPr="00FA3F57" w:rsidRDefault="0094644B" w:rsidP="00FB5086">
            <w:pPr>
              <w:rPr>
                <w:sz w:val="20"/>
                <w:szCs w:val="20"/>
              </w:rPr>
            </w:pPr>
            <w:r w:rsidRPr="00FA3F57">
              <w:rPr>
                <w:sz w:val="20"/>
                <w:szCs w:val="20"/>
              </w:rPr>
              <w:t>Year of project funding start</w:t>
            </w:r>
          </w:p>
        </w:tc>
        <w:tc>
          <w:tcPr>
            <w:tcW w:w="5669" w:type="dxa"/>
          </w:tcPr>
          <w:p w14:paraId="16D25014" w14:textId="77777777" w:rsidR="0094644B" w:rsidRPr="00FA3F57" w:rsidRDefault="0094644B" w:rsidP="00FB5086">
            <w:pPr>
              <w:rPr>
                <w:sz w:val="20"/>
                <w:szCs w:val="20"/>
              </w:rPr>
            </w:pPr>
            <w:r w:rsidRPr="00FA3F57">
              <w:rPr>
                <w:sz w:val="20"/>
                <w:szCs w:val="20"/>
              </w:rPr>
              <w:t>2026.</w:t>
            </w:r>
          </w:p>
        </w:tc>
      </w:tr>
      <w:tr w:rsidR="0094644B" w:rsidRPr="00F07779" w14:paraId="03BBD753" w14:textId="77777777" w:rsidTr="00FB5086">
        <w:tc>
          <w:tcPr>
            <w:tcW w:w="2973" w:type="dxa"/>
          </w:tcPr>
          <w:p w14:paraId="2623318F" w14:textId="77777777" w:rsidR="0094644B" w:rsidRPr="00FA3F57" w:rsidRDefault="0094644B" w:rsidP="00FB5086">
            <w:pPr>
              <w:rPr>
                <w:sz w:val="20"/>
                <w:szCs w:val="20"/>
              </w:rPr>
            </w:pPr>
            <w:r w:rsidRPr="00FA3F57">
              <w:rPr>
                <w:sz w:val="20"/>
                <w:szCs w:val="20"/>
              </w:rPr>
              <w:t>Year of completion of project funding</w:t>
            </w:r>
          </w:p>
        </w:tc>
        <w:tc>
          <w:tcPr>
            <w:tcW w:w="5669" w:type="dxa"/>
          </w:tcPr>
          <w:p w14:paraId="2F30F1DF" w14:textId="77777777" w:rsidR="0094644B" w:rsidRPr="00FA3F57" w:rsidRDefault="0094644B" w:rsidP="00FB5086">
            <w:pPr>
              <w:rPr>
                <w:sz w:val="20"/>
                <w:szCs w:val="20"/>
              </w:rPr>
            </w:pPr>
            <w:r w:rsidRPr="00FA3F57">
              <w:rPr>
                <w:sz w:val="20"/>
                <w:szCs w:val="20"/>
              </w:rPr>
              <w:t>2028.</w:t>
            </w:r>
          </w:p>
        </w:tc>
      </w:tr>
      <w:tr w:rsidR="0094644B" w:rsidRPr="00F07779" w14:paraId="3A36C19D" w14:textId="77777777" w:rsidTr="00FB5086">
        <w:tc>
          <w:tcPr>
            <w:tcW w:w="2973" w:type="dxa"/>
          </w:tcPr>
          <w:p w14:paraId="5840406D" w14:textId="77777777" w:rsidR="0094644B" w:rsidRPr="00FA3F57" w:rsidRDefault="0094644B" w:rsidP="00FB5086">
            <w:pPr>
              <w:rPr>
                <w:sz w:val="20"/>
                <w:szCs w:val="20"/>
              </w:rPr>
            </w:pPr>
            <w:r w:rsidRPr="00FA3F57">
              <w:rPr>
                <w:sz w:val="20"/>
                <w:szCs w:val="20"/>
              </w:rPr>
              <w:t>Required funds and source of financing</w:t>
            </w:r>
          </w:p>
          <w:p w14:paraId="33F4750F" w14:textId="77777777" w:rsidR="0094644B" w:rsidRPr="00FA3F57" w:rsidRDefault="0094644B" w:rsidP="00FB5086">
            <w:pPr>
              <w:rPr>
                <w:sz w:val="20"/>
                <w:szCs w:val="20"/>
              </w:rPr>
            </w:pPr>
            <w:r w:rsidRPr="00FA3F57">
              <w:rPr>
                <w:sz w:val="20"/>
                <w:szCs w:val="20"/>
              </w:rPr>
              <w:t>(in thousands of RSD)</w:t>
            </w:r>
          </w:p>
        </w:tc>
        <w:tc>
          <w:tcPr>
            <w:tcW w:w="5669" w:type="dxa"/>
          </w:tcPr>
          <w:p w14:paraId="443B83A9" w14:textId="77777777" w:rsidR="0094644B" w:rsidRPr="00FA3F57" w:rsidRDefault="0094644B" w:rsidP="00FB5086">
            <w:pPr>
              <w:rPr>
                <w:sz w:val="20"/>
                <w:szCs w:val="20"/>
              </w:rPr>
            </w:pPr>
            <w:r w:rsidRPr="00FA3F57">
              <w:rPr>
                <w:sz w:val="20"/>
                <w:szCs w:val="20"/>
              </w:rPr>
              <w:t>135,307 (1.154 million EUR)</w:t>
            </w:r>
            <w:r w:rsidRPr="00F07779">
              <w:rPr>
                <w:sz w:val="20"/>
                <w:szCs w:val="20"/>
              </w:rPr>
              <w:t xml:space="preserve"> </w:t>
            </w:r>
            <w:r w:rsidRPr="00FA3F57">
              <w:rPr>
                <w:sz w:val="20"/>
                <w:szCs w:val="20"/>
              </w:rPr>
              <w:t>EIB loan</w:t>
            </w:r>
          </w:p>
        </w:tc>
      </w:tr>
      <w:tr w:rsidR="0094644B" w:rsidRPr="00F07779" w14:paraId="5C92F9AC" w14:textId="77777777" w:rsidTr="00FB5086">
        <w:tc>
          <w:tcPr>
            <w:tcW w:w="2973" w:type="dxa"/>
          </w:tcPr>
          <w:p w14:paraId="61AE67FE" w14:textId="77777777" w:rsidR="0094644B" w:rsidRPr="00FA3F57" w:rsidRDefault="0094644B" w:rsidP="00FB5086">
            <w:pPr>
              <w:rPr>
                <w:sz w:val="20"/>
                <w:szCs w:val="20"/>
              </w:rPr>
            </w:pPr>
            <w:r w:rsidRPr="00FA3F57">
              <w:rPr>
                <w:sz w:val="20"/>
                <w:szCs w:val="20"/>
              </w:rPr>
              <w:t>Planned investments for 2026.</w:t>
            </w:r>
            <w:r w:rsidRPr="00FA3F57">
              <w:rPr>
                <w:sz w:val="20"/>
                <w:szCs w:val="20"/>
              </w:rPr>
              <w:br/>
              <w:t>(in thousands of RSD)</w:t>
            </w:r>
          </w:p>
        </w:tc>
        <w:tc>
          <w:tcPr>
            <w:tcW w:w="5669" w:type="dxa"/>
          </w:tcPr>
          <w:p w14:paraId="7AD871CF" w14:textId="77777777" w:rsidR="0094644B" w:rsidRPr="00FA3F57" w:rsidRDefault="0094644B" w:rsidP="00FB5086">
            <w:pPr>
              <w:rPr>
                <w:sz w:val="20"/>
                <w:szCs w:val="20"/>
              </w:rPr>
            </w:pPr>
            <w:r w:rsidRPr="00FA3F57">
              <w:rPr>
                <w:sz w:val="20"/>
                <w:szCs w:val="20"/>
              </w:rPr>
              <w:t>18,056.5 (loan)</w:t>
            </w:r>
          </w:p>
        </w:tc>
      </w:tr>
      <w:tr w:rsidR="0094644B" w:rsidRPr="00F07779" w14:paraId="38391697" w14:textId="77777777" w:rsidTr="00FB5086">
        <w:tc>
          <w:tcPr>
            <w:tcW w:w="2973" w:type="dxa"/>
          </w:tcPr>
          <w:p w14:paraId="0D8135D8" w14:textId="77777777" w:rsidR="0094644B" w:rsidRPr="00FA3F57" w:rsidRDefault="0094644B" w:rsidP="00FB5086">
            <w:pPr>
              <w:rPr>
                <w:sz w:val="20"/>
                <w:szCs w:val="20"/>
              </w:rPr>
            </w:pPr>
            <w:r w:rsidRPr="00FA3F57">
              <w:rPr>
                <w:sz w:val="20"/>
                <w:szCs w:val="20"/>
              </w:rPr>
              <w:t>Planned investments for 2027.</w:t>
            </w:r>
            <w:r w:rsidRPr="00FA3F57">
              <w:rPr>
                <w:sz w:val="20"/>
                <w:szCs w:val="20"/>
              </w:rPr>
              <w:br/>
              <w:t>(in thousands of RSD)</w:t>
            </w:r>
          </w:p>
        </w:tc>
        <w:tc>
          <w:tcPr>
            <w:tcW w:w="5669" w:type="dxa"/>
          </w:tcPr>
          <w:p w14:paraId="30FB6AB3" w14:textId="77777777" w:rsidR="0094644B" w:rsidRPr="00FA3F57" w:rsidRDefault="0094644B" w:rsidP="00FB5086">
            <w:pPr>
              <w:rPr>
                <w:sz w:val="20"/>
                <w:szCs w:val="20"/>
              </w:rPr>
            </w:pPr>
            <w:r w:rsidRPr="00FA3F57">
              <w:rPr>
                <w:sz w:val="20"/>
                <w:szCs w:val="20"/>
              </w:rPr>
              <w:t>58,625 (loan)</w:t>
            </w:r>
          </w:p>
        </w:tc>
      </w:tr>
      <w:tr w:rsidR="0094644B" w:rsidRPr="00F07779" w14:paraId="784D143D" w14:textId="77777777" w:rsidTr="00FB5086">
        <w:tc>
          <w:tcPr>
            <w:tcW w:w="2973" w:type="dxa"/>
          </w:tcPr>
          <w:p w14:paraId="0124763A" w14:textId="77777777" w:rsidR="0094644B" w:rsidRPr="00FA3F57" w:rsidRDefault="0094644B" w:rsidP="00FB5086">
            <w:pPr>
              <w:rPr>
                <w:sz w:val="20"/>
                <w:szCs w:val="20"/>
              </w:rPr>
            </w:pPr>
            <w:r w:rsidRPr="00FA3F57">
              <w:rPr>
                <w:sz w:val="20"/>
                <w:szCs w:val="20"/>
              </w:rPr>
              <w:t>Planned investments for 2028.</w:t>
            </w:r>
            <w:r w:rsidRPr="00FA3F57">
              <w:rPr>
                <w:sz w:val="20"/>
                <w:szCs w:val="20"/>
              </w:rPr>
              <w:br/>
              <w:t>(in thousands of RSD)</w:t>
            </w:r>
          </w:p>
        </w:tc>
        <w:tc>
          <w:tcPr>
            <w:tcW w:w="5669" w:type="dxa"/>
          </w:tcPr>
          <w:p w14:paraId="6ED83A9A" w14:textId="77777777" w:rsidR="0094644B" w:rsidRPr="00FA3F57" w:rsidRDefault="0094644B" w:rsidP="00FB5086">
            <w:pPr>
              <w:rPr>
                <w:sz w:val="20"/>
                <w:szCs w:val="20"/>
              </w:rPr>
            </w:pPr>
            <w:r w:rsidRPr="00FA3F57">
              <w:rPr>
                <w:sz w:val="20"/>
                <w:szCs w:val="20"/>
              </w:rPr>
              <w:t>58,625 (loan)</w:t>
            </w:r>
          </w:p>
        </w:tc>
      </w:tr>
      <w:tr w:rsidR="0094644B" w:rsidRPr="00F07779" w14:paraId="70EE5CE9" w14:textId="77777777" w:rsidTr="00FB5086">
        <w:tc>
          <w:tcPr>
            <w:tcW w:w="2973" w:type="dxa"/>
          </w:tcPr>
          <w:p w14:paraId="400E5BED" w14:textId="77777777" w:rsidR="0094644B" w:rsidRPr="00FA3F57" w:rsidRDefault="0094644B" w:rsidP="00FB5086">
            <w:pPr>
              <w:rPr>
                <w:sz w:val="20"/>
                <w:szCs w:val="20"/>
              </w:rPr>
            </w:pPr>
            <w:r w:rsidRPr="00FA3F57">
              <w:rPr>
                <w:sz w:val="20"/>
                <w:szCs w:val="20"/>
              </w:rPr>
              <w:t>Implementation indicator</w:t>
            </w:r>
          </w:p>
        </w:tc>
        <w:tc>
          <w:tcPr>
            <w:tcW w:w="5669" w:type="dxa"/>
          </w:tcPr>
          <w:p w14:paraId="01E95F01" w14:textId="77777777" w:rsidR="0094644B" w:rsidRPr="00FA3F57" w:rsidRDefault="0094644B" w:rsidP="00FB5086">
            <w:pPr>
              <w:rPr>
                <w:sz w:val="20"/>
                <w:szCs w:val="20"/>
              </w:rPr>
            </w:pPr>
            <w:r w:rsidRPr="00FA3F57">
              <w:rPr>
                <w:sz w:val="20"/>
                <w:szCs w:val="20"/>
              </w:rPr>
              <w:t>Number of replaced transformers.</w:t>
            </w:r>
          </w:p>
        </w:tc>
      </w:tr>
      <w:tr w:rsidR="0094644B" w:rsidRPr="00F07779" w14:paraId="6350CC4C" w14:textId="77777777" w:rsidTr="00FB5086">
        <w:tc>
          <w:tcPr>
            <w:tcW w:w="2973" w:type="dxa"/>
          </w:tcPr>
          <w:p w14:paraId="036F55A8" w14:textId="77777777" w:rsidR="0094644B" w:rsidRPr="00FA3F57" w:rsidRDefault="0094644B" w:rsidP="00FB5086">
            <w:pPr>
              <w:rPr>
                <w:sz w:val="20"/>
                <w:szCs w:val="20"/>
              </w:rPr>
            </w:pPr>
            <w:r w:rsidRPr="00FA3F57">
              <w:rPr>
                <w:sz w:val="20"/>
                <w:szCs w:val="20"/>
              </w:rPr>
              <w:t>Impact of the activity on the achievement of the objective</w:t>
            </w:r>
          </w:p>
        </w:tc>
        <w:tc>
          <w:tcPr>
            <w:tcW w:w="5669" w:type="dxa"/>
          </w:tcPr>
          <w:p w14:paraId="6135AD93" w14:textId="77777777" w:rsidR="0094644B" w:rsidRPr="00FA3F57" w:rsidRDefault="0094644B" w:rsidP="00FB5086">
            <w:pPr>
              <w:rPr>
                <w:sz w:val="20"/>
                <w:szCs w:val="20"/>
              </w:rPr>
            </w:pPr>
            <w:r w:rsidRPr="00F07779">
              <w:rPr>
                <w:sz w:val="20"/>
                <w:szCs w:val="20"/>
              </w:rPr>
              <w:t>It would allow for a reduction in outages and improved measurement accuracy at points of delivery.</w:t>
            </w:r>
          </w:p>
        </w:tc>
      </w:tr>
      <w:tr w:rsidR="0094644B" w:rsidRPr="00F07779" w14:paraId="24560D3F" w14:textId="77777777" w:rsidTr="00FB5086">
        <w:tc>
          <w:tcPr>
            <w:tcW w:w="2973" w:type="dxa"/>
          </w:tcPr>
          <w:p w14:paraId="2DBA6F07" w14:textId="77777777" w:rsidR="0094644B" w:rsidRPr="00FA3F57" w:rsidRDefault="0094644B" w:rsidP="00FB5086">
            <w:pPr>
              <w:rPr>
                <w:sz w:val="20"/>
                <w:szCs w:val="20"/>
              </w:rPr>
            </w:pPr>
            <w:r w:rsidRPr="00FA3F57">
              <w:rPr>
                <w:sz w:val="20"/>
                <w:szCs w:val="20"/>
              </w:rPr>
              <w:t xml:space="preserve">Impact on EE, climate, and environmental protection </w:t>
            </w:r>
          </w:p>
        </w:tc>
        <w:tc>
          <w:tcPr>
            <w:tcW w:w="5669" w:type="dxa"/>
          </w:tcPr>
          <w:p w14:paraId="64423D34" w14:textId="77777777" w:rsidR="0094644B" w:rsidRPr="00FA3F57" w:rsidRDefault="0094644B" w:rsidP="00FB5086">
            <w:pPr>
              <w:rPr>
                <w:sz w:val="20"/>
                <w:szCs w:val="20"/>
              </w:rPr>
            </w:pPr>
            <w:r w:rsidRPr="00F07779">
              <w:rPr>
                <w:sz w:val="20"/>
                <w:szCs w:val="20"/>
              </w:rPr>
              <w:t xml:space="preserve">A technology with significantly improved characteristics is applied, whose </w:t>
            </w:r>
            <w:proofErr w:type="gramStart"/>
            <w:r w:rsidRPr="00F07779">
              <w:rPr>
                <w:sz w:val="20"/>
                <w:szCs w:val="20"/>
              </w:rPr>
              <w:t>insulating</w:t>
            </w:r>
            <w:proofErr w:type="gramEnd"/>
            <w:r w:rsidRPr="00F07779">
              <w:rPr>
                <w:sz w:val="20"/>
                <w:szCs w:val="20"/>
              </w:rPr>
              <w:t xml:space="preserve"> oils do not contain harmful polychlorinated biphenyls (PCBs). The risk of fire, noise, vibrations, and heat generation is reduced. Lower levels of noise and vibrations positively affect working conditions and the work environment for people in the facilities, and even impact people’s health.</w:t>
            </w:r>
          </w:p>
          <w:p w14:paraId="5C32CFAD" w14:textId="77777777" w:rsidR="0094644B" w:rsidRPr="00FA3F57" w:rsidRDefault="0094644B" w:rsidP="00FB5086">
            <w:pPr>
              <w:rPr>
                <w:sz w:val="20"/>
                <w:szCs w:val="20"/>
              </w:rPr>
            </w:pPr>
            <w:r w:rsidRPr="00F07779">
              <w:rPr>
                <w:sz w:val="20"/>
                <w:szCs w:val="20"/>
              </w:rPr>
              <w:t>By implementing the proposed projects for replacing old transformers, losses will be reduced.</w:t>
            </w:r>
          </w:p>
        </w:tc>
      </w:tr>
    </w:tbl>
    <w:p w14:paraId="1446E4DC" w14:textId="77777777" w:rsidR="0094644B" w:rsidRPr="00FA3F57" w:rsidRDefault="0094644B" w:rsidP="0094644B"/>
    <w:tbl>
      <w:tblPr>
        <w:tblStyle w:val="TableGrid"/>
        <w:tblW w:w="0" w:type="auto"/>
        <w:tblLook w:val="04A0" w:firstRow="1" w:lastRow="0" w:firstColumn="1" w:lastColumn="0" w:noHBand="0" w:noVBand="1"/>
      </w:tblPr>
      <w:tblGrid>
        <w:gridCol w:w="2973"/>
        <w:gridCol w:w="5669"/>
      </w:tblGrid>
      <w:tr w:rsidR="0094644B" w:rsidRPr="00F07779" w14:paraId="31F68AC5" w14:textId="77777777" w:rsidTr="00FB5086">
        <w:tc>
          <w:tcPr>
            <w:tcW w:w="2973" w:type="dxa"/>
            <w:shd w:val="clear" w:color="auto" w:fill="D0CECE" w:themeFill="background2" w:themeFillShade="E6"/>
          </w:tcPr>
          <w:p w14:paraId="7EC67D85" w14:textId="77777777" w:rsidR="0094644B" w:rsidRPr="00FA3F57" w:rsidRDefault="0094644B" w:rsidP="00FB5086">
            <w:pPr>
              <w:keepNext/>
              <w:rPr>
                <w:sz w:val="20"/>
                <w:szCs w:val="20"/>
              </w:rPr>
            </w:pPr>
            <w:r w:rsidRPr="00FA3F57">
              <w:rPr>
                <w:sz w:val="20"/>
                <w:szCs w:val="20"/>
              </w:rPr>
              <w:t>Activity EL7.3</w:t>
            </w:r>
          </w:p>
        </w:tc>
        <w:tc>
          <w:tcPr>
            <w:tcW w:w="5669" w:type="dxa"/>
            <w:shd w:val="clear" w:color="auto" w:fill="D0CECE" w:themeFill="background2" w:themeFillShade="E6"/>
          </w:tcPr>
          <w:p w14:paraId="1FCA60F6" w14:textId="77777777" w:rsidR="0094644B" w:rsidRPr="00FA3F57" w:rsidRDefault="0094644B" w:rsidP="00FB5086">
            <w:pPr>
              <w:keepNext/>
              <w:rPr>
                <w:sz w:val="20"/>
                <w:szCs w:val="20"/>
              </w:rPr>
            </w:pPr>
            <w:r w:rsidRPr="00FA3F57">
              <w:rPr>
                <w:sz w:val="20"/>
                <w:szCs w:val="20"/>
              </w:rPr>
              <w:t>Investment projects for the modernization of the distribution system</w:t>
            </w:r>
          </w:p>
        </w:tc>
      </w:tr>
      <w:tr w:rsidR="0094644B" w:rsidRPr="00F07779" w14:paraId="6F5295F9" w14:textId="77777777" w:rsidTr="00FB5086">
        <w:tc>
          <w:tcPr>
            <w:tcW w:w="2973" w:type="dxa"/>
            <w:shd w:val="clear" w:color="auto" w:fill="D9E2F3" w:themeFill="accent1" w:themeFillTint="33"/>
          </w:tcPr>
          <w:p w14:paraId="5A367364" w14:textId="77777777" w:rsidR="0094644B" w:rsidRPr="00FA3F57" w:rsidRDefault="0094644B" w:rsidP="00FB5086">
            <w:pPr>
              <w:keepNext/>
              <w:rPr>
                <w:sz w:val="20"/>
                <w:szCs w:val="20"/>
              </w:rPr>
            </w:pPr>
            <w:r w:rsidRPr="00FA3F57">
              <w:rPr>
                <w:sz w:val="20"/>
                <w:szCs w:val="20"/>
              </w:rPr>
              <w:t>Name of the project</w:t>
            </w:r>
          </w:p>
        </w:tc>
        <w:tc>
          <w:tcPr>
            <w:tcW w:w="5669" w:type="dxa"/>
            <w:shd w:val="clear" w:color="auto" w:fill="D9E2F3" w:themeFill="accent1" w:themeFillTint="33"/>
          </w:tcPr>
          <w:p w14:paraId="75F5BCA2" w14:textId="77777777" w:rsidR="0094644B" w:rsidRPr="00FA3F57" w:rsidRDefault="0094644B" w:rsidP="00FB5086">
            <w:pPr>
              <w:keepNext/>
              <w:rPr>
                <w:sz w:val="20"/>
                <w:szCs w:val="20"/>
              </w:rPr>
            </w:pPr>
            <w:r w:rsidRPr="00FA3F57">
              <w:rPr>
                <w:sz w:val="20"/>
                <w:szCs w:val="20"/>
              </w:rPr>
              <w:t>Software solution for planning, analysis and advanced management of the distribution network and software tools for loss calculation</w:t>
            </w:r>
          </w:p>
        </w:tc>
      </w:tr>
      <w:tr w:rsidR="0094644B" w:rsidRPr="00F07779" w14:paraId="0F1529CA" w14:textId="77777777" w:rsidTr="00FB5086">
        <w:tc>
          <w:tcPr>
            <w:tcW w:w="2973" w:type="dxa"/>
          </w:tcPr>
          <w:p w14:paraId="4E506CDD" w14:textId="77777777" w:rsidR="0094644B" w:rsidRPr="00FA3F57" w:rsidRDefault="0094644B" w:rsidP="00FB5086">
            <w:pPr>
              <w:rPr>
                <w:sz w:val="20"/>
                <w:szCs w:val="20"/>
              </w:rPr>
            </w:pPr>
            <w:r w:rsidRPr="00FA3F57">
              <w:rPr>
                <w:sz w:val="20"/>
                <w:szCs w:val="20"/>
              </w:rPr>
              <w:t>Description</w:t>
            </w:r>
          </w:p>
        </w:tc>
        <w:tc>
          <w:tcPr>
            <w:tcW w:w="5669" w:type="dxa"/>
          </w:tcPr>
          <w:p w14:paraId="7E6D3A6A" w14:textId="77777777" w:rsidR="0094644B" w:rsidRPr="00F07779" w:rsidRDefault="0094644B" w:rsidP="00FB5086">
            <w:pPr>
              <w:rPr>
                <w:sz w:val="20"/>
                <w:szCs w:val="20"/>
              </w:rPr>
            </w:pPr>
            <w:r w:rsidRPr="00FA3F57">
              <w:rPr>
                <w:sz w:val="20"/>
                <w:szCs w:val="20"/>
              </w:rPr>
              <w:t xml:space="preserve">The software solution for calculating losses will enable monitoring of received, read, and calculated energy </w:t>
            </w:r>
            <w:proofErr w:type="gramStart"/>
            <w:r w:rsidRPr="00FA3F57">
              <w:rPr>
                <w:sz w:val="20"/>
                <w:szCs w:val="20"/>
              </w:rPr>
              <w:t>and,</w:t>
            </w:r>
            <w:proofErr w:type="gramEnd"/>
            <w:r w:rsidRPr="00FA3F57">
              <w:rPr>
                <w:sz w:val="20"/>
                <w:szCs w:val="20"/>
              </w:rPr>
              <w:t xml:space="preserve"> based on this, calculate total losses on the ED network and integrate with legacy EDS systems. The system will </w:t>
            </w:r>
            <w:proofErr w:type="gramStart"/>
            <w:r w:rsidRPr="00FA3F57">
              <w:rPr>
                <w:sz w:val="20"/>
                <w:szCs w:val="20"/>
              </w:rPr>
              <w:t>make an assessment of</w:t>
            </w:r>
            <w:proofErr w:type="gramEnd"/>
            <w:r w:rsidRPr="00FA3F57">
              <w:rPr>
                <w:sz w:val="20"/>
                <w:szCs w:val="20"/>
              </w:rPr>
              <w:t xml:space="preserve"> the future state based on history. The system will also enable EDS to:</w:t>
            </w:r>
          </w:p>
          <w:p w14:paraId="3F66F66F" w14:textId="77777777" w:rsidR="0094644B" w:rsidRPr="00FA3F57" w:rsidRDefault="0094644B" w:rsidP="00FB5086">
            <w:pPr>
              <w:rPr>
                <w:sz w:val="20"/>
                <w:szCs w:val="20"/>
              </w:rPr>
            </w:pPr>
            <w:proofErr w:type="gramStart"/>
            <w:r w:rsidRPr="00FA3F57">
              <w:rPr>
                <w:sz w:val="20"/>
                <w:szCs w:val="20"/>
              </w:rPr>
              <w:t>-</w:t>
            </w:r>
            <w:r w:rsidRPr="00F07779">
              <w:rPr>
                <w:sz w:val="20"/>
                <w:szCs w:val="20"/>
              </w:rPr>
              <w:t xml:space="preserve">  </w:t>
            </w:r>
            <w:r w:rsidRPr="00FA3F57">
              <w:rPr>
                <w:sz w:val="20"/>
                <w:szCs w:val="20"/>
              </w:rPr>
              <w:t>calculate</w:t>
            </w:r>
            <w:proofErr w:type="gramEnd"/>
            <w:r w:rsidRPr="00FA3F57">
              <w:rPr>
                <w:sz w:val="20"/>
                <w:szCs w:val="20"/>
              </w:rPr>
              <w:t xml:space="preserve"> losses for the accounting period (1 month),</w:t>
            </w:r>
          </w:p>
          <w:p w14:paraId="6C08D8F6" w14:textId="77777777" w:rsidR="0094644B" w:rsidRPr="00FA3F57" w:rsidRDefault="0094644B" w:rsidP="00FB5086">
            <w:pPr>
              <w:ind w:left="178" w:hanging="178"/>
              <w:rPr>
                <w:sz w:val="20"/>
                <w:szCs w:val="20"/>
              </w:rPr>
            </w:pPr>
            <w:proofErr w:type="gramStart"/>
            <w:r w:rsidRPr="00FA3F57">
              <w:rPr>
                <w:sz w:val="20"/>
                <w:szCs w:val="20"/>
              </w:rPr>
              <w:t>-</w:t>
            </w:r>
            <w:r w:rsidRPr="00F07779">
              <w:rPr>
                <w:sz w:val="20"/>
                <w:szCs w:val="20"/>
              </w:rPr>
              <w:t xml:space="preserve">  </w:t>
            </w:r>
            <w:r w:rsidRPr="00FA3F57">
              <w:rPr>
                <w:sz w:val="20"/>
                <w:szCs w:val="20"/>
              </w:rPr>
              <w:t>achieve</w:t>
            </w:r>
            <w:proofErr w:type="gramEnd"/>
            <w:r w:rsidRPr="00FA3F57">
              <w:rPr>
                <w:sz w:val="20"/>
                <w:szCs w:val="20"/>
              </w:rPr>
              <w:t xml:space="preserve"> greater accuracy of loss planning and loss reduction measures, and thus detection of micro-location of losses,</w:t>
            </w:r>
          </w:p>
          <w:p w14:paraId="2A785100" w14:textId="77777777" w:rsidR="0094644B" w:rsidRPr="00FA3F57" w:rsidRDefault="0094644B" w:rsidP="00FB5086">
            <w:pPr>
              <w:ind w:left="178" w:hanging="178"/>
              <w:rPr>
                <w:sz w:val="20"/>
                <w:szCs w:val="20"/>
              </w:rPr>
            </w:pPr>
            <w:r w:rsidRPr="00FA3F57">
              <w:rPr>
                <w:sz w:val="20"/>
                <w:szCs w:val="20"/>
              </w:rPr>
              <w:t>-</w:t>
            </w:r>
            <w:r w:rsidRPr="00F07779">
              <w:rPr>
                <w:sz w:val="20"/>
                <w:szCs w:val="20"/>
              </w:rPr>
              <w:t xml:space="preserve">  </w:t>
            </w:r>
            <w:r w:rsidRPr="00FA3F57">
              <w:rPr>
                <w:sz w:val="20"/>
                <w:szCs w:val="20"/>
              </w:rPr>
              <w:t>micro-locating loss centers that will allow for more precise targeting of investments to reduce losses.</w:t>
            </w:r>
          </w:p>
          <w:p w14:paraId="64C83BBF" w14:textId="77777777" w:rsidR="0094644B" w:rsidRPr="00F07779" w:rsidRDefault="0094644B" w:rsidP="00FB5086">
            <w:pPr>
              <w:rPr>
                <w:sz w:val="20"/>
                <w:szCs w:val="20"/>
              </w:rPr>
            </w:pPr>
            <w:r w:rsidRPr="00FA3F57">
              <w:rPr>
                <w:sz w:val="20"/>
                <w:szCs w:val="20"/>
              </w:rPr>
              <w:t>Automating the process will save time compared to manually calculating losses in Excel files.</w:t>
            </w:r>
          </w:p>
          <w:p w14:paraId="70A90AEA" w14:textId="77777777" w:rsidR="0094644B" w:rsidRPr="00FA3F57" w:rsidRDefault="0094644B" w:rsidP="00FB5086">
            <w:pPr>
              <w:rPr>
                <w:sz w:val="20"/>
                <w:szCs w:val="20"/>
              </w:rPr>
            </w:pPr>
            <w:r w:rsidRPr="00FA3F57">
              <w:rPr>
                <w:sz w:val="20"/>
                <w:szCs w:val="20"/>
              </w:rPr>
              <w:t>Expected dynamics of project implementation:</w:t>
            </w:r>
          </w:p>
          <w:p w14:paraId="2014AEDE" w14:textId="77777777" w:rsidR="0094644B" w:rsidRPr="00FA3F57" w:rsidRDefault="0094644B" w:rsidP="00FB5086">
            <w:pPr>
              <w:rPr>
                <w:sz w:val="20"/>
                <w:szCs w:val="20"/>
              </w:rPr>
            </w:pPr>
            <w:r w:rsidRPr="00FA3F57">
              <w:rPr>
                <w:sz w:val="20"/>
                <w:szCs w:val="20"/>
              </w:rPr>
              <w:t>2026. The beginning of the project</w:t>
            </w:r>
          </w:p>
          <w:p w14:paraId="548537DD" w14:textId="77777777" w:rsidR="0094644B" w:rsidRPr="00FA3F57" w:rsidRDefault="0094644B" w:rsidP="00FB5086">
            <w:pPr>
              <w:rPr>
                <w:sz w:val="20"/>
                <w:szCs w:val="20"/>
              </w:rPr>
            </w:pPr>
            <w:r w:rsidRPr="00FA3F57">
              <w:rPr>
                <w:sz w:val="20"/>
                <w:szCs w:val="20"/>
              </w:rPr>
              <w:t>2027. Construction</w:t>
            </w:r>
          </w:p>
          <w:p w14:paraId="15BD027D" w14:textId="77777777" w:rsidR="0094644B" w:rsidRPr="00FA3F57" w:rsidRDefault="0094644B" w:rsidP="00FB5086">
            <w:pPr>
              <w:rPr>
                <w:sz w:val="20"/>
                <w:szCs w:val="20"/>
              </w:rPr>
            </w:pPr>
            <w:r w:rsidRPr="00FA3F57">
              <w:rPr>
                <w:sz w:val="20"/>
                <w:szCs w:val="20"/>
              </w:rPr>
              <w:t>2028. Use permit; end of project</w:t>
            </w:r>
          </w:p>
        </w:tc>
      </w:tr>
      <w:tr w:rsidR="0094644B" w:rsidRPr="00F07779" w14:paraId="28352278" w14:textId="77777777" w:rsidTr="00FB5086">
        <w:tc>
          <w:tcPr>
            <w:tcW w:w="2973" w:type="dxa"/>
          </w:tcPr>
          <w:p w14:paraId="39F0DC96" w14:textId="77777777" w:rsidR="0094644B" w:rsidRPr="00FA3F57" w:rsidRDefault="0094644B" w:rsidP="00FB5086">
            <w:pPr>
              <w:rPr>
                <w:sz w:val="20"/>
                <w:szCs w:val="20"/>
              </w:rPr>
            </w:pPr>
            <w:r w:rsidRPr="00FA3F57">
              <w:rPr>
                <w:sz w:val="20"/>
                <w:szCs w:val="20"/>
              </w:rPr>
              <w:t>Institutions responsible for the implementation of measures and activities</w:t>
            </w:r>
          </w:p>
        </w:tc>
        <w:tc>
          <w:tcPr>
            <w:tcW w:w="5669" w:type="dxa"/>
          </w:tcPr>
          <w:p w14:paraId="684B34CA" w14:textId="77777777" w:rsidR="0094644B" w:rsidRPr="00FA3F57" w:rsidRDefault="0094644B" w:rsidP="00FB5086">
            <w:pPr>
              <w:rPr>
                <w:sz w:val="20"/>
                <w:szCs w:val="20"/>
              </w:rPr>
            </w:pPr>
            <w:r w:rsidRPr="00FA3F57">
              <w:rPr>
                <w:sz w:val="20"/>
                <w:szCs w:val="20"/>
              </w:rPr>
              <w:t>Elektrodistribucija Srbije Ltd. Belgrade</w:t>
            </w:r>
          </w:p>
        </w:tc>
      </w:tr>
      <w:tr w:rsidR="0094644B" w:rsidRPr="00F07779" w14:paraId="1D1EC8C3" w14:textId="77777777" w:rsidTr="00FB5086">
        <w:tc>
          <w:tcPr>
            <w:tcW w:w="2973" w:type="dxa"/>
          </w:tcPr>
          <w:p w14:paraId="19781D74" w14:textId="77777777" w:rsidR="0094644B" w:rsidRPr="00FA3F57" w:rsidRDefault="0094644B" w:rsidP="00FB5086">
            <w:pPr>
              <w:rPr>
                <w:sz w:val="20"/>
                <w:szCs w:val="20"/>
              </w:rPr>
            </w:pPr>
            <w:r w:rsidRPr="00FA3F57">
              <w:rPr>
                <w:sz w:val="20"/>
                <w:szCs w:val="20"/>
              </w:rPr>
              <w:lastRenderedPageBreak/>
              <w:t>Institutions responsible for monitoring implementation and reporting on the realization</w:t>
            </w:r>
          </w:p>
        </w:tc>
        <w:tc>
          <w:tcPr>
            <w:tcW w:w="5669" w:type="dxa"/>
          </w:tcPr>
          <w:p w14:paraId="300EA609" w14:textId="77777777" w:rsidR="0094644B" w:rsidRPr="00F07779" w:rsidRDefault="0094644B" w:rsidP="00FB5086">
            <w:pPr>
              <w:rPr>
                <w:sz w:val="20"/>
                <w:szCs w:val="20"/>
              </w:rPr>
            </w:pPr>
            <w:r w:rsidRPr="00FA3F57">
              <w:rPr>
                <w:sz w:val="20"/>
                <w:szCs w:val="20"/>
              </w:rPr>
              <w:t>Elektrodistribucija Srbije Ltd. Belgrade</w:t>
            </w:r>
            <w:r w:rsidRPr="00FA3F57" w:rsidDel="00135D3B">
              <w:rPr>
                <w:sz w:val="20"/>
                <w:szCs w:val="20"/>
              </w:rPr>
              <w:t xml:space="preserve"> </w:t>
            </w:r>
          </w:p>
          <w:p w14:paraId="3D047844" w14:textId="77777777" w:rsidR="0094644B" w:rsidRPr="00FA3F57" w:rsidRDefault="0094644B" w:rsidP="00FB5086">
            <w:pPr>
              <w:rPr>
                <w:sz w:val="20"/>
                <w:szCs w:val="20"/>
              </w:rPr>
            </w:pPr>
            <w:r w:rsidRPr="00FA3F57">
              <w:rPr>
                <w:sz w:val="20"/>
                <w:szCs w:val="20"/>
              </w:rPr>
              <w:t>Ministry of Mining and Energy</w:t>
            </w:r>
          </w:p>
          <w:p w14:paraId="6F86B01A" w14:textId="77777777" w:rsidR="0094644B" w:rsidRPr="00FA3F57" w:rsidRDefault="0094644B" w:rsidP="00FB5086">
            <w:pPr>
              <w:rPr>
                <w:sz w:val="20"/>
                <w:szCs w:val="20"/>
              </w:rPr>
            </w:pPr>
            <w:r w:rsidRPr="00FA3F57">
              <w:rPr>
                <w:sz w:val="20"/>
                <w:szCs w:val="20"/>
              </w:rPr>
              <w:t>Ministry of Economy</w:t>
            </w:r>
          </w:p>
        </w:tc>
      </w:tr>
      <w:tr w:rsidR="0094644B" w:rsidRPr="00F07779" w14:paraId="15839EDC" w14:textId="77777777" w:rsidTr="00FB5086">
        <w:tc>
          <w:tcPr>
            <w:tcW w:w="2973" w:type="dxa"/>
          </w:tcPr>
          <w:p w14:paraId="4108A94C" w14:textId="77777777" w:rsidR="0094644B" w:rsidRPr="00FA3F57" w:rsidRDefault="0094644B" w:rsidP="00FB5086">
            <w:pPr>
              <w:rPr>
                <w:sz w:val="20"/>
                <w:szCs w:val="20"/>
              </w:rPr>
            </w:pPr>
            <w:r w:rsidRPr="00FA3F57">
              <w:rPr>
                <w:sz w:val="20"/>
                <w:szCs w:val="20"/>
              </w:rPr>
              <w:t>Year of project funding start</w:t>
            </w:r>
          </w:p>
        </w:tc>
        <w:tc>
          <w:tcPr>
            <w:tcW w:w="5669" w:type="dxa"/>
          </w:tcPr>
          <w:p w14:paraId="045394E4" w14:textId="77777777" w:rsidR="0094644B" w:rsidRPr="00FA3F57" w:rsidRDefault="0094644B" w:rsidP="00FB5086">
            <w:pPr>
              <w:rPr>
                <w:sz w:val="20"/>
                <w:szCs w:val="20"/>
              </w:rPr>
            </w:pPr>
            <w:r w:rsidRPr="00FA3F57">
              <w:rPr>
                <w:sz w:val="20"/>
                <w:szCs w:val="20"/>
              </w:rPr>
              <w:t>n/a</w:t>
            </w:r>
          </w:p>
        </w:tc>
      </w:tr>
      <w:tr w:rsidR="0094644B" w:rsidRPr="00F07779" w14:paraId="6F1FEDDE" w14:textId="77777777" w:rsidTr="00FB5086">
        <w:tc>
          <w:tcPr>
            <w:tcW w:w="2973" w:type="dxa"/>
          </w:tcPr>
          <w:p w14:paraId="757221F4" w14:textId="77777777" w:rsidR="0094644B" w:rsidRPr="00FA3F57" w:rsidRDefault="0094644B" w:rsidP="00FB5086">
            <w:pPr>
              <w:rPr>
                <w:sz w:val="20"/>
                <w:szCs w:val="20"/>
              </w:rPr>
            </w:pPr>
            <w:r w:rsidRPr="00FA3F57">
              <w:rPr>
                <w:sz w:val="20"/>
                <w:szCs w:val="20"/>
              </w:rPr>
              <w:t>Year of completion of project funding</w:t>
            </w:r>
          </w:p>
        </w:tc>
        <w:tc>
          <w:tcPr>
            <w:tcW w:w="5669" w:type="dxa"/>
          </w:tcPr>
          <w:p w14:paraId="368D8B25" w14:textId="77777777" w:rsidR="0094644B" w:rsidRPr="00FA3F57" w:rsidRDefault="0094644B" w:rsidP="00FB5086">
            <w:pPr>
              <w:rPr>
                <w:sz w:val="20"/>
                <w:szCs w:val="20"/>
              </w:rPr>
            </w:pPr>
            <w:r w:rsidRPr="00FA3F57">
              <w:rPr>
                <w:sz w:val="20"/>
                <w:szCs w:val="20"/>
              </w:rPr>
              <w:t>2028.</w:t>
            </w:r>
          </w:p>
        </w:tc>
      </w:tr>
      <w:tr w:rsidR="0094644B" w:rsidRPr="00F07779" w14:paraId="19AACAB4" w14:textId="77777777" w:rsidTr="00FB5086">
        <w:tc>
          <w:tcPr>
            <w:tcW w:w="2973" w:type="dxa"/>
          </w:tcPr>
          <w:p w14:paraId="36F55F46" w14:textId="77777777" w:rsidR="0094644B" w:rsidRPr="00FA3F57" w:rsidRDefault="0094644B" w:rsidP="00FB5086">
            <w:pPr>
              <w:rPr>
                <w:sz w:val="20"/>
                <w:szCs w:val="20"/>
              </w:rPr>
            </w:pPr>
            <w:r w:rsidRPr="00FA3F57">
              <w:rPr>
                <w:sz w:val="20"/>
                <w:szCs w:val="20"/>
              </w:rPr>
              <w:t>Required funds and source of financing</w:t>
            </w:r>
          </w:p>
        </w:tc>
        <w:tc>
          <w:tcPr>
            <w:tcW w:w="5669" w:type="dxa"/>
          </w:tcPr>
          <w:p w14:paraId="7E54E38E" w14:textId="77777777" w:rsidR="0094644B" w:rsidRPr="00FA3F57" w:rsidRDefault="0094644B" w:rsidP="00FB5086">
            <w:pPr>
              <w:rPr>
                <w:sz w:val="20"/>
                <w:szCs w:val="20"/>
              </w:rPr>
            </w:pPr>
            <w:r w:rsidRPr="00FA3F57">
              <w:rPr>
                <w:sz w:val="20"/>
                <w:szCs w:val="20"/>
              </w:rPr>
              <w:t>1,172,500 (10 million EUR)</w:t>
            </w:r>
          </w:p>
        </w:tc>
      </w:tr>
      <w:tr w:rsidR="0094644B" w:rsidRPr="00F07779" w14:paraId="5D016991" w14:textId="77777777" w:rsidTr="00FB5086">
        <w:tc>
          <w:tcPr>
            <w:tcW w:w="2973" w:type="dxa"/>
          </w:tcPr>
          <w:p w14:paraId="482F28A4" w14:textId="77777777" w:rsidR="0094644B" w:rsidRPr="00FA3F57" w:rsidRDefault="0094644B" w:rsidP="00FB5086">
            <w:pPr>
              <w:rPr>
                <w:sz w:val="20"/>
                <w:szCs w:val="20"/>
              </w:rPr>
            </w:pPr>
            <w:r w:rsidRPr="00FA3F57">
              <w:rPr>
                <w:sz w:val="20"/>
                <w:szCs w:val="20"/>
              </w:rPr>
              <w:t>Planned investments for 2026.</w:t>
            </w:r>
            <w:r w:rsidRPr="00FA3F57">
              <w:rPr>
                <w:sz w:val="20"/>
                <w:szCs w:val="20"/>
              </w:rPr>
              <w:br/>
              <w:t>(in thousands of RSD)</w:t>
            </w:r>
          </w:p>
        </w:tc>
        <w:tc>
          <w:tcPr>
            <w:tcW w:w="5669" w:type="dxa"/>
          </w:tcPr>
          <w:p w14:paraId="5436FFD5" w14:textId="77777777" w:rsidR="0094644B" w:rsidRPr="00FA3F57" w:rsidRDefault="0094644B" w:rsidP="00FB5086">
            <w:pPr>
              <w:rPr>
                <w:sz w:val="20"/>
                <w:szCs w:val="20"/>
              </w:rPr>
            </w:pPr>
            <w:r w:rsidRPr="00FA3F57">
              <w:rPr>
                <w:sz w:val="20"/>
                <w:szCs w:val="20"/>
              </w:rPr>
              <w:t>257,950 (own funds)</w:t>
            </w:r>
          </w:p>
        </w:tc>
      </w:tr>
      <w:tr w:rsidR="0094644B" w:rsidRPr="00F07779" w14:paraId="0225A859" w14:textId="77777777" w:rsidTr="00FB5086">
        <w:tc>
          <w:tcPr>
            <w:tcW w:w="2973" w:type="dxa"/>
          </w:tcPr>
          <w:p w14:paraId="1A3BBBB1" w14:textId="77777777" w:rsidR="0094644B" w:rsidRPr="00FA3F57" w:rsidRDefault="0094644B" w:rsidP="00FB5086">
            <w:pPr>
              <w:rPr>
                <w:sz w:val="20"/>
                <w:szCs w:val="20"/>
              </w:rPr>
            </w:pPr>
            <w:r w:rsidRPr="00FA3F57">
              <w:rPr>
                <w:sz w:val="20"/>
                <w:szCs w:val="20"/>
              </w:rPr>
              <w:t>Planned investments for 2027.</w:t>
            </w:r>
            <w:r w:rsidRPr="00FA3F57">
              <w:rPr>
                <w:sz w:val="20"/>
                <w:szCs w:val="20"/>
              </w:rPr>
              <w:br/>
              <w:t>(in thousands of RSD)</w:t>
            </w:r>
          </w:p>
        </w:tc>
        <w:tc>
          <w:tcPr>
            <w:tcW w:w="5669" w:type="dxa"/>
          </w:tcPr>
          <w:p w14:paraId="009C2AE1" w14:textId="77777777" w:rsidR="0094644B" w:rsidRPr="00FA3F57" w:rsidRDefault="0094644B" w:rsidP="00FB5086">
            <w:pPr>
              <w:rPr>
                <w:sz w:val="20"/>
                <w:szCs w:val="20"/>
              </w:rPr>
            </w:pPr>
            <w:r w:rsidRPr="00FA3F57">
              <w:rPr>
                <w:sz w:val="20"/>
                <w:szCs w:val="20"/>
              </w:rPr>
              <w:t>117,250 (own funds)</w:t>
            </w:r>
          </w:p>
        </w:tc>
      </w:tr>
      <w:tr w:rsidR="0094644B" w:rsidRPr="00F07779" w14:paraId="53EA5DC0" w14:textId="77777777" w:rsidTr="00FB5086">
        <w:tc>
          <w:tcPr>
            <w:tcW w:w="2973" w:type="dxa"/>
          </w:tcPr>
          <w:p w14:paraId="79B8110E" w14:textId="77777777" w:rsidR="0094644B" w:rsidRPr="00FA3F57" w:rsidRDefault="0094644B" w:rsidP="00FB5086">
            <w:pPr>
              <w:rPr>
                <w:sz w:val="20"/>
                <w:szCs w:val="20"/>
              </w:rPr>
            </w:pPr>
            <w:r w:rsidRPr="00FA3F57">
              <w:rPr>
                <w:sz w:val="20"/>
                <w:szCs w:val="20"/>
              </w:rPr>
              <w:t>Planned investments for 2028.</w:t>
            </w:r>
            <w:r w:rsidRPr="00FA3F57">
              <w:rPr>
                <w:sz w:val="20"/>
                <w:szCs w:val="20"/>
              </w:rPr>
              <w:br/>
              <w:t>(in thousands of RSD)</w:t>
            </w:r>
          </w:p>
        </w:tc>
        <w:tc>
          <w:tcPr>
            <w:tcW w:w="5669" w:type="dxa"/>
          </w:tcPr>
          <w:p w14:paraId="257350AA" w14:textId="77777777" w:rsidR="0094644B" w:rsidRPr="00FA3F57" w:rsidRDefault="0094644B" w:rsidP="00FB5086">
            <w:pPr>
              <w:rPr>
                <w:sz w:val="20"/>
                <w:szCs w:val="20"/>
              </w:rPr>
            </w:pPr>
            <w:r w:rsidRPr="00FA3F57">
              <w:rPr>
                <w:sz w:val="20"/>
                <w:szCs w:val="20"/>
              </w:rPr>
              <w:t>797,300 (own funds)</w:t>
            </w:r>
          </w:p>
        </w:tc>
      </w:tr>
      <w:tr w:rsidR="0094644B" w:rsidRPr="00F07779" w14:paraId="596B45C5" w14:textId="77777777" w:rsidTr="00FB5086">
        <w:tc>
          <w:tcPr>
            <w:tcW w:w="2973" w:type="dxa"/>
          </w:tcPr>
          <w:p w14:paraId="611B8057" w14:textId="77777777" w:rsidR="0094644B" w:rsidRPr="00FA3F57" w:rsidRDefault="0094644B" w:rsidP="00FB5086">
            <w:pPr>
              <w:rPr>
                <w:sz w:val="20"/>
                <w:szCs w:val="20"/>
              </w:rPr>
            </w:pPr>
            <w:r w:rsidRPr="00FA3F57">
              <w:rPr>
                <w:sz w:val="20"/>
                <w:szCs w:val="20"/>
              </w:rPr>
              <w:t>Impact of the activity on the achievement of the objective</w:t>
            </w:r>
          </w:p>
        </w:tc>
        <w:tc>
          <w:tcPr>
            <w:tcW w:w="5669" w:type="dxa"/>
          </w:tcPr>
          <w:p w14:paraId="77177187" w14:textId="77777777" w:rsidR="0094644B" w:rsidRPr="00FA3F57" w:rsidRDefault="0094644B" w:rsidP="00FB5086">
            <w:pPr>
              <w:rPr>
                <w:sz w:val="20"/>
                <w:szCs w:val="20"/>
              </w:rPr>
            </w:pPr>
            <w:r w:rsidRPr="00F07779">
              <w:rPr>
                <w:sz w:val="20"/>
                <w:szCs w:val="20"/>
              </w:rPr>
              <w:t>Process automation will lead to time savings, improved accuracy in loss planning, and precise identification of loss centers.</w:t>
            </w:r>
          </w:p>
        </w:tc>
      </w:tr>
    </w:tbl>
    <w:p w14:paraId="03608EFB" w14:textId="77777777" w:rsidR="0094644B" w:rsidRPr="00FA3F57" w:rsidRDefault="0094644B" w:rsidP="0094644B"/>
    <w:tbl>
      <w:tblPr>
        <w:tblStyle w:val="TableGrid"/>
        <w:tblW w:w="0" w:type="auto"/>
        <w:tblLook w:val="04A0" w:firstRow="1" w:lastRow="0" w:firstColumn="1" w:lastColumn="0" w:noHBand="0" w:noVBand="1"/>
      </w:tblPr>
      <w:tblGrid>
        <w:gridCol w:w="2973"/>
        <w:gridCol w:w="5669"/>
      </w:tblGrid>
      <w:tr w:rsidR="0094644B" w:rsidRPr="00F07779" w14:paraId="0638805D" w14:textId="77777777" w:rsidTr="00FB5086">
        <w:tc>
          <w:tcPr>
            <w:tcW w:w="2973" w:type="dxa"/>
            <w:shd w:val="clear" w:color="auto" w:fill="D0CECE" w:themeFill="background2" w:themeFillShade="E6"/>
          </w:tcPr>
          <w:p w14:paraId="2A59E2B1" w14:textId="77777777" w:rsidR="0094644B" w:rsidRPr="00FA3F57" w:rsidRDefault="0094644B" w:rsidP="00FB5086">
            <w:pPr>
              <w:keepNext/>
              <w:rPr>
                <w:sz w:val="20"/>
                <w:szCs w:val="20"/>
              </w:rPr>
            </w:pPr>
            <w:r w:rsidRPr="00FA3F57">
              <w:rPr>
                <w:sz w:val="20"/>
                <w:szCs w:val="20"/>
              </w:rPr>
              <w:t>Activity EL7.3</w:t>
            </w:r>
          </w:p>
        </w:tc>
        <w:tc>
          <w:tcPr>
            <w:tcW w:w="5669" w:type="dxa"/>
            <w:shd w:val="clear" w:color="auto" w:fill="D0CECE" w:themeFill="background2" w:themeFillShade="E6"/>
          </w:tcPr>
          <w:p w14:paraId="555A59EB" w14:textId="77777777" w:rsidR="0094644B" w:rsidRPr="00FA3F57" w:rsidRDefault="0094644B" w:rsidP="00FB5086">
            <w:pPr>
              <w:keepNext/>
              <w:rPr>
                <w:sz w:val="20"/>
                <w:szCs w:val="20"/>
              </w:rPr>
            </w:pPr>
            <w:r w:rsidRPr="00FA3F57">
              <w:rPr>
                <w:sz w:val="20"/>
                <w:szCs w:val="20"/>
              </w:rPr>
              <w:t>Investment projects for the modernization of the distribution system</w:t>
            </w:r>
          </w:p>
        </w:tc>
      </w:tr>
      <w:tr w:rsidR="0094644B" w:rsidRPr="00F07779" w14:paraId="4AACC16C" w14:textId="77777777" w:rsidTr="00FB5086">
        <w:tc>
          <w:tcPr>
            <w:tcW w:w="2973" w:type="dxa"/>
            <w:shd w:val="clear" w:color="auto" w:fill="D9E2F3" w:themeFill="accent1" w:themeFillTint="33"/>
          </w:tcPr>
          <w:p w14:paraId="40A12A28" w14:textId="77777777" w:rsidR="0094644B" w:rsidRPr="00FA3F57" w:rsidRDefault="0094644B" w:rsidP="00FB5086">
            <w:pPr>
              <w:keepNext/>
              <w:rPr>
                <w:sz w:val="20"/>
                <w:szCs w:val="20"/>
              </w:rPr>
            </w:pPr>
            <w:r w:rsidRPr="00FA3F57">
              <w:rPr>
                <w:sz w:val="20"/>
                <w:szCs w:val="20"/>
              </w:rPr>
              <w:t>Name of the project</w:t>
            </w:r>
          </w:p>
        </w:tc>
        <w:tc>
          <w:tcPr>
            <w:tcW w:w="5669" w:type="dxa"/>
            <w:shd w:val="clear" w:color="auto" w:fill="D9E2F3" w:themeFill="accent1" w:themeFillTint="33"/>
          </w:tcPr>
          <w:p w14:paraId="01DB071E" w14:textId="77777777" w:rsidR="0094644B" w:rsidRPr="00FA3F57" w:rsidRDefault="0094644B" w:rsidP="00FB5086">
            <w:pPr>
              <w:keepNext/>
              <w:rPr>
                <w:sz w:val="20"/>
                <w:szCs w:val="20"/>
              </w:rPr>
            </w:pPr>
            <w:r w:rsidRPr="00F07779">
              <w:rPr>
                <w:sz w:val="20"/>
                <w:szCs w:val="20"/>
              </w:rPr>
              <w:t>Replacement of 6 old 110/X kV power transformers with new units featuring reduced losses</w:t>
            </w:r>
          </w:p>
        </w:tc>
      </w:tr>
      <w:tr w:rsidR="0094644B" w:rsidRPr="00F07779" w14:paraId="03C95C9D" w14:textId="77777777" w:rsidTr="00FB5086">
        <w:tc>
          <w:tcPr>
            <w:tcW w:w="2973" w:type="dxa"/>
          </w:tcPr>
          <w:p w14:paraId="60851690" w14:textId="77777777" w:rsidR="0094644B" w:rsidRPr="00FA3F57" w:rsidRDefault="0094644B" w:rsidP="00FB5086">
            <w:pPr>
              <w:rPr>
                <w:sz w:val="20"/>
                <w:szCs w:val="20"/>
              </w:rPr>
            </w:pPr>
            <w:r w:rsidRPr="00FA3F57">
              <w:rPr>
                <w:sz w:val="20"/>
                <w:szCs w:val="20"/>
              </w:rPr>
              <w:t>Description</w:t>
            </w:r>
          </w:p>
        </w:tc>
        <w:tc>
          <w:tcPr>
            <w:tcW w:w="5669" w:type="dxa"/>
          </w:tcPr>
          <w:p w14:paraId="6CBF8A58" w14:textId="77777777" w:rsidR="0094644B" w:rsidRPr="00FA3F57" w:rsidRDefault="0094644B" w:rsidP="00FB5086">
            <w:pPr>
              <w:rPr>
                <w:sz w:val="20"/>
                <w:szCs w:val="20"/>
              </w:rPr>
            </w:pPr>
            <w:r w:rsidRPr="00F07779">
              <w:rPr>
                <w:sz w:val="20"/>
                <w:szCs w:val="20"/>
              </w:rPr>
              <w:t>Electric power is transferred from the transmission network to the medium-voltage distribution network via 110</w:t>
            </w:r>
            <w:proofErr w:type="gramStart"/>
            <w:r w:rsidRPr="00F07779">
              <w:rPr>
                <w:sz w:val="20"/>
                <w:szCs w:val="20"/>
              </w:rPr>
              <w:t xml:space="preserve">/X </w:t>
            </w:r>
            <w:proofErr w:type="gramEnd"/>
            <w:r w:rsidRPr="00F07779">
              <w:rPr>
                <w:sz w:val="20"/>
                <w:szCs w:val="20"/>
              </w:rPr>
              <w:t>kV substations, through approximately 350 power transformers of 110/X kV. The oldest of these transformers was installed in the mid-fifties of the last century, and its estimated service life of 40 years has long since expired. After analyzing all available data and considering the commissioning year and health index of each 110/X kV power transformer, it is planned to replace a total of six 110/X kV power transformers with new units featuring reduced losses.</w:t>
            </w:r>
          </w:p>
          <w:p w14:paraId="0B2B51BA" w14:textId="77777777" w:rsidR="0094644B" w:rsidRPr="00FA3F57" w:rsidRDefault="0094644B" w:rsidP="00FB5086">
            <w:pPr>
              <w:rPr>
                <w:sz w:val="20"/>
                <w:szCs w:val="20"/>
              </w:rPr>
            </w:pPr>
            <w:r w:rsidRPr="00FA3F57">
              <w:rPr>
                <w:sz w:val="20"/>
                <w:szCs w:val="20"/>
              </w:rPr>
              <w:t>Expected dynamics of project implementation:</w:t>
            </w:r>
          </w:p>
          <w:p w14:paraId="17EAF483" w14:textId="77777777" w:rsidR="0094644B" w:rsidRPr="00FA3F57" w:rsidRDefault="0094644B" w:rsidP="00FB5086">
            <w:pPr>
              <w:rPr>
                <w:sz w:val="20"/>
                <w:szCs w:val="20"/>
              </w:rPr>
            </w:pPr>
            <w:r w:rsidRPr="00FA3F57">
              <w:rPr>
                <w:sz w:val="20"/>
                <w:szCs w:val="20"/>
              </w:rPr>
              <w:t>2026. The beginning of the project</w:t>
            </w:r>
          </w:p>
          <w:p w14:paraId="2BB2F1F3" w14:textId="77777777" w:rsidR="0094644B" w:rsidRPr="00FA3F57" w:rsidRDefault="0094644B" w:rsidP="00FB5086">
            <w:pPr>
              <w:rPr>
                <w:sz w:val="20"/>
                <w:szCs w:val="20"/>
              </w:rPr>
            </w:pPr>
            <w:r w:rsidRPr="00FA3F57">
              <w:rPr>
                <w:sz w:val="20"/>
                <w:szCs w:val="20"/>
              </w:rPr>
              <w:t>2027. Construction</w:t>
            </w:r>
          </w:p>
          <w:p w14:paraId="0AF8BF23" w14:textId="77777777" w:rsidR="0094644B" w:rsidRPr="00FA3F57" w:rsidRDefault="0094644B" w:rsidP="00FB5086">
            <w:pPr>
              <w:rPr>
                <w:sz w:val="20"/>
                <w:szCs w:val="20"/>
              </w:rPr>
            </w:pPr>
            <w:r w:rsidRPr="00FA3F57">
              <w:rPr>
                <w:sz w:val="20"/>
                <w:szCs w:val="20"/>
              </w:rPr>
              <w:t>2028. Commissioning; trial operation</w:t>
            </w:r>
          </w:p>
        </w:tc>
      </w:tr>
      <w:tr w:rsidR="0094644B" w:rsidRPr="00F07779" w14:paraId="7D9031A1" w14:textId="77777777" w:rsidTr="00FB5086">
        <w:tc>
          <w:tcPr>
            <w:tcW w:w="2973" w:type="dxa"/>
          </w:tcPr>
          <w:p w14:paraId="5EF29DAB" w14:textId="77777777" w:rsidR="0094644B" w:rsidRPr="00FA3F57" w:rsidRDefault="0094644B" w:rsidP="00FB5086">
            <w:pPr>
              <w:rPr>
                <w:sz w:val="20"/>
                <w:szCs w:val="20"/>
              </w:rPr>
            </w:pPr>
            <w:r w:rsidRPr="00FA3F57">
              <w:rPr>
                <w:sz w:val="20"/>
                <w:szCs w:val="20"/>
              </w:rPr>
              <w:t>Institutions responsible for the implementation of measures and activities</w:t>
            </w:r>
          </w:p>
        </w:tc>
        <w:tc>
          <w:tcPr>
            <w:tcW w:w="5669" w:type="dxa"/>
          </w:tcPr>
          <w:p w14:paraId="1C979086" w14:textId="77777777" w:rsidR="0094644B" w:rsidRPr="00FA3F57" w:rsidRDefault="0094644B" w:rsidP="00FB5086">
            <w:pPr>
              <w:rPr>
                <w:sz w:val="20"/>
                <w:szCs w:val="20"/>
              </w:rPr>
            </w:pPr>
            <w:r w:rsidRPr="00FA3F57">
              <w:rPr>
                <w:sz w:val="20"/>
                <w:szCs w:val="20"/>
              </w:rPr>
              <w:t>Elektrodistribucija Srbije Ltd. Belgrade</w:t>
            </w:r>
          </w:p>
        </w:tc>
      </w:tr>
      <w:tr w:rsidR="0094644B" w:rsidRPr="00F07779" w14:paraId="1FDAFC99" w14:textId="77777777" w:rsidTr="00FB5086">
        <w:tc>
          <w:tcPr>
            <w:tcW w:w="2973" w:type="dxa"/>
          </w:tcPr>
          <w:p w14:paraId="1FCCDC3C" w14:textId="77777777" w:rsidR="0094644B" w:rsidRPr="00FA3F57" w:rsidRDefault="0094644B" w:rsidP="00FB5086">
            <w:pPr>
              <w:rPr>
                <w:sz w:val="20"/>
                <w:szCs w:val="20"/>
              </w:rPr>
            </w:pPr>
            <w:r w:rsidRPr="00FA3F57">
              <w:rPr>
                <w:sz w:val="20"/>
                <w:szCs w:val="20"/>
              </w:rPr>
              <w:t>Institutions responsible for monitoring implementation and reporting on the realization</w:t>
            </w:r>
          </w:p>
        </w:tc>
        <w:tc>
          <w:tcPr>
            <w:tcW w:w="5669" w:type="dxa"/>
          </w:tcPr>
          <w:p w14:paraId="1129AF42" w14:textId="77777777" w:rsidR="0094644B" w:rsidRPr="00FA3F57" w:rsidRDefault="0094644B" w:rsidP="00FB5086">
            <w:pPr>
              <w:rPr>
                <w:sz w:val="20"/>
                <w:szCs w:val="20"/>
              </w:rPr>
            </w:pPr>
            <w:r w:rsidRPr="00FA3F57">
              <w:rPr>
                <w:sz w:val="20"/>
                <w:szCs w:val="20"/>
              </w:rPr>
              <w:t>Elektrodistribucija Srbije Ltd. Belgrade</w:t>
            </w:r>
            <w:r w:rsidRPr="00FA3F57" w:rsidDel="00135D3B">
              <w:rPr>
                <w:sz w:val="20"/>
                <w:szCs w:val="20"/>
              </w:rPr>
              <w:t xml:space="preserve"> </w:t>
            </w:r>
            <w:r w:rsidRPr="00FA3F57">
              <w:rPr>
                <w:sz w:val="20"/>
                <w:szCs w:val="20"/>
              </w:rPr>
              <w:t>Ministry of Mining and Energy</w:t>
            </w:r>
          </w:p>
          <w:p w14:paraId="07353911" w14:textId="77777777" w:rsidR="0094644B" w:rsidRPr="00FA3F57" w:rsidRDefault="0094644B" w:rsidP="00FB5086">
            <w:pPr>
              <w:rPr>
                <w:sz w:val="20"/>
                <w:szCs w:val="20"/>
              </w:rPr>
            </w:pPr>
            <w:r w:rsidRPr="00FA3F57">
              <w:rPr>
                <w:sz w:val="20"/>
                <w:szCs w:val="20"/>
              </w:rPr>
              <w:t>Ministry of Economy</w:t>
            </w:r>
          </w:p>
        </w:tc>
      </w:tr>
      <w:tr w:rsidR="0094644B" w:rsidRPr="00F07779" w14:paraId="5BD4B05B" w14:textId="77777777" w:rsidTr="00FB5086">
        <w:tc>
          <w:tcPr>
            <w:tcW w:w="2973" w:type="dxa"/>
          </w:tcPr>
          <w:p w14:paraId="2F192EA2" w14:textId="77777777" w:rsidR="0094644B" w:rsidRPr="00FA3F57" w:rsidRDefault="0094644B" w:rsidP="00FB5086">
            <w:pPr>
              <w:rPr>
                <w:sz w:val="20"/>
                <w:szCs w:val="20"/>
              </w:rPr>
            </w:pPr>
            <w:r w:rsidRPr="00FA3F57">
              <w:rPr>
                <w:sz w:val="20"/>
                <w:szCs w:val="20"/>
              </w:rPr>
              <w:t>Year of project funding start</w:t>
            </w:r>
          </w:p>
        </w:tc>
        <w:tc>
          <w:tcPr>
            <w:tcW w:w="5669" w:type="dxa"/>
          </w:tcPr>
          <w:p w14:paraId="741EC767" w14:textId="77777777" w:rsidR="0094644B" w:rsidRPr="00FA3F57" w:rsidRDefault="0094644B" w:rsidP="00FB5086">
            <w:pPr>
              <w:rPr>
                <w:sz w:val="20"/>
                <w:szCs w:val="20"/>
              </w:rPr>
            </w:pPr>
            <w:r w:rsidRPr="00FA3F57">
              <w:rPr>
                <w:sz w:val="20"/>
                <w:szCs w:val="20"/>
              </w:rPr>
              <w:t>2026.</w:t>
            </w:r>
          </w:p>
        </w:tc>
      </w:tr>
      <w:tr w:rsidR="0094644B" w:rsidRPr="00F07779" w14:paraId="30E400B6" w14:textId="77777777" w:rsidTr="00FB5086">
        <w:tc>
          <w:tcPr>
            <w:tcW w:w="2973" w:type="dxa"/>
          </w:tcPr>
          <w:p w14:paraId="097E694E" w14:textId="77777777" w:rsidR="0094644B" w:rsidRPr="00FA3F57" w:rsidRDefault="0094644B" w:rsidP="00FB5086">
            <w:pPr>
              <w:rPr>
                <w:sz w:val="20"/>
                <w:szCs w:val="20"/>
              </w:rPr>
            </w:pPr>
            <w:r w:rsidRPr="00FA3F57">
              <w:rPr>
                <w:sz w:val="20"/>
                <w:szCs w:val="20"/>
              </w:rPr>
              <w:t>Year of completion of project funding</w:t>
            </w:r>
          </w:p>
        </w:tc>
        <w:tc>
          <w:tcPr>
            <w:tcW w:w="5669" w:type="dxa"/>
          </w:tcPr>
          <w:p w14:paraId="519A8B6F" w14:textId="77777777" w:rsidR="0094644B" w:rsidRPr="00FA3F57" w:rsidRDefault="0094644B" w:rsidP="00FB5086">
            <w:pPr>
              <w:rPr>
                <w:sz w:val="20"/>
                <w:szCs w:val="20"/>
              </w:rPr>
            </w:pPr>
            <w:r w:rsidRPr="00FA3F57">
              <w:rPr>
                <w:sz w:val="20"/>
                <w:szCs w:val="20"/>
              </w:rPr>
              <w:t>2028.</w:t>
            </w:r>
          </w:p>
        </w:tc>
      </w:tr>
      <w:tr w:rsidR="0094644B" w:rsidRPr="00F07779" w14:paraId="1940834C" w14:textId="77777777" w:rsidTr="00FB5086">
        <w:tc>
          <w:tcPr>
            <w:tcW w:w="2973" w:type="dxa"/>
          </w:tcPr>
          <w:p w14:paraId="35FC025C" w14:textId="77777777" w:rsidR="0094644B" w:rsidRPr="00FA3F57" w:rsidRDefault="0094644B" w:rsidP="00FB5086">
            <w:pPr>
              <w:rPr>
                <w:sz w:val="20"/>
                <w:szCs w:val="20"/>
              </w:rPr>
            </w:pPr>
            <w:r w:rsidRPr="00FA3F57">
              <w:rPr>
                <w:sz w:val="20"/>
                <w:szCs w:val="20"/>
              </w:rPr>
              <w:t>Required funds and source of financing</w:t>
            </w:r>
          </w:p>
          <w:p w14:paraId="1FF35EC3" w14:textId="77777777" w:rsidR="0094644B" w:rsidRPr="00FA3F57" w:rsidRDefault="0094644B" w:rsidP="00FB5086">
            <w:pPr>
              <w:rPr>
                <w:sz w:val="20"/>
                <w:szCs w:val="20"/>
              </w:rPr>
            </w:pPr>
            <w:r w:rsidRPr="00FA3F57">
              <w:rPr>
                <w:sz w:val="20"/>
                <w:szCs w:val="20"/>
              </w:rPr>
              <w:t>(in thousands of RSD)</w:t>
            </w:r>
          </w:p>
        </w:tc>
        <w:tc>
          <w:tcPr>
            <w:tcW w:w="5669" w:type="dxa"/>
          </w:tcPr>
          <w:p w14:paraId="5687226D" w14:textId="77777777" w:rsidR="0094644B" w:rsidRPr="00FA3F57" w:rsidRDefault="0094644B" w:rsidP="00FB5086">
            <w:pPr>
              <w:rPr>
                <w:sz w:val="20"/>
                <w:szCs w:val="20"/>
              </w:rPr>
            </w:pPr>
            <w:r w:rsidRPr="00FA3F57">
              <w:rPr>
                <w:sz w:val="20"/>
                <w:szCs w:val="20"/>
              </w:rPr>
              <w:t>1,167,810 (9.96 million EUR)</w:t>
            </w:r>
            <w:r w:rsidRPr="00FA3F57" w:rsidDel="00EB46F2">
              <w:rPr>
                <w:sz w:val="20"/>
                <w:szCs w:val="20"/>
              </w:rPr>
              <w:t xml:space="preserve"> </w:t>
            </w:r>
            <w:r w:rsidRPr="00FA3F57">
              <w:rPr>
                <w:sz w:val="20"/>
                <w:szCs w:val="20"/>
              </w:rPr>
              <w:t>(EIB loan)</w:t>
            </w:r>
          </w:p>
        </w:tc>
      </w:tr>
      <w:tr w:rsidR="0094644B" w:rsidRPr="00F07779" w14:paraId="38ADBA29" w14:textId="77777777" w:rsidTr="00FB5086">
        <w:tc>
          <w:tcPr>
            <w:tcW w:w="2973" w:type="dxa"/>
          </w:tcPr>
          <w:p w14:paraId="5AF9A9F6" w14:textId="77777777" w:rsidR="0094644B" w:rsidRPr="00FA3F57" w:rsidRDefault="0094644B" w:rsidP="00FB5086">
            <w:pPr>
              <w:rPr>
                <w:sz w:val="20"/>
                <w:szCs w:val="20"/>
              </w:rPr>
            </w:pPr>
            <w:r w:rsidRPr="00FA3F57">
              <w:rPr>
                <w:sz w:val="20"/>
                <w:szCs w:val="20"/>
              </w:rPr>
              <w:t>Planned investments for 2026.</w:t>
            </w:r>
            <w:r w:rsidRPr="00FA3F57">
              <w:rPr>
                <w:sz w:val="20"/>
                <w:szCs w:val="20"/>
              </w:rPr>
              <w:br/>
              <w:t>(in thousands of RSD)</w:t>
            </w:r>
          </w:p>
        </w:tc>
        <w:tc>
          <w:tcPr>
            <w:tcW w:w="5669" w:type="dxa"/>
          </w:tcPr>
          <w:p w14:paraId="36FA3AC7" w14:textId="77777777" w:rsidR="0094644B" w:rsidRPr="00FA3F57" w:rsidRDefault="0094644B" w:rsidP="00FB5086">
            <w:pPr>
              <w:rPr>
                <w:sz w:val="20"/>
                <w:szCs w:val="20"/>
              </w:rPr>
            </w:pPr>
            <w:r w:rsidRPr="00FA3F57">
              <w:rPr>
                <w:sz w:val="20"/>
                <w:szCs w:val="20"/>
              </w:rPr>
              <w:t>117,250 (loan)</w:t>
            </w:r>
          </w:p>
        </w:tc>
      </w:tr>
      <w:tr w:rsidR="0094644B" w:rsidRPr="00F07779" w14:paraId="4D55E784" w14:textId="77777777" w:rsidTr="00FB5086">
        <w:tc>
          <w:tcPr>
            <w:tcW w:w="2973" w:type="dxa"/>
          </w:tcPr>
          <w:p w14:paraId="7BCB96E0" w14:textId="77777777" w:rsidR="0094644B" w:rsidRPr="00FA3F57" w:rsidRDefault="0094644B" w:rsidP="00FB5086">
            <w:pPr>
              <w:rPr>
                <w:sz w:val="20"/>
                <w:szCs w:val="20"/>
              </w:rPr>
            </w:pPr>
            <w:r w:rsidRPr="00FA3F57">
              <w:rPr>
                <w:sz w:val="20"/>
                <w:szCs w:val="20"/>
              </w:rPr>
              <w:t>Planned investments for 2027.</w:t>
            </w:r>
            <w:r w:rsidRPr="00FA3F57">
              <w:rPr>
                <w:sz w:val="20"/>
                <w:szCs w:val="20"/>
              </w:rPr>
              <w:br/>
              <w:t>(in thousands of RSD)</w:t>
            </w:r>
          </w:p>
        </w:tc>
        <w:tc>
          <w:tcPr>
            <w:tcW w:w="5669" w:type="dxa"/>
          </w:tcPr>
          <w:p w14:paraId="4C68035D" w14:textId="77777777" w:rsidR="0094644B" w:rsidRPr="00FA3F57" w:rsidRDefault="0094644B" w:rsidP="00FB5086">
            <w:pPr>
              <w:rPr>
                <w:sz w:val="20"/>
                <w:szCs w:val="20"/>
              </w:rPr>
            </w:pPr>
            <w:r w:rsidRPr="00FA3F57">
              <w:rPr>
                <w:sz w:val="20"/>
                <w:szCs w:val="20"/>
              </w:rPr>
              <w:t>703,500 (loan)</w:t>
            </w:r>
          </w:p>
        </w:tc>
      </w:tr>
      <w:tr w:rsidR="0094644B" w:rsidRPr="00F07779" w14:paraId="43A47174" w14:textId="77777777" w:rsidTr="00FB5086">
        <w:tc>
          <w:tcPr>
            <w:tcW w:w="2973" w:type="dxa"/>
          </w:tcPr>
          <w:p w14:paraId="739F9FE5" w14:textId="77777777" w:rsidR="0094644B" w:rsidRPr="00FA3F57" w:rsidRDefault="0094644B" w:rsidP="00FB5086">
            <w:pPr>
              <w:rPr>
                <w:sz w:val="20"/>
                <w:szCs w:val="20"/>
              </w:rPr>
            </w:pPr>
            <w:r w:rsidRPr="00FA3F57">
              <w:rPr>
                <w:sz w:val="20"/>
                <w:szCs w:val="20"/>
              </w:rPr>
              <w:t>Planned investments for 2028.</w:t>
            </w:r>
            <w:r w:rsidRPr="00FA3F57">
              <w:rPr>
                <w:sz w:val="20"/>
                <w:szCs w:val="20"/>
              </w:rPr>
              <w:br/>
              <w:t>(in thousands of RSD)</w:t>
            </w:r>
          </w:p>
        </w:tc>
        <w:tc>
          <w:tcPr>
            <w:tcW w:w="5669" w:type="dxa"/>
          </w:tcPr>
          <w:p w14:paraId="4DC61870" w14:textId="77777777" w:rsidR="0094644B" w:rsidRPr="00FA3F57" w:rsidRDefault="0094644B" w:rsidP="00FB5086">
            <w:pPr>
              <w:rPr>
                <w:sz w:val="20"/>
                <w:szCs w:val="20"/>
              </w:rPr>
            </w:pPr>
            <w:r w:rsidRPr="00FA3F57">
              <w:rPr>
                <w:sz w:val="20"/>
                <w:szCs w:val="20"/>
              </w:rPr>
              <w:t>347,060 (loan)</w:t>
            </w:r>
          </w:p>
        </w:tc>
      </w:tr>
      <w:tr w:rsidR="0094644B" w:rsidRPr="00F07779" w14:paraId="71995648" w14:textId="77777777" w:rsidTr="00FB5086">
        <w:tc>
          <w:tcPr>
            <w:tcW w:w="2973" w:type="dxa"/>
          </w:tcPr>
          <w:p w14:paraId="16A15725" w14:textId="77777777" w:rsidR="0094644B" w:rsidRPr="00FA3F57" w:rsidRDefault="0094644B" w:rsidP="00FB5086">
            <w:pPr>
              <w:rPr>
                <w:sz w:val="20"/>
                <w:szCs w:val="20"/>
              </w:rPr>
            </w:pPr>
            <w:r w:rsidRPr="00FA3F57">
              <w:rPr>
                <w:sz w:val="20"/>
                <w:szCs w:val="20"/>
              </w:rPr>
              <w:t>Implementation indicator</w:t>
            </w:r>
          </w:p>
        </w:tc>
        <w:tc>
          <w:tcPr>
            <w:tcW w:w="5669" w:type="dxa"/>
          </w:tcPr>
          <w:p w14:paraId="4698DE6A" w14:textId="77777777" w:rsidR="0094644B" w:rsidRPr="00FA3F57" w:rsidRDefault="0094644B" w:rsidP="00FB5086">
            <w:pPr>
              <w:rPr>
                <w:sz w:val="20"/>
                <w:szCs w:val="20"/>
              </w:rPr>
            </w:pPr>
            <w:r w:rsidRPr="00FA3F57">
              <w:rPr>
                <w:sz w:val="20"/>
                <w:szCs w:val="20"/>
              </w:rPr>
              <w:t>Number of replaced power transformers</w:t>
            </w:r>
          </w:p>
        </w:tc>
      </w:tr>
      <w:tr w:rsidR="0094644B" w:rsidRPr="00F07779" w14:paraId="0B611E91" w14:textId="77777777" w:rsidTr="00FB5086">
        <w:tc>
          <w:tcPr>
            <w:tcW w:w="2973" w:type="dxa"/>
          </w:tcPr>
          <w:p w14:paraId="228FF6D4" w14:textId="77777777" w:rsidR="0094644B" w:rsidRPr="00FA3F57" w:rsidRDefault="0094644B" w:rsidP="00FB5086">
            <w:pPr>
              <w:rPr>
                <w:sz w:val="20"/>
                <w:szCs w:val="20"/>
              </w:rPr>
            </w:pPr>
            <w:r w:rsidRPr="00FA3F57">
              <w:rPr>
                <w:sz w:val="20"/>
                <w:szCs w:val="20"/>
              </w:rPr>
              <w:t>Impact of the activity on the achievement of the objective</w:t>
            </w:r>
          </w:p>
        </w:tc>
        <w:tc>
          <w:tcPr>
            <w:tcW w:w="5669" w:type="dxa"/>
          </w:tcPr>
          <w:p w14:paraId="07FCE16F" w14:textId="77777777" w:rsidR="0094644B" w:rsidRPr="00FA3F57" w:rsidRDefault="0094644B" w:rsidP="00FB5086">
            <w:pPr>
              <w:rPr>
                <w:sz w:val="20"/>
                <w:szCs w:val="20"/>
              </w:rPr>
            </w:pPr>
            <w:r w:rsidRPr="00FA3F57">
              <w:rPr>
                <w:sz w:val="20"/>
                <w:szCs w:val="20"/>
              </w:rPr>
              <w:t>The project should ensure better reliability of the distribution network, reduce the number of outages and the duration of outages for end users, reduce losses in the distribution network, and reduce the total costs of TS maintenance.</w:t>
            </w:r>
          </w:p>
        </w:tc>
      </w:tr>
      <w:tr w:rsidR="0094644B" w:rsidRPr="00F07779" w14:paraId="01E937FF" w14:textId="77777777" w:rsidTr="00FB5086">
        <w:tc>
          <w:tcPr>
            <w:tcW w:w="2973" w:type="dxa"/>
          </w:tcPr>
          <w:p w14:paraId="27DE5FD8" w14:textId="77777777" w:rsidR="0094644B" w:rsidRPr="00FA3F57" w:rsidRDefault="0094644B" w:rsidP="00FB5086">
            <w:pPr>
              <w:rPr>
                <w:sz w:val="20"/>
                <w:szCs w:val="20"/>
              </w:rPr>
            </w:pPr>
            <w:r w:rsidRPr="00FA3F57">
              <w:rPr>
                <w:sz w:val="20"/>
                <w:szCs w:val="20"/>
              </w:rPr>
              <w:t>Impact on EE, climate, and environmental protection</w:t>
            </w:r>
          </w:p>
        </w:tc>
        <w:tc>
          <w:tcPr>
            <w:tcW w:w="5669" w:type="dxa"/>
          </w:tcPr>
          <w:p w14:paraId="190F99AB" w14:textId="77777777" w:rsidR="0094644B" w:rsidRPr="00FA3F57" w:rsidRDefault="0094644B" w:rsidP="00FB5086">
            <w:pPr>
              <w:rPr>
                <w:sz w:val="20"/>
                <w:szCs w:val="20"/>
              </w:rPr>
            </w:pPr>
            <w:r w:rsidRPr="00F07779">
              <w:rPr>
                <w:sz w:val="20"/>
                <w:szCs w:val="20"/>
              </w:rPr>
              <w:t xml:space="preserve">A technology with significantly improved characteristics is applied, whose </w:t>
            </w:r>
            <w:proofErr w:type="gramStart"/>
            <w:r w:rsidRPr="00F07779">
              <w:rPr>
                <w:sz w:val="20"/>
                <w:szCs w:val="20"/>
              </w:rPr>
              <w:t>insulating</w:t>
            </w:r>
            <w:proofErr w:type="gramEnd"/>
            <w:r w:rsidRPr="00F07779">
              <w:rPr>
                <w:sz w:val="20"/>
                <w:szCs w:val="20"/>
              </w:rPr>
              <w:t xml:space="preserve"> oils do not contain harmful polychlorinated biphenyls (PCBs). The risk of fire, noise, vibrations, and heat generation is reduced. Lower levels of noise and vibrations positively affect working conditions and the work environment for people in the facilities, and even impact people’s health.</w:t>
            </w:r>
          </w:p>
          <w:p w14:paraId="0686F171" w14:textId="77777777" w:rsidR="0094644B" w:rsidRPr="00FA3F57" w:rsidRDefault="0094644B" w:rsidP="00FB5086">
            <w:pPr>
              <w:rPr>
                <w:sz w:val="20"/>
                <w:szCs w:val="20"/>
              </w:rPr>
            </w:pPr>
            <w:r w:rsidRPr="00F07779">
              <w:rPr>
                <w:sz w:val="20"/>
                <w:szCs w:val="20"/>
              </w:rPr>
              <w:lastRenderedPageBreak/>
              <w:t>By implementing the proposed projects for replacing old transformers, losses will be reduced.</w:t>
            </w:r>
          </w:p>
        </w:tc>
      </w:tr>
    </w:tbl>
    <w:p w14:paraId="6B15F119" w14:textId="77777777" w:rsidR="0094644B" w:rsidRPr="00FA3F57" w:rsidRDefault="0094644B" w:rsidP="0094644B"/>
    <w:tbl>
      <w:tblPr>
        <w:tblStyle w:val="TableGrid"/>
        <w:tblW w:w="0" w:type="auto"/>
        <w:tblLook w:val="04A0" w:firstRow="1" w:lastRow="0" w:firstColumn="1" w:lastColumn="0" w:noHBand="0" w:noVBand="1"/>
      </w:tblPr>
      <w:tblGrid>
        <w:gridCol w:w="2973"/>
        <w:gridCol w:w="5669"/>
      </w:tblGrid>
      <w:tr w:rsidR="0094644B" w:rsidRPr="00F07779" w14:paraId="4EA7D5C7" w14:textId="77777777" w:rsidTr="00FB5086">
        <w:tc>
          <w:tcPr>
            <w:tcW w:w="2973" w:type="dxa"/>
            <w:shd w:val="clear" w:color="auto" w:fill="D0CECE" w:themeFill="background2" w:themeFillShade="E6"/>
          </w:tcPr>
          <w:p w14:paraId="43CF4684" w14:textId="77777777" w:rsidR="0094644B" w:rsidRPr="00FA3F57" w:rsidRDefault="0094644B" w:rsidP="00FB5086">
            <w:pPr>
              <w:keepNext/>
              <w:rPr>
                <w:sz w:val="20"/>
                <w:szCs w:val="20"/>
              </w:rPr>
            </w:pPr>
            <w:r w:rsidRPr="00FA3F57">
              <w:rPr>
                <w:sz w:val="20"/>
                <w:szCs w:val="20"/>
              </w:rPr>
              <w:t>Activity EL7.3</w:t>
            </w:r>
          </w:p>
        </w:tc>
        <w:tc>
          <w:tcPr>
            <w:tcW w:w="5669" w:type="dxa"/>
            <w:shd w:val="clear" w:color="auto" w:fill="D0CECE" w:themeFill="background2" w:themeFillShade="E6"/>
          </w:tcPr>
          <w:p w14:paraId="01D11F3B" w14:textId="77777777" w:rsidR="0094644B" w:rsidRPr="00FA3F57" w:rsidRDefault="0094644B" w:rsidP="00FB5086">
            <w:pPr>
              <w:keepNext/>
              <w:rPr>
                <w:sz w:val="20"/>
                <w:szCs w:val="20"/>
              </w:rPr>
            </w:pPr>
            <w:r w:rsidRPr="00FA3F57">
              <w:rPr>
                <w:sz w:val="20"/>
                <w:szCs w:val="20"/>
              </w:rPr>
              <w:t>Investment projects for the modernization of the distribution system</w:t>
            </w:r>
          </w:p>
        </w:tc>
      </w:tr>
      <w:tr w:rsidR="0094644B" w:rsidRPr="00F07779" w14:paraId="791CA6BC" w14:textId="77777777" w:rsidTr="00FB5086">
        <w:tc>
          <w:tcPr>
            <w:tcW w:w="2973" w:type="dxa"/>
            <w:shd w:val="clear" w:color="auto" w:fill="D9E2F3" w:themeFill="accent1" w:themeFillTint="33"/>
          </w:tcPr>
          <w:p w14:paraId="17C107BE" w14:textId="77777777" w:rsidR="0094644B" w:rsidRPr="00FA3F57" w:rsidRDefault="0094644B" w:rsidP="00FB5086">
            <w:pPr>
              <w:keepNext/>
              <w:rPr>
                <w:sz w:val="20"/>
                <w:szCs w:val="20"/>
              </w:rPr>
            </w:pPr>
            <w:r w:rsidRPr="00FA3F57">
              <w:rPr>
                <w:sz w:val="20"/>
                <w:szCs w:val="20"/>
              </w:rPr>
              <w:t>Name of the project</w:t>
            </w:r>
          </w:p>
        </w:tc>
        <w:tc>
          <w:tcPr>
            <w:tcW w:w="5669" w:type="dxa"/>
            <w:shd w:val="clear" w:color="auto" w:fill="D9E2F3" w:themeFill="accent1" w:themeFillTint="33"/>
          </w:tcPr>
          <w:p w14:paraId="6352C356" w14:textId="77777777" w:rsidR="0094644B" w:rsidRPr="00FA3F57" w:rsidRDefault="0094644B" w:rsidP="00FB5086">
            <w:pPr>
              <w:keepNext/>
              <w:rPr>
                <w:sz w:val="20"/>
                <w:szCs w:val="20"/>
              </w:rPr>
            </w:pPr>
            <w:r w:rsidRPr="00F07779">
              <w:rPr>
                <w:sz w:val="20"/>
                <w:szCs w:val="20"/>
              </w:rPr>
              <w:t>Replacement of 39 outdated 35/X kV power transformers with new units featuring reduced losses</w:t>
            </w:r>
          </w:p>
        </w:tc>
      </w:tr>
      <w:tr w:rsidR="0094644B" w:rsidRPr="00F07779" w14:paraId="4D2042E3" w14:textId="77777777" w:rsidTr="00FB5086">
        <w:tc>
          <w:tcPr>
            <w:tcW w:w="2973" w:type="dxa"/>
          </w:tcPr>
          <w:p w14:paraId="5B357B19" w14:textId="77777777" w:rsidR="0094644B" w:rsidRPr="00FA3F57" w:rsidRDefault="0094644B" w:rsidP="00FB5086">
            <w:pPr>
              <w:rPr>
                <w:sz w:val="20"/>
                <w:szCs w:val="20"/>
              </w:rPr>
            </w:pPr>
            <w:r w:rsidRPr="00FA3F57">
              <w:rPr>
                <w:sz w:val="20"/>
                <w:szCs w:val="20"/>
              </w:rPr>
              <w:t>Description</w:t>
            </w:r>
          </w:p>
        </w:tc>
        <w:tc>
          <w:tcPr>
            <w:tcW w:w="5669" w:type="dxa"/>
          </w:tcPr>
          <w:p w14:paraId="2DC05137" w14:textId="77777777" w:rsidR="0094644B" w:rsidRPr="00FA3F57" w:rsidRDefault="0094644B" w:rsidP="00FB5086">
            <w:pPr>
              <w:rPr>
                <w:sz w:val="20"/>
                <w:szCs w:val="20"/>
              </w:rPr>
            </w:pPr>
            <w:r w:rsidRPr="00F07779">
              <w:rPr>
                <w:sz w:val="20"/>
                <w:szCs w:val="20"/>
              </w:rPr>
              <w:t>In the distribution network owned by EDS, approximately 590 substations of 35/X kV/kV voltage level have been constructed, containing slightly over 1,100 transformers with transmission ratios of 35/X kV/kV. Considering the service life of 35/X kV/kV power transformers to be 50 years, more than one-third of the total number of transformers have exceeded their lifespan and need to be replaced. The replacement of a portion of these transformers is planned through a complete reconstruction of the 35/X kV/kV substations. The remaining number of aging power transformers needs to be replaced with new units of the same or higher capacity, featuring reduced losses.</w:t>
            </w:r>
          </w:p>
          <w:p w14:paraId="45F86A5F" w14:textId="77777777" w:rsidR="0094644B" w:rsidRPr="00FA3F57" w:rsidRDefault="0094644B" w:rsidP="00FB5086">
            <w:pPr>
              <w:rPr>
                <w:sz w:val="20"/>
                <w:szCs w:val="20"/>
              </w:rPr>
            </w:pPr>
            <w:r w:rsidRPr="00FA3F57">
              <w:rPr>
                <w:sz w:val="20"/>
                <w:szCs w:val="20"/>
              </w:rPr>
              <w:t>Expected dynamics of project implementation:</w:t>
            </w:r>
          </w:p>
          <w:p w14:paraId="66158B9C" w14:textId="77777777" w:rsidR="0094644B" w:rsidRPr="00FA3F57" w:rsidRDefault="0094644B" w:rsidP="00FB5086">
            <w:pPr>
              <w:rPr>
                <w:sz w:val="20"/>
                <w:szCs w:val="20"/>
              </w:rPr>
            </w:pPr>
            <w:r w:rsidRPr="00FA3F57">
              <w:rPr>
                <w:sz w:val="20"/>
                <w:szCs w:val="20"/>
              </w:rPr>
              <w:t>2026. The beginning of the project</w:t>
            </w:r>
          </w:p>
          <w:p w14:paraId="6399DC5A" w14:textId="77777777" w:rsidR="0094644B" w:rsidRPr="00FA3F57" w:rsidRDefault="0094644B" w:rsidP="00FB5086">
            <w:pPr>
              <w:rPr>
                <w:sz w:val="20"/>
                <w:szCs w:val="20"/>
              </w:rPr>
            </w:pPr>
            <w:r w:rsidRPr="00FA3F57">
              <w:rPr>
                <w:sz w:val="20"/>
                <w:szCs w:val="20"/>
              </w:rPr>
              <w:t>2027. Construction</w:t>
            </w:r>
          </w:p>
          <w:p w14:paraId="20A74C21" w14:textId="77777777" w:rsidR="0094644B" w:rsidRPr="00FA3F57" w:rsidRDefault="0094644B" w:rsidP="00FB5086">
            <w:pPr>
              <w:rPr>
                <w:sz w:val="20"/>
                <w:szCs w:val="20"/>
              </w:rPr>
            </w:pPr>
            <w:r w:rsidRPr="00FA3F57">
              <w:rPr>
                <w:sz w:val="20"/>
                <w:szCs w:val="20"/>
              </w:rPr>
              <w:t>2028. Commissioning; trial operation</w:t>
            </w:r>
          </w:p>
        </w:tc>
      </w:tr>
      <w:tr w:rsidR="0094644B" w:rsidRPr="00F07779" w14:paraId="52B26EC7" w14:textId="77777777" w:rsidTr="00FB5086">
        <w:tc>
          <w:tcPr>
            <w:tcW w:w="2973" w:type="dxa"/>
          </w:tcPr>
          <w:p w14:paraId="69B2E171" w14:textId="77777777" w:rsidR="0094644B" w:rsidRPr="00FA3F57" w:rsidRDefault="0094644B" w:rsidP="00FB5086">
            <w:pPr>
              <w:rPr>
                <w:sz w:val="20"/>
                <w:szCs w:val="20"/>
              </w:rPr>
            </w:pPr>
            <w:r w:rsidRPr="00FA3F57">
              <w:rPr>
                <w:sz w:val="20"/>
                <w:szCs w:val="20"/>
              </w:rPr>
              <w:t>Institutions responsible for the implementation of measures and activities</w:t>
            </w:r>
          </w:p>
        </w:tc>
        <w:tc>
          <w:tcPr>
            <w:tcW w:w="5669" w:type="dxa"/>
          </w:tcPr>
          <w:p w14:paraId="0E7FAA3C" w14:textId="77777777" w:rsidR="0094644B" w:rsidRPr="00FA3F57" w:rsidRDefault="0094644B" w:rsidP="00FB5086">
            <w:pPr>
              <w:rPr>
                <w:sz w:val="20"/>
                <w:szCs w:val="20"/>
              </w:rPr>
            </w:pPr>
            <w:r w:rsidRPr="00FA3F57">
              <w:rPr>
                <w:sz w:val="20"/>
                <w:szCs w:val="20"/>
              </w:rPr>
              <w:t>Elektrodistribucija Srbije Ltd. Belgrade</w:t>
            </w:r>
          </w:p>
        </w:tc>
      </w:tr>
      <w:tr w:rsidR="0094644B" w:rsidRPr="00F07779" w14:paraId="20D4666D" w14:textId="77777777" w:rsidTr="00FB5086">
        <w:tc>
          <w:tcPr>
            <w:tcW w:w="2973" w:type="dxa"/>
          </w:tcPr>
          <w:p w14:paraId="22509DDD" w14:textId="77777777" w:rsidR="0094644B" w:rsidRPr="00FA3F57" w:rsidRDefault="0094644B" w:rsidP="00FB5086">
            <w:pPr>
              <w:rPr>
                <w:sz w:val="20"/>
                <w:szCs w:val="20"/>
              </w:rPr>
            </w:pPr>
            <w:r w:rsidRPr="00FA3F57">
              <w:rPr>
                <w:sz w:val="20"/>
                <w:szCs w:val="20"/>
              </w:rPr>
              <w:t>Institutions responsible for monitoring implementation and reporting on the realization</w:t>
            </w:r>
          </w:p>
        </w:tc>
        <w:tc>
          <w:tcPr>
            <w:tcW w:w="5669" w:type="dxa"/>
          </w:tcPr>
          <w:p w14:paraId="09C4EB66" w14:textId="77777777" w:rsidR="0094644B" w:rsidRPr="00F07779" w:rsidRDefault="0094644B" w:rsidP="00FB5086">
            <w:pPr>
              <w:rPr>
                <w:sz w:val="20"/>
                <w:szCs w:val="20"/>
              </w:rPr>
            </w:pPr>
            <w:r w:rsidRPr="00FA3F57">
              <w:rPr>
                <w:sz w:val="20"/>
                <w:szCs w:val="20"/>
              </w:rPr>
              <w:t>Elektrodistribucija Srbije Ltd. Belgrade</w:t>
            </w:r>
          </w:p>
          <w:p w14:paraId="62875FCD" w14:textId="77777777" w:rsidR="0094644B" w:rsidRPr="00FA3F57" w:rsidRDefault="0094644B" w:rsidP="00FB5086">
            <w:pPr>
              <w:rPr>
                <w:sz w:val="20"/>
                <w:szCs w:val="20"/>
              </w:rPr>
            </w:pPr>
            <w:r w:rsidRPr="00FA3F57">
              <w:rPr>
                <w:sz w:val="20"/>
                <w:szCs w:val="20"/>
              </w:rPr>
              <w:t>Ministry of Mining and Energy</w:t>
            </w:r>
          </w:p>
          <w:p w14:paraId="7E731AB4" w14:textId="77777777" w:rsidR="0094644B" w:rsidRPr="00FA3F57" w:rsidRDefault="0094644B" w:rsidP="00FB5086">
            <w:pPr>
              <w:rPr>
                <w:sz w:val="20"/>
                <w:szCs w:val="20"/>
              </w:rPr>
            </w:pPr>
            <w:r w:rsidRPr="00FA3F57">
              <w:rPr>
                <w:sz w:val="20"/>
                <w:szCs w:val="20"/>
              </w:rPr>
              <w:t>Ministry of Economy</w:t>
            </w:r>
          </w:p>
        </w:tc>
      </w:tr>
      <w:tr w:rsidR="0094644B" w:rsidRPr="00F07779" w14:paraId="35A54B5C" w14:textId="77777777" w:rsidTr="00FB5086">
        <w:tc>
          <w:tcPr>
            <w:tcW w:w="2973" w:type="dxa"/>
          </w:tcPr>
          <w:p w14:paraId="0F6A20F8" w14:textId="77777777" w:rsidR="0094644B" w:rsidRPr="00FA3F57" w:rsidRDefault="0094644B" w:rsidP="00FB5086">
            <w:pPr>
              <w:rPr>
                <w:sz w:val="20"/>
                <w:szCs w:val="20"/>
              </w:rPr>
            </w:pPr>
            <w:r w:rsidRPr="00FA3F57">
              <w:rPr>
                <w:sz w:val="20"/>
                <w:szCs w:val="20"/>
              </w:rPr>
              <w:t>Year of project funding start</w:t>
            </w:r>
          </w:p>
        </w:tc>
        <w:tc>
          <w:tcPr>
            <w:tcW w:w="5669" w:type="dxa"/>
          </w:tcPr>
          <w:p w14:paraId="757F7480" w14:textId="77777777" w:rsidR="0094644B" w:rsidRPr="00FA3F57" w:rsidRDefault="0094644B" w:rsidP="00FB5086">
            <w:pPr>
              <w:rPr>
                <w:sz w:val="20"/>
                <w:szCs w:val="20"/>
              </w:rPr>
            </w:pPr>
            <w:r w:rsidRPr="00FA3F57">
              <w:rPr>
                <w:sz w:val="20"/>
                <w:szCs w:val="20"/>
              </w:rPr>
              <w:t>2026.</w:t>
            </w:r>
          </w:p>
        </w:tc>
      </w:tr>
      <w:tr w:rsidR="0094644B" w:rsidRPr="00F07779" w14:paraId="50702F22" w14:textId="77777777" w:rsidTr="00FB5086">
        <w:tc>
          <w:tcPr>
            <w:tcW w:w="2973" w:type="dxa"/>
          </w:tcPr>
          <w:p w14:paraId="2148E1D0" w14:textId="77777777" w:rsidR="0094644B" w:rsidRPr="00FA3F57" w:rsidRDefault="0094644B" w:rsidP="00FB5086">
            <w:pPr>
              <w:rPr>
                <w:sz w:val="20"/>
                <w:szCs w:val="20"/>
              </w:rPr>
            </w:pPr>
            <w:r w:rsidRPr="00FA3F57">
              <w:rPr>
                <w:sz w:val="20"/>
                <w:szCs w:val="20"/>
              </w:rPr>
              <w:t>Year of completion of project funding</w:t>
            </w:r>
          </w:p>
        </w:tc>
        <w:tc>
          <w:tcPr>
            <w:tcW w:w="5669" w:type="dxa"/>
          </w:tcPr>
          <w:p w14:paraId="040BB6CB" w14:textId="77777777" w:rsidR="0094644B" w:rsidRPr="00FA3F57" w:rsidRDefault="0094644B" w:rsidP="00FB5086">
            <w:pPr>
              <w:rPr>
                <w:sz w:val="20"/>
                <w:szCs w:val="20"/>
              </w:rPr>
            </w:pPr>
            <w:r w:rsidRPr="00FA3F57">
              <w:rPr>
                <w:sz w:val="20"/>
                <w:szCs w:val="20"/>
              </w:rPr>
              <w:t>2028.</w:t>
            </w:r>
          </w:p>
        </w:tc>
      </w:tr>
      <w:tr w:rsidR="0094644B" w:rsidRPr="00F07779" w14:paraId="321CEFBC" w14:textId="77777777" w:rsidTr="00FB5086">
        <w:tc>
          <w:tcPr>
            <w:tcW w:w="2973" w:type="dxa"/>
          </w:tcPr>
          <w:p w14:paraId="7ACD1DB0" w14:textId="77777777" w:rsidR="0094644B" w:rsidRPr="00FA3F57" w:rsidRDefault="0094644B" w:rsidP="00FB5086">
            <w:pPr>
              <w:rPr>
                <w:sz w:val="20"/>
                <w:szCs w:val="20"/>
              </w:rPr>
            </w:pPr>
            <w:r w:rsidRPr="00FA3F57">
              <w:rPr>
                <w:sz w:val="20"/>
                <w:szCs w:val="20"/>
              </w:rPr>
              <w:t>Required funds and source of financing</w:t>
            </w:r>
          </w:p>
          <w:p w14:paraId="29F8F02F" w14:textId="77777777" w:rsidR="0094644B" w:rsidRPr="00FA3F57" w:rsidRDefault="0094644B" w:rsidP="00FB5086">
            <w:pPr>
              <w:rPr>
                <w:sz w:val="20"/>
                <w:szCs w:val="20"/>
              </w:rPr>
            </w:pPr>
            <w:r w:rsidRPr="00FA3F57">
              <w:rPr>
                <w:sz w:val="20"/>
                <w:szCs w:val="20"/>
              </w:rPr>
              <w:t>(in thousands of RSD)</w:t>
            </w:r>
          </w:p>
        </w:tc>
        <w:tc>
          <w:tcPr>
            <w:tcW w:w="5669" w:type="dxa"/>
          </w:tcPr>
          <w:p w14:paraId="4E230FAB" w14:textId="77777777" w:rsidR="0094644B" w:rsidRPr="00FA3F57" w:rsidRDefault="0094644B" w:rsidP="00FB5086">
            <w:pPr>
              <w:rPr>
                <w:sz w:val="20"/>
                <w:szCs w:val="20"/>
              </w:rPr>
            </w:pPr>
            <w:r w:rsidRPr="00FA3F57">
              <w:rPr>
                <w:sz w:val="20"/>
                <w:szCs w:val="20"/>
              </w:rPr>
              <w:t>777,368 (6.63 million EUR)</w:t>
            </w:r>
            <w:r w:rsidRPr="00FA3F57" w:rsidDel="009F07E9">
              <w:rPr>
                <w:sz w:val="20"/>
                <w:szCs w:val="20"/>
              </w:rPr>
              <w:t xml:space="preserve"> </w:t>
            </w:r>
            <w:r w:rsidRPr="00FA3F57">
              <w:rPr>
                <w:sz w:val="20"/>
                <w:szCs w:val="20"/>
              </w:rPr>
              <w:t>(EIB loan)</w:t>
            </w:r>
          </w:p>
        </w:tc>
      </w:tr>
      <w:tr w:rsidR="0094644B" w:rsidRPr="00F07779" w14:paraId="3AA7A3E8" w14:textId="77777777" w:rsidTr="00FB5086">
        <w:tc>
          <w:tcPr>
            <w:tcW w:w="2973" w:type="dxa"/>
          </w:tcPr>
          <w:p w14:paraId="1B25C642" w14:textId="77777777" w:rsidR="0094644B" w:rsidRPr="00FA3F57" w:rsidRDefault="0094644B" w:rsidP="00FB5086">
            <w:pPr>
              <w:rPr>
                <w:sz w:val="20"/>
                <w:szCs w:val="20"/>
              </w:rPr>
            </w:pPr>
            <w:r w:rsidRPr="00FA3F57">
              <w:rPr>
                <w:sz w:val="20"/>
                <w:szCs w:val="20"/>
              </w:rPr>
              <w:t>Planned investments for 2026.</w:t>
            </w:r>
            <w:r w:rsidRPr="00FA3F57">
              <w:rPr>
                <w:sz w:val="20"/>
                <w:szCs w:val="20"/>
              </w:rPr>
              <w:br/>
              <w:t>(in thousands of RSD)</w:t>
            </w:r>
          </w:p>
        </w:tc>
        <w:tc>
          <w:tcPr>
            <w:tcW w:w="5669" w:type="dxa"/>
          </w:tcPr>
          <w:p w14:paraId="133385FB" w14:textId="77777777" w:rsidR="0094644B" w:rsidRPr="00FA3F57" w:rsidRDefault="0094644B" w:rsidP="00FB5086">
            <w:pPr>
              <w:rPr>
                <w:sz w:val="20"/>
                <w:szCs w:val="20"/>
              </w:rPr>
            </w:pPr>
            <w:r w:rsidRPr="00FA3F57">
              <w:rPr>
                <w:sz w:val="20"/>
                <w:szCs w:val="20"/>
              </w:rPr>
              <w:t>73,868 (loan)</w:t>
            </w:r>
          </w:p>
        </w:tc>
      </w:tr>
      <w:tr w:rsidR="0094644B" w:rsidRPr="00F07779" w14:paraId="7EFBD1FB" w14:textId="77777777" w:rsidTr="00FB5086">
        <w:tc>
          <w:tcPr>
            <w:tcW w:w="2973" w:type="dxa"/>
          </w:tcPr>
          <w:p w14:paraId="4C47DE30" w14:textId="77777777" w:rsidR="0094644B" w:rsidRPr="00FA3F57" w:rsidRDefault="0094644B" w:rsidP="00FB5086">
            <w:pPr>
              <w:rPr>
                <w:sz w:val="20"/>
                <w:szCs w:val="20"/>
              </w:rPr>
            </w:pPr>
            <w:r w:rsidRPr="00FA3F57">
              <w:rPr>
                <w:sz w:val="20"/>
                <w:szCs w:val="20"/>
              </w:rPr>
              <w:t>Planned investments for 2027.</w:t>
            </w:r>
            <w:r w:rsidRPr="00FA3F57">
              <w:rPr>
                <w:sz w:val="20"/>
                <w:szCs w:val="20"/>
              </w:rPr>
              <w:br/>
              <w:t>(in thousands of RSD)</w:t>
            </w:r>
          </w:p>
        </w:tc>
        <w:tc>
          <w:tcPr>
            <w:tcW w:w="5669" w:type="dxa"/>
          </w:tcPr>
          <w:p w14:paraId="7C23A848" w14:textId="77777777" w:rsidR="0094644B" w:rsidRPr="00FA3F57" w:rsidRDefault="0094644B" w:rsidP="00FB5086">
            <w:pPr>
              <w:rPr>
                <w:sz w:val="20"/>
                <w:szCs w:val="20"/>
              </w:rPr>
            </w:pPr>
            <w:r w:rsidRPr="00FA3F57">
              <w:rPr>
                <w:sz w:val="20"/>
                <w:szCs w:val="20"/>
              </w:rPr>
              <w:t>351,750 (loan)</w:t>
            </w:r>
          </w:p>
        </w:tc>
      </w:tr>
      <w:tr w:rsidR="0094644B" w:rsidRPr="00F07779" w14:paraId="0B565A0A" w14:textId="77777777" w:rsidTr="00FB5086">
        <w:tc>
          <w:tcPr>
            <w:tcW w:w="2973" w:type="dxa"/>
          </w:tcPr>
          <w:p w14:paraId="1DB385E5" w14:textId="77777777" w:rsidR="0094644B" w:rsidRPr="00FA3F57" w:rsidRDefault="0094644B" w:rsidP="00FB5086">
            <w:pPr>
              <w:rPr>
                <w:sz w:val="20"/>
                <w:szCs w:val="20"/>
              </w:rPr>
            </w:pPr>
            <w:r w:rsidRPr="00FA3F57">
              <w:rPr>
                <w:sz w:val="20"/>
                <w:szCs w:val="20"/>
              </w:rPr>
              <w:t>Planned investments for 2028.</w:t>
            </w:r>
            <w:r w:rsidRPr="00FA3F57">
              <w:rPr>
                <w:sz w:val="20"/>
                <w:szCs w:val="20"/>
              </w:rPr>
              <w:br/>
              <w:t>(in thousands of RSD)</w:t>
            </w:r>
          </w:p>
        </w:tc>
        <w:tc>
          <w:tcPr>
            <w:tcW w:w="5669" w:type="dxa"/>
          </w:tcPr>
          <w:p w14:paraId="0B24517A" w14:textId="77777777" w:rsidR="0094644B" w:rsidRPr="00FA3F57" w:rsidRDefault="0094644B" w:rsidP="00FB5086">
            <w:pPr>
              <w:rPr>
                <w:sz w:val="20"/>
                <w:szCs w:val="20"/>
              </w:rPr>
            </w:pPr>
            <w:r w:rsidRPr="00FA3F57">
              <w:rPr>
                <w:sz w:val="20"/>
                <w:szCs w:val="20"/>
              </w:rPr>
              <w:t>351,750 (loan)</w:t>
            </w:r>
          </w:p>
        </w:tc>
      </w:tr>
      <w:tr w:rsidR="0094644B" w:rsidRPr="00F07779" w14:paraId="7726EFA3" w14:textId="77777777" w:rsidTr="00FB5086">
        <w:tc>
          <w:tcPr>
            <w:tcW w:w="2973" w:type="dxa"/>
          </w:tcPr>
          <w:p w14:paraId="0AC8E543" w14:textId="77777777" w:rsidR="0094644B" w:rsidRPr="00FA3F57" w:rsidRDefault="0094644B" w:rsidP="00FB5086">
            <w:pPr>
              <w:rPr>
                <w:sz w:val="20"/>
                <w:szCs w:val="20"/>
              </w:rPr>
            </w:pPr>
            <w:r w:rsidRPr="00FA3F57">
              <w:rPr>
                <w:sz w:val="20"/>
                <w:szCs w:val="20"/>
              </w:rPr>
              <w:t>Implementation indicator</w:t>
            </w:r>
          </w:p>
        </w:tc>
        <w:tc>
          <w:tcPr>
            <w:tcW w:w="5669" w:type="dxa"/>
          </w:tcPr>
          <w:p w14:paraId="580FF495" w14:textId="77777777" w:rsidR="0094644B" w:rsidRPr="00FA3F57" w:rsidRDefault="0094644B" w:rsidP="00FB5086">
            <w:pPr>
              <w:rPr>
                <w:sz w:val="20"/>
                <w:szCs w:val="20"/>
              </w:rPr>
            </w:pPr>
            <w:r w:rsidRPr="00FA3F57">
              <w:rPr>
                <w:sz w:val="20"/>
                <w:szCs w:val="20"/>
              </w:rPr>
              <w:t>Number of replaced power transformers</w:t>
            </w:r>
          </w:p>
        </w:tc>
      </w:tr>
      <w:tr w:rsidR="0094644B" w:rsidRPr="00F07779" w14:paraId="4772E57B" w14:textId="77777777" w:rsidTr="00FB5086">
        <w:tc>
          <w:tcPr>
            <w:tcW w:w="2973" w:type="dxa"/>
          </w:tcPr>
          <w:p w14:paraId="2BC4358E" w14:textId="77777777" w:rsidR="0094644B" w:rsidRPr="00FA3F57" w:rsidRDefault="0094644B" w:rsidP="00FB5086">
            <w:pPr>
              <w:rPr>
                <w:sz w:val="20"/>
                <w:szCs w:val="20"/>
              </w:rPr>
            </w:pPr>
            <w:r w:rsidRPr="00FA3F57">
              <w:rPr>
                <w:sz w:val="20"/>
                <w:szCs w:val="20"/>
              </w:rPr>
              <w:t>Impact of the activity on the achievement of the objective</w:t>
            </w:r>
          </w:p>
        </w:tc>
        <w:tc>
          <w:tcPr>
            <w:tcW w:w="5669" w:type="dxa"/>
          </w:tcPr>
          <w:p w14:paraId="21474D72" w14:textId="77777777" w:rsidR="0094644B" w:rsidRPr="00FA3F57" w:rsidRDefault="0094644B" w:rsidP="00FB5086">
            <w:pPr>
              <w:rPr>
                <w:sz w:val="20"/>
                <w:szCs w:val="20"/>
              </w:rPr>
            </w:pPr>
            <w:r w:rsidRPr="00FA3F57">
              <w:rPr>
                <w:sz w:val="20"/>
                <w:szCs w:val="20"/>
              </w:rPr>
              <w:t>The project should ensure better reliability of the distribution network, reduce the number of outages and the duration of outages for end users, reduce losses in the distribution network, and reduce the total costs of TS maintenance.</w:t>
            </w:r>
          </w:p>
        </w:tc>
      </w:tr>
      <w:tr w:rsidR="0094644B" w:rsidRPr="00F07779" w14:paraId="7BF6F21C" w14:textId="77777777" w:rsidTr="00FB5086">
        <w:tc>
          <w:tcPr>
            <w:tcW w:w="2973" w:type="dxa"/>
          </w:tcPr>
          <w:p w14:paraId="1DDA7C13" w14:textId="77777777" w:rsidR="0094644B" w:rsidRPr="00FA3F57" w:rsidRDefault="0094644B" w:rsidP="00FB5086">
            <w:pPr>
              <w:rPr>
                <w:sz w:val="20"/>
                <w:szCs w:val="20"/>
              </w:rPr>
            </w:pPr>
            <w:r w:rsidRPr="00FA3F57">
              <w:rPr>
                <w:sz w:val="20"/>
                <w:szCs w:val="20"/>
              </w:rPr>
              <w:t>Impact on EE, climate, and environmental protection</w:t>
            </w:r>
          </w:p>
        </w:tc>
        <w:tc>
          <w:tcPr>
            <w:tcW w:w="5669" w:type="dxa"/>
          </w:tcPr>
          <w:p w14:paraId="61D696F4" w14:textId="77777777" w:rsidR="0094644B" w:rsidRPr="00FA3F57" w:rsidRDefault="0094644B" w:rsidP="00FB5086">
            <w:pPr>
              <w:rPr>
                <w:sz w:val="20"/>
                <w:szCs w:val="20"/>
              </w:rPr>
            </w:pPr>
            <w:r w:rsidRPr="00F07779">
              <w:rPr>
                <w:sz w:val="20"/>
                <w:szCs w:val="20"/>
              </w:rPr>
              <w:t xml:space="preserve">A technology with significantly improved characteristics is applied, whose </w:t>
            </w:r>
            <w:proofErr w:type="gramStart"/>
            <w:r w:rsidRPr="00F07779">
              <w:rPr>
                <w:sz w:val="20"/>
                <w:szCs w:val="20"/>
              </w:rPr>
              <w:t>insulating</w:t>
            </w:r>
            <w:proofErr w:type="gramEnd"/>
            <w:r w:rsidRPr="00F07779">
              <w:rPr>
                <w:sz w:val="20"/>
                <w:szCs w:val="20"/>
              </w:rPr>
              <w:t xml:space="preserve"> oils do not contain harmful polychlorinated biphenyls (PCBs). The risk of fire, noise, vibrations, and heat generation is reduced. Lower levels of noise and vibrations positively affect working conditions and the work environment for people in the facilities, and even impact people’s health.</w:t>
            </w:r>
          </w:p>
          <w:p w14:paraId="0069F55F" w14:textId="77777777" w:rsidR="0094644B" w:rsidRPr="00FA3F57" w:rsidRDefault="0094644B" w:rsidP="00FB5086">
            <w:pPr>
              <w:rPr>
                <w:sz w:val="20"/>
                <w:szCs w:val="20"/>
              </w:rPr>
            </w:pPr>
            <w:r w:rsidRPr="00F07779">
              <w:rPr>
                <w:sz w:val="20"/>
                <w:szCs w:val="20"/>
              </w:rPr>
              <w:t>By implementing the proposed projects for replacing old transformers, losses will be reduced.</w:t>
            </w:r>
          </w:p>
        </w:tc>
      </w:tr>
    </w:tbl>
    <w:p w14:paraId="4BB309A5" w14:textId="77777777" w:rsidR="0094644B" w:rsidRPr="00FA3F57" w:rsidRDefault="0094644B" w:rsidP="0094644B"/>
    <w:tbl>
      <w:tblPr>
        <w:tblStyle w:val="TableGrid"/>
        <w:tblW w:w="0" w:type="auto"/>
        <w:tblLook w:val="04A0" w:firstRow="1" w:lastRow="0" w:firstColumn="1" w:lastColumn="0" w:noHBand="0" w:noVBand="1"/>
      </w:tblPr>
      <w:tblGrid>
        <w:gridCol w:w="2973"/>
        <w:gridCol w:w="5669"/>
      </w:tblGrid>
      <w:tr w:rsidR="0094644B" w:rsidRPr="00F07779" w14:paraId="0C874BAF" w14:textId="77777777" w:rsidTr="00FB5086">
        <w:tc>
          <w:tcPr>
            <w:tcW w:w="2973" w:type="dxa"/>
            <w:shd w:val="clear" w:color="auto" w:fill="D0CECE" w:themeFill="background2" w:themeFillShade="E6"/>
          </w:tcPr>
          <w:p w14:paraId="2E85CF57" w14:textId="77777777" w:rsidR="0094644B" w:rsidRPr="00FA3F57" w:rsidRDefault="0094644B" w:rsidP="00FB5086">
            <w:pPr>
              <w:keepNext/>
              <w:rPr>
                <w:sz w:val="20"/>
                <w:szCs w:val="20"/>
              </w:rPr>
            </w:pPr>
            <w:r w:rsidRPr="00FA3F57">
              <w:rPr>
                <w:sz w:val="20"/>
                <w:szCs w:val="20"/>
              </w:rPr>
              <w:t>Activity EL7.3</w:t>
            </w:r>
          </w:p>
        </w:tc>
        <w:tc>
          <w:tcPr>
            <w:tcW w:w="5669" w:type="dxa"/>
            <w:shd w:val="clear" w:color="auto" w:fill="D0CECE" w:themeFill="background2" w:themeFillShade="E6"/>
          </w:tcPr>
          <w:p w14:paraId="5E70129F" w14:textId="77777777" w:rsidR="0094644B" w:rsidRPr="00FA3F57" w:rsidRDefault="0094644B" w:rsidP="00FB5086">
            <w:pPr>
              <w:keepNext/>
              <w:rPr>
                <w:sz w:val="20"/>
                <w:szCs w:val="20"/>
              </w:rPr>
            </w:pPr>
            <w:r w:rsidRPr="00FA3F57">
              <w:rPr>
                <w:sz w:val="20"/>
                <w:szCs w:val="20"/>
              </w:rPr>
              <w:t>Investment projects for the modernization of the distribution system</w:t>
            </w:r>
          </w:p>
        </w:tc>
      </w:tr>
      <w:tr w:rsidR="0094644B" w:rsidRPr="00F07779" w14:paraId="381397F3" w14:textId="77777777" w:rsidTr="00FB5086">
        <w:tc>
          <w:tcPr>
            <w:tcW w:w="2973" w:type="dxa"/>
            <w:shd w:val="clear" w:color="auto" w:fill="D9E2F3" w:themeFill="accent1" w:themeFillTint="33"/>
          </w:tcPr>
          <w:p w14:paraId="3D6F3DF5" w14:textId="77777777" w:rsidR="0094644B" w:rsidRPr="00FA3F57" w:rsidRDefault="0094644B" w:rsidP="00FB5086">
            <w:pPr>
              <w:keepNext/>
              <w:rPr>
                <w:sz w:val="20"/>
                <w:szCs w:val="20"/>
              </w:rPr>
            </w:pPr>
            <w:r w:rsidRPr="00FA3F57">
              <w:rPr>
                <w:sz w:val="20"/>
                <w:szCs w:val="20"/>
              </w:rPr>
              <w:t>Name of the project</w:t>
            </w:r>
          </w:p>
        </w:tc>
        <w:tc>
          <w:tcPr>
            <w:tcW w:w="5669" w:type="dxa"/>
            <w:shd w:val="clear" w:color="auto" w:fill="D9E2F3" w:themeFill="accent1" w:themeFillTint="33"/>
          </w:tcPr>
          <w:p w14:paraId="6FA8C17C" w14:textId="77777777" w:rsidR="0094644B" w:rsidRPr="00FA3F57" w:rsidRDefault="0094644B" w:rsidP="00FB5086">
            <w:pPr>
              <w:keepNext/>
              <w:rPr>
                <w:sz w:val="20"/>
                <w:szCs w:val="20"/>
              </w:rPr>
            </w:pPr>
            <w:r w:rsidRPr="00F07779">
              <w:rPr>
                <w:sz w:val="20"/>
                <w:szCs w:val="20"/>
              </w:rPr>
              <w:t>Replacement of 1,130 outdated 10(20)/0.4 kV power transformers with new energy-efficient, low-loss transformers</w:t>
            </w:r>
          </w:p>
        </w:tc>
      </w:tr>
      <w:tr w:rsidR="0094644B" w:rsidRPr="00F07779" w14:paraId="005DC4DB" w14:textId="77777777" w:rsidTr="00FB5086">
        <w:tc>
          <w:tcPr>
            <w:tcW w:w="2973" w:type="dxa"/>
          </w:tcPr>
          <w:p w14:paraId="62B92050" w14:textId="77777777" w:rsidR="0094644B" w:rsidRPr="00FA3F57" w:rsidRDefault="0094644B" w:rsidP="00FB5086">
            <w:pPr>
              <w:rPr>
                <w:sz w:val="20"/>
                <w:szCs w:val="20"/>
              </w:rPr>
            </w:pPr>
            <w:r w:rsidRPr="00FA3F57">
              <w:rPr>
                <w:sz w:val="20"/>
                <w:szCs w:val="20"/>
              </w:rPr>
              <w:t>Description</w:t>
            </w:r>
          </w:p>
        </w:tc>
        <w:tc>
          <w:tcPr>
            <w:tcW w:w="5669" w:type="dxa"/>
          </w:tcPr>
          <w:p w14:paraId="73199180" w14:textId="77777777" w:rsidR="0094644B" w:rsidRPr="00FA3F57" w:rsidRDefault="0094644B" w:rsidP="00FB5086">
            <w:pPr>
              <w:rPr>
                <w:sz w:val="20"/>
                <w:szCs w:val="20"/>
              </w:rPr>
            </w:pPr>
            <w:r w:rsidRPr="00FA3F57">
              <w:rPr>
                <w:sz w:val="20"/>
                <w:szCs w:val="20"/>
              </w:rPr>
              <w:t xml:space="preserve">The total number of 10(20)/0.4 kV/kV transformers through which energy is transferred from the medium-voltage to the low-voltage network is around 37,800. Based on expert analyses, the number of worn-out transformers that need to be replaced with new 10/0.4 kV/kV transformers with reduced losses </w:t>
            </w:r>
            <w:proofErr w:type="gramStart"/>
            <w:r w:rsidRPr="00FA3F57">
              <w:rPr>
                <w:sz w:val="20"/>
                <w:szCs w:val="20"/>
              </w:rPr>
              <w:t>was</w:t>
            </w:r>
            <w:proofErr w:type="gramEnd"/>
            <w:r w:rsidRPr="00FA3F57">
              <w:rPr>
                <w:sz w:val="20"/>
                <w:szCs w:val="20"/>
              </w:rPr>
              <w:t xml:space="preserve"> estimated.</w:t>
            </w:r>
          </w:p>
          <w:p w14:paraId="36EFBFAE" w14:textId="77777777" w:rsidR="0094644B" w:rsidRPr="00FA3F57" w:rsidRDefault="0094644B" w:rsidP="00FB5086">
            <w:pPr>
              <w:rPr>
                <w:sz w:val="20"/>
                <w:szCs w:val="20"/>
              </w:rPr>
            </w:pPr>
            <w:r w:rsidRPr="00FA3F57">
              <w:rPr>
                <w:sz w:val="20"/>
                <w:szCs w:val="20"/>
              </w:rPr>
              <w:t>Expected dynamics of project implementation:</w:t>
            </w:r>
          </w:p>
          <w:p w14:paraId="26994A82" w14:textId="77777777" w:rsidR="0094644B" w:rsidRPr="00FA3F57" w:rsidRDefault="0094644B" w:rsidP="00FB5086">
            <w:pPr>
              <w:rPr>
                <w:sz w:val="20"/>
                <w:szCs w:val="20"/>
              </w:rPr>
            </w:pPr>
            <w:r w:rsidRPr="00FA3F57">
              <w:rPr>
                <w:sz w:val="20"/>
                <w:szCs w:val="20"/>
              </w:rPr>
              <w:lastRenderedPageBreak/>
              <w:t>2026. The beginning of the project</w:t>
            </w:r>
          </w:p>
          <w:p w14:paraId="61CC1DF6" w14:textId="77777777" w:rsidR="0094644B" w:rsidRPr="00FA3F57" w:rsidRDefault="0094644B" w:rsidP="00FB5086">
            <w:pPr>
              <w:rPr>
                <w:sz w:val="20"/>
                <w:szCs w:val="20"/>
              </w:rPr>
            </w:pPr>
            <w:r w:rsidRPr="00FA3F57">
              <w:rPr>
                <w:sz w:val="20"/>
                <w:szCs w:val="20"/>
              </w:rPr>
              <w:t>2027. Construction</w:t>
            </w:r>
          </w:p>
          <w:p w14:paraId="6EA6642B" w14:textId="77777777" w:rsidR="0094644B" w:rsidRPr="00FA3F57" w:rsidRDefault="0094644B" w:rsidP="00FB5086">
            <w:pPr>
              <w:rPr>
                <w:sz w:val="20"/>
                <w:szCs w:val="20"/>
              </w:rPr>
            </w:pPr>
            <w:r w:rsidRPr="00FA3F57">
              <w:rPr>
                <w:sz w:val="20"/>
                <w:szCs w:val="20"/>
              </w:rPr>
              <w:t>2028. Commissioning; trial operation</w:t>
            </w:r>
          </w:p>
        </w:tc>
      </w:tr>
      <w:tr w:rsidR="0094644B" w:rsidRPr="00F07779" w14:paraId="3D24C041" w14:textId="77777777" w:rsidTr="00FB5086">
        <w:tc>
          <w:tcPr>
            <w:tcW w:w="2973" w:type="dxa"/>
          </w:tcPr>
          <w:p w14:paraId="2855A328" w14:textId="77777777" w:rsidR="0094644B" w:rsidRPr="00FA3F57" w:rsidRDefault="0094644B" w:rsidP="00FB5086">
            <w:pPr>
              <w:rPr>
                <w:sz w:val="20"/>
                <w:szCs w:val="20"/>
              </w:rPr>
            </w:pPr>
            <w:r w:rsidRPr="00FA3F57">
              <w:rPr>
                <w:sz w:val="20"/>
                <w:szCs w:val="20"/>
              </w:rPr>
              <w:lastRenderedPageBreak/>
              <w:t>Institutions responsible for the implementation of measures and activities</w:t>
            </w:r>
          </w:p>
        </w:tc>
        <w:tc>
          <w:tcPr>
            <w:tcW w:w="5669" w:type="dxa"/>
          </w:tcPr>
          <w:p w14:paraId="786105B4" w14:textId="77777777" w:rsidR="0094644B" w:rsidRPr="00FA3F57" w:rsidRDefault="0094644B" w:rsidP="00FB5086">
            <w:pPr>
              <w:rPr>
                <w:sz w:val="20"/>
                <w:szCs w:val="20"/>
              </w:rPr>
            </w:pPr>
            <w:r w:rsidRPr="00FA3F57">
              <w:rPr>
                <w:sz w:val="20"/>
                <w:szCs w:val="20"/>
              </w:rPr>
              <w:t>Elektrodistribucija Srbije Ltd. Belgrade</w:t>
            </w:r>
          </w:p>
        </w:tc>
      </w:tr>
      <w:tr w:rsidR="0094644B" w:rsidRPr="00F07779" w14:paraId="4803EA01" w14:textId="77777777" w:rsidTr="00FB5086">
        <w:tc>
          <w:tcPr>
            <w:tcW w:w="2973" w:type="dxa"/>
          </w:tcPr>
          <w:p w14:paraId="45F04CD0" w14:textId="77777777" w:rsidR="0094644B" w:rsidRPr="00FA3F57" w:rsidRDefault="0094644B" w:rsidP="00FB5086">
            <w:pPr>
              <w:rPr>
                <w:sz w:val="20"/>
                <w:szCs w:val="20"/>
              </w:rPr>
            </w:pPr>
            <w:r w:rsidRPr="00FA3F57">
              <w:rPr>
                <w:sz w:val="20"/>
                <w:szCs w:val="20"/>
              </w:rPr>
              <w:t>Institutions responsible for monitoring implementation and reporting on the realization</w:t>
            </w:r>
          </w:p>
        </w:tc>
        <w:tc>
          <w:tcPr>
            <w:tcW w:w="5669" w:type="dxa"/>
          </w:tcPr>
          <w:p w14:paraId="2EBFA12E" w14:textId="77777777" w:rsidR="0094644B" w:rsidRPr="00F07779" w:rsidRDefault="0094644B" w:rsidP="00FB5086">
            <w:pPr>
              <w:rPr>
                <w:sz w:val="20"/>
                <w:szCs w:val="20"/>
              </w:rPr>
            </w:pPr>
            <w:r w:rsidRPr="00FA3F57">
              <w:rPr>
                <w:sz w:val="20"/>
                <w:szCs w:val="20"/>
              </w:rPr>
              <w:t>Elektrodistribucija Srbije Ltd. Belgrade</w:t>
            </w:r>
          </w:p>
          <w:p w14:paraId="08971E7B" w14:textId="77777777" w:rsidR="0094644B" w:rsidRPr="00FA3F57" w:rsidRDefault="0094644B" w:rsidP="00FB5086">
            <w:pPr>
              <w:rPr>
                <w:sz w:val="20"/>
                <w:szCs w:val="20"/>
              </w:rPr>
            </w:pPr>
            <w:r w:rsidRPr="00FA3F57">
              <w:rPr>
                <w:sz w:val="20"/>
                <w:szCs w:val="20"/>
              </w:rPr>
              <w:t>Ministry of Mining and Energy</w:t>
            </w:r>
          </w:p>
          <w:p w14:paraId="28791413" w14:textId="77777777" w:rsidR="0094644B" w:rsidRPr="00FA3F57" w:rsidRDefault="0094644B" w:rsidP="00FB5086">
            <w:pPr>
              <w:rPr>
                <w:sz w:val="20"/>
                <w:szCs w:val="20"/>
              </w:rPr>
            </w:pPr>
            <w:r w:rsidRPr="00FA3F57">
              <w:rPr>
                <w:sz w:val="20"/>
                <w:szCs w:val="20"/>
              </w:rPr>
              <w:t>Ministry of Economy</w:t>
            </w:r>
          </w:p>
        </w:tc>
      </w:tr>
      <w:tr w:rsidR="0094644B" w:rsidRPr="00F07779" w14:paraId="6CF23AD7" w14:textId="77777777" w:rsidTr="00FB5086">
        <w:tc>
          <w:tcPr>
            <w:tcW w:w="2973" w:type="dxa"/>
          </w:tcPr>
          <w:p w14:paraId="5934FEAE" w14:textId="77777777" w:rsidR="0094644B" w:rsidRPr="00FA3F57" w:rsidRDefault="0094644B" w:rsidP="00FB5086">
            <w:pPr>
              <w:rPr>
                <w:sz w:val="20"/>
                <w:szCs w:val="20"/>
              </w:rPr>
            </w:pPr>
            <w:r w:rsidRPr="00FA3F57">
              <w:rPr>
                <w:sz w:val="20"/>
                <w:szCs w:val="20"/>
              </w:rPr>
              <w:t>Year of project funding start</w:t>
            </w:r>
          </w:p>
        </w:tc>
        <w:tc>
          <w:tcPr>
            <w:tcW w:w="5669" w:type="dxa"/>
          </w:tcPr>
          <w:p w14:paraId="611B3CA4" w14:textId="77777777" w:rsidR="0094644B" w:rsidRPr="00FA3F57" w:rsidRDefault="0094644B" w:rsidP="00FB5086">
            <w:pPr>
              <w:rPr>
                <w:sz w:val="20"/>
                <w:szCs w:val="20"/>
              </w:rPr>
            </w:pPr>
            <w:r w:rsidRPr="00FA3F57">
              <w:rPr>
                <w:sz w:val="20"/>
                <w:szCs w:val="20"/>
              </w:rPr>
              <w:t>2026.</w:t>
            </w:r>
          </w:p>
        </w:tc>
      </w:tr>
      <w:tr w:rsidR="0094644B" w:rsidRPr="00F07779" w14:paraId="49A1C66A" w14:textId="77777777" w:rsidTr="00FB5086">
        <w:tc>
          <w:tcPr>
            <w:tcW w:w="2973" w:type="dxa"/>
          </w:tcPr>
          <w:p w14:paraId="23C82D16" w14:textId="77777777" w:rsidR="0094644B" w:rsidRPr="00FA3F57" w:rsidRDefault="0094644B" w:rsidP="00FB5086">
            <w:pPr>
              <w:rPr>
                <w:sz w:val="20"/>
                <w:szCs w:val="20"/>
              </w:rPr>
            </w:pPr>
            <w:r w:rsidRPr="00FA3F57">
              <w:rPr>
                <w:sz w:val="20"/>
                <w:szCs w:val="20"/>
              </w:rPr>
              <w:t>Year of completion of project funding</w:t>
            </w:r>
          </w:p>
        </w:tc>
        <w:tc>
          <w:tcPr>
            <w:tcW w:w="5669" w:type="dxa"/>
          </w:tcPr>
          <w:p w14:paraId="51767CE2" w14:textId="77777777" w:rsidR="0094644B" w:rsidRPr="00FA3F57" w:rsidRDefault="0094644B" w:rsidP="00FB5086">
            <w:pPr>
              <w:rPr>
                <w:sz w:val="20"/>
                <w:szCs w:val="20"/>
              </w:rPr>
            </w:pPr>
            <w:r w:rsidRPr="00FA3F57">
              <w:rPr>
                <w:sz w:val="20"/>
                <w:szCs w:val="20"/>
              </w:rPr>
              <w:t>2028.</w:t>
            </w:r>
          </w:p>
        </w:tc>
      </w:tr>
      <w:tr w:rsidR="0094644B" w:rsidRPr="00F07779" w14:paraId="3C9700A1" w14:textId="77777777" w:rsidTr="00FB5086">
        <w:tc>
          <w:tcPr>
            <w:tcW w:w="2973" w:type="dxa"/>
          </w:tcPr>
          <w:p w14:paraId="5E45A1F4" w14:textId="77777777" w:rsidR="0094644B" w:rsidRPr="00FA3F57" w:rsidRDefault="0094644B" w:rsidP="00FB5086">
            <w:pPr>
              <w:rPr>
                <w:sz w:val="20"/>
                <w:szCs w:val="20"/>
              </w:rPr>
            </w:pPr>
            <w:r w:rsidRPr="00FA3F57">
              <w:rPr>
                <w:sz w:val="20"/>
                <w:szCs w:val="20"/>
              </w:rPr>
              <w:t>Required funds and source of financing</w:t>
            </w:r>
          </w:p>
          <w:p w14:paraId="3062F87D" w14:textId="77777777" w:rsidR="0094644B" w:rsidRPr="00FA3F57" w:rsidRDefault="0094644B" w:rsidP="00FB5086">
            <w:pPr>
              <w:rPr>
                <w:sz w:val="20"/>
                <w:szCs w:val="20"/>
              </w:rPr>
            </w:pPr>
            <w:r w:rsidRPr="00FA3F57">
              <w:rPr>
                <w:sz w:val="20"/>
                <w:szCs w:val="20"/>
              </w:rPr>
              <w:t>(in thousands of RSD)</w:t>
            </w:r>
          </w:p>
        </w:tc>
        <w:tc>
          <w:tcPr>
            <w:tcW w:w="5669" w:type="dxa"/>
          </w:tcPr>
          <w:p w14:paraId="5FE3ADFF" w14:textId="77777777" w:rsidR="0094644B" w:rsidRPr="00FA3F57" w:rsidRDefault="0094644B" w:rsidP="00FB5086">
            <w:pPr>
              <w:rPr>
                <w:sz w:val="20"/>
                <w:szCs w:val="20"/>
              </w:rPr>
            </w:pPr>
            <w:r w:rsidRPr="00FA3F57">
              <w:rPr>
                <w:sz w:val="20"/>
                <w:szCs w:val="20"/>
              </w:rPr>
              <w:t>2,960,563 (25.25 million EUR)</w:t>
            </w:r>
            <w:r w:rsidRPr="00FA3F57" w:rsidDel="005B429E">
              <w:rPr>
                <w:sz w:val="20"/>
                <w:szCs w:val="20"/>
              </w:rPr>
              <w:t xml:space="preserve"> </w:t>
            </w:r>
            <w:r w:rsidRPr="00FA3F57">
              <w:rPr>
                <w:sz w:val="20"/>
                <w:szCs w:val="20"/>
              </w:rPr>
              <w:t>(EIB loan)</w:t>
            </w:r>
          </w:p>
        </w:tc>
      </w:tr>
      <w:tr w:rsidR="0094644B" w:rsidRPr="00F07779" w14:paraId="0E31E9A4" w14:textId="77777777" w:rsidTr="00FB5086">
        <w:tc>
          <w:tcPr>
            <w:tcW w:w="2973" w:type="dxa"/>
          </w:tcPr>
          <w:p w14:paraId="07FFF709" w14:textId="77777777" w:rsidR="0094644B" w:rsidRPr="00FA3F57" w:rsidRDefault="0094644B" w:rsidP="00FB5086">
            <w:pPr>
              <w:rPr>
                <w:sz w:val="20"/>
                <w:szCs w:val="20"/>
              </w:rPr>
            </w:pPr>
            <w:r w:rsidRPr="00FA3F57">
              <w:rPr>
                <w:sz w:val="20"/>
                <w:szCs w:val="20"/>
              </w:rPr>
              <w:t>Planned investments for 2026.</w:t>
            </w:r>
            <w:r w:rsidRPr="00FA3F57">
              <w:rPr>
                <w:sz w:val="20"/>
                <w:szCs w:val="20"/>
              </w:rPr>
              <w:br/>
              <w:t>(in thousands of RSD)</w:t>
            </w:r>
          </w:p>
        </w:tc>
        <w:tc>
          <w:tcPr>
            <w:tcW w:w="5669" w:type="dxa"/>
          </w:tcPr>
          <w:p w14:paraId="01B4BFE2" w14:textId="77777777" w:rsidR="0094644B" w:rsidRPr="00FA3F57" w:rsidRDefault="0094644B" w:rsidP="00FB5086">
            <w:pPr>
              <w:rPr>
                <w:sz w:val="20"/>
                <w:szCs w:val="20"/>
              </w:rPr>
            </w:pPr>
            <w:r w:rsidRPr="00FA3F57">
              <w:rPr>
                <w:sz w:val="20"/>
                <w:szCs w:val="20"/>
              </w:rPr>
              <w:t>263,813 (loan)</w:t>
            </w:r>
          </w:p>
        </w:tc>
      </w:tr>
      <w:tr w:rsidR="0094644B" w:rsidRPr="00F07779" w14:paraId="4C235D2F" w14:textId="77777777" w:rsidTr="00FB5086">
        <w:tc>
          <w:tcPr>
            <w:tcW w:w="2973" w:type="dxa"/>
          </w:tcPr>
          <w:p w14:paraId="2BDCF653" w14:textId="77777777" w:rsidR="0094644B" w:rsidRPr="00FA3F57" w:rsidRDefault="0094644B" w:rsidP="00FB5086">
            <w:pPr>
              <w:rPr>
                <w:sz w:val="20"/>
                <w:szCs w:val="20"/>
              </w:rPr>
            </w:pPr>
            <w:r w:rsidRPr="00FA3F57">
              <w:rPr>
                <w:sz w:val="20"/>
                <w:szCs w:val="20"/>
              </w:rPr>
              <w:t>Planned investments for 2027.</w:t>
            </w:r>
            <w:r w:rsidRPr="00FA3F57">
              <w:rPr>
                <w:sz w:val="20"/>
                <w:szCs w:val="20"/>
              </w:rPr>
              <w:br/>
              <w:t>(in thousands of RSD)</w:t>
            </w:r>
          </w:p>
        </w:tc>
        <w:tc>
          <w:tcPr>
            <w:tcW w:w="5669" w:type="dxa"/>
          </w:tcPr>
          <w:p w14:paraId="56E28C0B" w14:textId="77777777" w:rsidR="0094644B" w:rsidRPr="00FA3F57" w:rsidRDefault="0094644B" w:rsidP="00FB5086">
            <w:pPr>
              <w:rPr>
                <w:sz w:val="20"/>
                <w:szCs w:val="20"/>
              </w:rPr>
            </w:pPr>
            <w:r w:rsidRPr="00FA3F57">
              <w:rPr>
                <w:sz w:val="20"/>
                <w:szCs w:val="20"/>
              </w:rPr>
              <w:t>1,348,375 (loan)</w:t>
            </w:r>
          </w:p>
        </w:tc>
      </w:tr>
      <w:tr w:rsidR="0094644B" w:rsidRPr="00F07779" w14:paraId="675CDA6D" w14:textId="77777777" w:rsidTr="00FB5086">
        <w:tc>
          <w:tcPr>
            <w:tcW w:w="2973" w:type="dxa"/>
          </w:tcPr>
          <w:p w14:paraId="03BAB017" w14:textId="77777777" w:rsidR="0094644B" w:rsidRPr="00FA3F57" w:rsidRDefault="0094644B" w:rsidP="00FB5086">
            <w:pPr>
              <w:rPr>
                <w:sz w:val="20"/>
                <w:szCs w:val="20"/>
              </w:rPr>
            </w:pPr>
            <w:r w:rsidRPr="00FA3F57">
              <w:rPr>
                <w:sz w:val="20"/>
                <w:szCs w:val="20"/>
              </w:rPr>
              <w:t>Planned investments for 2028.</w:t>
            </w:r>
            <w:r w:rsidRPr="00FA3F57">
              <w:rPr>
                <w:sz w:val="20"/>
                <w:szCs w:val="20"/>
              </w:rPr>
              <w:br/>
              <w:t>(in thousands of RSD)</w:t>
            </w:r>
          </w:p>
        </w:tc>
        <w:tc>
          <w:tcPr>
            <w:tcW w:w="5669" w:type="dxa"/>
          </w:tcPr>
          <w:p w14:paraId="2C0217EE" w14:textId="77777777" w:rsidR="0094644B" w:rsidRPr="00FA3F57" w:rsidRDefault="0094644B" w:rsidP="00FB5086">
            <w:pPr>
              <w:rPr>
                <w:sz w:val="20"/>
                <w:szCs w:val="20"/>
              </w:rPr>
            </w:pPr>
            <w:r w:rsidRPr="00FA3F57">
              <w:rPr>
                <w:sz w:val="20"/>
                <w:szCs w:val="20"/>
              </w:rPr>
              <w:t>1,348,375 (loan)</w:t>
            </w:r>
          </w:p>
        </w:tc>
      </w:tr>
      <w:tr w:rsidR="0094644B" w:rsidRPr="00F07779" w14:paraId="3B8862ED" w14:textId="77777777" w:rsidTr="00FB5086">
        <w:tc>
          <w:tcPr>
            <w:tcW w:w="2973" w:type="dxa"/>
          </w:tcPr>
          <w:p w14:paraId="7034870C" w14:textId="77777777" w:rsidR="0094644B" w:rsidRPr="00FA3F57" w:rsidRDefault="0094644B" w:rsidP="00FB5086">
            <w:pPr>
              <w:rPr>
                <w:sz w:val="20"/>
                <w:szCs w:val="20"/>
              </w:rPr>
            </w:pPr>
            <w:r w:rsidRPr="00FA3F57">
              <w:rPr>
                <w:sz w:val="20"/>
                <w:szCs w:val="20"/>
              </w:rPr>
              <w:t>Implementation indicator</w:t>
            </w:r>
          </w:p>
        </w:tc>
        <w:tc>
          <w:tcPr>
            <w:tcW w:w="5669" w:type="dxa"/>
          </w:tcPr>
          <w:p w14:paraId="2A2DD670" w14:textId="77777777" w:rsidR="0094644B" w:rsidRPr="00FA3F57" w:rsidRDefault="0094644B" w:rsidP="00FB5086">
            <w:pPr>
              <w:rPr>
                <w:sz w:val="20"/>
                <w:szCs w:val="20"/>
              </w:rPr>
            </w:pPr>
            <w:r w:rsidRPr="00FA3F57">
              <w:rPr>
                <w:sz w:val="20"/>
                <w:szCs w:val="20"/>
              </w:rPr>
              <w:t>Number of replaced power transformers</w:t>
            </w:r>
          </w:p>
        </w:tc>
      </w:tr>
      <w:tr w:rsidR="0094644B" w:rsidRPr="00F07779" w14:paraId="580F9CCD" w14:textId="77777777" w:rsidTr="00FB5086">
        <w:tc>
          <w:tcPr>
            <w:tcW w:w="2973" w:type="dxa"/>
          </w:tcPr>
          <w:p w14:paraId="7A47E893" w14:textId="77777777" w:rsidR="0094644B" w:rsidRPr="00FA3F57" w:rsidRDefault="0094644B" w:rsidP="00FB5086">
            <w:pPr>
              <w:rPr>
                <w:sz w:val="20"/>
                <w:szCs w:val="20"/>
              </w:rPr>
            </w:pPr>
            <w:r w:rsidRPr="00FA3F57">
              <w:rPr>
                <w:sz w:val="20"/>
                <w:szCs w:val="20"/>
              </w:rPr>
              <w:t>Impact of the activity on the achievement of the objective</w:t>
            </w:r>
          </w:p>
        </w:tc>
        <w:tc>
          <w:tcPr>
            <w:tcW w:w="5669" w:type="dxa"/>
          </w:tcPr>
          <w:p w14:paraId="33B23E5F" w14:textId="77777777" w:rsidR="0094644B" w:rsidRPr="00FA3F57" w:rsidRDefault="0094644B" w:rsidP="00FB5086">
            <w:pPr>
              <w:rPr>
                <w:sz w:val="20"/>
                <w:szCs w:val="20"/>
              </w:rPr>
            </w:pPr>
            <w:r w:rsidRPr="00FA3F57">
              <w:rPr>
                <w:sz w:val="20"/>
                <w:szCs w:val="20"/>
              </w:rPr>
              <w:t>The project should ensure better reliability of the distribution network, reduce the number of outages and the duration of outages for end users, reduce losses in the distribution network, and reduce the total costs of TS maintenance.</w:t>
            </w:r>
          </w:p>
        </w:tc>
      </w:tr>
      <w:tr w:rsidR="0094644B" w:rsidRPr="00F07779" w14:paraId="1D00368A" w14:textId="77777777" w:rsidTr="00FB5086">
        <w:tc>
          <w:tcPr>
            <w:tcW w:w="2973" w:type="dxa"/>
          </w:tcPr>
          <w:p w14:paraId="69FF3997" w14:textId="77777777" w:rsidR="0094644B" w:rsidRPr="00FA3F57" w:rsidRDefault="0094644B" w:rsidP="00FB5086">
            <w:pPr>
              <w:rPr>
                <w:sz w:val="20"/>
                <w:szCs w:val="20"/>
              </w:rPr>
            </w:pPr>
            <w:r w:rsidRPr="00FA3F57">
              <w:rPr>
                <w:sz w:val="20"/>
                <w:szCs w:val="20"/>
              </w:rPr>
              <w:t>Impact on EE, climate, and environmental protection</w:t>
            </w:r>
          </w:p>
        </w:tc>
        <w:tc>
          <w:tcPr>
            <w:tcW w:w="5669" w:type="dxa"/>
          </w:tcPr>
          <w:p w14:paraId="7F513CE1" w14:textId="77777777" w:rsidR="0094644B" w:rsidRPr="00FA3F57" w:rsidRDefault="0094644B" w:rsidP="00FB5086">
            <w:pPr>
              <w:rPr>
                <w:sz w:val="20"/>
                <w:szCs w:val="20"/>
              </w:rPr>
            </w:pPr>
            <w:r w:rsidRPr="00F07779">
              <w:rPr>
                <w:sz w:val="20"/>
                <w:szCs w:val="20"/>
              </w:rPr>
              <w:t xml:space="preserve">A technology with significantly improved characteristics is applied, whose </w:t>
            </w:r>
            <w:proofErr w:type="gramStart"/>
            <w:r w:rsidRPr="00F07779">
              <w:rPr>
                <w:sz w:val="20"/>
                <w:szCs w:val="20"/>
              </w:rPr>
              <w:t>insulating</w:t>
            </w:r>
            <w:proofErr w:type="gramEnd"/>
            <w:r w:rsidRPr="00F07779">
              <w:rPr>
                <w:sz w:val="20"/>
                <w:szCs w:val="20"/>
              </w:rPr>
              <w:t xml:space="preserve"> oils do not contain harmful polychlorinated biphenyls (PCBs). The risk of fire, noise, vibrations, and heat generation is reduced. Lower levels of noise and vibrations positively affect working conditions and the work environment for people in the facilities, and even impact people’s health.</w:t>
            </w:r>
            <w:r w:rsidRPr="00FA3F57" w:rsidDel="00703B1D">
              <w:rPr>
                <w:sz w:val="20"/>
                <w:szCs w:val="20"/>
              </w:rPr>
              <w:t xml:space="preserve"> </w:t>
            </w:r>
            <w:r w:rsidRPr="00F07779">
              <w:rPr>
                <w:sz w:val="20"/>
                <w:szCs w:val="20"/>
              </w:rPr>
              <w:t>By implementing the proposed projects for replacing old transformers, losses will be reduced.</w:t>
            </w:r>
          </w:p>
          <w:p w14:paraId="6A997A93" w14:textId="77777777" w:rsidR="0094644B" w:rsidRPr="00FA3F57" w:rsidRDefault="0094644B" w:rsidP="00FB5086">
            <w:pPr>
              <w:rPr>
                <w:sz w:val="20"/>
                <w:szCs w:val="20"/>
              </w:rPr>
            </w:pPr>
            <w:r w:rsidRPr="00FA3F57">
              <w:rPr>
                <w:sz w:val="20"/>
                <w:szCs w:val="20"/>
              </w:rPr>
              <w:t xml:space="preserve">Numerical data on loss reduction </w:t>
            </w:r>
            <w:proofErr w:type="gramStart"/>
            <w:r w:rsidRPr="00FA3F57">
              <w:rPr>
                <w:sz w:val="20"/>
                <w:szCs w:val="20"/>
              </w:rPr>
              <w:t>are</w:t>
            </w:r>
            <w:proofErr w:type="gramEnd"/>
            <w:r w:rsidRPr="00FA3F57">
              <w:rPr>
                <w:sz w:val="20"/>
                <w:szCs w:val="20"/>
              </w:rPr>
              <w:t xml:space="preserve"> not available.</w:t>
            </w:r>
          </w:p>
        </w:tc>
      </w:tr>
    </w:tbl>
    <w:p w14:paraId="2C391D82" w14:textId="77777777" w:rsidR="0094644B" w:rsidRPr="00F07779" w:rsidRDefault="0094644B" w:rsidP="0094644B"/>
    <w:tbl>
      <w:tblPr>
        <w:tblStyle w:val="TableGrid"/>
        <w:tblW w:w="0" w:type="auto"/>
        <w:tblLook w:val="04A0" w:firstRow="1" w:lastRow="0" w:firstColumn="1" w:lastColumn="0" w:noHBand="0" w:noVBand="1"/>
      </w:tblPr>
      <w:tblGrid>
        <w:gridCol w:w="2973"/>
        <w:gridCol w:w="5669"/>
      </w:tblGrid>
      <w:tr w:rsidR="0094644B" w:rsidRPr="00F07779" w14:paraId="5C811A8D" w14:textId="77777777" w:rsidTr="00FB5086">
        <w:tc>
          <w:tcPr>
            <w:tcW w:w="2973" w:type="dxa"/>
            <w:shd w:val="clear" w:color="auto" w:fill="D0CECE" w:themeFill="background2" w:themeFillShade="E6"/>
          </w:tcPr>
          <w:p w14:paraId="262DC1BF" w14:textId="77777777" w:rsidR="0094644B" w:rsidRPr="00FA3F57" w:rsidRDefault="0094644B" w:rsidP="00FB5086">
            <w:pPr>
              <w:keepNext/>
              <w:rPr>
                <w:sz w:val="20"/>
                <w:szCs w:val="20"/>
              </w:rPr>
            </w:pPr>
            <w:r w:rsidRPr="00FA3F57">
              <w:rPr>
                <w:sz w:val="20"/>
                <w:szCs w:val="20"/>
              </w:rPr>
              <w:t>Activity EL7.3</w:t>
            </w:r>
          </w:p>
        </w:tc>
        <w:tc>
          <w:tcPr>
            <w:tcW w:w="5669" w:type="dxa"/>
            <w:shd w:val="clear" w:color="auto" w:fill="D0CECE" w:themeFill="background2" w:themeFillShade="E6"/>
          </w:tcPr>
          <w:p w14:paraId="446E74BC" w14:textId="77777777" w:rsidR="0094644B" w:rsidRPr="00FA3F57" w:rsidRDefault="0094644B" w:rsidP="00FB5086">
            <w:pPr>
              <w:keepNext/>
              <w:rPr>
                <w:sz w:val="20"/>
                <w:szCs w:val="20"/>
              </w:rPr>
            </w:pPr>
            <w:r w:rsidRPr="00FA3F57">
              <w:rPr>
                <w:sz w:val="20"/>
                <w:szCs w:val="20"/>
              </w:rPr>
              <w:t>Investment projects for the modernization of the distribution system</w:t>
            </w:r>
          </w:p>
        </w:tc>
      </w:tr>
      <w:tr w:rsidR="0094644B" w:rsidRPr="00F07779" w14:paraId="3E763C1C" w14:textId="77777777" w:rsidTr="00FB5086">
        <w:tc>
          <w:tcPr>
            <w:tcW w:w="2973" w:type="dxa"/>
            <w:shd w:val="clear" w:color="auto" w:fill="D9E2F3" w:themeFill="accent1" w:themeFillTint="33"/>
          </w:tcPr>
          <w:p w14:paraId="5FE46D49" w14:textId="77777777" w:rsidR="0094644B" w:rsidRPr="00FA3F57" w:rsidRDefault="0094644B" w:rsidP="00FB5086">
            <w:pPr>
              <w:keepNext/>
              <w:rPr>
                <w:sz w:val="20"/>
                <w:szCs w:val="20"/>
              </w:rPr>
            </w:pPr>
            <w:r w:rsidRPr="00FA3F57">
              <w:rPr>
                <w:sz w:val="20"/>
                <w:szCs w:val="20"/>
              </w:rPr>
              <w:t>Name of the project</w:t>
            </w:r>
          </w:p>
        </w:tc>
        <w:tc>
          <w:tcPr>
            <w:tcW w:w="5669" w:type="dxa"/>
            <w:shd w:val="clear" w:color="auto" w:fill="D9E2F3" w:themeFill="accent1" w:themeFillTint="33"/>
          </w:tcPr>
          <w:p w14:paraId="59417018" w14:textId="77777777" w:rsidR="0094644B" w:rsidRPr="00FA3F57" w:rsidRDefault="0094644B" w:rsidP="00FB5086">
            <w:pPr>
              <w:keepNext/>
              <w:rPr>
                <w:sz w:val="20"/>
                <w:szCs w:val="20"/>
              </w:rPr>
            </w:pPr>
            <w:r w:rsidRPr="00F07779">
              <w:rPr>
                <w:sz w:val="20"/>
                <w:szCs w:val="20"/>
              </w:rPr>
              <w:t>Mobile substations 35/10(20) kV</w:t>
            </w:r>
          </w:p>
        </w:tc>
      </w:tr>
      <w:tr w:rsidR="0094644B" w:rsidRPr="00F07779" w14:paraId="18AF5ACA" w14:textId="77777777" w:rsidTr="00FB5086">
        <w:tc>
          <w:tcPr>
            <w:tcW w:w="2973" w:type="dxa"/>
          </w:tcPr>
          <w:p w14:paraId="58ECCD85" w14:textId="77777777" w:rsidR="0094644B" w:rsidRPr="00FA3F57" w:rsidRDefault="0094644B" w:rsidP="00FB5086">
            <w:pPr>
              <w:rPr>
                <w:sz w:val="20"/>
                <w:szCs w:val="20"/>
              </w:rPr>
            </w:pPr>
            <w:r w:rsidRPr="00FA3F57">
              <w:rPr>
                <w:sz w:val="20"/>
                <w:szCs w:val="20"/>
              </w:rPr>
              <w:t>Description</w:t>
            </w:r>
          </w:p>
        </w:tc>
        <w:tc>
          <w:tcPr>
            <w:tcW w:w="5669" w:type="dxa"/>
          </w:tcPr>
          <w:p w14:paraId="0F954EDF" w14:textId="77777777" w:rsidR="0094644B" w:rsidRPr="00F07779" w:rsidRDefault="0094644B" w:rsidP="00FB5086">
            <w:pPr>
              <w:rPr>
                <w:sz w:val="20"/>
                <w:szCs w:val="20"/>
              </w:rPr>
            </w:pPr>
            <w:r w:rsidRPr="00F07779">
              <w:rPr>
                <w:sz w:val="20"/>
                <w:szCs w:val="20"/>
              </w:rPr>
              <w:t>The project should ensure the development of the distribution system to enable the connection of new capacities for the connection of new system users.</w:t>
            </w:r>
          </w:p>
          <w:p w14:paraId="6DFF7589" w14:textId="77777777" w:rsidR="0094644B" w:rsidRPr="00FA3F57" w:rsidRDefault="0094644B" w:rsidP="00FB5086">
            <w:pPr>
              <w:rPr>
                <w:sz w:val="20"/>
                <w:szCs w:val="20"/>
              </w:rPr>
            </w:pPr>
            <w:r w:rsidRPr="00FA3F57">
              <w:rPr>
                <w:sz w:val="20"/>
                <w:szCs w:val="20"/>
              </w:rPr>
              <w:t>Expected dynamics of project implementation:</w:t>
            </w:r>
          </w:p>
          <w:p w14:paraId="7C4CEF45" w14:textId="77777777" w:rsidR="0094644B" w:rsidRPr="00FA3F57" w:rsidRDefault="0094644B" w:rsidP="00FB5086">
            <w:pPr>
              <w:rPr>
                <w:sz w:val="20"/>
                <w:szCs w:val="20"/>
              </w:rPr>
            </w:pPr>
            <w:r w:rsidRPr="00FA3F57">
              <w:rPr>
                <w:sz w:val="20"/>
                <w:szCs w:val="20"/>
              </w:rPr>
              <w:t>2026. The beginning of the project</w:t>
            </w:r>
          </w:p>
          <w:p w14:paraId="2E84167D" w14:textId="77777777" w:rsidR="0094644B" w:rsidRPr="00FA3F57" w:rsidRDefault="0094644B" w:rsidP="00FB5086">
            <w:pPr>
              <w:rPr>
                <w:sz w:val="20"/>
                <w:szCs w:val="20"/>
              </w:rPr>
            </w:pPr>
            <w:r w:rsidRPr="00FA3F57">
              <w:rPr>
                <w:sz w:val="20"/>
                <w:szCs w:val="20"/>
              </w:rPr>
              <w:t>2027. Construction</w:t>
            </w:r>
          </w:p>
          <w:p w14:paraId="1C5F8CF5" w14:textId="77777777" w:rsidR="0094644B" w:rsidRPr="00FA3F57" w:rsidRDefault="0094644B" w:rsidP="00FB5086">
            <w:pPr>
              <w:rPr>
                <w:sz w:val="20"/>
                <w:szCs w:val="20"/>
              </w:rPr>
            </w:pPr>
            <w:r w:rsidRPr="00FA3F57">
              <w:rPr>
                <w:sz w:val="20"/>
                <w:szCs w:val="20"/>
              </w:rPr>
              <w:t>2028. Commissioning; trial operation</w:t>
            </w:r>
          </w:p>
        </w:tc>
      </w:tr>
      <w:tr w:rsidR="0094644B" w:rsidRPr="00F07779" w14:paraId="19D39AF4" w14:textId="77777777" w:rsidTr="00FB5086">
        <w:tc>
          <w:tcPr>
            <w:tcW w:w="2973" w:type="dxa"/>
          </w:tcPr>
          <w:p w14:paraId="1A3AAB50" w14:textId="77777777" w:rsidR="0094644B" w:rsidRPr="00FA3F57" w:rsidRDefault="0094644B" w:rsidP="00FB5086">
            <w:pPr>
              <w:rPr>
                <w:sz w:val="20"/>
                <w:szCs w:val="20"/>
              </w:rPr>
            </w:pPr>
            <w:r w:rsidRPr="00FA3F57">
              <w:rPr>
                <w:sz w:val="20"/>
                <w:szCs w:val="20"/>
              </w:rPr>
              <w:t>Institutions responsible for the implementation of measures and activities</w:t>
            </w:r>
          </w:p>
        </w:tc>
        <w:tc>
          <w:tcPr>
            <w:tcW w:w="5669" w:type="dxa"/>
          </w:tcPr>
          <w:p w14:paraId="57CACAD1" w14:textId="77777777" w:rsidR="0094644B" w:rsidRPr="00FA3F57" w:rsidRDefault="0094644B" w:rsidP="00FB5086">
            <w:pPr>
              <w:rPr>
                <w:sz w:val="20"/>
                <w:szCs w:val="20"/>
              </w:rPr>
            </w:pPr>
            <w:r w:rsidRPr="00FA3F57">
              <w:rPr>
                <w:sz w:val="20"/>
                <w:szCs w:val="20"/>
              </w:rPr>
              <w:t>Elektrodistribucija Srbije Ltd. Belgrade</w:t>
            </w:r>
          </w:p>
        </w:tc>
      </w:tr>
      <w:tr w:rsidR="0094644B" w:rsidRPr="00F07779" w14:paraId="07D82312" w14:textId="77777777" w:rsidTr="00FB5086">
        <w:tc>
          <w:tcPr>
            <w:tcW w:w="2973" w:type="dxa"/>
          </w:tcPr>
          <w:p w14:paraId="65EC531D" w14:textId="77777777" w:rsidR="0094644B" w:rsidRPr="00FA3F57" w:rsidRDefault="0094644B" w:rsidP="00FB5086">
            <w:pPr>
              <w:rPr>
                <w:sz w:val="20"/>
                <w:szCs w:val="20"/>
              </w:rPr>
            </w:pPr>
            <w:r w:rsidRPr="00FA3F57">
              <w:rPr>
                <w:sz w:val="20"/>
                <w:szCs w:val="20"/>
              </w:rPr>
              <w:t>Institutions responsible for monitoring implementation and reporting on the realization</w:t>
            </w:r>
          </w:p>
        </w:tc>
        <w:tc>
          <w:tcPr>
            <w:tcW w:w="5669" w:type="dxa"/>
          </w:tcPr>
          <w:p w14:paraId="363D5C86" w14:textId="77777777" w:rsidR="0094644B" w:rsidRPr="00F07779" w:rsidRDefault="0094644B" w:rsidP="00FB5086">
            <w:pPr>
              <w:rPr>
                <w:sz w:val="20"/>
                <w:szCs w:val="20"/>
              </w:rPr>
            </w:pPr>
            <w:r w:rsidRPr="00FA3F57">
              <w:rPr>
                <w:sz w:val="20"/>
                <w:szCs w:val="20"/>
              </w:rPr>
              <w:t>Elektrodistribucija Srbije Ltd. Belgrade</w:t>
            </w:r>
          </w:p>
          <w:p w14:paraId="6B13441D" w14:textId="77777777" w:rsidR="0094644B" w:rsidRPr="00FA3F57" w:rsidRDefault="0094644B" w:rsidP="00FB5086">
            <w:pPr>
              <w:rPr>
                <w:sz w:val="20"/>
                <w:szCs w:val="20"/>
              </w:rPr>
            </w:pPr>
            <w:r w:rsidRPr="00FA3F57">
              <w:rPr>
                <w:sz w:val="20"/>
                <w:szCs w:val="20"/>
              </w:rPr>
              <w:t>Ministry of Mining and Energy</w:t>
            </w:r>
          </w:p>
          <w:p w14:paraId="5D28F8A8" w14:textId="77777777" w:rsidR="0094644B" w:rsidRPr="00FA3F57" w:rsidRDefault="0094644B" w:rsidP="00FB5086">
            <w:pPr>
              <w:rPr>
                <w:sz w:val="20"/>
                <w:szCs w:val="20"/>
              </w:rPr>
            </w:pPr>
            <w:r w:rsidRPr="00FA3F57">
              <w:rPr>
                <w:sz w:val="20"/>
                <w:szCs w:val="20"/>
              </w:rPr>
              <w:t>Ministry of Economy</w:t>
            </w:r>
          </w:p>
        </w:tc>
      </w:tr>
      <w:tr w:rsidR="0094644B" w:rsidRPr="00F07779" w14:paraId="7402994F" w14:textId="77777777" w:rsidTr="00FB5086">
        <w:tc>
          <w:tcPr>
            <w:tcW w:w="2973" w:type="dxa"/>
          </w:tcPr>
          <w:p w14:paraId="09C61B72" w14:textId="77777777" w:rsidR="0094644B" w:rsidRPr="00FA3F57" w:rsidRDefault="0094644B" w:rsidP="00FB5086">
            <w:pPr>
              <w:rPr>
                <w:sz w:val="20"/>
                <w:szCs w:val="20"/>
              </w:rPr>
            </w:pPr>
            <w:r w:rsidRPr="00FA3F57">
              <w:rPr>
                <w:sz w:val="20"/>
                <w:szCs w:val="20"/>
              </w:rPr>
              <w:t>Year of project funding start</w:t>
            </w:r>
          </w:p>
        </w:tc>
        <w:tc>
          <w:tcPr>
            <w:tcW w:w="5669" w:type="dxa"/>
          </w:tcPr>
          <w:p w14:paraId="101796D8" w14:textId="77777777" w:rsidR="0094644B" w:rsidRPr="00FA3F57" w:rsidRDefault="0094644B" w:rsidP="00FB5086">
            <w:pPr>
              <w:rPr>
                <w:sz w:val="20"/>
                <w:szCs w:val="20"/>
              </w:rPr>
            </w:pPr>
            <w:r w:rsidRPr="00FA3F57">
              <w:rPr>
                <w:sz w:val="20"/>
                <w:szCs w:val="20"/>
              </w:rPr>
              <w:t>2026.</w:t>
            </w:r>
          </w:p>
        </w:tc>
      </w:tr>
      <w:tr w:rsidR="0094644B" w:rsidRPr="00F07779" w14:paraId="336B248B" w14:textId="77777777" w:rsidTr="00FB5086">
        <w:tc>
          <w:tcPr>
            <w:tcW w:w="2973" w:type="dxa"/>
          </w:tcPr>
          <w:p w14:paraId="22C0586C" w14:textId="77777777" w:rsidR="0094644B" w:rsidRPr="00FA3F57" w:rsidRDefault="0094644B" w:rsidP="00FB5086">
            <w:pPr>
              <w:rPr>
                <w:sz w:val="20"/>
                <w:szCs w:val="20"/>
              </w:rPr>
            </w:pPr>
            <w:r w:rsidRPr="00FA3F57">
              <w:rPr>
                <w:sz w:val="20"/>
                <w:szCs w:val="20"/>
              </w:rPr>
              <w:t>Year of completion of project funding</w:t>
            </w:r>
          </w:p>
        </w:tc>
        <w:tc>
          <w:tcPr>
            <w:tcW w:w="5669" w:type="dxa"/>
          </w:tcPr>
          <w:p w14:paraId="480CF04A" w14:textId="77777777" w:rsidR="0094644B" w:rsidRPr="00FA3F57" w:rsidRDefault="0094644B" w:rsidP="00FB5086">
            <w:pPr>
              <w:rPr>
                <w:sz w:val="20"/>
                <w:szCs w:val="20"/>
              </w:rPr>
            </w:pPr>
            <w:r w:rsidRPr="00FA3F57">
              <w:rPr>
                <w:sz w:val="20"/>
                <w:szCs w:val="20"/>
              </w:rPr>
              <w:t>2028.</w:t>
            </w:r>
          </w:p>
        </w:tc>
      </w:tr>
      <w:tr w:rsidR="0094644B" w:rsidRPr="00F07779" w14:paraId="529F5C8D" w14:textId="77777777" w:rsidTr="00FB5086">
        <w:tc>
          <w:tcPr>
            <w:tcW w:w="2973" w:type="dxa"/>
          </w:tcPr>
          <w:p w14:paraId="3065C449" w14:textId="77777777" w:rsidR="0094644B" w:rsidRPr="00FA3F57" w:rsidRDefault="0094644B" w:rsidP="00FB5086">
            <w:pPr>
              <w:rPr>
                <w:sz w:val="20"/>
                <w:szCs w:val="20"/>
              </w:rPr>
            </w:pPr>
            <w:r w:rsidRPr="00FA3F57">
              <w:rPr>
                <w:sz w:val="20"/>
                <w:szCs w:val="20"/>
              </w:rPr>
              <w:t>Required funds and source of financing</w:t>
            </w:r>
          </w:p>
          <w:p w14:paraId="4B27EB8D" w14:textId="77777777" w:rsidR="0094644B" w:rsidRPr="00FA3F57" w:rsidRDefault="0094644B" w:rsidP="00FB5086">
            <w:pPr>
              <w:rPr>
                <w:sz w:val="20"/>
                <w:szCs w:val="20"/>
              </w:rPr>
            </w:pPr>
            <w:r w:rsidRPr="00FA3F57">
              <w:rPr>
                <w:sz w:val="20"/>
                <w:szCs w:val="20"/>
              </w:rPr>
              <w:t>(in thousands of RSD)</w:t>
            </w:r>
          </w:p>
        </w:tc>
        <w:tc>
          <w:tcPr>
            <w:tcW w:w="5669" w:type="dxa"/>
          </w:tcPr>
          <w:p w14:paraId="5584618E" w14:textId="77777777" w:rsidR="0094644B" w:rsidRPr="00FA3F57" w:rsidRDefault="0094644B" w:rsidP="00FB5086">
            <w:pPr>
              <w:rPr>
                <w:sz w:val="20"/>
                <w:szCs w:val="20"/>
              </w:rPr>
            </w:pPr>
            <w:r w:rsidRPr="00FA3F57">
              <w:rPr>
                <w:sz w:val="20"/>
                <w:szCs w:val="20"/>
              </w:rPr>
              <w:t>785,575 (6.7 million EUR)</w:t>
            </w:r>
            <w:r w:rsidRPr="00FA3F57" w:rsidDel="005B429E">
              <w:rPr>
                <w:sz w:val="20"/>
                <w:szCs w:val="20"/>
              </w:rPr>
              <w:t xml:space="preserve"> </w:t>
            </w:r>
            <w:r w:rsidRPr="00FA3F57">
              <w:rPr>
                <w:sz w:val="20"/>
                <w:szCs w:val="20"/>
              </w:rPr>
              <w:t>(EIB loan)</w:t>
            </w:r>
          </w:p>
        </w:tc>
      </w:tr>
      <w:tr w:rsidR="0094644B" w:rsidRPr="00F07779" w14:paraId="127266AA" w14:textId="77777777" w:rsidTr="00FB5086">
        <w:tc>
          <w:tcPr>
            <w:tcW w:w="2973" w:type="dxa"/>
          </w:tcPr>
          <w:p w14:paraId="46AE7081" w14:textId="77777777" w:rsidR="0094644B" w:rsidRPr="00FA3F57" w:rsidRDefault="0094644B" w:rsidP="00FB5086">
            <w:pPr>
              <w:rPr>
                <w:sz w:val="20"/>
                <w:szCs w:val="20"/>
              </w:rPr>
            </w:pPr>
            <w:r w:rsidRPr="00FA3F57">
              <w:rPr>
                <w:sz w:val="20"/>
                <w:szCs w:val="20"/>
              </w:rPr>
              <w:t>Planned investments for 2026.</w:t>
            </w:r>
            <w:r w:rsidRPr="00FA3F57">
              <w:rPr>
                <w:sz w:val="20"/>
                <w:szCs w:val="20"/>
              </w:rPr>
              <w:br/>
              <w:t>(in thousands of RSD)</w:t>
            </w:r>
          </w:p>
        </w:tc>
        <w:tc>
          <w:tcPr>
            <w:tcW w:w="5669" w:type="dxa"/>
          </w:tcPr>
          <w:p w14:paraId="2D1ED231" w14:textId="77777777" w:rsidR="0094644B" w:rsidRPr="00FA3F57" w:rsidRDefault="0094644B" w:rsidP="00FB5086">
            <w:pPr>
              <w:rPr>
                <w:sz w:val="20"/>
                <w:szCs w:val="20"/>
              </w:rPr>
            </w:pPr>
            <w:r w:rsidRPr="00FA3F57">
              <w:rPr>
                <w:sz w:val="20"/>
                <w:szCs w:val="20"/>
              </w:rPr>
              <w:t>234,500 (loan)</w:t>
            </w:r>
          </w:p>
        </w:tc>
      </w:tr>
      <w:tr w:rsidR="0094644B" w:rsidRPr="00F07779" w14:paraId="1FB60D08" w14:textId="77777777" w:rsidTr="00FB5086">
        <w:tc>
          <w:tcPr>
            <w:tcW w:w="2973" w:type="dxa"/>
          </w:tcPr>
          <w:p w14:paraId="49D93876" w14:textId="77777777" w:rsidR="0094644B" w:rsidRPr="00FA3F57" w:rsidRDefault="0094644B" w:rsidP="00FB5086">
            <w:pPr>
              <w:rPr>
                <w:sz w:val="20"/>
                <w:szCs w:val="20"/>
              </w:rPr>
            </w:pPr>
            <w:r w:rsidRPr="00FA3F57">
              <w:rPr>
                <w:sz w:val="20"/>
                <w:szCs w:val="20"/>
              </w:rPr>
              <w:t>Planned investments for 2027.</w:t>
            </w:r>
            <w:r w:rsidRPr="00FA3F57">
              <w:rPr>
                <w:sz w:val="20"/>
                <w:szCs w:val="20"/>
              </w:rPr>
              <w:br/>
              <w:t>(in thousands of RSD)</w:t>
            </w:r>
          </w:p>
        </w:tc>
        <w:tc>
          <w:tcPr>
            <w:tcW w:w="5669" w:type="dxa"/>
          </w:tcPr>
          <w:p w14:paraId="2D57E341" w14:textId="77777777" w:rsidR="0094644B" w:rsidRPr="00FA3F57" w:rsidRDefault="0094644B" w:rsidP="00FB5086">
            <w:pPr>
              <w:rPr>
                <w:sz w:val="20"/>
                <w:szCs w:val="20"/>
              </w:rPr>
            </w:pPr>
            <w:r w:rsidRPr="00FA3F57">
              <w:rPr>
                <w:sz w:val="20"/>
                <w:szCs w:val="20"/>
              </w:rPr>
              <w:t>234,500 (loan)</w:t>
            </w:r>
          </w:p>
        </w:tc>
      </w:tr>
      <w:tr w:rsidR="0094644B" w:rsidRPr="00F07779" w14:paraId="4AF83003" w14:textId="77777777" w:rsidTr="00FB5086">
        <w:tc>
          <w:tcPr>
            <w:tcW w:w="2973" w:type="dxa"/>
          </w:tcPr>
          <w:p w14:paraId="261EAC46" w14:textId="77777777" w:rsidR="0094644B" w:rsidRPr="00FA3F57" w:rsidRDefault="0094644B" w:rsidP="00FB5086">
            <w:pPr>
              <w:rPr>
                <w:sz w:val="20"/>
                <w:szCs w:val="20"/>
              </w:rPr>
            </w:pPr>
            <w:r w:rsidRPr="00FA3F57">
              <w:rPr>
                <w:sz w:val="20"/>
                <w:szCs w:val="20"/>
              </w:rPr>
              <w:lastRenderedPageBreak/>
              <w:t>Planned investments for 2028.</w:t>
            </w:r>
            <w:r w:rsidRPr="00FA3F57">
              <w:rPr>
                <w:sz w:val="20"/>
                <w:szCs w:val="20"/>
              </w:rPr>
              <w:br/>
              <w:t>(in thousands of RSD)</w:t>
            </w:r>
          </w:p>
        </w:tc>
        <w:tc>
          <w:tcPr>
            <w:tcW w:w="5669" w:type="dxa"/>
          </w:tcPr>
          <w:p w14:paraId="01C3AE09" w14:textId="77777777" w:rsidR="0094644B" w:rsidRPr="00FA3F57" w:rsidRDefault="0094644B" w:rsidP="00FB5086">
            <w:pPr>
              <w:rPr>
                <w:sz w:val="20"/>
                <w:szCs w:val="20"/>
              </w:rPr>
            </w:pPr>
            <w:r w:rsidRPr="00FA3F57">
              <w:rPr>
                <w:sz w:val="20"/>
                <w:szCs w:val="20"/>
              </w:rPr>
              <w:t>316,575 (loan)</w:t>
            </w:r>
          </w:p>
        </w:tc>
      </w:tr>
      <w:tr w:rsidR="0094644B" w:rsidRPr="00F07779" w14:paraId="0384E6F1" w14:textId="77777777" w:rsidTr="00FB5086">
        <w:tc>
          <w:tcPr>
            <w:tcW w:w="2973" w:type="dxa"/>
          </w:tcPr>
          <w:p w14:paraId="2E56CB65" w14:textId="77777777" w:rsidR="0094644B" w:rsidRPr="00FA3F57" w:rsidRDefault="0094644B" w:rsidP="00FB5086">
            <w:pPr>
              <w:rPr>
                <w:sz w:val="20"/>
                <w:szCs w:val="20"/>
              </w:rPr>
            </w:pPr>
            <w:r w:rsidRPr="00FA3F57">
              <w:rPr>
                <w:sz w:val="20"/>
                <w:szCs w:val="20"/>
              </w:rPr>
              <w:t>Implementation indicator</w:t>
            </w:r>
          </w:p>
        </w:tc>
        <w:tc>
          <w:tcPr>
            <w:tcW w:w="5669" w:type="dxa"/>
          </w:tcPr>
          <w:p w14:paraId="52C5A62D" w14:textId="77777777" w:rsidR="0094644B" w:rsidRPr="00FA3F57" w:rsidRDefault="0094644B" w:rsidP="00FB5086">
            <w:pPr>
              <w:rPr>
                <w:sz w:val="20"/>
                <w:szCs w:val="20"/>
              </w:rPr>
            </w:pPr>
            <w:r w:rsidRPr="00FA3F57">
              <w:rPr>
                <w:sz w:val="20"/>
                <w:szCs w:val="20"/>
              </w:rPr>
              <w:t>Number of TS purchased</w:t>
            </w:r>
          </w:p>
        </w:tc>
      </w:tr>
      <w:tr w:rsidR="0094644B" w:rsidRPr="00F07779" w14:paraId="56265C90" w14:textId="77777777" w:rsidTr="00FB5086">
        <w:tc>
          <w:tcPr>
            <w:tcW w:w="2973" w:type="dxa"/>
          </w:tcPr>
          <w:p w14:paraId="1C9C4FD2" w14:textId="77777777" w:rsidR="0094644B" w:rsidRPr="00FA3F57" w:rsidRDefault="0094644B" w:rsidP="00FB5086">
            <w:pPr>
              <w:rPr>
                <w:sz w:val="20"/>
                <w:szCs w:val="20"/>
              </w:rPr>
            </w:pPr>
            <w:r w:rsidRPr="00FA3F57">
              <w:rPr>
                <w:sz w:val="20"/>
                <w:szCs w:val="20"/>
              </w:rPr>
              <w:t>Impact of the activity on the achievement of the objective</w:t>
            </w:r>
          </w:p>
        </w:tc>
        <w:tc>
          <w:tcPr>
            <w:tcW w:w="5669" w:type="dxa"/>
          </w:tcPr>
          <w:p w14:paraId="33AEDB78" w14:textId="77777777" w:rsidR="0094644B" w:rsidRPr="00FA3F57" w:rsidRDefault="0094644B" w:rsidP="00FB5086">
            <w:pPr>
              <w:rPr>
                <w:sz w:val="20"/>
                <w:szCs w:val="20"/>
              </w:rPr>
            </w:pPr>
            <w:r w:rsidRPr="00FA3F57">
              <w:rPr>
                <w:sz w:val="20"/>
                <w:szCs w:val="20"/>
              </w:rPr>
              <w:t>The project should ensure the development of the distribution system to provide new capacities for the connection of new system users.</w:t>
            </w:r>
          </w:p>
        </w:tc>
      </w:tr>
      <w:tr w:rsidR="0094644B" w:rsidRPr="00F07779" w14:paraId="5D7CA093" w14:textId="77777777" w:rsidTr="00FB5086">
        <w:tc>
          <w:tcPr>
            <w:tcW w:w="2973" w:type="dxa"/>
          </w:tcPr>
          <w:p w14:paraId="18B9F594" w14:textId="77777777" w:rsidR="0094644B" w:rsidRPr="00FA3F57" w:rsidRDefault="0094644B" w:rsidP="00FB5086">
            <w:pPr>
              <w:rPr>
                <w:sz w:val="20"/>
                <w:szCs w:val="20"/>
              </w:rPr>
            </w:pPr>
            <w:r w:rsidRPr="00FA3F57">
              <w:rPr>
                <w:sz w:val="20"/>
                <w:szCs w:val="20"/>
              </w:rPr>
              <w:t>Impact on EE, climate, and environmental protection</w:t>
            </w:r>
          </w:p>
        </w:tc>
        <w:tc>
          <w:tcPr>
            <w:tcW w:w="5669" w:type="dxa"/>
          </w:tcPr>
          <w:p w14:paraId="310EEC82" w14:textId="77777777" w:rsidR="0094644B" w:rsidRPr="00FA3F57" w:rsidRDefault="0094644B" w:rsidP="00FB5086">
            <w:pPr>
              <w:rPr>
                <w:sz w:val="20"/>
                <w:szCs w:val="20"/>
              </w:rPr>
            </w:pPr>
            <w:r w:rsidRPr="00F07779">
              <w:rPr>
                <w:sz w:val="20"/>
                <w:szCs w:val="20"/>
              </w:rPr>
              <w:t xml:space="preserve">A technology with significantly improved characteristics is applied, whose </w:t>
            </w:r>
            <w:proofErr w:type="gramStart"/>
            <w:r w:rsidRPr="00F07779">
              <w:rPr>
                <w:sz w:val="20"/>
                <w:szCs w:val="20"/>
              </w:rPr>
              <w:t>insulating</w:t>
            </w:r>
            <w:proofErr w:type="gramEnd"/>
            <w:r w:rsidRPr="00F07779">
              <w:rPr>
                <w:sz w:val="20"/>
                <w:szCs w:val="20"/>
              </w:rPr>
              <w:t xml:space="preserve"> oils do not contain harmful polychlorinated biphenyls (PCBs). The risk of fire, noise, vibrations, and heat generation is reduced. Lower levels of noise and vibrations positively affect working conditions and the work environment for people in the facilities, and even impact people’s health.</w:t>
            </w:r>
          </w:p>
          <w:p w14:paraId="2494047B" w14:textId="77777777" w:rsidR="0094644B" w:rsidRPr="00FA3F57" w:rsidRDefault="0094644B" w:rsidP="00FB5086">
            <w:pPr>
              <w:rPr>
                <w:sz w:val="20"/>
                <w:szCs w:val="20"/>
              </w:rPr>
            </w:pPr>
            <w:r w:rsidRPr="00F07779">
              <w:rPr>
                <w:sz w:val="20"/>
                <w:szCs w:val="20"/>
              </w:rPr>
              <w:t>By implementing the proposed projects for replacing old transformers, losses will be reduced.</w:t>
            </w:r>
          </w:p>
        </w:tc>
      </w:tr>
    </w:tbl>
    <w:p w14:paraId="11290298" w14:textId="77777777" w:rsidR="0094644B" w:rsidRPr="00F07779" w:rsidRDefault="0094644B" w:rsidP="0094644B"/>
    <w:tbl>
      <w:tblPr>
        <w:tblStyle w:val="TableGrid"/>
        <w:tblW w:w="0" w:type="auto"/>
        <w:tblLook w:val="04A0" w:firstRow="1" w:lastRow="0" w:firstColumn="1" w:lastColumn="0" w:noHBand="0" w:noVBand="1"/>
      </w:tblPr>
      <w:tblGrid>
        <w:gridCol w:w="2973"/>
        <w:gridCol w:w="5669"/>
      </w:tblGrid>
      <w:tr w:rsidR="0094644B" w:rsidRPr="00F07779" w:rsidDel="00F24A11" w14:paraId="5E6A5589" w14:textId="77777777" w:rsidTr="00FB5086">
        <w:tc>
          <w:tcPr>
            <w:tcW w:w="2973" w:type="dxa"/>
            <w:shd w:val="clear" w:color="auto" w:fill="D0CECE" w:themeFill="background2" w:themeFillShade="E6"/>
          </w:tcPr>
          <w:p w14:paraId="6D5536DD" w14:textId="77777777" w:rsidR="0094644B" w:rsidRPr="00FA3F57" w:rsidRDefault="0094644B" w:rsidP="00FB5086">
            <w:pPr>
              <w:keepNext/>
              <w:rPr>
                <w:sz w:val="20"/>
                <w:szCs w:val="20"/>
              </w:rPr>
            </w:pPr>
            <w:r w:rsidRPr="00FA3F57">
              <w:rPr>
                <w:sz w:val="20"/>
                <w:szCs w:val="20"/>
              </w:rPr>
              <w:t>Activity EL7.3</w:t>
            </w:r>
          </w:p>
        </w:tc>
        <w:tc>
          <w:tcPr>
            <w:tcW w:w="5669" w:type="dxa"/>
            <w:shd w:val="clear" w:color="auto" w:fill="D0CECE" w:themeFill="background2" w:themeFillShade="E6"/>
          </w:tcPr>
          <w:p w14:paraId="7926BE95" w14:textId="77777777" w:rsidR="0094644B" w:rsidRPr="00FA3F57" w:rsidRDefault="0094644B" w:rsidP="00FB5086">
            <w:pPr>
              <w:keepNext/>
              <w:rPr>
                <w:sz w:val="20"/>
                <w:szCs w:val="20"/>
              </w:rPr>
            </w:pPr>
            <w:r w:rsidRPr="00FA3F57">
              <w:rPr>
                <w:sz w:val="20"/>
                <w:szCs w:val="20"/>
              </w:rPr>
              <w:t>Investment projects for the modernization of the distribution system</w:t>
            </w:r>
          </w:p>
        </w:tc>
      </w:tr>
      <w:tr w:rsidR="0094644B" w:rsidRPr="00F07779" w:rsidDel="00F24A11" w14:paraId="5014C42C" w14:textId="77777777" w:rsidTr="00FB5086">
        <w:tc>
          <w:tcPr>
            <w:tcW w:w="2973" w:type="dxa"/>
            <w:shd w:val="clear" w:color="auto" w:fill="D9E2F3" w:themeFill="accent1" w:themeFillTint="33"/>
          </w:tcPr>
          <w:p w14:paraId="306048E7" w14:textId="77777777" w:rsidR="0094644B" w:rsidRPr="00FA3F57" w:rsidDel="00F24A11" w:rsidRDefault="0094644B" w:rsidP="00FB5086">
            <w:pPr>
              <w:keepNext/>
              <w:rPr>
                <w:sz w:val="20"/>
                <w:szCs w:val="20"/>
              </w:rPr>
            </w:pPr>
            <w:r w:rsidRPr="00FA3F57">
              <w:rPr>
                <w:sz w:val="20"/>
                <w:szCs w:val="20"/>
              </w:rPr>
              <w:t>Name of the project</w:t>
            </w:r>
          </w:p>
        </w:tc>
        <w:tc>
          <w:tcPr>
            <w:tcW w:w="5669" w:type="dxa"/>
            <w:shd w:val="clear" w:color="auto" w:fill="D9E2F3" w:themeFill="accent1" w:themeFillTint="33"/>
          </w:tcPr>
          <w:p w14:paraId="78D9A17A" w14:textId="77777777" w:rsidR="0094644B" w:rsidRPr="00FA3F57" w:rsidDel="00F24A11" w:rsidRDefault="0094644B" w:rsidP="00FB5086">
            <w:pPr>
              <w:keepNext/>
              <w:rPr>
                <w:sz w:val="20"/>
                <w:szCs w:val="20"/>
              </w:rPr>
            </w:pPr>
            <w:r w:rsidRPr="00FA3F57">
              <w:rPr>
                <w:sz w:val="20"/>
                <w:szCs w:val="20"/>
              </w:rPr>
              <w:t>Reconstruction of 26 SS 35/x kV</w:t>
            </w:r>
          </w:p>
        </w:tc>
      </w:tr>
      <w:tr w:rsidR="0094644B" w:rsidRPr="00F07779" w:rsidDel="00F24A11" w14:paraId="213C454E" w14:textId="77777777" w:rsidTr="00FB5086">
        <w:tc>
          <w:tcPr>
            <w:tcW w:w="2973" w:type="dxa"/>
          </w:tcPr>
          <w:p w14:paraId="47B6B9C1" w14:textId="77777777" w:rsidR="0094644B" w:rsidRPr="00FA3F57" w:rsidDel="00F24A11" w:rsidRDefault="0094644B" w:rsidP="00FB5086">
            <w:pPr>
              <w:rPr>
                <w:sz w:val="20"/>
                <w:szCs w:val="20"/>
              </w:rPr>
            </w:pPr>
            <w:r w:rsidRPr="00FA3F57">
              <w:rPr>
                <w:sz w:val="20"/>
                <w:szCs w:val="20"/>
              </w:rPr>
              <w:t>Description</w:t>
            </w:r>
          </w:p>
        </w:tc>
        <w:tc>
          <w:tcPr>
            <w:tcW w:w="5669" w:type="dxa"/>
          </w:tcPr>
          <w:p w14:paraId="4800FEEC" w14:textId="77777777" w:rsidR="0094644B" w:rsidRPr="00FA3F57" w:rsidRDefault="0094644B" w:rsidP="00FB5086">
            <w:pPr>
              <w:rPr>
                <w:sz w:val="20"/>
                <w:szCs w:val="20"/>
              </w:rPr>
            </w:pPr>
            <w:r w:rsidRPr="00FA3F57">
              <w:rPr>
                <w:sz w:val="20"/>
                <w:szCs w:val="20"/>
              </w:rPr>
              <w:t>The reconstruction of 26 SS 35/x kV involves the following activities:</w:t>
            </w:r>
          </w:p>
          <w:p w14:paraId="69408D75" w14:textId="77777777" w:rsidR="0094644B" w:rsidRPr="00FA3F57" w:rsidRDefault="0094644B" w:rsidP="00FB5086">
            <w:pPr>
              <w:pStyle w:val="ListParagraph"/>
              <w:numPr>
                <w:ilvl w:val="0"/>
                <w:numId w:val="31"/>
              </w:numPr>
              <w:ind w:left="320" w:hanging="141"/>
              <w:rPr>
                <w:rFonts w:ascii="Times New Roman" w:hAnsi="Times New Roman" w:cs="Times New Roman"/>
                <w:noProof w:val="0"/>
                <w:sz w:val="20"/>
                <w:szCs w:val="20"/>
              </w:rPr>
            </w:pPr>
            <w:r w:rsidRPr="00FA3F57">
              <w:rPr>
                <w:rFonts w:ascii="Times New Roman" w:hAnsi="Times New Roman" w:cs="Times New Roman"/>
                <w:noProof w:val="0"/>
                <w:sz w:val="20"/>
                <w:szCs w:val="20"/>
              </w:rPr>
              <w:t>preparation of technical documentation,</w:t>
            </w:r>
          </w:p>
          <w:p w14:paraId="6C7FA6A8" w14:textId="77777777" w:rsidR="0094644B" w:rsidRPr="00FA3F57" w:rsidRDefault="0094644B" w:rsidP="00FB5086">
            <w:pPr>
              <w:pStyle w:val="ListParagraph"/>
              <w:numPr>
                <w:ilvl w:val="0"/>
                <w:numId w:val="31"/>
              </w:numPr>
              <w:ind w:left="320" w:hanging="141"/>
              <w:rPr>
                <w:rFonts w:ascii="Times New Roman" w:hAnsi="Times New Roman" w:cs="Times New Roman"/>
                <w:noProof w:val="0"/>
                <w:sz w:val="20"/>
                <w:szCs w:val="20"/>
              </w:rPr>
            </w:pPr>
            <w:r w:rsidRPr="00FA3F57">
              <w:rPr>
                <w:rFonts w:ascii="Times New Roman" w:hAnsi="Times New Roman" w:cs="Times New Roman"/>
                <w:noProof w:val="0"/>
                <w:sz w:val="20"/>
                <w:szCs w:val="20"/>
              </w:rPr>
              <w:t>carrying out construction and construction-craft works,</w:t>
            </w:r>
          </w:p>
          <w:p w14:paraId="78295D1C" w14:textId="77777777" w:rsidR="0094644B" w:rsidRPr="00FA3F57" w:rsidRDefault="0094644B" w:rsidP="00FB5086">
            <w:pPr>
              <w:pStyle w:val="ListParagraph"/>
              <w:numPr>
                <w:ilvl w:val="0"/>
                <w:numId w:val="31"/>
              </w:numPr>
              <w:ind w:left="320" w:hanging="141"/>
              <w:rPr>
                <w:rFonts w:ascii="Times New Roman" w:hAnsi="Times New Roman" w:cs="Times New Roman"/>
                <w:noProof w:val="0"/>
                <w:sz w:val="20"/>
                <w:szCs w:val="20"/>
              </w:rPr>
            </w:pPr>
            <w:r w:rsidRPr="00FA3F57">
              <w:rPr>
                <w:rFonts w:ascii="Times New Roman" w:hAnsi="Times New Roman" w:cs="Times New Roman"/>
                <w:noProof w:val="0"/>
                <w:sz w:val="20"/>
                <w:szCs w:val="20"/>
              </w:rPr>
              <w:t>performing electrical work,</w:t>
            </w:r>
          </w:p>
          <w:p w14:paraId="65E5F288" w14:textId="77777777" w:rsidR="0094644B" w:rsidRPr="00FA3F57" w:rsidRDefault="0094644B" w:rsidP="00FB5086">
            <w:pPr>
              <w:pStyle w:val="ListParagraph"/>
              <w:numPr>
                <w:ilvl w:val="0"/>
                <w:numId w:val="31"/>
              </w:numPr>
              <w:ind w:left="320" w:hanging="141"/>
              <w:rPr>
                <w:rFonts w:ascii="Times New Roman" w:hAnsi="Times New Roman" w:cs="Times New Roman"/>
                <w:noProof w:val="0"/>
                <w:sz w:val="20"/>
                <w:szCs w:val="20"/>
              </w:rPr>
            </w:pPr>
            <w:r w:rsidRPr="00FA3F57">
              <w:rPr>
                <w:rFonts w:ascii="Times New Roman" w:hAnsi="Times New Roman" w:cs="Times New Roman"/>
                <w:noProof w:val="0"/>
                <w:sz w:val="20"/>
                <w:szCs w:val="20"/>
              </w:rPr>
              <w:t>other works.</w:t>
            </w:r>
          </w:p>
          <w:p w14:paraId="419632E2" w14:textId="77777777" w:rsidR="0094644B" w:rsidRPr="00F07779" w:rsidRDefault="0094644B" w:rsidP="00FB5086">
            <w:pPr>
              <w:rPr>
                <w:sz w:val="20"/>
                <w:szCs w:val="20"/>
              </w:rPr>
            </w:pPr>
            <w:r w:rsidRPr="00FA3F57">
              <w:rPr>
                <w:sz w:val="20"/>
                <w:szCs w:val="20"/>
              </w:rPr>
              <w:t xml:space="preserve">Works on the installation of electrical equipment, as well as related construction works, to the extent </w:t>
            </w:r>
            <w:proofErr w:type="gramStart"/>
            <w:r w:rsidRPr="00FA3F57">
              <w:rPr>
                <w:sz w:val="20"/>
                <w:szCs w:val="20"/>
              </w:rPr>
              <w:t>provided for</w:t>
            </w:r>
            <w:proofErr w:type="gramEnd"/>
            <w:r w:rsidRPr="00FA3F57">
              <w:rPr>
                <w:sz w:val="20"/>
                <w:szCs w:val="20"/>
              </w:rPr>
              <w:t xml:space="preserve"> in the technical documentation.</w:t>
            </w:r>
          </w:p>
          <w:p w14:paraId="3A2ADC06" w14:textId="77777777" w:rsidR="0094644B" w:rsidRPr="00FA3F57" w:rsidRDefault="0094644B" w:rsidP="00FB5086">
            <w:pPr>
              <w:rPr>
                <w:sz w:val="20"/>
                <w:szCs w:val="20"/>
              </w:rPr>
            </w:pPr>
            <w:r w:rsidRPr="00FA3F57">
              <w:rPr>
                <w:sz w:val="20"/>
                <w:szCs w:val="20"/>
              </w:rPr>
              <w:t>Expected dynamics of project implementation:</w:t>
            </w:r>
          </w:p>
          <w:p w14:paraId="19479671" w14:textId="77777777" w:rsidR="0094644B" w:rsidRPr="00FA3F57" w:rsidRDefault="0094644B" w:rsidP="00FB5086">
            <w:pPr>
              <w:rPr>
                <w:sz w:val="20"/>
                <w:szCs w:val="20"/>
              </w:rPr>
            </w:pPr>
            <w:r w:rsidRPr="00FA3F57">
              <w:rPr>
                <w:sz w:val="20"/>
                <w:szCs w:val="20"/>
              </w:rPr>
              <w:t>2026. The beginning of the project</w:t>
            </w:r>
          </w:p>
          <w:p w14:paraId="6A6332BB" w14:textId="77777777" w:rsidR="0094644B" w:rsidRPr="00FA3F57" w:rsidRDefault="0094644B" w:rsidP="00FB5086">
            <w:pPr>
              <w:rPr>
                <w:sz w:val="20"/>
                <w:szCs w:val="20"/>
              </w:rPr>
            </w:pPr>
            <w:r w:rsidRPr="00FA3F57">
              <w:rPr>
                <w:sz w:val="20"/>
                <w:szCs w:val="20"/>
              </w:rPr>
              <w:t>2027. Construction</w:t>
            </w:r>
          </w:p>
          <w:p w14:paraId="7A9E2D49" w14:textId="77777777" w:rsidR="0094644B" w:rsidRPr="00FA3F57" w:rsidDel="00F24A11" w:rsidRDefault="0094644B" w:rsidP="00FB5086">
            <w:pPr>
              <w:rPr>
                <w:sz w:val="20"/>
                <w:szCs w:val="20"/>
              </w:rPr>
            </w:pPr>
            <w:r w:rsidRPr="00FA3F57">
              <w:rPr>
                <w:sz w:val="20"/>
                <w:szCs w:val="20"/>
              </w:rPr>
              <w:t>2028. Commissioning; trial operation</w:t>
            </w:r>
          </w:p>
        </w:tc>
      </w:tr>
      <w:tr w:rsidR="0094644B" w:rsidRPr="00F07779" w:rsidDel="00F24A11" w14:paraId="42D7B840" w14:textId="77777777" w:rsidTr="00FB5086">
        <w:tc>
          <w:tcPr>
            <w:tcW w:w="2973" w:type="dxa"/>
          </w:tcPr>
          <w:p w14:paraId="203B7783" w14:textId="77777777" w:rsidR="0094644B" w:rsidRPr="00FA3F57" w:rsidDel="00F24A11" w:rsidRDefault="0094644B" w:rsidP="00FB5086">
            <w:pPr>
              <w:rPr>
                <w:sz w:val="20"/>
                <w:szCs w:val="20"/>
              </w:rPr>
            </w:pPr>
            <w:r w:rsidRPr="00FA3F57">
              <w:rPr>
                <w:sz w:val="20"/>
                <w:szCs w:val="20"/>
              </w:rPr>
              <w:t>Institutions responsible for the implementation of measures and activities</w:t>
            </w:r>
          </w:p>
        </w:tc>
        <w:tc>
          <w:tcPr>
            <w:tcW w:w="5669" w:type="dxa"/>
          </w:tcPr>
          <w:p w14:paraId="24649C95" w14:textId="77777777" w:rsidR="0094644B" w:rsidRPr="00FA3F57" w:rsidDel="00F24A11" w:rsidRDefault="0094644B" w:rsidP="00FB5086">
            <w:pPr>
              <w:rPr>
                <w:sz w:val="20"/>
                <w:szCs w:val="20"/>
              </w:rPr>
            </w:pPr>
            <w:r w:rsidRPr="00FA3F57">
              <w:rPr>
                <w:sz w:val="20"/>
                <w:szCs w:val="20"/>
              </w:rPr>
              <w:t>Elektrodistribucija Srbije Ltd. Belgrade</w:t>
            </w:r>
          </w:p>
        </w:tc>
      </w:tr>
      <w:tr w:rsidR="0094644B" w:rsidRPr="00F07779" w:rsidDel="00F24A11" w14:paraId="1E1143B4" w14:textId="77777777" w:rsidTr="00FB5086">
        <w:tc>
          <w:tcPr>
            <w:tcW w:w="2973" w:type="dxa"/>
          </w:tcPr>
          <w:p w14:paraId="68C44AF6" w14:textId="77777777" w:rsidR="0094644B" w:rsidRPr="00FA3F57" w:rsidDel="00F24A11" w:rsidRDefault="0094644B" w:rsidP="00FB5086">
            <w:pPr>
              <w:rPr>
                <w:sz w:val="20"/>
                <w:szCs w:val="20"/>
              </w:rPr>
            </w:pPr>
            <w:r w:rsidRPr="00FA3F57">
              <w:rPr>
                <w:sz w:val="20"/>
                <w:szCs w:val="20"/>
              </w:rPr>
              <w:t>Institutions responsible for monitoring implementation and reporting on the realization</w:t>
            </w:r>
          </w:p>
        </w:tc>
        <w:tc>
          <w:tcPr>
            <w:tcW w:w="5669" w:type="dxa"/>
          </w:tcPr>
          <w:p w14:paraId="4D7CA5CB" w14:textId="77777777" w:rsidR="0094644B" w:rsidRPr="00F07779" w:rsidRDefault="0094644B" w:rsidP="00FB5086">
            <w:pPr>
              <w:rPr>
                <w:sz w:val="20"/>
                <w:szCs w:val="20"/>
              </w:rPr>
            </w:pPr>
            <w:r w:rsidRPr="00FA3F57">
              <w:rPr>
                <w:sz w:val="20"/>
                <w:szCs w:val="20"/>
              </w:rPr>
              <w:t>Elektrodistribucija Srbije Ltd. Belgrade</w:t>
            </w:r>
          </w:p>
          <w:p w14:paraId="41F14233" w14:textId="77777777" w:rsidR="0094644B" w:rsidRPr="00FA3F57" w:rsidRDefault="0094644B" w:rsidP="00FB5086">
            <w:pPr>
              <w:rPr>
                <w:sz w:val="20"/>
                <w:szCs w:val="20"/>
              </w:rPr>
            </w:pPr>
            <w:r w:rsidRPr="00FA3F57">
              <w:rPr>
                <w:sz w:val="20"/>
                <w:szCs w:val="20"/>
              </w:rPr>
              <w:t>Ministry of Mining and Energy</w:t>
            </w:r>
          </w:p>
          <w:p w14:paraId="5F85761E" w14:textId="77777777" w:rsidR="0094644B" w:rsidRPr="00FA3F57" w:rsidDel="00F24A11" w:rsidRDefault="0094644B" w:rsidP="00FB5086">
            <w:pPr>
              <w:rPr>
                <w:sz w:val="20"/>
                <w:szCs w:val="20"/>
              </w:rPr>
            </w:pPr>
            <w:r w:rsidRPr="00FA3F57">
              <w:rPr>
                <w:sz w:val="20"/>
                <w:szCs w:val="20"/>
              </w:rPr>
              <w:t>Ministry of Economy</w:t>
            </w:r>
          </w:p>
        </w:tc>
      </w:tr>
      <w:tr w:rsidR="0094644B" w:rsidRPr="00F07779" w:rsidDel="00F24A11" w14:paraId="13A02860" w14:textId="77777777" w:rsidTr="00FB5086">
        <w:tc>
          <w:tcPr>
            <w:tcW w:w="2973" w:type="dxa"/>
          </w:tcPr>
          <w:p w14:paraId="175F0BF6" w14:textId="77777777" w:rsidR="0094644B" w:rsidRPr="00FA3F57" w:rsidDel="00F24A11" w:rsidRDefault="0094644B" w:rsidP="00FB5086">
            <w:pPr>
              <w:rPr>
                <w:sz w:val="20"/>
                <w:szCs w:val="20"/>
              </w:rPr>
            </w:pPr>
            <w:r w:rsidRPr="00FA3F57">
              <w:rPr>
                <w:sz w:val="20"/>
                <w:szCs w:val="20"/>
              </w:rPr>
              <w:t>Year of project funding start</w:t>
            </w:r>
          </w:p>
        </w:tc>
        <w:tc>
          <w:tcPr>
            <w:tcW w:w="5669" w:type="dxa"/>
          </w:tcPr>
          <w:p w14:paraId="345A9F5B" w14:textId="77777777" w:rsidR="0094644B" w:rsidRPr="00FA3F57" w:rsidDel="00F24A11" w:rsidRDefault="0094644B" w:rsidP="00FB5086">
            <w:pPr>
              <w:rPr>
                <w:sz w:val="20"/>
                <w:szCs w:val="20"/>
              </w:rPr>
            </w:pPr>
            <w:r w:rsidRPr="00FA3F57">
              <w:rPr>
                <w:sz w:val="20"/>
                <w:szCs w:val="20"/>
              </w:rPr>
              <w:t>2026.</w:t>
            </w:r>
          </w:p>
        </w:tc>
      </w:tr>
      <w:tr w:rsidR="0094644B" w:rsidRPr="00F07779" w:rsidDel="00F24A11" w14:paraId="5131CB6D" w14:textId="77777777" w:rsidTr="00FB5086">
        <w:tc>
          <w:tcPr>
            <w:tcW w:w="2973" w:type="dxa"/>
          </w:tcPr>
          <w:p w14:paraId="023994D7" w14:textId="77777777" w:rsidR="0094644B" w:rsidRPr="00FA3F57" w:rsidDel="00F24A11" w:rsidRDefault="0094644B" w:rsidP="00FB5086">
            <w:pPr>
              <w:rPr>
                <w:sz w:val="20"/>
                <w:szCs w:val="20"/>
              </w:rPr>
            </w:pPr>
            <w:r w:rsidRPr="00FA3F57">
              <w:rPr>
                <w:sz w:val="20"/>
                <w:szCs w:val="20"/>
              </w:rPr>
              <w:t>Year of completion of project funding</w:t>
            </w:r>
          </w:p>
        </w:tc>
        <w:tc>
          <w:tcPr>
            <w:tcW w:w="5669" w:type="dxa"/>
          </w:tcPr>
          <w:p w14:paraId="760FA4CA" w14:textId="77777777" w:rsidR="0094644B" w:rsidRPr="00FA3F57" w:rsidDel="00F24A11" w:rsidRDefault="0094644B" w:rsidP="00FB5086">
            <w:pPr>
              <w:rPr>
                <w:sz w:val="20"/>
                <w:szCs w:val="20"/>
              </w:rPr>
            </w:pPr>
            <w:r w:rsidRPr="00FA3F57">
              <w:rPr>
                <w:sz w:val="20"/>
                <w:szCs w:val="20"/>
              </w:rPr>
              <w:t xml:space="preserve">2028. </w:t>
            </w:r>
          </w:p>
        </w:tc>
      </w:tr>
      <w:tr w:rsidR="0094644B" w:rsidRPr="00F07779" w:rsidDel="00F24A11" w14:paraId="1963C9E0" w14:textId="77777777" w:rsidTr="00FB5086">
        <w:tc>
          <w:tcPr>
            <w:tcW w:w="2973" w:type="dxa"/>
          </w:tcPr>
          <w:p w14:paraId="7E55F0AE" w14:textId="77777777" w:rsidR="0094644B" w:rsidRPr="00FA3F57" w:rsidRDefault="0094644B" w:rsidP="00FB5086">
            <w:pPr>
              <w:rPr>
                <w:sz w:val="20"/>
                <w:szCs w:val="20"/>
              </w:rPr>
            </w:pPr>
            <w:r w:rsidRPr="00FA3F57">
              <w:rPr>
                <w:sz w:val="20"/>
                <w:szCs w:val="20"/>
              </w:rPr>
              <w:t>Required funds and source of financing</w:t>
            </w:r>
          </w:p>
          <w:p w14:paraId="41FF4C7B" w14:textId="77777777" w:rsidR="0094644B" w:rsidRPr="00FA3F57" w:rsidRDefault="0094644B" w:rsidP="00FB5086">
            <w:pPr>
              <w:rPr>
                <w:sz w:val="20"/>
                <w:szCs w:val="20"/>
              </w:rPr>
            </w:pPr>
            <w:r w:rsidRPr="00FA3F57">
              <w:rPr>
                <w:sz w:val="20"/>
                <w:szCs w:val="20"/>
              </w:rPr>
              <w:t>(in thousands of RSD)</w:t>
            </w:r>
          </w:p>
        </w:tc>
        <w:tc>
          <w:tcPr>
            <w:tcW w:w="5669" w:type="dxa"/>
          </w:tcPr>
          <w:p w14:paraId="7A25DB87" w14:textId="77777777" w:rsidR="0094644B" w:rsidRPr="00FA3F57" w:rsidRDefault="0094644B" w:rsidP="00FB5086">
            <w:pPr>
              <w:rPr>
                <w:sz w:val="20"/>
                <w:szCs w:val="20"/>
              </w:rPr>
            </w:pPr>
            <w:r w:rsidRPr="00FA3F57">
              <w:rPr>
                <w:sz w:val="20"/>
                <w:szCs w:val="20"/>
              </w:rPr>
              <w:t>2,134,000 (18.20 million EUR)</w:t>
            </w:r>
            <w:r w:rsidRPr="00F07779">
              <w:rPr>
                <w:sz w:val="20"/>
                <w:szCs w:val="20"/>
              </w:rPr>
              <w:t xml:space="preserve"> </w:t>
            </w:r>
            <w:r w:rsidRPr="00FA3F57">
              <w:rPr>
                <w:sz w:val="20"/>
                <w:szCs w:val="20"/>
              </w:rPr>
              <w:t>EIB loan</w:t>
            </w:r>
          </w:p>
        </w:tc>
      </w:tr>
      <w:tr w:rsidR="0094644B" w:rsidRPr="00F07779" w:rsidDel="00F24A11" w14:paraId="3D1DA999" w14:textId="77777777" w:rsidTr="00FB5086">
        <w:tc>
          <w:tcPr>
            <w:tcW w:w="2973" w:type="dxa"/>
          </w:tcPr>
          <w:p w14:paraId="2444455B" w14:textId="77777777" w:rsidR="0094644B" w:rsidRPr="00FA3F57" w:rsidRDefault="0094644B" w:rsidP="00FB5086">
            <w:pPr>
              <w:rPr>
                <w:sz w:val="20"/>
                <w:szCs w:val="20"/>
              </w:rPr>
            </w:pPr>
            <w:r w:rsidRPr="00FA3F57">
              <w:rPr>
                <w:sz w:val="20"/>
                <w:szCs w:val="20"/>
              </w:rPr>
              <w:t>Planned investments for 2026.</w:t>
            </w:r>
            <w:r w:rsidRPr="00FA3F57">
              <w:rPr>
                <w:sz w:val="20"/>
                <w:szCs w:val="20"/>
              </w:rPr>
              <w:br/>
              <w:t>(in thousands of RSD)</w:t>
            </w:r>
          </w:p>
        </w:tc>
        <w:tc>
          <w:tcPr>
            <w:tcW w:w="5669" w:type="dxa"/>
          </w:tcPr>
          <w:p w14:paraId="6A2589A0" w14:textId="77777777" w:rsidR="0094644B" w:rsidRPr="00FA3F57" w:rsidRDefault="0094644B" w:rsidP="00FB5086">
            <w:pPr>
              <w:rPr>
                <w:sz w:val="20"/>
                <w:szCs w:val="20"/>
              </w:rPr>
            </w:pPr>
            <w:r w:rsidRPr="00FA3F57">
              <w:rPr>
                <w:sz w:val="20"/>
                <w:szCs w:val="20"/>
              </w:rPr>
              <w:t>609,700 (loan)</w:t>
            </w:r>
          </w:p>
        </w:tc>
      </w:tr>
      <w:tr w:rsidR="0094644B" w:rsidRPr="00F07779" w:rsidDel="00F24A11" w14:paraId="2B04BD71" w14:textId="77777777" w:rsidTr="00FB5086">
        <w:tc>
          <w:tcPr>
            <w:tcW w:w="2973" w:type="dxa"/>
          </w:tcPr>
          <w:p w14:paraId="360030B1" w14:textId="77777777" w:rsidR="0094644B" w:rsidRPr="00FA3F57" w:rsidRDefault="0094644B" w:rsidP="00FB5086">
            <w:pPr>
              <w:rPr>
                <w:sz w:val="20"/>
                <w:szCs w:val="20"/>
              </w:rPr>
            </w:pPr>
            <w:r w:rsidRPr="00FA3F57">
              <w:rPr>
                <w:sz w:val="20"/>
                <w:szCs w:val="20"/>
              </w:rPr>
              <w:t>Planned investments for 2027.</w:t>
            </w:r>
            <w:r w:rsidRPr="00FA3F57">
              <w:rPr>
                <w:sz w:val="20"/>
                <w:szCs w:val="20"/>
              </w:rPr>
              <w:br/>
              <w:t>(in thousands of RSD)</w:t>
            </w:r>
          </w:p>
        </w:tc>
        <w:tc>
          <w:tcPr>
            <w:tcW w:w="5669" w:type="dxa"/>
          </w:tcPr>
          <w:p w14:paraId="4058D589" w14:textId="77777777" w:rsidR="0094644B" w:rsidRPr="00FA3F57" w:rsidRDefault="0094644B" w:rsidP="00FB5086">
            <w:pPr>
              <w:rPr>
                <w:sz w:val="20"/>
                <w:szCs w:val="20"/>
              </w:rPr>
            </w:pPr>
            <w:r w:rsidRPr="00FA3F57">
              <w:rPr>
                <w:sz w:val="20"/>
                <w:szCs w:val="20"/>
              </w:rPr>
              <w:t>1,055,250 (loan)</w:t>
            </w:r>
          </w:p>
        </w:tc>
      </w:tr>
      <w:tr w:rsidR="0094644B" w:rsidRPr="00F07779" w:rsidDel="00F24A11" w14:paraId="38514AA8" w14:textId="77777777" w:rsidTr="00FB5086">
        <w:tc>
          <w:tcPr>
            <w:tcW w:w="2973" w:type="dxa"/>
          </w:tcPr>
          <w:p w14:paraId="6FE45544" w14:textId="77777777" w:rsidR="0094644B" w:rsidRPr="00FA3F57" w:rsidRDefault="0094644B" w:rsidP="00FB5086">
            <w:pPr>
              <w:rPr>
                <w:sz w:val="20"/>
                <w:szCs w:val="20"/>
              </w:rPr>
            </w:pPr>
            <w:r w:rsidRPr="00FA3F57">
              <w:rPr>
                <w:sz w:val="20"/>
                <w:szCs w:val="20"/>
              </w:rPr>
              <w:t>Planned investments for 2028.</w:t>
            </w:r>
            <w:r w:rsidRPr="00FA3F57">
              <w:rPr>
                <w:sz w:val="20"/>
                <w:szCs w:val="20"/>
              </w:rPr>
              <w:br/>
              <w:t>(in thousands of RSD)</w:t>
            </w:r>
          </w:p>
        </w:tc>
        <w:tc>
          <w:tcPr>
            <w:tcW w:w="5669" w:type="dxa"/>
          </w:tcPr>
          <w:p w14:paraId="25A7FAE8" w14:textId="77777777" w:rsidR="0094644B" w:rsidRPr="00FA3F57" w:rsidRDefault="0094644B" w:rsidP="00FB5086">
            <w:pPr>
              <w:rPr>
                <w:sz w:val="20"/>
                <w:szCs w:val="20"/>
              </w:rPr>
            </w:pPr>
            <w:r w:rsidRPr="00FA3F57">
              <w:rPr>
                <w:sz w:val="20"/>
                <w:szCs w:val="20"/>
              </w:rPr>
              <w:t>469,000 (loan)</w:t>
            </w:r>
          </w:p>
        </w:tc>
      </w:tr>
      <w:tr w:rsidR="0094644B" w:rsidRPr="00F07779" w:rsidDel="00F24A11" w14:paraId="7BDCFED2" w14:textId="77777777" w:rsidTr="00FB5086">
        <w:tc>
          <w:tcPr>
            <w:tcW w:w="2973" w:type="dxa"/>
          </w:tcPr>
          <w:p w14:paraId="21A9E799" w14:textId="77777777" w:rsidR="0094644B" w:rsidRPr="00FA3F57" w:rsidDel="00F24A11" w:rsidRDefault="0094644B" w:rsidP="00FB5086">
            <w:pPr>
              <w:rPr>
                <w:sz w:val="20"/>
                <w:szCs w:val="20"/>
              </w:rPr>
            </w:pPr>
            <w:r w:rsidRPr="00FA3F57">
              <w:rPr>
                <w:sz w:val="20"/>
                <w:szCs w:val="20"/>
              </w:rPr>
              <w:t>Implementation indicator</w:t>
            </w:r>
          </w:p>
        </w:tc>
        <w:tc>
          <w:tcPr>
            <w:tcW w:w="5669" w:type="dxa"/>
          </w:tcPr>
          <w:p w14:paraId="0E26A6E3" w14:textId="77777777" w:rsidR="0094644B" w:rsidRPr="00FA3F57" w:rsidDel="00F24A11" w:rsidRDefault="0094644B" w:rsidP="00FB5086">
            <w:pPr>
              <w:rPr>
                <w:sz w:val="20"/>
                <w:szCs w:val="20"/>
              </w:rPr>
            </w:pPr>
            <w:r w:rsidRPr="00FA3F57">
              <w:rPr>
                <w:sz w:val="20"/>
                <w:szCs w:val="20"/>
              </w:rPr>
              <w:t>Number of reconstructed TS</w:t>
            </w:r>
          </w:p>
        </w:tc>
      </w:tr>
      <w:tr w:rsidR="0094644B" w:rsidRPr="00F07779" w:rsidDel="00F24A11" w14:paraId="6676BDEA" w14:textId="77777777" w:rsidTr="00FB5086">
        <w:tc>
          <w:tcPr>
            <w:tcW w:w="2973" w:type="dxa"/>
          </w:tcPr>
          <w:p w14:paraId="6828AC82" w14:textId="77777777" w:rsidR="0094644B" w:rsidRPr="00FA3F57" w:rsidDel="00F24A11" w:rsidRDefault="0094644B" w:rsidP="00FB5086">
            <w:pPr>
              <w:rPr>
                <w:sz w:val="20"/>
                <w:szCs w:val="20"/>
              </w:rPr>
            </w:pPr>
            <w:r w:rsidRPr="00FA3F57">
              <w:rPr>
                <w:sz w:val="20"/>
                <w:szCs w:val="20"/>
              </w:rPr>
              <w:t>Impact of the activity on the achievement of the objective</w:t>
            </w:r>
          </w:p>
        </w:tc>
        <w:tc>
          <w:tcPr>
            <w:tcW w:w="5669" w:type="dxa"/>
          </w:tcPr>
          <w:p w14:paraId="7B6ED88E" w14:textId="77777777" w:rsidR="0094644B" w:rsidRPr="00FA3F57" w:rsidDel="00F24A11" w:rsidRDefault="0094644B" w:rsidP="00FB5086">
            <w:pPr>
              <w:rPr>
                <w:sz w:val="20"/>
                <w:szCs w:val="20"/>
              </w:rPr>
            </w:pPr>
            <w:r w:rsidRPr="00F07779">
              <w:rPr>
                <w:sz w:val="20"/>
                <w:szCs w:val="20"/>
              </w:rPr>
              <w:t>The project aims to ensure better reliability of the distribution network, reduce the number and duration of outages for end users, decrease losses in the distribution network, and lower the overall maintenance costs of substations.</w:t>
            </w:r>
          </w:p>
        </w:tc>
      </w:tr>
      <w:tr w:rsidR="0094644B" w:rsidRPr="00F07779" w:rsidDel="00F24A11" w14:paraId="31EBC969" w14:textId="77777777" w:rsidTr="00FB5086">
        <w:tc>
          <w:tcPr>
            <w:tcW w:w="2973" w:type="dxa"/>
          </w:tcPr>
          <w:p w14:paraId="74609D6F" w14:textId="77777777" w:rsidR="0094644B" w:rsidRPr="00FA3F57" w:rsidRDefault="0094644B" w:rsidP="00FB5086">
            <w:pPr>
              <w:rPr>
                <w:sz w:val="20"/>
                <w:szCs w:val="20"/>
              </w:rPr>
            </w:pPr>
            <w:r w:rsidRPr="00FA3F57">
              <w:rPr>
                <w:sz w:val="20"/>
                <w:szCs w:val="20"/>
              </w:rPr>
              <w:t>Impact on EE, climate, and environmental protection</w:t>
            </w:r>
          </w:p>
        </w:tc>
        <w:tc>
          <w:tcPr>
            <w:tcW w:w="5669" w:type="dxa"/>
          </w:tcPr>
          <w:p w14:paraId="3984ACF3" w14:textId="77777777" w:rsidR="0094644B" w:rsidRPr="00FA3F57" w:rsidRDefault="0094644B" w:rsidP="00FB5086">
            <w:pPr>
              <w:rPr>
                <w:sz w:val="20"/>
                <w:szCs w:val="20"/>
              </w:rPr>
            </w:pPr>
            <w:r w:rsidRPr="00FA3F57">
              <w:rPr>
                <w:sz w:val="20"/>
                <w:szCs w:val="20"/>
              </w:rPr>
              <w:t xml:space="preserve">Data </w:t>
            </w:r>
            <w:proofErr w:type="gramStart"/>
            <w:r w:rsidRPr="00FA3F57">
              <w:rPr>
                <w:sz w:val="20"/>
                <w:szCs w:val="20"/>
              </w:rPr>
              <w:t>not</w:t>
            </w:r>
            <w:proofErr w:type="gramEnd"/>
            <w:r w:rsidRPr="00FA3F57">
              <w:rPr>
                <w:sz w:val="20"/>
                <w:szCs w:val="20"/>
              </w:rPr>
              <w:t xml:space="preserve"> provided.</w:t>
            </w:r>
          </w:p>
        </w:tc>
      </w:tr>
    </w:tbl>
    <w:p w14:paraId="3D9A8089" w14:textId="77777777" w:rsidR="0094644B" w:rsidRPr="00FA3F57" w:rsidRDefault="0094644B" w:rsidP="0094644B"/>
    <w:tbl>
      <w:tblPr>
        <w:tblStyle w:val="TableGrid"/>
        <w:tblW w:w="0" w:type="auto"/>
        <w:tblLook w:val="04A0" w:firstRow="1" w:lastRow="0" w:firstColumn="1" w:lastColumn="0" w:noHBand="0" w:noVBand="1"/>
      </w:tblPr>
      <w:tblGrid>
        <w:gridCol w:w="2973"/>
        <w:gridCol w:w="5669"/>
      </w:tblGrid>
      <w:tr w:rsidR="0094644B" w:rsidRPr="00F07779" w:rsidDel="00F24A11" w14:paraId="54C08AF2" w14:textId="77777777" w:rsidTr="00FB5086">
        <w:tc>
          <w:tcPr>
            <w:tcW w:w="2973" w:type="dxa"/>
            <w:shd w:val="clear" w:color="auto" w:fill="D0CECE" w:themeFill="background2" w:themeFillShade="E6"/>
          </w:tcPr>
          <w:p w14:paraId="6B41D4DE" w14:textId="77777777" w:rsidR="0094644B" w:rsidRPr="00FA3F57" w:rsidRDefault="0094644B" w:rsidP="00FB5086">
            <w:pPr>
              <w:keepNext/>
              <w:rPr>
                <w:sz w:val="20"/>
                <w:szCs w:val="20"/>
              </w:rPr>
            </w:pPr>
            <w:r w:rsidRPr="00FA3F57">
              <w:rPr>
                <w:sz w:val="20"/>
                <w:szCs w:val="20"/>
              </w:rPr>
              <w:lastRenderedPageBreak/>
              <w:t>Activity EL7.3</w:t>
            </w:r>
          </w:p>
        </w:tc>
        <w:tc>
          <w:tcPr>
            <w:tcW w:w="5669" w:type="dxa"/>
            <w:shd w:val="clear" w:color="auto" w:fill="D0CECE" w:themeFill="background2" w:themeFillShade="E6"/>
          </w:tcPr>
          <w:p w14:paraId="57904554" w14:textId="77777777" w:rsidR="0094644B" w:rsidRPr="00FA3F57" w:rsidRDefault="0094644B" w:rsidP="00FB5086">
            <w:pPr>
              <w:keepNext/>
              <w:rPr>
                <w:sz w:val="20"/>
                <w:szCs w:val="20"/>
              </w:rPr>
            </w:pPr>
            <w:r w:rsidRPr="00FA3F57">
              <w:rPr>
                <w:sz w:val="20"/>
                <w:szCs w:val="20"/>
              </w:rPr>
              <w:t>Investment projects for the modernization of the distribution system</w:t>
            </w:r>
          </w:p>
        </w:tc>
      </w:tr>
      <w:tr w:rsidR="0094644B" w:rsidRPr="00F07779" w:rsidDel="00F24A11" w14:paraId="6B27F467" w14:textId="77777777" w:rsidTr="00FB5086">
        <w:tc>
          <w:tcPr>
            <w:tcW w:w="2973" w:type="dxa"/>
            <w:shd w:val="clear" w:color="auto" w:fill="D9E2F3" w:themeFill="accent1" w:themeFillTint="33"/>
          </w:tcPr>
          <w:p w14:paraId="799F412C" w14:textId="77777777" w:rsidR="0094644B" w:rsidRPr="00FA3F57" w:rsidDel="00F24A11" w:rsidRDefault="0094644B" w:rsidP="00FB5086">
            <w:pPr>
              <w:keepNext/>
              <w:rPr>
                <w:sz w:val="20"/>
                <w:szCs w:val="20"/>
              </w:rPr>
            </w:pPr>
            <w:r w:rsidRPr="00FA3F57">
              <w:rPr>
                <w:sz w:val="20"/>
                <w:szCs w:val="20"/>
              </w:rPr>
              <w:t>Name of the project</w:t>
            </w:r>
          </w:p>
        </w:tc>
        <w:tc>
          <w:tcPr>
            <w:tcW w:w="5669" w:type="dxa"/>
            <w:shd w:val="clear" w:color="auto" w:fill="D9E2F3" w:themeFill="accent1" w:themeFillTint="33"/>
          </w:tcPr>
          <w:p w14:paraId="6D943E53" w14:textId="77777777" w:rsidR="0094644B" w:rsidRPr="00FA3F57" w:rsidDel="00F24A11" w:rsidRDefault="0094644B" w:rsidP="00FB5086">
            <w:pPr>
              <w:keepNext/>
              <w:rPr>
                <w:sz w:val="20"/>
                <w:szCs w:val="20"/>
              </w:rPr>
            </w:pPr>
            <w:r w:rsidRPr="00F07779">
              <w:rPr>
                <w:sz w:val="20"/>
                <w:szCs w:val="20"/>
              </w:rPr>
              <w:t>Installation of capacitor banks at medium and low voltage levels (Reactive power compensation in the distribution system of EDS LLC Belgrade)</w:t>
            </w:r>
          </w:p>
        </w:tc>
      </w:tr>
      <w:tr w:rsidR="0094644B" w:rsidRPr="00F07779" w:rsidDel="00F24A11" w14:paraId="7632C65C" w14:textId="77777777" w:rsidTr="00FB5086">
        <w:tc>
          <w:tcPr>
            <w:tcW w:w="2973" w:type="dxa"/>
          </w:tcPr>
          <w:p w14:paraId="76D8162A" w14:textId="77777777" w:rsidR="0094644B" w:rsidRPr="00FA3F57" w:rsidDel="00F24A11" w:rsidRDefault="0094644B" w:rsidP="00FB5086">
            <w:pPr>
              <w:rPr>
                <w:sz w:val="20"/>
                <w:szCs w:val="20"/>
              </w:rPr>
            </w:pPr>
            <w:r w:rsidRPr="00FA3F57">
              <w:rPr>
                <w:sz w:val="20"/>
                <w:szCs w:val="20"/>
              </w:rPr>
              <w:t>Description</w:t>
            </w:r>
          </w:p>
        </w:tc>
        <w:tc>
          <w:tcPr>
            <w:tcW w:w="5669" w:type="dxa"/>
            <w:vAlign w:val="center"/>
          </w:tcPr>
          <w:p w14:paraId="5AD7481C" w14:textId="77777777" w:rsidR="0094644B" w:rsidRPr="00F07779" w:rsidRDefault="0094644B" w:rsidP="00FB5086">
            <w:pPr>
              <w:keepNext/>
              <w:rPr>
                <w:sz w:val="20"/>
                <w:szCs w:val="20"/>
              </w:rPr>
            </w:pPr>
            <w:r w:rsidRPr="00F07779">
              <w:rPr>
                <w:sz w:val="20"/>
                <w:szCs w:val="20"/>
              </w:rPr>
              <w:t>Efficient reactive power compensation reduces electrical energy losses, relieves the capacities of existing network components, and postpones investments in building new distribution network capacities. It also decreases peak loads, improves voltage conditions in the network, and reduces the amount of reactive power drawn at the transmission/distribution interface.</w:t>
            </w:r>
          </w:p>
          <w:p w14:paraId="0FF647F2" w14:textId="77777777" w:rsidR="0094644B" w:rsidRPr="00FA3F57" w:rsidDel="00F24A11" w:rsidRDefault="0094644B" w:rsidP="00FB5086">
            <w:pPr>
              <w:keepNext/>
              <w:rPr>
                <w:sz w:val="20"/>
                <w:szCs w:val="20"/>
              </w:rPr>
            </w:pPr>
            <w:r w:rsidRPr="00FA3F57">
              <w:rPr>
                <w:sz w:val="20"/>
                <w:szCs w:val="20"/>
              </w:rPr>
              <w:t>The project is in preparation.</w:t>
            </w:r>
          </w:p>
        </w:tc>
      </w:tr>
      <w:tr w:rsidR="0094644B" w:rsidRPr="00F07779" w:rsidDel="00F24A11" w14:paraId="6444A22B" w14:textId="77777777" w:rsidTr="00FB5086">
        <w:tc>
          <w:tcPr>
            <w:tcW w:w="2973" w:type="dxa"/>
          </w:tcPr>
          <w:p w14:paraId="14F0A126" w14:textId="77777777" w:rsidR="0094644B" w:rsidRPr="00FA3F57" w:rsidDel="00F24A11" w:rsidRDefault="0094644B" w:rsidP="00FB5086">
            <w:pPr>
              <w:rPr>
                <w:sz w:val="20"/>
                <w:szCs w:val="20"/>
              </w:rPr>
            </w:pPr>
            <w:r w:rsidRPr="00FA3F57">
              <w:rPr>
                <w:sz w:val="20"/>
                <w:szCs w:val="20"/>
              </w:rPr>
              <w:t>Institutions responsible for the implementation of measures and activities</w:t>
            </w:r>
          </w:p>
        </w:tc>
        <w:tc>
          <w:tcPr>
            <w:tcW w:w="5669" w:type="dxa"/>
          </w:tcPr>
          <w:p w14:paraId="6E62EDAB" w14:textId="77777777" w:rsidR="0094644B" w:rsidRPr="00FA3F57" w:rsidDel="00F24A11" w:rsidRDefault="0094644B" w:rsidP="00FB5086">
            <w:pPr>
              <w:rPr>
                <w:sz w:val="20"/>
                <w:szCs w:val="20"/>
              </w:rPr>
            </w:pPr>
            <w:r w:rsidRPr="00FA3F57">
              <w:rPr>
                <w:sz w:val="20"/>
                <w:szCs w:val="20"/>
              </w:rPr>
              <w:t>Elektrodistribucija Srbije Ltd. Belgrade</w:t>
            </w:r>
          </w:p>
        </w:tc>
      </w:tr>
      <w:tr w:rsidR="0094644B" w:rsidRPr="00F07779" w:rsidDel="00F24A11" w14:paraId="5C51677E" w14:textId="77777777" w:rsidTr="00FB5086">
        <w:tc>
          <w:tcPr>
            <w:tcW w:w="2973" w:type="dxa"/>
          </w:tcPr>
          <w:p w14:paraId="380E3EF0" w14:textId="77777777" w:rsidR="0094644B" w:rsidRPr="00FA3F57" w:rsidDel="00F24A11" w:rsidRDefault="0094644B" w:rsidP="00FB5086">
            <w:pPr>
              <w:rPr>
                <w:sz w:val="20"/>
                <w:szCs w:val="20"/>
              </w:rPr>
            </w:pPr>
            <w:r w:rsidRPr="00FA3F57">
              <w:rPr>
                <w:sz w:val="20"/>
                <w:szCs w:val="20"/>
              </w:rPr>
              <w:t>Institutions responsible for monitoring implementation and reporting on the realization</w:t>
            </w:r>
          </w:p>
        </w:tc>
        <w:tc>
          <w:tcPr>
            <w:tcW w:w="5669" w:type="dxa"/>
          </w:tcPr>
          <w:p w14:paraId="15914592" w14:textId="77777777" w:rsidR="0094644B" w:rsidRPr="00F07779" w:rsidRDefault="0094644B" w:rsidP="00FB5086">
            <w:pPr>
              <w:rPr>
                <w:sz w:val="20"/>
                <w:szCs w:val="20"/>
              </w:rPr>
            </w:pPr>
            <w:r w:rsidRPr="00FA3F57">
              <w:rPr>
                <w:sz w:val="20"/>
                <w:szCs w:val="20"/>
              </w:rPr>
              <w:t>Elektrodistribucija Srbije Ltd. Belgrade</w:t>
            </w:r>
          </w:p>
          <w:p w14:paraId="0126B75A" w14:textId="77777777" w:rsidR="0094644B" w:rsidRPr="00FA3F57" w:rsidRDefault="0094644B" w:rsidP="00FB5086">
            <w:pPr>
              <w:rPr>
                <w:sz w:val="20"/>
                <w:szCs w:val="20"/>
              </w:rPr>
            </w:pPr>
            <w:r w:rsidRPr="00FA3F57">
              <w:rPr>
                <w:sz w:val="20"/>
                <w:szCs w:val="20"/>
              </w:rPr>
              <w:t>Ministry of Mining and Energy</w:t>
            </w:r>
          </w:p>
          <w:p w14:paraId="4554ABD8" w14:textId="77777777" w:rsidR="0094644B" w:rsidRPr="00FA3F57" w:rsidDel="00F24A11" w:rsidRDefault="0094644B" w:rsidP="00FB5086">
            <w:pPr>
              <w:rPr>
                <w:sz w:val="20"/>
                <w:szCs w:val="20"/>
              </w:rPr>
            </w:pPr>
            <w:r w:rsidRPr="00FA3F57">
              <w:rPr>
                <w:sz w:val="20"/>
                <w:szCs w:val="20"/>
              </w:rPr>
              <w:t>Ministry of Economy</w:t>
            </w:r>
          </w:p>
        </w:tc>
      </w:tr>
    </w:tbl>
    <w:p w14:paraId="39FC32E7" w14:textId="77777777" w:rsidR="0094644B" w:rsidRPr="00FA3F57" w:rsidRDefault="0094644B" w:rsidP="0094644B"/>
    <w:tbl>
      <w:tblPr>
        <w:tblStyle w:val="TableGrid"/>
        <w:tblW w:w="0" w:type="auto"/>
        <w:tblLook w:val="04A0" w:firstRow="1" w:lastRow="0" w:firstColumn="1" w:lastColumn="0" w:noHBand="0" w:noVBand="1"/>
      </w:tblPr>
      <w:tblGrid>
        <w:gridCol w:w="2973"/>
        <w:gridCol w:w="5669"/>
      </w:tblGrid>
      <w:tr w:rsidR="0094644B" w:rsidRPr="00F07779" w:rsidDel="00F24A11" w14:paraId="428F05EC" w14:textId="77777777" w:rsidTr="00FB5086">
        <w:tc>
          <w:tcPr>
            <w:tcW w:w="2973" w:type="dxa"/>
            <w:shd w:val="clear" w:color="auto" w:fill="D0CECE" w:themeFill="background2" w:themeFillShade="E6"/>
          </w:tcPr>
          <w:p w14:paraId="1B399180" w14:textId="77777777" w:rsidR="0094644B" w:rsidRPr="00FA3F57" w:rsidRDefault="0094644B" w:rsidP="00FB5086">
            <w:pPr>
              <w:keepNext/>
              <w:rPr>
                <w:sz w:val="20"/>
                <w:szCs w:val="20"/>
              </w:rPr>
            </w:pPr>
            <w:r w:rsidRPr="00FA3F57">
              <w:rPr>
                <w:sz w:val="20"/>
                <w:szCs w:val="20"/>
              </w:rPr>
              <w:t>Activity EL7.3</w:t>
            </w:r>
          </w:p>
        </w:tc>
        <w:tc>
          <w:tcPr>
            <w:tcW w:w="5669" w:type="dxa"/>
            <w:shd w:val="clear" w:color="auto" w:fill="D0CECE" w:themeFill="background2" w:themeFillShade="E6"/>
          </w:tcPr>
          <w:p w14:paraId="0A8F9D37" w14:textId="77777777" w:rsidR="0094644B" w:rsidRPr="00FA3F57" w:rsidRDefault="0094644B" w:rsidP="00FB5086">
            <w:pPr>
              <w:keepNext/>
              <w:rPr>
                <w:sz w:val="20"/>
                <w:szCs w:val="20"/>
              </w:rPr>
            </w:pPr>
            <w:r w:rsidRPr="00FA3F57">
              <w:rPr>
                <w:sz w:val="20"/>
                <w:szCs w:val="20"/>
              </w:rPr>
              <w:t>Investment projects for the modernization of the distribution system</w:t>
            </w:r>
          </w:p>
        </w:tc>
      </w:tr>
      <w:tr w:rsidR="0094644B" w:rsidRPr="00F07779" w:rsidDel="00F24A11" w14:paraId="39AE76E9" w14:textId="77777777" w:rsidTr="00FB5086">
        <w:tc>
          <w:tcPr>
            <w:tcW w:w="2973" w:type="dxa"/>
            <w:shd w:val="clear" w:color="auto" w:fill="D9E2F3" w:themeFill="accent1" w:themeFillTint="33"/>
          </w:tcPr>
          <w:p w14:paraId="03E2F865" w14:textId="77777777" w:rsidR="0094644B" w:rsidRPr="00FA3F57" w:rsidDel="00F24A11" w:rsidRDefault="0094644B" w:rsidP="00FB5086">
            <w:pPr>
              <w:keepNext/>
              <w:rPr>
                <w:sz w:val="20"/>
                <w:szCs w:val="20"/>
              </w:rPr>
            </w:pPr>
            <w:r w:rsidRPr="00FA3F57">
              <w:rPr>
                <w:sz w:val="20"/>
                <w:szCs w:val="20"/>
              </w:rPr>
              <w:t>Name of the project</w:t>
            </w:r>
          </w:p>
        </w:tc>
        <w:tc>
          <w:tcPr>
            <w:tcW w:w="5669" w:type="dxa"/>
            <w:shd w:val="clear" w:color="auto" w:fill="D9E2F3" w:themeFill="accent1" w:themeFillTint="33"/>
          </w:tcPr>
          <w:p w14:paraId="355FDD02" w14:textId="77777777" w:rsidR="0094644B" w:rsidRPr="00FA3F57" w:rsidDel="00F24A11" w:rsidRDefault="0094644B" w:rsidP="00FB5086">
            <w:pPr>
              <w:keepNext/>
              <w:rPr>
                <w:sz w:val="20"/>
                <w:szCs w:val="20"/>
              </w:rPr>
            </w:pPr>
            <w:r w:rsidRPr="00F07779">
              <w:rPr>
                <w:sz w:val="20"/>
                <w:szCs w:val="20"/>
              </w:rPr>
              <w:t>Compact concrete SS 10(20)/0.4 kV (with power transformer), supply and installation – 1000 units</w:t>
            </w:r>
          </w:p>
        </w:tc>
      </w:tr>
      <w:tr w:rsidR="0094644B" w:rsidRPr="00F07779" w:rsidDel="00F24A11" w14:paraId="42D60D1C" w14:textId="77777777" w:rsidTr="00FB5086">
        <w:tc>
          <w:tcPr>
            <w:tcW w:w="2973" w:type="dxa"/>
          </w:tcPr>
          <w:p w14:paraId="751492AC" w14:textId="77777777" w:rsidR="0094644B" w:rsidRPr="00FA3F57" w:rsidDel="00F24A11" w:rsidRDefault="0094644B" w:rsidP="00FB5086">
            <w:pPr>
              <w:rPr>
                <w:sz w:val="20"/>
                <w:szCs w:val="20"/>
              </w:rPr>
            </w:pPr>
            <w:r w:rsidRPr="00FA3F57">
              <w:rPr>
                <w:sz w:val="20"/>
                <w:szCs w:val="20"/>
              </w:rPr>
              <w:t>Description</w:t>
            </w:r>
          </w:p>
        </w:tc>
        <w:tc>
          <w:tcPr>
            <w:tcW w:w="5669" w:type="dxa"/>
            <w:vAlign w:val="center"/>
          </w:tcPr>
          <w:p w14:paraId="314BBC02" w14:textId="77777777" w:rsidR="0094644B" w:rsidRPr="00F07779" w:rsidRDefault="0094644B" w:rsidP="00FB5086">
            <w:pPr>
              <w:keepNext/>
              <w:rPr>
                <w:sz w:val="20"/>
                <w:szCs w:val="20"/>
              </w:rPr>
            </w:pPr>
            <w:r w:rsidRPr="00FA3F57">
              <w:rPr>
                <w:sz w:val="20"/>
                <w:szCs w:val="20"/>
              </w:rPr>
              <w:t xml:space="preserve">The project should ensure the development of the distribution system </w:t>
            </w:r>
            <w:proofErr w:type="gramStart"/>
            <w:r w:rsidRPr="00FA3F57">
              <w:rPr>
                <w:sz w:val="20"/>
                <w:szCs w:val="20"/>
              </w:rPr>
              <w:t>in order to</w:t>
            </w:r>
            <w:proofErr w:type="gramEnd"/>
            <w:r w:rsidRPr="00FA3F57">
              <w:rPr>
                <w:sz w:val="20"/>
                <w:szCs w:val="20"/>
              </w:rPr>
              <w:t xml:space="preserve"> provide new capacities for the connection of new system users.</w:t>
            </w:r>
          </w:p>
          <w:p w14:paraId="41786561" w14:textId="77777777" w:rsidR="0094644B" w:rsidRPr="00FA3F57" w:rsidDel="00F24A11" w:rsidRDefault="0094644B" w:rsidP="00FB5086">
            <w:pPr>
              <w:keepNext/>
              <w:rPr>
                <w:sz w:val="20"/>
                <w:szCs w:val="20"/>
              </w:rPr>
            </w:pPr>
            <w:r w:rsidRPr="00FA3F57">
              <w:rPr>
                <w:sz w:val="20"/>
                <w:szCs w:val="20"/>
              </w:rPr>
              <w:t>The project is in preparation.</w:t>
            </w:r>
          </w:p>
        </w:tc>
      </w:tr>
      <w:tr w:rsidR="0094644B" w:rsidRPr="00F07779" w:rsidDel="00F24A11" w14:paraId="2DCE1D23" w14:textId="77777777" w:rsidTr="00FB5086">
        <w:tc>
          <w:tcPr>
            <w:tcW w:w="2973" w:type="dxa"/>
          </w:tcPr>
          <w:p w14:paraId="28C1C0F7" w14:textId="77777777" w:rsidR="0094644B" w:rsidRPr="00FA3F57" w:rsidDel="00F24A11" w:rsidRDefault="0094644B" w:rsidP="00FB5086">
            <w:pPr>
              <w:rPr>
                <w:sz w:val="20"/>
                <w:szCs w:val="20"/>
              </w:rPr>
            </w:pPr>
            <w:r w:rsidRPr="00FA3F57">
              <w:rPr>
                <w:sz w:val="20"/>
                <w:szCs w:val="20"/>
              </w:rPr>
              <w:t>Institutions responsible for the implementation of measures and activities</w:t>
            </w:r>
          </w:p>
        </w:tc>
        <w:tc>
          <w:tcPr>
            <w:tcW w:w="5669" w:type="dxa"/>
          </w:tcPr>
          <w:p w14:paraId="2C149CBF" w14:textId="77777777" w:rsidR="0094644B" w:rsidRPr="00FA3F57" w:rsidDel="00F24A11" w:rsidRDefault="0094644B" w:rsidP="00FB5086">
            <w:pPr>
              <w:rPr>
                <w:sz w:val="20"/>
                <w:szCs w:val="20"/>
              </w:rPr>
            </w:pPr>
            <w:r w:rsidRPr="00FA3F57">
              <w:rPr>
                <w:sz w:val="20"/>
                <w:szCs w:val="20"/>
              </w:rPr>
              <w:t>Elektrodistribucija Srbije Ltd. Belgrade</w:t>
            </w:r>
          </w:p>
        </w:tc>
      </w:tr>
      <w:tr w:rsidR="0094644B" w:rsidRPr="00F07779" w:rsidDel="00F24A11" w14:paraId="24D2C9CE" w14:textId="77777777" w:rsidTr="00FB5086">
        <w:tc>
          <w:tcPr>
            <w:tcW w:w="2973" w:type="dxa"/>
          </w:tcPr>
          <w:p w14:paraId="574081B5" w14:textId="77777777" w:rsidR="0094644B" w:rsidRPr="00FA3F57" w:rsidDel="00F24A11" w:rsidRDefault="0094644B" w:rsidP="00FB5086">
            <w:pPr>
              <w:rPr>
                <w:sz w:val="20"/>
                <w:szCs w:val="20"/>
              </w:rPr>
            </w:pPr>
            <w:r w:rsidRPr="00FA3F57">
              <w:rPr>
                <w:sz w:val="20"/>
                <w:szCs w:val="20"/>
              </w:rPr>
              <w:t>Institutions responsible for monitoring implementation and reporting on the realization</w:t>
            </w:r>
          </w:p>
        </w:tc>
        <w:tc>
          <w:tcPr>
            <w:tcW w:w="5669" w:type="dxa"/>
          </w:tcPr>
          <w:p w14:paraId="60BCED38" w14:textId="77777777" w:rsidR="0094644B" w:rsidRPr="00F07779" w:rsidRDefault="0094644B" w:rsidP="00FB5086">
            <w:pPr>
              <w:rPr>
                <w:sz w:val="20"/>
                <w:szCs w:val="20"/>
              </w:rPr>
            </w:pPr>
            <w:r w:rsidRPr="00FA3F57">
              <w:rPr>
                <w:sz w:val="20"/>
                <w:szCs w:val="20"/>
              </w:rPr>
              <w:t>Elektrodistribucija Srbije Ltd. Belgrade</w:t>
            </w:r>
          </w:p>
          <w:p w14:paraId="4AE56FD5" w14:textId="77777777" w:rsidR="0094644B" w:rsidRPr="00FA3F57" w:rsidRDefault="0094644B" w:rsidP="00FB5086">
            <w:pPr>
              <w:rPr>
                <w:sz w:val="20"/>
                <w:szCs w:val="20"/>
              </w:rPr>
            </w:pPr>
            <w:r w:rsidRPr="00FA3F57">
              <w:rPr>
                <w:sz w:val="20"/>
                <w:szCs w:val="20"/>
              </w:rPr>
              <w:t>Ministry of Mining and Energy</w:t>
            </w:r>
          </w:p>
          <w:p w14:paraId="5F002D32" w14:textId="77777777" w:rsidR="0094644B" w:rsidRPr="00FA3F57" w:rsidDel="00F24A11" w:rsidRDefault="0094644B" w:rsidP="00FB5086">
            <w:pPr>
              <w:rPr>
                <w:sz w:val="20"/>
                <w:szCs w:val="20"/>
              </w:rPr>
            </w:pPr>
            <w:r w:rsidRPr="00FA3F57">
              <w:rPr>
                <w:sz w:val="20"/>
                <w:szCs w:val="20"/>
              </w:rPr>
              <w:t>Ministry of Economy</w:t>
            </w:r>
          </w:p>
        </w:tc>
      </w:tr>
    </w:tbl>
    <w:p w14:paraId="4594BA3A" w14:textId="77777777" w:rsidR="0094644B" w:rsidRPr="00FA3F57" w:rsidRDefault="0094644B" w:rsidP="0094644B"/>
    <w:tbl>
      <w:tblPr>
        <w:tblStyle w:val="TableGrid"/>
        <w:tblW w:w="0" w:type="auto"/>
        <w:tblLook w:val="04A0" w:firstRow="1" w:lastRow="0" w:firstColumn="1" w:lastColumn="0" w:noHBand="0" w:noVBand="1"/>
      </w:tblPr>
      <w:tblGrid>
        <w:gridCol w:w="2973"/>
        <w:gridCol w:w="5669"/>
      </w:tblGrid>
      <w:tr w:rsidR="0094644B" w:rsidRPr="00F07779" w:rsidDel="00F24A11" w14:paraId="4024AEBA" w14:textId="77777777" w:rsidTr="00FB5086">
        <w:tc>
          <w:tcPr>
            <w:tcW w:w="2973" w:type="dxa"/>
            <w:shd w:val="clear" w:color="auto" w:fill="D0CECE" w:themeFill="background2" w:themeFillShade="E6"/>
          </w:tcPr>
          <w:p w14:paraId="75B92D77" w14:textId="77777777" w:rsidR="0094644B" w:rsidRPr="00FA3F57" w:rsidRDefault="0094644B" w:rsidP="00FB5086">
            <w:pPr>
              <w:keepNext/>
              <w:rPr>
                <w:sz w:val="20"/>
                <w:szCs w:val="20"/>
              </w:rPr>
            </w:pPr>
            <w:r w:rsidRPr="00FA3F57">
              <w:rPr>
                <w:sz w:val="20"/>
                <w:szCs w:val="20"/>
              </w:rPr>
              <w:t>Activity EL7.3</w:t>
            </w:r>
          </w:p>
        </w:tc>
        <w:tc>
          <w:tcPr>
            <w:tcW w:w="5669" w:type="dxa"/>
            <w:shd w:val="clear" w:color="auto" w:fill="D0CECE" w:themeFill="background2" w:themeFillShade="E6"/>
          </w:tcPr>
          <w:p w14:paraId="5C122BBC" w14:textId="77777777" w:rsidR="0094644B" w:rsidRPr="00FA3F57" w:rsidRDefault="0094644B" w:rsidP="00FB5086">
            <w:pPr>
              <w:keepNext/>
              <w:rPr>
                <w:sz w:val="20"/>
                <w:szCs w:val="20"/>
              </w:rPr>
            </w:pPr>
            <w:r w:rsidRPr="00FA3F57">
              <w:rPr>
                <w:sz w:val="20"/>
                <w:szCs w:val="20"/>
              </w:rPr>
              <w:t>Investment projects for the modernization of the distribution system</w:t>
            </w:r>
          </w:p>
        </w:tc>
      </w:tr>
      <w:tr w:rsidR="0094644B" w:rsidRPr="00F07779" w:rsidDel="00F24A11" w14:paraId="1DE8E73E" w14:textId="77777777" w:rsidTr="00FB5086">
        <w:tc>
          <w:tcPr>
            <w:tcW w:w="2973" w:type="dxa"/>
            <w:shd w:val="clear" w:color="auto" w:fill="D9E2F3" w:themeFill="accent1" w:themeFillTint="33"/>
          </w:tcPr>
          <w:p w14:paraId="5A4FF0D5" w14:textId="77777777" w:rsidR="0094644B" w:rsidRPr="00FA3F57" w:rsidDel="00F24A11" w:rsidRDefault="0094644B" w:rsidP="00FB5086">
            <w:pPr>
              <w:keepNext/>
              <w:rPr>
                <w:sz w:val="20"/>
                <w:szCs w:val="20"/>
              </w:rPr>
            </w:pPr>
            <w:r w:rsidRPr="00FA3F57">
              <w:rPr>
                <w:sz w:val="20"/>
                <w:szCs w:val="20"/>
              </w:rPr>
              <w:t>Name of the project</w:t>
            </w:r>
          </w:p>
        </w:tc>
        <w:tc>
          <w:tcPr>
            <w:tcW w:w="5669" w:type="dxa"/>
            <w:shd w:val="clear" w:color="auto" w:fill="D9E2F3" w:themeFill="accent1" w:themeFillTint="33"/>
          </w:tcPr>
          <w:p w14:paraId="47D6FE5C" w14:textId="77777777" w:rsidR="0094644B" w:rsidRPr="00FA3F57" w:rsidDel="00F24A11" w:rsidRDefault="0094644B" w:rsidP="00FB5086">
            <w:pPr>
              <w:keepNext/>
              <w:rPr>
                <w:sz w:val="20"/>
                <w:szCs w:val="20"/>
              </w:rPr>
            </w:pPr>
            <w:r w:rsidRPr="00F07779">
              <w:rPr>
                <w:sz w:val="20"/>
                <w:szCs w:val="20"/>
              </w:rPr>
              <w:t>Pole-mounted SS 10(20)/0.4 kV (with power transformer), supply and installation – 1000 units</w:t>
            </w:r>
          </w:p>
        </w:tc>
      </w:tr>
      <w:tr w:rsidR="0094644B" w:rsidRPr="00F07779" w:rsidDel="00F24A11" w14:paraId="203DFC83" w14:textId="77777777" w:rsidTr="00FB5086">
        <w:tc>
          <w:tcPr>
            <w:tcW w:w="2973" w:type="dxa"/>
          </w:tcPr>
          <w:p w14:paraId="0AFBE482" w14:textId="77777777" w:rsidR="0094644B" w:rsidRPr="00FA3F57" w:rsidDel="00F24A11" w:rsidRDefault="0094644B" w:rsidP="00FB5086">
            <w:pPr>
              <w:rPr>
                <w:sz w:val="20"/>
                <w:szCs w:val="20"/>
              </w:rPr>
            </w:pPr>
            <w:r w:rsidRPr="00FA3F57">
              <w:rPr>
                <w:sz w:val="20"/>
                <w:szCs w:val="20"/>
              </w:rPr>
              <w:t>Description</w:t>
            </w:r>
          </w:p>
        </w:tc>
        <w:tc>
          <w:tcPr>
            <w:tcW w:w="5669" w:type="dxa"/>
          </w:tcPr>
          <w:p w14:paraId="7C79FE6E" w14:textId="77777777" w:rsidR="0094644B" w:rsidRPr="00F07779" w:rsidRDefault="0094644B" w:rsidP="00FB5086">
            <w:pPr>
              <w:keepNext/>
              <w:rPr>
                <w:sz w:val="20"/>
                <w:szCs w:val="20"/>
              </w:rPr>
            </w:pPr>
            <w:r w:rsidRPr="00FA3F57">
              <w:rPr>
                <w:sz w:val="20"/>
                <w:szCs w:val="20"/>
              </w:rPr>
              <w:t xml:space="preserve">The project should ensure the development of the distribution system </w:t>
            </w:r>
            <w:proofErr w:type="gramStart"/>
            <w:r w:rsidRPr="00FA3F57">
              <w:rPr>
                <w:sz w:val="20"/>
                <w:szCs w:val="20"/>
              </w:rPr>
              <w:t>in order to</w:t>
            </w:r>
            <w:proofErr w:type="gramEnd"/>
            <w:r w:rsidRPr="00FA3F57">
              <w:rPr>
                <w:sz w:val="20"/>
                <w:szCs w:val="20"/>
              </w:rPr>
              <w:t xml:space="preserve"> provide new capacities for the connection of new system users.</w:t>
            </w:r>
          </w:p>
          <w:p w14:paraId="6F22AC6E" w14:textId="77777777" w:rsidR="0094644B" w:rsidRPr="00FA3F57" w:rsidDel="00F24A11" w:rsidRDefault="0094644B" w:rsidP="00FB5086">
            <w:pPr>
              <w:keepNext/>
              <w:rPr>
                <w:sz w:val="20"/>
                <w:szCs w:val="20"/>
              </w:rPr>
            </w:pPr>
            <w:r w:rsidRPr="00FA3F57">
              <w:rPr>
                <w:sz w:val="20"/>
                <w:szCs w:val="20"/>
              </w:rPr>
              <w:t>The project is in preparation.</w:t>
            </w:r>
          </w:p>
        </w:tc>
      </w:tr>
      <w:tr w:rsidR="0094644B" w:rsidRPr="00F07779" w:rsidDel="00F24A11" w14:paraId="11727A13" w14:textId="77777777" w:rsidTr="00FB5086">
        <w:tc>
          <w:tcPr>
            <w:tcW w:w="2973" w:type="dxa"/>
          </w:tcPr>
          <w:p w14:paraId="050CED82" w14:textId="77777777" w:rsidR="0094644B" w:rsidRPr="00FA3F57" w:rsidDel="00F24A11" w:rsidRDefault="0094644B" w:rsidP="00FB5086">
            <w:pPr>
              <w:rPr>
                <w:sz w:val="20"/>
                <w:szCs w:val="20"/>
              </w:rPr>
            </w:pPr>
            <w:r w:rsidRPr="00FA3F57">
              <w:rPr>
                <w:sz w:val="20"/>
                <w:szCs w:val="20"/>
              </w:rPr>
              <w:t>Institutions responsible for the implementation of measures and activities</w:t>
            </w:r>
          </w:p>
        </w:tc>
        <w:tc>
          <w:tcPr>
            <w:tcW w:w="5669" w:type="dxa"/>
          </w:tcPr>
          <w:p w14:paraId="5C004561" w14:textId="77777777" w:rsidR="0094644B" w:rsidRPr="00FA3F57" w:rsidDel="00F24A11" w:rsidRDefault="0094644B" w:rsidP="00FB5086">
            <w:pPr>
              <w:rPr>
                <w:sz w:val="20"/>
                <w:szCs w:val="20"/>
              </w:rPr>
            </w:pPr>
            <w:r w:rsidRPr="00FA3F57">
              <w:rPr>
                <w:sz w:val="20"/>
                <w:szCs w:val="20"/>
              </w:rPr>
              <w:t>Elektrodistribucija Srbije Ltd. Belgrade</w:t>
            </w:r>
          </w:p>
        </w:tc>
      </w:tr>
      <w:tr w:rsidR="0094644B" w:rsidRPr="00F07779" w:rsidDel="00F24A11" w14:paraId="19664DCD" w14:textId="77777777" w:rsidTr="00FB5086">
        <w:tc>
          <w:tcPr>
            <w:tcW w:w="2973" w:type="dxa"/>
          </w:tcPr>
          <w:p w14:paraId="6FC1EA97" w14:textId="77777777" w:rsidR="0094644B" w:rsidRPr="00FA3F57" w:rsidDel="00F24A11" w:rsidRDefault="0094644B" w:rsidP="00FB5086">
            <w:pPr>
              <w:rPr>
                <w:sz w:val="20"/>
                <w:szCs w:val="20"/>
              </w:rPr>
            </w:pPr>
            <w:r w:rsidRPr="00FA3F57">
              <w:rPr>
                <w:sz w:val="20"/>
                <w:szCs w:val="20"/>
              </w:rPr>
              <w:t>Institutions responsible for monitoring implementation and reporting on the realization</w:t>
            </w:r>
          </w:p>
        </w:tc>
        <w:tc>
          <w:tcPr>
            <w:tcW w:w="5669" w:type="dxa"/>
          </w:tcPr>
          <w:p w14:paraId="7D518BD4" w14:textId="77777777" w:rsidR="0094644B" w:rsidRPr="00F07779" w:rsidRDefault="0094644B" w:rsidP="00FB5086">
            <w:pPr>
              <w:rPr>
                <w:sz w:val="20"/>
                <w:szCs w:val="20"/>
              </w:rPr>
            </w:pPr>
            <w:r w:rsidRPr="00FA3F57">
              <w:rPr>
                <w:sz w:val="20"/>
                <w:szCs w:val="20"/>
              </w:rPr>
              <w:t>Elektrodistribucija Srbije Ltd. Belgrade</w:t>
            </w:r>
          </w:p>
          <w:p w14:paraId="3C6E304A" w14:textId="77777777" w:rsidR="0094644B" w:rsidRPr="00FA3F57" w:rsidRDefault="0094644B" w:rsidP="00FB5086">
            <w:pPr>
              <w:rPr>
                <w:sz w:val="20"/>
                <w:szCs w:val="20"/>
              </w:rPr>
            </w:pPr>
            <w:r w:rsidRPr="00FA3F57">
              <w:rPr>
                <w:sz w:val="20"/>
                <w:szCs w:val="20"/>
              </w:rPr>
              <w:t>Ministry of Mining and Energy</w:t>
            </w:r>
          </w:p>
          <w:p w14:paraId="6A3F4C7D" w14:textId="77777777" w:rsidR="0094644B" w:rsidRPr="00FA3F57" w:rsidDel="00F24A11" w:rsidRDefault="0094644B" w:rsidP="00FB5086">
            <w:pPr>
              <w:rPr>
                <w:sz w:val="20"/>
                <w:szCs w:val="20"/>
              </w:rPr>
            </w:pPr>
            <w:r w:rsidRPr="00FA3F57">
              <w:rPr>
                <w:sz w:val="20"/>
                <w:szCs w:val="20"/>
              </w:rPr>
              <w:t>Ministry of Economy</w:t>
            </w:r>
          </w:p>
        </w:tc>
      </w:tr>
    </w:tbl>
    <w:p w14:paraId="04C364A7" w14:textId="77777777" w:rsidR="0094644B" w:rsidRPr="00FA3F57" w:rsidRDefault="0094644B" w:rsidP="0094644B"/>
    <w:tbl>
      <w:tblPr>
        <w:tblStyle w:val="TableGrid"/>
        <w:tblW w:w="0" w:type="auto"/>
        <w:tblLook w:val="04A0" w:firstRow="1" w:lastRow="0" w:firstColumn="1" w:lastColumn="0" w:noHBand="0" w:noVBand="1"/>
      </w:tblPr>
      <w:tblGrid>
        <w:gridCol w:w="2973"/>
        <w:gridCol w:w="5669"/>
      </w:tblGrid>
      <w:tr w:rsidR="0094644B" w:rsidRPr="00F07779" w:rsidDel="00F24A11" w14:paraId="1FF3CB8A" w14:textId="77777777" w:rsidTr="00FB5086">
        <w:tc>
          <w:tcPr>
            <w:tcW w:w="2973" w:type="dxa"/>
            <w:shd w:val="clear" w:color="auto" w:fill="D0CECE" w:themeFill="background2" w:themeFillShade="E6"/>
          </w:tcPr>
          <w:p w14:paraId="56F91077" w14:textId="77777777" w:rsidR="0094644B" w:rsidRPr="00FA3F57" w:rsidRDefault="0094644B" w:rsidP="00FB5086">
            <w:pPr>
              <w:keepNext/>
              <w:rPr>
                <w:sz w:val="20"/>
                <w:szCs w:val="20"/>
              </w:rPr>
            </w:pPr>
            <w:r w:rsidRPr="00FA3F57">
              <w:rPr>
                <w:sz w:val="20"/>
                <w:szCs w:val="20"/>
              </w:rPr>
              <w:t>Activity EL7.3</w:t>
            </w:r>
          </w:p>
        </w:tc>
        <w:tc>
          <w:tcPr>
            <w:tcW w:w="5669" w:type="dxa"/>
            <w:shd w:val="clear" w:color="auto" w:fill="D0CECE" w:themeFill="background2" w:themeFillShade="E6"/>
          </w:tcPr>
          <w:p w14:paraId="2BF98F1B" w14:textId="77777777" w:rsidR="0094644B" w:rsidRPr="00FA3F57" w:rsidRDefault="0094644B" w:rsidP="00FB5086">
            <w:pPr>
              <w:keepNext/>
              <w:rPr>
                <w:sz w:val="20"/>
                <w:szCs w:val="20"/>
              </w:rPr>
            </w:pPr>
            <w:r w:rsidRPr="00FA3F57">
              <w:rPr>
                <w:sz w:val="20"/>
                <w:szCs w:val="20"/>
              </w:rPr>
              <w:t>Investment projects for the modernization of the distribution system</w:t>
            </w:r>
          </w:p>
        </w:tc>
      </w:tr>
      <w:tr w:rsidR="0094644B" w:rsidRPr="00F07779" w:rsidDel="00F24A11" w14:paraId="0ED9535D" w14:textId="77777777" w:rsidTr="00FB5086">
        <w:tc>
          <w:tcPr>
            <w:tcW w:w="2973" w:type="dxa"/>
            <w:shd w:val="clear" w:color="auto" w:fill="D9E2F3" w:themeFill="accent1" w:themeFillTint="33"/>
          </w:tcPr>
          <w:p w14:paraId="66D4209B" w14:textId="77777777" w:rsidR="0094644B" w:rsidRPr="00FA3F57" w:rsidRDefault="0094644B" w:rsidP="00FB5086">
            <w:pPr>
              <w:keepNext/>
              <w:rPr>
                <w:sz w:val="20"/>
                <w:szCs w:val="20"/>
              </w:rPr>
            </w:pPr>
            <w:r w:rsidRPr="00FA3F57">
              <w:rPr>
                <w:sz w:val="20"/>
                <w:szCs w:val="20"/>
              </w:rPr>
              <w:t>Name of the project</w:t>
            </w:r>
          </w:p>
        </w:tc>
        <w:tc>
          <w:tcPr>
            <w:tcW w:w="5669" w:type="dxa"/>
            <w:shd w:val="clear" w:color="auto" w:fill="D9E2F3" w:themeFill="accent1" w:themeFillTint="33"/>
          </w:tcPr>
          <w:p w14:paraId="72F3D257" w14:textId="77777777" w:rsidR="0094644B" w:rsidRPr="00FA3F57" w:rsidRDefault="0094644B" w:rsidP="00FB5086">
            <w:pPr>
              <w:keepNext/>
              <w:rPr>
                <w:sz w:val="20"/>
                <w:szCs w:val="20"/>
              </w:rPr>
            </w:pPr>
            <w:r w:rsidRPr="00F07779">
              <w:rPr>
                <w:sz w:val="20"/>
                <w:szCs w:val="20"/>
              </w:rPr>
              <w:t>Facilities of national importance, according to the conclusions of the Government of the Republic of Serbia</w:t>
            </w:r>
            <w:r w:rsidRPr="00FA3F57">
              <w:rPr>
                <w:sz w:val="20"/>
                <w:szCs w:val="20"/>
              </w:rPr>
              <w:t xml:space="preserve"> </w:t>
            </w:r>
          </w:p>
        </w:tc>
      </w:tr>
      <w:tr w:rsidR="0094644B" w:rsidRPr="00F07779" w:rsidDel="00F24A11" w14:paraId="6D23F134" w14:textId="77777777" w:rsidTr="00FB5086">
        <w:tc>
          <w:tcPr>
            <w:tcW w:w="2973" w:type="dxa"/>
          </w:tcPr>
          <w:p w14:paraId="425FBEB9" w14:textId="77777777" w:rsidR="0094644B" w:rsidRPr="00FA3F57" w:rsidRDefault="0094644B" w:rsidP="00FB5086">
            <w:pPr>
              <w:rPr>
                <w:sz w:val="20"/>
                <w:szCs w:val="20"/>
              </w:rPr>
            </w:pPr>
            <w:r w:rsidRPr="00FA3F57">
              <w:rPr>
                <w:sz w:val="20"/>
                <w:szCs w:val="20"/>
              </w:rPr>
              <w:t>Description</w:t>
            </w:r>
          </w:p>
        </w:tc>
        <w:tc>
          <w:tcPr>
            <w:tcW w:w="5669" w:type="dxa"/>
          </w:tcPr>
          <w:p w14:paraId="6E2491ED" w14:textId="77777777" w:rsidR="0094644B" w:rsidRPr="00FA3F57" w:rsidRDefault="0094644B" w:rsidP="00FB5086">
            <w:pPr>
              <w:rPr>
                <w:sz w:val="20"/>
                <w:szCs w:val="20"/>
              </w:rPr>
            </w:pPr>
            <w:r w:rsidRPr="00FA3F57">
              <w:rPr>
                <w:sz w:val="20"/>
                <w:szCs w:val="20"/>
              </w:rPr>
              <w:t>Electrical operations for connecting facilities of national importance to the electricity distribution system, which, according to the Conclusions of the Government of the Republic of Serbia, are being built by EDS with its own funds</w:t>
            </w:r>
            <w:r w:rsidRPr="00F07779">
              <w:rPr>
                <w:sz w:val="20"/>
                <w:szCs w:val="20"/>
              </w:rPr>
              <w:t xml:space="preserve">. </w:t>
            </w:r>
          </w:p>
          <w:p w14:paraId="0BFF1F52" w14:textId="77777777" w:rsidR="0094644B" w:rsidRPr="00FA3F57" w:rsidRDefault="0094644B" w:rsidP="00FB5086">
            <w:pPr>
              <w:rPr>
                <w:sz w:val="20"/>
                <w:szCs w:val="20"/>
              </w:rPr>
            </w:pPr>
            <w:r w:rsidRPr="00FA3F57">
              <w:rPr>
                <w:sz w:val="20"/>
                <w:szCs w:val="20"/>
              </w:rPr>
              <w:t>Expected dynamics of project implementation:</w:t>
            </w:r>
          </w:p>
          <w:p w14:paraId="556147C2" w14:textId="77777777" w:rsidR="0094644B" w:rsidRPr="00FA3F57" w:rsidRDefault="0094644B" w:rsidP="00FB5086">
            <w:pPr>
              <w:rPr>
                <w:sz w:val="20"/>
                <w:szCs w:val="20"/>
              </w:rPr>
            </w:pPr>
            <w:r w:rsidRPr="00FA3F57">
              <w:rPr>
                <w:sz w:val="20"/>
                <w:szCs w:val="20"/>
              </w:rPr>
              <w:t>2026.</w:t>
            </w:r>
            <w:r w:rsidRPr="00F07779">
              <w:rPr>
                <w:sz w:val="20"/>
                <w:szCs w:val="20"/>
              </w:rPr>
              <w:t xml:space="preserve"> </w:t>
            </w:r>
            <w:r w:rsidRPr="00FA3F57">
              <w:rPr>
                <w:sz w:val="20"/>
                <w:szCs w:val="20"/>
              </w:rPr>
              <w:t>Construction</w:t>
            </w:r>
          </w:p>
          <w:p w14:paraId="100AB572" w14:textId="77777777" w:rsidR="0094644B" w:rsidRPr="00FA3F57" w:rsidRDefault="0094644B" w:rsidP="00FB5086">
            <w:pPr>
              <w:rPr>
                <w:sz w:val="20"/>
                <w:szCs w:val="20"/>
              </w:rPr>
            </w:pPr>
            <w:r w:rsidRPr="00FA3F57">
              <w:rPr>
                <w:sz w:val="20"/>
                <w:szCs w:val="20"/>
              </w:rPr>
              <w:t>2027.</w:t>
            </w:r>
            <w:r w:rsidRPr="00F07779">
              <w:rPr>
                <w:sz w:val="20"/>
                <w:szCs w:val="20"/>
              </w:rPr>
              <w:t xml:space="preserve"> </w:t>
            </w:r>
            <w:r w:rsidRPr="00FA3F57">
              <w:rPr>
                <w:sz w:val="20"/>
                <w:szCs w:val="20"/>
              </w:rPr>
              <w:t>Construction</w:t>
            </w:r>
          </w:p>
          <w:p w14:paraId="05DF9356" w14:textId="77777777" w:rsidR="0094644B" w:rsidRPr="00FA3F57" w:rsidRDefault="0094644B" w:rsidP="00FB5086">
            <w:pPr>
              <w:rPr>
                <w:sz w:val="20"/>
                <w:szCs w:val="20"/>
              </w:rPr>
            </w:pPr>
            <w:r w:rsidRPr="00FA3F57">
              <w:rPr>
                <w:sz w:val="20"/>
                <w:szCs w:val="20"/>
              </w:rPr>
              <w:t>2028.</w:t>
            </w:r>
            <w:r w:rsidRPr="00F07779">
              <w:rPr>
                <w:sz w:val="20"/>
                <w:szCs w:val="20"/>
              </w:rPr>
              <w:t xml:space="preserve"> </w:t>
            </w:r>
            <w:r w:rsidRPr="00FA3F57">
              <w:rPr>
                <w:sz w:val="20"/>
                <w:szCs w:val="20"/>
              </w:rPr>
              <w:t>Construction</w:t>
            </w:r>
          </w:p>
        </w:tc>
      </w:tr>
      <w:tr w:rsidR="0094644B" w:rsidRPr="00F07779" w:rsidDel="00F24A11" w14:paraId="2DFB7E34" w14:textId="77777777" w:rsidTr="00FB5086">
        <w:tc>
          <w:tcPr>
            <w:tcW w:w="2973" w:type="dxa"/>
          </w:tcPr>
          <w:p w14:paraId="16E9431E" w14:textId="77777777" w:rsidR="0094644B" w:rsidRPr="00FA3F57" w:rsidRDefault="0094644B" w:rsidP="00FB5086">
            <w:pPr>
              <w:rPr>
                <w:sz w:val="20"/>
                <w:szCs w:val="20"/>
              </w:rPr>
            </w:pPr>
            <w:r w:rsidRPr="00FA3F57">
              <w:rPr>
                <w:sz w:val="20"/>
                <w:szCs w:val="20"/>
              </w:rPr>
              <w:t>Institutions responsible for the implementation of measures and activities</w:t>
            </w:r>
          </w:p>
        </w:tc>
        <w:tc>
          <w:tcPr>
            <w:tcW w:w="5669" w:type="dxa"/>
          </w:tcPr>
          <w:p w14:paraId="0DC086AE" w14:textId="77777777" w:rsidR="0094644B" w:rsidRPr="00FA3F57" w:rsidRDefault="0094644B" w:rsidP="00FB5086">
            <w:pPr>
              <w:rPr>
                <w:sz w:val="20"/>
                <w:szCs w:val="20"/>
              </w:rPr>
            </w:pPr>
            <w:r w:rsidRPr="00FA3F57">
              <w:rPr>
                <w:sz w:val="20"/>
                <w:szCs w:val="20"/>
              </w:rPr>
              <w:t>Elektrodistribucija Srbije Ltd. Belgrade</w:t>
            </w:r>
          </w:p>
        </w:tc>
      </w:tr>
      <w:tr w:rsidR="0094644B" w:rsidRPr="00F07779" w:rsidDel="00F24A11" w14:paraId="0E5C3A40" w14:textId="77777777" w:rsidTr="00FB5086">
        <w:tc>
          <w:tcPr>
            <w:tcW w:w="2973" w:type="dxa"/>
          </w:tcPr>
          <w:p w14:paraId="24256530" w14:textId="77777777" w:rsidR="0094644B" w:rsidRPr="00FA3F57" w:rsidRDefault="0094644B" w:rsidP="00FB5086">
            <w:pPr>
              <w:rPr>
                <w:sz w:val="20"/>
                <w:szCs w:val="20"/>
              </w:rPr>
            </w:pPr>
            <w:r w:rsidRPr="00FA3F57">
              <w:rPr>
                <w:sz w:val="20"/>
                <w:szCs w:val="20"/>
              </w:rPr>
              <w:lastRenderedPageBreak/>
              <w:t>Institutions responsible for monitoring implementation and reporting on the realization</w:t>
            </w:r>
          </w:p>
        </w:tc>
        <w:tc>
          <w:tcPr>
            <w:tcW w:w="5669" w:type="dxa"/>
          </w:tcPr>
          <w:p w14:paraId="49A7A32D" w14:textId="77777777" w:rsidR="0094644B" w:rsidRPr="00FA3F57" w:rsidRDefault="0094644B" w:rsidP="00FB5086">
            <w:pPr>
              <w:rPr>
                <w:sz w:val="20"/>
                <w:szCs w:val="20"/>
              </w:rPr>
            </w:pPr>
            <w:r w:rsidRPr="00FA3F57">
              <w:rPr>
                <w:sz w:val="20"/>
                <w:szCs w:val="20"/>
              </w:rPr>
              <w:t>Elektrodistribucija Srbije Ltd. Belgrade</w:t>
            </w:r>
            <w:r w:rsidRPr="00FA3F57" w:rsidDel="00135D3B">
              <w:rPr>
                <w:sz w:val="20"/>
                <w:szCs w:val="20"/>
              </w:rPr>
              <w:t xml:space="preserve"> </w:t>
            </w:r>
            <w:r w:rsidRPr="00FA3F57">
              <w:rPr>
                <w:sz w:val="20"/>
                <w:szCs w:val="20"/>
              </w:rPr>
              <w:t>Ministry of Mining and Energy</w:t>
            </w:r>
          </w:p>
          <w:p w14:paraId="3F2BCCCA" w14:textId="77777777" w:rsidR="0094644B" w:rsidRPr="00FA3F57" w:rsidRDefault="0094644B" w:rsidP="00FB5086">
            <w:pPr>
              <w:rPr>
                <w:sz w:val="20"/>
                <w:szCs w:val="20"/>
              </w:rPr>
            </w:pPr>
            <w:r w:rsidRPr="00FA3F57">
              <w:rPr>
                <w:sz w:val="20"/>
                <w:szCs w:val="20"/>
              </w:rPr>
              <w:t>Ministry of Economy</w:t>
            </w:r>
          </w:p>
        </w:tc>
      </w:tr>
      <w:tr w:rsidR="0094644B" w:rsidRPr="00F07779" w:rsidDel="00F24A11" w14:paraId="7D59D914" w14:textId="77777777" w:rsidTr="00FB5086">
        <w:tc>
          <w:tcPr>
            <w:tcW w:w="2973" w:type="dxa"/>
          </w:tcPr>
          <w:p w14:paraId="03336D10" w14:textId="77777777" w:rsidR="0094644B" w:rsidRPr="00FA3F57" w:rsidRDefault="0094644B" w:rsidP="00FB5086">
            <w:pPr>
              <w:rPr>
                <w:sz w:val="20"/>
                <w:szCs w:val="20"/>
              </w:rPr>
            </w:pPr>
            <w:r w:rsidRPr="00FA3F57">
              <w:rPr>
                <w:sz w:val="20"/>
                <w:szCs w:val="20"/>
              </w:rPr>
              <w:t>Year of project funding start</w:t>
            </w:r>
          </w:p>
        </w:tc>
        <w:tc>
          <w:tcPr>
            <w:tcW w:w="5669" w:type="dxa"/>
          </w:tcPr>
          <w:p w14:paraId="66EBC10C" w14:textId="77777777" w:rsidR="0094644B" w:rsidRPr="00FA3F57" w:rsidRDefault="0094644B" w:rsidP="00FB5086">
            <w:pPr>
              <w:rPr>
                <w:sz w:val="20"/>
                <w:szCs w:val="20"/>
              </w:rPr>
            </w:pPr>
            <w:r w:rsidRPr="00FA3F57">
              <w:rPr>
                <w:sz w:val="20"/>
                <w:szCs w:val="20"/>
              </w:rPr>
              <w:t>n/a</w:t>
            </w:r>
          </w:p>
        </w:tc>
      </w:tr>
      <w:tr w:rsidR="0094644B" w:rsidRPr="00F07779" w:rsidDel="00F24A11" w14:paraId="31F63B2F" w14:textId="77777777" w:rsidTr="00FB5086">
        <w:tc>
          <w:tcPr>
            <w:tcW w:w="2973" w:type="dxa"/>
          </w:tcPr>
          <w:p w14:paraId="7AE9BE70" w14:textId="77777777" w:rsidR="0094644B" w:rsidRPr="00FA3F57" w:rsidRDefault="0094644B" w:rsidP="00FB5086">
            <w:pPr>
              <w:rPr>
                <w:sz w:val="20"/>
                <w:szCs w:val="20"/>
              </w:rPr>
            </w:pPr>
            <w:r w:rsidRPr="00FA3F57">
              <w:rPr>
                <w:sz w:val="20"/>
                <w:szCs w:val="20"/>
              </w:rPr>
              <w:t>Year of completion of project funding</w:t>
            </w:r>
          </w:p>
        </w:tc>
        <w:tc>
          <w:tcPr>
            <w:tcW w:w="5669" w:type="dxa"/>
          </w:tcPr>
          <w:p w14:paraId="743BB75C" w14:textId="77777777" w:rsidR="0094644B" w:rsidRPr="00FA3F57" w:rsidRDefault="0094644B" w:rsidP="00FB5086">
            <w:pPr>
              <w:rPr>
                <w:sz w:val="20"/>
                <w:szCs w:val="20"/>
              </w:rPr>
            </w:pPr>
            <w:r w:rsidRPr="00FA3F57">
              <w:rPr>
                <w:sz w:val="20"/>
                <w:szCs w:val="20"/>
              </w:rPr>
              <w:t>2029.</w:t>
            </w:r>
          </w:p>
        </w:tc>
      </w:tr>
      <w:tr w:rsidR="0094644B" w:rsidRPr="00F07779" w:rsidDel="00F24A11" w14:paraId="2421051C" w14:textId="77777777" w:rsidTr="00FB5086">
        <w:tc>
          <w:tcPr>
            <w:tcW w:w="2973" w:type="dxa"/>
          </w:tcPr>
          <w:p w14:paraId="4E49502B" w14:textId="77777777" w:rsidR="0094644B" w:rsidRPr="00FA3F57" w:rsidRDefault="0094644B" w:rsidP="00FB5086">
            <w:pPr>
              <w:rPr>
                <w:sz w:val="20"/>
                <w:szCs w:val="20"/>
              </w:rPr>
            </w:pPr>
            <w:r w:rsidRPr="00FA3F57">
              <w:rPr>
                <w:sz w:val="20"/>
                <w:szCs w:val="20"/>
              </w:rPr>
              <w:t>Required funds and source of financing</w:t>
            </w:r>
          </w:p>
          <w:p w14:paraId="6D955025" w14:textId="77777777" w:rsidR="0094644B" w:rsidRPr="00FA3F57" w:rsidRDefault="0094644B" w:rsidP="00FB5086">
            <w:pPr>
              <w:rPr>
                <w:sz w:val="20"/>
                <w:szCs w:val="20"/>
              </w:rPr>
            </w:pPr>
            <w:r w:rsidRPr="00FA3F57">
              <w:rPr>
                <w:sz w:val="20"/>
                <w:szCs w:val="20"/>
              </w:rPr>
              <w:t>(in thousands of RSD)</w:t>
            </w:r>
          </w:p>
        </w:tc>
        <w:tc>
          <w:tcPr>
            <w:tcW w:w="5669" w:type="dxa"/>
          </w:tcPr>
          <w:p w14:paraId="14308312" w14:textId="77777777" w:rsidR="0094644B" w:rsidRPr="00FA3F57" w:rsidRDefault="0094644B" w:rsidP="00FB5086">
            <w:pPr>
              <w:rPr>
                <w:sz w:val="20"/>
                <w:szCs w:val="20"/>
              </w:rPr>
            </w:pPr>
            <w:r w:rsidRPr="00FA3F57">
              <w:rPr>
                <w:sz w:val="20"/>
                <w:szCs w:val="20"/>
              </w:rPr>
              <w:t>3,517,500 (30 million EUR)</w:t>
            </w:r>
            <w:r w:rsidRPr="00F07779">
              <w:rPr>
                <w:sz w:val="20"/>
                <w:szCs w:val="20"/>
              </w:rPr>
              <w:t xml:space="preserve"> </w:t>
            </w:r>
            <w:r w:rsidRPr="00FA3F57">
              <w:rPr>
                <w:sz w:val="20"/>
                <w:szCs w:val="20"/>
              </w:rPr>
              <w:t>Own funds, aid funds or lending from commercial banks, etc.</w:t>
            </w:r>
          </w:p>
        </w:tc>
      </w:tr>
      <w:tr w:rsidR="0094644B" w:rsidRPr="00F07779" w:rsidDel="00F24A11" w14:paraId="6EFB2293" w14:textId="77777777" w:rsidTr="00FB5086">
        <w:tc>
          <w:tcPr>
            <w:tcW w:w="2973" w:type="dxa"/>
          </w:tcPr>
          <w:p w14:paraId="21CDC629" w14:textId="77777777" w:rsidR="0094644B" w:rsidRPr="00FA3F57" w:rsidRDefault="0094644B" w:rsidP="00FB5086">
            <w:pPr>
              <w:rPr>
                <w:sz w:val="20"/>
                <w:szCs w:val="20"/>
              </w:rPr>
            </w:pPr>
            <w:r w:rsidRPr="00FA3F57">
              <w:rPr>
                <w:sz w:val="20"/>
                <w:szCs w:val="20"/>
              </w:rPr>
              <w:t>Planned investments for 2026.</w:t>
            </w:r>
            <w:r w:rsidRPr="00FA3F57">
              <w:rPr>
                <w:sz w:val="20"/>
                <w:szCs w:val="20"/>
              </w:rPr>
              <w:br/>
              <w:t>(in thousands of RSD)</w:t>
            </w:r>
          </w:p>
        </w:tc>
        <w:tc>
          <w:tcPr>
            <w:tcW w:w="5669" w:type="dxa"/>
          </w:tcPr>
          <w:p w14:paraId="6E37D534" w14:textId="77777777" w:rsidR="0094644B" w:rsidRPr="00FA3F57" w:rsidRDefault="0094644B" w:rsidP="00FB5086">
            <w:pPr>
              <w:rPr>
                <w:sz w:val="20"/>
                <w:szCs w:val="20"/>
              </w:rPr>
            </w:pPr>
            <w:r w:rsidRPr="00FA3F57">
              <w:rPr>
                <w:sz w:val="20"/>
                <w:szCs w:val="20"/>
              </w:rPr>
              <w:t>586,250 (own funds)</w:t>
            </w:r>
          </w:p>
        </w:tc>
      </w:tr>
      <w:tr w:rsidR="0094644B" w:rsidRPr="00F07779" w:rsidDel="00F24A11" w14:paraId="1076EE31" w14:textId="77777777" w:rsidTr="00FB5086">
        <w:tc>
          <w:tcPr>
            <w:tcW w:w="2973" w:type="dxa"/>
          </w:tcPr>
          <w:p w14:paraId="336A56D1" w14:textId="77777777" w:rsidR="0094644B" w:rsidRPr="00FA3F57" w:rsidRDefault="0094644B" w:rsidP="00FB5086">
            <w:pPr>
              <w:rPr>
                <w:sz w:val="20"/>
                <w:szCs w:val="20"/>
              </w:rPr>
            </w:pPr>
            <w:r w:rsidRPr="00FA3F57">
              <w:rPr>
                <w:sz w:val="20"/>
                <w:szCs w:val="20"/>
              </w:rPr>
              <w:t>Planned investments for 2027.</w:t>
            </w:r>
            <w:r w:rsidRPr="00FA3F57">
              <w:rPr>
                <w:sz w:val="20"/>
                <w:szCs w:val="20"/>
              </w:rPr>
              <w:br/>
              <w:t>(in thousands of RSD)</w:t>
            </w:r>
          </w:p>
        </w:tc>
        <w:tc>
          <w:tcPr>
            <w:tcW w:w="5669" w:type="dxa"/>
          </w:tcPr>
          <w:p w14:paraId="11915BAE" w14:textId="77777777" w:rsidR="0094644B" w:rsidRPr="00FA3F57" w:rsidRDefault="0094644B" w:rsidP="00FB5086">
            <w:pPr>
              <w:rPr>
                <w:sz w:val="20"/>
                <w:szCs w:val="20"/>
              </w:rPr>
            </w:pPr>
            <w:r w:rsidRPr="00FA3F57">
              <w:rPr>
                <w:sz w:val="20"/>
                <w:szCs w:val="20"/>
              </w:rPr>
              <w:t>1,172,500 (own funds)</w:t>
            </w:r>
          </w:p>
        </w:tc>
      </w:tr>
      <w:tr w:rsidR="0094644B" w:rsidRPr="00F07779" w:rsidDel="00F24A11" w14:paraId="15FB5A58" w14:textId="77777777" w:rsidTr="00FB5086">
        <w:tc>
          <w:tcPr>
            <w:tcW w:w="2973" w:type="dxa"/>
          </w:tcPr>
          <w:p w14:paraId="3D9C8852" w14:textId="77777777" w:rsidR="0094644B" w:rsidRPr="00FA3F57" w:rsidRDefault="0094644B" w:rsidP="00FB5086">
            <w:pPr>
              <w:rPr>
                <w:sz w:val="20"/>
                <w:szCs w:val="20"/>
              </w:rPr>
            </w:pPr>
            <w:r w:rsidRPr="00FA3F57">
              <w:rPr>
                <w:sz w:val="20"/>
                <w:szCs w:val="20"/>
              </w:rPr>
              <w:t>Planned investments for 2028.</w:t>
            </w:r>
            <w:r w:rsidRPr="00FA3F57">
              <w:rPr>
                <w:sz w:val="20"/>
                <w:szCs w:val="20"/>
              </w:rPr>
              <w:br/>
              <w:t>(in thousands of RSD)</w:t>
            </w:r>
          </w:p>
        </w:tc>
        <w:tc>
          <w:tcPr>
            <w:tcW w:w="5669" w:type="dxa"/>
          </w:tcPr>
          <w:p w14:paraId="3926864F" w14:textId="77777777" w:rsidR="0094644B" w:rsidRPr="00FA3F57" w:rsidRDefault="0094644B" w:rsidP="00FB5086">
            <w:pPr>
              <w:rPr>
                <w:sz w:val="20"/>
                <w:szCs w:val="20"/>
              </w:rPr>
            </w:pPr>
            <w:r w:rsidRPr="00FA3F57">
              <w:rPr>
                <w:sz w:val="20"/>
                <w:szCs w:val="20"/>
              </w:rPr>
              <w:t>1,172,500 (own funds)</w:t>
            </w:r>
          </w:p>
        </w:tc>
      </w:tr>
      <w:tr w:rsidR="0094644B" w:rsidRPr="00F07779" w:rsidDel="00F24A11" w14:paraId="50FE58F1" w14:textId="77777777" w:rsidTr="00FB5086">
        <w:tc>
          <w:tcPr>
            <w:tcW w:w="2973" w:type="dxa"/>
          </w:tcPr>
          <w:p w14:paraId="66C5AD0B" w14:textId="77777777" w:rsidR="0094644B" w:rsidRPr="00FA3F57" w:rsidRDefault="0094644B" w:rsidP="00FB5086">
            <w:pPr>
              <w:rPr>
                <w:sz w:val="20"/>
                <w:szCs w:val="20"/>
              </w:rPr>
            </w:pPr>
            <w:r w:rsidRPr="00FA3F57">
              <w:rPr>
                <w:sz w:val="20"/>
                <w:szCs w:val="20"/>
              </w:rPr>
              <w:t>Impact of the activity on the achievement of the objective</w:t>
            </w:r>
          </w:p>
        </w:tc>
        <w:tc>
          <w:tcPr>
            <w:tcW w:w="5669" w:type="dxa"/>
          </w:tcPr>
          <w:p w14:paraId="488C7F59" w14:textId="77777777" w:rsidR="0094644B" w:rsidRPr="00FA3F57" w:rsidRDefault="0094644B" w:rsidP="00FB5086">
            <w:pPr>
              <w:rPr>
                <w:sz w:val="20"/>
                <w:szCs w:val="20"/>
              </w:rPr>
            </w:pPr>
            <w:r w:rsidRPr="00FA3F57">
              <w:rPr>
                <w:sz w:val="20"/>
                <w:szCs w:val="20"/>
              </w:rPr>
              <w:t>The project should ensure better reliability of the distribution network, reduce the number of outages and the duration of outages for end users, reduce losses in the distribution network, and reduce the total costs of TS maintenance.</w:t>
            </w:r>
          </w:p>
        </w:tc>
      </w:tr>
      <w:tr w:rsidR="0094644B" w:rsidRPr="00F07779" w:rsidDel="00F24A11" w14:paraId="37575B13" w14:textId="77777777" w:rsidTr="00FB5086">
        <w:trPr>
          <w:trHeight w:val="70"/>
        </w:trPr>
        <w:tc>
          <w:tcPr>
            <w:tcW w:w="2973" w:type="dxa"/>
          </w:tcPr>
          <w:p w14:paraId="48A6E6B3" w14:textId="77777777" w:rsidR="0094644B" w:rsidRPr="00FA3F57" w:rsidRDefault="0094644B" w:rsidP="00FB5086">
            <w:pPr>
              <w:rPr>
                <w:sz w:val="20"/>
                <w:szCs w:val="20"/>
              </w:rPr>
            </w:pPr>
            <w:r w:rsidRPr="00FA3F57">
              <w:rPr>
                <w:sz w:val="20"/>
                <w:szCs w:val="20"/>
              </w:rPr>
              <w:t>Impact on EE, climate, and environmental protection</w:t>
            </w:r>
          </w:p>
        </w:tc>
        <w:tc>
          <w:tcPr>
            <w:tcW w:w="5669" w:type="dxa"/>
          </w:tcPr>
          <w:p w14:paraId="45ED3000" w14:textId="77777777" w:rsidR="0094644B" w:rsidRPr="00FA3F57" w:rsidRDefault="0094644B" w:rsidP="00FB5086">
            <w:pPr>
              <w:rPr>
                <w:sz w:val="20"/>
                <w:szCs w:val="20"/>
              </w:rPr>
            </w:pPr>
            <w:r w:rsidRPr="00FA3F57">
              <w:rPr>
                <w:sz w:val="20"/>
                <w:szCs w:val="20"/>
              </w:rPr>
              <w:t xml:space="preserve">Data </w:t>
            </w:r>
            <w:proofErr w:type="gramStart"/>
            <w:r w:rsidRPr="00FA3F57">
              <w:rPr>
                <w:sz w:val="20"/>
                <w:szCs w:val="20"/>
              </w:rPr>
              <w:t>not</w:t>
            </w:r>
            <w:proofErr w:type="gramEnd"/>
            <w:r w:rsidRPr="00FA3F57">
              <w:rPr>
                <w:sz w:val="20"/>
                <w:szCs w:val="20"/>
              </w:rPr>
              <w:t xml:space="preserve"> provided.</w:t>
            </w:r>
          </w:p>
        </w:tc>
      </w:tr>
    </w:tbl>
    <w:p w14:paraId="2D4DB109" w14:textId="77777777" w:rsidR="0094644B" w:rsidRPr="00FA3F57" w:rsidRDefault="0094644B" w:rsidP="0094644B"/>
    <w:p w14:paraId="188D648A" w14:textId="77777777" w:rsidR="0094644B" w:rsidRPr="00F07779" w:rsidRDefault="0094644B" w:rsidP="0094644B">
      <w:pPr>
        <w:tabs>
          <w:tab w:val="left" w:pos="1276"/>
        </w:tabs>
        <w:ind w:left="1560" w:hanging="1560"/>
      </w:pPr>
      <w:r w:rsidRPr="00F07779">
        <w:t>Table</w:t>
      </w:r>
      <w:r w:rsidRPr="00FA3F57">
        <w:t xml:space="preserve"> 5.1.7-</w:t>
      </w:r>
      <w:r w:rsidRPr="00F07779">
        <w:t>4</w:t>
      </w:r>
      <w:r w:rsidRPr="00FA3F57">
        <w:t>:</w:t>
      </w:r>
      <w:r w:rsidRPr="00FA3F57">
        <w:tab/>
        <w:t>Activities for the implementation of measure EL7</w:t>
      </w:r>
      <w:r w:rsidRPr="00FA3F57" w:rsidDel="00EB46F2">
        <w:t xml:space="preserve"> </w:t>
      </w:r>
      <w:r w:rsidRPr="00FA3F57">
        <w:t>– Activity EL7.</w:t>
      </w:r>
      <w:r w:rsidRPr="00F07779">
        <w:t>4</w:t>
      </w:r>
    </w:p>
    <w:tbl>
      <w:tblPr>
        <w:tblStyle w:val="TableGrid"/>
        <w:tblW w:w="0" w:type="auto"/>
        <w:tblLook w:val="04A0" w:firstRow="1" w:lastRow="0" w:firstColumn="1" w:lastColumn="0" w:noHBand="0" w:noVBand="1"/>
      </w:tblPr>
      <w:tblGrid>
        <w:gridCol w:w="2973"/>
        <w:gridCol w:w="5669"/>
      </w:tblGrid>
      <w:tr w:rsidR="0094644B" w:rsidRPr="00F07779" w14:paraId="06675188" w14:textId="77777777" w:rsidTr="00FB5086">
        <w:tc>
          <w:tcPr>
            <w:tcW w:w="2973" w:type="dxa"/>
            <w:shd w:val="clear" w:color="auto" w:fill="D9D9D9" w:themeFill="background1" w:themeFillShade="D9"/>
          </w:tcPr>
          <w:p w14:paraId="0356B371" w14:textId="77777777" w:rsidR="0094644B" w:rsidRPr="00FA3F57" w:rsidRDefault="0094644B" w:rsidP="00FB5086">
            <w:pPr>
              <w:keepNext/>
              <w:rPr>
                <w:sz w:val="20"/>
                <w:szCs w:val="20"/>
              </w:rPr>
            </w:pPr>
            <w:r w:rsidRPr="00F07779">
              <w:rPr>
                <w:sz w:val="20"/>
                <w:szCs w:val="20"/>
              </w:rPr>
              <w:t>Activity</w:t>
            </w:r>
            <w:r w:rsidRPr="00FA3F57">
              <w:rPr>
                <w:sz w:val="20"/>
                <w:szCs w:val="20"/>
              </w:rPr>
              <w:t xml:space="preserve"> </w:t>
            </w:r>
            <w:r w:rsidRPr="00F07779">
              <w:rPr>
                <w:sz w:val="20"/>
                <w:szCs w:val="20"/>
              </w:rPr>
              <w:t>EL</w:t>
            </w:r>
            <w:r w:rsidRPr="00FA3F57">
              <w:rPr>
                <w:sz w:val="20"/>
                <w:szCs w:val="20"/>
              </w:rPr>
              <w:t>7.4</w:t>
            </w:r>
          </w:p>
        </w:tc>
        <w:tc>
          <w:tcPr>
            <w:tcW w:w="5669" w:type="dxa"/>
            <w:shd w:val="clear" w:color="auto" w:fill="D9D9D9" w:themeFill="background1" w:themeFillShade="D9"/>
          </w:tcPr>
          <w:p w14:paraId="302E9718" w14:textId="77777777" w:rsidR="0094644B" w:rsidRPr="00FA3F57" w:rsidRDefault="0094644B" w:rsidP="00FB5086">
            <w:pPr>
              <w:keepNext/>
              <w:rPr>
                <w:sz w:val="20"/>
                <w:szCs w:val="20"/>
              </w:rPr>
            </w:pPr>
            <w:r w:rsidRPr="00F07779">
              <w:rPr>
                <w:sz w:val="20"/>
                <w:szCs w:val="20"/>
              </w:rPr>
              <w:t>Adoption of secondary legislation</w:t>
            </w:r>
          </w:p>
        </w:tc>
      </w:tr>
      <w:tr w:rsidR="0094644B" w:rsidRPr="00F07779" w14:paraId="7165C6B7" w14:textId="77777777" w:rsidTr="00FB5086">
        <w:tc>
          <w:tcPr>
            <w:tcW w:w="2973" w:type="dxa"/>
          </w:tcPr>
          <w:p w14:paraId="44AF91C4" w14:textId="77777777" w:rsidR="0094644B" w:rsidRPr="00FA3F57" w:rsidRDefault="0094644B" w:rsidP="00FB5086">
            <w:pPr>
              <w:rPr>
                <w:sz w:val="20"/>
                <w:szCs w:val="20"/>
              </w:rPr>
            </w:pPr>
            <w:r w:rsidRPr="00FA3F57">
              <w:rPr>
                <w:color w:val="000000"/>
                <w:kern w:val="2"/>
                <w:sz w:val="20"/>
                <w:szCs w:val="20"/>
                <w14:ligatures w14:val="standardContextual"/>
              </w:rPr>
              <w:t>Description</w:t>
            </w:r>
          </w:p>
        </w:tc>
        <w:tc>
          <w:tcPr>
            <w:tcW w:w="5669" w:type="dxa"/>
          </w:tcPr>
          <w:p w14:paraId="1E77F15C" w14:textId="77777777" w:rsidR="0094644B" w:rsidRPr="00F07779" w:rsidRDefault="0094644B" w:rsidP="00FB5086">
            <w:pPr>
              <w:rPr>
                <w:sz w:val="20"/>
                <w:szCs w:val="20"/>
              </w:rPr>
            </w:pPr>
            <w:r w:rsidRPr="00FA3F57">
              <w:rPr>
                <w:sz w:val="20"/>
                <w:szCs w:val="20"/>
              </w:rPr>
              <w:t>To complete and improve the regulatory framework related to the electricity sector, it is necessary to draft the following bylaws:</w:t>
            </w:r>
          </w:p>
          <w:p w14:paraId="7A731223" w14:textId="77777777" w:rsidR="0094644B" w:rsidRPr="00F07779" w:rsidRDefault="0094644B" w:rsidP="00FB5086">
            <w:pPr>
              <w:rPr>
                <w:sz w:val="20"/>
                <w:szCs w:val="20"/>
              </w:rPr>
            </w:pPr>
            <w:r w:rsidRPr="00FA3F57">
              <w:rPr>
                <w:sz w:val="20"/>
                <w:szCs w:val="20"/>
              </w:rPr>
              <w:t>• Regulation on the conditions of delivery and supply of electricity,</w:t>
            </w:r>
          </w:p>
          <w:p w14:paraId="2B8BC001" w14:textId="77777777" w:rsidR="0094644B" w:rsidRPr="00F07779" w:rsidRDefault="0094644B" w:rsidP="00FB5086">
            <w:pPr>
              <w:rPr>
                <w:sz w:val="20"/>
                <w:szCs w:val="20"/>
              </w:rPr>
            </w:pPr>
            <w:r w:rsidRPr="00FA3F57">
              <w:rPr>
                <w:sz w:val="20"/>
                <w:szCs w:val="20"/>
              </w:rPr>
              <w:t>• Regulation on energy permit</w:t>
            </w:r>
            <w:r w:rsidRPr="00F07779">
              <w:rPr>
                <w:sz w:val="20"/>
                <w:szCs w:val="20"/>
              </w:rPr>
              <w:t>s</w:t>
            </w:r>
            <w:r w:rsidRPr="00FA3F57">
              <w:rPr>
                <w:sz w:val="20"/>
                <w:szCs w:val="20"/>
              </w:rPr>
              <w:t xml:space="preserve"> and</w:t>
            </w:r>
          </w:p>
          <w:p w14:paraId="2B51A06F" w14:textId="77777777" w:rsidR="0094644B" w:rsidRPr="00F07779" w:rsidRDefault="0094644B" w:rsidP="00FB5086">
            <w:pPr>
              <w:rPr>
                <w:sz w:val="20"/>
                <w:szCs w:val="20"/>
              </w:rPr>
            </w:pPr>
            <w:r w:rsidRPr="00FA3F57">
              <w:rPr>
                <w:sz w:val="20"/>
                <w:szCs w:val="20"/>
              </w:rPr>
              <w:t>• Regulations on licenses for performing energy activities.</w:t>
            </w:r>
          </w:p>
          <w:p w14:paraId="75849365" w14:textId="77777777" w:rsidR="0094644B" w:rsidRPr="00F07779" w:rsidRDefault="0094644B" w:rsidP="00FB5086">
            <w:pPr>
              <w:rPr>
                <w:sz w:val="20"/>
                <w:szCs w:val="20"/>
              </w:rPr>
            </w:pPr>
            <w:r w:rsidRPr="00F07779">
              <w:rPr>
                <w:sz w:val="20"/>
                <w:szCs w:val="20"/>
              </w:rPr>
              <w:t>Additionally, it is necessary to draft a bylaw that will more precisely define the conditions and methods for promoting a project as strategic, the obligations and activities of the competent institutions regarding the monitoring of the implementation of strategic energy projects, as well as the procedures for the preparation and execution of strategic investment projects in the energy sector that are designated as Projects of Energy Community Interest (PECI).</w:t>
            </w:r>
          </w:p>
          <w:p w14:paraId="7A17780F" w14:textId="77777777" w:rsidR="0094644B" w:rsidRPr="00FA3F57" w:rsidRDefault="0094644B" w:rsidP="00FB5086">
            <w:pPr>
              <w:rPr>
                <w:sz w:val="20"/>
                <w:szCs w:val="20"/>
              </w:rPr>
            </w:pPr>
            <w:r w:rsidRPr="00F07779">
              <w:rPr>
                <w:sz w:val="20"/>
                <w:szCs w:val="20"/>
              </w:rPr>
              <w:t xml:space="preserve">To enhance the resilience of the electric power system against crises and other adverse situations, it is necessary to identify national electric power crisis scenarios and develop a risk preparedness plan. </w:t>
            </w:r>
            <w:r w:rsidRPr="00FA3F57">
              <w:rPr>
                <w:sz w:val="20"/>
                <w:szCs w:val="20"/>
              </w:rPr>
              <w:t xml:space="preserve">The development and adoption of the </w:t>
            </w:r>
            <w:proofErr w:type="gramStart"/>
            <w:r w:rsidRPr="00FA3F57">
              <w:rPr>
                <w:sz w:val="20"/>
                <w:szCs w:val="20"/>
              </w:rPr>
              <w:t>aforementioned regulations</w:t>
            </w:r>
            <w:proofErr w:type="gramEnd"/>
            <w:r w:rsidRPr="00FA3F57">
              <w:rPr>
                <w:sz w:val="20"/>
                <w:szCs w:val="20"/>
              </w:rPr>
              <w:t xml:space="preserve"> and documents are scheduled for 2026.</w:t>
            </w:r>
            <w:r w:rsidRPr="00F07779">
              <w:rPr>
                <w:sz w:val="20"/>
                <w:szCs w:val="20"/>
              </w:rPr>
              <w:t xml:space="preserve"> The review and potential improvement of the existing regulations that define the technical requirements for the design, construction, testing, use, and maintenance of energy facilities for the generation, transmission, and distribution of electricity at all voltage levels, including the electrical installations within them, grounding, and protection against atmospheric discharges, as well as the conditions that legal entities or entrepreneurs performing testing or maintenance of energy facilities for generation, transmission, and distribution of electricity must meet, and ensuring compliance with European and international standards, is planned for 2027 and 2028.</w:t>
            </w:r>
          </w:p>
        </w:tc>
      </w:tr>
      <w:tr w:rsidR="0094644B" w:rsidRPr="00F07779" w14:paraId="353465CD" w14:textId="77777777" w:rsidTr="00FB5086">
        <w:tc>
          <w:tcPr>
            <w:tcW w:w="2973" w:type="dxa"/>
          </w:tcPr>
          <w:p w14:paraId="688550A4" w14:textId="77777777" w:rsidR="0094644B" w:rsidRPr="00FA3F57" w:rsidRDefault="0094644B" w:rsidP="00FB5086">
            <w:pPr>
              <w:rPr>
                <w:sz w:val="20"/>
                <w:szCs w:val="20"/>
              </w:rPr>
            </w:pPr>
            <w:r w:rsidRPr="00FA3F57">
              <w:rPr>
                <w:color w:val="000000"/>
                <w:kern w:val="2"/>
                <w:sz w:val="20"/>
                <w:szCs w:val="20"/>
                <w14:ligatures w14:val="standardContextual"/>
              </w:rPr>
              <w:t>Institutions responsible for the implementation of measures and activities</w:t>
            </w:r>
          </w:p>
        </w:tc>
        <w:tc>
          <w:tcPr>
            <w:tcW w:w="5669" w:type="dxa"/>
          </w:tcPr>
          <w:p w14:paraId="5D738EA6" w14:textId="77777777" w:rsidR="0094644B" w:rsidRPr="00FA3F57" w:rsidRDefault="0094644B" w:rsidP="00FB5086">
            <w:pPr>
              <w:rPr>
                <w:sz w:val="20"/>
                <w:szCs w:val="20"/>
              </w:rPr>
            </w:pPr>
            <w:r w:rsidRPr="00FA3F57">
              <w:rPr>
                <w:sz w:val="20"/>
                <w:szCs w:val="20"/>
              </w:rPr>
              <w:t>Ministry of Mining and Energy</w:t>
            </w:r>
          </w:p>
        </w:tc>
      </w:tr>
      <w:tr w:rsidR="0094644B" w:rsidRPr="00F07779" w14:paraId="42753EEC" w14:textId="77777777" w:rsidTr="00FB5086">
        <w:tc>
          <w:tcPr>
            <w:tcW w:w="2973" w:type="dxa"/>
          </w:tcPr>
          <w:p w14:paraId="363227BD" w14:textId="77777777" w:rsidR="0094644B" w:rsidRPr="00FA3F57" w:rsidRDefault="0094644B" w:rsidP="00FB5086">
            <w:pPr>
              <w:rPr>
                <w:sz w:val="20"/>
                <w:szCs w:val="20"/>
              </w:rPr>
            </w:pPr>
            <w:r w:rsidRPr="00FA3F57">
              <w:rPr>
                <w:color w:val="000000"/>
                <w:kern w:val="2"/>
                <w:sz w:val="20"/>
                <w:szCs w:val="20"/>
                <w14:ligatures w14:val="standardContextual"/>
              </w:rPr>
              <w:t>Institutions responsible for monitoring implementation and reporting on the realization</w:t>
            </w:r>
          </w:p>
        </w:tc>
        <w:tc>
          <w:tcPr>
            <w:tcW w:w="5669" w:type="dxa"/>
          </w:tcPr>
          <w:p w14:paraId="3D2B5554" w14:textId="77777777" w:rsidR="0094644B" w:rsidRPr="00FA3F57" w:rsidRDefault="0094644B" w:rsidP="00FB5086">
            <w:pPr>
              <w:rPr>
                <w:sz w:val="20"/>
                <w:szCs w:val="20"/>
              </w:rPr>
            </w:pPr>
            <w:r w:rsidRPr="00FA3F57">
              <w:rPr>
                <w:sz w:val="20"/>
                <w:szCs w:val="20"/>
              </w:rPr>
              <w:t>Ministry of Mining and Energy</w:t>
            </w:r>
          </w:p>
        </w:tc>
      </w:tr>
      <w:tr w:rsidR="0094644B" w:rsidRPr="00F07779" w14:paraId="70B2D87F" w14:textId="77777777" w:rsidTr="00FB5086">
        <w:tc>
          <w:tcPr>
            <w:tcW w:w="2973" w:type="dxa"/>
          </w:tcPr>
          <w:p w14:paraId="26FBC18C" w14:textId="77777777" w:rsidR="0094644B" w:rsidRPr="00FA3F57" w:rsidRDefault="0094644B" w:rsidP="00FB5086">
            <w:pPr>
              <w:rPr>
                <w:sz w:val="20"/>
                <w:szCs w:val="20"/>
              </w:rPr>
            </w:pPr>
            <w:r w:rsidRPr="00FA3F57">
              <w:rPr>
                <w:color w:val="000000"/>
                <w:kern w:val="2"/>
                <w:sz w:val="20"/>
                <w:szCs w:val="20"/>
                <w14:ligatures w14:val="standardContextual"/>
              </w:rPr>
              <w:t>Deadline for implementation</w:t>
            </w:r>
          </w:p>
        </w:tc>
        <w:tc>
          <w:tcPr>
            <w:tcW w:w="5669" w:type="dxa"/>
          </w:tcPr>
          <w:p w14:paraId="233CDB39" w14:textId="77777777" w:rsidR="0094644B" w:rsidRPr="00FA3F57" w:rsidRDefault="0094644B" w:rsidP="00FB5086">
            <w:pPr>
              <w:rPr>
                <w:sz w:val="20"/>
                <w:szCs w:val="20"/>
              </w:rPr>
            </w:pPr>
            <w:r w:rsidRPr="00FA3F57">
              <w:rPr>
                <w:sz w:val="20"/>
                <w:szCs w:val="20"/>
              </w:rPr>
              <w:t>Permanent activities (2026-2028)</w:t>
            </w:r>
          </w:p>
        </w:tc>
      </w:tr>
      <w:tr w:rsidR="0094644B" w:rsidRPr="00F07779" w14:paraId="0F612DAE" w14:textId="77777777" w:rsidTr="00FB5086">
        <w:tc>
          <w:tcPr>
            <w:tcW w:w="2973" w:type="dxa"/>
          </w:tcPr>
          <w:p w14:paraId="18286238" w14:textId="77777777" w:rsidR="0094644B" w:rsidRPr="00FA3F57" w:rsidRDefault="0094644B" w:rsidP="00FB5086">
            <w:pPr>
              <w:rPr>
                <w:sz w:val="20"/>
                <w:szCs w:val="20"/>
              </w:rPr>
            </w:pPr>
            <w:r w:rsidRPr="00FA3F57">
              <w:rPr>
                <w:sz w:val="20"/>
                <w:szCs w:val="20"/>
              </w:rPr>
              <w:t>Required funds and source of financing</w:t>
            </w:r>
          </w:p>
          <w:p w14:paraId="604CCF57" w14:textId="77777777" w:rsidR="0094644B" w:rsidRPr="00FA3F57" w:rsidRDefault="0094644B" w:rsidP="00FB5086">
            <w:pPr>
              <w:rPr>
                <w:sz w:val="20"/>
                <w:szCs w:val="20"/>
              </w:rPr>
            </w:pPr>
            <w:r w:rsidRPr="00FA3F57">
              <w:rPr>
                <w:sz w:val="20"/>
                <w:szCs w:val="20"/>
              </w:rPr>
              <w:lastRenderedPageBreak/>
              <w:t>(in thousands of RSD)</w:t>
            </w:r>
          </w:p>
        </w:tc>
        <w:tc>
          <w:tcPr>
            <w:tcW w:w="5669" w:type="dxa"/>
          </w:tcPr>
          <w:p w14:paraId="7DBB2401" w14:textId="77777777" w:rsidR="0094644B" w:rsidRPr="00FA3F57" w:rsidRDefault="0094644B" w:rsidP="00FB5086">
            <w:pPr>
              <w:rPr>
                <w:sz w:val="20"/>
                <w:szCs w:val="20"/>
              </w:rPr>
            </w:pPr>
            <w:r w:rsidRPr="00FA3F57">
              <w:rPr>
                <w:sz w:val="20"/>
                <w:szCs w:val="20"/>
              </w:rPr>
              <w:lastRenderedPageBreak/>
              <w:t>The measure does not require special funds.</w:t>
            </w:r>
          </w:p>
        </w:tc>
      </w:tr>
      <w:tr w:rsidR="0094644B" w:rsidRPr="00F07779" w14:paraId="61582F72" w14:textId="77777777" w:rsidTr="00FB5086">
        <w:tc>
          <w:tcPr>
            <w:tcW w:w="2973" w:type="dxa"/>
          </w:tcPr>
          <w:p w14:paraId="1E2234AB" w14:textId="77777777" w:rsidR="0094644B" w:rsidRPr="00FA3F57" w:rsidRDefault="0094644B" w:rsidP="00FB5086">
            <w:pPr>
              <w:rPr>
                <w:sz w:val="20"/>
                <w:szCs w:val="20"/>
              </w:rPr>
            </w:pPr>
            <w:r w:rsidRPr="00FA3F57">
              <w:rPr>
                <w:color w:val="000000"/>
                <w:kern w:val="2"/>
                <w:sz w:val="20"/>
                <w:szCs w:val="20"/>
                <w14:ligatures w14:val="standardContextual"/>
              </w:rPr>
              <w:t>Implementation indicator</w:t>
            </w:r>
          </w:p>
        </w:tc>
        <w:tc>
          <w:tcPr>
            <w:tcW w:w="5669" w:type="dxa"/>
          </w:tcPr>
          <w:p w14:paraId="214B5066" w14:textId="77777777" w:rsidR="0094644B" w:rsidRPr="00FA3F57" w:rsidRDefault="0094644B" w:rsidP="00FB5086">
            <w:pPr>
              <w:rPr>
                <w:sz w:val="20"/>
                <w:szCs w:val="20"/>
              </w:rPr>
            </w:pPr>
            <w:r w:rsidRPr="00FA3F57">
              <w:rPr>
                <w:sz w:val="20"/>
                <w:szCs w:val="20"/>
              </w:rPr>
              <w:t xml:space="preserve">Implementation </w:t>
            </w:r>
            <w:proofErr w:type="spellStart"/>
            <w:proofErr w:type="gramStart"/>
            <w:r w:rsidRPr="00FA3F57">
              <w:rPr>
                <w:sz w:val="20"/>
                <w:szCs w:val="20"/>
              </w:rPr>
              <w:t>phase:drafting</w:t>
            </w:r>
            <w:proofErr w:type="spellEnd"/>
            <w:proofErr w:type="gramEnd"/>
            <w:r w:rsidRPr="00FA3F57">
              <w:rPr>
                <w:sz w:val="20"/>
                <w:szCs w:val="20"/>
              </w:rPr>
              <w:t>, making proposals, passing and adopting</w:t>
            </w:r>
          </w:p>
        </w:tc>
      </w:tr>
      <w:tr w:rsidR="0094644B" w:rsidRPr="00F07779" w14:paraId="3BB1B8BF" w14:textId="77777777" w:rsidTr="00FB5086">
        <w:tc>
          <w:tcPr>
            <w:tcW w:w="2973" w:type="dxa"/>
          </w:tcPr>
          <w:p w14:paraId="0F2112D1" w14:textId="77777777" w:rsidR="0094644B" w:rsidRPr="00FA3F57" w:rsidRDefault="0094644B" w:rsidP="00FB5086">
            <w:pPr>
              <w:spacing w:line="256" w:lineRule="auto"/>
              <w:rPr>
                <w:sz w:val="20"/>
                <w:szCs w:val="20"/>
              </w:rPr>
            </w:pPr>
            <w:r w:rsidRPr="00FA3F57">
              <w:rPr>
                <w:color w:val="000000"/>
                <w:kern w:val="2"/>
                <w:sz w:val="20"/>
                <w:szCs w:val="20"/>
                <w14:ligatures w14:val="standardContextual"/>
              </w:rPr>
              <w:t>Impact of the activity on the achievement of the objective</w:t>
            </w:r>
          </w:p>
        </w:tc>
        <w:tc>
          <w:tcPr>
            <w:tcW w:w="5669" w:type="dxa"/>
          </w:tcPr>
          <w:p w14:paraId="02DB8CB5" w14:textId="77777777" w:rsidR="0094644B" w:rsidRPr="00FA3F57" w:rsidRDefault="0094644B" w:rsidP="00FB5086">
            <w:pPr>
              <w:rPr>
                <w:sz w:val="20"/>
                <w:szCs w:val="20"/>
              </w:rPr>
            </w:pPr>
            <w:r w:rsidRPr="00F07779">
              <w:rPr>
                <w:sz w:val="20"/>
                <w:szCs w:val="20"/>
              </w:rPr>
              <w:t xml:space="preserve">Enhancing the regulatory framework by enacting the </w:t>
            </w:r>
            <w:proofErr w:type="gramStart"/>
            <w:r w:rsidRPr="00F07779">
              <w:rPr>
                <w:sz w:val="20"/>
                <w:szCs w:val="20"/>
              </w:rPr>
              <w:t>aforementioned and</w:t>
            </w:r>
            <w:proofErr w:type="gramEnd"/>
            <w:r w:rsidRPr="00F07779">
              <w:rPr>
                <w:sz w:val="20"/>
                <w:szCs w:val="20"/>
              </w:rPr>
              <w:t xml:space="preserve"> detailed secondary legislation comprehensively contributes to the secure electricity supply of the domestic market.</w:t>
            </w:r>
          </w:p>
        </w:tc>
      </w:tr>
      <w:tr w:rsidR="0094644B" w:rsidRPr="00F07779" w14:paraId="297B01CD" w14:textId="77777777" w:rsidTr="00FB5086">
        <w:tc>
          <w:tcPr>
            <w:tcW w:w="2973" w:type="dxa"/>
          </w:tcPr>
          <w:p w14:paraId="2C094BAF" w14:textId="77777777" w:rsidR="0094644B" w:rsidRPr="00FA3F57" w:rsidRDefault="0094644B" w:rsidP="00FB5086">
            <w:pPr>
              <w:rPr>
                <w:sz w:val="20"/>
                <w:szCs w:val="20"/>
              </w:rPr>
            </w:pPr>
            <w:r w:rsidRPr="00FA3F57">
              <w:rPr>
                <w:color w:val="000000"/>
                <w:kern w:val="2"/>
                <w:sz w:val="20"/>
                <w:szCs w:val="20"/>
                <w14:ligatures w14:val="standardContextual"/>
              </w:rPr>
              <w:t>Impact on EE, climate, and environmental protection</w:t>
            </w:r>
          </w:p>
        </w:tc>
        <w:tc>
          <w:tcPr>
            <w:tcW w:w="5669" w:type="dxa"/>
          </w:tcPr>
          <w:p w14:paraId="7BA95050" w14:textId="77777777" w:rsidR="0094644B" w:rsidRPr="00FA3F57" w:rsidRDefault="0094644B" w:rsidP="00FB5086">
            <w:pPr>
              <w:rPr>
                <w:sz w:val="20"/>
                <w:szCs w:val="20"/>
              </w:rPr>
            </w:pPr>
            <w:r w:rsidRPr="00FA3F57">
              <w:rPr>
                <w:sz w:val="20"/>
                <w:szCs w:val="20"/>
              </w:rPr>
              <w:t>No direct impact</w:t>
            </w:r>
          </w:p>
        </w:tc>
      </w:tr>
    </w:tbl>
    <w:p w14:paraId="6F00EF4F" w14:textId="77777777" w:rsidR="0094644B" w:rsidRPr="00FA3F57" w:rsidRDefault="0094644B" w:rsidP="0094644B"/>
    <w:p w14:paraId="11E9A1BD" w14:textId="77777777" w:rsidR="0094644B" w:rsidRPr="00F07779" w:rsidRDefault="0094644B" w:rsidP="0094644B">
      <w:pPr>
        <w:tabs>
          <w:tab w:val="left" w:pos="1276"/>
        </w:tabs>
        <w:ind w:left="1560" w:hanging="1560"/>
      </w:pPr>
      <w:r w:rsidRPr="00F07779">
        <w:t>Table</w:t>
      </w:r>
      <w:r w:rsidRPr="00FA3F57">
        <w:t xml:space="preserve"> 5.1.7-</w:t>
      </w:r>
      <w:r w:rsidRPr="00F07779">
        <w:t>5</w:t>
      </w:r>
      <w:r w:rsidRPr="00FA3F57">
        <w:t>:</w:t>
      </w:r>
      <w:r w:rsidRPr="00FA3F57">
        <w:tab/>
        <w:t>Activities for the implementation of measure EL7</w:t>
      </w:r>
      <w:r w:rsidRPr="00FA3F57" w:rsidDel="00EB46F2">
        <w:t xml:space="preserve"> </w:t>
      </w:r>
      <w:r w:rsidRPr="00FA3F57">
        <w:t>– Activity EL7.</w:t>
      </w:r>
      <w:r w:rsidRPr="00F07779">
        <w:t>5</w:t>
      </w:r>
    </w:p>
    <w:tbl>
      <w:tblPr>
        <w:tblStyle w:val="TableGrid"/>
        <w:tblW w:w="8642" w:type="dxa"/>
        <w:tblLook w:val="04A0" w:firstRow="1" w:lastRow="0" w:firstColumn="1" w:lastColumn="0" w:noHBand="0" w:noVBand="1"/>
      </w:tblPr>
      <w:tblGrid>
        <w:gridCol w:w="2973"/>
        <w:gridCol w:w="5669"/>
      </w:tblGrid>
      <w:tr w:rsidR="0094644B" w:rsidRPr="00F07779" w14:paraId="0EEDB2CC" w14:textId="77777777" w:rsidTr="00FB5086">
        <w:tc>
          <w:tcPr>
            <w:tcW w:w="2973" w:type="dxa"/>
            <w:shd w:val="clear" w:color="auto" w:fill="D9D9D9" w:themeFill="background1" w:themeFillShade="D9"/>
          </w:tcPr>
          <w:p w14:paraId="4AEE82D6" w14:textId="77777777" w:rsidR="0094644B" w:rsidRPr="00FA3F57" w:rsidRDefault="0094644B" w:rsidP="00FB5086">
            <w:pPr>
              <w:keepNext/>
              <w:rPr>
                <w:sz w:val="20"/>
                <w:szCs w:val="20"/>
              </w:rPr>
            </w:pPr>
            <w:r w:rsidRPr="00F07779">
              <w:rPr>
                <w:sz w:val="20"/>
                <w:szCs w:val="20"/>
              </w:rPr>
              <w:t>Act</w:t>
            </w:r>
            <w:r w:rsidRPr="00FA3F57">
              <w:rPr>
                <w:sz w:val="20"/>
                <w:szCs w:val="20"/>
              </w:rPr>
              <w:t>i</w:t>
            </w:r>
            <w:r w:rsidRPr="00F07779">
              <w:rPr>
                <w:sz w:val="20"/>
                <w:szCs w:val="20"/>
              </w:rPr>
              <w:t>vity</w:t>
            </w:r>
            <w:r w:rsidRPr="00FA3F57">
              <w:rPr>
                <w:sz w:val="20"/>
                <w:szCs w:val="20"/>
              </w:rPr>
              <w:t xml:space="preserve"> </w:t>
            </w:r>
            <w:r w:rsidRPr="00F07779">
              <w:rPr>
                <w:sz w:val="20"/>
                <w:szCs w:val="20"/>
              </w:rPr>
              <w:t>EL</w:t>
            </w:r>
            <w:r w:rsidRPr="00FA3F57">
              <w:rPr>
                <w:sz w:val="20"/>
                <w:szCs w:val="20"/>
              </w:rPr>
              <w:t>7.5.</w:t>
            </w:r>
          </w:p>
        </w:tc>
        <w:tc>
          <w:tcPr>
            <w:tcW w:w="5669" w:type="dxa"/>
            <w:shd w:val="clear" w:color="auto" w:fill="D9D9D9" w:themeFill="background1" w:themeFillShade="D9"/>
          </w:tcPr>
          <w:p w14:paraId="3B1E27E8" w14:textId="77777777" w:rsidR="0094644B" w:rsidRPr="00FA3F57" w:rsidRDefault="0094644B" w:rsidP="00FB5086">
            <w:pPr>
              <w:keepNext/>
              <w:rPr>
                <w:sz w:val="20"/>
                <w:szCs w:val="20"/>
              </w:rPr>
            </w:pPr>
            <w:r w:rsidRPr="00FA3F57">
              <w:rPr>
                <w:sz w:val="20"/>
                <w:szCs w:val="20"/>
              </w:rPr>
              <w:t xml:space="preserve">Monitoring power system reliability standards </w:t>
            </w:r>
          </w:p>
        </w:tc>
      </w:tr>
      <w:tr w:rsidR="0094644B" w:rsidRPr="00F07779" w14:paraId="47AA04C8" w14:textId="77777777" w:rsidTr="00FB5086">
        <w:tc>
          <w:tcPr>
            <w:tcW w:w="2973" w:type="dxa"/>
          </w:tcPr>
          <w:p w14:paraId="4FF0E279" w14:textId="77777777" w:rsidR="0094644B" w:rsidRPr="00FA3F57" w:rsidRDefault="0094644B" w:rsidP="00FB5086">
            <w:pPr>
              <w:rPr>
                <w:sz w:val="20"/>
                <w:szCs w:val="20"/>
              </w:rPr>
            </w:pPr>
            <w:r w:rsidRPr="00FA3F57">
              <w:rPr>
                <w:color w:val="000000"/>
                <w:kern w:val="2"/>
                <w:sz w:val="20"/>
                <w:szCs w:val="20"/>
                <w14:ligatures w14:val="standardContextual"/>
              </w:rPr>
              <w:t>Description</w:t>
            </w:r>
          </w:p>
        </w:tc>
        <w:tc>
          <w:tcPr>
            <w:tcW w:w="5669" w:type="dxa"/>
            <w:vAlign w:val="bottom"/>
          </w:tcPr>
          <w:p w14:paraId="672D15CB" w14:textId="77777777" w:rsidR="0094644B" w:rsidRPr="00F07779" w:rsidRDefault="0094644B" w:rsidP="00FB5086">
            <w:pPr>
              <w:rPr>
                <w:sz w:val="20"/>
                <w:szCs w:val="20"/>
              </w:rPr>
            </w:pPr>
            <w:r w:rsidRPr="00F07779">
              <w:rPr>
                <w:sz w:val="20"/>
                <w:szCs w:val="20"/>
              </w:rPr>
              <w:t xml:space="preserve">Under the Energy Law, within the section addressing security of supply, energy entities engaged in legally defined energy activities are obligated to prioritize the provision of sufficient quantities of energy and energy sources required for the livelihood and daily needs of the population, as well as for the operation of business entities, to ensure the energy security of the Republic of Serbia. Going forward, the Ministry of Mining and Energy, based on a proposal by the Energy Agency of the Republic of Serbia, will define the so-called 'system reliability standard' as part of the Report on the Security of Supply of the Republic of Serbia. The system reliability standard is defined as the necessary level of security of supply, which must be ensured through adequate generation capacity, including a capacity remuneration mechanism. The </w:t>
            </w:r>
            <w:proofErr w:type="gramStart"/>
            <w:r w:rsidRPr="00F07779">
              <w:rPr>
                <w:sz w:val="20"/>
                <w:szCs w:val="20"/>
              </w:rPr>
              <w:t>system</w:t>
            </w:r>
            <w:proofErr w:type="gramEnd"/>
            <w:r w:rsidRPr="00F07779">
              <w:rPr>
                <w:sz w:val="20"/>
                <w:szCs w:val="20"/>
              </w:rPr>
              <w:t xml:space="preserve"> reliability standard is determined based on the value of expected unserved energy and the value of expected unmet demand. To address inadequacies in electricity generation and the transmission system, the Government may, upon the proposal of the Ministry, introduce a capacity mechanism as a last-resort measure, provided that </w:t>
            </w:r>
            <w:proofErr w:type="gramStart"/>
            <w:r w:rsidRPr="00F07779">
              <w:rPr>
                <w:sz w:val="20"/>
                <w:szCs w:val="20"/>
              </w:rPr>
              <w:t>an appropriate</w:t>
            </w:r>
            <w:proofErr w:type="gramEnd"/>
            <w:r w:rsidRPr="00F07779">
              <w:rPr>
                <w:sz w:val="20"/>
                <w:szCs w:val="20"/>
              </w:rPr>
              <w:t xml:space="preserve"> secondary legislation is adopted beforehand.</w:t>
            </w:r>
            <w:r w:rsidRPr="00FA3F57">
              <w:rPr>
                <w:sz w:val="20"/>
                <w:szCs w:val="20"/>
              </w:rPr>
              <w:t xml:space="preserve"> </w:t>
            </w:r>
          </w:p>
        </w:tc>
      </w:tr>
      <w:tr w:rsidR="0094644B" w:rsidRPr="00F07779" w14:paraId="3F682E3F" w14:textId="77777777" w:rsidTr="00FB5086">
        <w:tc>
          <w:tcPr>
            <w:tcW w:w="2973" w:type="dxa"/>
          </w:tcPr>
          <w:p w14:paraId="6086460B" w14:textId="77777777" w:rsidR="0094644B" w:rsidRPr="00FA3F57" w:rsidRDefault="0094644B" w:rsidP="00FB5086">
            <w:pPr>
              <w:rPr>
                <w:sz w:val="20"/>
                <w:szCs w:val="20"/>
              </w:rPr>
            </w:pPr>
            <w:r w:rsidRPr="00FA3F57">
              <w:rPr>
                <w:color w:val="000000"/>
                <w:kern w:val="2"/>
                <w:sz w:val="20"/>
                <w:szCs w:val="20"/>
                <w14:ligatures w14:val="standardContextual"/>
              </w:rPr>
              <w:t>Institutions responsible for the implementation of measures and activities</w:t>
            </w:r>
          </w:p>
        </w:tc>
        <w:tc>
          <w:tcPr>
            <w:tcW w:w="5669" w:type="dxa"/>
          </w:tcPr>
          <w:p w14:paraId="1A3A0896" w14:textId="77777777" w:rsidR="0094644B" w:rsidRPr="00FA3F57" w:rsidRDefault="0094644B" w:rsidP="00FB5086">
            <w:pPr>
              <w:rPr>
                <w:sz w:val="20"/>
                <w:szCs w:val="20"/>
              </w:rPr>
            </w:pPr>
            <w:r w:rsidRPr="00FA3F57">
              <w:rPr>
                <w:sz w:val="20"/>
                <w:szCs w:val="20"/>
              </w:rPr>
              <w:t>Ministry of Mining and Energy</w:t>
            </w:r>
          </w:p>
        </w:tc>
      </w:tr>
      <w:tr w:rsidR="0094644B" w:rsidRPr="00F07779" w14:paraId="4C5CEB24" w14:textId="77777777" w:rsidTr="00FB5086">
        <w:tc>
          <w:tcPr>
            <w:tcW w:w="2973" w:type="dxa"/>
          </w:tcPr>
          <w:p w14:paraId="1AC2F2DE" w14:textId="77777777" w:rsidR="0094644B" w:rsidRPr="00FA3F57" w:rsidRDefault="0094644B" w:rsidP="00FB5086">
            <w:pPr>
              <w:rPr>
                <w:sz w:val="20"/>
                <w:szCs w:val="20"/>
              </w:rPr>
            </w:pPr>
            <w:r w:rsidRPr="00FA3F57">
              <w:rPr>
                <w:color w:val="000000"/>
                <w:kern w:val="2"/>
                <w:sz w:val="20"/>
                <w:szCs w:val="20"/>
                <w14:ligatures w14:val="standardContextual"/>
              </w:rPr>
              <w:t>Institutions responsible for monitoring implementation and reporting on the realization</w:t>
            </w:r>
          </w:p>
        </w:tc>
        <w:tc>
          <w:tcPr>
            <w:tcW w:w="5669" w:type="dxa"/>
          </w:tcPr>
          <w:p w14:paraId="43EBE92B" w14:textId="77777777" w:rsidR="0094644B" w:rsidRPr="00FA3F57" w:rsidRDefault="0094644B" w:rsidP="00FB5086">
            <w:pPr>
              <w:rPr>
                <w:sz w:val="20"/>
                <w:szCs w:val="20"/>
              </w:rPr>
            </w:pPr>
            <w:r w:rsidRPr="00FA3F57">
              <w:rPr>
                <w:sz w:val="20"/>
                <w:szCs w:val="20"/>
              </w:rPr>
              <w:t>Ministry of Mining and Energy</w:t>
            </w:r>
          </w:p>
        </w:tc>
      </w:tr>
      <w:tr w:rsidR="0094644B" w:rsidRPr="00F07779" w14:paraId="3EF1DF82" w14:textId="77777777" w:rsidTr="00FB5086">
        <w:tc>
          <w:tcPr>
            <w:tcW w:w="2973" w:type="dxa"/>
          </w:tcPr>
          <w:p w14:paraId="23B599B9" w14:textId="77777777" w:rsidR="0094644B" w:rsidRPr="00FA3F57" w:rsidRDefault="0094644B" w:rsidP="00FB5086">
            <w:pPr>
              <w:rPr>
                <w:sz w:val="20"/>
                <w:szCs w:val="20"/>
              </w:rPr>
            </w:pPr>
            <w:r w:rsidRPr="00FA3F57">
              <w:rPr>
                <w:color w:val="000000"/>
                <w:kern w:val="2"/>
                <w:sz w:val="20"/>
                <w:szCs w:val="20"/>
                <w14:ligatures w14:val="standardContextual"/>
              </w:rPr>
              <w:t>Deadline for implementation</w:t>
            </w:r>
          </w:p>
        </w:tc>
        <w:tc>
          <w:tcPr>
            <w:tcW w:w="5669" w:type="dxa"/>
          </w:tcPr>
          <w:p w14:paraId="08D7194A" w14:textId="77777777" w:rsidR="0094644B" w:rsidRPr="00FA3F57" w:rsidRDefault="0094644B" w:rsidP="00FB5086">
            <w:pPr>
              <w:rPr>
                <w:sz w:val="20"/>
                <w:szCs w:val="20"/>
              </w:rPr>
            </w:pPr>
            <w:r w:rsidRPr="00FA3F57">
              <w:rPr>
                <w:sz w:val="20"/>
                <w:szCs w:val="20"/>
              </w:rPr>
              <w:t>Permanent activities (2026-2028)</w:t>
            </w:r>
          </w:p>
        </w:tc>
      </w:tr>
      <w:tr w:rsidR="0094644B" w:rsidRPr="00F07779" w14:paraId="1B6B5B8C" w14:textId="77777777" w:rsidTr="00FB5086">
        <w:tc>
          <w:tcPr>
            <w:tcW w:w="2973" w:type="dxa"/>
          </w:tcPr>
          <w:p w14:paraId="60185DD5" w14:textId="77777777" w:rsidR="0094644B" w:rsidRPr="00FA3F57" w:rsidRDefault="0094644B" w:rsidP="00FB5086">
            <w:pPr>
              <w:rPr>
                <w:sz w:val="20"/>
                <w:szCs w:val="20"/>
              </w:rPr>
            </w:pPr>
            <w:r w:rsidRPr="00FA3F57">
              <w:rPr>
                <w:sz w:val="20"/>
                <w:szCs w:val="20"/>
              </w:rPr>
              <w:t>Required funds and source of financing</w:t>
            </w:r>
          </w:p>
          <w:p w14:paraId="21D4ABE4" w14:textId="77777777" w:rsidR="0094644B" w:rsidRPr="00FA3F57" w:rsidRDefault="0094644B" w:rsidP="00FB5086">
            <w:pPr>
              <w:rPr>
                <w:sz w:val="20"/>
                <w:szCs w:val="20"/>
              </w:rPr>
            </w:pPr>
            <w:r w:rsidRPr="00FA3F57">
              <w:rPr>
                <w:sz w:val="20"/>
                <w:szCs w:val="20"/>
              </w:rPr>
              <w:t>(in thousands of RSD)</w:t>
            </w:r>
          </w:p>
        </w:tc>
        <w:tc>
          <w:tcPr>
            <w:tcW w:w="5669" w:type="dxa"/>
          </w:tcPr>
          <w:p w14:paraId="76D318CD" w14:textId="77777777" w:rsidR="0094644B" w:rsidRPr="00FA3F57" w:rsidRDefault="0094644B" w:rsidP="00FB5086">
            <w:pPr>
              <w:rPr>
                <w:sz w:val="20"/>
                <w:szCs w:val="20"/>
              </w:rPr>
            </w:pPr>
            <w:r w:rsidRPr="00FA3F57">
              <w:rPr>
                <w:sz w:val="20"/>
                <w:szCs w:val="20"/>
              </w:rPr>
              <w:t>The measure does not require special funds.</w:t>
            </w:r>
          </w:p>
        </w:tc>
      </w:tr>
      <w:tr w:rsidR="0094644B" w:rsidRPr="00F07779" w14:paraId="161AA7B2" w14:textId="77777777" w:rsidTr="00FB5086">
        <w:tc>
          <w:tcPr>
            <w:tcW w:w="2973" w:type="dxa"/>
          </w:tcPr>
          <w:p w14:paraId="00A3D312" w14:textId="77777777" w:rsidR="0094644B" w:rsidRPr="00FA3F57" w:rsidRDefault="0094644B" w:rsidP="00FB5086">
            <w:pPr>
              <w:rPr>
                <w:sz w:val="20"/>
                <w:szCs w:val="20"/>
              </w:rPr>
            </w:pPr>
            <w:r w:rsidRPr="00FA3F57">
              <w:rPr>
                <w:color w:val="000000"/>
                <w:kern w:val="2"/>
                <w:sz w:val="20"/>
                <w:szCs w:val="20"/>
                <w14:ligatures w14:val="standardContextual"/>
              </w:rPr>
              <w:t>Implementation indicator</w:t>
            </w:r>
          </w:p>
        </w:tc>
        <w:tc>
          <w:tcPr>
            <w:tcW w:w="5669" w:type="dxa"/>
          </w:tcPr>
          <w:p w14:paraId="27E4F869" w14:textId="77777777" w:rsidR="0094644B" w:rsidRPr="00FA3F57" w:rsidRDefault="0094644B" w:rsidP="00FB5086">
            <w:pPr>
              <w:rPr>
                <w:sz w:val="20"/>
                <w:szCs w:val="20"/>
              </w:rPr>
            </w:pPr>
            <w:r w:rsidRPr="00FA3F57">
              <w:rPr>
                <w:sz w:val="20"/>
                <w:szCs w:val="20"/>
              </w:rPr>
              <w:t>Implementation phase:</w:t>
            </w:r>
            <w:r w:rsidRPr="00F07779">
              <w:rPr>
                <w:sz w:val="20"/>
                <w:szCs w:val="20"/>
              </w:rPr>
              <w:t xml:space="preserve"> </w:t>
            </w:r>
            <w:r w:rsidRPr="00FA3F57">
              <w:rPr>
                <w:sz w:val="20"/>
                <w:szCs w:val="20"/>
              </w:rPr>
              <w:t>drafting, making proposals, passing, and adopting</w:t>
            </w:r>
          </w:p>
        </w:tc>
      </w:tr>
      <w:tr w:rsidR="0094644B" w:rsidRPr="00F07779" w14:paraId="5D81AEB4" w14:textId="77777777" w:rsidTr="00FB5086">
        <w:tc>
          <w:tcPr>
            <w:tcW w:w="2973" w:type="dxa"/>
          </w:tcPr>
          <w:p w14:paraId="17A00496" w14:textId="77777777" w:rsidR="0094644B" w:rsidRPr="00FA3F57" w:rsidRDefault="0094644B" w:rsidP="00FB5086">
            <w:pPr>
              <w:spacing w:line="256" w:lineRule="auto"/>
              <w:rPr>
                <w:color w:val="000000"/>
                <w:kern w:val="2"/>
                <w:sz w:val="20"/>
                <w:szCs w:val="20"/>
                <w14:ligatures w14:val="standardContextual"/>
              </w:rPr>
            </w:pPr>
            <w:r w:rsidRPr="00FA3F57">
              <w:rPr>
                <w:color w:val="000000"/>
                <w:kern w:val="2"/>
                <w:sz w:val="20"/>
                <w:szCs w:val="20"/>
                <w14:ligatures w14:val="standardContextual"/>
              </w:rPr>
              <w:t>Impact of the activity on the achievement of the objective</w:t>
            </w:r>
          </w:p>
        </w:tc>
        <w:tc>
          <w:tcPr>
            <w:tcW w:w="5669" w:type="dxa"/>
          </w:tcPr>
          <w:p w14:paraId="70DCB110" w14:textId="77777777" w:rsidR="0094644B" w:rsidRPr="00FA3F57" w:rsidRDefault="0094644B" w:rsidP="00FB5086">
            <w:pPr>
              <w:rPr>
                <w:sz w:val="20"/>
                <w:szCs w:val="20"/>
              </w:rPr>
            </w:pPr>
            <w:r w:rsidRPr="00FA3F57">
              <w:rPr>
                <w:sz w:val="20"/>
                <w:szCs w:val="20"/>
              </w:rPr>
              <w:t xml:space="preserve">Defining power system reliability standards contributes to the secure </w:t>
            </w:r>
            <w:r w:rsidRPr="00F07779">
              <w:rPr>
                <w:sz w:val="20"/>
                <w:szCs w:val="20"/>
              </w:rPr>
              <w:t xml:space="preserve">electricity </w:t>
            </w:r>
            <w:r w:rsidRPr="00FA3F57">
              <w:rPr>
                <w:sz w:val="20"/>
                <w:szCs w:val="20"/>
              </w:rPr>
              <w:t>supply to the domestic market.</w:t>
            </w:r>
          </w:p>
        </w:tc>
      </w:tr>
      <w:tr w:rsidR="0094644B" w:rsidRPr="00F07779" w14:paraId="735C0BF6" w14:textId="77777777" w:rsidTr="00FB5086">
        <w:tc>
          <w:tcPr>
            <w:tcW w:w="2973" w:type="dxa"/>
          </w:tcPr>
          <w:p w14:paraId="53182999" w14:textId="77777777" w:rsidR="0094644B" w:rsidRPr="00FA3F57" w:rsidRDefault="0094644B" w:rsidP="00FB5086">
            <w:pPr>
              <w:rPr>
                <w:sz w:val="20"/>
                <w:szCs w:val="20"/>
              </w:rPr>
            </w:pPr>
            <w:r w:rsidRPr="00FA3F57">
              <w:rPr>
                <w:color w:val="000000"/>
                <w:kern w:val="2"/>
                <w:sz w:val="20"/>
                <w:szCs w:val="20"/>
                <w14:ligatures w14:val="standardContextual"/>
              </w:rPr>
              <w:t>Impact on EE, climate, and environmental protection</w:t>
            </w:r>
          </w:p>
        </w:tc>
        <w:tc>
          <w:tcPr>
            <w:tcW w:w="5669" w:type="dxa"/>
          </w:tcPr>
          <w:p w14:paraId="6100B63C" w14:textId="77777777" w:rsidR="0094644B" w:rsidRPr="00FA3F57" w:rsidRDefault="0094644B" w:rsidP="00FB5086">
            <w:pPr>
              <w:rPr>
                <w:sz w:val="20"/>
                <w:szCs w:val="20"/>
              </w:rPr>
            </w:pPr>
            <w:r w:rsidRPr="00FA3F57">
              <w:rPr>
                <w:sz w:val="20"/>
                <w:szCs w:val="20"/>
              </w:rPr>
              <w:t>No direct impact</w:t>
            </w:r>
          </w:p>
        </w:tc>
      </w:tr>
    </w:tbl>
    <w:p w14:paraId="51FE9ED1" w14:textId="77777777" w:rsidR="00B42FEF" w:rsidRPr="00F07779" w:rsidRDefault="00B42FEF" w:rsidP="008800CA"/>
    <w:p w14:paraId="1A843560" w14:textId="55F6E5D1" w:rsidR="00555340" w:rsidRPr="00F07779" w:rsidRDefault="003D23F0" w:rsidP="003D23F0">
      <w:pPr>
        <w:pStyle w:val="Heading2"/>
        <w:numPr>
          <w:ilvl w:val="1"/>
          <w:numId w:val="7"/>
        </w:numPr>
        <w:rPr>
          <w:rFonts w:ascii="Times New Roman" w:hAnsi="Times New Roman" w:cs="Times New Roman"/>
        </w:rPr>
      </w:pPr>
      <w:r w:rsidRPr="00F07779">
        <w:rPr>
          <w:rFonts w:ascii="Times New Roman" w:hAnsi="Times New Roman" w:cs="Times New Roman"/>
        </w:rPr>
        <w:t>Heat Energy Sector</w:t>
      </w:r>
    </w:p>
    <w:p w14:paraId="3A8AD1B7" w14:textId="77777777" w:rsidR="003D23F0" w:rsidRPr="00F07779" w:rsidRDefault="003D23F0" w:rsidP="003D23F0">
      <w:pPr>
        <w:snapToGrid w:val="0"/>
        <w:jc w:val="both"/>
      </w:pPr>
    </w:p>
    <w:p w14:paraId="2DA1203B" w14:textId="5FDCF408" w:rsidR="003D23F0" w:rsidRPr="00F07779" w:rsidRDefault="003D23F0" w:rsidP="003D23F0">
      <w:pPr>
        <w:snapToGrid w:val="0"/>
        <w:jc w:val="both"/>
      </w:pPr>
      <w:r w:rsidRPr="00F07779">
        <w:t>The Heat Energy Sector encompasses the capacities for the production, distribution, and supply of heat energy in the Republic of Serbia, including:</w:t>
      </w:r>
    </w:p>
    <w:p w14:paraId="195E412B" w14:textId="15CD061E" w:rsidR="003D23F0" w:rsidRPr="00F07779" w:rsidRDefault="003D23F0" w:rsidP="003D23F0">
      <w:pPr>
        <w:pStyle w:val="ListParagraph"/>
        <w:numPr>
          <w:ilvl w:val="0"/>
          <w:numId w:val="16"/>
        </w:numPr>
        <w:snapToGrid w:val="0"/>
        <w:jc w:val="both"/>
        <w:rPr>
          <w:rFonts w:ascii="Times New Roman" w:hAnsi="Times New Roman" w:cs="Times New Roman"/>
          <w:noProof w:val="0"/>
        </w:rPr>
      </w:pPr>
      <w:r w:rsidRPr="00F07779">
        <w:rPr>
          <w:rFonts w:ascii="Times New Roman" w:hAnsi="Times New Roman" w:cs="Times New Roman"/>
          <w:noProof w:val="0"/>
        </w:rPr>
        <w:t xml:space="preserve">District Heating Systems (DHS) </w:t>
      </w:r>
      <w:r w:rsidR="0082007E" w:rsidRPr="00F07779">
        <w:rPr>
          <w:rFonts w:ascii="Times New Roman" w:hAnsi="Times New Roman" w:cs="Times New Roman"/>
          <w:noProof w:val="0"/>
        </w:rPr>
        <w:t xml:space="preserve">operate in </w:t>
      </w:r>
      <w:r w:rsidRPr="00F07779">
        <w:rPr>
          <w:rFonts w:ascii="Times New Roman" w:hAnsi="Times New Roman" w:cs="Times New Roman"/>
          <w:noProof w:val="0"/>
        </w:rPr>
        <w:t>64 business entities engaged in the activities of producing, distributing, and supplying heat energy</w:t>
      </w:r>
      <w:r w:rsidR="0082007E" w:rsidRPr="00F07779">
        <w:rPr>
          <w:rFonts w:ascii="Times New Roman" w:hAnsi="Times New Roman" w:cs="Times New Roman"/>
          <w:noProof w:val="0"/>
        </w:rPr>
        <w:t>,</w:t>
      </w:r>
    </w:p>
    <w:p w14:paraId="4FF6CEE9" w14:textId="09CB47BB" w:rsidR="003D23F0" w:rsidRPr="00F07779" w:rsidRDefault="003D23F0" w:rsidP="003D23F0">
      <w:pPr>
        <w:pStyle w:val="ListParagraph"/>
        <w:numPr>
          <w:ilvl w:val="0"/>
          <w:numId w:val="16"/>
        </w:numPr>
        <w:snapToGrid w:val="0"/>
        <w:jc w:val="both"/>
        <w:rPr>
          <w:rFonts w:ascii="Times New Roman" w:hAnsi="Times New Roman" w:cs="Times New Roman"/>
          <w:noProof w:val="0"/>
        </w:rPr>
      </w:pPr>
      <w:r w:rsidRPr="00F07779">
        <w:rPr>
          <w:rFonts w:ascii="Times New Roman" w:hAnsi="Times New Roman" w:cs="Times New Roman"/>
          <w:noProof w:val="0"/>
        </w:rPr>
        <w:t xml:space="preserve">Thermal Power Plants (TPPs), specifically: TPP </w:t>
      </w:r>
      <w:proofErr w:type="spellStart"/>
      <w:r w:rsidRPr="00F07779">
        <w:rPr>
          <w:rFonts w:ascii="Times New Roman" w:hAnsi="Times New Roman" w:cs="Times New Roman"/>
          <w:noProof w:val="0"/>
        </w:rPr>
        <w:t>Kolubara</w:t>
      </w:r>
      <w:proofErr w:type="spellEnd"/>
      <w:r w:rsidRPr="00F07779">
        <w:rPr>
          <w:rFonts w:ascii="Times New Roman" w:hAnsi="Times New Roman" w:cs="Times New Roman"/>
          <w:noProof w:val="0"/>
        </w:rPr>
        <w:t xml:space="preserve"> A, TPP </w:t>
      </w:r>
      <w:proofErr w:type="spellStart"/>
      <w:r w:rsidRPr="00F07779">
        <w:rPr>
          <w:rFonts w:ascii="Times New Roman" w:hAnsi="Times New Roman" w:cs="Times New Roman"/>
          <w:noProof w:val="0"/>
        </w:rPr>
        <w:t>Kostolac</w:t>
      </w:r>
      <w:proofErr w:type="spellEnd"/>
      <w:r w:rsidRPr="00F07779">
        <w:rPr>
          <w:rFonts w:ascii="Times New Roman" w:hAnsi="Times New Roman" w:cs="Times New Roman"/>
          <w:noProof w:val="0"/>
        </w:rPr>
        <w:t xml:space="preserve"> A, and TPP Nikola Tesla A, where the generated heat energy is used for heating the cities of </w:t>
      </w:r>
      <w:proofErr w:type="spellStart"/>
      <w:r w:rsidRPr="00F07779">
        <w:rPr>
          <w:rFonts w:ascii="Times New Roman" w:hAnsi="Times New Roman" w:cs="Times New Roman"/>
          <w:noProof w:val="0"/>
        </w:rPr>
        <w:t>Lazarevac</w:t>
      </w:r>
      <w:proofErr w:type="spellEnd"/>
      <w:r w:rsidRPr="00F07779">
        <w:rPr>
          <w:rFonts w:ascii="Times New Roman" w:hAnsi="Times New Roman" w:cs="Times New Roman"/>
          <w:noProof w:val="0"/>
        </w:rPr>
        <w:t xml:space="preserve">, Obrenovac, </w:t>
      </w:r>
      <w:proofErr w:type="spellStart"/>
      <w:r w:rsidRPr="00F07779">
        <w:rPr>
          <w:rFonts w:ascii="Times New Roman" w:hAnsi="Times New Roman" w:cs="Times New Roman"/>
          <w:noProof w:val="0"/>
        </w:rPr>
        <w:t>Kostolac</w:t>
      </w:r>
      <w:proofErr w:type="spellEnd"/>
      <w:r w:rsidRPr="00F07779">
        <w:rPr>
          <w:rFonts w:ascii="Times New Roman" w:hAnsi="Times New Roman" w:cs="Times New Roman"/>
          <w:noProof w:val="0"/>
        </w:rPr>
        <w:t xml:space="preserve">, and </w:t>
      </w:r>
      <w:proofErr w:type="spellStart"/>
      <w:r w:rsidRPr="00F07779">
        <w:rPr>
          <w:rFonts w:ascii="Times New Roman" w:hAnsi="Times New Roman" w:cs="Times New Roman"/>
          <w:noProof w:val="0"/>
        </w:rPr>
        <w:t>Požarevac</w:t>
      </w:r>
      <w:proofErr w:type="spellEnd"/>
      <w:r w:rsidR="0082007E" w:rsidRPr="00F07779">
        <w:rPr>
          <w:rFonts w:ascii="Times New Roman" w:hAnsi="Times New Roman" w:cs="Times New Roman"/>
          <w:noProof w:val="0"/>
        </w:rPr>
        <w:t>,</w:t>
      </w:r>
    </w:p>
    <w:p w14:paraId="4E4E2395" w14:textId="630D2181" w:rsidR="003D23F0" w:rsidRPr="00F07779" w:rsidRDefault="003D23F0" w:rsidP="00A91F67">
      <w:pPr>
        <w:pStyle w:val="ListParagraph"/>
        <w:numPr>
          <w:ilvl w:val="0"/>
          <w:numId w:val="16"/>
        </w:numPr>
        <w:snapToGrid w:val="0"/>
        <w:jc w:val="both"/>
        <w:rPr>
          <w:rFonts w:ascii="Times New Roman" w:hAnsi="Times New Roman" w:cs="Times New Roman"/>
          <w:noProof w:val="0"/>
        </w:rPr>
      </w:pPr>
      <w:r w:rsidRPr="00F07779">
        <w:rPr>
          <w:rFonts w:ascii="Times New Roman" w:hAnsi="Times New Roman" w:cs="Times New Roman"/>
          <w:noProof w:val="0"/>
        </w:rPr>
        <w:t>Combined Heat and Power Plants (CHPPs)</w:t>
      </w:r>
      <w:r w:rsidR="0082007E" w:rsidRPr="00F07779">
        <w:rPr>
          <w:rFonts w:ascii="Times New Roman" w:hAnsi="Times New Roman" w:cs="Times New Roman"/>
          <w:noProof w:val="0"/>
        </w:rPr>
        <w:t>,</w:t>
      </w:r>
    </w:p>
    <w:p w14:paraId="428F22CE" w14:textId="568B79B2" w:rsidR="003D23F0" w:rsidRPr="00F07779" w:rsidRDefault="003D23F0" w:rsidP="00A91F67">
      <w:pPr>
        <w:pStyle w:val="ListParagraph"/>
        <w:numPr>
          <w:ilvl w:val="0"/>
          <w:numId w:val="16"/>
        </w:numPr>
        <w:snapToGrid w:val="0"/>
        <w:jc w:val="both"/>
        <w:rPr>
          <w:rFonts w:ascii="Times New Roman" w:hAnsi="Times New Roman" w:cs="Times New Roman"/>
          <w:noProof w:val="0"/>
        </w:rPr>
      </w:pPr>
      <w:r w:rsidRPr="00F07779">
        <w:rPr>
          <w:rFonts w:ascii="Times New Roman" w:hAnsi="Times New Roman" w:cs="Times New Roman"/>
          <w:noProof w:val="0"/>
        </w:rPr>
        <w:lastRenderedPageBreak/>
        <w:t>Industrial energy facilities (</w:t>
      </w:r>
      <w:proofErr w:type="spellStart"/>
      <w:r w:rsidRPr="00F07779">
        <w:rPr>
          <w:rFonts w:ascii="Times New Roman" w:hAnsi="Times New Roman" w:cs="Times New Roman"/>
          <w:noProof w:val="0"/>
        </w:rPr>
        <w:t>autoproducers</w:t>
      </w:r>
      <w:proofErr w:type="spellEnd"/>
      <w:r w:rsidRPr="00F07779">
        <w:rPr>
          <w:rFonts w:ascii="Times New Roman" w:hAnsi="Times New Roman" w:cs="Times New Roman"/>
          <w:noProof w:val="0"/>
        </w:rPr>
        <w:t xml:space="preserve">) primarily used </w:t>
      </w:r>
      <w:proofErr w:type="gramStart"/>
      <w:r w:rsidRPr="00F07779">
        <w:rPr>
          <w:rFonts w:ascii="Times New Roman" w:hAnsi="Times New Roman" w:cs="Times New Roman"/>
          <w:noProof w:val="0"/>
        </w:rPr>
        <w:t>for the production of</w:t>
      </w:r>
      <w:proofErr w:type="gramEnd"/>
      <w:r w:rsidRPr="00F07779">
        <w:rPr>
          <w:rFonts w:ascii="Times New Roman" w:hAnsi="Times New Roman" w:cs="Times New Roman"/>
          <w:noProof w:val="0"/>
        </w:rPr>
        <w:t xml:space="preserve"> heat energy for manufacturing processes and heating of workspaces within industrial enterprises.</w:t>
      </w:r>
    </w:p>
    <w:p w14:paraId="0822E1F4" w14:textId="77777777" w:rsidR="0082007E" w:rsidRPr="00F07779" w:rsidRDefault="0082007E" w:rsidP="003D23F0">
      <w:pPr>
        <w:snapToGrid w:val="0"/>
        <w:jc w:val="both"/>
      </w:pPr>
    </w:p>
    <w:p w14:paraId="083720C4" w14:textId="3FC8744F" w:rsidR="003D23F0" w:rsidRPr="00F07779" w:rsidRDefault="003D23F0" w:rsidP="003D23F0">
      <w:pPr>
        <w:snapToGrid w:val="0"/>
        <w:jc w:val="both"/>
      </w:pPr>
      <w:r w:rsidRPr="00F07779">
        <w:t>The planned measures for achieving strategic objectives, along with investment values and sources of financing, are presented in Table 5.2.1.</w:t>
      </w:r>
    </w:p>
    <w:p w14:paraId="45F0B035" w14:textId="77777777" w:rsidR="003D23F0" w:rsidRPr="00F07779" w:rsidRDefault="003D23F0" w:rsidP="003D23F0">
      <w:pPr>
        <w:snapToGrid w:val="0"/>
        <w:jc w:val="both"/>
      </w:pPr>
    </w:p>
    <w:p w14:paraId="3DA4B327" w14:textId="730952DC" w:rsidR="003D23F0" w:rsidRPr="00F07779" w:rsidRDefault="003D23F0" w:rsidP="003D23F0">
      <w:pPr>
        <w:snapToGrid w:val="0"/>
        <w:jc w:val="both"/>
      </w:pPr>
      <w:r w:rsidRPr="00F07779">
        <w:t>Table 5.2.2 presents the link between the adopted development objectives of the Heat Energy Sector and the proposed measures for achieving those goals, as well as the indicators for monitoring implementation, the indicator values in 2023, and the projected values for 2028.</w:t>
      </w:r>
    </w:p>
    <w:p w14:paraId="7A4138C2" w14:textId="77777777" w:rsidR="00555340" w:rsidRPr="00F07779" w:rsidRDefault="00555340" w:rsidP="00555340"/>
    <w:p w14:paraId="72E423A0" w14:textId="77777777" w:rsidR="009B0F49" w:rsidRPr="00F07779" w:rsidRDefault="009B0F49" w:rsidP="00A43D5B">
      <w:pPr>
        <w:jc w:val="both"/>
        <w:sectPr w:rsidR="009B0F49" w:rsidRPr="00F07779" w:rsidSect="005E4EAB">
          <w:footerReference w:type="even" r:id="rId13"/>
          <w:footerReference w:type="default" r:id="rId14"/>
          <w:pgSz w:w="11900" w:h="16840"/>
          <w:pgMar w:top="1134" w:right="1134" w:bottom="1134" w:left="1134" w:header="709" w:footer="709" w:gutter="907"/>
          <w:cols w:space="708"/>
          <w:titlePg/>
          <w:docGrid w:linePitch="360"/>
        </w:sectPr>
      </w:pPr>
    </w:p>
    <w:p w14:paraId="4EBB096E" w14:textId="77777777" w:rsidR="0082007E" w:rsidRPr="00F07779" w:rsidRDefault="0082007E" w:rsidP="00BE4E2C">
      <w:pPr>
        <w:jc w:val="both"/>
        <w:rPr>
          <w:sz w:val="20"/>
          <w:szCs w:val="20"/>
        </w:rPr>
      </w:pPr>
    </w:p>
    <w:p w14:paraId="25798DF6" w14:textId="100E1C94" w:rsidR="0082007E" w:rsidRPr="00F07779" w:rsidRDefault="0082007E" w:rsidP="0082007E">
      <w:pPr>
        <w:jc w:val="both"/>
      </w:pPr>
      <w:r w:rsidRPr="00F07779">
        <w:t xml:space="preserve">Table 5.2.1: Measures in the heating </w:t>
      </w:r>
      <w:r w:rsidR="0079399B" w:rsidRPr="00F07779">
        <w:t xml:space="preserve">energy </w:t>
      </w:r>
      <w:r w:rsidRPr="00F07779">
        <w:t>sector with investment values</w:t>
      </w:r>
    </w:p>
    <w:tbl>
      <w:tblPr>
        <w:tblStyle w:val="TableGrid"/>
        <w:tblW w:w="5000" w:type="pct"/>
        <w:tblLook w:val="04A0" w:firstRow="1" w:lastRow="0" w:firstColumn="1" w:lastColumn="0" w:noHBand="0" w:noVBand="1"/>
      </w:tblPr>
      <w:tblGrid>
        <w:gridCol w:w="2837"/>
        <w:gridCol w:w="728"/>
        <w:gridCol w:w="827"/>
        <w:gridCol w:w="1182"/>
        <w:gridCol w:w="1846"/>
        <w:gridCol w:w="2007"/>
        <w:gridCol w:w="1273"/>
        <w:gridCol w:w="1858"/>
        <w:gridCol w:w="2004"/>
      </w:tblGrid>
      <w:tr w:rsidR="0082007E" w:rsidRPr="00F07779" w14:paraId="088D3D14" w14:textId="77777777" w:rsidTr="0082007E">
        <w:tc>
          <w:tcPr>
            <w:tcW w:w="974" w:type="pct"/>
            <w:vMerge w:val="restart"/>
          </w:tcPr>
          <w:p w14:paraId="4347D8FB" w14:textId="053782DA" w:rsidR="0082007E" w:rsidRPr="00F07779" w:rsidRDefault="0082007E" w:rsidP="00615D2C">
            <w:pPr>
              <w:snapToGrid w:val="0"/>
              <w:jc w:val="both"/>
              <w:rPr>
                <w:sz w:val="20"/>
                <w:szCs w:val="20"/>
              </w:rPr>
            </w:pPr>
            <w:r w:rsidRPr="00F07779">
              <w:rPr>
                <w:sz w:val="20"/>
                <w:szCs w:val="20"/>
              </w:rPr>
              <w:t>Title</w:t>
            </w:r>
          </w:p>
        </w:tc>
        <w:tc>
          <w:tcPr>
            <w:tcW w:w="250" w:type="pct"/>
            <w:vMerge w:val="restart"/>
          </w:tcPr>
          <w:p w14:paraId="365BDB05" w14:textId="51E95BC0" w:rsidR="0082007E" w:rsidRPr="00F07779" w:rsidRDefault="0082007E" w:rsidP="00615D2C">
            <w:pPr>
              <w:snapToGrid w:val="0"/>
              <w:jc w:val="both"/>
              <w:rPr>
                <w:sz w:val="20"/>
                <w:szCs w:val="20"/>
              </w:rPr>
            </w:pPr>
            <w:r w:rsidRPr="00F07779">
              <w:rPr>
                <w:sz w:val="20"/>
                <w:szCs w:val="20"/>
              </w:rPr>
              <w:t>Type*</w:t>
            </w:r>
          </w:p>
        </w:tc>
        <w:tc>
          <w:tcPr>
            <w:tcW w:w="284" w:type="pct"/>
          </w:tcPr>
          <w:p w14:paraId="7CEE0D61" w14:textId="77777777" w:rsidR="0082007E" w:rsidRPr="00F07779" w:rsidRDefault="0082007E" w:rsidP="00615D2C">
            <w:pPr>
              <w:snapToGrid w:val="0"/>
              <w:jc w:val="both"/>
              <w:rPr>
                <w:sz w:val="20"/>
                <w:szCs w:val="20"/>
              </w:rPr>
            </w:pPr>
          </w:p>
        </w:tc>
        <w:tc>
          <w:tcPr>
            <w:tcW w:w="1728" w:type="pct"/>
            <w:gridSpan w:val="3"/>
          </w:tcPr>
          <w:p w14:paraId="538435C7" w14:textId="2369325C" w:rsidR="0082007E" w:rsidRPr="00F07779" w:rsidRDefault="0082007E" w:rsidP="00615D2C">
            <w:pPr>
              <w:snapToGrid w:val="0"/>
              <w:jc w:val="center"/>
              <w:rPr>
                <w:sz w:val="20"/>
                <w:szCs w:val="20"/>
              </w:rPr>
            </w:pPr>
            <w:r w:rsidRPr="00F07779">
              <w:rPr>
                <w:sz w:val="20"/>
                <w:szCs w:val="20"/>
              </w:rPr>
              <w:t>Investment value (thousand EUR)</w:t>
            </w:r>
          </w:p>
        </w:tc>
        <w:tc>
          <w:tcPr>
            <w:tcW w:w="1764" w:type="pct"/>
            <w:gridSpan w:val="3"/>
          </w:tcPr>
          <w:p w14:paraId="120FF095" w14:textId="2898D8A4" w:rsidR="0082007E" w:rsidRPr="00F07779" w:rsidRDefault="0082007E" w:rsidP="00615D2C">
            <w:pPr>
              <w:snapToGrid w:val="0"/>
              <w:jc w:val="center"/>
              <w:rPr>
                <w:sz w:val="20"/>
                <w:szCs w:val="20"/>
              </w:rPr>
            </w:pPr>
            <w:r w:rsidRPr="00F07779">
              <w:rPr>
                <w:sz w:val="20"/>
                <w:szCs w:val="20"/>
              </w:rPr>
              <w:t>Investment value (thousand RSD)</w:t>
            </w:r>
          </w:p>
        </w:tc>
      </w:tr>
      <w:tr w:rsidR="0082007E" w:rsidRPr="00F07779" w14:paraId="69039BDC" w14:textId="77777777" w:rsidTr="0082007E">
        <w:tc>
          <w:tcPr>
            <w:tcW w:w="974" w:type="pct"/>
            <w:vMerge/>
          </w:tcPr>
          <w:p w14:paraId="2D6CDD8B" w14:textId="77777777" w:rsidR="0082007E" w:rsidRPr="00F07779" w:rsidRDefault="0082007E" w:rsidP="00615D2C">
            <w:pPr>
              <w:snapToGrid w:val="0"/>
              <w:jc w:val="both"/>
              <w:rPr>
                <w:sz w:val="20"/>
                <w:szCs w:val="20"/>
              </w:rPr>
            </w:pPr>
          </w:p>
        </w:tc>
        <w:tc>
          <w:tcPr>
            <w:tcW w:w="250" w:type="pct"/>
            <w:vMerge/>
          </w:tcPr>
          <w:p w14:paraId="447BD697" w14:textId="77777777" w:rsidR="0082007E" w:rsidRPr="00F07779" w:rsidRDefault="0082007E" w:rsidP="00615D2C">
            <w:pPr>
              <w:snapToGrid w:val="0"/>
              <w:jc w:val="both"/>
              <w:rPr>
                <w:sz w:val="20"/>
                <w:szCs w:val="20"/>
              </w:rPr>
            </w:pPr>
          </w:p>
        </w:tc>
        <w:tc>
          <w:tcPr>
            <w:tcW w:w="284" w:type="pct"/>
          </w:tcPr>
          <w:p w14:paraId="5DE4486E" w14:textId="77777777" w:rsidR="0082007E" w:rsidRPr="00F07779" w:rsidRDefault="0082007E" w:rsidP="00615D2C">
            <w:pPr>
              <w:snapToGrid w:val="0"/>
              <w:jc w:val="both"/>
              <w:rPr>
                <w:sz w:val="20"/>
                <w:szCs w:val="20"/>
              </w:rPr>
            </w:pPr>
            <w:r w:rsidRPr="00F07779">
              <w:rPr>
                <w:sz w:val="20"/>
                <w:szCs w:val="20"/>
              </w:rPr>
              <w:t xml:space="preserve">Year </w:t>
            </w:r>
          </w:p>
        </w:tc>
        <w:tc>
          <w:tcPr>
            <w:tcW w:w="406" w:type="pct"/>
          </w:tcPr>
          <w:p w14:paraId="19BB7B2E" w14:textId="77777777" w:rsidR="0082007E" w:rsidRPr="00F07779" w:rsidRDefault="0082007E" w:rsidP="00615D2C">
            <w:pPr>
              <w:snapToGrid w:val="0"/>
              <w:jc w:val="both"/>
              <w:rPr>
                <w:sz w:val="20"/>
                <w:szCs w:val="20"/>
              </w:rPr>
            </w:pPr>
            <w:r w:rsidRPr="00F07779">
              <w:rPr>
                <w:sz w:val="20"/>
                <w:szCs w:val="20"/>
              </w:rPr>
              <w:t>Budget RS/LSG</w:t>
            </w:r>
          </w:p>
        </w:tc>
        <w:tc>
          <w:tcPr>
            <w:tcW w:w="634" w:type="pct"/>
          </w:tcPr>
          <w:p w14:paraId="487157AC" w14:textId="77777777" w:rsidR="0082007E" w:rsidRPr="00F07779" w:rsidRDefault="0082007E" w:rsidP="00615D2C">
            <w:pPr>
              <w:snapToGrid w:val="0"/>
              <w:jc w:val="both"/>
              <w:rPr>
                <w:sz w:val="20"/>
                <w:szCs w:val="20"/>
              </w:rPr>
            </w:pPr>
            <w:r w:rsidRPr="00F07779">
              <w:rPr>
                <w:sz w:val="20"/>
                <w:szCs w:val="20"/>
              </w:rPr>
              <w:t>Own funds</w:t>
            </w:r>
          </w:p>
        </w:tc>
        <w:tc>
          <w:tcPr>
            <w:tcW w:w="689" w:type="pct"/>
          </w:tcPr>
          <w:p w14:paraId="3F3D31A8" w14:textId="77777777" w:rsidR="0082007E" w:rsidRPr="00F07779" w:rsidRDefault="0082007E" w:rsidP="00615D2C">
            <w:pPr>
              <w:snapToGrid w:val="0"/>
              <w:jc w:val="both"/>
              <w:rPr>
                <w:sz w:val="20"/>
                <w:szCs w:val="20"/>
              </w:rPr>
            </w:pPr>
            <w:r w:rsidRPr="00F07779">
              <w:rPr>
                <w:sz w:val="20"/>
                <w:szCs w:val="20"/>
              </w:rPr>
              <w:t>Other sources</w:t>
            </w:r>
          </w:p>
        </w:tc>
        <w:tc>
          <w:tcPr>
            <w:tcW w:w="437" w:type="pct"/>
          </w:tcPr>
          <w:p w14:paraId="29A6E182" w14:textId="77777777" w:rsidR="0082007E" w:rsidRPr="00F07779" w:rsidRDefault="0082007E" w:rsidP="00615D2C">
            <w:pPr>
              <w:snapToGrid w:val="0"/>
              <w:jc w:val="both"/>
              <w:rPr>
                <w:sz w:val="20"/>
                <w:szCs w:val="20"/>
              </w:rPr>
            </w:pPr>
            <w:r w:rsidRPr="00F07779">
              <w:rPr>
                <w:sz w:val="20"/>
                <w:szCs w:val="20"/>
              </w:rPr>
              <w:t>Budget RS/LSG</w:t>
            </w:r>
          </w:p>
        </w:tc>
        <w:tc>
          <w:tcPr>
            <w:tcW w:w="638" w:type="pct"/>
          </w:tcPr>
          <w:p w14:paraId="02260C26" w14:textId="77777777" w:rsidR="0082007E" w:rsidRPr="00F07779" w:rsidRDefault="0082007E" w:rsidP="00615D2C">
            <w:pPr>
              <w:snapToGrid w:val="0"/>
              <w:jc w:val="both"/>
              <w:rPr>
                <w:sz w:val="20"/>
                <w:szCs w:val="20"/>
              </w:rPr>
            </w:pPr>
            <w:r w:rsidRPr="00F07779">
              <w:rPr>
                <w:sz w:val="20"/>
                <w:szCs w:val="20"/>
              </w:rPr>
              <w:t>Own funds</w:t>
            </w:r>
          </w:p>
        </w:tc>
        <w:tc>
          <w:tcPr>
            <w:tcW w:w="689" w:type="pct"/>
          </w:tcPr>
          <w:p w14:paraId="08ACD211" w14:textId="77777777" w:rsidR="0082007E" w:rsidRPr="00F07779" w:rsidRDefault="0082007E" w:rsidP="00615D2C">
            <w:pPr>
              <w:snapToGrid w:val="0"/>
              <w:jc w:val="both"/>
              <w:rPr>
                <w:sz w:val="20"/>
                <w:szCs w:val="20"/>
              </w:rPr>
            </w:pPr>
            <w:r w:rsidRPr="00F07779">
              <w:rPr>
                <w:sz w:val="20"/>
                <w:szCs w:val="20"/>
              </w:rPr>
              <w:t>Other sources</w:t>
            </w:r>
          </w:p>
        </w:tc>
      </w:tr>
      <w:tr w:rsidR="0082007E" w:rsidRPr="00F07779" w14:paraId="42E9F83F" w14:textId="77777777" w:rsidTr="0082007E">
        <w:trPr>
          <w:trHeight w:val="356"/>
        </w:trPr>
        <w:tc>
          <w:tcPr>
            <w:tcW w:w="974" w:type="pct"/>
            <w:vMerge w:val="restart"/>
            <w:tcBorders>
              <w:bottom w:val="single" w:sz="4" w:space="0" w:color="auto"/>
            </w:tcBorders>
          </w:tcPr>
          <w:p w14:paraId="4A7F34E8" w14:textId="65A161E6" w:rsidR="0082007E" w:rsidRPr="00F07779" w:rsidRDefault="0082007E" w:rsidP="00615D2C">
            <w:pPr>
              <w:snapToGrid w:val="0"/>
              <w:rPr>
                <w:sz w:val="20"/>
                <w:szCs w:val="20"/>
              </w:rPr>
            </w:pPr>
            <w:r w:rsidRPr="00F07779">
              <w:rPr>
                <w:sz w:val="20"/>
                <w:szCs w:val="20"/>
              </w:rPr>
              <w:t>T1 – Preventive maintenance, rehabilitation, and modernization of DHS</w:t>
            </w:r>
          </w:p>
        </w:tc>
        <w:tc>
          <w:tcPr>
            <w:tcW w:w="250" w:type="pct"/>
            <w:vMerge w:val="restart"/>
            <w:tcBorders>
              <w:bottom w:val="single" w:sz="4" w:space="0" w:color="auto"/>
            </w:tcBorders>
            <w:vAlign w:val="center"/>
          </w:tcPr>
          <w:p w14:paraId="0D1D8BB7" w14:textId="77777777" w:rsidR="0082007E" w:rsidRPr="00F07779" w:rsidRDefault="0082007E" w:rsidP="00615D2C">
            <w:pPr>
              <w:snapToGrid w:val="0"/>
              <w:jc w:val="center"/>
              <w:rPr>
                <w:sz w:val="20"/>
                <w:szCs w:val="20"/>
              </w:rPr>
            </w:pPr>
            <w:r w:rsidRPr="00F07779">
              <w:rPr>
                <w:sz w:val="20"/>
                <w:szCs w:val="20"/>
              </w:rPr>
              <w:t>Inv</w:t>
            </w:r>
          </w:p>
        </w:tc>
        <w:tc>
          <w:tcPr>
            <w:tcW w:w="284" w:type="pct"/>
            <w:tcBorders>
              <w:bottom w:val="single" w:sz="4" w:space="0" w:color="auto"/>
            </w:tcBorders>
            <w:vAlign w:val="center"/>
          </w:tcPr>
          <w:p w14:paraId="4185A061" w14:textId="77777777" w:rsidR="0082007E" w:rsidRPr="00F07779" w:rsidRDefault="0082007E" w:rsidP="00615D2C">
            <w:pPr>
              <w:snapToGrid w:val="0"/>
              <w:jc w:val="center"/>
              <w:rPr>
                <w:sz w:val="20"/>
                <w:szCs w:val="20"/>
              </w:rPr>
            </w:pPr>
            <w:r w:rsidRPr="00F07779">
              <w:rPr>
                <w:sz w:val="20"/>
                <w:szCs w:val="20"/>
              </w:rPr>
              <w:t>2026.</w:t>
            </w:r>
          </w:p>
        </w:tc>
        <w:tc>
          <w:tcPr>
            <w:tcW w:w="406" w:type="pct"/>
            <w:tcBorders>
              <w:bottom w:val="single" w:sz="4" w:space="0" w:color="auto"/>
            </w:tcBorders>
            <w:vAlign w:val="center"/>
          </w:tcPr>
          <w:p w14:paraId="3E668C38" w14:textId="77777777" w:rsidR="0082007E" w:rsidRPr="00F07779" w:rsidRDefault="0082007E" w:rsidP="00615D2C">
            <w:pPr>
              <w:snapToGrid w:val="0"/>
              <w:jc w:val="center"/>
              <w:rPr>
                <w:sz w:val="20"/>
                <w:szCs w:val="20"/>
              </w:rPr>
            </w:pPr>
          </w:p>
        </w:tc>
        <w:tc>
          <w:tcPr>
            <w:tcW w:w="634" w:type="pct"/>
            <w:tcBorders>
              <w:bottom w:val="single" w:sz="4" w:space="0" w:color="auto"/>
            </w:tcBorders>
            <w:vAlign w:val="center"/>
          </w:tcPr>
          <w:p w14:paraId="7F1E1828" w14:textId="77777777" w:rsidR="0082007E" w:rsidRPr="00F07779" w:rsidRDefault="0082007E" w:rsidP="00615D2C">
            <w:pPr>
              <w:snapToGrid w:val="0"/>
              <w:jc w:val="center"/>
              <w:rPr>
                <w:sz w:val="20"/>
                <w:szCs w:val="20"/>
              </w:rPr>
            </w:pPr>
          </w:p>
        </w:tc>
        <w:tc>
          <w:tcPr>
            <w:tcW w:w="689" w:type="pct"/>
            <w:vMerge w:val="restart"/>
            <w:tcBorders>
              <w:bottom w:val="single" w:sz="4" w:space="0" w:color="auto"/>
            </w:tcBorders>
            <w:vAlign w:val="center"/>
          </w:tcPr>
          <w:p w14:paraId="4091B23D" w14:textId="77777777" w:rsidR="0082007E" w:rsidRPr="00F07779" w:rsidRDefault="0082007E" w:rsidP="00615D2C">
            <w:pPr>
              <w:snapToGrid w:val="0"/>
              <w:jc w:val="center"/>
              <w:rPr>
                <w:sz w:val="20"/>
                <w:szCs w:val="20"/>
              </w:rPr>
            </w:pPr>
            <w:r w:rsidRPr="00F07779">
              <w:rPr>
                <w:sz w:val="20"/>
                <w:szCs w:val="20"/>
              </w:rPr>
              <w:t>72,690.0</w:t>
            </w:r>
          </w:p>
        </w:tc>
        <w:tc>
          <w:tcPr>
            <w:tcW w:w="437" w:type="pct"/>
            <w:tcBorders>
              <w:bottom w:val="single" w:sz="4" w:space="0" w:color="auto"/>
            </w:tcBorders>
            <w:vAlign w:val="center"/>
          </w:tcPr>
          <w:p w14:paraId="306FA3CE" w14:textId="77777777" w:rsidR="0082007E" w:rsidRPr="00F07779" w:rsidRDefault="0082007E" w:rsidP="00615D2C">
            <w:pPr>
              <w:snapToGrid w:val="0"/>
              <w:jc w:val="center"/>
              <w:rPr>
                <w:sz w:val="20"/>
                <w:szCs w:val="20"/>
              </w:rPr>
            </w:pPr>
          </w:p>
        </w:tc>
        <w:tc>
          <w:tcPr>
            <w:tcW w:w="638" w:type="pct"/>
            <w:tcBorders>
              <w:bottom w:val="single" w:sz="4" w:space="0" w:color="auto"/>
            </w:tcBorders>
            <w:vAlign w:val="center"/>
          </w:tcPr>
          <w:p w14:paraId="45EBE0EA" w14:textId="77777777" w:rsidR="0082007E" w:rsidRPr="00F07779" w:rsidRDefault="0082007E" w:rsidP="00615D2C">
            <w:pPr>
              <w:snapToGrid w:val="0"/>
              <w:jc w:val="center"/>
              <w:rPr>
                <w:sz w:val="20"/>
                <w:szCs w:val="20"/>
              </w:rPr>
            </w:pPr>
          </w:p>
        </w:tc>
        <w:tc>
          <w:tcPr>
            <w:tcW w:w="689" w:type="pct"/>
            <w:vMerge w:val="restart"/>
            <w:tcBorders>
              <w:bottom w:val="single" w:sz="4" w:space="0" w:color="auto"/>
            </w:tcBorders>
            <w:vAlign w:val="center"/>
          </w:tcPr>
          <w:p w14:paraId="05204B00" w14:textId="77777777" w:rsidR="0082007E" w:rsidRPr="00F07779" w:rsidRDefault="0082007E" w:rsidP="00615D2C">
            <w:pPr>
              <w:snapToGrid w:val="0"/>
              <w:jc w:val="center"/>
              <w:rPr>
                <w:sz w:val="20"/>
                <w:szCs w:val="20"/>
              </w:rPr>
            </w:pPr>
            <w:r w:rsidRPr="00F07779">
              <w:rPr>
                <w:sz w:val="20"/>
                <w:szCs w:val="20"/>
              </w:rPr>
              <w:t>8,522,903</w:t>
            </w:r>
          </w:p>
        </w:tc>
      </w:tr>
      <w:tr w:rsidR="0082007E" w:rsidRPr="00F07779" w14:paraId="5ACB3984" w14:textId="77777777" w:rsidTr="0082007E">
        <w:trPr>
          <w:trHeight w:val="171"/>
        </w:trPr>
        <w:tc>
          <w:tcPr>
            <w:tcW w:w="974" w:type="pct"/>
            <w:vMerge/>
          </w:tcPr>
          <w:p w14:paraId="24E55A09" w14:textId="77777777" w:rsidR="0082007E" w:rsidRPr="00F07779" w:rsidRDefault="0082007E" w:rsidP="00615D2C">
            <w:pPr>
              <w:snapToGrid w:val="0"/>
              <w:rPr>
                <w:sz w:val="20"/>
                <w:szCs w:val="20"/>
              </w:rPr>
            </w:pPr>
          </w:p>
        </w:tc>
        <w:tc>
          <w:tcPr>
            <w:tcW w:w="250" w:type="pct"/>
            <w:vMerge/>
            <w:vAlign w:val="center"/>
          </w:tcPr>
          <w:p w14:paraId="0DBBDA3F" w14:textId="77777777" w:rsidR="0082007E" w:rsidRPr="00F07779" w:rsidRDefault="0082007E" w:rsidP="00615D2C">
            <w:pPr>
              <w:snapToGrid w:val="0"/>
              <w:jc w:val="center"/>
              <w:rPr>
                <w:sz w:val="20"/>
                <w:szCs w:val="20"/>
              </w:rPr>
            </w:pPr>
          </w:p>
        </w:tc>
        <w:tc>
          <w:tcPr>
            <w:tcW w:w="284" w:type="pct"/>
            <w:vAlign w:val="center"/>
          </w:tcPr>
          <w:p w14:paraId="7AB06798" w14:textId="77777777" w:rsidR="0082007E" w:rsidRPr="00F07779" w:rsidRDefault="0082007E" w:rsidP="00615D2C">
            <w:pPr>
              <w:snapToGrid w:val="0"/>
              <w:jc w:val="center"/>
              <w:rPr>
                <w:sz w:val="20"/>
                <w:szCs w:val="20"/>
              </w:rPr>
            </w:pPr>
            <w:r w:rsidRPr="00F07779">
              <w:rPr>
                <w:sz w:val="20"/>
                <w:szCs w:val="20"/>
              </w:rPr>
              <w:t>2027.</w:t>
            </w:r>
          </w:p>
        </w:tc>
        <w:tc>
          <w:tcPr>
            <w:tcW w:w="406" w:type="pct"/>
            <w:vAlign w:val="center"/>
          </w:tcPr>
          <w:p w14:paraId="5C8321B6" w14:textId="77777777" w:rsidR="0082007E" w:rsidRPr="00F07779" w:rsidRDefault="0082007E" w:rsidP="00615D2C">
            <w:pPr>
              <w:snapToGrid w:val="0"/>
              <w:jc w:val="center"/>
              <w:rPr>
                <w:sz w:val="20"/>
                <w:szCs w:val="20"/>
              </w:rPr>
            </w:pPr>
          </w:p>
        </w:tc>
        <w:tc>
          <w:tcPr>
            <w:tcW w:w="634" w:type="pct"/>
            <w:vAlign w:val="center"/>
          </w:tcPr>
          <w:p w14:paraId="2DB127BF" w14:textId="77777777" w:rsidR="0082007E" w:rsidRPr="00F07779" w:rsidRDefault="0082007E" w:rsidP="00615D2C">
            <w:pPr>
              <w:snapToGrid w:val="0"/>
              <w:jc w:val="center"/>
              <w:rPr>
                <w:sz w:val="20"/>
                <w:szCs w:val="20"/>
              </w:rPr>
            </w:pPr>
          </w:p>
        </w:tc>
        <w:tc>
          <w:tcPr>
            <w:tcW w:w="689" w:type="pct"/>
            <w:vMerge/>
            <w:vAlign w:val="center"/>
          </w:tcPr>
          <w:p w14:paraId="004EA20F" w14:textId="77777777" w:rsidR="0082007E" w:rsidRPr="00F07779" w:rsidRDefault="0082007E" w:rsidP="00615D2C">
            <w:pPr>
              <w:snapToGrid w:val="0"/>
              <w:jc w:val="center"/>
              <w:rPr>
                <w:sz w:val="20"/>
                <w:szCs w:val="20"/>
              </w:rPr>
            </w:pPr>
          </w:p>
        </w:tc>
        <w:tc>
          <w:tcPr>
            <w:tcW w:w="437" w:type="pct"/>
            <w:vAlign w:val="center"/>
          </w:tcPr>
          <w:p w14:paraId="63ABBA7E" w14:textId="77777777" w:rsidR="0082007E" w:rsidRPr="00F07779" w:rsidRDefault="0082007E" w:rsidP="00615D2C">
            <w:pPr>
              <w:snapToGrid w:val="0"/>
              <w:jc w:val="center"/>
              <w:rPr>
                <w:sz w:val="20"/>
                <w:szCs w:val="20"/>
              </w:rPr>
            </w:pPr>
          </w:p>
        </w:tc>
        <w:tc>
          <w:tcPr>
            <w:tcW w:w="638" w:type="pct"/>
            <w:vAlign w:val="center"/>
          </w:tcPr>
          <w:p w14:paraId="4E1E5196" w14:textId="77777777" w:rsidR="0082007E" w:rsidRPr="00F07779" w:rsidRDefault="0082007E" w:rsidP="00615D2C">
            <w:pPr>
              <w:snapToGrid w:val="0"/>
              <w:jc w:val="center"/>
              <w:rPr>
                <w:sz w:val="20"/>
                <w:szCs w:val="20"/>
              </w:rPr>
            </w:pPr>
          </w:p>
        </w:tc>
        <w:tc>
          <w:tcPr>
            <w:tcW w:w="689" w:type="pct"/>
            <w:vMerge/>
            <w:vAlign w:val="center"/>
          </w:tcPr>
          <w:p w14:paraId="7C2CB93C" w14:textId="77777777" w:rsidR="0082007E" w:rsidRPr="00F07779" w:rsidRDefault="0082007E" w:rsidP="00615D2C">
            <w:pPr>
              <w:snapToGrid w:val="0"/>
              <w:jc w:val="center"/>
              <w:rPr>
                <w:sz w:val="20"/>
                <w:szCs w:val="20"/>
              </w:rPr>
            </w:pPr>
          </w:p>
        </w:tc>
      </w:tr>
      <w:tr w:rsidR="0082007E" w:rsidRPr="00F07779" w14:paraId="041DDF44" w14:textId="77777777" w:rsidTr="0082007E">
        <w:trPr>
          <w:trHeight w:val="171"/>
        </w:trPr>
        <w:tc>
          <w:tcPr>
            <w:tcW w:w="974" w:type="pct"/>
            <w:vMerge/>
          </w:tcPr>
          <w:p w14:paraId="416A6D6C" w14:textId="77777777" w:rsidR="0082007E" w:rsidRPr="00F07779" w:rsidRDefault="0082007E" w:rsidP="00615D2C">
            <w:pPr>
              <w:snapToGrid w:val="0"/>
              <w:rPr>
                <w:sz w:val="20"/>
                <w:szCs w:val="20"/>
              </w:rPr>
            </w:pPr>
          </w:p>
        </w:tc>
        <w:tc>
          <w:tcPr>
            <w:tcW w:w="250" w:type="pct"/>
            <w:vMerge/>
            <w:vAlign w:val="center"/>
          </w:tcPr>
          <w:p w14:paraId="2AF4945D" w14:textId="77777777" w:rsidR="0082007E" w:rsidRPr="00F07779" w:rsidRDefault="0082007E" w:rsidP="00615D2C">
            <w:pPr>
              <w:snapToGrid w:val="0"/>
              <w:jc w:val="center"/>
              <w:rPr>
                <w:sz w:val="20"/>
                <w:szCs w:val="20"/>
              </w:rPr>
            </w:pPr>
          </w:p>
        </w:tc>
        <w:tc>
          <w:tcPr>
            <w:tcW w:w="284" w:type="pct"/>
            <w:vAlign w:val="center"/>
          </w:tcPr>
          <w:p w14:paraId="03EC7C3F" w14:textId="77777777" w:rsidR="0082007E" w:rsidRPr="00F07779" w:rsidRDefault="0082007E" w:rsidP="00615D2C">
            <w:pPr>
              <w:snapToGrid w:val="0"/>
              <w:jc w:val="center"/>
              <w:rPr>
                <w:sz w:val="20"/>
                <w:szCs w:val="20"/>
              </w:rPr>
            </w:pPr>
            <w:r w:rsidRPr="00F07779">
              <w:rPr>
                <w:sz w:val="20"/>
                <w:szCs w:val="20"/>
              </w:rPr>
              <w:t>2028.</w:t>
            </w:r>
          </w:p>
        </w:tc>
        <w:tc>
          <w:tcPr>
            <w:tcW w:w="406" w:type="pct"/>
            <w:vAlign w:val="center"/>
          </w:tcPr>
          <w:p w14:paraId="226722CD" w14:textId="77777777" w:rsidR="0082007E" w:rsidRPr="00F07779" w:rsidRDefault="0082007E" w:rsidP="00615D2C">
            <w:pPr>
              <w:snapToGrid w:val="0"/>
              <w:jc w:val="center"/>
              <w:rPr>
                <w:sz w:val="20"/>
                <w:szCs w:val="20"/>
              </w:rPr>
            </w:pPr>
          </w:p>
        </w:tc>
        <w:tc>
          <w:tcPr>
            <w:tcW w:w="634" w:type="pct"/>
            <w:vAlign w:val="center"/>
          </w:tcPr>
          <w:p w14:paraId="69AEE8DD" w14:textId="77777777" w:rsidR="0082007E" w:rsidRPr="00F07779" w:rsidRDefault="0082007E" w:rsidP="00615D2C">
            <w:pPr>
              <w:snapToGrid w:val="0"/>
              <w:jc w:val="center"/>
              <w:rPr>
                <w:sz w:val="20"/>
                <w:szCs w:val="20"/>
              </w:rPr>
            </w:pPr>
          </w:p>
        </w:tc>
        <w:tc>
          <w:tcPr>
            <w:tcW w:w="689" w:type="pct"/>
            <w:vAlign w:val="center"/>
          </w:tcPr>
          <w:p w14:paraId="762850AE" w14:textId="77777777" w:rsidR="0082007E" w:rsidRPr="00F07779" w:rsidRDefault="0082007E" w:rsidP="00615D2C">
            <w:pPr>
              <w:snapToGrid w:val="0"/>
              <w:jc w:val="center"/>
              <w:rPr>
                <w:sz w:val="20"/>
                <w:szCs w:val="20"/>
              </w:rPr>
            </w:pPr>
          </w:p>
        </w:tc>
        <w:tc>
          <w:tcPr>
            <w:tcW w:w="437" w:type="pct"/>
            <w:vAlign w:val="center"/>
          </w:tcPr>
          <w:p w14:paraId="03AC20B8" w14:textId="77777777" w:rsidR="0082007E" w:rsidRPr="00F07779" w:rsidRDefault="0082007E" w:rsidP="00615D2C">
            <w:pPr>
              <w:snapToGrid w:val="0"/>
              <w:jc w:val="center"/>
              <w:rPr>
                <w:sz w:val="20"/>
                <w:szCs w:val="20"/>
              </w:rPr>
            </w:pPr>
          </w:p>
        </w:tc>
        <w:tc>
          <w:tcPr>
            <w:tcW w:w="638" w:type="pct"/>
            <w:vAlign w:val="center"/>
          </w:tcPr>
          <w:p w14:paraId="7D6FEFE8" w14:textId="77777777" w:rsidR="0082007E" w:rsidRPr="00F07779" w:rsidRDefault="0082007E" w:rsidP="00615D2C">
            <w:pPr>
              <w:snapToGrid w:val="0"/>
              <w:jc w:val="center"/>
              <w:rPr>
                <w:sz w:val="20"/>
                <w:szCs w:val="20"/>
              </w:rPr>
            </w:pPr>
          </w:p>
        </w:tc>
        <w:tc>
          <w:tcPr>
            <w:tcW w:w="689" w:type="pct"/>
            <w:vAlign w:val="center"/>
          </w:tcPr>
          <w:p w14:paraId="4A5398E8" w14:textId="77777777" w:rsidR="0082007E" w:rsidRPr="00F07779" w:rsidRDefault="0082007E" w:rsidP="00615D2C">
            <w:pPr>
              <w:snapToGrid w:val="0"/>
              <w:jc w:val="center"/>
              <w:rPr>
                <w:sz w:val="20"/>
                <w:szCs w:val="20"/>
              </w:rPr>
            </w:pPr>
          </w:p>
        </w:tc>
      </w:tr>
      <w:tr w:rsidR="0082007E" w:rsidRPr="00F07779" w14:paraId="19EB7B6B" w14:textId="77777777" w:rsidTr="0082007E">
        <w:trPr>
          <w:trHeight w:val="188"/>
        </w:trPr>
        <w:tc>
          <w:tcPr>
            <w:tcW w:w="974" w:type="pct"/>
            <w:vMerge w:val="restart"/>
          </w:tcPr>
          <w:p w14:paraId="090AE529" w14:textId="4ED074A1" w:rsidR="0082007E" w:rsidRPr="00F07779" w:rsidRDefault="0082007E" w:rsidP="00615D2C">
            <w:pPr>
              <w:snapToGrid w:val="0"/>
              <w:rPr>
                <w:sz w:val="20"/>
                <w:szCs w:val="20"/>
              </w:rPr>
            </w:pPr>
            <w:r w:rsidRPr="00F07779">
              <w:rPr>
                <w:sz w:val="20"/>
                <w:szCs w:val="20"/>
              </w:rPr>
              <w:t>T2 – Use of heat pumps, phase-out of coal and oil derivatives, use of heat accumulators, subsidies and grants</w:t>
            </w:r>
          </w:p>
        </w:tc>
        <w:tc>
          <w:tcPr>
            <w:tcW w:w="250" w:type="pct"/>
            <w:vMerge w:val="restart"/>
            <w:vAlign w:val="center"/>
          </w:tcPr>
          <w:p w14:paraId="020604E1" w14:textId="77777777" w:rsidR="0082007E" w:rsidRPr="00F07779" w:rsidRDefault="0082007E" w:rsidP="00615D2C">
            <w:pPr>
              <w:snapToGrid w:val="0"/>
              <w:jc w:val="center"/>
              <w:rPr>
                <w:b/>
                <w:bCs/>
                <w:sz w:val="20"/>
                <w:szCs w:val="20"/>
              </w:rPr>
            </w:pPr>
            <w:r w:rsidRPr="00F07779">
              <w:rPr>
                <w:sz w:val="20"/>
                <w:szCs w:val="20"/>
              </w:rPr>
              <w:t>Inv</w:t>
            </w:r>
          </w:p>
        </w:tc>
        <w:tc>
          <w:tcPr>
            <w:tcW w:w="284" w:type="pct"/>
            <w:vAlign w:val="center"/>
          </w:tcPr>
          <w:p w14:paraId="3BF5DAF2" w14:textId="77777777" w:rsidR="0082007E" w:rsidRPr="00F07779" w:rsidRDefault="0082007E" w:rsidP="00615D2C">
            <w:pPr>
              <w:snapToGrid w:val="0"/>
              <w:jc w:val="center"/>
              <w:rPr>
                <w:sz w:val="20"/>
                <w:szCs w:val="20"/>
              </w:rPr>
            </w:pPr>
            <w:r w:rsidRPr="00F07779">
              <w:rPr>
                <w:sz w:val="20"/>
                <w:szCs w:val="20"/>
              </w:rPr>
              <w:t>2026.</w:t>
            </w:r>
          </w:p>
        </w:tc>
        <w:tc>
          <w:tcPr>
            <w:tcW w:w="406" w:type="pct"/>
            <w:vAlign w:val="center"/>
          </w:tcPr>
          <w:p w14:paraId="61DD3A06" w14:textId="77777777" w:rsidR="0082007E" w:rsidRPr="00F07779" w:rsidRDefault="0082007E" w:rsidP="00615D2C">
            <w:pPr>
              <w:snapToGrid w:val="0"/>
              <w:jc w:val="center"/>
              <w:rPr>
                <w:sz w:val="20"/>
                <w:szCs w:val="20"/>
              </w:rPr>
            </w:pPr>
          </w:p>
        </w:tc>
        <w:tc>
          <w:tcPr>
            <w:tcW w:w="634" w:type="pct"/>
            <w:vAlign w:val="center"/>
          </w:tcPr>
          <w:p w14:paraId="7F07ED4A" w14:textId="77777777" w:rsidR="0082007E" w:rsidRPr="00F07779" w:rsidRDefault="0082007E" w:rsidP="00615D2C">
            <w:pPr>
              <w:snapToGrid w:val="0"/>
              <w:jc w:val="center"/>
              <w:rPr>
                <w:sz w:val="20"/>
                <w:szCs w:val="20"/>
              </w:rPr>
            </w:pPr>
          </w:p>
        </w:tc>
        <w:tc>
          <w:tcPr>
            <w:tcW w:w="689" w:type="pct"/>
            <w:vAlign w:val="center"/>
          </w:tcPr>
          <w:p w14:paraId="6E272C69" w14:textId="77777777" w:rsidR="0082007E" w:rsidRPr="00F07779" w:rsidRDefault="0082007E" w:rsidP="00615D2C">
            <w:pPr>
              <w:snapToGrid w:val="0"/>
              <w:jc w:val="center"/>
              <w:rPr>
                <w:sz w:val="20"/>
                <w:szCs w:val="20"/>
              </w:rPr>
            </w:pPr>
            <w:r w:rsidRPr="00F07779">
              <w:rPr>
                <w:sz w:val="20"/>
                <w:szCs w:val="20"/>
              </w:rPr>
              <w:t>51,130.00</w:t>
            </w:r>
          </w:p>
        </w:tc>
        <w:tc>
          <w:tcPr>
            <w:tcW w:w="437" w:type="pct"/>
            <w:vAlign w:val="center"/>
          </w:tcPr>
          <w:p w14:paraId="6FDFB400" w14:textId="77777777" w:rsidR="0082007E" w:rsidRPr="00F07779" w:rsidRDefault="0082007E" w:rsidP="00615D2C">
            <w:pPr>
              <w:snapToGrid w:val="0"/>
              <w:jc w:val="center"/>
              <w:rPr>
                <w:sz w:val="20"/>
                <w:szCs w:val="20"/>
              </w:rPr>
            </w:pPr>
          </w:p>
        </w:tc>
        <w:tc>
          <w:tcPr>
            <w:tcW w:w="638" w:type="pct"/>
            <w:vAlign w:val="center"/>
          </w:tcPr>
          <w:p w14:paraId="74094794" w14:textId="77777777" w:rsidR="0082007E" w:rsidRPr="00F07779" w:rsidRDefault="0082007E" w:rsidP="00615D2C">
            <w:pPr>
              <w:snapToGrid w:val="0"/>
              <w:jc w:val="center"/>
              <w:rPr>
                <w:sz w:val="20"/>
                <w:szCs w:val="20"/>
              </w:rPr>
            </w:pPr>
          </w:p>
        </w:tc>
        <w:tc>
          <w:tcPr>
            <w:tcW w:w="689" w:type="pct"/>
            <w:vAlign w:val="center"/>
          </w:tcPr>
          <w:p w14:paraId="230BE20B" w14:textId="77777777" w:rsidR="0082007E" w:rsidRPr="00F07779" w:rsidRDefault="0082007E" w:rsidP="00615D2C">
            <w:pPr>
              <w:snapToGrid w:val="0"/>
              <w:jc w:val="center"/>
              <w:rPr>
                <w:sz w:val="20"/>
                <w:szCs w:val="20"/>
              </w:rPr>
            </w:pPr>
            <w:r w:rsidRPr="00F07779">
              <w:rPr>
                <w:sz w:val="20"/>
                <w:szCs w:val="20"/>
              </w:rPr>
              <w:t>5,994,993</w:t>
            </w:r>
          </w:p>
        </w:tc>
      </w:tr>
      <w:tr w:rsidR="0082007E" w:rsidRPr="00F07779" w14:paraId="0A9D90E4" w14:textId="77777777" w:rsidTr="0082007E">
        <w:trPr>
          <w:trHeight w:val="92"/>
        </w:trPr>
        <w:tc>
          <w:tcPr>
            <w:tcW w:w="974" w:type="pct"/>
            <w:vMerge/>
          </w:tcPr>
          <w:p w14:paraId="79EA6CEB" w14:textId="77777777" w:rsidR="0082007E" w:rsidRPr="00F07779" w:rsidRDefault="0082007E" w:rsidP="00615D2C">
            <w:pPr>
              <w:snapToGrid w:val="0"/>
              <w:rPr>
                <w:sz w:val="20"/>
                <w:szCs w:val="20"/>
              </w:rPr>
            </w:pPr>
          </w:p>
        </w:tc>
        <w:tc>
          <w:tcPr>
            <w:tcW w:w="250" w:type="pct"/>
            <w:vMerge/>
            <w:vAlign w:val="center"/>
          </w:tcPr>
          <w:p w14:paraId="3161644A" w14:textId="77777777" w:rsidR="0082007E" w:rsidRPr="00F07779" w:rsidRDefault="0082007E" w:rsidP="00615D2C">
            <w:pPr>
              <w:snapToGrid w:val="0"/>
              <w:jc w:val="center"/>
              <w:rPr>
                <w:sz w:val="20"/>
                <w:szCs w:val="20"/>
              </w:rPr>
            </w:pPr>
          </w:p>
        </w:tc>
        <w:tc>
          <w:tcPr>
            <w:tcW w:w="284" w:type="pct"/>
            <w:vAlign w:val="center"/>
          </w:tcPr>
          <w:p w14:paraId="00513A89" w14:textId="77777777" w:rsidR="0082007E" w:rsidRPr="00F07779" w:rsidRDefault="0082007E" w:rsidP="00615D2C">
            <w:pPr>
              <w:snapToGrid w:val="0"/>
              <w:jc w:val="center"/>
              <w:rPr>
                <w:sz w:val="20"/>
                <w:szCs w:val="20"/>
              </w:rPr>
            </w:pPr>
            <w:r w:rsidRPr="00F07779">
              <w:rPr>
                <w:sz w:val="20"/>
                <w:szCs w:val="20"/>
              </w:rPr>
              <w:t>2027.</w:t>
            </w:r>
          </w:p>
        </w:tc>
        <w:tc>
          <w:tcPr>
            <w:tcW w:w="406" w:type="pct"/>
            <w:vAlign w:val="center"/>
          </w:tcPr>
          <w:p w14:paraId="473F5078" w14:textId="77777777" w:rsidR="0082007E" w:rsidRPr="00F07779" w:rsidRDefault="0082007E" w:rsidP="00615D2C">
            <w:pPr>
              <w:snapToGrid w:val="0"/>
              <w:jc w:val="center"/>
              <w:rPr>
                <w:sz w:val="20"/>
                <w:szCs w:val="20"/>
              </w:rPr>
            </w:pPr>
          </w:p>
        </w:tc>
        <w:tc>
          <w:tcPr>
            <w:tcW w:w="634" w:type="pct"/>
            <w:vAlign w:val="center"/>
          </w:tcPr>
          <w:p w14:paraId="62FED5FF" w14:textId="77777777" w:rsidR="0082007E" w:rsidRPr="00F07779" w:rsidRDefault="0082007E" w:rsidP="00615D2C">
            <w:pPr>
              <w:snapToGrid w:val="0"/>
              <w:jc w:val="center"/>
              <w:rPr>
                <w:sz w:val="20"/>
                <w:szCs w:val="20"/>
              </w:rPr>
            </w:pPr>
          </w:p>
        </w:tc>
        <w:tc>
          <w:tcPr>
            <w:tcW w:w="689" w:type="pct"/>
            <w:vAlign w:val="center"/>
          </w:tcPr>
          <w:p w14:paraId="65648E05" w14:textId="77777777" w:rsidR="0082007E" w:rsidRPr="00F07779" w:rsidRDefault="0082007E" w:rsidP="00615D2C">
            <w:pPr>
              <w:snapToGrid w:val="0"/>
              <w:jc w:val="center"/>
              <w:rPr>
                <w:sz w:val="20"/>
                <w:szCs w:val="20"/>
              </w:rPr>
            </w:pPr>
            <w:r w:rsidRPr="00F07779">
              <w:rPr>
                <w:sz w:val="20"/>
                <w:szCs w:val="20"/>
              </w:rPr>
              <w:t>85,258.00</w:t>
            </w:r>
          </w:p>
        </w:tc>
        <w:tc>
          <w:tcPr>
            <w:tcW w:w="437" w:type="pct"/>
            <w:vAlign w:val="center"/>
          </w:tcPr>
          <w:p w14:paraId="5DA955B8" w14:textId="77777777" w:rsidR="0082007E" w:rsidRPr="00F07779" w:rsidRDefault="0082007E" w:rsidP="00615D2C">
            <w:pPr>
              <w:snapToGrid w:val="0"/>
              <w:jc w:val="center"/>
              <w:rPr>
                <w:sz w:val="20"/>
                <w:szCs w:val="20"/>
              </w:rPr>
            </w:pPr>
          </w:p>
        </w:tc>
        <w:tc>
          <w:tcPr>
            <w:tcW w:w="638" w:type="pct"/>
            <w:vAlign w:val="center"/>
          </w:tcPr>
          <w:p w14:paraId="444A5001" w14:textId="77777777" w:rsidR="0082007E" w:rsidRPr="00F07779" w:rsidRDefault="0082007E" w:rsidP="00615D2C">
            <w:pPr>
              <w:snapToGrid w:val="0"/>
              <w:jc w:val="center"/>
              <w:rPr>
                <w:sz w:val="20"/>
                <w:szCs w:val="20"/>
              </w:rPr>
            </w:pPr>
          </w:p>
        </w:tc>
        <w:tc>
          <w:tcPr>
            <w:tcW w:w="689" w:type="pct"/>
            <w:vAlign w:val="center"/>
          </w:tcPr>
          <w:p w14:paraId="71EC203C" w14:textId="77777777" w:rsidR="0082007E" w:rsidRPr="00F07779" w:rsidRDefault="0082007E" w:rsidP="00615D2C">
            <w:pPr>
              <w:snapToGrid w:val="0"/>
              <w:jc w:val="center"/>
              <w:rPr>
                <w:sz w:val="20"/>
                <w:szCs w:val="20"/>
              </w:rPr>
            </w:pPr>
            <w:r w:rsidRPr="00F07779">
              <w:rPr>
                <w:sz w:val="20"/>
                <w:szCs w:val="20"/>
              </w:rPr>
              <w:t>9,996,500</w:t>
            </w:r>
          </w:p>
        </w:tc>
      </w:tr>
      <w:tr w:rsidR="0082007E" w:rsidRPr="00F07779" w14:paraId="5ECA1821" w14:textId="77777777" w:rsidTr="0082007E">
        <w:trPr>
          <w:trHeight w:val="92"/>
        </w:trPr>
        <w:tc>
          <w:tcPr>
            <w:tcW w:w="974" w:type="pct"/>
            <w:vMerge/>
          </w:tcPr>
          <w:p w14:paraId="59CC2E4D" w14:textId="77777777" w:rsidR="0082007E" w:rsidRPr="00F07779" w:rsidRDefault="0082007E" w:rsidP="00615D2C">
            <w:pPr>
              <w:snapToGrid w:val="0"/>
              <w:rPr>
                <w:sz w:val="20"/>
                <w:szCs w:val="20"/>
              </w:rPr>
            </w:pPr>
          </w:p>
        </w:tc>
        <w:tc>
          <w:tcPr>
            <w:tcW w:w="250" w:type="pct"/>
            <w:vMerge/>
            <w:vAlign w:val="center"/>
          </w:tcPr>
          <w:p w14:paraId="09193803" w14:textId="77777777" w:rsidR="0082007E" w:rsidRPr="00F07779" w:rsidRDefault="0082007E" w:rsidP="00615D2C">
            <w:pPr>
              <w:snapToGrid w:val="0"/>
              <w:jc w:val="center"/>
              <w:rPr>
                <w:sz w:val="20"/>
                <w:szCs w:val="20"/>
              </w:rPr>
            </w:pPr>
          </w:p>
        </w:tc>
        <w:tc>
          <w:tcPr>
            <w:tcW w:w="284" w:type="pct"/>
            <w:vAlign w:val="center"/>
          </w:tcPr>
          <w:p w14:paraId="27867E1E" w14:textId="77777777" w:rsidR="0082007E" w:rsidRPr="00F07779" w:rsidRDefault="0082007E" w:rsidP="00615D2C">
            <w:pPr>
              <w:snapToGrid w:val="0"/>
              <w:jc w:val="center"/>
              <w:rPr>
                <w:sz w:val="20"/>
                <w:szCs w:val="20"/>
              </w:rPr>
            </w:pPr>
            <w:r w:rsidRPr="00F07779">
              <w:rPr>
                <w:sz w:val="20"/>
                <w:szCs w:val="20"/>
              </w:rPr>
              <w:t>2028.</w:t>
            </w:r>
          </w:p>
        </w:tc>
        <w:tc>
          <w:tcPr>
            <w:tcW w:w="406" w:type="pct"/>
            <w:vAlign w:val="center"/>
          </w:tcPr>
          <w:p w14:paraId="6DA1131F" w14:textId="77777777" w:rsidR="0082007E" w:rsidRPr="00F07779" w:rsidRDefault="0082007E" w:rsidP="00615D2C">
            <w:pPr>
              <w:snapToGrid w:val="0"/>
              <w:jc w:val="center"/>
              <w:rPr>
                <w:sz w:val="20"/>
                <w:szCs w:val="20"/>
              </w:rPr>
            </w:pPr>
          </w:p>
        </w:tc>
        <w:tc>
          <w:tcPr>
            <w:tcW w:w="634" w:type="pct"/>
            <w:vAlign w:val="center"/>
          </w:tcPr>
          <w:p w14:paraId="57677E60" w14:textId="77777777" w:rsidR="0082007E" w:rsidRPr="00F07779" w:rsidRDefault="0082007E" w:rsidP="00615D2C">
            <w:pPr>
              <w:snapToGrid w:val="0"/>
              <w:jc w:val="center"/>
              <w:rPr>
                <w:sz w:val="20"/>
                <w:szCs w:val="20"/>
              </w:rPr>
            </w:pPr>
          </w:p>
        </w:tc>
        <w:tc>
          <w:tcPr>
            <w:tcW w:w="689" w:type="pct"/>
            <w:vAlign w:val="center"/>
          </w:tcPr>
          <w:p w14:paraId="38681B4B" w14:textId="77777777" w:rsidR="0082007E" w:rsidRPr="00F07779" w:rsidRDefault="0082007E" w:rsidP="00615D2C">
            <w:pPr>
              <w:snapToGrid w:val="0"/>
              <w:jc w:val="center"/>
              <w:rPr>
                <w:sz w:val="20"/>
                <w:szCs w:val="20"/>
              </w:rPr>
            </w:pPr>
            <w:r w:rsidRPr="00F07779">
              <w:rPr>
                <w:sz w:val="20"/>
                <w:szCs w:val="20"/>
              </w:rPr>
              <w:t>77,443.39</w:t>
            </w:r>
          </w:p>
        </w:tc>
        <w:tc>
          <w:tcPr>
            <w:tcW w:w="437" w:type="pct"/>
            <w:vAlign w:val="center"/>
          </w:tcPr>
          <w:p w14:paraId="0CEBCDBD" w14:textId="77777777" w:rsidR="0082007E" w:rsidRPr="00F07779" w:rsidRDefault="0082007E" w:rsidP="00615D2C">
            <w:pPr>
              <w:snapToGrid w:val="0"/>
              <w:jc w:val="center"/>
              <w:rPr>
                <w:sz w:val="20"/>
                <w:szCs w:val="20"/>
              </w:rPr>
            </w:pPr>
          </w:p>
        </w:tc>
        <w:tc>
          <w:tcPr>
            <w:tcW w:w="638" w:type="pct"/>
            <w:vAlign w:val="center"/>
          </w:tcPr>
          <w:p w14:paraId="4D4075B2" w14:textId="77777777" w:rsidR="0082007E" w:rsidRPr="00F07779" w:rsidRDefault="0082007E" w:rsidP="00615D2C">
            <w:pPr>
              <w:snapToGrid w:val="0"/>
              <w:jc w:val="center"/>
              <w:rPr>
                <w:sz w:val="20"/>
                <w:szCs w:val="20"/>
              </w:rPr>
            </w:pPr>
          </w:p>
        </w:tc>
        <w:tc>
          <w:tcPr>
            <w:tcW w:w="689" w:type="pct"/>
            <w:vAlign w:val="center"/>
          </w:tcPr>
          <w:p w14:paraId="3CF003AF" w14:textId="77777777" w:rsidR="0082007E" w:rsidRPr="00F07779" w:rsidRDefault="0082007E" w:rsidP="00615D2C">
            <w:pPr>
              <w:snapToGrid w:val="0"/>
              <w:jc w:val="center"/>
              <w:rPr>
                <w:sz w:val="20"/>
                <w:szCs w:val="20"/>
              </w:rPr>
            </w:pPr>
            <w:r w:rsidRPr="00F07779">
              <w:rPr>
                <w:sz w:val="20"/>
                <w:szCs w:val="20"/>
              </w:rPr>
              <w:t>9,080,237</w:t>
            </w:r>
          </w:p>
        </w:tc>
      </w:tr>
      <w:tr w:rsidR="0082007E" w:rsidRPr="00F07779" w14:paraId="3BD078D1" w14:textId="77777777" w:rsidTr="0082007E">
        <w:trPr>
          <w:trHeight w:val="93"/>
        </w:trPr>
        <w:tc>
          <w:tcPr>
            <w:tcW w:w="974" w:type="pct"/>
            <w:vMerge w:val="restart"/>
          </w:tcPr>
          <w:p w14:paraId="0A0C95BD" w14:textId="39E55EB1" w:rsidR="0082007E" w:rsidRPr="00F07779" w:rsidRDefault="0082007E" w:rsidP="00615D2C">
            <w:pPr>
              <w:snapToGrid w:val="0"/>
              <w:rPr>
                <w:sz w:val="20"/>
                <w:szCs w:val="20"/>
              </w:rPr>
            </w:pPr>
            <w:r w:rsidRPr="00F07779">
              <w:rPr>
                <w:sz w:val="20"/>
                <w:szCs w:val="20"/>
              </w:rPr>
              <w:t xml:space="preserve">T3 – </w:t>
            </w:r>
            <w:r w:rsidR="00E74FA3" w:rsidRPr="00F07779">
              <w:rPr>
                <w:sz w:val="20"/>
                <w:szCs w:val="20"/>
              </w:rPr>
              <w:t>Approval of tariffs based on justified cost requests</w:t>
            </w:r>
          </w:p>
        </w:tc>
        <w:tc>
          <w:tcPr>
            <w:tcW w:w="250" w:type="pct"/>
            <w:vMerge w:val="restart"/>
            <w:vAlign w:val="center"/>
          </w:tcPr>
          <w:p w14:paraId="1FD92EC8" w14:textId="77777777" w:rsidR="0082007E" w:rsidRPr="00F07779" w:rsidRDefault="0082007E" w:rsidP="00615D2C">
            <w:pPr>
              <w:snapToGrid w:val="0"/>
              <w:jc w:val="center"/>
              <w:rPr>
                <w:sz w:val="20"/>
                <w:szCs w:val="20"/>
              </w:rPr>
            </w:pPr>
            <w:r w:rsidRPr="00F07779">
              <w:rPr>
                <w:sz w:val="20"/>
                <w:szCs w:val="20"/>
              </w:rPr>
              <w:t>IG</w:t>
            </w:r>
          </w:p>
        </w:tc>
        <w:tc>
          <w:tcPr>
            <w:tcW w:w="284" w:type="pct"/>
            <w:vAlign w:val="center"/>
          </w:tcPr>
          <w:p w14:paraId="69E46E31" w14:textId="77777777" w:rsidR="0082007E" w:rsidRPr="00F07779" w:rsidRDefault="0082007E" w:rsidP="00615D2C">
            <w:pPr>
              <w:snapToGrid w:val="0"/>
              <w:jc w:val="center"/>
              <w:rPr>
                <w:sz w:val="20"/>
                <w:szCs w:val="20"/>
              </w:rPr>
            </w:pPr>
            <w:r w:rsidRPr="00F07779">
              <w:rPr>
                <w:sz w:val="20"/>
                <w:szCs w:val="20"/>
              </w:rPr>
              <w:t>2026.</w:t>
            </w:r>
          </w:p>
        </w:tc>
        <w:tc>
          <w:tcPr>
            <w:tcW w:w="406" w:type="pct"/>
            <w:vAlign w:val="center"/>
          </w:tcPr>
          <w:p w14:paraId="7B644F33" w14:textId="77777777" w:rsidR="0082007E" w:rsidRPr="00F07779" w:rsidRDefault="0082007E" w:rsidP="00615D2C">
            <w:pPr>
              <w:snapToGrid w:val="0"/>
              <w:jc w:val="center"/>
              <w:rPr>
                <w:sz w:val="20"/>
                <w:szCs w:val="20"/>
              </w:rPr>
            </w:pPr>
          </w:p>
        </w:tc>
        <w:tc>
          <w:tcPr>
            <w:tcW w:w="634" w:type="pct"/>
            <w:vAlign w:val="center"/>
          </w:tcPr>
          <w:p w14:paraId="523F4BF7" w14:textId="77777777" w:rsidR="0082007E" w:rsidRPr="00F07779" w:rsidRDefault="0082007E" w:rsidP="00615D2C">
            <w:pPr>
              <w:snapToGrid w:val="0"/>
              <w:jc w:val="center"/>
              <w:rPr>
                <w:sz w:val="20"/>
                <w:szCs w:val="20"/>
              </w:rPr>
            </w:pPr>
          </w:p>
        </w:tc>
        <w:tc>
          <w:tcPr>
            <w:tcW w:w="689" w:type="pct"/>
            <w:vAlign w:val="center"/>
          </w:tcPr>
          <w:p w14:paraId="615226E8" w14:textId="77777777" w:rsidR="0082007E" w:rsidRPr="00F07779" w:rsidRDefault="0082007E" w:rsidP="00615D2C">
            <w:pPr>
              <w:snapToGrid w:val="0"/>
              <w:jc w:val="center"/>
              <w:rPr>
                <w:sz w:val="20"/>
                <w:szCs w:val="20"/>
              </w:rPr>
            </w:pPr>
          </w:p>
        </w:tc>
        <w:tc>
          <w:tcPr>
            <w:tcW w:w="437" w:type="pct"/>
            <w:vAlign w:val="center"/>
          </w:tcPr>
          <w:p w14:paraId="27AB8CDE" w14:textId="77777777" w:rsidR="0082007E" w:rsidRPr="00F07779" w:rsidRDefault="0082007E" w:rsidP="00615D2C">
            <w:pPr>
              <w:snapToGrid w:val="0"/>
              <w:jc w:val="center"/>
              <w:rPr>
                <w:sz w:val="20"/>
                <w:szCs w:val="20"/>
              </w:rPr>
            </w:pPr>
          </w:p>
        </w:tc>
        <w:tc>
          <w:tcPr>
            <w:tcW w:w="638" w:type="pct"/>
            <w:vAlign w:val="center"/>
          </w:tcPr>
          <w:p w14:paraId="7B47DA6A" w14:textId="77777777" w:rsidR="0082007E" w:rsidRPr="00F07779" w:rsidRDefault="0082007E" w:rsidP="00615D2C">
            <w:pPr>
              <w:snapToGrid w:val="0"/>
              <w:jc w:val="center"/>
              <w:rPr>
                <w:sz w:val="20"/>
                <w:szCs w:val="20"/>
              </w:rPr>
            </w:pPr>
          </w:p>
        </w:tc>
        <w:tc>
          <w:tcPr>
            <w:tcW w:w="689" w:type="pct"/>
            <w:vAlign w:val="center"/>
          </w:tcPr>
          <w:p w14:paraId="0E931670" w14:textId="77777777" w:rsidR="0082007E" w:rsidRPr="00F07779" w:rsidRDefault="0082007E" w:rsidP="00615D2C">
            <w:pPr>
              <w:snapToGrid w:val="0"/>
              <w:jc w:val="center"/>
              <w:rPr>
                <w:sz w:val="20"/>
                <w:szCs w:val="20"/>
              </w:rPr>
            </w:pPr>
          </w:p>
        </w:tc>
      </w:tr>
      <w:tr w:rsidR="0082007E" w:rsidRPr="00F07779" w14:paraId="19BB5228" w14:textId="77777777" w:rsidTr="0082007E">
        <w:trPr>
          <w:trHeight w:val="92"/>
        </w:trPr>
        <w:tc>
          <w:tcPr>
            <w:tcW w:w="974" w:type="pct"/>
            <w:vMerge/>
          </w:tcPr>
          <w:p w14:paraId="47B7B142" w14:textId="77777777" w:rsidR="0082007E" w:rsidRPr="00F07779" w:rsidRDefault="0082007E" w:rsidP="00615D2C">
            <w:pPr>
              <w:snapToGrid w:val="0"/>
              <w:rPr>
                <w:sz w:val="20"/>
                <w:szCs w:val="20"/>
              </w:rPr>
            </w:pPr>
          </w:p>
        </w:tc>
        <w:tc>
          <w:tcPr>
            <w:tcW w:w="250" w:type="pct"/>
            <w:vMerge/>
            <w:vAlign w:val="center"/>
          </w:tcPr>
          <w:p w14:paraId="6D1807D1" w14:textId="77777777" w:rsidR="0082007E" w:rsidRPr="00F07779" w:rsidRDefault="0082007E" w:rsidP="00615D2C">
            <w:pPr>
              <w:snapToGrid w:val="0"/>
              <w:jc w:val="center"/>
              <w:rPr>
                <w:sz w:val="20"/>
                <w:szCs w:val="20"/>
              </w:rPr>
            </w:pPr>
          </w:p>
        </w:tc>
        <w:tc>
          <w:tcPr>
            <w:tcW w:w="284" w:type="pct"/>
            <w:vAlign w:val="center"/>
          </w:tcPr>
          <w:p w14:paraId="4DF0CAC5" w14:textId="77777777" w:rsidR="0082007E" w:rsidRPr="00F07779" w:rsidRDefault="0082007E" w:rsidP="00615D2C">
            <w:pPr>
              <w:snapToGrid w:val="0"/>
              <w:jc w:val="center"/>
              <w:rPr>
                <w:sz w:val="20"/>
                <w:szCs w:val="20"/>
              </w:rPr>
            </w:pPr>
            <w:r w:rsidRPr="00F07779">
              <w:rPr>
                <w:sz w:val="20"/>
                <w:szCs w:val="20"/>
              </w:rPr>
              <w:t>2027.</w:t>
            </w:r>
          </w:p>
        </w:tc>
        <w:tc>
          <w:tcPr>
            <w:tcW w:w="406" w:type="pct"/>
            <w:vAlign w:val="center"/>
          </w:tcPr>
          <w:p w14:paraId="299FCC59" w14:textId="77777777" w:rsidR="0082007E" w:rsidRPr="00F07779" w:rsidRDefault="0082007E" w:rsidP="00615D2C">
            <w:pPr>
              <w:snapToGrid w:val="0"/>
              <w:jc w:val="center"/>
              <w:rPr>
                <w:sz w:val="20"/>
                <w:szCs w:val="20"/>
              </w:rPr>
            </w:pPr>
          </w:p>
        </w:tc>
        <w:tc>
          <w:tcPr>
            <w:tcW w:w="634" w:type="pct"/>
            <w:vAlign w:val="center"/>
          </w:tcPr>
          <w:p w14:paraId="726F3192" w14:textId="77777777" w:rsidR="0082007E" w:rsidRPr="00F07779" w:rsidRDefault="0082007E" w:rsidP="00615D2C">
            <w:pPr>
              <w:snapToGrid w:val="0"/>
              <w:jc w:val="center"/>
              <w:rPr>
                <w:sz w:val="20"/>
                <w:szCs w:val="20"/>
              </w:rPr>
            </w:pPr>
          </w:p>
        </w:tc>
        <w:tc>
          <w:tcPr>
            <w:tcW w:w="689" w:type="pct"/>
            <w:vAlign w:val="center"/>
          </w:tcPr>
          <w:p w14:paraId="2ECD9391" w14:textId="77777777" w:rsidR="0082007E" w:rsidRPr="00F07779" w:rsidRDefault="0082007E" w:rsidP="00615D2C">
            <w:pPr>
              <w:snapToGrid w:val="0"/>
              <w:jc w:val="center"/>
              <w:rPr>
                <w:sz w:val="20"/>
                <w:szCs w:val="20"/>
              </w:rPr>
            </w:pPr>
          </w:p>
        </w:tc>
        <w:tc>
          <w:tcPr>
            <w:tcW w:w="437" w:type="pct"/>
            <w:vAlign w:val="center"/>
          </w:tcPr>
          <w:p w14:paraId="1FA30050" w14:textId="77777777" w:rsidR="0082007E" w:rsidRPr="00F07779" w:rsidRDefault="0082007E" w:rsidP="00615D2C">
            <w:pPr>
              <w:snapToGrid w:val="0"/>
              <w:jc w:val="center"/>
              <w:rPr>
                <w:sz w:val="20"/>
                <w:szCs w:val="20"/>
              </w:rPr>
            </w:pPr>
          </w:p>
        </w:tc>
        <w:tc>
          <w:tcPr>
            <w:tcW w:w="638" w:type="pct"/>
            <w:vAlign w:val="center"/>
          </w:tcPr>
          <w:p w14:paraId="4B4FC059" w14:textId="77777777" w:rsidR="0082007E" w:rsidRPr="00F07779" w:rsidRDefault="0082007E" w:rsidP="00615D2C">
            <w:pPr>
              <w:snapToGrid w:val="0"/>
              <w:jc w:val="center"/>
              <w:rPr>
                <w:sz w:val="20"/>
                <w:szCs w:val="20"/>
              </w:rPr>
            </w:pPr>
          </w:p>
        </w:tc>
        <w:tc>
          <w:tcPr>
            <w:tcW w:w="689" w:type="pct"/>
            <w:vAlign w:val="center"/>
          </w:tcPr>
          <w:p w14:paraId="4D92F484" w14:textId="77777777" w:rsidR="0082007E" w:rsidRPr="00F07779" w:rsidRDefault="0082007E" w:rsidP="00615D2C">
            <w:pPr>
              <w:snapToGrid w:val="0"/>
              <w:jc w:val="center"/>
              <w:rPr>
                <w:sz w:val="20"/>
                <w:szCs w:val="20"/>
              </w:rPr>
            </w:pPr>
          </w:p>
        </w:tc>
      </w:tr>
      <w:tr w:rsidR="0082007E" w:rsidRPr="00F07779" w14:paraId="7F52FA1C" w14:textId="77777777" w:rsidTr="0082007E">
        <w:trPr>
          <w:trHeight w:val="92"/>
        </w:trPr>
        <w:tc>
          <w:tcPr>
            <w:tcW w:w="974" w:type="pct"/>
            <w:vMerge/>
          </w:tcPr>
          <w:p w14:paraId="424B9914" w14:textId="77777777" w:rsidR="0082007E" w:rsidRPr="00F07779" w:rsidRDefault="0082007E" w:rsidP="00615D2C">
            <w:pPr>
              <w:snapToGrid w:val="0"/>
              <w:rPr>
                <w:sz w:val="20"/>
                <w:szCs w:val="20"/>
              </w:rPr>
            </w:pPr>
          </w:p>
        </w:tc>
        <w:tc>
          <w:tcPr>
            <w:tcW w:w="250" w:type="pct"/>
            <w:vMerge/>
            <w:vAlign w:val="center"/>
          </w:tcPr>
          <w:p w14:paraId="693C7838" w14:textId="77777777" w:rsidR="0082007E" w:rsidRPr="00F07779" w:rsidRDefault="0082007E" w:rsidP="00615D2C">
            <w:pPr>
              <w:snapToGrid w:val="0"/>
              <w:jc w:val="center"/>
              <w:rPr>
                <w:sz w:val="20"/>
                <w:szCs w:val="20"/>
              </w:rPr>
            </w:pPr>
          </w:p>
        </w:tc>
        <w:tc>
          <w:tcPr>
            <w:tcW w:w="284" w:type="pct"/>
            <w:vAlign w:val="center"/>
          </w:tcPr>
          <w:p w14:paraId="4FDCE205" w14:textId="77777777" w:rsidR="0082007E" w:rsidRPr="00F07779" w:rsidRDefault="0082007E" w:rsidP="00615D2C">
            <w:pPr>
              <w:snapToGrid w:val="0"/>
              <w:jc w:val="center"/>
              <w:rPr>
                <w:sz w:val="20"/>
                <w:szCs w:val="20"/>
              </w:rPr>
            </w:pPr>
            <w:r w:rsidRPr="00F07779">
              <w:rPr>
                <w:sz w:val="20"/>
                <w:szCs w:val="20"/>
              </w:rPr>
              <w:t>2028.</w:t>
            </w:r>
          </w:p>
        </w:tc>
        <w:tc>
          <w:tcPr>
            <w:tcW w:w="406" w:type="pct"/>
            <w:vAlign w:val="center"/>
          </w:tcPr>
          <w:p w14:paraId="67D7C64F" w14:textId="77777777" w:rsidR="0082007E" w:rsidRPr="00F07779" w:rsidRDefault="0082007E" w:rsidP="00615D2C">
            <w:pPr>
              <w:snapToGrid w:val="0"/>
              <w:jc w:val="center"/>
              <w:rPr>
                <w:sz w:val="20"/>
                <w:szCs w:val="20"/>
              </w:rPr>
            </w:pPr>
          </w:p>
        </w:tc>
        <w:tc>
          <w:tcPr>
            <w:tcW w:w="634" w:type="pct"/>
            <w:vAlign w:val="center"/>
          </w:tcPr>
          <w:p w14:paraId="5BDFC580" w14:textId="77777777" w:rsidR="0082007E" w:rsidRPr="00F07779" w:rsidRDefault="0082007E" w:rsidP="00615D2C">
            <w:pPr>
              <w:snapToGrid w:val="0"/>
              <w:jc w:val="center"/>
              <w:rPr>
                <w:sz w:val="20"/>
                <w:szCs w:val="20"/>
              </w:rPr>
            </w:pPr>
          </w:p>
        </w:tc>
        <w:tc>
          <w:tcPr>
            <w:tcW w:w="689" w:type="pct"/>
            <w:vAlign w:val="center"/>
          </w:tcPr>
          <w:p w14:paraId="32A8A28E" w14:textId="77777777" w:rsidR="0082007E" w:rsidRPr="00F07779" w:rsidRDefault="0082007E" w:rsidP="00615D2C">
            <w:pPr>
              <w:snapToGrid w:val="0"/>
              <w:jc w:val="center"/>
              <w:rPr>
                <w:sz w:val="20"/>
                <w:szCs w:val="20"/>
              </w:rPr>
            </w:pPr>
          </w:p>
        </w:tc>
        <w:tc>
          <w:tcPr>
            <w:tcW w:w="437" w:type="pct"/>
            <w:vAlign w:val="center"/>
          </w:tcPr>
          <w:p w14:paraId="0A710060" w14:textId="77777777" w:rsidR="0082007E" w:rsidRPr="00F07779" w:rsidRDefault="0082007E" w:rsidP="00615D2C">
            <w:pPr>
              <w:snapToGrid w:val="0"/>
              <w:jc w:val="center"/>
              <w:rPr>
                <w:sz w:val="20"/>
                <w:szCs w:val="20"/>
              </w:rPr>
            </w:pPr>
          </w:p>
        </w:tc>
        <w:tc>
          <w:tcPr>
            <w:tcW w:w="638" w:type="pct"/>
            <w:vAlign w:val="center"/>
          </w:tcPr>
          <w:p w14:paraId="2C280DBC" w14:textId="77777777" w:rsidR="0082007E" w:rsidRPr="00F07779" w:rsidRDefault="0082007E" w:rsidP="00615D2C">
            <w:pPr>
              <w:snapToGrid w:val="0"/>
              <w:jc w:val="center"/>
              <w:rPr>
                <w:sz w:val="20"/>
                <w:szCs w:val="20"/>
              </w:rPr>
            </w:pPr>
          </w:p>
        </w:tc>
        <w:tc>
          <w:tcPr>
            <w:tcW w:w="689" w:type="pct"/>
            <w:vAlign w:val="center"/>
          </w:tcPr>
          <w:p w14:paraId="17A3BB3E" w14:textId="77777777" w:rsidR="0082007E" w:rsidRPr="00F07779" w:rsidRDefault="0082007E" w:rsidP="00615D2C">
            <w:pPr>
              <w:snapToGrid w:val="0"/>
              <w:jc w:val="center"/>
              <w:rPr>
                <w:sz w:val="20"/>
                <w:szCs w:val="20"/>
              </w:rPr>
            </w:pPr>
          </w:p>
        </w:tc>
      </w:tr>
      <w:tr w:rsidR="0082007E" w:rsidRPr="00F07779" w14:paraId="69171D94" w14:textId="77777777" w:rsidTr="0082007E">
        <w:trPr>
          <w:trHeight w:val="54"/>
        </w:trPr>
        <w:tc>
          <w:tcPr>
            <w:tcW w:w="974" w:type="pct"/>
            <w:vMerge w:val="restart"/>
          </w:tcPr>
          <w:p w14:paraId="2D51F40B" w14:textId="40EF4259" w:rsidR="0082007E" w:rsidRPr="00F07779" w:rsidRDefault="0082007E" w:rsidP="00615D2C">
            <w:pPr>
              <w:snapToGrid w:val="0"/>
              <w:rPr>
                <w:sz w:val="20"/>
                <w:szCs w:val="20"/>
              </w:rPr>
            </w:pPr>
            <w:r w:rsidRPr="00F07779">
              <w:rPr>
                <w:sz w:val="20"/>
                <w:szCs w:val="20"/>
              </w:rPr>
              <w:t xml:space="preserve">T4 – Defining </w:t>
            </w:r>
            <w:r w:rsidR="00E74FA3" w:rsidRPr="00F07779">
              <w:rPr>
                <w:sz w:val="20"/>
                <w:szCs w:val="20"/>
              </w:rPr>
              <w:t>national and local jurisdiction levels in performing energy activities related to the production, distribution, and supply of heat energy</w:t>
            </w:r>
          </w:p>
        </w:tc>
        <w:tc>
          <w:tcPr>
            <w:tcW w:w="250" w:type="pct"/>
            <w:vMerge w:val="restart"/>
            <w:vAlign w:val="center"/>
          </w:tcPr>
          <w:p w14:paraId="3C0C04D1" w14:textId="77777777" w:rsidR="0082007E" w:rsidRPr="00F07779" w:rsidRDefault="0082007E" w:rsidP="00615D2C">
            <w:pPr>
              <w:snapToGrid w:val="0"/>
              <w:jc w:val="center"/>
              <w:rPr>
                <w:sz w:val="20"/>
                <w:szCs w:val="20"/>
              </w:rPr>
            </w:pPr>
            <w:r w:rsidRPr="00F07779">
              <w:rPr>
                <w:sz w:val="20"/>
                <w:szCs w:val="20"/>
              </w:rPr>
              <w:t>R</w:t>
            </w:r>
          </w:p>
        </w:tc>
        <w:tc>
          <w:tcPr>
            <w:tcW w:w="284" w:type="pct"/>
            <w:vAlign w:val="center"/>
          </w:tcPr>
          <w:p w14:paraId="34218FF5" w14:textId="77777777" w:rsidR="0082007E" w:rsidRPr="00F07779" w:rsidRDefault="0082007E" w:rsidP="00615D2C">
            <w:pPr>
              <w:snapToGrid w:val="0"/>
              <w:jc w:val="center"/>
              <w:rPr>
                <w:sz w:val="20"/>
                <w:szCs w:val="20"/>
              </w:rPr>
            </w:pPr>
            <w:r w:rsidRPr="00F07779">
              <w:rPr>
                <w:sz w:val="20"/>
                <w:szCs w:val="20"/>
              </w:rPr>
              <w:t>2026.</w:t>
            </w:r>
          </w:p>
        </w:tc>
        <w:tc>
          <w:tcPr>
            <w:tcW w:w="406" w:type="pct"/>
            <w:vAlign w:val="center"/>
          </w:tcPr>
          <w:p w14:paraId="069C6F2B" w14:textId="77777777" w:rsidR="0082007E" w:rsidRPr="00F07779" w:rsidRDefault="0082007E" w:rsidP="00615D2C">
            <w:pPr>
              <w:snapToGrid w:val="0"/>
              <w:jc w:val="center"/>
              <w:rPr>
                <w:sz w:val="20"/>
                <w:szCs w:val="20"/>
              </w:rPr>
            </w:pPr>
            <w:r w:rsidRPr="00F07779">
              <w:rPr>
                <w:sz w:val="20"/>
                <w:szCs w:val="20"/>
              </w:rPr>
              <w:t>100.0</w:t>
            </w:r>
          </w:p>
        </w:tc>
        <w:tc>
          <w:tcPr>
            <w:tcW w:w="634" w:type="pct"/>
            <w:vAlign w:val="center"/>
          </w:tcPr>
          <w:p w14:paraId="3A616AD6" w14:textId="77777777" w:rsidR="0082007E" w:rsidRPr="00F07779" w:rsidRDefault="0082007E" w:rsidP="00615D2C">
            <w:pPr>
              <w:snapToGrid w:val="0"/>
              <w:jc w:val="center"/>
              <w:rPr>
                <w:sz w:val="20"/>
                <w:szCs w:val="20"/>
              </w:rPr>
            </w:pPr>
          </w:p>
        </w:tc>
        <w:tc>
          <w:tcPr>
            <w:tcW w:w="689" w:type="pct"/>
            <w:vAlign w:val="center"/>
          </w:tcPr>
          <w:p w14:paraId="464C5FA5" w14:textId="77777777" w:rsidR="0082007E" w:rsidRPr="00F07779" w:rsidRDefault="0082007E" w:rsidP="00615D2C">
            <w:pPr>
              <w:snapToGrid w:val="0"/>
              <w:jc w:val="center"/>
              <w:rPr>
                <w:sz w:val="20"/>
                <w:szCs w:val="20"/>
              </w:rPr>
            </w:pPr>
          </w:p>
        </w:tc>
        <w:tc>
          <w:tcPr>
            <w:tcW w:w="437" w:type="pct"/>
            <w:vAlign w:val="center"/>
          </w:tcPr>
          <w:p w14:paraId="7AFE16DA" w14:textId="77777777" w:rsidR="0082007E" w:rsidRPr="00F07779" w:rsidRDefault="0082007E" w:rsidP="00615D2C">
            <w:pPr>
              <w:snapToGrid w:val="0"/>
              <w:jc w:val="center"/>
              <w:rPr>
                <w:sz w:val="20"/>
                <w:szCs w:val="20"/>
              </w:rPr>
            </w:pPr>
            <w:r w:rsidRPr="00F07779">
              <w:rPr>
                <w:sz w:val="20"/>
                <w:szCs w:val="20"/>
              </w:rPr>
              <w:t>11,725</w:t>
            </w:r>
          </w:p>
        </w:tc>
        <w:tc>
          <w:tcPr>
            <w:tcW w:w="638" w:type="pct"/>
            <w:vAlign w:val="center"/>
          </w:tcPr>
          <w:p w14:paraId="00BFA834" w14:textId="77777777" w:rsidR="0082007E" w:rsidRPr="00F07779" w:rsidRDefault="0082007E" w:rsidP="00615D2C">
            <w:pPr>
              <w:snapToGrid w:val="0"/>
              <w:jc w:val="center"/>
              <w:rPr>
                <w:sz w:val="20"/>
                <w:szCs w:val="20"/>
              </w:rPr>
            </w:pPr>
          </w:p>
        </w:tc>
        <w:tc>
          <w:tcPr>
            <w:tcW w:w="689" w:type="pct"/>
            <w:vAlign w:val="center"/>
          </w:tcPr>
          <w:p w14:paraId="53A481DF" w14:textId="77777777" w:rsidR="0082007E" w:rsidRPr="00F07779" w:rsidRDefault="0082007E" w:rsidP="00615D2C">
            <w:pPr>
              <w:snapToGrid w:val="0"/>
              <w:jc w:val="center"/>
              <w:rPr>
                <w:sz w:val="20"/>
                <w:szCs w:val="20"/>
              </w:rPr>
            </w:pPr>
          </w:p>
        </w:tc>
      </w:tr>
      <w:tr w:rsidR="0082007E" w:rsidRPr="00F07779" w14:paraId="0FA07EA4" w14:textId="77777777" w:rsidTr="0082007E">
        <w:trPr>
          <w:trHeight w:val="54"/>
        </w:trPr>
        <w:tc>
          <w:tcPr>
            <w:tcW w:w="974" w:type="pct"/>
            <w:vMerge/>
          </w:tcPr>
          <w:p w14:paraId="36D6ACB4" w14:textId="77777777" w:rsidR="0082007E" w:rsidRPr="00F07779" w:rsidRDefault="0082007E" w:rsidP="00615D2C">
            <w:pPr>
              <w:snapToGrid w:val="0"/>
              <w:rPr>
                <w:sz w:val="20"/>
                <w:szCs w:val="20"/>
              </w:rPr>
            </w:pPr>
          </w:p>
        </w:tc>
        <w:tc>
          <w:tcPr>
            <w:tcW w:w="250" w:type="pct"/>
            <w:vMerge/>
            <w:vAlign w:val="center"/>
          </w:tcPr>
          <w:p w14:paraId="64AC4B7B" w14:textId="77777777" w:rsidR="0082007E" w:rsidRPr="00F07779" w:rsidRDefault="0082007E" w:rsidP="00615D2C">
            <w:pPr>
              <w:snapToGrid w:val="0"/>
              <w:jc w:val="center"/>
              <w:rPr>
                <w:sz w:val="20"/>
                <w:szCs w:val="20"/>
              </w:rPr>
            </w:pPr>
          </w:p>
        </w:tc>
        <w:tc>
          <w:tcPr>
            <w:tcW w:w="284" w:type="pct"/>
            <w:vAlign w:val="center"/>
          </w:tcPr>
          <w:p w14:paraId="40D8A292" w14:textId="77777777" w:rsidR="0082007E" w:rsidRPr="00F07779" w:rsidRDefault="0082007E" w:rsidP="00615D2C">
            <w:pPr>
              <w:snapToGrid w:val="0"/>
              <w:jc w:val="center"/>
              <w:rPr>
                <w:sz w:val="20"/>
                <w:szCs w:val="20"/>
              </w:rPr>
            </w:pPr>
            <w:r w:rsidRPr="00F07779">
              <w:rPr>
                <w:sz w:val="20"/>
                <w:szCs w:val="20"/>
              </w:rPr>
              <w:t>2027.</w:t>
            </w:r>
          </w:p>
        </w:tc>
        <w:tc>
          <w:tcPr>
            <w:tcW w:w="406" w:type="pct"/>
            <w:vAlign w:val="center"/>
          </w:tcPr>
          <w:p w14:paraId="51E1A2AA" w14:textId="77777777" w:rsidR="0082007E" w:rsidRPr="00F07779" w:rsidRDefault="0082007E" w:rsidP="00615D2C">
            <w:pPr>
              <w:snapToGrid w:val="0"/>
              <w:jc w:val="center"/>
              <w:rPr>
                <w:sz w:val="20"/>
                <w:szCs w:val="20"/>
              </w:rPr>
            </w:pPr>
          </w:p>
        </w:tc>
        <w:tc>
          <w:tcPr>
            <w:tcW w:w="634" w:type="pct"/>
            <w:vAlign w:val="center"/>
          </w:tcPr>
          <w:p w14:paraId="582A359D" w14:textId="77777777" w:rsidR="0082007E" w:rsidRPr="00F07779" w:rsidRDefault="0082007E" w:rsidP="00615D2C">
            <w:pPr>
              <w:snapToGrid w:val="0"/>
              <w:jc w:val="center"/>
              <w:rPr>
                <w:sz w:val="20"/>
                <w:szCs w:val="20"/>
              </w:rPr>
            </w:pPr>
          </w:p>
        </w:tc>
        <w:tc>
          <w:tcPr>
            <w:tcW w:w="689" w:type="pct"/>
            <w:vAlign w:val="center"/>
          </w:tcPr>
          <w:p w14:paraId="6657AA6A" w14:textId="77777777" w:rsidR="0082007E" w:rsidRPr="00F07779" w:rsidRDefault="0082007E" w:rsidP="00615D2C">
            <w:pPr>
              <w:snapToGrid w:val="0"/>
              <w:jc w:val="center"/>
              <w:rPr>
                <w:sz w:val="20"/>
                <w:szCs w:val="20"/>
              </w:rPr>
            </w:pPr>
          </w:p>
        </w:tc>
        <w:tc>
          <w:tcPr>
            <w:tcW w:w="437" w:type="pct"/>
            <w:vAlign w:val="center"/>
          </w:tcPr>
          <w:p w14:paraId="4C31914E" w14:textId="77777777" w:rsidR="0082007E" w:rsidRPr="00F07779" w:rsidRDefault="0082007E" w:rsidP="00615D2C">
            <w:pPr>
              <w:snapToGrid w:val="0"/>
              <w:jc w:val="center"/>
              <w:rPr>
                <w:sz w:val="20"/>
                <w:szCs w:val="20"/>
              </w:rPr>
            </w:pPr>
          </w:p>
        </w:tc>
        <w:tc>
          <w:tcPr>
            <w:tcW w:w="638" w:type="pct"/>
            <w:vAlign w:val="center"/>
          </w:tcPr>
          <w:p w14:paraId="24A02D49" w14:textId="77777777" w:rsidR="0082007E" w:rsidRPr="00F07779" w:rsidRDefault="0082007E" w:rsidP="00615D2C">
            <w:pPr>
              <w:snapToGrid w:val="0"/>
              <w:jc w:val="center"/>
              <w:rPr>
                <w:sz w:val="20"/>
                <w:szCs w:val="20"/>
              </w:rPr>
            </w:pPr>
          </w:p>
        </w:tc>
        <w:tc>
          <w:tcPr>
            <w:tcW w:w="689" w:type="pct"/>
            <w:vAlign w:val="center"/>
          </w:tcPr>
          <w:p w14:paraId="2FF61C18" w14:textId="77777777" w:rsidR="0082007E" w:rsidRPr="00F07779" w:rsidRDefault="0082007E" w:rsidP="00615D2C">
            <w:pPr>
              <w:snapToGrid w:val="0"/>
              <w:jc w:val="center"/>
              <w:rPr>
                <w:sz w:val="20"/>
                <w:szCs w:val="20"/>
              </w:rPr>
            </w:pPr>
          </w:p>
        </w:tc>
      </w:tr>
      <w:tr w:rsidR="0082007E" w:rsidRPr="00F07779" w14:paraId="5E7ED3BE" w14:textId="77777777" w:rsidTr="0082007E">
        <w:trPr>
          <w:trHeight w:val="460"/>
        </w:trPr>
        <w:tc>
          <w:tcPr>
            <w:tcW w:w="974" w:type="pct"/>
            <w:vMerge/>
          </w:tcPr>
          <w:p w14:paraId="1B271CB7" w14:textId="77777777" w:rsidR="0082007E" w:rsidRPr="00F07779" w:rsidRDefault="0082007E" w:rsidP="00615D2C">
            <w:pPr>
              <w:snapToGrid w:val="0"/>
              <w:rPr>
                <w:sz w:val="20"/>
                <w:szCs w:val="20"/>
              </w:rPr>
            </w:pPr>
          </w:p>
        </w:tc>
        <w:tc>
          <w:tcPr>
            <w:tcW w:w="250" w:type="pct"/>
            <w:vMerge/>
            <w:vAlign w:val="center"/>
          </w:tcPr>
          <w:p w14:paraId="468568BB" w14:textId="77777777" w:rsidR="0082007E" w:rsidRPr="00F07779" w:rsidRDefault="0082007E" w:rsidP="00615D2C">
            <w:pPr>
              <w:snapToGrid w:val="0"/>
              <w:jc w:val="center"/>
              <w:rPr>
                <w:sz w:val="20"/>
                <w:szCs w:val="20"/>
              </w:rPr>
            </w:pPr>
          </w:p>
        </w:tc>
        <w:tc>
          <w:tcPr>
            <w:tcW w:w="284" w:type="pct"/>
            <w:vAlign w:val="center"/>
          </w:tcPr>
          <w:p w14:paraId="070F9605" w14:textId="77777777" w:rsidR="0082007E" w:rsidRPr="00F07779" w:rsidRDefault="0082007E" w:rsidP="00615D2C">
            <w:pPr>
              <w:snapToGrid w:val="0"/>
              <w:jc w:val="center"/>
              <w:rPr>
                <w:sz w:val="20"/>
                <w:szCs w:val="20"/>
              </w:rPr>
            </w:pPr>
            <w:r w:rsidRPr="00F07779">
              <w:rPr>
                <w:sz w:val="20"/>
                <w:szCs w:val="20"/>
              </w:rPr>
              <w:t>2028.</w:t>
            </w:r>
          </w:p>
        </w:tc>
        <w:tc>
          <w:tcPr>
            <w:tcW w:w="406" w:type="pct"/>
            <w:vAlign w:val="center"/>
          </w:tcPr>
          <w:p w14:paraId="7BFAE740" w14:textId="77777777" w:rsidR="0082007E" w:rsidRPr="00F07779" w:rsidRDefault="0082007E" w:rsidP="00615D2C">
            <w:pPr>
              <w:snapToGrid w:val="0"/>
              <w:jc w:val="center"/>
              <w:rPr>
                <w:sz w:val="20"/>
                <w:szCs w:val="20"/>
              </w:rPr>
            </w:pPr>
          </w:p>
        </w:tc>
        <w:tc>
          <w:tcPr>
            <w:tcW w:w="634" w:type="pct"/>
            <w:vAlign w:val="center"/>
          </w:tcPr>
          <w:p w14:paraId="63866D3F" w14:textId="77777777" w:rsidR="0082007E" w:rsidRPr="00F07779" w:rsidRDefault="0082007E" w:rsidP="00615D2C">
            <w:pPr>
              <w:snapToGrid w:val="0"/>
              <w:jc w:val="center"/>
              <w:rPr>
                <w:sz w:val="20"/>
                <w:szCs w:val="20"/>
              </w:rPr>
            </w:pPr>
          </w:p>
        </w:tc>
        <w:tc>
          <w:tcPr>
            <w:tcW w:w="689" w:type="pct"/>
            <w:vAlign w:val="center"/>
          </w:tcPr>
          <w:p w14:paraId="3719F26A" w14:textId="77777777" w:rsidR="0082007E" w:rsidRPr="00F07779" w:rsidRDefault="0082007E" w:rsidP="00615D2C">
            <w:pPr>
              <w:snapToGrid w:val="0"/>
              <w:jc w:val="center"/>
              <w:rPr>
                <w:sz w:val="20"/>
                <w:szCs w:val="20"/>
              </w:rPr>
            </w:pPr>
          </w:p>
        </w:tc>
        <w:tc>
          <w:tcPr>
            <w:tcW w:w="437" w:type="pct"/>
            <w:vAlign w:val="center"/>
          </w:tcPr>
          <w:p w14:paraId="79758EE4" w14:textId="77777777" w:rsidR="0082007E" w:rsidRPr="00F07779" w:rsidRDefault="0082007E" w:rsidP="00615D2C">
            <w:pPr>
              <w:snapToGrid w:val="0"/>
              <w:jc w:val="center"/>
              <w:rPr>
                <w:sz w:val="20"/>
                <w:szCs w:val="20"/>
              </w:rPr>
            </w:pPr>
          </w:p>
        </w:tc>
        <w:tc>
          <w:tcPr>
            <w:tcW w:w="638" w:type="pct"/>
            <w:vAlign w:val="center"/>
          </w:tcPr>
          <w:p w14:paraId="2DF7BE7C" w14:textId="77777777" w:rsidR="0082007E" w:rsidRPr="00F07779" w:rsidRDefault="0082007E" w:rsidP="00615D2C">
            <w:pPr>
              <w:snapToGrid w:val="0"/>
              <w:jc w:val="center"/>
              <w:rPr>
                <w:sz w:val="20"/>
                <w:szCs w:val="20"/>
              </w:rPr>
            </w:pPr>
          </w:p>
        </w:tc>
        <w:tc>
          <w:tcPr>
            <w:tcW w:w="689" w:type="pct"/>
            <w:vAlign w:val="center"/>
          </w:tcPr>
          <w:p w14:paraId="1453660E" w14:textId="77777777" w:rsidR="0082007E" w:rsidRPr="00F07779" w:rsidRDefault="0082007E" w:rsidP="00615D2C">
            <w:pPr>
              <w:snapToGrid w:val="0"/>
              <w:jc w:val="center"/>
              <w:rPr>
                <w:sz w:val="20"/>
                <w:szCs w:val="20"/>
              </w:rPr>
            </w:pPr>
          </w:p>
        </w:tc>
      </w:tr>
      <w:tr w:rsidR="0082007E" w:rsidRPr="00F07779" w14:paraId="65B705D1" w14:textId="77777777" w:rsidTr="0082007E">
        <w:trPr>
          <w:trHeight w:val="460"/>
        </w:trPr>
        <w:tc>
          <w:tcPr>
            <w:tcW w:w="1507" w:type="pct"/>
            <w:gridSpan w:val="3"/>
            <w:vMerge w:val="restart"/>
            <w:vAlign w:val="center"/>
          </w:tcPr>
          <w:p w14:paraId="428E03C1" w14:textId="77777777" w:rsidR="0082007E" w:rsidRPr="00F07779" w:rsidRDefault="0082007E" w:rsidP="00615D2C">
            <w:pPr>
              <w:snapToGrid w:val="0"/>
              <w:jc w:val="center"/>
              <w:rPr>
                <w:sz w:val="20"/>
                <w:szCs w:val="20"/>
              </w:rPr>
            </w:pPr>
            <w:r w:rsidRPr="00F07779">
              <w:rPr>
                <w:sz w:val="20"/>
                <w:szCs w:val="20"/>
              </w:rPr>
              <w:t xml:space="preserve">Total </w:t>
            </w:r>
          </w:p>
        </w:tc>
        <w:tc>
          <w:tcPr>
            <w:tcW w:w="406" w:type="pct"/>
            <w:vAlign w:val="center"/>
          </w:tcPr>
          <w:p w14:paraId="5D32D3E2" w14:textId="77777777" w:rsidR="0082007E" w:rsidRPr="00F07779" w:rsidRDefault="0082007E" w:rsidP="00615D2C">
            <w:pPr>
              <w:snapToGrid w:val="0"/>
              <w:jc w:val="center"/>
              <w:rPr>
                <w:sz w:val="20"/>
                <w:szCs w:val="20"/>
              </w:rPr>
            </w:pPr>
            <w:r w:rsidRPr="00F07779">
              <w:rPr>
                <w:sz w:val="20"/>
                <w:szCs w:val="20"/>
              </w:rPr>
              <w:t>100.0</w:t>
            </w:r>
          </w:p>
        </w:tc>
        <w:tc>
          <w:tcPr>
            <w:tcW w:w="634" w:type="pct"/>
            <w:vAlign w:val="center"/>
          </w:tcPr>
          <w:p w14:paraId="01F77DF7" w14:textId="77777777" w:rsidR="0082007E" w:rsidRPr="00F07779" w:rsidRDefault="0082007E" w:rsidP="00615D2C">
            <w:pPr>
              <w:snapToGrid w:val="0"/>
              <w:jc w:val="center"/>
              <w:rPr>
                <w:sz w:val="20"/>
                <w:szCs w:val="20"/>
              </w:rPr>
            </w:pPr>
            <w:r w:rsidRPr="00F07779">
              <w:rPr>
                <w:sz w:val="20"/>
                <w:szCs w:val="20"/>
              </w:rPr>
              <w:t>-</w:t>
            </w:r>
          </w:p>
        </w:tc>
        <w:tc>
          <w:tcPr>
            <w:tcW w:w="689" w:type="pct"/>
            <w:vAlign w:val="center"/>
          </w:tcPr>
          <w:p w14:paraId="0EA81FAF" w14:textId="77777777" w:rsidR="0082007E" w:rsidRPr="00F07779" w:rsidRDefault="0082007E" w:rsidP="00615D2C">
            <w:pPr>
              <w:jc w:val="center"/>
              <w:rPr>
                <w:sz w:val="20"/>
                <w:szCs w:val="20"/>
              </w:rPr>
            </w:pPr>
            <w:r w:rsidRPr="00F07779">
              <w:rPr>
                <w:sz w:val="20"/>
                <w:szCs w:val="20"/>
              </w:rPr>
              <w:t>286,521.39</w:t>
            </w:r>
          </w:p>
        </w:tc>
        <w:tc>
          <w:tcPr>
            <w:tcW w:w="437" w:type="pct"/>
            <w:vAlign w:val="center"/>
          </w:tcPr>
          <w:p w14:paraId="62D443D5" w14:textId="77777777" w:rsidR="0082007E" w:rsidRPr="00F07779" w:rsidRDefault="0082007E" w:rsidP="00615D2C">
            <w:pPr>
              <w:snapToGrid w:val="0"/>
              <w:jc w:val="center"/>
              <w:rPr>
                <w:sz w:val="20"/>
                <w:szCs w:val="20"/>
              </w:rPr>
            </w:pPr>
            <w:r w:rsidRPr="00F07779">
              <w:rPr>
                <w:sz w:val="20"/>
                <w:szCs w:val="20"/>
              </w:rPr>
              <w:t>11,725</w:t>
            </w:r>
          </w:p>
        </w:tc>
        <w:tc>
          <w:tcPr>
            <w:tcW w:w="638" w:type="pct"/>
            <w:vAlign w:val="center"/>
          </w:tcPr>
          <w:p w14:paraId="043B2942" w14:textId="77777777" w:rsidR="0082007E" w:rsidRPr="00F07779" w:rsidRDefault="0082007E" w:rsidP="00615D2C">
            <w:pPr>
              <w:snapToGrid w:val="0"/>
              <w:jc w:val="center"/>
              <w:rPr>
                <w:sz w:val="20"/>
                <w:szCs w:val="20"/>
              </w:rPr>
            </w:pPr>
            <w:r w:rsidRPr="00F07779">
              <w:rPr>
                <w:sz w:val="20"/>
                <w:szCs w:val="20"/>
              </w:rPr>
              <w:t>-</w:t>
            </w:r>
          </w:p>
        </w:tc>
        <w:tc>
          <w:tcPr>
            <w:tcW w:w="689" w:type="pct"/>
            <w:vAlign w:val="center"/>
          </w:tcPr>
          <w:p w14:paraId="6CAA8B83" w14:textId="77777777" w:rsidR="0082007E" w:rsidRPr="00F07779" w:rsidRDefault="0082007E" w:rsidP="00615D2C">
            <w:pPr>
              <w:jc w:val="center"/>
              <w:rPr>
                <w:sz w:val="20"/>
                <w:szCs w:val="20"/>
              </w:rPr>
            </w:pPr>
            <w:r w:rsidRPr="00F07779">
              <w:rPr>
                <w:sz w:val="20"/>
                <w:szCs w:val="20"/>
              </w:rPr>
              <w:t>33,594,633</w:t>
            </w:r>
          </w:p>
        </w:tc>
      </w:tr>
      <w:tr w:rsidR="0082007E" w:rsidRPr="00F07779" w14:paraId="110534CC" w14:textId="77777777" w:rsidTr="0082007E">
        <w:trPr>
          <w:trHeight w:val="460"/>
        </w:trPr>
        <w:tc>
          <w:tcPr>
            <w:tcW w:w="1507" w:type="pct"/>
            <w:gridSpan w:val="3"/>
            <w:vMerge/>
          </w:tcPr>
          <w:p w14:paraId="39670C0D" w14:textId="77777777" w:rsidR="0082007E" w:rsidRPr="00F07779" w:rsidRDefault="0082007E" w:rsidP="00615D2C">
            <w:pPr>
              <w:snapToGrid w:val="0"/>
              <w:jc w:val="both"/>
              <w:rPr>
                <w:sz w:val="20"/>
                <w:szCs w:val="20"/>
              </w:rPr>
            </w:pPr>
          </w:p>
        </w:tc>
        <w:tc>
          <w:tcPr>
            <w:tcW w:w="1728" w:type="pct"/>
            <w:gridSpan w:val="3"/>
            <w:vAlign w:val="center"/>
          </w:tcPr>
          <w:p w14:paraId="4146227E" w14:textId="77777777" w:rsidR="0082007E" w:rsidRPr="00F07779" w:rsidRDefault="0082007E" w:rsidP="00615D2C">
            <w:pPr>
              <w:snapToGrid w:val="0"/>
              <w:jc w:val="center"/>
              <w:rPr>
                <w:rFonts w:ascii="Aptos Narrow" w:hAnsi="Aptos Narrow"/>
                <w:color w:val="000000"/>
              </w:rPr>
            </w:pPr>
            <w:r w:rsidRPr="00F07779">
              <w:rPr>
                <w:sz w:val="20"/>
                <w:szCs w:val="20"/>
              </w:rPr>
              <w:t>286,621.39</w:t>
            </w:r>
          </w:p>
        </w:tc>
        <w:tc>
          <w:tcPr>
            <w:tcW w:w="1764" w:type="pct"/>
            <w:gridSpan w:val="3"/>
            <w:vAlign w:val="center"/>
          </w:tcPr>
          <w:p w14:paraId="3AA61876" w14:textId="77777777" w:rsidR="0082007E" w:rsidRPr="00F07779" w:rsidRDefault="0082007E" w:rsidP="00615D2C">
            <w:pPr>
              <w:snapToGrid w:val="0"/>
              <w:jc w:val="center"/>
              <w:rPr>
                <w:sz w:val="20"/>
                <w:szCs w:val="20"/>
              </w:rPr>
            </w:pPr>
            <w:r w:rsidRPr="00F07779">
              <w:rPr>
                <w:sz w:val="20"/>
                <w:szCs w:val="20"/>
              </w:rPr>
              <w:t>33,606,358</w:t>
            </w:r>
          </w:p>
        </w:tc>
      </w:tr>
    </w:tbl>
    <w:p w14:paraId="65501C1F" w14:textId="4FDC4D6B" w:rsidR="0082007E" w:rsidRPr="00F07779" w:rsidRDefault="0082007E" w:rsidP="0082007E">
      <w:pPr>
        <w:jc w:val="both"/>
        <w:rPr>
          <w:sz w:val="20"/>
          <w:szCs w:val="20"/>
        </w:rPr>
      </w:pPr>
      <w:r w:rsidRPr="00F07779">
        <w:rPr>
          <w:sz w:val="20"/>
          <w:szCs w:val="20"/>
        </w:rPr>
        <w:t>*Inv</w:t>
      </w:r>
      <w:r w:rsidR="00E74FA3" w:rsidRPr="00F07779">
        <w:rPr>
          <w:sz w:val="20"/>
          <w:szCs w:val="20"/>
        </w:rPr>
        <w:t xml:space="preserve"> </w:t>
      </w:r>
      <w:r w:rsidRPr="00F07779">
        <w:rPr>
          <w:sz w:val="20"/>
          <w:szCs w:val="20"/>
        </w:rPr>
        <w:t xml:space="preserve">- Investment, </w:t>
      </w:r>
      <w:r w:rsidR="00E74FA3" w:rsidRPr="00F07779">
        <w:rPr>
          <w:sz w:val="20"/>
          <w:szCs w:val="20"/>
        </w:rPr>
        <w:t xml:space="preserve">R </w:t>
      </w:r>
      <w:r w:rsidRPr="00F07779">
        <w:rPr>
          <w:sz w:val="20"/>
          <w:szCs w:val="20"/>
        </w:rPr>
        <w:t>-</w:t>
      </w:r>
      <w:r w:rsidR="00E74FA3" w:rsidRPr="00F07779">
        <w:rPr>
          <w:sz w:val="20"/>
          <w:szCs w:val="20"/>
        </w:rPr>
        <w:t xml:space="preserve"> </w:t>
      </w:r>
      <w:r w:rsidRPr="00F07779">
        <w:rPr>
          <w:sz w:val="20"/>
          <w:szCs w:val="20"/>
        </w:rPr>
        <w:t>Regulatory, I</w:t>
      </w:r>
      <w:r w:rsidR="00E74FA3" w:rsidRPr="00F07779">
        <w:rPr>
          <w:sz w:val="20"/>
          <w:szCs w:val="20"/>
        </w:rPr>
        <w:t xml:space="preserve"> </w:t>
      </w:r>
      <w:r w:rsidRPr="00F07779">
        <w:rPr>
          <w:sz w:val="20"/>
          <w:szCs w:val="20"/>
        </w:rPr>
        <w:t xml:space="preserve">- </w:t>
      </w:r>
      <w:r w:rsidR="00E74FA3" w:rsidRPr="00F07779">
        <w:rPr>
          <w:sz w:val="20"/>
          <w:szCs w:val="20"/>
        </w:rPr>
        <w:t xml:space="preserve">Incentive, Inf </w:t>
      </w:r>
      <w:r w:rsidRPr="00F07779">
        <w:rPr>
          <w:sz w:val="20"/>
          <w:szCs w:val="20"/>
        </w:rPr>
        <w:t>- Informative, IG</w:t>
      </w:r>
      <w:r w:rsidR="00E74FA3" w:rsidRPr="00F07779">
        <w:rPr>
          <w:sz w:val="20"/>
          <w:szCs w:val="20"/>
        </w:rPr>
        <w:t xml:space="preserve"> –</w:t>
      </w:r>
      <w:r w:rsidRPr="00F07779">
        <w:rPr>
          <w:sz w:val="20"/>
          <w:szCs w:val="20"/>
        </w:rPr>
        <w:t xml:space="preserve"> Institutional</w:t>
      </w:r>
      <w:r w:rsidR="00E74FA3" w:rsidRPr="00F07779">
        <w:rPr>
          <w:sz w:val="20"/>
          <w:szCs w:val="20"/>
        </w:rPr>
        <w:t>/</w:t>
      </w:r>
      <w:r w:rsidRPr="00F07779">
        <w:rPr>
          <w:sz w:val="20"/>
          <w:szCs w:val="20"/>
        </w:rPr>
        <w:t>governance, F</w:t>
      </w:r>
      <w:r w:rsidR="00E74FA3" w:rsidRPr="00F07779">
        <w:rPr>
          <w:sz w:val="20"/>
          <w:szCs w:val="20"/>
        </w:rPr>
        <w:t xml:space="preserve"> –</w:t>
      </w:r>
      <w:r w:rsidRPr="00F07779">
        <w:rPr>
          <w:sz w:val="20"/>
          <w:szCs w:val="20"/>
        </w:rPr>
        <w:t xml:space="preserve"> Financial</w:t>
      </w:r>
    </w:p>
    <w:p w14:paraId="762B0813" w14:textId="77777777" w:rsidR="00E74FA3" w:rsidRPr="00F07779" w:rsidRDefault="00E74FA3" w:rsidP="0082007E">
      <w:pPr>
        <w:jc w:val="both"/>
        <w:rPr>
          <w:sz w:val="20"/>
          <w:szCs w:val="20"/>
        </w:rPr>
      </w:pPr>
    </w:p>
    <w:p w14:paraId="6EAE0819" w14:textId="77777777" w:rsidR="0082007E" w:rsidRPr="00F07779" w:rsidRDefault="0082007E" w:rsidP="00BE4E2C">
      <w:pPr>
        <w:jc w:val="both"/>
        <w:rPr>
          <w:sz w:val="20"/>
          <w:szCs w:val="20"/>
        </w:rPr>
      </w:pPr>
    </w:p>
    <w:p w14:paraId="26CBB789" w14:textId="77777777" w:rsidR="00BE4E2C" w:rsidRPr="00F07779" w:rsidRDefault="00BE4E2C" w:rsidP="00BE4E2C">
      <w:pPr>
        <w:snapToGrid w:val="0"/>
        <w:jc w:val="both"/>
      </w:pPr>
    </w:p>
    <w:p w14:paraId="504959A7" w14:textId="77777777" w:rsidR="0082007E" w:rsidRPr="00F07779" w:rsidRDefault="0082007E" w:rsidP="00BE4E2C">
      <w:pPr>
        <w:snapToGrid w:val="0"/>
        <w:jc w:val="both"/>
      </w:pPr>
    </w:p>
    <w:p w14:paraId="300AC000" w14:textId="320F699E" w:rsidR="00A43D5B" w:rsidRPr="00F07779" w:rsidRDefault="00A43D5B" w:rsidP="006A375C">
      <w:pPr>
        <w:jc w:val="both"/>
        <w:rPr>
          <w:sz w:val="20"/>
          <w:szCs w:val="20"/>
        </w:rPr>
      </w:pPr>
    </w:p>
    <w:p w14:paraId="1002C999" w14:textId="77777777" w:rsidR="005678AE" w:rsidRPr="00F07779" w:rsidRDefault="005678AE" w:rsidP="005678AE">
      <w:pPr>
        <w:snapToGrid w:val="0"/>
        <w:jc w:val="both"/>
      </w:pPr>
    </w:p>
    <w:p w14:paraId="517D7468" w14:textId="77777777" w:rsidR="00E31DE5" w:rsidRPr="00F07779" w:rsidRDefault="00E31DE5" w:rsidP="005678AE">
      <w:pPr>
        <w:snapToGrid w:val="0"/>
        <w:sectPr w:rsidR="00E31DE5" w:rsidRPr="00F07779" w:rsidSect="009B0F49">
          <w:pgSz w:w="16840" w:h="11900" w:orient="landscape"/>
          <w:pgMar w:top="1134" w:right="1134" w:bottom="1134" w:left="1134" w:header="709" w:footer="709" w:gutter="907"/>
          <w:cols w:space="708"/>
          <w:titlePg/>
          <w:docGrid w:linePitch="360"/>
        </w:sectPr>
      </w:pPr>
    </w:p>
    <w:p w14:paraId="25B303F3" w14:textId="77777777" w:rsidR="005678AE" w:rsidRPr="00F07779" w:rsidRDefault="005678AE" w:rsidP="005678AE"/>
    <w:p w14:paraId="54987657" w14:textId="77777777" w:rsidR="00DD4065" w:rsidRPr="00F07779" w:rsidRDefault="00DD4065" w:rsidP="00DD4065">
      <w:pPr>
        <w:snapToGrid w:val="0"/>
      </w:pPr>
      <w:r w:rsidRPr="00F07779">
        <w:t>Table 5.2.2: Objectives, measures and indicators in the heat energy sector</w:t>
      </w:r>
    </w:p>
    <w:tbl>
      <w:tblPr>
        <w:tblStyle w:val="TableGrid1"/>
        <w:tblW w:w="14727" w:type="dxa"/>
        <w:tblLayout w:type="fixed"/>
        <w:tblLook w:val="04A0" w:firstRow="1" w:lastRow="0" w:firstColumn="1" w:lastColumn="0" w:noHBand="0" w:noVBand="1"/>
      </w:tblPr>
      <w:tblGrid>
        <w:gridCol w:w="843"/>
        <w:gridCol w:w="843"/>
        <w:gridCol w:w="3828"/>
        <w:gridCol w:w="3402"/>
        <w:gridCol w:w="2835"/>
        <w:gridCol w:w="2976"/>
      </w:tblGrid>
      <w:tr w:rsidR="00DD4065" w:rsidRPr="00F07779" w14:paraId="3028C0FB" w14:textId="77777777" w:rsidTr="00615D2C">
        <w:trPr>
          <w:trHeight w:val="841"/>
        </w:trPr>
        <w:tc>
          <w:tcPr>
            <w:tcW w:w="1686" w:type="dxa"/>
            <w:gridSpan w:val="2"/>
            <w:shd w:val="clear" w:color="auto" w:fill="F2F2F2" w:themeFill="background1" w:themeFillShade="F2"/>
          </w:tcPr>
          <w:p w14:paraId="7800D78C" w14:textId="77777777" w:rsidR="00DD4065" w:rsidRPr="00F07779" w:rsidRDefault="00DD4065" w:rsidP="00615D2C">
            <w:pPr>
              <w:snapToGrid w:val="0"/>
              <w:rPr>
                <w:rFonts w:eastAsia="Calibri"/>
                <w:b/>
                <w:bCs/>
                <w:color w:val="2F5496"/>
                <w:sz w:val="20"/>
                <w:szCs w:val="20"/>
                <w:lang w:val="en-US"/>
              </w:rPr>
            </w:pPr>
            <w:r w:rsidRPr="00F07779">
              <w:rPr>
                <w:rFonts w:eastAsia="Calibri"/>
                <w:b/>
                <w:bCs/>
                <w:color w:val="2F5496"/>
                <w:sz w:val="20"/>
                <w:szCs w:val="20"/>
                <w:lang w:val="en-US"/>
              </w:rPr>
              <w:t>Goals</w:t>
            </w:r>
          </w:p>
        </w:tc>
        <w:tc>
          <w:tcPr>
            <w:tcW w:w="3828" w:type="dxa"/>
            <w:shd w:val="clear" w:color="auto" w:fill="F2F2F2" w:themeFill="background1" w:themeFillShade="F2"/>
            <w:tcMar>
              <w:left w:w="57" w:type="dxa"/>
              <w:right w:w="57" w:type="dxa"/>
            </w:tcMar>
          </w:tcPr>
          <w:p w14:paraId="5359FDEF" w14:textId="77777777" w:rsidR="00DD4065" w:rsidRPr="00F07779" w:rsidRDefault="00DD4065" w:rsidP="00DD4065">
            <w:pPr>
              <w:pStyle w:val="ListParagraph"/>
              <w:numPr>
                <w:ilvl w:val="0"/>
                <w:numId w:val="38"/>
              </w:numPr>
              <w:snapToGrid w:val="0"/>
              <w:jc w:val="both"/>
              <w:rPr>
                <w:rFonts w:ascii="Times New Roman" w:eastAsia="Calibri" w:hAnsi="Times New Roman" w:cs="Times New Roman"/>
                <w:noProof w:val="0"/>
                <w:color w:val="2F5496"/>
                <w:sz w:val="19"/>
                <w:szCs w:val="19"/>
                <w:lang w:val="en-US"/>
              </w:rPr>
            </w:pPr>
            <w:r w:rsidRPr="00F07779">
              <w:rPr>
                <w:rFonts w:ascii="Times New Roman" w:eastAsia="Calibri" w:hAnsi="Times New Roman" w:cs="Times New Roman"/>
                <w:noProof w:val="0"/>
                <w:color w:val="2F5496"/>
                <w:sz w:val="19"/>
                <w:szCs w:val="19"/>
                <w:lang w:val="en-US"/>
              </w:rPr>
              <w:t>Secure and efficient supply of heat energy</w:t>
            </w:r>
          </w:p>
          <w:p w14:paraId="3E6F9F34" w14:textId="77777777" w:rsidR="00DD4065" w:rsidRPr="00F07779" w:rsidRDefault="00DD4065" w:rsidP="00DD4065">
            <w:pPr>
              <w:pStyle w:val="ListParagraph"/>
              <w:numPr>
                <w:ilvl w:val="0"/>
                <w:numId w:val="38"/>
              </w:numPr>
              <w:snapToGrid w:val="0"/>
              <w:jc w:val="both"/>
              <w:rPr>
                <w:rFonts w:ascii="Times New Roman" w:eastAsia="Calibri" w:hAnsi="Times New Roman" w:cs="Times New Roman"/>
                <w:noProof w:val="0"/>
                <w:color w:val="2F5496"/>
                <w:sz w:val="19"/>
                <w:szCs w:val="19"/>
                <w:lang w:val="en-US"/>
              </w:rPr>
            </w:pPr>
            <w:r w:rsidRPr="00F07779">
              <w:rPr>
                <w:rFonts w:ascii="Times New Roman" w:eastAsia="Calibri" w:hAnsi="Times New Roman" w:cs="Times New Roman"/>
                <w:noProof w:val="0"/>
                <w:color w:val="2F5496"/>
                <w:sz w:val="19"/>
                <w:szCs w:val="19"/>
                <w:lang w:val="en-US"/>
              </w:rPr>
              <w:t xml:space="preserve">Increasing energy efficiency in </w:t>
            </w:r>
            <w:proofErr w:type="gramStart"/>
            <w:r w:rsidRPr="00F07779">
              <w:rPr>
                <w:rFonts w:ascii="Times New Roman" w:eastAsia="Calibri" w:hAnsi="Times New Roman" w:cs="Times New Roman"/>
                <w:noProof w:val="0"/>
                <w:color w:val="2F5496"/>
                <w:sz w:val="19"/>
                <w:szCs w:val="19"/>
                <w:lang w:val="en-US"/>
              </w:rPr>
              <w:t>the production</w:t>
            </w:r>
            <w:proofErr w:type="gramEnd"/>
            <w:r w:rsidRPr="00F07779">
              <w:rPr>
                <w:rFonts w:ascii="Times New Roman" w:eastAsia="Calibri" w:hAnsi="Times New Roman" w:cs="Times New Roman"/>
                <w:noProof w:val="0"/>
                <w:color w:val="2F5496"/>
                <w:sz w:val="19"/>
                <w:szCs w:val="19"/>
                <w:lang w:val="en-US"/>
              </w:rPr>
              <w:t>, distribution and use of heat energy</w:t>
            </w:r>
          </w:p>
        </w:tc>
        <w:tc>
          <w:tcPr>
            <w:tcW w:w="3402" w:type="dxa"/>
            <w:shd w:val="clear" w:color="auto" w:fill="F2F2F2" w:themeFill="background1" w:themeFillShade="F2"/>
          </w:tcPr>
          <w:p w14:paraId="5B3B5E83" w14:textId="77777777" w:rsidR="00DD4065" w:rsidRPr="00F07779" w:rsidRDefault="00DD4065" w:rsidP="00615D2C">
            <w:pPr>
              <w:numPr>
                <w:ilvl w:val="0"/>
                <w:numId w:val="1"/>
              </w:numPr>
              <w:snapToGrid w:val="0"/>
              <w:ind w:left="129" w:hanging="187"/>
              <w:rPr>
                <w:rFonts w:eastAsia="Calibri"/>
                <w:color w:val="2F5496"/>
                <w:kern w:val="2"/>
                <w:sz w:val="19"/>
                <w:szCs w:val="19"/>
                <w:lang w:val="en-US"/>
                <w14:ligatures w14:val="standardContextual"/>
              </w:rPr>
            </w:pPr>
            <w:r w:rsidRPr="00F07779">
              <w:rPr>
                <w:rFonts w:eastAsia="Calibri"/>
                <w:color w:val="2F5496"/>
                <w:kern w:val="2"/>
                <w:sz w:val="19"/>
                <w:szCs w:val="19"/>
                <w:lang w:val="en-US"/>
                <w14:ligatures w14:val="standardContextual"/>
              </w:rPr>
              <w:t>Increasing the use of RES and waste heat</w:t>
            </w:r>
          </w:p>
        </w:tc>
        <w:tc>
          <w:tcPr>
            <w:tcW w:w="2835" w:type="dxa"/>
            <w:shd w:val="clear" w:color="auto" w:fill="F2F2F2" w:themeFill="background1" w:themeFillShade="F2"/>
          </w:tcPr>
          <w:p w14:paraId="0FA5B284" w14:textId="77777777" w:rsidR="00DD4065" w:rsidRPr="00F07779" w:rsidRDefault="00DD4065" w:rsidP="00615D2C">
            <w:pPr>
              <w:numPr>
                <w:ilvl w:val="0"/>
                <w:numId w:val="1"/>
              </w:numPr>
              <w:snapToGrid w:val="0"/>
              <w:ind w:left="129" w:hanging="187"/>
              <w:rPr>
                <w:rFonts w:eastAsia="Calibri"/>
                <w:color w:val="2F5496"/>
                <w:kern w:val="2"/>
                <w:sz w:val="19"/>
                <w:szCs w:val="19"/>
                <w:lang w:val="en-US"/>
                <w14:ligatures w14:val="standardContextual"/>
              </w:rPr>
            </w:pPr>
            <w:r w:rsidRPr="00F07779">
              <w:rPr>
                <w:rFonts w:eastAsia="Calibri"/>
                <w:color w:val="2F5496"/>
                <w:kern w:val="2"/>
                <w:sz w:val="19"/>
                <w:szCs w:val="19"/>
                <w:lang w:val="en-US"/>
                <w14:ligatures w14:val="standardContextual"/>
              </w:rPr>
              <w:t>Long-term sustainable business of energy entities</w:t>
            </w:r>
          </w:p>
          <w:p w14:paraId="62BE2D25" w14:textId="77777777" w:rsidR="00DD4065" w:rsidRPr="00F07779" w:rsidRDefault="00DD4065" w:rsidP="00615D2C">
            <w:pPr>
              <w:snapToGrid w:val="0"/>
              <w:ind w:left="129"/>
              <w:rPr>
                <w:rFonts w:eastAsia="Calibri"/>
                <w:color w:val="2F5496"/>
                <w:kern w:val="2"/>
                <w:sz w:val="19"/>
                <w:szCs w:val="19"/>
                <w:highlight w:val="yellow"/>
                <w:lang w:val="en-US"/>
                <w14:ligatures w14:val="standardContextual"/>
              </w:rPr>
            </w:pPr>
          </w:p>
        </w:tc>
        <w:tc>
          <w:tcPr>
            <w:tcW w:w="2976" w:type="dxa"/>
            <w:shd w:val="clear" w:color="auto" w:fill="F2F2F2" w:themeFill="background1" w:themeFillShade="F2"/>
          </w:tcPr>
          <w:p w14:paraId="34D6D150" w14:textId="77777777" w:rsidR="00DD4065" w:rsidRPr="00F07779" w:rsidRDefault="00DD4065" w:rsidP="00615D2C">
            <w:pPr>
              <w:numPr>
                <w:ilvl w:val="0"/>
                <w:numId w:val="1"/>
              </w:numPr>
              <w:snapToGrid w:val="0"/>
              <w:ind w:left="129" w:hanging="187"/>
              <w:rPr>
                <w:rFonts w:eastAsia="Calibri"/>
                <w:color w:val="2F5496"/>
                <w:kern w:val="2"/>
                <w:sz w:val="19"/>
                <w:szCs w:val="19"/>
                <w:lang w:val="en-US"/>
                <w14:ligatures w14:val="standardContextual"/>
              </w:rPr>
            </w:pPr>
            <w:r w:rsidRPr="00F07779">
              <w:rPr>
                <w:rFonts w:eastAsia="Calibri"/>
                <w:color w:val="2F5496"/>
                <w:kern w:val="2"/>
                <w:sz w:val="19"/>
                <w:szCs w:val="19"/>
                <w:lang w:val="en-US"/>
                <w14:ligatures w14:val="standardContextual"/>
              </w:rPr>
              <w:t>Harmonization of the institutional and improvement of the regulatory framework</w:t>
            </w:r>
          </w:p>
        </w:tc>
      </w:tr>
      <w:tr w:rsidR="00DD4065" w:rsidRPr="00F07779" w14:paraId="19D393DC" w14:textId="77777777" w:rsidTr="00615D2C">
        <w:trPr>
          <w:trHeight w:val="303"/>
        </w:trPr>
        <w:tc>
          <w:tcPr>
            <w:tcW w:w="1686" w:type="dxa"/>
            <w:gridSpan w:val="2"/>
            <w:vMerge w:val="restart"/>
          </w:tcPr>
          <w:p w14:paraId="159C87B0" w14:textId="77777777" w:rsidR="00DD4065" w:rsidRPr="00F07779" w:rsidRDefault="00DD4065" w:rsidP="00DD4065">
            <w:pPr>
              <w:rPr>
                <w:lang w:val="en-US"/>
              </w:rPr>
            </w:pPr>
          </w:p>
          <w:p w14:paraId="26802BA3" w14:textId="77777777" w:rsidR="00DD4065" w:rsidRPr="00F07779" w:rsidRDefault="00DD4065" w:rsidP="00615D2C">
            <w:pPr>
              <w:snapToGrid w:val="0"/>
              <w:rPr>
                <w:rFonts w:eastAsia="Calibri"/>
                <w:b/>
                <w:bCs/>
                <w:color w:val="2F5496"/>
                <w:sz w:val="20"/>
                <w:szCs w:val="20"/>
                <w:lang w:val="en-US"/>
              </w:rPr>
            </w:pPr>
            <w:r w:rsidRPr="00F07779">
              <w:rPr>
                <w:rFonts w:eastAsia="Calibri"/>
                <w:b/>
                <w:bCs/>
                <w:color w:val="2F5496"/>
                <w:sz w:val="20"/>
                <w:szCs w:val="20"/>
                <w:lang w:val="en-US"/>
              </w:rPr>
              <w:t>Measures</w:t>
            </w:r>
          </w:p>
        </w:tc>
        <w:tc>
          <w:tcPr>
            <w:tcW w:w="3828" w:type="dxa"/>
            <w:tcMar>
              <w:left w:w="57" w:type="dxa"/>
              <w:right w:w="57" w:type="dxa"/>
            </w:tcMar>
          </w:tcPr>
          <w:p w14:paraId="1E16C683" w14:textId="77777777" w:rsidR="00DD4065" w:rsidRPr="00F07779" w:rsidRDefault="00DD4065" w:rsidP="00615D2C">
            <w:pPr>
              <w:snapToGrid w:val="0"/>
              <w:jc w:val="center"/>
              <w:rPr>
                <w:rFonts w:eastAsia="Calibri"/>
                <w:color w:val="2F5496"/>
                <w:kern w:val="2"/>
                <w:sz w:val="19"/>
                <w:szCs w:val="19"/>
                <w:lang w:val="en-US"/>
                <w14:ligatures w14:val="standardContextual"/>
              </w:rPr>
            </w:pPr>
            <w:r w:rsidRPr="00F07779">
              <w:rPr>
                <w:rFonts w:eastAsia="Calibri"/>
                <w:color w:val="2F5496"/>
                <w:kern w:val="2"/>
                <w:sz w:val="19"/>
                <w:szCs w:val="19"/>
                <w:lang w:val="en-US"/>
                <w14:ligatures w14:val="standardContextual"/>
              </w:rPr>
              <w:t>Т1</w:t>
            </w:r>
          </w:p>
        </w:tc>
        <w:tc>
          <w:tcPr>
            <w:tcW w:w="3402" w:type="dxa"/>
          </w:tcPr>
          <w:p w14:paraId="6ACA4F34" w14:textId="77777777" w:rsidR="00DD4065" w:rsidRPr="00F07779" w:rsidRDefault="00DD4065" w:rsidP="00615D2C">
            <w:pPr>
              <w:snapToGrid w:val="0"/>
              <w:jc w:val="center"/>
              <w:rPr>
                <w:rFonts w:eastAsia="Calibri"/>
                <w:sz w:val="19"/>
                <w:szCs w:val="19"/>
                <w:lang w:val="en-US"/>
              </w:rPr>
            </w:pPr>
          </w:p>
        </w:tc>
        <w:tc>
          <w:tcPr>
            <w:tcW w:w="2835" w:type="dxa"/>
            <w:vMerge w:val="restart"/>
          </w:tcPr>
          <w:p w14:paraId="6E4D5FE5" w14:textId="77777777" w:rsidR="00DD4065" w:rsidRPr="00F07779" w:rsidRDefault="00DD4065" w:rsidP="00615D2C">
            <w:pPr>
              <w:snapToGrid w:val="0"/>
              <w:jc w:val="center"/>
              <w:rPr>
                <w:rFonts w:eastAsia="Calibri"/>
                <w:color w:val="2F5496"/>
                <w:kern w:val="2"/>
                <w:sz w:val="19"/>
                <w:szCs w:val="19"/>
                <w:lang w:val="en-US"/>
                <w14:ligatures w14:val="standardContextual"/>
              </w:rPr>
            </w:pPr>
            <w:r w:rsidRPr="00F07779">
              <w:rPr>
                <w:rFonts w:eastAsia="Calibri"/>
                <w:color w:val="2F5496"/>
                <w:kern w:val="2"/>
                <w:sz w:val="19"/>
                <w:szCs w:val="19"/>
                <w:lang w:val="en-US"/>
                <w14:ligatures w14:val="standardContextual"/>
              </w:rPr>
              <w:t>Т3</w:t>
            </w:r>
          </w:p>
        </w:tc>
        <w:tc>
          <w:tcPr>
            <w:tcW w:w="2976" w:type="dxa"/>
            <w:vMerge w:val="restart"/>
          </w:tcPr>
          <w:p w14:paraId="2964C483" w14:textId="77777777" w:rsidR="00DD4065" w:rsidRPr="00F07779" w:rsidRDefault="00DD4065" w:rsidP="00615D2C">
            <w:pPr>
              <w:snapToGrid w:val="0"/>
              <w:ind w:left="-58"/>
              <w:jc w:val="center"/>
              <w:rPr>
                <w:rFonts w:eastAsia="Calibri"/>
                <w:color w:val="2F5496"/>
                <w:kern w:val="2"/>
                <w:sz w:val="19"/>
                <w:szCs w:val="19"/>
                <w:lang w:val="en-US"/>
                <w14:ligatures w14:val="standardContextual"/>
              </w:rPr>
            </w:pPr>
            <w:r w:rsidRPr="00F07779">
              <w:rPr>
                <w:rFonts w:eastAsia="Calibri"/>
                <w:color w:val="2F5496"/>
                <w:kern w:val="2"/>
                <w:sz w:val="19"/>
                <w:szCs w:val="19"/>
                <w:lang w:val="en-US"/>
                <w14:ligatures w14:val="standardContextual"/>
              </w:rPr>
              <w:t>Т4</w:t>
            </w:r>
          </w:p>
        </w:tc>
      </w:tr>
      <w:tr w:rsidR="00DD4065" w:rsidRPr="00F07779" w14:paraId="52EDF845" w14:textId="77777777" w:rsidTr="00615D2C">
        <w:trPr>
          <w:trHeight w:val="252"/>
        </w:trPr>
        <w:tc>
          <w:tcPr>
            <w:tcW w:w="1686" w:type="dxa"/>
            <w:gridSpan w:val="2"/>
            <w:vMerge/>
          </w:tcPr>
          <w:p w14:paraId="64DC1039" w14:textId="77777777" w:rsidR="00DD4065" w:rsidRPr="00F07779" w:rsidRDefault="00DD4065" w:rsidP="00615D2C">
            <w:pPr>
              <w:snapToGrid w:val="0"/>
              <w:rPr>
                <w:rFonts w:eastAsia="Calibri"/>
                <w:b/>
                <w:bCs/>
                <w:color w:val="2F5496"/>
                <w:sz w:val="20"/>
                <w:szCs w:val="20"/>
                <w:lang w:val="en-US"/>
              </w:rPr>
            </w:pPr>
          </w:p>
        </w:tc>
        <w:tc>
          <w:tcPr>
            <w:tcW w:w="7230" w:type="dxa"/>
            <w:gridSpan w:val="2"/>
            <w:tcMar>
              <w:left w:w="57" w:type="dxa"/>
              <w:right w:w="57" w:type="dxa"/>
            </w:tcMar>
          </w:tcPr>
          <w:p w14:paraId="6967487A" w14:textId="77777777" w:rsidR="00DD4065" w:rsidRPr="00F07779" w:rsidRDefault="00DD4065" w:rsidP="00615D2C">
            <w:pPr>
              <w:snapToGrid w:val="0"/>
              <w:jc w:val="center"/>
              <w:rPr>
                <w:rFonts w:eastAsia="Calibri"/>
                <w:color w:val="2F5496"/>
                <w:kern w:val="2"/>
                <w:sz w:val="19"/>
                <w:szCs w:val="19"/>
                <w:lang w:val="en-US"/>
                <w14:ligatures w14:val="standardContextual"/>
              </w:rPr>
            </w:pPr>
            <w:r w:rsidRPr="00F07779">
              <w:rPr>
                <w:rFonts w:eastAsia="Calibri"/>
                <w:color w:val="2F5496"/>
                <w:kern w:val="2"/>
                <w:sz w:val="19"/>
                <w:szCs w:val="19"/>
                <w:lang w:val="en-US"/>
                <w14:ligatures w14:val="standardContextual"/>
              </w:rPr>
              <w:t>Т2</w:t>
            </w:r>
          </w:p>
        </w:tc>
        <w:tc>
          <w:tcPr>
            <w:tcW w:w="2835" w:type="dxa"/>
            <w:vMerge/>
          </w:tcPr>
          <w:p w14:paraId="3A544E22" w14:textId="77777777" w:rsidR="00DD4065" w:rsidRPr="00F07779" w:rsidRDefault="00DD4065" w:rsidP="00615D2C">
            <w:pPr>
              <w:numPr>
                <w:ilvl w:val="0"/>
                <w:numId w:val="1"/>
              </w:numPr>
              <w:snapToGrid w:val="0"/>
              <w:ind w:left="129" w:hanging="187"/>
              <w:rPr>
                <w:rFonts w:eastAsia="Calibri"/>
                <w:color w:val="2F5496"/>
                <w:kern w:val="2"/>
                <w:sz w:val="19"/>
                <w:szCs w:val="19"/>
                <w:lang w:val="en-US"/>
                <w14:ligatures w14:val="standardContextual"/>
              </w:rPr>
            </w:pPr>
          </w:p>
        </w:tc>
        <w:tc>
          <w:tcPr>
            <w:tcW w:w="2976" w:type="dxa"/>
            <w:vMerge/>
          </w:tcPr>
          <w:p w14:paraId="4F4631B6" w14:textId="77777777" w:rsidR="00DD4065" w:rsidRPr="00F07779" w:rsidRDefault="00DD4065" w:rsidP="00615D2C">
            <w:pPr>
              <w:numPr>
                <w:ilvl w:val="0"/>
                <w:numId w:val="1"/>
              </w:numPr>
              <w:snapToGrid w:val="0"/>
              <w:ind w:left="129" w:hanging="187"/>
              <w:rPr>
                <w:rFonts w:eastAsia="Calibri"/>
                <w:color w:val="2F5496"/>
                <w:kern w:val="2"/>
                <w:sz w:val="19"/>
                <w:szCs w:val="19"/>
                <w:lang w:val="en-US"/>
                <w14:ligatures w14:val="standardContextual"/>
              </w:rPr>
            </w:pPr>
          </w:p>
        </w:tc>
      </w:tr>
      <w:tr w:rsidR="00DD4065" w:rsidRPr="00F07779" w14:paraId="115337E5" w14:textId="77777777" w:rsidTr="00615D2C">
        <w:trPr>
          <w:trHeight w:val="841"/>
        </w:trPr>
        <w:tc>
          <w:tcPr>
            <w:tcW w:w="1686" w:type="dxa"/>
            <w:gridSpan w:val="2"/>
          </w:tcPr>
          <w:p w14:paraId="0E5A5127" w14:textId="77777777" w:rsidR="00DD4065" w:rsidRPr="00F07779" w:rsidRDefault="00DD4065" w:rsidP="00615D2C">
            <w:pPr>
              <w:snapToGrid w:val="0"/>
              <w:ind w:firstLine="0"/>
              <w:rPr>
                <w:rFonts w:eastAsia="Calibri"/>
                <w:b/>
                <w:bCs/>
                <w:color w:val="2F5496"/>
                <w:sz w:val="20"/>
                <w:szCs w:val="20"/>
                <w:lang w:val="en-US"/>
              </w:rPr>
            </w:pPr>
            <w:r w:rsidRPr="00F07779">
              <w:rPr>
                <w:rFonts w:eastAsia="Calibri"/>
                <w:b/>
                <w:bCs/>
                <w:color w:val="2F5496"/>
                <w:sz w:val="20"/>
                <w:szCs w:val="20"/>
                <w:lang w:val="en-US"/>
              </w:rPr>
              <w:t xml:space="preserve">       Indicators</w:t>
            </w:r>
          </w:p>
        </w:tc>
        <w:tc>
          <w:tcPr>
            <w:tcW w:w="3828" w:type="dxa"/>
            <w:tcMar>
              <w:left w:w="57" w:type="dxa"/>
              <w:right w:w="57" w:type="dxa"/>
            </w:tcMar>
          </w:tcPr>
          <w:p w14:paraId="39E7EFBA" w14:textId="242CDEE6" w:rsidR="00DD4065" w:rsidRPr="00F07779" w:rsidRDefault="00DD4065" w:rsidP="00615D2C">
            <w:pPr>
              <w:numPr>
                <w:ilvl w:val="0"/>
                <w:numId w:val="1"/>
              </w:numPr>
              <w:snapToGrid w:val="0"/>
              <w:ind w:left="129" w:hanging="187"/>
              <w:rPr>
                <w:rFonts w:eastAsia="Calibri"/>
                <w:color w:val="2F5496"/>
                <w:kern w:val="2"/>
                <w:sz w:val="19"/>
                <w:szCs w:val="19"/>
                <w:lang w:val="en-US"/>
                <w14:ligatures w14:val="standardContextual"/>
              </w:rPr>
            </w:pPr>
            <w:r w:rsidRPr="00F07779">
              <w:rPr>
                <w:rFonts w:eastAsia="Calibri"/>
                <w:color w:val="2F5496"/>
                <w:kern w:val="2"/>
                <w:sz w:val="19"/>
                <w:szCs w:val="19"/>
                <w:lang w:val="en-US"/>
                <w14:ligatures w14:val="standardContextual"/>
              </w:rPr>
              <w:t>Efficiency of the production and distribution system</w:t>
            </w:r>
          </w:p>
          <w:p w14:paraId="11E49302" w14:textId="77777777" w:rsidR="00DD4065" w:rsidRPr="00F07779" w:rsidRDefault="00DD4065" w:rsidP="00615D2C">
            <w:pPr>
              <w:numPr>
                <w:ilvl w:val="0"/>
                <w:numId w:val="1"/>
              </w:numPr>
              <w:snapToGrid w:val="0"/>
              <w:ind w:left="129" w:hanging="187"/>
              <w:rPr>
                <w:rFonts w:eastAsia="Calibri"/>
                <w:color w:val="2F5496"/>
                <w:kern w:val="2"/>
                <w:sz w:val="19"/>
                <w:szCs w:val="19"/>
                <w:lang w:val="en-US"/>
                <w14:ligatures w14:val="standardContextual"/>
              </w:rPr>
            </w:pPr>
            <w:r w:rsidRPr="00F07779">
              <w:rPr>
                <w:rFonts w:eastAsia="Calibri"/>
                <w:color w:val="1F4E79"/>
                <w:kern w:val="2"/>
                <w:sz w:val="19"/>
                <w:szCs w:val="19"/>
                <w:lang w:val="en-US"/>
                <w14:ligatures w14:val="standardContextual"/>
              </w:rPr>
              <w:t>Specific heat energy consumption</w:t>
            </w:r>
          </w:p>
        </w:tc>
        <w:tc>
          <w:tcPr>
            <w:tcW w:w="3402" w:type="dxa"/>
          </w:tcPr>
          <w:p w14:paraId="08E85E70" w14:textId="77777777" w:rsidR="00DD4065" w:rsidRPr="00F07779" w:rsidRDefault="00DD4065" w:rsidP="00615D2C">
            <w:pPr>
              <w:numPr>
                <w:ilvl w:val="0"/>
                <w:numId w:val="1"/>
              </w:numPr>
              <w:snapToGrid w:val="0"/>
              <w:ind w:left="129" w:hanging="187"/>
              <w:rPr>
                <w:rFonts w:eastAsia="Calibri"/>
                <w:color w:val="2F5496"/>
                <w:kern w:val="2"/>
                <w:sz w:val="19"/>
                <w:szCs w:val="19"/>
                <w:lang w:val="en-US"/>
                <w14:ligatures w14:val="standardContextual"/>
              </w:rPr>
            </w:pPr>
            <w:r w:rsidRPr="00F07779">
              <w:rPr>
                <w:rFonts w:eastAsia="Calibri"/>
                <w:color w:val="2F5496"/>
                <w:kern w:val="2"/>
                <w:sz w:val="19"/>
                <w:szCs w:val="19"/>
                <w:lang w:val="en-US"/>
                <w14:ligatures w14:val="standardContextual"/>
              </w:rPr>
              <w:t>Share of thermal energy produced from RES and waste heat in DHS</w:t>
            </w:r>
          </w:p>
        </w:tc>
        <w:tc>
          <w:tcPr>
            <w:tcW w:w="2835" w:type="dxa"/>
          </w:tcPr>
          <w:p w14:paraId="557BB6B1" w14:textId="77777777" w:rsidR="00DD4065" w:rsidRPr="00F07779" w:rsidRDefault="00DD4065" w:rsidP="00615D2C">
            <w:pPr>
              <w:numPr>
                <w:ilvl w:val="0"/>
                <w:numId w:val="1"/>
              </w:numPr>
              <w:snapToGrid w:val="0"/>
              <w:ind w:left="129" w:hanging="187"/>
              <w:rPr>
                <w:rFonts w:eastAsia="Calibri"/>
                <w:color w:val="2F5496"/>
                <w:kern w:val="2"/>
                <w:sz w:val="19"/>
                <w:szCs w:val="19"/>
                <w:lang w:val="en-US"/>
                <w14:ligatures w14:val="standardContextual"/>
              </w:rPr>
            </w:pPr>
            <w:r w:rsidRPr="00F07779">
              <w:rPr>
                <w:rFonts w:eastAsia="Calibri"/>
                <w:color w:val="2F5496"/>
                <w:kern w:val="2"/>
                <w:sz w:val="19"/>
                <w:szCs w:val="19"/>
                <w:lang w:val="en-US"/>
                <w14:ligatures w14:val="standardContextual"/>
              </w:rPr>
              <w:t>Share of district heating systems with tariffs in line with justified costs</w:t>
            </w:r>
          </w:p>
        </w:tc>
        <w:tc>
          <w:tcPr>
            <w:tcW w:w="2976" w:type="dxa"/>
          </w:tcPr>
          <w:p w14:paraId="061C9380" w14:textId="77777777" w:rsidR="00DD4065" w:rsidRPr="00F07779" w:rsidRDefault="00DD4065" w:rsidP="00615D2C">
            <w:pPr>
              <w:numPr>
                <w:ilvl w:val="0"/>
                <w:numId w:val="1"/>
              </w:numPr>
              <w:snapToGrid w:val="0"/>
              <w:ind w:left="129" w:hanging="187"/>
              <w:rPr>
                <w:rFonts w:eastAsia="Calibri"/>
                <w:color w:val="2F5496"/>
                <w:kern w:val="2"/>
                <w:sz w:val="19"/>
                <w:szCs w:val="19"/>
                <w:lang w:val="en-US"/>
                <w14:ligatures w14:val="standardContextual"/>
              </w:rPr>
            </w:pPr>
            <w:r w:rsidRPr="00F07779">
              <w:rPr>
                <w:rFonts w:eastAsia="Calibri"/>
                <w:color w:val="2F5496"/>
                <w:kern w:val="2"/>
                <w:sz w:val="19"/>
                <w:szCs w:val="19"/>
                <w:lang w:val="en-US"/>
                <w14:ligatures w14:val="standardContextual"/>
              </w:rPr>
              <w:t>Share of households connected to DHS</w:t>
            </w:r>
          </w:p>
        </w:tc>
      </w:tr>
      <w:tr w:rsidR="00DD4065" w:rsidRPr="00F07779" w14:paraId="0B2BEFC0" w14:textId="77777777" w:rsidTr="00615D2C">
        <w:trPr>
          <w:trHeight w:val="841"/>
        </w:trPr>
        <w:tc>
          <w:tcPr>
            <w:tcW w:w="1686" w:type="dxa"/>
            <w:gridSpan w:val="2"/>
          </w:tcPr>
          <w:p w14:paraId="40940DFB" w14:textId="77777777" w:rsidR="00DD4065" w:rsidRPr="00F07779" w:rsidRDefault="00DD4065" w:rsidP="00615D2C">
            <w:pPr>
              <w:snapToGrid w:val="0"/>
              <w:ind w:firstLine="0"/>
              <w:rPr>
                <w:rFonts w:eastAsia="Calibri"/>
                <w:b/>
                <w:bCs/>
                <w:color w:val="2F5496"/>
                <w:sz w:val="20"/>
                <w:szCs w:val="20"/>
                <w:lang w:val="en-US"/>
              </w:rPr>
            </w:pPr>
            <w:r w:rsidRPr="00F07779">
              <w:rPr>
                <w:rFonts w:eastAsia="Calibri"/>
                <w:b/>
                <w:bCs/>
                <w:color w:val="2F5496"/>
                <w:sz w:val="20"/>
                <w:szCs w:val="20"/>
                <w:lang w:val="en-US"/>
              </w:rPr>
              <w:t xml:space="preserve">Value in 2023. </w:t>
            </w:r>
          </w:p>
        </w:tc>
        <w:tc>
          <w:tcPr>
            <w:tcW w:w="3828" w:type="dxa"/>
            <w:tcMar>
              <w:left w:w="57" w:type="dxa"/>
              <w:right w:w="57" w:type="dxa"/>
            </w:tcMar>
          </w:tcPr>
          <w:p w14:paraId="0AE91C18" w14:textId="2802EB6E" w:rsidR="00DD4065" w:rsidRPr="00F07779" w:rsidRDefault="00DD4065" w:rsidP="00615D2C">
            <w:pPr>
              <w:snapToGrid w:val="0"/>
              <w:ind w:firstLine="0"/>
              <w:rPr>
                <w:rFonts w:eastAsia="Calibri"/>
                <w:color w:val="2F5496"/>
                <w:sz w:val="19"/>
                <w:szCs w:val="19"/>
                <w:lang w:val="en-US"/>
              </w:rPr>
            </w:pPr>
            <w:r w:rsidRPr="00F07779">
              <w:rPr>
                <w:rFonts w:eastAsia="Calibri"/>
                <w:color w:val="2F5496"/>
                <w:sz w:val="19"/>
                <w:szCs w:val="19"/>
                <w:lang w:val="en-US"/>
              </w:rPr>
              <w:t xml:space="preserve">Efficiency of production system </w:t>
            </w:r>
            <w:proofErr w:type="spellStart"/>
            <w:r w:rsidRPr="00F07779">
              <w:rPr>
                <w:rFonts w:eastAsia="Calibri"/>
                <w:color w:val="2F5496"/>
                <w:sz w:val="19"/>
                <w:szCs w:val="19"/>
                <w:lang w:val="en-US"/>
              </w:rPr>
              <w:t>η</w:t>
            </w:r>
            <w:r w:rsidRPr="00F07779">
              <w:rPr>
                <w:rFonts w:eastAsia="Calibri"/>
                <w:color w:val="2F5496"/>
                <w:sz w:val="19"/>
                <w:szCs w:val="19"/>
                <w:vertAlign w:val="subscript"/>
                <w:lang w:val="en-US"/>
              </w:rPr>
              <w:t>ps</w:t>
            </w:r>
            <w:proofErr w:type="spellEnd"/>
            <w:r w:rsidRPr="00F07779">
              <w:rPr>
                <w:rFonts w:eastAsia="Calibri"/>
                <w:color w:val="2F5496"/>
                <w:sz w:val="19"/>
                <w:szCs w:val="19"/>
                <w:lang w:val="en-US"/>
              </w:rPr>
              <w:t>: 90.7%</w:t>
            </w:r>
          </w:p>
          <w:p w14:paraId="2BE78A41" w14:textId="3232FC93" w:rsidR="00DD4065" w:rsidRPr="00F07779" w:rsidRDefault="00DD4065" w:rsidP="00615D2C">
            <w:pPr>
              <w:snapToGrid w:val="0"/>
              <w:ind w:firstLine="0"/>
              <w:contextualSpacing/>
              <w:rPr>
                <w:rFonts w:eastAsia="Calibri"/>
                <w:color w:val="2F5496"/>
                <w:kern w:val="2"/>
                <w:sz w:val="19"/>
                <w:szCs w:val="19"/>
                <w:lang w:val="en-US"/>
                <w14:ligatures w14:val="standardContextual"/>
              </w:rPr>
            </w:pPr>
            <w:r w:rsidRPr="00F07779">
              <w:rPr>
                <w:rFonts w:eastAsia="Calibri"/>
                <w:color w:val="2F5496"/>
                <w:kern w:val="2"/>
                <w:sz w:val="19"/>
                <w:szCs w:val="19"/>
                <w:lang w:val="en-US"/>
                <w14:ligatures w14:val="standardContextual"/>
              </w:rPr>
              <w:t>Efficiency of distribution system:86.3%</w:t>
            </w:r>
          </w:p>
          <w:p w14:paraId="6CAFA8AA" w14:textId="77777777" w:rsidR="00DD4065" w:rsidRPr="00F07779" w:rsidRDefault="00DD4065" w:rsidP="00615D2C">
            <w:pPr>
              <w:snapToGrid w:val="0"/>
              <w:ind w:firstLine="0"/>
              <w:contextualSpacing/>
              <w:rPr>
                <w:rFonts w:eastAsia="Calibri"/>
                <w:color w:val="2F5496"/>
                <w:kern w:val="2"/>
                <w:sz w:val="19"/>
                <w:szCs w:val="19"/>
                <w:lang w:val="en-US"/>
                <w14:ligatures w14:val="standardContextual"/>
              </w:rPr>
            </w:pPr>
            <w:proofErr w:type="spellStart"/>
            <w:r w:rsidRPr="00F07779">
              <w:rPr>
                <w:rFonts w:eastAsia="Calibri"/>
                <w:color w:val="2F5496"/>
                <w:kern w:val="2"/>
                <w:sz w:val="19"/>
                <w:szCs w:val="19"/>
                <w:lang w:val="en-US"/>
                <w14:ligatures w14:val="standardContextual"/>
              </w:rPr>
              <w:t>q</w:t>
            </w:r>
            <w:r w:rsidRPr="00F07779">
              <w:rPr>
                <w:rFonts w:eastAsia="Calibri"/>
                <w:color w:val="2F5496"/>
                <w:kern w:val="2"/>
                <w:sz w:val="19"/>
                <w:szCs w:val="19"/>
                <w:vertAlign w:val="subscript"/>
                <w:lang w:val="en-US"/>
                <w14:ligatures w14:val="standardContextual"/>
              </w:rPr>
              <w:t>sp</w:t>
            </w:r>
            <w:proofErr w:type="spellEnd"/>
            <w:r w:rsidRPr="00F07779">
              <w:rPr>
                <w:rFonts w:eastAsia="Calibri"/>
                <w:color w:val="2F5496"/>
                <w:kern w:val="2"/>
                <w:sz w:val="19"/>
                <w:szCs w:val="19"/>
                <w:lang w:val="en-US"/>
                <w14:ligatures w14:val="standardContextual"/>
              </w:rPr>
              <w:t>= 119 kWh/m</w:t>
            </w:r>
            <w:r w:rsidRPr="00F07779">
              <w:rPr>
                <w:rFonts w:eastAsia="Calibri"/>
                <w:color w:val="2F5496"/>
                <w:kern w:val="2"/>
                <w:sz w:val="19"/>
                <w:szCs w:val="19"/>
                <w:vertAlign w:val="superscript"/>
                <w:lang w:val="en-US"/>
                <w14:ligatures w14:val="standardContextual"/>
              </w:rPr>
              <w:t>2</w:t>
            </w:r>
            <w:r w:rsidRPr="00F07779">
              <w:rPr>
                <w:rFonts w:eastAsia="Calibri"/>
                <w:color w:val="2F5496"/>
                <w:kern w:val="2"/>
                <w:sz w:val="19"/>
                <w:szCs w:val="19"/>
                <w:lang w:val="en-US"/>
                <w14:ligatures w14:val="standardContextual"/>
              </w:rPr>
              <w:t>/</w:t>
            </w:r>
            <w:proofErr w:type="gramStart"/>
            <w:r w:rsidRPr="00F07779">
              <w:rPr>
                <w:rFonts w:eastAsia="Calibri"/>
                <w:color w:val="2F5496"/>
                <w:kern w:val="2"/>
                <w:sz w:val="19"/>
                <w:szCs w:val="19"/>
                <w:lang w:val="en-US"/>
                <w14:ligatures w14:val="standardContextual"/>
              </w:rPr>
              <w:t>god</w:t>
            </w:r>
            <w:proofErr w:type="gramEnd"/>
          </w:p>
        </w:tc>
        <w:tc>
          <w:tcPr>
            <w:tcW w:w="3402" w:type="dxa"/>
            <w:vAlign w:val="center"/>
          </w:tcPr>
          <w:p w14:paraId="29E685C8" w14:textId="77777777" w:rsidR="00DD4065" w:rsidRPr="00F07779" w:rsidRDefault="00DD4065" w:rsidP="00615D2C">
            <w:pPr>
              <w:snapToGrid w:val="0"/>
              <w:ind w:firstLine="0"/>
              <w:jc w:val="center"/>
              <w:rPr>
                <w:rFonts w:eastAsia="Calibri"/>
                <w:color w:val="2F5496"/>
                <w:sz w:val="19"/>
                <w:szCs w:val="19"/>
                <w:lang w:val="en-US"/>
              </w:rPr>
            </w:pPr>
            <w:r w:rsidRPr="00F07779">
              <w:rPr>
                <w:rFonts w:eastAsia="Calibri"/>
                <w:color w:val="2F5496"/>
                <w:sz w:val="19"/>
                <w:szCs w:val="19"/>
                <w:lang w:val="en-US"/>
              </w:rPr>
              <w:t>2.47%</w:t>
            </w:r>
          </w:p>
        </w:tc>
        <w:tc>
          <w:tcPr>
            <w:tcW w:w="2835" w:type="dxa"/>
            <w:vAlign w:val="center"/>
          </w:tcPr>
          <w:p w14:paraId="0BA72572" w14:textId="77777777" w:rsidR="00DD4065" w:rsidRPr="00F07779" w:rsidRDefault="00DD4065" w:rsidP="00615D2C">
            <w:pPr>
              <w:snapToGrid w:val="0"/>
              <w:ind w:firstLine="0"/>
              <w:jc w:val="center"/>
              <w:rPr>
                <w:rFonts w:eastAsia="Calibri"/>
                <w:color w:val="2F5496"/>
                <w:sz w:val="19"/>
                <w:szCs w:val="19"/>
                <w:lang w:val="en-US"/>
              </w:rPr>
            </w:pPr>
            <w:r w:rsidRPr="00F07779">
              <w:rPr>
                <w:rFonts w:eastAsia="Calibri"/>
                <w:color w:val="2F5496"/>
                <w:sz w:val="19"/>
                <w:szCs w:val="19"/>
                <w:lang w:val="en-US"/>
              </w:rPr>
              <w:t>25%</w:t>
            </w:r>
          </w:p>
        </w:tc>
        <w:tc>
          <w:tcPr>
            <w:tcW w:w="2976" w:type="dxa"/>
            <w:vAlign w:val="center"/>
          </w:tcPr>
          <w:p w14:paraId="26544D73" w14:textId="77777777" w:rsidR="00DD4065" w:rsidRPr="00F07779" w:rsidRDefault="00DD4065" w:rsidP="00615D2C">
            <w:pPr>
              <w:snapToGrid w:val="0"/>
              <w:ind w:firstLine="0"/>
              <w:jc w:val="center"/>
              <w:rPr>
                <w:rFonts w:eastAsia="Calibri"/>
                <w:color w:val="2F5496"/>
                <w:sz w:val="19"/>
                <w:szCs w:val="19"/>
                <w:lang w:val="en-US"/>
              </w:rPr>
            </w:pPr>
            <w:r w:rsidRPr="00F07779">
              <w:rPr>
                <w:rFonts w:eastAsia="Calibri"/>
                <w:color w:val="2F5496"/>
                <w:sz w:val="19"/>
                <w:szCs w:val="19"/>
                <w:lang w:val="en-US"/>
              </w:rPr>
              <w:t>25.33%</w:t>
            </w:r>
          </w:p>
        </w:tc>
      </w:tr>
      <w:tr w:rsidR="00DD4065" w:rsidRPr="00F07779" w14:paraId="5ADC33F4" w14:textId="77777777" w:rsidTr="00615D2C">
        <w:trPr>
          <w:trHeight w:val="758"/>
        </w:trPr>
        <w:tc>
          <w:tcPr>
            <w:tcW w:w="843" w:type="dxa"/>
            <w:vMerge w:val="restart"/>
            <w:textDirection w:val="btLr"/>
          </w:tcPr>
          <w:p w14:paraId="2F994A5B" w14:textId="77777777" w:rsidR="00DD4065" w:rsidRPr="00F07779" w:rsidRDefault="00DD4065" w:rsidP="00615D2C">
            <w:pPr>
              <w:snapToGrid w:val="0"/>
              <w:ind w:right="113"/>
              <w:jc w:val="center"/>
              <w:rPr>
                <w:rFonts w:eastAsia="Calibri"/>
                <w:b/>
                <w:bCs/>
                <w:color w:val="2F5496"/>
                <w:sz w:val="20"/>
                <w:szCs w:val="20"/>
                <w:lang w:val="en-US"/>
              </w:rPr>
            </w:pPr>
            <w:r w:rsidRPr="00F07779">
              <w:rPr>
                <w:rFonts w:eastAsia="Calibri"/>
                <w:b/>
                <w:bCs/>
                <w:color w:val="2F5496"/>
                <w:sz w:val="20"/>
                <w:szCs w:val="20"/>
                <w:lang w:val="en-US"/>
              </w:rPr>
              <w:t>The projected value of the indicator</w:t>
            </w:r>
          </w:p>
        </w:tc>
        <w:tc>
          <w:tcPr>
            <w:tcW w:w="843" w:type="dxa"/>
          </w:tcPr>
          <w:p w14:paraId="26C641FA" w14:textId="77777777" w:rsidR="00DD4065" w:rsidRPr="00F07779" w:rsidRDefault="00DD4065" w:rsidP="00615D2C">
            <w:pPr>
              <w:snapToGrid w:val="0"/>
              <w:ind w:firstLine="0"/>
              <w:jc w:val="both"/>
              <w:rPr>
                <w:rFonts w:eastAsia="Calibri"/>
                <w:bCs/>
                <w:color w:val="2F5496"/>
                <w:sz w:val="20"/>
                <w:szCs w:val="20"/>
                <w:lang w:val="en-US"/>
              </w:rPr>
            </w:pPr>
            <w:r w:rsidRPr="00F07779">
              <w:rPr>
                <w:rFonts w:eastAsia="Calibri"/>
                <w:bCs/>
                <w:color w:val="2F5496"/>
                <w:sz w:val="20"/>
                <w:szCs w:val="20"/>
                <w:lang w:val="en-US"/>
              </w:rPr>
              <w:t>2026</w:t>
            </w:r>
          </w:p>
        </w:tc>
        <w:tc>
          <w:tcPr>
            <w:tcW w:w="3828" w:type="dxa"/>
            <w:tcMar>
              <w:left w:w="57" w:type="dxa"/>
              <w:right w:w="57" w:type="dxa"/>
            </w:tcMar>
          </w:tcPr>
          <w:p w14:paraId="1EDDE126" w14:textId="33A972D0" w:rsidR="00DD4065" w:rsidRPr="00F07779" w:rsidRDefault="00DD4065" w:rsidP="00615D2C">
            <w:pPr>
              <w:snapToGrid w:val="0"/>
              <w:ind w:firstLine="0"/>
              <w:rPr>
                <w:rFonts w:eastAsia="Calibri"/>
                <w:color w:val="2F5496"/>
                <w:sz w:val="19"/>
                <w:szCs w:val="19"/>
                <w:lang w:val="en-US"/>
              </w:rPr>
            </w:pPr>
            <w:proofErr w:type="spellStart"/>
            <w:r w:rsidRPr="00F07779">
              <w:rPr>
                <w:rFonts w:eastAsia="Calibri"/>
                <w:color w:val="2F5496"/>
                <w:sz w:val="19"/>
                <w:szCs w:val="19"/>
                <w:lang w:val="en-US"/>
              </w:rPr>
              <w:t>η</w:t>
            </w:r>
            <w:r w:rsidRPr="00F07779">
              <w:rPr>
                <w:rFonts w:eastAsia="Calibri"/>
                <w:color w:val="2F5496"/>
                <w:sz w:val="19"/>
                <w:szCs w:val="19"/>
                <w:vertAlign w:val="subscript"/>
                <w:lang w:val="en-US"/>
              </w:rPr>
              <w:t>ps</w:t>
            </w:r>
            <w:proofErr w:type="spellEnd"/>
            <w:r w:rsidRPr="00F07779">
              <w:rPr>
                <w:rFonts w:eastAsia="Calibri"/>
                <w:color w:val="2F5496"/>
                <w:sz w:val="19"/>
                <w:szCs w:val="19"/>
                <w:lang w:val="en-US"/>
              </w:rPr>
              <w:t>=91.40%</w:t>
            </w:r>
          </w:p>
          <w:p w14:paraId="411333AA" w14:textId="37AE0F61" w:rsidR="00DD4065" w:rsidRPr="00F07779" w:rsidRDefault="00DD4065" w:rsidP="00615D2C">
            <w:pPr>
              <w:snapToGrid w:val="0"/>
              <w:ind w:firstLine="0"/>
              <w:rPr>
                <w:rFonts w:eastAsia="Calibri"/>
                <w:color w:val="2F5496"/>
                <w:sz w:val="19"/>
                <w:szCs w:val="19"/>
                <w:lang w:val="en-US"/>
              </w:rPr>
            </w:pPr>
            <w:proofErr w:type="spellStart"/>
            <w:r w:rsidRPr="00F07779">
              <w:rPr>
                <w:rFonts w:eastAsia="Calibri"/>
                <w:color w:val="2F5496"/>
                <w:sz w:val="19"/>
                <w:szCs w:val="19"/>
                <w:lang w:val="en-US"/>
              </w:rPr>
              <w:t>η</w:t>
            </w:r>
            <w:r w:rsidRPr="00F07779">
              <w:rPr>
                <w:rFonts w:eastAsia="Calibri"/>
                <w:color w:val="2F5496"/>
                <w:sz w:val="19"/>
                <w:szCs w:val="19"/>
                <w:vertAlign w:val="subscript"/>
                <w:lang w:val="en-US"/>
              </w:rPr>
              <w:t>ds</w:t>
            </w:r>
            <w:proofErr w:type="spellEnd"/>
            <w:r w:rsidRPr="00F07779">
              <w:rPr>
                <w:rFonts w:eastAsia="Calibri"/>
                <w:color w:val="2F5496"/>
                <w:sz w:val="19"/>
                <w:szCs w:val="19"/>
                <w:lang w:val="en-US"/>
              </w:rPr>
              <w:t>=</w:t>
            </w:r>
            <w:r w:rsidRPr="00F07779">
              <w:rPr>
                <w:lang w:val="en-US"/>
              </w:rPr>
              <w:t xml:space="preserve"> </w:t>
            </w:r>
            <w:r w:rsidRPr="00F07779">
              <w:rPr>
                <w:rFonts w:eastAsia="Calibri"/>
                <w:color w:val="2F5496"/>
                <w:sz w:val="19"/>
                <w:szCs w:val="19"/>
                <w:lang w:val="en-US"/>
              </w:rPr>
              <w:t xml:space="preserve">87.25% </w:t>
            </w:r>
          </w:p>
          <w:p w14:paraId="18B1D7D4" w14:textId="77777777" w:rsidR="00DD4065" w:rsidRPr="00F07779" w:rsidRDefault="00DD4065" w:rsidP="00615D2C">
            <w:pPr>
              <w:snapToGrid w:val="0"/>
              <w:ind w:firstLine="0"/>
              <w:rPr>
                <w:rFonts w:eastAsia="Calibri"/>
                <w:color w:val="2F5496"/>
                <w:sz w:val="19"/>
                <w:szCs w:val="19"/>
                <w:lang w:val="en-US"/>
              </w:rPr>
            </w:pPr>
            <w:proofErr w:type="spellStart"/>
            <w:r w:rsidRPr="00F07779">
              <w:rPr>
                <w:rFonts w:eastAsia="Calibri"/>
                <w:color w:val="2F5496"/>
                <w:kern w:val="2"/>
                <w:sz w:val="19"/>
                <w:szCs w:val="19"/>
                <w:lang w:val="en-US"/>
                <w14:ligatures w14:val="standardContextual"/>
              </w:rPr>
              <w:t>q</w:t>
            </w:r>
            <w:r w:rsidRPr="00F07779">
              <w:rPr>
                <w:rFonts w:eastAsia="Calibri"/>
                <w:color w:val="2F5496"/>
                <w:kern w:val="2"/>
                <w:sz w:val="19"/>
                <w:szCs w:val="19"/>
                <w:vertAlign w:val="subscript"/>
                <w:lang w:val="en-US"/>
                <w14:ligatures w14:val="standardContextual"/>
              </w:rPr>
              <w:t>sp</w:t>
            </w:r>
            <w:proofErr w:type="spellEnd"/>
            <w:r w:rsidRPr="00F07779">
              <w:rPr>
                <w:rFonts w:eastAsia="Calibri"/>
                <w:color w:val="2F5496"/>
                <w:kern w:val="2"/>
                <w:sz w:val="19"/>
                <w:szCs w:val="19"/>
                <w:lang w:val="en-US"/>
                <w14:ligatures w14:val="standardContextual"/>
              </w:rPr>
              <w:t>=117</w:t>
            </w:r>
            <w:r w:rsidRPr="00F07779">
              <w:rPr>
                <w:lang w:val="en-US"/>
              </w:rPr>
              <w:t xml:space="preserve"> </w:t>
            </w:r>
            <w:r w:rsidRPr="00F07779">
              <w:rPr>
                <w:rFonts w:eastAsia="Calibri"/>
                <w:color w:val="2F5496"/>
                <w:kern w:val="2"/>
                <w:sz w:val="19"/>
                <w:szCs w:val="19"/>
                <w:lang w:val="en-US"/>
                <w14:ligatures w14:val="standardContextual"/>
              </w:rPr>
              <w:t>kWh/m</w:t>
            </w:r>
            <w:r w:rsidRPr="00F07779">
              <w:rPr>
                <w:rFonts w:eastAsia="Calibri"/>
                <w:color w:val="2F5496"/>
                <w:kern w:val="2"/>
                <w:sz w:val="19"/>
                <w:szCs w:val="19"/>
                <w:vertAlign w:val="superscript"/>
                <w:lang w:val="en-US"/>
                <w14:ligatures w14:val="standardContextual"/>
              </w:rPr>
              <w:t>2</w:t>
            </w:r>
            <w:r w:rsidRPr="00F07779">
              <w:rPr>
                <w:rFonts w:eastAsia="Calibri"/>
                <w:color w:val="2F5496"/>
                <w:kern w:val="2"/>
                <w:sz w:val="19"/>
                <w:szCs w:val="19"/>
                <w:lang w:val="en-US"/>
                <w14:ligatures w14:val="standardContextual"/>
              </w:rPr>
              <w:t>/y</w:t>
            </w:r>
          </w:p>
        </w:tc>
        <w:tc>
          <w:tcPr>
            <w:tcW w:w="3402" w:type="dxa"/>
            <w:vAlign w:val="center"/>
          </w:tcPr>
          <w:p w14:paraId="79B19609" w14:textId="77777777" w:rsidR="00DD4065" w:rsidRPr="00F07779" w:rsidRDefault="00DD4065" w:rsidP="00615D2C">
            <w:pPr>
              <w:snapToGrid w:val="0"/>
              <w:ind w:firstLine="0"/>
              <w:jc w:val="center"/>
              <w:rPr>
                <w:rFonts w:eastAsia="Calibri"/>
                <w:color w:val="4472C4" w:themeColor="accent1"/>
                <w:sz w:val="20"/>
                <w:szCs w:val="20"/>
                <w:lang w:val="en-US"/>
              </w:rPr>
            </w:pPr>
            <w:r w:rsidRPr="00F07779">
              <w:rPr>
                <w:color w:val="4472C4" w:themeColor="accent1"/>
                <w:sz w:val="20"/>
                <w:szCs w:val="20"/>
                <w:lang w:val="en-US"/>
              </w:rPr>
              <w:t>3.01%</w:t>
            </w:r>
          </w:p>
        </w:tc>
        <w:tc>
          <w:tcPr>
            <w:tcW w:w="2835" w:type="dxa"/>
            <w:vAlign w:val="center"/>
          </w:tcPr>
          <w:p w14:paraId="2CD5D60D" w14:textId="29F354DD" w:rsidR="00DD4065" w:rsidRPr="00F07779" w:rsidRDefault="00DD4065" w:rsidP="00615D2C">
            <w:pPr>
              <w:snapToGrid w:val="0"/>
              <w:ind w:firstLine="0"/>
              <w:jc w:val="center"/>
              <w:rPr>
                <w:rFonts w:eastAsia="Calibri"/>
                <w:color w:val="4472C4" w:themeColor="accent1"/>
                <w:sz w:val="20"/>
                <w:szCs w:val="20"/>
                <w:lang w:val="en-US"/>
              </w:rPr>
            </w:pPr>
            <w:r w:rsidRPr="00F07779">
              <w:rPr>
                <w:color w:val="4472C4" w:themeColor="accent1"/>
                <w:sz w:val="20"/>
                <w:szCs w:val="20"/>
                <w:lang w:val="en-US"/>
              </w:rPr>
              <w:t>60%</w:t>
            </w:r>
          </w:p>
        </w:tc>
        <w:tc>
          <w:tcPr>
            <w:tcW w:w="2976" w:type="dxa"/>
            <w:vAlign w:val="center"/>
          </w:tcPr>
          <w:p w14:paraId="22817117" w14:textId="77777777" w:rsidR="00DD4065" w:rsidRPr="00F07779" w:rsidRDefault="00DD4065" w:rsidP="00615D2C">
            <w:pPr>
              <w:snapToGrid w:val="0"/>
              <w:ind w:firstLine="0"/>
              <w:jc w:val="center"/>
              <w:rPr>
                <w:rFonts w:eastAsia="Calibri"/>
                <w:color w:val="4472C4" w:themeColor="accent1"/>
                <w:sz w:val="20"/>
                <w:szCs w:val="20"/>
                <w:lang w:val="en-US"/>
              </w:rPr>
            </w:pPr>
            <w:r w:rsidRPr="00F07779">
              <w:rPr>
                <w:color w:val="4472C4" w:themeColor="accent1"/>
                <w:sz w:val="20"/>
                <w:szCs w:val="20"/>
                <w:lang w:val="en-US"/>
              </w:rPr>
              <w:t>27.53%</w:t>
            </w:r>
          </w:p>
        </w:tc>
      </w:tr>
      <w:tr w:rsidR="00DD4065" w:rsidRPr="00F07779" w14:paraId="1F9999D0" w14:textId="77777777" w:rsidTr="00615D2C">
        <w:trPr>
          <w:trHeight w:val="254"/>
        </w:trPr>
        <w:tc>
          <w:tcPr>
            <w:tcW w:w="843" w:type="dxa"/>
            <w:vMerge/>
          </w:tcPr>
          <w:p w14:paraId="4CC2051C" w14:textId="77777777" w:rsidR="00DD4065" w:rsidRPr="00F07779" w:rsidRDefault="00DD4065" w:rsidP="00615D2C">
            <w:pPr>
              <w:snapToGrid w:val="0"/>
              <w:rPr>
                <w:rFonts w:eastAsia="Calibri"/>
                <w:b/>
                <w:bCs/>
                <w:color w:val="2F5496"/>
                <w:sz w:val="20"/>
                <w:szCs w:val="20"/>
                <w:lang w:val="en-US"/>
              </w:rPr>
            </w:pPr>
          </w:p>
        </w:tc>
        <w:tc>
          <w:tcPr>
            <w:tcW w:w="843" w:type="dxa"/>
          </w:tcPr>
          <w:p w14:paraId="4A4AEB79" w14:textId="77777777" w:rsidR="00DD4065" w:rsidRPr="00F07779" w:rsidRDefault="00DD4065" w:rsidP="00615D2C">
            <w:pPr>
              <w:snapToGrid w:val="0"/>
              <w:ind w:firstLine="0"/>
              <w:jc w:val="both"/>
              <w:rPr>
                <w:rFonts w:eastAsia="Calibri"/>
                <w:bCs/>
                <w:color w:val="2F5496"/>
                <w:sz w:val="20"/>
                <w:szCs w:val="20"/>
                <w:lang w:val="en-US"/>
              </w:rPr>
            </w:pPr>
            <w:r w:rsidRPr="00F07779">
              <w:rPr>
                <w:rFonts w:eastAsia="Calibri"/>
                <w:bCs/>
                <w:color w:val="2F5496"/>
                <w:sz w:val="20"/>
                <w:szCs w:val="20"/>
                <w:lang w:val="en-US"/>
              </w:rPr>
              <w:t>2027</w:t>
            </w:r>
          </w:p>
        </w:tc>
        <w:tc>
          <w:tcPr>
            <w:tcW w:w="3828" w:type="dxa"/>
            <w:tcMar>
              <w:left w:w="57" w:type="dxa"/>
              <w:right w:w="57" w:type="dxa"/>
            </w:tcMar>
          </w:tcPr>
          <w:p w14:paraId="373854CD" w14:textId="6C74C5D3" w:rsidR="00DD4065" w:rsidRPr="00F07779" w:rsidRDefault="00DD4065" w:rsidP="00615D2C">
            <w:pPr>
              <w:snapToGrid w:val="0"/>
              <w:ind w:firstLine="0"/>
              <w:rPr>
                <w:rFonts w:eastAsia="Calibri"/>
                <w:color w:val="2F5496"/>
                <w:sz w:val="19"/>
                <w:szCs w:val="19"/>
                <w:lang w:val="en-US"/>
              </w:rPr>
            </w:pPr>
            <w:proofErr w:type="spellStart"/>
            <w:r w:rsidRPr="00F07779">
              <w:rPr>
                <w:rFonts w:eastAsia="Calibri"/>
                <w:color w:val="2F5496"/>
                <w:sz w:val="19"/>
                <w:szCs w:val="19"/>
                <w:lang w:val="en-US"/>
              </w:rPr>
              <w:t>η</w:t>
            </w:r>
            <w:r w:rsidRPr="00F07779">
              <w:rPr>
                <w:rFonts w:eastAsia="Calibri"/>
                <w:color w:val="2F5496"/>
                <w:sz w:val="19"/>
                <w:szCs w:val="19"/>
                <w:vertAlign w:val="subscript"/>
                <w:lang w:val="en-US"/>
              </w:rPr>
              <w:t>ps</w:t>
            </w:r>
            <w:proofErr w:type="spellEnd"/>
            <w:r w:rsidRPr="00F07779">
              <w:rPr>
                <w:rFonts w:eastAsia="Calibri"/>
                <w:color w:val="2F5496"/>
                <w:sz w:val="19"/>
                <w:szCs w:val="19"/>
                <w:lang w:val="en-US"/>
              </w:rPr>
              <w:t>=91.70%</w:t>
            </w:r>
          </w:p>
          <w:p w14:paraId="071A2022" w14:textId="71F99619" w:rsidR="00DD4065" w:rsidRPr="00F07779" w:rsidRDefault="00DD4065" w:rsidP="00615D2C">
            <w:pPr>
              <w:snapToGrid w:val="0"/>
              <w:ind w:firstLine="0"/>
              <w:rPr>
                <w:rFonts w:eastAsia="Calibri"/>
                <w:color w:val="2F5496"/>
                <w:sz w:val="19"/>
                <w:szCs w:val="19"/>
                <w:lang w:val="en-US"/>
              </w:rPr>
            </w:pPr>
            <w:proofErr w:type="spellStart"/>
            <w:r w:rsidRPr="00F07779">
              <w:rPr>
                <w:rFonts w:eastAsia="Calibri"/>
                <w:color w:val="2F5496"/>
                <w:sz w:val="19"/>
                <w:szCs w:val="19"/>
                <w:lang w:val="en-US"/>
              </w:rPr>
              <w:t>η</w:t>
            </w:r>
            <w:r w:rsidRPr="00F07779">
              <w:rPr>
                <w:rFonts w:eastAsia="Calibri"/>
                <w:color w:val="2F5496"/>
                <w:sz w:val="19"/>
                <w:szCs w:val="19"/>
                <w:vertAlign w:val="subscript"/>
                <w:lang w:val="en-US"/>
              </w:rPr>
              <w:t>ds</w:t>
            </w:r>
            <w:proofErr w:type="spellEnd"/>
            <w:r w:rsidRPr="00F07779">
              <w:rPr>
                <w:rFonts w:eastAsia="Calibri"/>
                <w:color w:val="2F5496"/>
                <w:sz w:val="19"/>
                <w:szCs w:val="19"/>
                <w:lang w:val="en-US"/>
              </w:rPr>
              <w:t>=</w:t>
            </w:r>
            <w:r w:rsidRPr="00F07779">
              <w:rPr>
                <w:lang w:val="en-US"/>
              </w:rPr>
              <w:t xml:space="preserve"> </w:t>
            </w:r>
            <w:r w:rsidRPr="00F07779">
              <w:rPr>
                <w:rFonts w:eastAsia="Calibri"/>
                <w:color w:val="2F5496"/>
                <w:sz w:val="19"/>
                <w:szCs w:val="19"/>
                <w:lang w:val="en-US"/>
              </w:rPr>
              <w:t>87.63%</w:t>
            </w:r>
          </w:p>
          <w:p w14:paraId="104F5BCC" w14:textId="77777777" w:rsidR="00DD4065" w:rsidRPr="00F07779" w:rsidRDefault="00DD4065" w:rsidP="00615D2C">
            <w:pPr>
              <w:snapToGrid w:val="0"/>
              <w:ind w:firstLine="0"/>
              <w:rPr>
                <w:rFonts w:eastAsia="Calibri"/>
                <w:color w:val="2F5496"/>
                <w:sz w:val="19"/>
                <w:szCs w:val="19"/>
                <w:lang w:val="en-US"/>
              </w:rPr>
            </w:pPr>
            <w:proofErr w:type="spellStart"/>
            <w:r w:rsidRPr="00F07779">
              <w:rPr>
                <w:rFonts w:eastAsia="Calibri"/>
                <w:color w:val="2F5496"/>
                <w:kern w:val="2"/>
                <w:sz w:val="19"/>
                <w:szCs w:val="19"/>
                <w:lang w:val="en-US"/>
                <w14:ligatures w14:val="standardContextual"/>
              </w:rPr>
              <w:t>q</w:t>
            </w:r>
            <w:r w:rsidRPr="00F07779">
              <w:rPr>
                <w:rFonts w:eastAsia="Calibri"/>
                <w:color w:val="2F5496"/>
                <w:kern w:val="2"/>
                <w:sz w:val="19"/>
                <w:szCs w:val="19"/>
                <w:vertAlign w:val="subscript"/>
                <w:lang w:val="en-US"/>
                <w14:ligatures w14:val="standardContextual"/>
              </w:rPr>
              <w:t>sp</w:t>
            </w:r>
            <w:proofErr w:type="spellEnd"/>
            <w:r w:rsidRPr="00F07779">
              <w:rPr>
                <w:rFonts w:eastAsia="Calibri"/>
                <w:color w:val="2F5496"/>
                <w:kern w:val="2"/>
                <w:sz w:val="19"/>
                <w:szCs w:val="19"/>
                <w:lang w:val="en-US"/>
                <w14:ligatures w14:val="standardContextual"/>
              </w:rPr>
              <w:t>=116</w:t>
            </w:r>
            <w:r w:rsidRPr="00F07779">
              <w:rPr>
                <w:lang w:val="en-US"/>
              </w:rPr>
              <w:t xml:space="preserve"> </w:t>
            </w:r>
            <w:r w:rsidRPr="00F07779">
              <w:rPr>
                <w:rFonts w:eastAsia="Calibri"/>
                <w:color w:val="2F5496"/>
                <w:kern w:val="2"/>
                <w:sz w:val="19"/>
                <w:szCs w:val="19"/>
                <w:lang w:val="en-US"/>
                <w14:ligatures w14:val="standardContextual"/>
              </w:rPr>
              <w:t>kWh/m</w:t>
            </w:r>
            <w:r w:rsidRPr="00F07779">
              <w:rPr>
                <w:rFonts w:eastAsia="Calibri"/>
                <w:color w:val="2F5496"/>
                <w:kern w:val="2"/>
                <w:sz w:val="19"/>
                <w:szCs w:val="19"/>
                <w:vertAlign w:val="superscript"/>
                <w:lang w:val="en-US"/>
                <w14:ligatures w14:val="standardContextual"/>
              </w:rPr>
              <w:t>2</w:t>
            </w:r>
            <w:r w:rsidRPr="00F07779">
              <w:rPr>
                <w:rFonts w:eastAsia="Calibri"/>
                <w:color w:val="2F5496"/>
                <w:kern w:val="2"/>
                <w:sz w:val="19"/>
                <w:szCs w:val="19"/>
                <w:lang w:val="en-US"/>
                <w14:ligatures w14:val="standardContextual"/>
              </w:rPr>
              <w:t>/y</w:t>
            </w:r>
          </w:p>
        </w:tc>
        <w:tc>
          <w:tcPr>
            <w:tcW w:w="3402" w:type="dxa"/>
            <w:vAlign w:val="center"/>
          </w:tcPr>
          <w:p w14:paraId="4F81515D" w14:textId="77777777" w:rsidR="00DD4065" w:rsidRPr="00F07779" w:rsidRDefault="00DD4065" w:rsidP="00615D2C">
            <w:pPr>
              <w:snapToGrid w:val="0"/>
              <w:ind w:firstLine="0"/>
              <w:jc w:val="center"/>
              <w:rPr>
                <w:rFonts w:eastAsia="Calibri"/>
                <w:color w:val="4472C4" w:themeColor="accent1"/>
                <w:sz w:val="20"/>
                <w:szCs w:val="20"/>
                <w:lang w:val="en-US"/>
              </w:rPr>
            </w:pPr>
            <w:r w:rsidRPr="00F07779">
              <w:rPr>
                <w:color w:val="4472C4" w:themeColor="accent1"/>
                <w:sz w:val="20"/>
                <w:szCs w:val="20"/>
                <w:lang w:val="en-US"/>
              </w:rPr>
              <w:t>3.94%</w:t>
            </w:r>
          </w:p>
        </w:tc>
        <w:tc>
          <w:tcPr>
            <w:tcW w:w="2835" w:type="dxa"/>
            <w:vAlign w:val="center"/>
          </w:tcPr>
          <w:p w14:paraId="2F1B35BA" w14:textId="5DD65C4B" w:rsidR="00DD4065" w:rsidRPr="00F07779" w:rsidRDefault="00DD4065" w:rsidP="00615D2C">
            <w:pPr>
              <w:snapToGrid w:val="0"/>
              <w:ind w:firstLine="0"/>
              <w:jc w:val="center"/>
              <w:rPr>
                <w:rFonts w:eastAsia="Calibri"/>
                <w:color w:val="4472C4" w:themeColor="accent1"/>
                <w:sz w:val="20"/>
                <w:szCs w:val="20"/>
                <w:lang w:val="en-US"/>
              </w:rPr>
            </w:pPr>
            <w:r w:rsidRPr="00F07779">
              <w:rPr>
                <w:color w:val="4472C4" w:themeColor="accent1"/>
                <w:sz w:val="20"/>
                <w:szCs w:val="20"/>
                <w:lang w:val="en-US"/>
              </w:rPr>
              <w:t>77%</w:t>
            </w:r>
          </w:p>
        </w:tc>
        <w:tc>
          <w:tcPr>
            <w:tcW w:w="2976" w:type="dxa"/>
            <w:vAlign w:val="center"/>
          </w:tcPr>
          <w:p w14:paraId="41E8EB59" w14:textId="77777777" w:rsidR="00DD4065" w:rsidRPr="00F07779" w:rsidRDefault="00DD4065" w:rsidP="00615D2C">
            <w:pPr>
              <w:snapToGrid w:val="0"/>
              <w:ind w:firstLine="0"/>
              <w:jc w:val="center"/>
              <w:rPr>
                <w:rFonts w:eastAsia="Calibri"/>
                <w:color w:val="4472C4" w:themeColor="accent1"/>
                <w:sz w:val="20"/>
                <w:szCs w:val="20"/>
                <w:lang w:val="en-US"/>
              </w:rPr>
            </w:pPr>
            <w:r w:rsidRPr="00F07779">
              <w:rPr>
                <w:color w:val="4472C4" w:themeColor="accent1"/>
                <w:sz w:val="20"/>
                <w:szCs w:val="20"/>
                <w:lang w:val="en-US"/>
              </w:rPr>
              <w:t>28.27%</w:t>
            </w:r>
          </w:p>
        </w:tc>
      </w:tr>
      <w:tr w:rsidR="00DD4065" w:rsidRPr="00F07779" w14:paraId="4A2126C1" w14:textId="77777777" w:rsidTr="00615D2C">
        <w:trPr>
          <w:trHeight w:val="254"/>
        </w:trPr>
        <w:tc>
          <w:tcPr>
            <w:tcW w:w="843" w:type="dxa"/>
            <w:vMerge/>
          </w:tcPr>
          <w:p w14:paraId="62AE8A4A" w14:textId="77777777" w:rsidR="00DD4065" w:rsidRPr="00F07779" w:rsidRDefault="00DD4065" w:rsidP="00615D2C">
            <w:pPr>
              <w:snapToGrid w:val="0"/>
              <w:rPr>
                <w:rFonts w:eastAsia="Calibri"/>
                <w:b/>
                <w:bCs/>
                <w:color w:val="2F5496"/>
                <w:sz w:val="20"/>
                <w:szCs w:val="20"/>
                <w:lang w:val="en-US"/>
              </w:rPr>
            </w:pPr>
          </w:p>
        </w:tc>
        <w:tc>
          <w:tcPr>
            <w:tcW w:w="843" w:type="dxa"/>
          </w:tcPr>
          <w:p w14:paraId="5CFC2EE5" w14:textId="77777777" w:rsidR="00DD4065" w:rsidRPr="00F07779" w:rsidRDefault="00DD4065" w:rsidP="00615D2C">
            <w:pPr>
              <w:snapToGrid w:val="0"/>
              <w:ind w:firstLine="0"/>
              <w:jc w:val="both"/>
              <w:rPr>
                <w:rFonts w:eastAsia="Calibri"/>
                <w:bCs/>
                <w:color w:val="2F5496"/>
                <w:sz w:val="20"/>
                <w:szCs w:val="20"/>
                <w:lang w:val="en-US"/>
              </w:rPr>
            </w:pPr>
            <w:r w:rsidRPr="00F07779">
              <w:rPr>
                <w:rFonts w:eastAsia="Calibri"/>
                <w:bCs/>
                <w:color w:val="2F5496"/>
                <w:sz w:val="20"/>
                <w:szCs w:val="20"/>
                <w:lang w:val="en-US"/>
              </w:rPr>
              <w:t>2028</w:t>
            </w:r>
          </w:p>
        </w:tc>
        <w:tc>
          <w:tcPr>
            <w:tcW w:w="3828" w:type="dxa"/>
            <w:tcMar>
              <w:left w:w="57" w:type="dxa"/>
              <w:right w:w="57" w:type="dxa"/>
            </w:tcMar>
          </w:tcPr>
          <w:p w14:paraId="519FE440" w14:textId="77777777" w:rsidR="00DD4065" w:rsidRPr="00F07779" w:rsidRDefault="00DD4065" w:rsidP="00615D2C">
            <w:pPr>
              <w:snapToGrid w:val="0"/>
              <w:ind w:firstLine="0"/>
              <w:rPr>
                <w:rFonts w:eastAsia="Calibri"/>
                <w:color w:val="2F5496"/>
                <w:sz w:val="19"/>
                <w:szCs w:val="19"/>
                <w:lang w:val="en-US"/>
              </w:rPr>
            </w:pPr>
            <w:proofErr w:type="spellStart"/>
            <w:r w:rsidRPr="00F07779">
              <w:rPr>
                <w:rFonts w:eastAsia="Calibri"/>
                <w:color w:val="2F5496"/>
                <w:sz w:val="19"/>
                <w:szCs w:val="19"/>
                <w:lang w:val="en-US"/>
              </w:rPr>
              <w:t>η</w:t>
            </w:r>
            <w:r w:rsidRPr="00F07779">
              <w:rPr>
                <w:rFonts w:eastAsia="Calibri"/>
                <w:color w:val="2F5496"/>
                <w:sz w:val="19"/>
                <w:szCs w:val="19"/>
                <w:vertAlign w:val="subscript"/>
                <w:lang w:val="en-US"/>
              </w:rPr>
              <w:t>ps</w:t>
            </w:r>
            <w:proofErr w:type="spellEnd"/>
            <w:r w:rsidRPr="00F07779">
              <w:rPr>
                <w:rFonts w:eastAsia="Calibri"/>
                <w:color w:val="2F5496"/>
                <w:sz w:val="19"/>
                <w:szCs w:val="19"/>
                <w:lang w:val="en-US"/>
              </w:rPr>
              <w:t>=92%</w:t>
            </w:r>
          </w:p>
          <w:p w14:paraId="7E045C03" w14:textId="77777777" w:rsidR="00DD4065" w:rsidRPr="00F07779" w:rsidRDefault="00DD4065" w:rsidP="00615D2C">
            <w:pPr>
              <w:snapToGrid w:val="0"/>
              <w:ind w:firstLine="0"/>
              <w:rPr>
                <w:rFonts w:eastAsia="Calibri"/>
                <w:color w:val="2F5496"/>
                <w:sz w:val="19"/>
                <w:szCs w:val="19"/>
                <w:lang w:val="en-US"/>
              </w:rPr>
            </w:pPr>
            <w:proofErr w:type="spellStart"/>
            <w:r w:rsidRPr="00F07779">
              <w:rPr>
                <w:rFonts w:eastAsia="Calibri"/>
                <w:color w:val="2F5496"/>
                <w:sz w:val="19"/>
                <w:szCs w:val="19"/>
                <w:lang w:val="en-US"/>
              </w:rPr>
              <w:t>η</w:t>
            </w:r>
            <w:r w:rsidRPr="00F07779">
              <w:rPr>
                <w:rFonts w:eastAsia="Calibri"/>
                <w:color w:val="2F5496"/>
                <w:sz w:val="19"/>
                <w:szCs w:val="19"/>
                <w:vertAlign w:val="subscript"/>
                <w:lang w:val="en-US"/>
              </w:rPr>
              <w:t>ds</w:t>
            </w:r>
            <w:proofErr w:type="spellEnd"/>
            <w:r w:rsidRPr="00F07779">
              <w:rPr>
                <w:rFonts w:eastAsia="Calibri"/>
                <w:color w:val="2F5496"/>
                <w:sz w:val="19"/>
                <w:szCs w:val="19"/>
                <w:lang w:val="en-US"/>
              </w:rPr>
              <w:t>=88%</w:t>
            </w:r>
          </w:p>
          <w:p w14:paraId="084AED75" w14:textId="77777777" w:rsidR="00DD4065" w:rsidRPr="00F07779" w:rsidRDefault="00DD4065" w:rsidP="00615D2C">
            <w:pPr>
              <w:snapToGrid w:val="0"/>
              <w:ind w:firstLine="0"/>
              <w:rPr>
                <w:rFonts w:eastAsia="Calibri"/>
                <w:color w:val="2F5496"/>
                <w:sz w:val="19"/>
                <w:szCs w:val="19"/>
                <w:lang w:val="en-US"/>
              </w:rPr>
            </w:pPr>
            <w:proofErr w:type="spellStart"/>
            <w:r w:rsidRPr="00F07779">
              <w:rPr>
                <w:rFonts w:eastAsia="Calibri"/>
                <w:color w:val="2F5496"/>
                <w:kern w:val="2"/>
                <w:sz w:val="19"/>
                <w:szCs w:val="19"/>
                <w:lang w:val="en-US"/>
                <w14:ligatures w14:val="standardContextual"/>
              </w:rPr>
              <w:t>q</w:t>
            </w:r>
            <w:r w:rsidRPr="00F07779">
              <w:rPr>
                <w:rFonts w:eastAsia="Calibri"/>
                <w:color w:val="2F5496"/>
                <w:kern w:val="2"/>
                <w:sz w:val="19"/>
                <w:szCs w:val="19"/>
                <w:vertAlign w:val="subscript"/>
                <w:lang w:val="en-US"/>
                <w14:ligatures w14:val="standardContextual"/>
              </w:rPr>
              <w:t>sp</w:t>
            </w:r>
            <w:proofErr w:type="spellEnd"/>
            <w:r w:rsidRPr="00F07779">
              <w:rPr>
                <w:rFonts w:eastAsia="Calibri"/>
                <w:color w:val="2F5496"/>
                <w:kern w:val="2"/>
                <w:sz w:val="19"/>
                <w:szCs w:val="19"/>
                <w:lang w:val="en-US"/>
                <w14:ligatures w14:val="standardContextual"/>
              </w:rPr>
              <w:t>=115</w:t>
            </w:r>
            <w:r w:rsidRPr="00F07779">
              <w:rPr>
                <w:lang w:val="en-US"/>
              </w:rPr>
              <w:t xml:space="preserve"> </w:t>
            </w:r>
            <w:r w:rsidRPr="00F07779">
              <w:rPr>
                <w:rFonts w:eastAsia="Calibri"/>
                <w:color w:val="2F5496"/>
                <w:kern w:val="2"/>
                <w:sz w:val="19"/>
                <w:szCs w:val="19"/>
                <w:lang w:val="en-US"/>
                <w14:ligatures w14:val="standardContextual"/>
              </w:rPr>
              <w:t>kWh/m</w:t>
            </w:r>
            <w:r w:rsidRPr="00F07779">
              <w:rPr>
                <w:rFonts w:eastAsia="Calibri"/>
                <w:color w:val="2F5496"/>
                <w:kern w:val="2"/>
                <w:sz w:val="19"/>
                <w:szCs w:val="19"/>
                <w:vertAlign w:val="superscript"/>
                <w:lang w:val="en-US"/>
                <w14:ligatures w14:val="standardContextual"/>
              </w:rPr>
              <w:t>2</w:t>
            </w:r>
            <w:r w:rsidRPr="00F07779">
              <w:rPr>
                <w:rFonts w:eastAsia="Calibri"/>
                <w:color w:val="2F5496"/>
                <w:kern w:val="2"/>
                <w:sz w:val="19"/>
                <w:szCs w:val="19"/>
                <w:lang w:val="en-US"/>
                <w14:ligatures w14:val="standardContextual"/>
              </w:rPr>
              <w:t>/y</w:t>
            </w:r>
          </w:p>
        </w:tc>
        <w:tc>
          <w:tcPr>
            <w:tcW w:w="3402" w:type="dxa"/>
            <w:vAlign w:val="center"/>
          </w:tcPr>
          <w:p w14:paraId="3D84597A" w14:textId="77777777" w:rsidR="00DD4065" w:rsidRPr="00F07779" w:rsidRDefault="00DD4065" w:rsidP="00615D2C">
            <w:pPr>
              <w:snapToGrid w:val="0"/>
              <w:ind w:firstLine="0"/>
              <w:jc w:val="center"/>
              <w:rPr>
                <w:rFonts w:eastAsia="Calibri"/>
                <w:color w:val="2F5496"/>
                <w:sz w:val="19"/>
                <w:szCs w:val="19"/>
                <w:lang w:val="en-US"/>
              </w:rPr>
            </w:pPr>
            <w:r w:rsidRPr="00F07779">
              <w:rPr>
                <w:rFonts w:eastAsia="Calibri"/>
                <w:color w:val="4472C4" w:themeColor="accent1"/>
                <w:sz w:val="19"/>
                <w:szCs w:val="19"/>
                <w:lang w:val="en-US"/>
              </w:rPr>
              <w:t>5.80%</w:t>
            </w:r>
          </w:p>
        </w:tc>
        <w:tc>
          <w:tcPr>
            <w:tcW w:w="2835" w:type="dxa"/>
            <w:vAlign w:val="center"/>
          </w:tcPr>
          <w:p w14:paraId="19696B19" w14:textId="682525AA" w:rsidR="00DD4065" w:rsidRPr="00F07779" w:rsidRDefault="00DD4065" w:rsidP="00615D2C">
            <w:pPr>
              <w:snapToGrid w:val="0"/>
              <w:ind w:firstLine="0"/>
              <w:jc w:val="center"/>
              <w:rPr>
                <w:rFonts w:eastAsia="Calibri"/>
                <w:color w:val="4472C4" w:themeColor="accent1"/>
                <w:sz w:val="19"/>
                <w:szCs w:val="19"/>
                <w:lang w:val="en-US"/>
              </w:rPr>
            </w:pPr>
            <w:r w:rsidRPr="00F07779">
              <w:rPr>
                <w:rFonts w:eastAsia="Calibri"/>
                <w:color w:val="4472C4" w:themeColor="accent1"/>
                <w:sz w:val="19"/>
                <w:szCs w:val="19"/>
                <w:lang w:val="en-US"/>
              </w:rPr>
              <w:t>100%</w:t>
            </w:r>
          </w:p>
          <w:p w14:paraId="7C3E6662" w14:textId="77777777" w:rsidR="00DD4065" w:rsidRPr="00F07779" w:rsidRDefault="00DD4065" w:rsidP="00615D2C">
            <w:pPr>
              <w:snapToGrid w:val="0"/>
              <w:ind w:left="-58"/>
              <w:jc w:val="center"/>
              <w:rPr>
                <w:rFonts w:eastAsia="Calibri"/>
                <w:color w:val="4472C4" w:themeColor="accent1"/>
                <w:sz w:val="19"/>
                <w:szCs w:val="19"/>
                <w:lang w:val="en-US"/>
              </w:rPr>
            </w:pPr>
          </w:p>
        </w:tc>
        <w:tc>
          <w:tcPr>
            <w:tcW w:w="2976" w:type="dxa"/>
            <w:vAlign w:val="center"/>
          </w:tcPr>
          <w:p w14:paraId="00EAC8AC" w14:textId="77777777" w:rsidR="00DD4065" w:rsidRPr="00F07779" w:rsidRDefault="00DD4065" w:rsidP="00615D2C">
            <w:pPr>
              <w:snapToGrid w:val="0"/>
              <w:ind w:firstLine="0"/>
              <w:jc w:val="center"/>
              <w:rPr>
                <w:rFonts w:eastAsia="Calibri"/>
                <w:color w:val="4472C4" w:themeColor="accent1"/>
                <w:sz w:val="19"/>
                <w:szCs w:val="19"/>
                <w:lang w:val="en-US"/>
              </w:rPr>
            </w:pPr>
            <w:r w:rsidRPr="00F07779">
              <w:rPr>
                <w:rFonts w:eastAsia="Calibri"/>
                <w:color w:val="4472C4" w:themeColor="accent1"/>
                <w:sz w:val="19"/>
                <w:szCs w:val="19"/>
                <w:lang w:val="en-US"/>
              </w:rPr>
              <w:t>35.00%</w:t>
            </w:r>
          </w:p>
        </w:tc>
      </w:tr>
    </w:tbl>
    <w:p w14:paraId="74D8A3C3" w14:textId="77777777" w:rsidR="00DD4065" w:rsidRPr="00F07779" w:rsidRDefault="00DD4065" w:rsidP="00DD4065"/>
    <w:p w14:paraId="54E78A07" w14:textId="77777777" w:rsidR="0079399B" w:rsidRPr="00F07779" w:rsidRDefault="0079399B" w:rsidP="005678AE">
      <w:pPr>
        <w:sectPr w:rsidR="0079399B" w:rsidRPr="00F07779" w:rsidSect="00E31DE5">
          <w:pgSz w:w="16840" w:h="11900" w:orient="landscape"/>
          <w:pgMar w:top="1134" w:right="1134" w:bottom="1134" w:left="1134" w:header="709" w:footer="709" w:gutter="907"/>
          <w:cols w:space="708"/>
          <w:titlePg/>
          <w:docGrid w:linePitch="360"/>
        </w:sectPr>
      </w:pPr>
    </w:p>
    <w:p w14:paraId="114D8343" w14:textId="77777777" w:rsidR="005678AE" w:rsidRPr="00F07779" w:rsidRDefault="005678AE" w:rsidP="005678AE"/>
    <w:p w14:paraId="1C80B644" w14:textId="77777777" w:rsidR="00DD4065" w:rsidRPr="00F07779" w:rsidRDefault="00DD4065" w:rsidP="00613D07">
      <w:pPr>
        <w:jc w:val="both"/>
        <w:rPr>
          <w:b/>
          <w:bCs/>
        </w:rPr>
      </w:pPr>
    </w:p>
    <w:p w14:paraId="096D131A" w14:textId="77777777" w:rsidR="00DD4065" w:rsidRPr="00F07779" w:rsidRDefault="00DD4065" w:rsidP="00613D07">
      <w:pPr>
        <w:jc w:val="both"/>
        <w:rPr>
          <w:b/>
          <w:bCs/>
        </w:rPr>
      </w:pPr>
    </w:p>
    <w:p w14:paraId="02D9A23F" w14:textId="77777777" w:rsidR="00DD4065" w:rsidRPr="00F07779" w:rsidRDefault="00DD4065" w:rsidP="00613D07">
      <w:pPr>
        <w:jc w:val="both"/>
        <w:rPr>
          <w:b/>
          <w:bCs/>
        </w:rPr>
      </w:pPr>
    </w:p>
    <w:p w14:paraId="5501A07A" w14:textId="50BCCE45" w:rsidR="00DD4065" w:rsidRPr="00F07779" w:rsidRDefault="00DD4065" w:rsidP="00DD4065">
      <w:pPr>
        <w:jc w:val="both"/>
      </w:pPr>
      <w:r w:rsidRPr="00F07779">
        <w:rPr>
          <w:b/>
          <w:bCs/>
        </w:rPr>
        <w:t>Measure T1</w:t>
      </w:r>
      <w:r w:rsidR="004B4D19" w:rsidRPr="00F07779">
        <w:rPr>
          <w:b/>
          <w:bCs/>
        </w:rPr>
        <w:t xml:space="preserve"> </w:t>
      </w:r>
      <w:r w:rsidRPr="00F07779">
        <w:rPr>
          <w:b/>
          <w:bCs/>
        </w:rPr>
        <w:t>-</w:t>
      </w:r>
      <w:r w:rsidR="004B4D19" w:rsidRPr="00F07779">
        <w:rPr>
          <w:b/>
          <w:bCs/>
        </w:rPr>
        <w:t xml:space="preserve"> </w:t>
      </w:r>
      <w:r w:rsidRPr="00F07779">
        <w:rPr>
          <w:b/>
          <w:bCs/>
        </w:rPr>
        <w:t>Preventive maintenance, rehabilitation</w:t>
      </w:r>
      <w:r w:rsidR="008E536B" w:rsidRPr="00F07779">
        <w:rPr>
          <w:b/>
          <w:bCs/>
        </w:rPr>
        <w:t>,</w:t>
      </w:r>
      <w:r w:rsidRPr="00F07779">
        <w:rPr>
          <w:b/>
          <w:bCs/>
        </w:rPr>
        <w:t xml:space="preserve"> and modernization of the DH system</w:t>
      </w:r>
      <w:r w:rsidRPr="00F07779">
        <w:t>s contributes to achieving a secure supply of the required amount of heat energy to residential and commercial premises from the DH system</w:t>
      </w:r>
      <w:r w:rsidR="004B4D19" w:rsidRPr="00F07779">
        <w:t>s</w:t>
      </w:r>
      <w:r w:rsidRPr="00F07779">
        <w:t>. It consists of 10 activities:</w:t>
      </w:r>
    </w:p>
    <w:p w14:paraId="3A765591" w14:textId="77777777" w:rsidR="00DD4065" w:rsidRPr="00F07779" w:rsidRDefault="00DD4065" w:rsidP="00DD4065">
      <w:pPr>
        <w:jc w:val="both"/>
      </w:pPr>
    </w:p>
    <w:p w14:paraId="68BD6F12" w14:textId="77777777" w:rsidR="00DD4065" w:rsidRPr="00F07779" w:rsidRDefault="00DD4065" w:rsidP="00DD4065">
      <w:pPr>
        <w:jc w:val="both"/>
      </w:pPr>
      <w:r w:rsidRPr="00F07779">
        <w:t xml:space="preserve">T1.1: Construction of the distribution network in </w:t>
      </w:r>
      <w:proofErr w:type="spellStart"/>
      <w:r w:rsidRPr="00F07779">
        <w:t>Vršac</w:t>
      </w:r>
      <w:proofErr w:type="spellEnd"/>
    </w:p>
    <w:p w14:paraId="511A77D8" w14:textId="3DAED5AB" w:rsidR="004B4D19" w:rsidRPr="00F07779" w:rsidRDefault="00DD4065" w:rsidP="00DD4065">
      <w:pPr>
        <w:jc w:val="both"/>
      </w:pPr>
      <w:r w:rsidRPr="00F07779">
        <w:t>The investment value of this project is EUR 2.73 million. The contribution of this project is the reduction of losses</w:t>
      </w:r>
      <w:r w:rsidR="004B4D19" w:rsidRPr="00F07779">
        <w:t>.</w:t>
      </w:r>
      <w:r w:rsidRPr="00F07779">
        <w:t xml:space="preserve"> </w:t>
      </w:r>
      <w:r w:rsidR="004B4D19" w:rsidRPr="00F07779">
        <w:t>A</w:t>
      </w:r>
      <w:r w:rsidRPr="00F07779">
        <w:t xml:space="preserve">fter </w:t>
      </w:r>
      <w:r w:rsidR="004B4D19" w:rsidRPr="00F07779">
        <w:t>project</w:t>
      </w:r>
      <w:r w:rsidRPr="00F07779">
        <w:t xml:space="preserve"> implementation</w:t>
      </w:r>
      <w:r w:rsidR="004B4D19" w:rsidRPr="00F07779">
        <w:t>,</w:t>
      </w:r>
      <w:r w:rsidRPr="00F07779">
        <w:t xml:space="preserve"> the efficiency of the DH system will increase by 3%.</w:t>
      </w:r>
    </w:p>
    <w:p w14:paraId="282CB2EB" w14:textId="77777777" w:rsidR="00DD4065" w:rsidRPr="00F07779" w:rsidRDefault="00DD4065" w:rsidP="00DD4065">
      <w:pPr>
        <w:jc w:val="both"/>
      </w:pPr>
    </w:p>
    <w:p w14:paraId="55D8B5BD" w14:textId="77777777" w:rsidR="00DD4065" w:rsidRPr="00F07779" w:rsidRDefault="00DD4065" w:rsidP="00DD4065">
      <w:pPr>
        <w:jc w:val="both"/>
      </w:pPr>
      <w:r w:rsidRPr="00F07779">
        <w:t xml:space="preserve">T1.2 Reconstruction of the distribution system in </w:t>
      </w:r>
      <w:proofErr w:type="spellStart"/>
      <w:r w:rsidRPr="00F07779">
        <w:t>Bečej</w:t>
      </w:r>
      <w:proofErr w:type="spellEnd"/>
    </w:p>
    <w:p w14:paraId="75C101BA" w14:textId="56F3E79D" w:rsidR="00DD4065" w:rsidRPr="00F07779" w:rsidRDefault="00DD4065" w:rsidP="00DD4065">
      <w:pPr>
        <w:jc w:val="both"/>
      </w:pPr>
      <w:r w:rsidRPr="00F07779">
        <w:t>The investment value of this project is EUR 1.13 million. The contribution of this project is the reduction of losses</w:t>
      </w:r>
      <w:r w:rsidR="004B4D19" w:rsidRPr="00F07779">
        <w:t>. A</w:t>
      </w:r>
      <w:r w:rsidRPr="00F07779">
        <w:t>fter its implementation</w:t>
      </w:r>
      <w:r w:rsidR="004B4D19" w:rsidRPr="00F07779">
        <w:t>,</w:t>
      </w:r>
      <w:r w:rsidRPr="00F07779">
        <w:t xml:space="preserve"> the efficiency of the DH system will increase by 3%.</w:t>
      </w:r>
    </w:p>
    <w:p w14:paraId="086C3642" w14:textId="77777777" w:rsidR="00DD4065" w:rsidRPr="00F07779" w:rsidRDefault="00DD4065" w:rsidP="00DD4065">
      <w:pPr>
        <w:jc w:val="both"/>
      </w:pPr>
    </w:p>
    <w:p w14:paraId="3A6A34DB" w14:textId="77777777" w:rsidR="00DD4065" w:rsidRPr="00F07779" w:rsidRDefault="00DD4065" w:rsidP="00DD4065">
      <w:pPr>
        <w:jc w:val="both"/>
      </w:pPr>
      <w:r w:rsidRPr="00F07779">
        <w:t xml:space="preserve">T1.3: Reconstruction of the distribution system in </w:t>
      </w:r>
      <w:proofErr w:type="spellStart"/>
      <w:r w:rsidRPr="00F07779">
        <w:t>Kruševac</w:t>
      </w:r>
      <w:proofErr w:type="spellEnd"/>
    </w:p>
    <w:p w14:paraId="177A75DA" w14:textId="2BE8E4DE" w:rsidR="00DD4065" w:rsidRPr="00F07779" w:rsidRDefault="00DD4065" w:rsidP="00DD4065">
      <w:pPr>
        <w:jc w:val="both"/>
      </w:pPr>
      <w:r w:rsidRPr="00F07779">
        <w:t>The investment value of this project is EUR 0.6 million. The contribution of this project is the reduction of losses</w:t>
      </w:r>
      <w:r w:rsidR="004B4D19" w:rsidRPr="00F07779">
        <w:t>.</w:t>
      </w:r>
      <w:r w:rsidRPr="00F07779">
        <w:t xml:space="preserve"> </w:t>
      </w:r>
      <w:r w:rsidR="004B4D19" w:rsidRPr="00F07779">
        <w:t>A</w:t>
      </w:r>
      <w:r w:rsidRPr="00F07779">
        <w:t>fter its implementation</w:t>
      </w:r>
      <w:r w:rsidR="004B4D19" w:rsidRPr="00F07779">
        <w:t>,</w:t>
      </w:r>
      <w:r w:rsidRPr="00F07779">
        <w:t xml:space="preserve"> the efficiency of the distribution system will increase by 3%.</w:t>
      </w:r>
    </w:p>
    <w:p w14:paraId="5007D9D3" w14:textId="77777777" w:rsidR="00DD4065" w:rsidRPr="00F07779" w:rsidRDefault="00DD4065" w:rsidP="00DD4065">
      <w:pPr>
        <w:jc w:val="both"/>
      </w:pPr>
    </w:p>
    <w:p w14:paraId="583C653E" w14:textId="77777777" w:rsidR="00DD4065" w:rsidRPr="00F07779" w:rsidRDefault="00DD4065" w:rsidP="00DD4065">
      <w:pPr>
        <w:jc w:val="both"/>
      </w:pPr>
      <w:r w:rsidRPr="00F07779">
        <w:t>T1.4: Reconstruction of the distribution system in Smederevo</w:t>
      </w:r>
    </w:p>
    <w:p w14:paraId="2004E374" w14:textId="398D9EEF" w:rsidR="00DD4065" w:rsidRPr="00F07779" w:rsidRDefault="00DD4065" w:rsidP="00DD4065">
      <w:pPr>
        <w:jc w:val="both"/>
      </w:pPr>
      <w:r w:rsidRPr="00F07779">
        <w:t xml:space="preserve">The investment value of this project is 30.01 million EUR. This project </w:t>
      </w:r>
      <w:r w:rsidR="004B4D19" w:rsidRPr="00F07779">
        <w:t>includes</w:t>
      </w:r>
      <w:r w:rsidRPr="00F07779">
        <w:t xml:space="preserve"> the use of waste heat from HBIS Serbia </w:t>
      </w:r>
      <w:proofErr w:type="spellStart"/>
      <w:r w:rsidRPr="00F07779">
        <w:t>Železara</w:t>
      </w:r>
      <w:proofErr w:type="spellEnd"/>
      <w:r w:rsidRPr="00F07779">
        <w:t xml:space="preserve"> Smederevo. The contribution of this project is the reduction of losses in the existing distribution system and the reduction of the use of fuel oil as a primary fuel in Smederevo</w:t>
      </w:r>
      <w:r w:rsidR="004B4D19" w:rsidRPr="00F07779">
        <w:t xml:space="preserve"> DHS. A</w:t>
      </w:r>
      <w:r w:rsidRPr="00F07779">
        <w:t>fter</w:t>
      </w:r>
      <w:r w:rsidR="004B4D19" w:rsidRPr="00F07779">
        <w:t xml:space="preserve"> project </w:t>
      </w:r>
      <w:r w:rsidRPr="00F07779">
        <w:t>implementation</w:t>
      </w:r>
      <w:r w:rsidR="004B4D19" w:rsidRPr="00F07779">
        <w:t>,</w:t>
      </w:r>
      <w:r w:rsidRPr="00F07779">
        <w:t xml:space="preserve"> the efficiency of the distribution system will increase by 15%.</w:t>
      </w:r>
    </w:p>
    <w:p w14:paraId="76968A24" w14:textId="77777777" w:rsidR="00DD4065" w:rsidRPr="00F07779" w:rsidRDefault="00DD4065" w:rsidP="00DD4065">
      <w:pPr>
        <w:jc w:val="both"/>
      </w:pPr>
    </w:p>
    <w:p w14:paraId="083E7F57" w14:textId="77777777" w:rsidR="00DD4065" w:rsidRPr="00F07779" w:rsidRDefault="00DD4065" w:rsidP="00DD4065">
      <w:pPr>
        <w:jc w:val="both"/>
      </w:pPr>
      <w:r w:rsidRPr="00F07779">
        <w:t xml:space="preserve">T1.5: Reconstruction of the distribution system in </w:t>
      </w:r>
      <w:proofErr w:type="spellStart"/>
      <w:r w:rsidRPr="00F07779">
        <w:t>Zaječar</w:t>
      </w:r>
      <w:proofErr w:type="spellEnd"/>
    </w:p>
    <w:p w14:paraId="60A7F49C" w14:textId="2CE8DF71" w:rsidR="00DD4065" w:rsidRPr="00F07779" w:rsidRDefault="00DD4065" w:rsidP="00DD4065">
      <w:pPr>
        <w:jc w:val="both"/>
      </w:pPr>
      <w:r w:rsidRPr="00F07779">
        <w:t>The investment value of this project is 3 million EUR. The contribution of this project is the reduction of losses</w:t>
      </w:r>
      <w:r w:rsidR="004B4D19" w:rsidRPr="00F07779">
        <w:t>.</w:t>
      </w:r>
      <w:r w:rsidRPr="00F07779">
        <w:t xml:space="preserve"> </w:t>
      </w:r>
      <w:r w:rsidR="008E536B" w:rsidRPr="00F07779">
        <w:t>Following</w:t>
      </w:r>
      <w:r w:rsidRPr="00F07779">
        <w:t xml:space="preserve"> its implementation</w:t>
      </w:r>
      <w:r w:rsidR="004B4D19" w:rsidRPr="00F07779">
        <w:t>,</w:t>
      </w:r>
      <w:r w:rsidRPr="00F07779">
        <w:t xml:space="preserve"> the efficiency of the distribution system </w:t>
      </w:r>
      <w:r w:rsidR="008E536B" w:rsidRPr="00F07779">
        <w:t>is expected to</w:t>
      </w:r>
      <w:r w:rsidRPr="00F07779">
        <w:t xml:space="preserve"> increase by 15%.</w:t>
      </w:r>
    </w:p>
    <w:p w14:paraId="265FF3DE" w14:textId="77777777" w:rsidR="00DD4065" w:rsidRPr="00F07779" w:rsidRDefault="00DD4065" w:rsidP="00DD4065">
      <w:pPr>
        <w:jc w:val="both"/>
      </w:pPr>
    </w:p>
    <w:p w14:paraId="4A1B5467" w14:textId="140EAC79" w:rsidR="00DD4065" w:rsidRPr="00F07779" w:rsidRDefault="00DD4065" w:rsidP="00DD4065">
      <w:pPr>
        <w:jc w:val="both"/>
      </w:pPr>
      <w:r w:rsidRPr="00F07779">
        <w:t>T1.6: Reconstruction of heat transfer stations</w:t>
      </w:r>
      <w:r w:rsidR="00A078D0" w:rsidRPr="00F07779">
        <w:t xml:space="preserve"> (HTSs)</w:t>
      </w:r>
      <w:r w:rsidRPr="00F07779">
        <w:t xml:space="preserve"> in </w:t>
      </w:r>
      <w:proofErr w:type="spellStart"/>
      <w:r w:rsidRPr="00F07779">
        <w:t>Vršac</w:t>
      </w:r>
      <w:proofErr w:type="spellEnd"/>
    </w:p>
    <w:p w14:paraId="1581DB92" w14:textId="4E57A30B" w:rsidR="00DD4065" w:rsidRPr="00F07779" w:rsidRDefault="00DD4065" w:rsidP="00DD4065">
      <w:pPr>
        <w:jc w:val="both"/>
      </w:pPr>
      <w:r w:rsidRPr="00F07779">
        <w:t xml:space="preserve">The investment value of this project is 0.6 million EUR. The contribution of this project is the increase </w:t>
      </w:r>
      <w:r w:rsidR="008E536B" w:rsidRPr="00F07779">
        <w:t>in</w:t>
      </w:r>
      <w:r w:rsidRPr="00F07779">
        <w:t xml:space="preserve"> heat transfer and more efficient operation of the entire DHG</w:t>
      </w:r>
      <w:r w:rsidR="004B4D19" w:rsidRPr="00F07779">
        <w:t>.</w:t>
      </w:r>
      <w:r w:rsidRPr="00F07779">
        <w:t xml:space="preserve"> </w:t>
      </w:r>
      <w:r w:rsidR="008E536B" w:rsidRPr="00F07779">
        <w:t>Following its implementation, the transmission efficiency is expected to increase by</w:t>
      </w:r>
      <w:r w:rsidRPr="00F07779">
        <w:t xml:space="preserve"> 5.0%.</w:t>
      </w:r>
    </w:p>
    <w:p w14:paraId="31D135F3" w14:textId="77777777" w:rsidR="00DD4065" w:rsidRPr="00F07779" w:rsidRDefault="00DD4065" w:rsidP="00DD4065">
      <w:pPr>
        <w:jc w:val="both"/>
      </w:pPr>
    </w:p>
    <w:p w14:paraId="420F70D0" w14:textId="77777777" w:rsidR="00DD4065" w:rsidRPr="00F07779" w:rsidRDefault="00DD4065" w:rsidP="00DD4065">
      <w:pPr>
        <w:jc w:val="both"/>
      </w:pPr>
      <w:r w:rsidRPr="00F07779">
        <w:t xml:space="preserve">T1.7: Reconstruction of heat transfer stations in </w:t>
      </w:r>
      <w:proofErr w:type="spellStart"/>
      <w:r w:rsidRPr="00F07779">
        <w:t>Bečej</w:t>
      </w:r>
      <w:proofErr w:type="spellEnd"/>
    </w:p>
    <w:p w14:paraId="6567A49E" w14:textId="68518E58" w:rsidR="00DD4065" w:rsidRPr="00F07779" w:rsidRDefault="00DD4065" w:rsidP="00DD4065">
      <w:pPr>
        <w:jc w:val="both"/>
      </w:pPr>
      <w:r w:rsidRPr="00F07779">
        <w:t xml:space="preserve">The investment value of this project is 0.44 million EUR. The contribution of this project is the increase </w:t>
      </w:r>
      <w:r w:rsidR="008E536B" w:rsidRPr="00F07779">
        <w:t>in</w:t>
      </w:r>
      <w:r w:rsidRPr="00F07779">
        <w:t xml:space="preserve"> heat transfer</w:t>
      </w:r>
      <w:r w:rsidR="008E536B" w:rsidRPr="00F07779">
        <w:t>,</w:t>
      </w:r>
      <w:r w:rsidRPr="00F07779">
        <w:t xml:space="preserve"> </w:t>
      </w:r>
      <w:r w:rsidR="008E536B" w:rsidRPr="00F07779">
        <w:t>resulting in</w:t>
      </w:r>
      <w:r w:rsidRPr="00F07779">
        <w:t xml:space="preserve"> more efficient operation of the entire DHG</w:t>
      </w:r>
      <w:r w:rsidR="00A078D0" w:rsidRPr="00F07779">
        <w:t>.</w:t>
      </w:r>
      <w:r w:rsidRPr="00F07779">
        <w:t xml:space="preserve"> </w:t>
      </w:r>
      <w:r w:rsidR="008E536B" w:rsidRPr="00F07779">
        <w:t xml:space="preserve">Following its implementation, the transmission efficiency is expected to increase by </w:t>
      </w:r>
      <w:r w:rsidRPr="00F07779">
        <w:t>6.2%.</w:t>
      </w:r>
    </w:p>
    <w:p w14:paraId="54231F0F" w14:textId="77777777" w:rsidR="00DD4065" w:rsidRPr="00F07779" w:rsidRDefault="00DD4065" w:rsidP="00DD4065">
      <w:pPr>
        <w:jc w:val="both"/>
      </w:pPr>
    </w:p>
    <w:p w14:paraId="626B5E3C" w14:textId="77777777" w:rsidR="00DD4065" w:rsidRPr="00F07779" w:rsidRDefault="00DD4065" w:rsidP="00DD4065">
      <w:pPr>
        <w:jc w:val="both"/>
      </w:pPr>
      <w:r w:rsidRPr="00F07779">
        <w:t xml:space="preserve">T1.8: Reconstruction of heat transfer stations in </w:t>
      </w:r>
      <w:proofErr w:type="spellStart"/>
      <w:r w:rsidRPr="00F07779">
        <w:t>Kruševac</w:t>
      </w:r>
      <w:proofErr w:type="spellEnd"/>
    </w:p>
    <w:p w14:paraId="4C0B1131" w14:textId="6508A980" w:rsidR="00DD4065" w:rsidRPr="00F07779" w:rsidRDefault="00DD4065" w:rsidP="00DD4065">
      <w:pPr>
        <w:jc w:val="both"/>
      </w:pPr>
      <w:r w:rsidRPr="00F07779">
        <w:t>The investment value of this project is 0.68 million EUR. The contribution of this project is the reduction and increase of heat transfer and more efficient operation of the entire DHG</w:t>
      </w:r>
      <w:r w:rsidR="00A078D0" w:rsidRPr="00F07779">
        <w:t>.</w:t>
      </w:r>
      <w:r w:rsidRPr="00F07779">
        <w:t xml:space="preserve"> </w:t>
      </w:r>
      <w:r w:rsidR="008E536B" w:rsidRPr="00F07779">
        <w:t xml:space="preserve">Following its implementation, the transmission efficiency is expected to increase by </w:t>
      </w:r>
      <w:r w:rsidRPr="00F07779">
        <w:t>5.0%.</w:t>
      </w:r>
    </w:p>
    <w:p w14:paraId="5F9F6622" w14:textId="77777777" w:rsidR="00DD4065" w:rsidRPr="00F07779" w:rsidRDefault="00DD4065" w:rsidP="00DD4065">
      <w:pPr>
        <w:jc w:val="both"/>
      </w:pPr>
    </w:p>
    <w:p w14:paraId="011DFE52" w14:textId="77777777" w:rsidR="00DD4065" w:rsidRPr="00F07779" w:rsidRDefault="00DD4065" w:rsidP="00DD4065">
      <w:pPr>
        <w:jc w:val="both"/>
      </w:pPr>
      <w:r w:rsidRPr="00F07779">
        <w:t>T1.9: Reconstruction of heat transfer stations in Kragujevac</w:t>
      </w:r>
    </w:p>
    <w:p w14:paraId="76B24CB4" w14:textId="37FBC4E1" w:rsidR="00DD4065" w:rsidRPr="00F07779" w:rsidRDefault="00DD4065" w:rsidP="00DD4065">
      <w:pPr>
        <w:jc w:val="both"/>
      </w:pPr>
      <w:r w:rsidRPr="00F07779">
        <w:lastRenderedPageBreak/>
        <w:t xml:space="preserve">The investment value of this project is 1.5 million EUR. The contribution of this project is the reduction and increase of heat transfer and </w:t>
      </w:r>
      <w:r w:rsidR="00A078D0" w:rsidRPr="00F07779">
        <w:t xml:space="preserve">the </w:t>
      </w:r>
      <w:r w:rsidRPr="00F07779">
        <w:t>more efficient operation of the entire district heating system</w:t>
      </w:r>
      <w:r w:rsidR="00A078D0" w:rsidRPr="00F07779">
        <w:t>.</w:t>
      </w:r>
      <w:r w:rsidRPr="00F07779">
        <w:t xml:space="preserve"> </w:t>
      </w:r>
      <w:r w:rsidR="008E536B" w:rsidRPr="00F07779">
        <w:t xml:space="preserve">Following its implementation, the transmission efficiency is expected to increase </w:t>
      </w:r>
      <w:r w:rsidRPr="00F07779">
        <w:t>by 5.0%.</w:t>
      </w:r>
    </w:p>
    <w:p w14:paraId="31358915" w14:textId="77777777" w:rsidR="00DD4065" w:rsidRPr="00F07779" w:rsidRDefault="00DD4065" w:rsidP="00DD4065">
      <w:pPr>
        <w:jc w:val="both"/>
      </w:pPr>
    </w:p>
    <w:p w14:paraId="6DD8BB06" w14:textId="77777777" w:rsidR="00DD4065" w:rsidRPr="00F07779" w:rsidRDefault="00DD4065" w:rsidP="00DD4065">
      <w:pPr>
        <w:jc w:val="both"/>
      </w:pPr>
      <w:r w:rsidRPr="00F07779">
        <w:t>T1.10: Rehabilitation of the district heating system in Serbia KFW – Phase V</w:t>
      </w:r>
    </w:p>
    <w:p w14:paraId="2E8BD190" w14:textId="77777777" w:rsidR="00DD4065" w:rsidRPr="00F07779" w:rsidRDefault="00DD4065" w:rsidP="00DD4065">
      <w:pPr>
        <w:jc w:val="both"/>
      </w:pPr>
      <w:r w:rsidRPr="00F07779">
        <w:t>The investment value of this project is 32 million EUR. Rehabilitation and modernization of the district heating system includes:</w:t>
      </w:r>
    </w:p>
    <w:p w14:paraId="44F348DE" w14:textId="0D3DAC99" w:rsidR="00DD4065" w:rsidRPr="00F07779" w:rsidRDefault="00DD4065" w:rsidP="00DD4065">
      <w:pPr>
        <w:jc w:val="both"/>
      </w:pPr>
      <w:r w:rsidRPr="00F07779">
        <w:t>- Construction, reconstruction</w:t>
      </w:r>
      <w:r w:rsidR="00A078D0" w:rsidRPr="00F07779">
        <w:t>,</w:t>
      </w:r>
      <w:r w:rsidRPr="00F07779">
        <w:t xml:space="preserve"> and/or replacement of heat energy production facilities,</w:t>
      </w:r>
    </w:p>
    <w:p w14:paraId="443F5865" w14:textId="546B17A8" w:rsidR="00DD4065" w:rsidRPr="00F07779" w:rsidRDefault="00DD4065" w:rsidP="00DD4065">
      <w:pPr>
        <w:jc w:val="both"/>
      </w:pPr>
      <w:r w:rsidRPr="00F07779">
        <w:t xml:space="preserve">- replacement and/or expansion of heating </w:t>
      </w:r>
      <w:r w:rsidR="00A078D0" w:rsidRPr="00F07779">
        <w:t>network</w:t>
      </w:r>
      <w:r w:rsidRPr="00F07779">
        <w:t xml:space="preserve">, </w:t>
      </w:r>
    </w:p>
    <w:p w14:paraId="4D2EFC2C" w14:textId="6F1E22A1" w:rsidR="00DD4065" w:rsidRPr="00F07779" w:rsidRDefault="00DD4065" w:rsidP="00DD4065">
      <w:pPr>
        <w:jc w:val="both"/>
      </w:pPr>
      <w:r w:rsidRPr="00F07779">
        <w:t xml:space="preserve">- reconstruction, replacement and/or installation of </w:t>
      </w:r>
      <w:r w:rsidR="00A078D0" w:rsidRPr="00F07779">
        <w:t xml:space="preserve">new </w:t>
      </w:r>
      <w:r w:rsidRPr="00F07779">
        <w:t>heat substations.</w:t>
      </w:r>
    </w:p>
    <w:p w14:paraId="1E8D09E4" w14:textId="0E2A835B" w:rsidR="00DD4065" w:rsidRPr="00F07779" w:rsidRDefault="00DD4065" w:rsidP="00DD4065">
      <w:pPr>
        <w:jc w:val="both"/>
      </w:pPr>
      <w:r w:rsidRPr="00F07779">
        <w:t xml:space="preserve">The contribution of this project, after its implementation, is increased operational safety, which is reflected in the stable operation of production capacities, reduction of losses in the distribution system and increase in the efficiency of heat transfer in the </w:t>
      </w:r>
      <w:r w:rsidR="00A078D0" w:rsidRPr="00F07779">
        <w:t>HTS</w:t>
      </w:r>
      <w:r w:rsidRPr="00F07779">
        <w:t xml:space="preserve">, increasing the efficiency of the </w:t>
      </w:r>
      <w:r w:rsidR="00A078D0" w:rsidRPr="00F07779">
        <w:t>DHSs</w:t>
      </w:r>
      <w:r w:rsidRPr="00F07779">
        <w:t xml:space="preserve"> by 4.6%.</w:t>
      </w:r>
    </w:p>
    <w:p w14:paraId="3B6CC807" w14:textId="77777777" w:rsidR="00DD4065" w:rsidRPr="00F07779" w:rsidRDefault="00DD4065" w:rsidP="00613D07">
      <w:pPr>
        <w:jc w:val="both"/>
      </w:pPr>
    </w:p>
    <w:p w14:paraId="006574A5" w14:textId="6A50DBC9" w:rsidR="007F7C6A" w:rsidRPr="00F07779" w:rsidRDefault="007F7C6A" w:rsidP="007F7C6A">
      <w:pPr>
        <w:jc w:val="both"/>
        <w:rPr>
          <w:b/>
          <w:bCs/>
        </w:rPr>
      </w:pPr>
      <w:r w:rsidRPr="00F07779">
        <w:rPr>
          <w:b/>
          <w:bCs/>
        </w:rPr>
        <w:t>Measure T2 Use of heat pumps, cessation of the use of coal and oil derivatives, use of heat accumulators, subsidies</w:t>
      </w:r>
      <w:r w:rsidR="00C05E00" w:rsidRPr="00F07779">
        <w:rPr>
          <w:b/>
          <w:bCs/>
        </w:rPr>
        <w:t>,</w:t>
      </w:r>
      <w:r w:rsidRPr="00F07779">
        <w:rPr>
          <w:b/>
          <w:bCs/>
        </w:rPr>
        <w:t xml:space="preserve"> and grants </w:t>
      </w:r>
      <w:r w:rsidRPr="00F07779">
        <w:t>consists of 5 activities:</w:t>
      </w:r>
    </w:p>
    <w:p w14:paraId="4F3880C8" w14:textId="77777777" w:rsidR="007F7C6A" w:rsidRPr="00F07779" w:rsidRDefault="007F7C6A" w:rsidP="007F7C6A">
      <w:pPr>
        <w:jc w:val="both"/>
      </w:pPr>
    </w:p>
    <w:p w14:paraId="45B16441" w14:textId="77777777" w:rsidR="007F7C6A" w:rsidRPr="00F07779" w:rsidRDefault="007F7C6A" w:rsidP="007F7C6A">
      <w:pPr>
        <w:jc w:val="both"/>
      </w:pPr>
      <w:r w:rsidRPr="00F07779">
        <w:t>T2.1: Integration of RES into the Novi Sad Municipal District Heating System</w:t>
      </w:r>
    </w:p>
    <w:p w14:paraId="415FF38B" w14:textId="01A38C9F" w:rsidR="007F7C6A" w:rsidRPr="00F07779" w:rsidRDefault="007F7C6A" w:rsidP="007F7C6A">
      <w:pPr>
        <w:jc w:val="both"/>
      </w:pPr>
      <w:r w:rsidRPr="00F07779">
        <w:t>The investment value of this project is EUR 107.9 million. The project involves the procurement of solar panels (31 MW), heat pumps (17 MW), electric water heaters (60 MW)</w:t>
      </w:r>
      <w:r w:rsidR="00C05E00" w:rsidRPr="00F07779">
        <w:t>,</w:t>
      </w:r>
      <w:r w:rsidRPr="00F07779">
        <w:t xml:space="preserve"> and other necessary equipment, </w:t>
      </w:r>
      <w:r w:rsidR="00C05E00" w:rsidRPr="00F07779">
        <w:t xml:space="preserve">the </w:t>
      </w:r>
      <w:r w:rsidRPr="00F07779">
        <w:t>construction of a heat storage facility, solar collectors</w:t>
      </w:r>
      <w:r w:rsidR="00C05E00" w:rsidRPr="00F07779">
        <w:t>,</w:t>
      </w:r>
      <w:r w:rsidRPr="00F07779">
        <w:t xml:space="preserve"> and heat pumps. The key components of the Project are: two seasonal heat storage facilities – north and south, a solar collector plant, and a technical building, which houses the heat pump</w:t>
      </w:r>
      <w:r w:rsidR="00C05E00" w:rsidRPr="00F07779">
        <w:t>s</w:t>
      </w:r>
      <w:r w:rsidRPr="00F07779">
        <w:t xml:space="preserve"> and electric water heaters, as well as other supporting components. The combined total volume of the north and south storage facilities is 869,829 m³.</w:t>
      </w:r>
    </w:p>
    <w:p w14:paraId="190F04D9" w14:textId="77777777" w:rsidR="007F7C6A" w:rsidRPr="00F07779" w:rsidRDefault="007F7C6A" w:rsidP="007F7C6A">
      <w:pPr>
        <w:jc w:val="both"/>
      </w:pPr>
    </w:p>
    <w:p w14:paraId="7039BB24" w14:textId="04DF9DD1" w:rsidR="007F7C6A" w:rsidRPr="00F07779" w:rsidRDefault="007F7C6A" w:rsidP="007F7C6A">
      <w:pPr>
        <w:jc w:val="both"/>
      </w:pPr>
      <w:r w:rsidRPr="00F07779">
        <w:t xml:space="preserve">T2.2: </w:t>
      </w:r>
      <w:r w:rsidR="00AA24DE" w:rsidRPr="00F07779">
        <w:t>Implementing</w:t>
      </w:r>
      <w:r w:rsidRPr="00F07779">
        <w:t xml:space="preserve"> RES into district heating systems in 10 local government units</w:t>
      </w:r>
    </w:p>
    <w:p w14:paraId="6BBA1040" w14:textId="3AB0854C" w:rsidR="007F7C6A" w:rsidRPr="00F07779" w:rsidRDefault="007F7C6A" w:rsidP="007F7C6A">
      <w:pPr>
        <w:jc w:val="both"/>
      </w:pPr>
      <w:r w:rsidRPr="00F07779">
        <w:t>The investment value of this project is EUR 40.5 million.</w:t>
      </w:r>
      <w:r w:rsidR="00C05E00" w:rsidRPr="00F07779">
        <w:t xml:space="preserve"> </w:t>
      </w:r>
      <w:r w:rsidRPr="00F07779">
        <w:t xml:space="preserve">The aim of the project “Renewable Energy Sources in District Heating Systems in Serbia - </w:t>
      </w:r>
      <w:proofErr w:type="spellStart"/>
      <w:r w:rsidRPr="00F07779">
        <w:t>ReDE</w:t>
      </w:r>
      <w:proofErr w:type="spellEnd"/>
      <w:r w:rsidRPr="00F07779">
        <w:t xml:space="preserve"> Serbia” is to improve air quality, promote the use of renewable energy sources in the production of heat energy in Serbia</w:t>
      </w:r>
      <w:r w:rsidR="00C05E00" w:rsidRPr="00F07779">
        <w:t>,</w:t>
      </w:r>
      <w:r w:rsidRPr="00F07779">
        <w:t xml:space="preserve"> and increase energy efficiency. Phase 1 includes 14 projects in 10 local governments (</w:t>
      </w:r>
      <w:proofErr w:type="spellStart"/>
      <w:r w:rsidRPr="00F07779">
        <w:t>Bečej</w:t>
      </w:r>
      <w:proofErr w:type="spellEnd"/>
      <w:r w:rsidRPr="00F07779">
        <w:t xml:space="preserve">, </w:t>
      </w:r>
      <w:proofErr w:type="spellStart"/>
      <w:r w:rsidRPr="00F07779">
        <w:t>Bogatić</w:t>
      </w:r>
      <w:proofErr w:type="spellEnd"/>
      <w:r w:rsidRPr="00F07779">
        <w:t xml:space="preserve">, </w:t>
      </w:r>
      <w:proofErr w:type="spellStart"/>
      <w:r w:rsidRPr="00F07779">
        <w:t>Vršac</w:t>
      </w:r>
      <w:proofErr w:type="spellEnd"/>
      <w:r w:rsidRPr="00F07779">
        <w:t xml:space="preserve">, Kragujevac, </w:t>
      </w:r>
      <w:proofErr w:type="spellStart"/>
      <w:r w:rsidRPr="00F07779">
        <w:t>Kraljevo</w:t>
      </w:r>
      <w:proofErr w:type="spellEnd"/>
      <w:r w:rsidRPr="00F07779">
        <w:t xml:space="preserve">, </w:t>
      </w:r>
      <w:proofErr w:type="spellStart"/>
      <w:r w:rsidRPr="00F07779">
        <w:t>Kruševac</w:t>
      </w:r>
      <w:proofErr w:type="spellEnd"/>
      <w:r w:rsidRPr="00F07779">
        <w:t xml:space="preserve">, </w:t>
      </w:r>
      <w:proofErr w:type="spellStart"/>
      <w:r w:rsidRPr="00F07779">
        <w:t>Niš</w:t>
      </w:r>
      <w:proofErr w:type="spellEnd"/>
      <w:r w:rsidRPr="00F07779">
        <w:t xml:space="preserve">, Novi Pazar, </w:t>
      </w:r>
      <w:proofErr w:type="spellStart"/>
      <w:r w:rsidRPr="00F07779">
        <w:t>Pančevo</w:t>
      </w:r>
      <w:proofErr w:type="spellEnd"/>
      <w:r w:rsidRPr="00F07779">
        <w:t xml:space="preserve"> and </w:t>
      </w:r>
      <w:proofErr w:type="spellStart"/>
      <w:r w:rsidRPr="00F07779">
        <w:t>Paraćin</w:t>
      </w:r>
      <w:proofErr w:type="spellEnd"/>
      <w:r w:rsidRPr="00F07779">
        <w:t>). The project’s contribution is to reduce CO</w:t>
      </w:r>
      <w:r w:rsidRPr="00F07779">
        <w:rPr>
          <w:vertAlign w:val="subscript"/>
        </w:rPr>
        <w:t>2</w:t>
      </w:r>
      <w:r w:rsidRPr="00F07779">
        <w:t xml:space="preserve"> emissions by 13,600</w:t>
      </w:r>
      <w:r w:rsidR="00C05E00" w:rsidRPr="00F07779">
        <w:t xml:space="preserve"> </w:t>
      </w:r>
      <w:r w:rsidRPr="00F07779">
        <w:t xml:space="preserve">t per year. After implementation, these projects would deliver 115 GWh of heat energy from RES and additionally reduce 61 GWh of primary energy by implementing energy efficiency measures. Heat energy produced from RES would </w:t>
      </w:r>
      <w:proofErr w:type="gramStart"/>
      <w:r w:rsidRPr="00F07779">
        <w:t>be increased</w:t>
      </w:r>
      <w:proofErr w:type="gramEnd"/>
      <w:r w:rsidRPr="00F07779">
        <w:t xml:space="preserve"> from the current 95 GWh to 210 GWh.</w:t>
      </w:r>
    </w:p>
    <w:p w14:paraId="5C0E595D" w14:textId="77777777" w:rsidR="007F7C6A" w:rsidRPr="00F07779" w:rsidRDefault="007F7C6A" w:rsidP="007F7C6A">
      <w:pPr>
        <w:jc w:val="both"/>
      </w:pPr>
    </w:p>
    <w:p w14:paraId="2D873734" w14:textId="0D1D38B1" w:rsidR="007F7C6A" w:rsidRPr="00F07779" w:rsidRDefault="007F7C6A" w:rsidP="007F7C6A">
      <w:pPr>
        <w:jc w:val="both"/>
      </w:pPr>
      <w:r w:rsidRPr="00F07779">
        <w:t xml:space="preserve">T2.3: Use of </w:t>
      </w:r>
      <w:r w:rsidR="00C05E00" w:rsidRPr="00F07779">
        <w:t xml:space="preserve">a </w:t>
      </w:r>
      <w:r w:rsidRPr="00F07779">
        <w:t xml:space="preserve">heat pump in </w:t>
      </w:r>
      <w:r w:rsidR="00C05E00" w:rsidRPr="00F07779">
        <w:t>DHS</w:t>
      </w:r>
      <w:r w:rsidRPr="00F07779">
        <w:t xml:space="preserve"> in </w:t>
      </w:r>
      <w:proofErr w:type="spellStart"/>
      <w:r w:rsidRPr="00F07779">
        <w:t>Užice</w:t>
      </w:r>
      <w:proofErr w:type="spellEnd"/>
      <w:r w:rsidRPr="00F07779">
        <w:t xml:space="preserve"> and reconstruction of boiler house "Zlatibor"</w:t>
      </w:r>
    </w:p>
    <w:p w14:paraId="375D8761" w14:textId="23E28103" w:rsidR="007F7C6A" w:rsidRPr="00F07779" w:rsidRDefault="007F7C6A" w:rsidP="007F7C6A">
      <w:pPr>
        <w:jc w:val="both"/>
      </w:pPr>
      <w:r w:rsidRPr="00F07779">
        <w:t xml:space="preserve">The investment value of this project is 3.96 million EUR. The project involves the installation of a 3 MW heat pump as a heat source in </w:t>
      </w:r>
      <w:r w:rsidR="00C05E00" w:rsidRPr="00F07779">
        <w:t>DHS</w:t>
      </w:r>
      <w:r w:rsidRPr="00F07779">
        <w:t xml:space="preserve">, which uses water from the </w:t>
      </w:r>
      <w:proofErr w:type="spellStart"/>
      <w:r w:rsidRPr="00F07779">
        <w:t>Đetinja</w:t>
      </w:r>
      <w:proofErr w:type="spellEnd"/>
      <w:r w:rsidRPr="00F07779">
        <w:t xml:space="preserve"> River as a heat source. The boiler house "ZLATIBOR", which uses fuel oil as the primary fuel, would be shut down, and this part of the city of </w:t>
      </w:r>
      <w:proofErr w:type="spellStart"/>
      <w:r w:rsidRPr="00F07779">
        <w:t>Užice</w:t>
      </w:r>
      <w:proofErr w:type="spellEnd"/>
      <w:r w:rsidRPr="00F07779">
        <w:t xml:space="preserve"> would be supplied from the new boiler house "</w:t>
      </w:r>
      <w:proofErr w:type="spellStart"/>
      <w:r w:rsidRPr="00F07779">
        <w:t>Međaj</w:t>
      </w:r>
      <w:proofErr w:type="spellEnd"/>
      <w:r w:rsidRPr="00F07779">
        <w:t>", for which project documentation has been prepared</w:t>
      </w:r>
      <w:r w:rsidR="00C05E00" w:rsidRPr="00F07779">
        <w:t>. The new boiler house</w:t>
      </w:r>
      <w:r w:rsidRPr="00F07779">
        <w:t xml:space="preserve"> will use natural gas, which will be coupled with a heat pump. The contribution of this project is an increase in the use of RES and waste heat in </w:t>
      </w:r>
      <w:proofErr w:type="spellStart"/>
      <w:r w:rsidRPr="00F07779">
        <w:t>Užice</w:t>
      </w:r>
      <w:proofErr w:type="spellEnd"/>
      <w:r w:rsidRPr="00F07779">
        <w:t xml:space="preserve"> by 4%.</w:t>
      </w:r>
    </w:p>
    <w:p w14:paraId="1A1F64A4" w14:textId="77777777" w:rsidR="007F7C6A" w:rsidRPr="00F07779" w:rsidRDefault="007F7C6A" w:rsidP="007F7C6A">
      <w:pPr>
        <w:jc w:val="both"/>
      </w:pPr>
    </w:p>
    <w:p w14:paraId="4164973C" w14:textId="77777777" w:rsidR="007F7C6A" w:rsidRPr="00F07779" w:rsidRDefault="007F7C6A" w:rsidP="007F7C6A">
      <w:pPr>
        <w:jc w:val="both"/>
      </w:pPr>
      <w:r w:rsidRPr="00F07779">
        <w:t>T2.4 Development of the biomass market in the Republic of Serbia</w:t>
      </w:r>
    </w:p>
    <w:p w14:paraId="4B0AA05A" w14:textId="437C092F" w:rsidR="007F7C6A" w:rsidRPr="00F07779" w:rsidRDefault="007F7C6A" w:rsidP="007F7C6A">
      <w:pPr>
        <w:jc w:val="both"/>
      </w:pPr>
      <w:r w:rsidRPr="00F07779">
        <w:t xml:space="preserve">The program aims to introduce the use of biomass in selected heating plants in the Republic of Serbia </w:t>
      </w:r>
      <w:proofErr w:type="gramStart"/>
      <w:r w:rsidRPr="00F07779">
        <w:t>for the production of</w:t>
      </w:r>
      <w:proofErr w:type="gramEnd"/>
      <w:r w:rsidRPr="00F07779">
        <w:t xml:space="preserve"> heat energy. The program envisages the construction of </w:t>
      </w:r>
      <w:r w:rsidRPr="00F07779">
        <w:lastRenderedPageBreak/>
        <w:t>heating plants, reconstruction of the heating network</w:t>
      </w:r>
      <w:r w:rsidR="00C05E00" w:rsidRPr="00F07779">
        <w:t>,</w:t>
      </w:r>
      <w:r w:rsidRPr="00F07779">
        <w:t xml:space="preserve"> and substations in the following cities/municipalities: </w:t>
      </w:r>
      <w:proofErr w:type="spellStart"/>
      <w:r w:rsidRPr="00F07779">
        <w:t>Majdanpek</w:t>
      </w:r>
      <w:proofErr w:type="spellEnd"/>
      <w:r w:rsidRPr="00F07779">
        <w:t xml:space="preserve">, </w:t>
      </w:r>
      <w:proofErr w:type="spellStart"/>
      <w:r w:rsidRPr="00F07779">
        <w:t>Prijepolje</w:t>
      </w:r>
      <w:proofErr w:type="spellEnd"/>
      <w:r w:rsidRPr="00F07779">
        <w:t xml:space="preserve">, Novi Pazar, Vranje, </w:t>
      </w:r>
      <w:proofErr w:type="spellStart"/>
      <w:r w:rsidRPr="00F07779">
        <w:t>Niš</w:t>
      </w:r>
      <w:proofErr w:type="spellEnd"/>
      <w:r w:rsidRPr="00F07779">
        <w:t xml:space="preserve">, </w:t>
      </w:r>
      <w:proofErr w:type="spellStart"/>
      <w:r w:rsidRPr="00F07779">
        <w:t>Rača</w:t>
      </w:r>
      <w:proofErr w:type="spellEnd"/>
      <w:r w:rsidRPr="00F07779">
        <w:t>. The investment value of this project is EUR 31.9 million. The contribution of this project is the reduction of CO</w:t>
      </w:r>
      <w:r w:rsidRPr="00F07779">
        <w:rPr>
          <w:vertAlign w:val="subscript"/>
        </w:rPr>
        <w:t>2</w:t>
      </w:r>
      <w:r w:rsidRPr="00F07779">
        <w:t xml:space="preserve"> emissions and local pollutants.</w:t>
      </w:r>
    </w:p>
    <w:p w14:paraId="71B68871" w14:textId="77777777" w:rsidR="007F7C6A" w:rsidRPr="00F07779" w:rsidRDefault="007F7C6A" w:rsidP="007F7C6A">
      <w:pPr>
        <w:jc w:val="both"/>
      </w:pPr>
    </w:p>
    <w:p w14:paraId="029D3889" w14:textId="77777777" w:rsidR="007F7C6A" w:rsidRPr="00F07779" w:rsidRDefault="007F7C6A" w:rsidP="007F7C6A">
      <w:pPr>
        <w:jc w:val="both"/>
      </w:pPr>
      <w:r w:rsidRPr="00F07779">
        <w:t>T.2.5. Decarbonization of District Heating (DDH)</w:t>
      </w:r>
    </w:p>
    <w:p w14:paraId="648E9F62" w14:textId="5F3A8715" w:rsidR="007F7C6A" w:rsidRPr="00F07779" w:rsidRDefault="007F7C6A" w:rsidP="007F7C6A">
      <w:pPr>
        <w:jc w:val="both"/>
      </w:pPr>
      <w:r w:rsidRPr="00F07779">
        <w:t xml:space="preserve">The objective of this Project is to increase energy efficiency and introduce renewable energy sources into district heating systems and build appropriate supporting infrastructure, which have been identified as activities that will contribute to increasing the share of renewable energy sources in the overall energy mix and decarbonization of Serbia. The conclusion of financial agreements is expected at the end of 2025 or </w:t>
      </w:r>
      <w:r w:rsidR="002C714B" w:rsidRPr="00F07779">
        <w:t xml:space="preserve">the </w:t>
      </w:r>
      <w:r w:rsidRPr="00F07779">
        <w:t>beginning of 2026. The expected start of investment implementation is 2027, and the completion of implementation is 2031. The estimated value of the investment is 58 million EUR. The contribution of this project is the reduction of CO</w:t>
      </w:r>
      <w:r w:rsidRPr="00F07779">
        <w:rPr>
          <w:vertAlign w:val="subscript"/>
        </w:rPr>
        <w:t>2</w:t>
      </w:r>
      <w:r w:rsidRPr="00F07779">
        <w:t xml:space="preserve"> emissions and local pollutants.</w:t>
      </w:r>
    </w:p>
    <w:p w14:paraId="4E85549C" w14:textId="77777777" w:rsidR="007F7C6A" w:rsidRPr="00F07779" w:rsidRDefault="007F7C6A" w:rsidP="007F7C6A">
      <w:pPr>
        <w:jc w:val="both"/>
      </w:pPr>
    </w:p>
    <w:p w14:paraId="6C0BC5A0" w14:textId="77777777" w:rsidR="007F7C6A" w:rsidRPr="00F07779" w:rsidRDefault="007F7C6A" w:rsidP="002C714B">
      <w:pPr>
        <w:jc w:val="both"/>
      </w:pPr>
      <w:r w:rsidRPr="00F07779">
        <w:rPr>
          <w:b/>
          <w:bCs/>
        </w:rPr>
        <w:t xml:space="preserve">Measure T3 Approval of tariffs upon request in accordance with justified costs </w:t>
      </w:r>
      <w:r w:rsidRPr="00F07779">
        <w:t>includes one activity:</w:t>
      </w:r>
    </w:p>
    <w:p w14:paraId="1AA98CFA" w14:textId="77777777" w:rsidR="007F7C6A" w:rsidRPr="00F07779" w:rsidRDefault="007F7C6A" w:rsidP="007F7C6A">
      <w:pPr>
        <w:rPr>
          <w:b/>
          <w:bCs/>
        </w:rPr>
      </w:pPr>
    </w:p>
    <w:p w14:paraId="7592246A" w14:textId="44AB41FB" w:rsidR="007F7C6A" w:rsidRPr="00F07779" w:rsidRDefault="007F7C6A" w:rsidP="007F7C6A">
      <w:pPr>
        <w:jc w:val="both"/>
      </w:pPr>
      <w:r w:rsidRPr="00F07779">
        <w:t>T3.1: Billing according to consumption in the entire consumption area for both tariff groups, i.e.</w:t>
      </w:r>
      <w:r w:rsidR="002C714B" w:rsidRPr="00F07779">
        <w:t>,</w:t>
      </w:r>
      <w:r w:rsidRPr="00F07779">
        <w:t xml:space="preserve"> residential and commercial premises. </w:t>
      </w:r>
      <w:r w:rsidR="002C714B" w:rsidRPr="00F07779">
        <w:t>It implies the full implementation of the Methodology for determining the price of heat energy supply to the end customer.</w:t>
      </w:r>
      <w:r w:rsidRPr="00F07779">
        <w:t xml:space="preserve"> The contribution of this measure is reflected in the fair billing of heat energy among end </w:t>
      </w:r>
      <w:r w:rsidR="00E23D0D" w:rsidRPr="00F07779">
        <w:t>customers and</w:t>
      </w:r>
      <w:r w:rsidRPr="00F07779">
        <w:t xml:space="preserve"> increasing their level of satisfaction with the delivery of heat energy</w:t>
      </w:r>
      <w:r w:rsidR="00E23D0D" w:rsidRPr="00F07779">
        <w:t xml:space="preserve"> while respecting the obligations undertaken towards the international community</w:t>
      </w:r>
      <w:r w:rsidRPr="00F07779">
        <w:t>.</w:t>
      </w:r>
    </w:p>
    <w:p w14:paraId="028BEF4C" w14:textId="77777777" w:rsidR="007F7C6A" w:rsidRPr="00F07779" w:rsidRDefault="007F7C6A" w:rsidP="007F7C6A">
      <w:pPr>
        <w:rPr>
          <w:b/>
          <w:bCs/>
        </w:rPr>
      </w:pPr>
    </w:p>
    <w:p w14:paraId="4D67E297" w14:textId="24FA96C4" w:rsidR="007F7C6A" w:rsidRPr="00F07779" w:rsidRDefault="007F7C6A" w:rsidP="00E23D0D">
      <w:pPr>
        <w:jc w:val="both"/>
      </w:pPr>
      <w:r w:rsidRPr="00F07779">
        <w:rPr>
          <w:b/>
          <w:bCs/>
        </w:rPr>
        <w:t>Measure T4 Defining the national and local level of competence in carrying out energy activities of production, distribution</w:t>
      </w:r>
      <w:r w:rsidR="00E23D0D" w:rsidRPr="00F07779">
        <w:rPr>
          <w:b/>
          <w:bCs/>
        </w:rPr>
        <w:t>,</w:t>
      </w:r>
      <w:r w:rsidRPr="00F07779">
        <w:rPr>
          <w:b/>
          <w:bCs/>
        </w:rPr>
        <w:t xml:space="preserve"> and supply of </w:t>
      </w:r>
      <w:r w:rsidR="00E23D0D" w:rsidRPr="00F07779">
        <w:rPr>
          <w:b/>
          <w:bCs/>
        </w:rPr>
        <w:t>heat</w:t>
      </w:r>
      <w:r w:rsidRPr="00F07779">
        <w:rPr>
          <w:b/>
          <w:bCs/>
        </w:rPr>
        <w:t xml:space="preserve"> energy </w:t>
      </w:r>
      <w:r w:rsidRPr="00F07779">
        <w:t>includes one activity:</w:t>
      </w:r>
    </w:p>
    <w:p w14:paraId="256CAC9A" w14:textId="77777777" w:rsidR="007F7C6A" w:rsidRPr="00F07779" w:rsidRDefault="007F7C6A" w:rsidP="007F7C6A">
      <w:pPr>
        <w:rPr>
          <w:b/>
          <w:bCs/>
        </w:rPr>
      </w:pPr>
    </w:p>
    <w:p w14:paraId="55265015" w14:textId="20740984" w:rsidR="007F7C6A" w:rsidRPr="00F07779" w:rsidRDefault="007F7C6A" w:rsidP="007F7C6A">
      <w:pPr>
        <w:jc w:val="both"/>
      </w:pPr>
      <w:r w:rsidRPr="00F07779">
        <w:t xml:space="preserve">T4.1 Amendments to the Energy Law Article 8 c: The Program for the Development of </w:t>
      </w:r>
      <w:r w:rsidR="00E23D0D" w:rsidRPr="00F07779">
        <w:t>Heat</w:t>
      </w:r>
      <w:r w:rsidRPr="00F07779">
        <w:t xml:space="preserve"> Energy Production and Use is the basic act that determines the directions of action and public policy in the field of production and use of </w:t>
      </w:r>
      <w:r w:rsidR="00E23D0D" w:rsidRPr="00F07779">
        <w:t>heat</w:t>
      </w:r>
      <w:r w:rsidRPr="00F07779">
        <w:t xml:space="preserve"> energy and the implementation of public policies. This is practically the only regulatory measure in the </w:t>
      </w:r>
      <w:r w:rsidR="00E23D0D" w:rsidRPr="00F07779">
        <w:t>heat</w:t>
      </w:r>
      <w:r w:rsidRPr="00F07779">
        <w:t xml:space="preserve"> energy sector, which contributes to the sustainable operation of the </w:t>
      </w:r>
      <w:r w:rsidR="00E23D0D" w:rsidRPr="00F07779">
        <w:t>DHSs</w:t>
      </w:r>
      <w:r w:rsidRPr="00F07779">
        <w:t>.</w:t>
      </w:r>
    </w:p>
    <w:p w14:paraId="39DB220D" w14:textId="77777777" w:rsidR="007F7C6A" w:rsidRPr="00F07779" w:rsidRDefault="007F7C6A" w:rsidP="007F7C6A">
      <w:pPr>
        <w:jc w:val="both"/>
      </w:pPr>
    </w:p>
    <w:p w14:paraId="3F18B071" w14:textId="3992162E" w:rsidR="00613D07" w:rsidRPr="00F07779" w:rsidRDefault="007F7C6A" w:rsidP="007F7C6A">
      <w:pPr>
        <w:jc w:val="both"/>
      </w:pPr>
      <w:r w:rsidRPr="00F07779">
        <w:t xml:space="preserve">The total funds planned for the implementation of measures and activities in the </w:t>
      </w:r>
      <w:r w:rsidR="00E23D0D" w:rsidRPr="00F07779">
        <w:t>heat</w:t>
      </w:r>
      <w:r w:rsidRPr="00F07779">
        <w:t xml:space="preserve"> sector amount to EUR 284.22 million, and the distribution by activities, together with the planned sources of financing, is shown in Tables 5.2.3-6.</w:t>
      </w:r>
    </w:p>
    <w:p w14:paraId="577D8BAC" w14:textId="2D435BB5" w:rsidR="00613D07" w:rsidRPr="00F07779" w:rsidRDefault="00613D07" w:rsidP="00613D07"/>
    <w:p w14:paraId="745EEE84" w14:textId="77777777" w:rsidR="00E23D0D" w:rsidRPr="00F07779" w:rsidRDefault="00E23D0D" w:rsidP="00E23D0D">
      <w:r w:rsidRPr="00F07779">
        <w:t>Table 5.2.3-1: Activities for implementing the measure Т1 –Т1.1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7"/>
        <w:gridCol w:w="5658"/>
      </w:tblGrid>
      <w:tr w:rsidR="00E23D0D" w:rsidRPr="00F07779" w14:paraId="43A3191C" w14:textId="77777777" w:rsidTr="00615D2C">
        <w:trPr>
          <w:trHeight w:val="360"/>
        </w:trPr>
        <w:tc>
          <w:tcPr>
            <w:tcW w:w="3057" w:type="dxa"/>
            <w:shd w:val="clear" w:color="000000" w:fill="D9D9D9"/>
            <w:hideMark/>
          </w:tcPr>
          <w:p w14:paraId="78F12A72" w14:textId="77777777" w:rsidR="00E23D0D" w:rsidRPr="00F07779" w:rsidRDefault="00E23D0D" w:rsidP="00615D2C">
            <w:pPr>
              <w:rPr>
                <w:color w:val="000000"/>
                <w:sz w:val="20"/>
                <w:szCs w:val="20"/>
              </w:rPr>
            </w:pPr>
            <w:r w:rsidRPr="00F07779">
              <w:rPr>
                <w:color w:val="000000"/>
                <w:sz w:val="20"/>
                <w:szCs w:val="20"/>
              </w:rPr>
              <w:t>Activity Т1.1</w:t>
            </w:r>
          </w:p>
        </w:tc>
        <w:tc>
          <w:tcPr>
            <w:tcW w:w="5658" w:type="dxa"/>
            <w:shd w:val="clear" w:color="000000" w:fill="D9D9D9"/>
            <w:vAlign w:val="center"/>
            <w:hideMark/>
          </w:tcPr>
          <w:p w14:paraId="56F65837" w14:textId="77777777" w:rsidR="00E23D0D" w:rsidRPr="00F07779" w:rsidRDefault="00E23D0D" w:rsidP="00615D2C">
            <w:pPr>
              <w:rPr>
                <w:color w:val="000000"/>
                <w:sz w:val="20"/>
                <w:szCs w:val="20"/>
              </w:rPr>
            </w:pPr>
            <w:r w:rsidRPr="00F07779">
              <w:rPr>
                <w:color w:val="000000"/>
                <w:sz w:val="20"/>
                <w:szCs w:val="20"/>
              </w:rPr>
              <w:t xml:space="preserve">Construction of a distribution network in </w:t>
            </w:r>
            <w:proofErr w:type="spellStart"/>
            <w:r w:rsidRPr="00F07779">
              <w:rPr>
                <w:color w:val="000000"/>
                <w:sz w:val="20"/>
                <w:szCs w:val="20"/>
              </w:rPr>
              <w:t>Vršac</w:t>
            </w:r>
            <w:proofErr w:type="spellEnd"/>
          </w:p>
        </w:tc>
      </w:tr>
      <w:tr w:rsidR="00E23D0D" w:rsidRPr="00F07779" w14:paraId="07C573D9" w14:textId="77777777" w:rsidTr="00615D2C">
        <w:trPr>
          <w:trHeight w:val="315"/>
        </w:trPr>
        <w:tc>
          <w:tcPr>
            <w:tcW w:w="3057" w:type="dxa"/>
            <w:hideMark/>
          </w:tcPr>
          <w:p w14:paraId="63072CEC" w14:textId="77777777" w:rsidR="00E23D0D" w:rsidRPr="00F07779" w:rsidRDefault="00E23D0D" w:rsidP="00615D2C">
            <w:pPr>
              <w:rPr>
                <w:color w:val="000000"/>
                <w:sz w:val="20"/>
                <w:szCs w:val="20"/>
              </w:rPr>
            </w:pPr>
            <w:r w:rsidRPr="00F07779">
              <w:rPr>
                <w:color w:val="000000"/>
                <w:sz w:val="20"/>
                <w:szCs w:val="20"/>
              </w:rPr>
              <w:t>Description</w:t>
            </w:r>
          </w:p>
        </w:tc>
        <w:tc>
          <w:tcPr>
            <w:tcW w:w="5658" w:type="dxa"/>
            <w:noWrap/>
            <w:vAlign w:val="bottom"/>
            <w:hideMark/>
          </w:tcPr>
          <w:p w14:paraId="25534D33" w14:textId="77777777" w:rsidR="00E23D0D" w:rsidRPr="00F07779" w:rsidRDefault="00E23D0D" w:rsidP="00615D2C">
            <w:pPr>
              <w:rPr>
                <w:color w:val="000000"/>
                <w:sz w:val="20"/>
                <w:szCs w:val="20"/>
              </w:rPr>
            </w:pPr>
            <w:r w:rsidRPr="00F07779">
              <w:rPr>
                <w:color w:val="000000"/>
                <w:sz w:val="20"/>
                <w:szCs w:val="20"/>
              </w:rPr>
              <w:t>Construction of a distribution network</w:t>
            </w:r>
          </w:p>
        </w:tc>
      </w:tr>
      <w:tr w:rsidR="00E23D0D" w:rsidRPr="00F07779" w14:paraId="1ECA0A19" w14:textId="77777777" w:rsidTr="00615D2C">
        <w:trPr>
          <w:trHeight w:val="640"/>
        </w:trPr>
        <w:tc>
          <w:tcPr>
            <w:tcW w:w="3057" w:type="dxa"/>
            <w:hideMark/>
          </w:tcPr>
          <w:p w14:paraId="3CFA08E6" w14:textId="77777777" w:rsidR="00E23D0D" w:rsidRPr="00F07779" w:rsidRDefault="00E23D0D" w:rsidP="00615D2C">
            <w:pPr>
              <w:rPr>
                <w:color w:val="000000"/>
                <w:sz w:val="20"/>
                <w:szCs w:val="20"/>
              </w:rPr>
            </w:pPr>
            <w:r w:rsidRPr="00F07779">
              <w:rPr>
                <w:color w:val="000000"/>
                <w:sz w:val="20"/>
                <w:szCs w:val="20"/>
              </w:rPr>
              <w:t>Institutions responsible for the implementation of measures and activities</w:t>
            </w:r>
          </w:p>
        </w:tc>
        <w:tc>
          <w:tcPr>
            <w:tcW w:w="5658" w:type="dxa"/>
            <w:vAlign w:val="center"/>
            <w:hideMark/>
          </w:tcPr>
          <w:p w14:paraId="5F343AD1" w14:textId="77777777" w:rsidR="00E23D0D" w:rsidRPr="00F07779" w:rsidRDefault="00E23D0D" w:rsidP="00615D2C">
            <w:pPr>
              <w:rPr>
                <w:color w:val="000000"/>
                <w:sz w:val="20"/>
                <w:szCs w:val="20"/>
              </w:rPr>
            </w:pPr>
            <w:r w:rsidRPr="00F07779">
              <w:rPr>
                <w:color w:val="000000"/>
                <w:sz w:val="20"/>
                <w:szCs w:val="20"/>
              </w:rPr>
              <w:t xml:space="preserve">PUC Drugi </w:t>
            </w:r>
            <w:proofErr w:type="spellStart"/>
            <w:r w:rsidRPr="00F07779">
              <w:rPr>
                <w:color w:val="000000"/>
                <w:sz w:val="20"/>
                <w:szCs w:val="20"/>
              </w:rPr>
              <w:t>oktobar</w:t>
            </w:r>
            <w:proofErr w:type="spellEnd"/>
            <w:r w:rsidRPr="00F07779">
              <w:rPr>
                <w:color w:val="000000"/>
                <w:sz w:val="20"/>
                <w:szCs w:val="20"/>
              </w:rPr>
              <w:t xml:space="preserve"> </w:t>
            </w:r>
            <w:proofErr w:type="spellStart"/>
            <w:r w:rsidRPr="00F07779">
              <w:rPr>
                <w:color w:val="000000"/>
                <w:sz w:val="20"/>
                <w:szCs w:val="20"/>
              </w:rPr>
              <w:t>Vršac</w:t>
            </w:r>
            <w:proofErr w:type="spellEnd"/>
          </w:p>
          <w:p w14:paraId="71C146E7" w14:textId="77777777" w:rsidR="00E23D0D" w:rsidRPr="00F07779" w:rsidRDefault="00E23D0D" w:rsidP="00615D2C">
            <w:pPr>
              <w:rPr>
                <w:color w:val="000000"/>
                <w:sz w:val="20"/>
                <w:szCs w:val="20"/>
              </w:rPr>
            </w:pPr>
            <w:r w:rsidRPr="00F07779">
              <w:rPr>
                <w:color w:val="000000"/>
                <w:sz w:val="20"/>
                <w:szCs w:val="20"/>
              </w:rPr>
              <w:t xml:space="preserve">Competent authority of the City of </w:t>
            </w:r>
            <w:proofErr w:type="spellStart"/>
            <w:r w:rsidRPr="00F07779">
              <w:rPr>
                <w:color w:val="000000"/>
                <w:sz w:val="20"/>
                <w:szCs w:val="20"/>
              </w:rPr>
              <w:t>Vršac</w:t>
            </w:r>
            <w:proofErr w:type="spellEnd"/>
          </w:p>
        </w:tc>
      </w:tr>
      <w:tr w:rsidR="00E23D0D" w:rsidRPr="00F07779" w14:paraId="62183ABB" w14:textId="77777777" w:rsidTr="00615D2C">
        <w:trPr>
          <w:trHeight w:val="510"/>
        </w:trPr>
        <w:tc>
          <w:tcPr>
            <w:tcW w:w="3057" w:type="dxa"/>
            <w:hideMark/>
          </w:tcPr>
          <w:p w14:paraId="47F2366D" w14:textId="77777777" w:rsidR="00E23D0D" w:rsidRPr="00F07779" w:rsidRDefault="00E23D0D" w:rsidP="00615D2C">
            <w:pPr>
              <w:rPr>
                <w:color w:val="000000"/>
                <w:sz w:val="20"/>
                <w:szCs w:val="20"/>
              </w:rPr>
            </w:pPr>
            <w:r w:rsidRPr="00F07779">
              <w:rPr>
                <w:color w:val="000000"/>
                <w:sz w:val="20"/>
                <w:szCs w:val="20"/>
              </w:rPr>
              <w:t>Institutions responsible for monitoring implementation and reporting on realization</w:t>
            </w:r>
          </w:p>
        </w:tc>
        <w:tc>
          <w:tcPr>
            <w:tcW w:w="5658" w:type="dxa"/>
            <w:vAlign w:val="center"/>
            <w:hideMark/>
          </w:tcPr>
          <w:p w14:paraId="321EC92B" w14:textId="77777777" w:rsidR="00E23D0D" w:rsidRPr="00F07779" w:rsidRDefault="00E23D0D" w:rsidP="00615D2C">
            <w:pPr>
              <w:rPr>
                <w:color w:val="000000"/>
                <w:sz w:val="20"/>
                <w:szCs w:val="20"/>
              </w:rPr>
            </w:pPr>
            <w:r w:rsidRPr="00F07779">
              <w:rPr>
                <w:color w:val="000000"/>
                <w:sz w:val="20"/>
                <w:szCs w:val="20"/>
              </w:rPr>
              <w:t>Ministry of Mining and Energy</w:t>
            </w:r>
          </w:p>
        </w:tc>
      </w:tr>
      <w:tr w:rsidR="00E23D0D" w:rsidRPr="00F07779" w14:paraId="5C52231A" w14:textId="77777777" w:rsidTr="00615D2C">
        <w:trPr>
          <w:trHeight w:val="315"/>
        </w:trPr>
        <w:tc>
          <w:tcPr>
            <w:tcW w:w="3057" w:type="dxa"/>
            <w:hideMark/>
          </w:tcPr>
          <w:p w14:paraId="5691F60B" w14:textId="77777777" w:rsidR="00E23D0D" w:rsidRPr="00F07779" w:rsidRDefault="00E23D0D" w:rsidP="00615D2C">
            <w:pPr>
              <w:rPr>
                <w:color w:val="000000"/>
                <w:sz w:val="20"/>
                <w:szCs w:val="20"/>
              </w:rPr>
            </w:pPr>
            <w:r w:rsidRPr="00F07779">
              <w:rPr>
                <w:color w:val="000000"/>
                <w:sz w:val="20"/>
                <w:szCs w:val="20"/>
              </w:rPr>
              <w:t>Deadline for implementation</w:t>
            </w:r>
          </w:p>
        </w:tc>
        <w:tc>
          <w:tcPr>
            <w:tcW w:w="5658" w:type="dxa"/>
            <w:vAlign w:val="center"/>
            <w:hideMark/>
          </w:tcPr>
          <w:p w14:paraId="3898E33B" w14:textId="77777777" w:rsidR="00E23D0D" w:rsidRPr="00F07779" w:rsidRDefault="00E23D0D" w:rsidP="00615D2C">
            <w:pPr>
              <w:rPr>
                <w:color w:val="000000"/>
                <w:sz w:val="20"/>
                <w:szCs w:val="20"/>
              </w:rPr>
            </w:pPr>
            <w:r w:rsidRPr="00F07779">
              <w:rPr>
                <w:color w:val="000000"/>
                <w:sz w:val="20"/>
                <w:szCs w:val="20"/>
              </w:rPr>
              <w:t xml:space="preserve">2027. </w:t>
            </w:r>
          </w:p>
        </w:tc>
      </w:tr>
      <w:tr w:rsidR="00E23D0D" w:rsidRPr="00F07779" w14:paraId="4D029D44" w14:textId="77777777" w:rsidTr="00615D2C">
        <w:trPr>
          <w:trHeight w:val="640"/>
        </w:trPr>
        <w:tc>
          <w:tcPr>
            <w:tcW w:w="3057" w:type="dxa"/>
            <w:hideMark/>
          </w:tcPr>
          <w:p w14:paraId="56198006" w14:textId="77777777" w:rsidR="00E23D0D" w:rsidRPr="00F07779" w:rsidRDefault="00E23D0D" w:rsidP="00615D2C">
            <w:pPr>
              <w:rPr>
                <w:color w:val="000000"/>
                <w:sz w:val="20"/>
                <w:szCs w:val="20"/>
              </w:rPr>
            </w:pPr>
            <w:r w:rsidRPr="00F07779">
              <w:rPr>
                <w:color w:val="000000"/>
                <w:sz w:val="20"/>
                <w:szCs w:val="20"/>
              </w:rPr>
              <w:t>Required funds and source of financing</w:t>
            </w:r>
          </w:p>
        </w:tc>
        <w:tc>
          <w:tcPr>
            <w:tcW w:w="5658" w:type="dxa"/>
            <w:vAlign w:val="center"/>
            <w:hideMark/>
          </w:tcPr>
          <w:p w14:paraId="2B514F61" w14:textId="77777777" w:rsidR="00E23D0D" w:rsidRPr="00F07779" w:rsidRDefault="00E23D0D" w:rsidP="00615D2C">
            <w:pPr>
              <w:rPr>
                <w:color w:val="000000"/>
                <w:sz w:val="20"/>
                <w:szCs w:val="20"/>
              </w:rPr>
            </w:pPr>
            <w:r w:rsidRPr="00F07779">
              <w:rPr>
                <w:color w:val="000000"/>
                <w:sz w:val="20"/>
                <w:szCs w:val="20"/>
              </w:rPr>
              <w:t>EUR 2.73 million</w:t>
            </w:r>
          </w:p>
          <w:p w14:paraId="695F16F9" w14:textId="77777777" w:rsidR="00E23D0D" w:rsidRPr="00F07779" w:rsidRDefault="00E23D0D" w:rsidP="00615D2C">
            <w:pPr>
              <w:rPr>
                <w:color w:val="000000"/>
                <w:sz w:val="20"/>
                <w:szCs w:val="20"/>
              </w:rPr>
            </w:pPr>
            <w:r w:rsidRPr="00F07779">
              <w:rPr>
                <w:color w:val="000000"/>
                <w:sz w:val="20"/>
                <w:szCs w:val="20"/>
              </w:rPr>
              <w:t>EBRD loan, approximately 20% grant</w:t>
            </w:r>
          </w:p>
          <w:p w14:paraId="00014D64" w14:textId="77777777" w:rsidR="00E23D0D" w:rsidRPr="00F07779" w:rsidRDefault="00E23D0D" w:rsidP="00615D2C">
            <w:pPr>
              <w:rPr>
                <w:color w:val="000000"/>
                <w:sz w:val="20"/>
                <w:szCs w:val="20"/>
              </w:rPr>
            </w:pPr>
            <w:r w:rsidRPr="00F07779">
              <w:rPr>
                <w:color w:val="000000"/>
                <w:sz w:val="20"/>
                <w:szCs w:val="20"/>
              </w:rPr>
              <w:t>The implementation dynamics and the plan for withdrawing funds will be defined later</w:t>
            </w:r>
          </w:p>
        </w:tc>
      </w:tr>
      <w:tr w:rsidR="00E23D0D" w:rsidRPr="00F07779" w14:paraId="164BF7D4" w14:textId="77777777" w:rsidTr="00615D2C">
        <w:trPr>
          <w:trHeight w:val="470"/>
        </w:trPr>
        <w:tc>
          <w:tcPr>
            <w:tcW w:w="3057" w:type="dxa"/>
            <w:hideMark/>
          </w:tcPr>
          <w:p w14:paraId="78580C6C" w14:textId="77777777" w:rsidR="00E23D0D" w:rsidRPr="00F07779" w:rsidRDefault="00E23D0D" w:rsidP="00615D2C">
            <w:pPr>
              <w:rPr>
                <w:color w:val="000000"/>
                <w:sz w:val="20"/>
                <w:szCs w:val="20"/>
              </w:rPr>
            </w:pPr>
            <w:r w:rsidRPr="00F07779">
              <w:rPr>
                <w:color w:val="000000"/>
                <w:sz w:val="20"/>
                <w:szCs w:val="20"/>
              </w:rPr>
              <w:lastRenderedPageBreak/>
              <w:t>Impact of the activity on the achievement of the objective</w:t>
            </w:r>
          </w:p>
        </w:tc>
        <w:tc>
          <w:tcPr>
            <w:tcW w:w="5658" w:type="dxa"/>
            <w:vAlign w:val="center"/>
            <w:hideMark/>
          </w:tcPr>
          <w:p w14:paraId="64E18750" w14:textId="77777777" w:rsidR="00E23D0D" w:rsidRPr="00F07779" w:rsidRDefault="00E23D0D" w:rsidP="00615D2C">
            <w:pPr>
              <w:rPr>
                <w:color w:val="000000"/>
                <w:sz w:val="20"/>
                <w:szCs w:val="20"/>
              </w:rPr>
            </w:pPr>
            <w:r w:rsidRPr="00F07779">
              <w:rPr>
                <w:color w:val="000000"/>
                <w:sz w:val="20"/>
                <w:szCs w:val="20"/>
              </w:rPr>
              <w:t>Secure supply:</w:t>
            </w:r>
          </w:p>
          <w:p w14:paraId="3B110079" w14:textId="77777777" w:rsidR="00E23D0D" w:rsidRPr="00F07779" w:rsidRDefault="00E23D0D" w:rsidP="00615D2C">
            <w:pPr>
              <w:rPr>
                <w:color w:val="000000"/>
                <w:sz w:val="20"/>
                <w:szCs w:val="20"/>
              </w:rPr>
            </w:pPr>
            <w:r w:rsidRPr="00F07779">
              <w:rPr>
                <w:color w:val="000000"/>
                <w:sz w:val="20"/>
                <w:szCs w:val="20"/>
              </w:rPr>
              <w:t>Increase the efficiency of the distribution system by 3%</w:t>
            </w:r>
          </w:p>
        </w:tc>
      </w:tr>
      <w:tr w:rsidR="00E23D0D" w:rsidRPr="00F07779" w14:paraId="0CB7EBD7" w14:textId="77777777" w:rsidTr="00615D2C">
        <w:trPr>
          <w:trHeight w:val="315"/>
        </w:trPr>
        <w:tc>
          <w:tcPr>
            <w:tcW w:w="3057" w:type="dxa"/>
            <w:hideMark/>
          </w:tcPr>
          <w:p w14:paraId="7B6F39A2" w14:textId="77777777" w:rsidR="00E23D0D" w:rsidRPr="00F07779" w:rsidRDefault="00E23D0D" w:rsidP="00615D2C">
            <w:pPr>
              <w:rPr>
                <w:color w:val="000000"/>
                <w:sz w:val="20"/>
                <w:szCs w:val="20"/>
              </w:rPr>
            </w:pPr>
            <w:r w:rsidRPr="00F07779">
              <w:rPr>
                <w:color w:val="000000"/>
                <w:sz w:val="20"/>
                <w:szCs w:val="20"/>
              </w:rPr>
              <w:t>Impact on EE, climate, and environmental protection</w:t>
            </w:r>
          </w:p>
        </w:tc>
        <w:tc>
          <w:tcPr>
            <w:tcW w:w="5658" w:type="dxa"/>
            <w:vAlign w:val="center"/>
            <w:hideMark/>
          </w:tcPr>
          <w:p w14:paraId="7502EFD6" w14:textId="77777777" w:rsidR="00E23D0D" w:rsidRPr="00F07779" w:rsidRDefault="00E23D0D" w:rsidP="00615D2C">
            <w:pPr>
              <w:rPr>
                <w:color w:val="000000"/>
                <w:sz w:val="20"/>
                <w:szCs w:val="20"/>
              </w:rPr>
            </w:pPr>
            <w:r w:rsidRPr="00F07779">
              <w:rPr>
                <w:color w:val="000000"/>
                <w:sz w:val="20"/>
                <w:szCs w:val="20"/>
              </w:rPr>
              <w:t>Reduce emissions by 108.75tCO</w:t>
            </w:r>
            <w:r w:rsidRPr="00F07779">
              <w:rPr>
                <w:color w:val="000000"/>
                <w:sz w:val="20"/>
                <w:szCs w:val="20"/>
                <w:vertAlign w:val="subscript"/>
              </w:rPr>
              <w:t>2eqv</w:t>
            </w:r>
            <w:r w:rsidRPr="00F07779">
              <w:rPr>
                <w:color w:val="000000"/>
                <w:sz w:val="20"/>
                <w:szCs w:val="20"/>
              </w:rPr>
              <w:t>/year</w:t>
            </w:r>
          </w:p>
        </w:tc>
      </w:tr>
    </w:tbl>
    <w:p w14:paraId="06DF5DC4" w14:textId="77777777" w:rsidR="00E23D0D" w:rsidRPr="00F07779" w:rsidRDefault="00E23D0D" w:rsidP="00E23D0D"/>
    <w:p w14:paraId="421CE6B2" w14:textId="77777777" w:rsidR="00E23D0D" w:rsidRPr="00F07779" w:rsidRDefault="00E23D0D" w:rsidP="00E23D0D">
      <w:r w:rsidRPr="00F07779">
        <w:t>Table 5.2.3-2: Activities for implementing the measure Т1 –Т1.2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7"/>
        <w:gridCol w:w="5658"/>
      </w:tblGrid>
      <w:tr w:rsidR="00E23D0D" w:rsidRPr="00F07779" w14:paraId="499983CE" w14:textId="77777777" w:rsidTr="00615D2C">
        <w:trPr>
          <w:trHeight w:val="347"/>
        </w:trPr>
        <w:tc>
          <w:tcPr>
            <w:tcW w:w="3057" w:type="dxa"/>
            <w:shd w:val="clear" w:color="000000" w:fill="D9D9D9"/>
            <w:hideMark/>
          </w:tcPr>
          <w:p w14:paraId="69CB00DF" w14:textId="77777777" w:rsidR="00E23D0D" w:rsidRPr="00F07779" w:rsidRDefault="00E23D0D" w:rsidP="00615D2C">
            <w:pPr>
              <w:rPr>
                <w:color w:val="000000"/>
                <w:sz w:val="20"/>
                <w:szCs w:val="20"/>
              </w:rPr>
            </w:pPr>
            <w:r w:rsidRPr="00F07779">
              <w:rPr>
                <w:color w:val="000000"/>
                <w:sz w:val="20"/>
                <w:szCs w:val="20"/>
              </w:rPr>
              <w:t>Activity Т1.2</w:t>
            </w:r>
          </w:p>
        </w:tc>
        <w:tc>
          <w:tcPr>
            <w:tcW w:w="5658" w:type="dxa"/>
            <w:shd w:val="clear" w:color="000000" w:fill="D9D9D9"/>
            <w:hideMark/>
          </w:tcPr>
          <w:p w14:paraId="2BED4C6C" w14:textId="77777777" w:rsidR="00E23D0D" w:rsidRPr="00F07779" w:rsidRDefault="00E23D0D" w:rsidP="00615D2C">
            <w:pPr>
              <w:rPr>
                <w:color w:val="000000"/>
                <w:sz w:val="20"/>
                <w:szCs w:val="20"/>
              </w:rPr>
            </w:pPr>
            <w:r w:rsidRPr="00F07779">
              <w:rPr>
                <w:sz w:val="20"/>
                <w:szCs w:val="20"/>
              </w:rPr>
              <w:t xml:space="preserve">Reconstruction of the distribution system in </w:t>
            </w:r>
            <w:proofErr w:type="spellStart"/>
            <w:r w:rsidRPr="00F07779">
              <w:rPr>
                <w:sz w:val="20"/>
                <w:szCs w:val="20"/>
              </w:rPr>
              <w:t>Bečej</w:t>
            </w:r>
            <w:proofErr w:type="spellEnd"/>
          </w:p>
        </w:tc>
      </w:tr>
      <w:tr w:rsidR="00E23D0D" w:rsidRPr="00F07779" w14:paraId="097232F2" w14:textId="77777777" w:rsidTr="00615D2C">
        <w:trPr>
          <w:trHeight w:val="315"/>
        </w:trPr>
        <w:tc>
          <w:tcPr>
            <w:tcW w:w="3057" w:type="dxa"/>
            <w:hideMark/>
          </w:tcPr>
          <w:p w14:paraId="216254FF" w14:textId="77777777" w:rsidR="00E23D0D" w:rsidRPr="00F07779" w:rsidRDefault="00E23D0D" w:rsidP="00615D2C">
            <w:pPr>
              <w:rPr>
                <w:color w:val="000000"/>
                <w:sz w:val="20"/>
                <w:szCs w:val="20"/>
              </w:rPr>
            </w:pPr>
            <w:r w:rsidRPr="00F07779">
              <w:rPr>
                <w:sz w:val="20"/>
                <w:szCs w:val="20"/>
              </w:rPr>
              <w:t>Description</w:t>
            </w:r>
          </w:p>
        </w:tc>
        <w:tc>
          <w:tcPr>
            <w:tcW w:w="5658" w:type="dxa"/>
            <w:noWrap/>
            <w:hideMark/>
          </w:tcPr>
          <w:p w14:paraId="54638856" w14:textId="77777777" w:rsidR="00E23D0D" w:rsidRPr="00F07779" w:rsidRDefault="00E23D0D" w:rsidP="00615D2C">
            <w:pPr>
              <w:rPr>
                <w:color w:val="000000"/>
                <w:sz w:val="20"/>
                <w:szCs w:val="20"/>
              </w:rPr>
            </w:pPr>
            <w:r w:rsidRPr="00F07779">
              <w:rPr>
                <w:sz w:val="20"/>
                <w:szCs w:val="20"/>
              </w:rPr>
              <w:t>Reconstruction of the distribution system</w:t>
            </w:r>
          </w:p>
        </w:tc>
      </w:tr>
      <w:tr w:rsidR="00E23D0D" w:rsidRPr="00F07779" w14:paraId="32CBAB1C" w14:textId="77777777" w:rsidTr="00615D2C">
        <w:trPr>
          <w:trHeight w:val="640"/>
        </w:trPr>
        <w:tc>
          <w:tcPr>
            <w:tcW w:w="3057" w:type="dxa"/>
            <w:hideMark/>
          </w:tcPr>
          <w:p w14:paraId="7D19305F" w14:textId="77777777" w:rsidR="00E23D0D" w:rsidRPr="00F07779" w:rsidRDefault="00E23D0D" w:rsidP="00615D2C">
            <w:pPr>
              <w:rPr>
                <w:color w:val="000000"/>
                <w:sz w:val="20"/>
                <w:szCs w:val="20"/>
              </w:rPr>
            </w:pPr>
            <w:r w:rsidRPr="00F07779">
              <w:rPr>
                <w:sz w:val="20"/>
                <w:szCs w:val="20"/>
              </w:rPr>
              <w:t>Institutions responsible for the implementation of measures and activities</w:t>
            </w:r>
          </w:p>
        </w:tc>
        <w:tc>
          <w:tcPr>
            <w:tcW w:w="5658" w:type="dxa"/>
            <w:hideMark/>
          </w:tcPr>
          <w:p w14:paraId="4A61B122" w14:textId="77777777" w:rsidR="00E23D0D" w:rsidRPr="00F07779" w:rsidRDefault="00E23D0D" w:rsidP="00615D2C">
            <w:pPr>
              <w:rPr>
                <w:sz w:val="20"/>
                <w:szCs w:val="20"/>
              </w:rPr>
            </w:pPr>
            <w:r w:rsidRPr="00F07779">
              <w:rPr>
                <w:sz w:val="20"/>
                <w:szCs w:val="20"/>
              </w:rPr>
              <w:t xml:space="preserve">PU </w:t>
            </w:r>
            <w:proofErr w:type="spellStart"/>
            <w:r w:rsidRPr="00F07779">
              <w:rPr>
                <w:sz w:val="20"/>
                <w:szCs w:val="20"/>
              </w:rPr>
              <w:t>Toplana</w:t>
            </w:r>
            <w:proofErr w:type="spellEnd"/>
            <w:r w:rsidRPr="00F07779">
              <w:rPr>
                <w:sz w:val="20"/>
                <w:szCs w:val="20"/>
              </w:rPr>
              <w:t xml:space="preserve"> </w:t>
            </w:r>
            <w:proofErr w:type="spellStart"/>
            <w:r w:rsidRPr="00F07779">
              <w:rPr>
                <w:sz w:val="20"/>
                <w:szCs w:val="20"/>
              </w:rPr>
              <w:t>Bečej</w:t>
            </w:r>
            <w:proofErr w:type="spellEnd"/>
          </w:p>
          <w:p w14:paraId="20D55286" w14:textId="77777777" w:rsidR="00E23D0D" w:rsidRPr="00F07779" w:rsidRDefault="00E23D0D" w:rsidP="00615D2C">
            <w:pPr>
              <w:rPr>
                <w:sz w:val="20"/>
                <w:szCs w:val="20"/>
              </w:rPr>
            </w:pPr>
            <w:r w:rsidRPr="00F07779">
              <w:rPr>
                <w:sz w:val="20"/>
                <w:szCs w:val="20"/>
              </w:rPr>
              <w:t xml:space="preserve">Competent authority of the City of </w:t>
            </w:r>
            <w:proofErr w:type="spellStart"/>
            <w:r w:rsidRPr="00F07779">
              <w:rPr>
                <w:sz w:val="20"/>
                <w:szCs w:val="20"/>
              </w:rPr>
              <w:t>Bečej</w:t>
            </w:r>
            <w:proofErr w:type="spellEnd"/>
            <w:r w:rsidRPr="00F07779">
              <w:rPr>
                <w:sz w:val="20"/>
                <w:szCs w:val="20"/>
              </w:rPr>
              <w:t xml:space="preserve"> </w:t>
            </w:r>
          </w:p>
        </w:tc>
      </w:tr>
      <w:tr w:rsidR="00E23D0D" w:rsidRPr="00F07779" w14:paraId="7F92A9E6" w14:textId="77777777" w:rsidTr="00615D2C">
        <w:trPr>
          <w:trHeight w:val="510"/>
        </w:trPr>
        <w:tc>
          <w:tcPr>
            <w:tcW w:w="3057" w:type="dxa"/>
            <w:hideMark/>
          </w:tcPr>
          <w:p w14:paraId="4A700F23" w14:textId="77777777" w:rsidR="00E23D0D" w:rsidRPr="00F07779" w:rsidRDefault="00E23D0D" w:rsidP="00615D2C">
            <w:pPr>
              <w:rPr>
                <w:color w:val="000000"/>
                <w:sz w:val="20"/>
                <w:szCs w:val="20"/>
              </w:rPr>
            </w:pPr>
            <w:r w:rsidRPr="00F07779">
              <w:rPr>
                <w:sz w:val="20"/>
                <w:szCs w:val="20"/>
              </w:rPr>
              <w:t>Institutions responsible for monitoring implementation and reporting on realization</w:t>
            </w:r>
          </w:p>
        </w:tc>
        <w:tc>
          <w:tcPr>
            <w:tcW w:w="5658" w:type="dxa"/>
            <w:vAlign w:val="center"/>
            <w:hideMark/>
          </w:tcPr>
          <w:p w14:paraId="480193DF" w14:textId="77777777" w:rsidR="00E23D0D" w:rsidRPr="00F07779" w:rsidRDefault="00E23D0D" w:rsidP="00615D2C">
            <w:pPr>
              <w:rPr>
                <w:color w:val="000000"/>
                <w:sz w:val="20"/>
                <w:szCs w:val="20"/>
              </w:rPr>
            </w:pPr>
            <w:r w:rsidRPr="00F07779">
              <w:rPr>
                <w:color w:val="000000"/>
                <w:sz w:val="20"/>
                <w:szCs w:val="20"/>
              </w:rPr>
              <w:t>Ministry of Mining and Energy</w:t>
            </w:r>
          </w:p>
        </w:tc>
      </w:tr>
      <w:tr w:rsidR="00E23D0D" w:rsidRPr="00F07779" w14:paraId="713AC195" w14:textId="77777777" w:rsidTr="00615D2C">
        <w:trPr>
          <w:trHeight w:val="315"/>
        </w:trPr>
        <w:tc>
          <w:tcPr>
            <w:tcW w:w="3057" w:type="dxa"/>
            <w:hideMark/>
          </w:tcPr>
          <w:p w14:paraId="388CDF3B" w14:textId="77777777" w:rsidR="00E23D0D" w:rsidRPr="00F07779" w:rsidRDefault="00E23D0D" w:rsidP="00615D2C">
            <w:pPr>
              <w:rPr>
                <w:color w:val="000000"/>
                <w:sz w:val="20"/>
                <w:szCs w:val="20"/>
              </w:rPr>
            </w:pPr>
            <w:r w:rsidRPr="00F07779">
              <w:rPr>
                <w:sz w:val="20"/>
                <w:szCs w:val="20"/>
              </w:rPr>
              <w:t>Deadline for implementation</w:t>
            </w:r>
          </w:p>
        </w:tc>
        <w:tc>
          <w:tcPr>
            <w:tcW w:w="5658" w:type="dxa"/>
            <w:vAlign w:val="center"/>
            <w:hideMark/>
          </w:tcPr>
          <w:p w14:paraId="0F5CABE2" w14:textId="77777777" w:rsidR="00E23D0D" w:rsidRPr="00F07779" w:rsidRDefault="00E23D0D" w:rsidP="00615D2C">
            <w:pPr>
              <w:rPr>
                <w:color w:val="000000"/>
                <w:sz w:val="20"/>
                <w:szCs w:val="20"/>
              </w:rPr>
            </w:pPr>
            <w:r w:rsidRPr="00F07779">
              <w:rPr>
                <w:color w:val="000000"/>
                <w:sz w:val="20"/>
                <w:szCs w:val="20"/>
              </w:rPr>
              <w:t xml:space="preserve">2027. </w:t>
            </w:r>
          </w:p>
        </w:tc>
      </w:tr>
      <w:tr w:rsidR="00E23D0D" w:rsidRPr="00F07779" w14:paraId="07390BC0" w14:textId="77777777" w:rsidTr="00615D2C">
        <w:trPr>
          <w:trHeight w:val="640"/>
        </w:trPr>
        <w:tc>
          <w:tcPr>
            <w:tcW w:w="3057" w:type="dxa"/>
            <w:hideMark/>
          </w:tcPr>
          <w:p w14:paraId="76217214" w14:textId="77777777" w:rsidR="00E23D0D" w:rsidRPr="00F07779" w:rsidRDefault="00E23D0D" w:rsidP="00615D2C">
            <w:pPr>
              <w:rPr>
                <w:color w:val="000000"/>
                <w:sz w:val="20"/>
                <w:szCs w:val="20"/>
              </w:rPr>
            </w:pPr>
            <w:r w:rsidRPr="00F07779">
              <w:rPr>
                <w:sz w:val="20"/>
                <w:szCs w:val="20"/>
              </w:rPr>
              <w:t>Required funds and source of financing</w:t>
            </w:r>
          </w:p>
        </w:tc>
        <w:tc>
          <w:tcPr>
            <w:tcW w:w="5658" w:type="dxa"/>
            <w:vAlign w:val="center"/>
            <w:hideMark/>
          </w:tcPr>
          <w:p w14:paraId="7C225A54" w14:textId="77777777" w:rsidR="00E23D0D" w:rsidRPr="00F07779" w:rsidRDefault="00E23D0D" w:rsidP="00615D2C">
            <w:pPr>
              <w:rPr>
                <w:color w:val="000000"/>
                <w:sz w:val="20"/>
                <w:szCs w:val="20"/>
              </w:rPr>
            </w:pPr>
            <w:r w:rsidRPr="00F07779">
              <w:rPr>
                <w:color w:val="000000"/>
                <w:sz w:val="20"/>
                <w:szCs w:val="20"/>
              </w:rPr>
              <w:t>1.13 million EUR</w:t>
            </w:r>
          </w:p>
          <w:p w14:paraId="4CF04C77" w14:textId="77777777" w:rsidR="00E23D0D" w:rsidRPr="00F07779" w:rsidRDefault="00E23D0D" w:rsidP="00615D2C">
            <w:pPr>
              <w:rPr>
                <w:color w:val="000000"/>
                <w:sz w:val="20"/>
                <w:szCs w:val="20"/>
              </w:rPr>
            </w:pPr>
            <w:r w:rsidRPr="00F07779">
              <w:rPr>
                <w:color w:val="000000"/>
                <w:sz w:val="20"/>
                <w:szCs w:val="20"/>
              </w:rPr>
              <w:t>EBRD loan, approximately 20% grant</w:t>
            </w:r>
          </w:p>
          <w:p w14:paraId="39B24620" w14:textId="77777777" w:rsidR="00E23D0D" w:rsidRPr="00F07779" w:rsidRDefault="00E23D0D" w:rsidP="00615D2C">
            <w:pPr>
              <w:rPr>
                <w:color w:val="000000"/>
                <w:sz w:val="20"/>
                <w:szCs w:val="20"/>
              </w:rPr>
            </w:pPr>
            <w:r w:rsidRPr="00F07779">
              <w:rPr>
                <w:color w:val="000000"/>
                <w:sz w:val="20"/>
                <w:szCs w:val="20"/>
              </w:rPr>
              <w:t>The implementation dynamics and the plan for withdrawing funds will be defined later</w:t>
            </w:r>
          </w:p>
        </w:tc>
      </w:tr>
      <w:tr w:rsidR="00E23D0D" w:rsidRPr="00F07779" w14:paraId="246B6CD8" w14:textId="77777777" w:rsidTr="008B4484">
        <w:trPr>
          <w:trHeight w:val="449"/>
        </w:trPr>
        <w:tc>
          <w:tcPr>
            <w:tcW w:w="3057" w:type="dxa"/>
            <w:hideMark/>
          </w:tcPr>
          <w:p w14:paraId="32847B39" w14:textId="77777777" w:rsidR="00E23D0D" w:rsidRPr="00F07779" w:rsidRDefault="00E23D0D" w:rsidP="00615D2C">
            <w:pPr>
              <w:rPr>
                <w:color w:val="000000"/>
                <w:sz w:val="20"/>
                <w:szCs w:val="20"/>
              </w:rPr>
            </w:pPr>
            <w:r w:rsidRPr="00F07779">
              <w:rPr>
                <w:sz w:val="20"/>
                <w:szCs w:val="20"/>
              </w:rPr>
              <w:t>Impact of the activity on the achievement of the objective</w:t>
            </w:r>
          </w:p>
        </w:tc>
        <w:tc>
          <w:tcPr>
            <w:tcW w:w="5658" w:type="dxa"/>
            <w:vAlign w:val="center"/>
            <w:hideMark/>
          </w:tcPr>
          <w:p w14:paraId="1F781592" w14:textId="77777777" w:rsidR="00E23D0D" w:rsidRPr="00F07779" w:rsidRDefault="00E23D0D" w:rsidP="00615D2C">
            <w:pPr>
              <w:rPr>
                <w:color w:val="000000"/>
                <w:sz w:val="20"/>
                <w:szCs w:val="20"/>
              </w:rPr>
            </w:pPr>
            <w:r w:rsidRPr="00F07779">
              <w:rPr>
                <w:color w:val="000000"/>
                <w:sz w:val="20"/>
                <w:szCs w:val="20"/>
              </w:rPr>
              <w:t>Safe and efficient supply of heat energy</w:t>
            </w:r>
          </w:p>
          <w:p w14:paraId="5CE0500A" w14:textId="77777777" w:rsidR="00E23D0D" w:rsidRPr="00F07779" w:rsidRDefault="00E23D0D" w:rsidP="00615D2C">
            <w:pPr>
              <w:rPr>
                <w:color w:val="000000"/>
                <w:sz w:val="20"/>
                <w:szCs w:val="20"/>
              </w:rPr>
            </w:pPr>
            <w:r w:rsidRPr="00F07779">
              <w:rPr>
                <w:color w:val="000000"/>
                <w:sz w:val="20"/>
                <w:szCs w:val="20"/>
              </w:rPr>
              <w:t>Increase in the efficiency of the distribution system by 3%</w:t>
            </w:r>
          </w:p>
        </w:tc>
      </w:tr>
      <w:tr w:rsidR="00E23D0D" w:rsidRPr="00F07779" w14:paraId="25D1EC17" w14:textId="77777777" w:rsidTr="00615D2C">
        <w:trPr>
          <w:trHeight w:val="315"/>
        </w:trPr>
        <w:tc>
          <w:tcPr>
            <w:tcW w:w="3057" w:type="dxa"/>
            <w:hideMark/>
          </w:tcPr>
          <w:p w14:paraId="483B72CF" w14:textId="77777777" w:rsidR="00E23D0D" w:rsidRPr="00F07779" w:rsidRDefault="00E23D0D" w:rsidP="00615D2C">
            <w:pPr>
              <w:rPr>
                <w:color w:val="000000"/>
                <w:sz w:val="20"/>
                <w:szCs w:val="20"/>
              </w:rPr>
            </w:pPr>
            <w:r w:rsidRPr="00F07779">
              <w:rPr>
                <w:sz w:val="20"/>
                <w:szCs w:val="20"/>
              </w:rPr>
              <w:t>Impact on EE, climate, and environmental protection</w:t>
            </w:r>
          </w:p>
        </w:tc>
        <w:tc>
          <w:tcPr>
            <w:tcW w:w="5658" w:type="dxa"/>
            <w:vAlign w:val="center"/>
            <w:hideMark/>
          </w:tcPr>
          <w:p w14:paraId="2BB04EF6" w14:textId="77777777" w:rsidR="00E23D0D" w:rsidRPr="00F07779" w:rsidRDefault="00E23D0D" w:rsidP="00615D2C">
            <w:pPr>
              <w:rPr>
                <w:color w:val="000000"/>
                <w:sz w:val="20"/>
                <w:szCs w:val="20"/>
              </w:rPr>
            </w:pPr>
            <w:r w:rsidRPr="00F07779">
              <w:rPr>
                <w:color w:val="000000"/>
                <w:sz w:val="20"/>
                <w:szCs w:val="20"/>
              </w:rPr>
              <w:t>Reduction in emissions by 93.95t CO2eqv/year</w:t>
            </w:r>
          </w:p>
        </w:tc>
      </w:tr>
    </w:tbl>
    <w:p w14:paraId="015AF518" w14:textId="77777777" w:rsidR="00E23D0D" w:rsidRPr="00F07779" w:rsidRDefault="00E23D0D" w:rsidP="00E23D0D"/>
    <w:p w14:paraId="197938D1" w14:textId="77777777" w:rsidR="00E23D0D" w:rsidRPr="00F07779" w:rsidRDefault="00E23D0D" w:rsidP="00E23D0D">
      <w:r w:rsidRPr="00F07779">
        <w:t>Table 5.2.3-3: Activities for implementing the measure Т1 –Т1.3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7"/>
        <w:gridCol w:w="5658"/>
      </w:tblGrid>
      <w:tr w:rsidR="00E23D0D" w:rsidRPr="00F07779" w14:paraId="12B4D29D" w14:textId="77777777" w:rsidTr="00615D2C">
        <w:trPr>
          <w:trHeight w:val="261"/>
        </w:trPr>
        <w:tc>
          <w:tcPr>
            <w:tcW w:w="3057" w:type="dxa"/>
            <w:shd w:val="clear" w:color="000000" w:fill="D9D9D9"/>
            <w:hideMark/>
          </w:tcPr>
          <w:p w14:paraId="5A856C03" w14:textId="77777777" w:rsidR="00E23D0D" w:rsidRPr="00F07779" w:rsidRDefault="00E23D0D" w:rsidP="00615D2C">
            <w:pPr>
              <w:rPr>
                <w:color w:val="000000"/>
                <w:sz w:val="20"/>
                <w:szCs w:val="20"/>
              </w:rPr>
            </w:pPr>
            <w:r w:rsidRPr="00F07779">
              <w:rPr>
                <w:color w:val="000000"/>
                <w:sz w:val="20"/>
                <w:szCs w:val="20"/>
              </w:rPr>
              <w:t>Activity Т1.3</w:t>
            </w:r>
          </w:p>
        </w:tc>
        <w:tc>
          <w:tcPr>
            <w:tcW w:w="5658" w:type="dxa"/>
            <w:shd w:val="clear" w:color="000000" w:fill="D9D9D9"/>
            <w:vAlign w:val="center"/>
            <w:hideMark/>
          </w:tcPr>
          <w:p w14:paraId="4B8D9C5F" w14:textId="77777777" w:rsidR="00E23D0D" w:rsidRPr="00F07779" w:rsidRDefault="00E23D0D" w:rsidP="00615D2C">
            <w:pPr>
              <w:rPr>
                <w:color w:val="000000"/>
                <w:sz w:val="20"/>
                <w:szCs w:val="20"/>
              </w:rPr>
            </w:pPr>
            <w:r w:rsidRPr="00F07779">
              <w:rPr>
                <w:color w:val="000000"/>
                <w:sz w:val="20"/>
                <w:szCs w:val="20"/>
              </w:rPr>
              <w:t xml:space="preserve">Reconstruction of the distribution system in </w:t>
            </w:r>
            <w:proofErr w:type="spellStart"/>
            <w:r w:rsidRPr="00F07779">
              <w:rPr>
                <w:color w:val="000000"/>
                <w:sz w:val="20"/>
                <w:szCs w:val="20"/>
              </w:rPr>
              <w:t>Kruševac</w:t>
            </w:r>
            <w:proofErr w:type="spellEnd"/>
          </w:p>
        </w:tc>
      </w:tr>
      <w:tr w:rsidR="00E23D0D" w:rsidRPr="00F07779" w14:paraId="1F69535C" w14:textId="77777777" w:rsidTr="00615D2C">
        <w:trPr>
          <w:trHeight w:val="315"/>
        </w:trPr>
        <w:tc>
          <w:tcPr>
            <w:tcW w:w="3057" w:type="dxa"/>
            <w:hideMark/>
          </w:tcPr>
          <w:p w14:paraId="3E008C4E" w14:textId="77777777" w:rsidR="00E23D0D" w:rsidRPr="00F07779" w:rsidRDefault="00E23D0D" w:rsidP="00615D2C">
            <w:pPr>
              <w:rPr>
                <w:color w:val="000000"/>
                <w:sz w:val="20"/>
                <w:szCs w:val="20"/>
              </w:rPr>
            </w:pPr>
            <w:r w:rsidRPr="00F07779">
              <w:rPr>
                <w:sz w:val="20"/>
                <w:szCs w:val="20"/>
              </w:rPr>
              <w:t>Description</w:t>
            </w:r>
          </w:p>
        </w:tc>
        <w:tc>
          <w:tcPr>
            <w:tcW w:w="5658" w:type="dxa"/>
            <w:noWrap/>
            <w:vAlign w:val="bottom"/>
            <w:hideMark/>
          </w:tcPr>
          <w:p w14:paraId="361359D0" w14:textId="77777777" w:rsidR="00E23D0D" w:rsidRPr="00F07779" w:rsidRDefault="00E23D0D" w:rsidP="00615D2C">
            <w:pPr>
              <w:rPr>
                <w:color w:val="000000"/>
                <w:sz w:val="20"/>
                <w:szCs w:val="20"/>
              </w:rPr>
            </w:pPr>
            <w:r w:rsidRPr="00F07779">
              <w:rPr>
                <w:color w:val="000000"/>
                <w:sz w:val="20"/>
                <w:szCs w:val="20"/>
              </w:rPr>
              <w:t>Reconstruction of the distribution system</w:t>
            </w:r>
          </w:p>
        </w:tc>
      </w:tr>
      <w:tr w:rsidR="00E23D0D" w:rsidRPr="00F07779" w14:paraId="6207791A" w14:textId="77777777" w:rsidTr="00615D2C">
        <w:trPr>
          <w:trHeight w:val="640"/>
        </w:trPr>
        <w:tc>
          <w:tcPr>
            <w:tcW w:w="3057" w:type="dxa"/>
            <w:hideMark/>
          </w:tcPr>
          <w:p w14:paraId="26AFBF40" w14:textId="77777777" w:rsidR="00E23D0D" w:rsidRPr="00F07779" w:rsidRDefault="00E23D0D" w:rsidP="00615D2C">
            <w:pPr>
              <w:rPr>
                <w:color w:val="000000"/>
                <w:sz w:val="20"/>
                <w:szCs w:val="20"/>
              </w:rPr>
            </w:pPr>
            <w:r w:rsidRPr="00F07779">
              <w:rPr>
                <w:sz w:val="20"/>
                <w:szCs w:val="20"/>
              </w:rPr>
              <w:t>Institutions responsible for the implementation of measures and activities</w:t>
            </w:r>
          </w:p>
        </w:tc>
        <w:tc>
          <w:tcPr>
            <w:tcW w:w="5658" w:type="dxa"/>
            <w:vAlign w:val="center"/>
            <w:hideMark/>
          </w:tcPr>
          <w:p w14:paraId="3F48B106" w14:textId="77777777" w:rsidR="00E23D0D" w:rsidRPr="00F07779" w:rsidRDefault="00E23D0D" w:rsidP="00615D2C">
            <w:pPr>
              <w:rPr>
                <w:sz w:val="20"/>
                <w:szCs w:val="20"/>
              </w:rPr>
            </w:pPr>
            <w:r w:rsidRPr="00F07779">
              <w:t xml:space="preserve"> </w:t>
            </w:r>
            <w:r w:rsidRPr="00F07779">
              <w:rPr>
                <w:sz w:val="20"/>
                <w:szCs w:val="20"/>
              </w:rPr>
              <w:t xml:space="preserve">PUC </w:t>
            </w:r>
            <w:proofErr w:type="spellStart"/>
            <w:r w:rsidRPr="00F07779">
              <w:rPr>
                <w:sz w:val="20"/>
                <w:szCs w:val="20"/>
              </w:rPr>
              <w:t>Gradska</w:t>
            </w:r>
            <w:proofErr w:type="spellEnd"/>
            <w:r w:rsidRPr="00F07779">
              <w:rPr>
                <w:sz w:val="20"/>
                <w:szCs w:val="20"/>
              </w:rPr>
              <w:t xml:space="preserve"> </w:t>
            </w:r>
            <w:proofErr w:type="spellStart"/>
            <w:r w:rsidRPr="00F07779">
              <w:rPr>
                <w:sz w:val="20"/>
                <w:szCs w:val="20"/>
              </w:rPr>
              <w:t>toplana</w:t>
            </w:r>
            <w:proofErr w:type="spellEnd"/>
            <w:r w:rsidRPr="00F07779">
              <w:rPr>
                <w:sz w:val="20"/>
                <w:szCs w:val="20"/>
              </w:rPr>
              <w:t xml:space="preserve"> </w:t>
            </w:r>
            <w:proofErr w:type="spellStart"/>
            <w:r w:rsidRPr="00F07779">
              <w:rPr>
                <w:sz w:val="20"/>
                <w:szCs w:val="20"/>
              </w:rPr>
              <w:t>Kruševac</w:t>
            </w:r>
            <w:proofErr w:type="spellEnd"/>
          </w:p>
          <w:p w14:paraId="62BC048D" w14:textId="77777777" w:rsidR="00E23D0D" w:rsidRPr="00F07779" w:rsidRDefault="00E23D0D" w:rsidP="00615D2C">
            <w:pPr>
              <w:rPr>
                <w:sz w:val="20"/>
                <w:szCs w:val="20"/>
              </w:rPr>
            </w:pPr>
            <w:r w:rsidRPr="00F07779">
              <w:rPr>
                <w:sz w:val="20"/>
                <w:szCs w:val="20"/>
              </w:rPr>
              <w:t xml:space="preserve">Competent authority of the City of </w:t>
            </w:r>
            <w:proofErr w:type="spellStart"/>
            <w:r w:rsidRPr="00F07779">
              <w:rPr>
                <w:sz w:val="20"/>
                <w:szCs w:val="20"/>
              </w:rPr>
              <w:t>Kruševac</w:t>
            </w:r>
            <w:proofErr w:type="spellEnd"/>
            <w:r w:rsidRPr="00F07779">
              <w:rPr>
                <w:sz w:val="20"/>
                <w:szCs w:val="20"/>
              </w:rPr>
              <w:t xml:space="preserve"> </w:t>
            </w:r>
          </w:p>
        </w:tc>
      </w:tr>
      <w:tr w:rsidR="00E23D0D" w:rsidRPr="00F07779" w14:paraId="1338E216" w14:textId="77777777" w:rsidTr="00615D2C">
        <w:trPr>
          <w:trHeight w:val="510"/>
        </w:trPr>
        <w:tc>
          <w:tcPr>
            <w:tcW w:w="3057" w:type="dxa"/>
            <w:hideMark/>
          </w:tcPr>
          <w:p w14:paraId="53BDB927" w14:textId="77777777" w:rsidR="00E23D0D" w:rsidRPr="00F07779" w:rsidRDefault="00E23D0D" w:rsidP="00615D2C">
            <w:pPr>
              <w:rPr>
                <w:color w:val="000000"/>
                <w:sz w:val="20"/>
                <w:szCs w:val="20"/>
              </w:rPr>
            </w:pPr>
            <w:r w:rsidRPr="00F07779">
              <w:rPr>
                <w:sz w:val="20"/>
                <w:szCs w:val="20"/>
              </w:rPr>
              <w:t>Institutions responsible for monitoring implementation and reporting on realization</w:t>
            </w:r>
          </w:p>
        </w:tc>
        <w:tc>
          <w:tcPr>
            <w:tcW w:w="5658" w:type="dxa"/>
            <w:vAlign w:val="center"/>
            <w:hideMark/>
          </w:tcPr>
          <w:p w14:paraId="3074FDC9" w14:textId="77777777" w:rsidR="00E23D0D" w:rsidRPr="00F07779" w:rsidRDefault="00E23D0D" w:rsidP="00615D2C">
            <w:pPr>
              <w:rPr>
                <w:color w:val="000000"/>
                <w:sz w:val="20"/>
                <w:szCs w:val="20"/>
              </w:rPr>
            </w:pPr>
            <w:r w:rsidRPr="00F07779">
              <w:rPr>
                <w:color w:val="000000"/>
                <w:sz w:val="20"/>
                <w:szCs w:val="20"/>
              </w:rPr>
              <w:t>Ministry of Mining and Energy</w:t>
            </w:r>
          </w:p>
        </w:tc>
      </w:tr>
      <w:tr w:rsidR="00E23D0D" w:rsidRPr="00F07779" w14:paraId="28F67582" w14:textId="77777777" w:rsidTr="00615D2C">
        <w:trPr>
          <w:trHeight w:val="315"/>
        </w:trPr>
        <w:tc>
          <w:tcPr>
            <w:tcW w:w="3057" w:type="dxa"/>
            <w:hideMark/>
          </w:tcPr>
          <w:p w14:paraId="08462636" w14:textId="77777777" w:rsidR="00E23D0D" w:rsidRPr="00F07779" w:rsidRDefault="00E23D0D" w:rsidP="00615D2C">
            <w:pPr>
              <w:rPr>
                <w:color w:val="000000"/>
                <w:sz w:val="20"/>
                <w:szCs w:val="20"/>
              </w:rPr>
            </w:pPr>
            <w:r w:rsidRPr="00F07779">
              <w:rPr>
                <w:sz w:val="20"/>
                <w:szCs w:val="20"/>
              </w:rPr>
              <w:t>Deadline for implementation</w:t>
            </w:r>
          </w:p>
        </w:tc>
        <w:tc>
          <w:tcPr>
            <w:tcW w:w="5658" w:type="dxa"/>
            <w:vAlign w:val="center"/>
            <w:hideMark/>
          </w:tcPr>
          <w:p w14:paraId="06348C49" w14:textId="77777777" w:rsidR="00E23D0D" w:rsidRPr="00F07779" w:rsidRDefault="00E23D0D" w:rsidP="00615D2C">
            <w:pPr>
              <w:rPr>
                <w:color w:val="000000"/>
                <w:sz w:val="20"/>
                <w:szCs w:val="20"/>
              </w:rPr>
            </w:pPr>
            <w:r w:rsidRPr="00F07779">
              <w:rPr>
                <w:color w:val="000000"/>
                <w:sz w:val="20"/>
                <w:szCs w:val="20"/>
              </w:rPr>
              <w:t xml:space="preserve">2027. </w:t>
            </w:r>
          </w:p>
        </w:tc>
      </w:tr>
      <w:tr w:rsidR="00E23D0D" w:rsidRPr="00F07779" w14:paraId="75F5212D" w14:textId="77777777" w:rsidTr="00615D2C">
        <w:trPr>
          <w:trHeight w:val="640"/>
        </w:trPr>
        <w:tc>
          <w:tcPr>
            <w:tcW w:w="3057" w:type="dxa"/>
            <w:hideMark/>
          </w:tcPr>
          <w:p w14:paraId="1206BD6B" w14:textId="77777777" w:rsidR="00E23D0D" w:rsidRPr="00F07779" w:rsidRDefault="00E23D0D" w:rsidP="00615D2C">
            <w:pPr>
              <w:rPr>
                <w:color w:val="000000"/>
                <w:sz w:val="20"/>
                <w:szCs w:val="20"/>
              </w:rPr>
            </w:pPr>
            <w:r w:rsidRPr="00F07779">
              <w:rPr>
                <w:sz w:val="20"/>
                <w:szCs w:val="20"/>
              </w:rPr>
              <w:t>Required funds and source of financing</w:t>
            </w:r>
          </w:p>
        </w:tc>
        <w:tc>
          <w:tcPr>
            <w:tcW w:w="5658" w:type="dxa"/>
            <w:vAlign w:val="center"/>
            <w:hideMark/>
          </w:tcPr>
          <w:p w14:paraId="279D6666" w14:textId="77777777" w:rsidR="00E23D0D" w:rsidRPr="00F07779" w:rsidRDefault="00E23D0D" w:rsidP="00615D2C">
            <w:pPr>
              <w:rPr>
                <w:color w:val="000000"/>
                <w:sz w:val="20"/>
                <w:szCs w:val="20"/>
              </w:rPr>
            </w:pPr>
            <w:r w:rsidRPr="00F07779">
              <w:rPr>
                <w:color w:val="000000"/>
                <w:sz w:val="20"/>
                <w:szCs w:val="20"/>
              </w:rPr>
              <w:t>0.6 million EUR</w:t>
            </w:r>
          </w:p>
          <w:p w14:paraId="5C6E1731" w14:textId="77777777" w:rsidR="00E23D0D" w:rsidRPr="00F07779" w:rsidRDefault="00E23D0D" w:rsidP="00615D2C">
            <w:pPr>
              <w:rPr>
                <w:color w:val="000000"/>
                <w:sz w:val="20"/>
                <w:szCs w:val="20"/>
              </w:rPr>
            </w:pPr>
            <w:r w:rsidRPr="00F07779">
              <w:rPr>
                <w:color w:val="000000"/>
                <w:sz w:val="20"/>
                <w:szCs w:val="20"/>
              </w:rPr>
              <w:t>EBRD loan, approximately 20% grant</w:t>
            </w:r>
          </w:p>
          <w:p w14:paraId="067C9F3A" w14:textId="77777777" w:rsidR="00E23D0D" w:rsidRPr="00F07779" w:rsidRDefault="00E23D0D" w:rsidP="00615D2C">
            <w:pPr>
              <w:rPr>
                <w:color w:val="000000"/>
                <w:sz w:val="20"/>
                <w:szCs w:val="20"/>
              </w:rPr>
            </w:pPr>
            <w:r w:rsidRPr="00F07779">
              <w:rPr>
                <w:color w:val="000000"/>
                <w:sz w:val="20"/>
                <w:szCs w:val="20"/>
              </w:rPr>
              <w:t>The implementation dynamics and the plan for withdrawing funds will be defined later</w:t>
            </w:r>
          </w:p>
        </w:tc>
      </w:tr>
      <w:tr w:rsidR="00E23D0D" w:rsidRPr="00F07779" w14:paraId="22C1D386" w14:textId="77777777" w:rsidTr="008B4484">
        <w:trPr>
          <w:trHeight w:val="477"/>
        </w:trPr>
        <w:tc>
          <w:tcPr>
            <w:tcW w:w="3057" w:type="dxa"/>
            <w:hideMark/>
          </w:tcPr>
          <w:p w14:paraId="5806A286" w14:textId="77777777" w:rsidR="00E23D0D" w:rsidRPr="00F07779" w:rsidRDefault="00E23D0D" w:rsidP="00615D2C">
            <w:pPr>
              <w:rPr>
                <w:color w:val="000000"/>
                <w:sz w:val="20"/>
                <w:szCs w:val="20"/>
              </w:rPr>
            </w:pPr>
            <w:r w:rsidRPr="00F07779">
              <w:rPr>
                <w:sz w:val="20"/>
                <w:szCs w:val="20"/>
              </w:rPr>
              <w:t>Impact of the activity on the achievement of the objective</w:t>
            </w:r>
          </w:p>
        </w:tc>
        <w:tc>
          <w:tcPr>
            <w:tcW w:w="5658" w:type="dxa"/>
            <w:vAlign w:val="center"/>
            <w:hideMark/>
          </w:tcPr>
          <w:p w14:paraId="1195CD2B" w14:textId="77777777" w:rsidR="00E23D0D" w:rsidRPr="00F07779" w:rsidRDefault="00E23D0D" w:rsidP="00615D2C">
            <w:pPr>
              <w:rPr>
                <w:color w:val="000000"/>
                <w:sz w:val="20"/>
                <w:szCs w:val="20"/>
              </w:rPr>
            </w:pPr>
            <w:r w:rsidRPr="00F07779">
              <w:rPr>
                <w:color w:val="000000"/>
                <w:sz w:val="20"/>
                <w:szCs w:val="20"/>
              </w:rPr>
              <w:t>Safe and efficient supply of heat energy</w:t>
            </w:r>
          </w:p>
          <w:p w14:paraId="3AEC9FF8" w14:textId="77777777" w:rsidR="00E23D0D" w:rsidRPr="00F07779" w:rsidRDefault="00E23D0D" w:rsidP="00615D2C">
            <w:pPr>
              <w:rPr>
                <w:color w:val="000000"/>
                <w:sz w:val="20"/>
                <w:szCs w:val="20"/>
              </w:rPr>
            </w:pPr>
            <w:r w:rsidRPr="00F07779">
              <w:rPr>
                <w:color w:val="000000"/>
                <w:sz w:val="20"/>
                <w:szCs w:val="20"/>
              </w:rPr>
              <w:t>Increase in the efficiency of the distribution system by 0.5%</w:t>
            </w:r>
          </w:p>
        </w:tc>
      </w:tr>
      <w:tr w:rsidR="00E23D0D" w:rsidRPr="00F07779" w14:paraId="3C727856" w14:textId="77777777" w:rsidTr="00615D2C">
        <w:trPr>
          <w:trHeight w:val="315"/>
        </w:trPr>
        <w:tc>
          <w:tcPr>
            <w:tcW w:w="3057" w:type="dxa"/>
            <w:hideMark/>
          </w:tcPr>
          <w:p w14:paraId="00DC7AC6" w14:textId="77777777" w:rsidR="00E23D0D" w:rsidRPr="00F07779" w:rsidRDefault="00E23D0D" w:rsidP="00615D2C">
            <w:pPr>
              <w:rPr>
                <w:color w:val="000000"/>
                <w:sz w:val="20"/>
                <w:szCs w:val="20"/>
              </w:rPr>
            </w:pPr>
            <w:r w:rsidRPr="00F07779">
              <w:rPr>
                <w:sz w:val="20"/>
                <w:szCs w:val="20"/>
              </w:rPr>
              <w:t>Impact on EE, climate, and environmental protection</w:t>
            </w:r>
          </w:p>
        </w:tc>
        <w:tc>
          <w:tcPr>
            <w:tcW w:w="5658" w:type="dxa"/>
            <w:vAlign w:val="center"/>
            <w:hideMark/>
          </w:tcPr>
          <w:p w14:paraId="255EAF29" w14:textId="77777777" w:rsidR="00E23D0D" w:rsidRPr="00F07779" w:rsidRDefault="00E23D0D" w:rsidP="00615D2C">
            <w:pPr>
              <w:rPr>
                <w:color w:val="000000"/>
                <w:sz w:val="20"/>
                <w:szCs w:val="20"/>
              </w:rPr>
            </w:pPr>
            <w:r w:rsidRPr="00F07779">
              <w:rPr>
                <w:color w:val="000000"/>
                <w:sz w:val="20"/>
                <w:szCs w:val="20"/>
              </w:rPr>
              <w:t>Reduction in emissions by 375,8 t CO</w:t>
            </w:r>
            <w:r w:rsidRPr="00F07779">
              <w:rPr>
                <w:color w:val="000000"/>
                <w:sz w:val="20"/>
                <w:szCs w:val="20"/>
                <w:vertAlign w:val="subscript"/>
              </w:rPr>
              <w:t>2</w:t>
            </w:r>
            <w:r w:rsidRPr="00F07779">
              <w:rPr>
                <w:color w:val="000000"/>
                <w:sz w:val="20"/>
                <w:szCs w:val="20"/>
              </w:rPr>
              <w:t>eqv/year</w:t>
            </w:r>
          </w:p>
        </w:tc>
      </w:tr>
    </w:tbl>
    <w:p w14:paraId="0E7F4251" w14:textId="77777777" w:rsidR="00E23D0D" w:rsidRPr="00F07779" w:rsidRDefault="00E23D0D" w:rsidP="00E23D0D"/>
    <w:p w14:paraId="431FC8BC" w14:textId="77777777" w:rsidR="00E23D0D" w:rsidRPr="00F07779" w:rsidRDefault="00E23D0D" w:rsidP="00E23D0D">
      <w:r w:rsidRPr="00F07779">
        <w:t>Table 5.2.3-4: Activities for implementing the measure Т1 – 1.4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7"/>
        <w:gridCol w:w="5658"/>
      </w:tblGrid>
      <w:tr w:rsidR="00E23D0D" w:rsidRPr="00F07779" w14:paraId="1BE7A203" w14:textId="77777777" w:rsidTr="00615D2C">
        <w:trPr>
          <w:trHeight w:val="224"/>
        </w:trPr>
        <w:tc>
          <w:tcPr>
            <w:tcW w:w="3057" w:type="dxa"/>
            <w:shd w:val="clear" w:color="auto" w:fill="D9D9D9" w:themeFill="background1" w:themeFillShade="D9"/>
            <w:noWrap/>
            <w:hideMark/>
          </w:tcPr>
          <w:p w14:paraId="3564ADB0" w14:textId="77777777" w:rsidR="00E23D0D" w:rsidRPr="00F07779" w:rsidRDefault="00E23D0D" w:rsidP="00615D2C">
            <w:pPr>
              <w:rPr>
                <w:color w:val="000000"/>
                <w:sz w:val="20"/>
                <w:szCs w:val="20"/>
              </w:rPr>
            </w:pPr>
            <w:r w:rsidRPr="00F07779">
              <w:rPr>
                <w:color w:val="000000"/>
                <w:sz w:val="20"/>
                <w:szCs w:val="20"/>
              </w:rPr>
              <w:t>Activity Т1.4</w:t>
            </w:r>
          </w:p>
        </w:tc>
        <w:tc>
          <w:tcPr>
            <w:tcW w:w="5658" w:type="dxa"/>
            <w:shd w:val="clear" w:color="auto" w:fill="D9D9D9" w:themeFill="background1" w:themeFillShade="D9"/>
            <w:noWrap/>
            <w:vAlign w:val="center"/>
            <w:hideMark/>
          </w:tcPr>
          <w:p w14:paraId="72680729" w14:textId="77777777" w:rsidR="00E23D0D" w:rsidRPr="00F07779" w:rsidRDefault="00E23D0D" w:rsidP="00615D2C">
            <w:pPr>
              <w:rPr>
                <w:color w:val="000000"/>
                <w:sz w:val="20"/>
                <w:szCs w:val="20"/>
              </w:rPr>
            </w:pPr>
            <w:r w:rsidRPr="00F07779">
              <w:rPr>
                <w:color w:val="000000"/>
                <w:sz w:val="20"/>
                <w:szCs w:val="20"/>
              </w:rPr>
              <w:t>Reconstruction of the distribution system in Smederevo</w:t>
            </w:r>
          </w:p>
        </w:tc>
      </w:tr>
      <w:tr w:rsidR="00E23D0D" w:rsidRPr="00F07779" w14:paraId="361DB7DC" w14:textId="77777777" w:rsidTr="00615D2C">
        <w:trPr>
          <w:trHeight w:val="315"/>
        </w:trPr>
        <w:tc>
          <w:tcPr>
            <w:tcW w:w="3057" w:type="dxa"/>
            <w:noWrap/>
            <w:hideMark/>
          </w:tcPr>
          <w:p w14:paraId="203F1925" w14:textId="77777777" w:rsidR="00E23D0D" w:rsidRPr="00F07779" w:rsidRDefault="00E23D0D" w:rsidP="00615D2C">
            <w:pPr>
              <w:rPr>
                <w:color w:val="000000"/>
                <w:sz w:val="20"/>
                <w:szCs w:val="20"/>
              </w:rPr>
            </w:pPr>
            <w:r w:rsidRPr="00F07779">
              <w:rPr>
                <w:sz w:val="20"/>
                <w:szCs w:val="20"/>
              </w:rPr>
              <w:t>Description</w:t>
            </w:r>
          </w:p>
        </w:tc>
        <w:tc>
          <w:tcPr>
            <w:tcW w:w="5658" w:type="dxa"/>
            <w:noWrap/>
            <w:vAlign w:val="bottom"/>
            <w:hideMark/>
          </w:tcPr>
          <w:p w14:paraId="2FB461EE" w14:textId="77777777" w:rsidR="00E23D0D" w:rsidRPr="00F07779" w:rsidRDefault="00E23D0D" w:rsidP="00615D2C">
            <w:pPr>
              <w:rPr>
                <w:color w:val="000000"/>
                <w:sz w:val="20"/>
                <w:szCs w:val="20"/>
              </w:rPr>
            </w:pPr>
            <w:r w:rsidRPr="00F07779">
              <w:rPr>
                <w:color w:val="000000"/>
                <w:sz w:val="20"/>
                <w:szCs w:val="20"/>
              </w:rPr>
              <w:t>Reconstruction of the distribution system</w:t>
            </w:r>
          </w:p>
        </w:tc>
      </w:tr>
      <w:tr w:rsidR="00E23D0D" w:rsidRPr="00F07779" w14:paraId="0C5B1912" w14:textId="77777777" w:rsidTr="00615D2C">
        <w:trPr>
          <w:trHeight w:val="690"/>
        </w:trPr>
        <w:tc>
          <w:tcPr>
            <w:tcW w:w="3057" w:type="dxa"/>
            <w:noWrap/>
            <w:hideMark/>
          </w:tcPr>
          <w:p w14:paraId="2D2348F1" w14:textId="77777777" w:rsidR="00E23D0D" w:rsidRPr="00F07779" w:rsidRDefault="00E23D0D" w:rsidP="00615D2C">
            <w:pPr>
              <w:rPr>
                <w:color w:val="000000"/>
                <w:sz w:val="20"/>
                <w:szCs w:val="20"/>
              </w:rPr>
            </w:pPr>
            <w:r w:rsidRPr="00F07779">
              <w:rPr>
                <w:sz w:val="20"/>
                <w:szCs w:val="20"/>
              </w:rPr>
              <w:t>Institutions responsible for the implementation of measures and activities</w:t>
            </w:r>
          </w:p>
        </w:tc>
        <w:tc>
          <w:tcPr>
            <w:tcW w:w="5658" w:type="dxa"/>
            <w:noWrap/>
            <w:vAlign w:val="center"/>
            <w:hideMark/>
          </w:tcPr>
          <w:p w14:paraId="3DB20D1C" w14:textId="77777777" w:rsidR="00E23D0D" w:rsidRPr="00F07779" w:rsidRDefault="00E23D0D" w:rsidP="00615D2C">
            <w:pPr>
              <w:rPr>
                <w:color w:val="000000"/>
                <w:sz w:val="20"/>
                <w:szCs w:val="20"/>
              </w:rPr>
            </w:pPr>
            <w:r w:rsidRPr="00F07779">
              <w:rPr>
                <w:color w:val="000000"/>
                <w:sz w:val="20"/>
                <w:szCs w:val="20"/>
              </w:rPr>
              <w:t xml:space="preserve">PU </w:t>
            </w:r>
            <w:proofErr w:type="spellStart"/>
            <w:r w:rsidRPr="00F07779">
              <w:rPr>
                <w:color w:val="000000"/>
                <w:sz w:val="20"/>
                <w:szCs w:val="20"/>
              </w:rPr>
              <w:t>Grejanje</w:t>
            </w:r>
            <w:proofErr w:type="spellEnd"/>
            <w:r w:rsidRPr="00F07779">
              <w:rPr>
                <w:color w:val="000000"/>
                <w:sz w:val="20"/>
                <w:szCs w:val="20"/>
              </w:rPr>
              <w:t xml:space="preserve"> Smederevo</w:t>
            </w:r>
          </w:p>
          <w:p w14:paraId="72ADB08D" w14:textId="77777777" w:rsidR="00E23D0D" w:rsidRPr="00F07779" w:rsidRDefault="00E23D0D" w:rsidP="00615D2C">
            <w:pPr>
              <w:rPr>
                <w:color w:val="000000"/>
                <w:sz w:val="20"/>
                <w:szCs w:val="20"/>
              </w:rPr>
            </w:pPr>
            <w:r w:rsidRPr="00F07779">
              <w:rPr>
                <w:color w:val="000000"/>
                <w:sz w:val="20"/>
                <w:szCs w:val="20"/>
              </w:rPr>
              <w:t>Competent authority of the City of Smederevo</w:t>
            </w:r>
          </w:p>
        </w:tc>
      </w:tr>
      <w:tr w:rsidR="00E23D0D" w:rsidRPr="00F07779" w14:paraId="7117194D" w14:textId="77777777" w:rsidTr="00615D2C">
        <w:trPr>
          <w:trHeight w:val="525"/>
        </w:trPr>
        <w:tc>
          <w:tcPr>
            <w:tcW w:w="3057" w:type="dxa"/>
            <w:hideMark/>
          </w:tcPr>
          <w:p w14:paraId="1DDD8728" w14:textId="77777777" w:rsidR="00E23D0D" w:rsidRPr="00F07779" w:rsidRDefault="00E23D0D" w:rsidP="00615D2C">
            <w:pPr>
              <w:rPr>
                <w:color w:val="000000"/>
                <w:sz w:val="20"/>
                <w:szCs w:val="20"/>
              </w:rPr>
            </w:pPr>
            <w:r w:rsidRPr="00F07779">
              <w:rPr>
                <w:sz w:val="20"/>
                <w:szCs w:val="20"/>
              </w:rPr>
              <w:t>Institutions responsible for monitoring implementation and reporting on realization</w:t>
            </w:r>
          </w:p>
        </w:tc>
        <w:tc>
          <w:tcPr>
            <w:tcW w:w="5658" w:type="dxa"/>
            <w:noWrap/>
            <w:vAlign w:val="bottom"/>
            <w:hideMark/>
          </w:tcPr>
          <w:p w14:paraId="5696C52C" w14:textId="77777777" w:rsidR="00E23D0D" w:rsidRPr="00F07779" w:rsidRDefault="00E23D0D" w:rsidP="00615D2C">
            <w:pPr>
              <w:rPr>
                <w:color w:val="000000"/>
                <w:sz w:val="20"/>
                <w:szCs w:val="20"/>
              </w:rPr>
            </w:pPr>
            <w:r w:rsidRPr="00F07779">
              <w:rPr>
                <w:color w:val="000000"/>
                <w:sz w:val="20"/>
                <w:szCs w:val="20"/>
              </w:rPr>
              <w:t>Ministry of Environmental Protection</w:t>
            </w:r>
          </w:p>
        </w:tc>
      </w:tr>
      <w:tr w:rsidR="00E23D0D" w:rsidRPr="00F07779" w14:paraId="1B2C1E8E" w14:textId="77777777" w:rsidTr="00615D2C">
        <w:trPr>
          <w:trHeight w:val="315"/>
        </w:trPr>
        <w:tc>
          <w:tcPr>
            <w:tcW w:w="3057" w:type="dxa"/>
            <w:noWrap/>
            <w:hideMark/>
          </w:tcPr>
          <w:p w14:paraId="1E328387" w14:textId="77777777" w:rsidR="00E23D0D" w:rsidRPr="00F07779" w:rsidRDefault="00E23D0D" w:rsidP="00615D2C">
            <w:pPr>
              <w:rPr>
                <w:color w:val="000000"/>
                <w:sz w:val="20"/>
                <w:szCs w:val="20"/>
              </w:rPr>
            </w:pPr>
            <w:r w:rsidRPr="00F07779">
              <w:rPr>
                <w:sz w:val="20"/>
                <w:szCs w:val="20"/>
              </w:rPr>
              <w:t>Deadline for implementation</w:t>
            </w:r>
          </w:p>
        </w:tc>
        <w:tc>
          <w:tcPr>
            <w:tcW w:w="5658" w:type="dxa"/>
            <w:noWrap/>
            <w:vAlign w:val="bottom"/>
            <w:hideMark/>
          </w:tcPr>
          <w:p w14:paraId="12ECA2BE" w14:textId="77777777" w:rsidR="00E23D0D" w:rsidRPr="00F07779" w:rsidRDefault="00E23D0D" w:rsidP="00615D2C">
            <w:pPr>
              <w:rPr>
                <w:color w:val="000000"/>
                <w:sz w:val="20"/>
                <w:szCs w:val="20"/>
              </w:rPr>
            </w:pPr>
            <w:r w:rsidRPr="00F07779">
              <w:rPr>
                <w:color w:val="000000"/>
                <w:sz w:val="20"/>
                <w:szCs w:val="20"/>
              </w:rPr>
              <w:t xml:space="preserve">2027. </w:t>
            </w:r>
          </w:p>
        </w:tc>
      </w:tr>
      <w:tr w:rsidR="00E23D0D" w:rsidRPr="00F07779" w14:paraId="0D1DDE7A" w14:textId="77777777" w:rsidTr="00615D2C">
        <w:trPr>
          <w:trHeight w:val="475"/>
        </w:trPr>
        <w:tc>
          <w:tcPr>
            <w:tcW w:w="3057" w:type="dxa"/>
            <w:noWrap/>
            <w:hideMark/>
          </w:tcPr>
          <w:p w14:paraId="069CE4A9" w14:textId="77777777" w:rsidR="00E23D0D" w:rsidRPr="00F07779" w:rsidRDefault="00E23D0D" w:rsidP="00615D2C">
            <w:pPr>
              <w:rPr>
                <w:color w:val="000000"/>
                <w:sz w:val="20"/>
                <w:szCs w:val="20"/>
              </w:rPr>
            </w:pPr>
            <w:r w:rsidRPr="00F07779">
              <w:rPr>
                <w:sz w:val="20"/>
                <w:szCs w:val="20"/>
              </w:rPr>
              <w:t>Required funds and source of financing</w:t>
            </w:r>
          </w:p>
        </w:tc>
        <w:tc>
          <w:tcPr>
            <w:tcW w:w="5658" w:type="dxa"/>
            <w:noWrap/>
            <w:vAlign w:val="bottom"/>
            <w:hideMark/>
          </w:tcPr>
          <w:p w14:paraId="4BFCEE47" w14:textId="77777777" w:rsidR="00E23D0D" w:rsidRPr="00F07779" w:rsidRDefault="00E23D0D" w:rsidP="00615D2C">
            <w:pPr>
              <w:rPr>
                <w:color w:val="000000"/>
                <w:sz w:val="20"/>
                <w:szCs w:val="20"/>
              </w:rPr>
            </w:pPr>
            <w:r w:rsidRPr="00F07779">
              <w:rPr>
                <w:color w:val="000000"/>
                <w:sz w:val="20"/>
                <w:szCs w:val="20"/>
              </w:rPr>
              <w:t>EUR 30.01 million</w:t>
            </w:r>
          </w:p>
          <w:p w14:paraId="414DED30" w14:textId="77777777" w:rsidR="00E23D0D" w:rsidRPr="00F07779" w:rsidRDefault="00E23D0D" w:rsidP="00615D2C">
            <w:pPr>
              <w:rPr>
                <w:color w:val="000000"/>
                <w:sz w:val="20"/>
                <w:szCs w:val="20"/>
              </w:rPr>
            </w:pPr>
            <w:r w:rsidRPr="00F07779">
              <w:rPr>
                <w:color w:val="000000"/>
                <w:sz w:val="20"/>
                <w:szCs w:val="20"/>
              </w:rPr>
              <w:t>EBRD loan, approximately 20% grant</w:t>
            </w:r>
          </w:p>
          <w:p w14:paraId="65912AA5" w14:textId="77777777" w:rsidR="00E23D0D" w:rsidRPr="00F07779" w:rsidRDefault="00E23D0D" w:rsidP="00615D2C">
            <w:pPr>
              <w:rPr>
                <w:color w:val="000000"/>
                <w:sz w:val="20"/>
                <w:szCs w:val="20"/>
              </w:rPr>
            </w:pPr>
            <w:r w:rsidRPr="00F07779">
              <w:rPr>
                <w:color w:val="000000"/>
                <w:sz w:val="20"/>
                <w:szCs w:val="20"/>
              </w:rPr>
              <w:t>The implementation dynamics and the plan for withdrawing funds will be defined later</w:t>
            </w:r>
          </w:p>
        </w:tc>
      </w:tr>
      <w:tr w:rsidR="00E23D0D" w:rsidRPr="00F07779" w14:paraId="3494E5C9" w14:textId="77777777" w:rsidTr="00615D2C">
        <w:trPr>
          <w:trHeight w:val="466"/>
        </w:trPr>
        <w:tc>
          <w:tcPr>
            <w:tcW w:w="3057" w:type="dxa"/>
            <w:noWrap/>
            <w:hideMark/>
          </w:tcPr>
          <w:p w14:paraId="4DEC9C53" w14:textId="77777777" w:rsidR="00E23D0D" w:rsidRPr="00F07779" w:rsidRDefault="00E23D0D" w:rsidP="00615D2C">
            <w:pPr>
              <w:rPr>
                <w:color w:val="000000"/>
                <w:sz w:val="20"/>
                <w:szCs w:val="20"/>
              </w:rPr>
            </w:pPr>
            <w:r w:rsidRPr="00F07779">
              <w:rPr>
                <w:sz w:val="20"/>
                <w:szCs w:val="20"/>
              </w:rPr>
              <w:lastRenderedPageBreak/>
              <w:t>Impact of the activity on the achievement of the objective</w:t>
            </w:r>
          </w:p>
        </w:tc>
        <w:tc>
          <w:tcPr>
            <w:tcW w:w="5658" w:type="dxa"/>
            <w:noWrap/>
            <w:vAlign w:val="bottom"/>
            <w:hideMark/>
          </w:tcPr>
          <w:p w14:paraId="09360A3A" w14:textId="77777777" w:rsidR="00E23D0D" w:rsidRPr="00F07779" w:rsidRDefault="00E23D0D" w:rsidP="00615D2C">
            <w:pPr>
              <w:rPr>
                <w:color w:val="000000"/>
                <w:sz w:val="20"/>
                <w:szCs w:val="20"/>
              </w:rPr>
            </w:pPr>
            <w:r w:rsidRPr="00F07779">
              <w:rPr>
                <w:color w:val="000000"/>
                <w:sz w:val="20"/>
                <w:szCs w:val="20"/>
              </w:rPr>
              <w:t>Safe and efficient supply of heat energy</w:t>
            </w:r>
          </w:p>
          <w:p w14:paraId="79330006" w14:textId="77777777" w:rsidR="00E23D0D" w:rsidRPr="00F07779" w:rsidRDefault="00E23D0D" w:rsidP="00615D2C">
            <w:pPr>
              <w:rPr>
                <w:color w:val="000000"/>
                <w:sz w:val="20"/>
                <w:szCs w:val="20"/>
              </w:rPr>
            </w:pPr>
            <w:r w:rsidRPr="00F07779">
              <w:rPr>
                <w:color w:val="000000"/>
                <w:sz w:val="20"/>
                <w:szCs w:val="20"/>
              </w:rPr>
              <w:t>Increase in the efficiency of the distribution system by 15%</w:t>
            </w:r>
          </w:p>
        </w:tc>
      </w:tr>
      <w:tr w:rsidR="00E23D0D" w:rsidRPr="00F07779" w14:paraId="7FBC33C7" w14:textId="77777777" w:rsidTr="00615D2C">
        <w:trPr>
          <w:trHeight w:val="315"/>
        </w:trPr>
        <w:tc>
          <w:tcPr>
            <w:tcW w:w="3057" w:type="dxa"/>
            <w:noWrap/>
            <w:hideMark/>
          </w:tcPr>
          <w:p w14:paraId="4F401062" w14:textId="77777777" w:rsidR="00E23D0D" w:rsidRPr="00F07779" w:rsidRDefault="00E23D0D" w:rsidP="00615D2C">
            <w:pPr>
              <w:rPr>
                <w:color w:val="000000"/>
                <w:sz w:val="20"/>
                <w:szCs w:val="20"/>
              </w:rPr>
            </w:pPr>
            <w:r w:rsidRPr="00F07779">
              <w:rPr>
                <w:sz w:val="20"/>
                <w:szCs w:val="20"/>
              </w:rPr>
              <w:t>Impact on EE, climate, and environmental protection</w:t>
            </w:r>
          </w:p>
        </w:tc>
        <w:tc>
          <w:tcPr>
            <w:tcW w:w="5658" w:type="dxa"/>
            <w:noWrap/>
            <w:vAlign w:val="bottom"/>
            <w:hideMark/>
          </w:tcPr>
          <w:p w14:paraId="67C15A90" w14:textId="77777777" w:rsidR="00E23D0D" w:rsidRPr="00F07779" w:rsidRDefault="00E23D0D" w:rsidP="00615D2C">
            <w:pPr>
              <w:rPr>
                <w:color w:val="000000"/>
                <w:sz w:val="20"/>
                <w:szCs w:val="20"/>
              </w:rPr>
            </w:pPr>
            <w:r w:rsidRPr="00F07779">
              <w:rPr>
                <w:color w:val="000000"/>
                <w:sz w:val="20"/>
                <w:szCs w:val="20"/>
              </w:rPr>
              <w:t>Reduction in emissions by 2098 t CO</w:t>
            </w:r>
            <w:r w:rsidRPr="00F07779">
              <w:rPr>
                <w:color w:val="000000"/>
                <w:sz w:val="20"/>
                <w:szCs w:val="20"/>
                <w:vertAlign w:val="subscript"/>
              </w:rPr>
              <w:t>2</w:t>
            </w:r>
            <w:r w:rsidRPr="00F07779">
              <w:rPr>
                <w:color w:val="000000"/>
                <w:sz w:val="20"/>
                <w:szCs w:val="20"/>
              </w:rPr>
              <w:t>eq/year</w:t>
            </w:r>
          </w:p>
        </w:tc>
      </w:tr>
    </w:tbl>
    <w:p w14:paraId="721B67F4" w14:textId="77777777" w:rsidR="00E23D0D" w:rsidRPr="00F07779" w:rsidRDefault="00E23D0D" w:rsidP="00E23D0D"/>
    <w:p w14:paraId="206FF5DA" w14:textId="77777777" w:rsidR="00E23D0D" w:rsidRPr="00F07779" w:rsidRDefault="00E23D0D" w:rsidP="00E23D0D">
      <w:r w:rsidRPr="00F07779">
        <w:t>Table 5.2.3-5: Activities for implementing the measure Т1 –Т1.5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7"/>
        <w:gridCol w:w="5658"/>
      </w:tblGrid>
      <w:tr w:rsidR="00E23D0D" w:rsidRPr="00F07779" w14:paraId="0E93407E" w14:textId="77777777" w:rsidTr="00615D2C">
        <w:trPr>
          <w:trHeight w:val="315"/>
        </w:trPr>
        <w:tc>
          <w:tcPr>
            <w:tcW w:w="3057" w:type="dxa"/>
            <w:shd w:val="clear" w:color="auto" w:fill="D9D9D9" w:themeFill="background1" w:themeFillShade="D9"/>
            <w:noWrap/>
            <w:hideMark/>
          </w:tcPr>
          <w:p w14:paraId="02376991" w14:textId="77777777" w:rsidR="00E23D0D" w:rsidRPr="00F07779" w:rsidRDefault="00E23D0D" w:rsidP="00615D2C">
            <w:pPr>
              <w:rPr>
                <w:color w:val="000000"/>
                <w:sz w:val="20"/>
                <w:szCs w:val="20"/>
              </w:rPr>
            </w:pPr>
            <w:r w:rsidRPr="00F07779">
              <w:rPr>
                <w:color w:val="000000"/>
                <w:sz w:val="20"/>
                <w:szCs w:val="20"/>
              </w:rPr>
              <w:t>Activity Т1.5</w:t>
            </w:r>
          </w:p>
        </w:tc>
        <w:tc>
          <w:tcPr>
            <w:tcW w:w="5658" w:type="dxa"/>
            <w:shd w:val="clear" w:color="auto" w:fill="D9D9D9" w:themeFill="background1" w:themeFillShade="D9"/>
            <w:noWrap/>
            <w:vAlign w:val="center"/>
            <w:hideMark/>
          </w:tcPr>
          <w:p w14:paraId="22D98A16" w14:textId="77777777" w:rsidR="00E23D0D" w:rsidRPr="00F07779" w:rsidRDefault="00E23D0D" w:rsidP="00615D2C">
            <w:pPr>
              <w:rPr>
                <w:color w:val="000000"/>
                <w:sz w:val="20"/>
                <w:szCs w:val="20"/>
              </w:rPr>
            </w:pPr>
            <w:r w:rsidRPr="00F07779">
              <w:rPr>
                <w:color w:val="000000"/>
                <w:sz w:val="20"/>
                <w:szCs w:val="20"/>
              </w:rPr>
              <w:t xml:space="preserve">Reconstruction of the distribution system in </w:t>
            </w:r>
            <w:proofErr w:type="spellStart"/>
            <w:r w:rsidRPr="00F07779">
              <w:rPr>
                <w:color w:val="000000"/>
                <w:sz w:val="20"/>
                <w:szCs w:val="20"/>
              </w:rPr>
              <w:t>Zaječar</w:t>
            </w:r>
            <w:proofErr w:type="spellEnd"/>
          </w:p>
        </w:tc>
      </w:tr>
      <w:tr w:rsidR="00E23D0D" w:rsidRPr="00F07779" w14:paraId="5AF55352" w14:textId="77777777" w:rsidTr="00615D2C">
        <w:trPr>
          <w:trHeight w:val="315"/>
        </w:trPr>
        <w:tc>
          <w:tcPr>
            <w:tcW w:w="3057" w:type="dxa"/>
            <w:noWrap/>
            <w:hideMark/>
          </w:tcPr>
          <w:p w14:paraId="421DEBBA" w14:textId="77777777" w:rsidR="00E23D0D" w:rsidRPr="00F07779" w:rsidRDefault="00E23D0D" w:rsidP="00615D2C">
            <w:pPr>
              <w:rPr>
                <w:color w:val="000000"/>
                <w:sz w:val="20"/>
                <w:szCs w:val="20"/>
              </w:rPr>
            </w:pPr>
            <w:r w:rsidRPr="00F07779">
              <w:rPr>
                <w:sz w:val="20"/>
                <w:szCs w:val="20"/>
              </w:rPr>
              <w:t>Description</w:t>
            </w:r>
          </w:p>
        </w:tc>
        <w:tc>
          <w:tcPr>
            <w:tcW w:w="5658" w:type="dxa"/>
            <w:noWrap/>
            <w:vAlign w:val="bottom"/>
            <w:hideMark/>
          </w:tcPr>
          <w:p w14:paraId="10E92321" w14:textId="77777777" w:rsidR="00E23D0D" w:rsidRPr="00F07779" w:rsidRDefault="00E23D0D" w:rsidP="00615D2C">
            <w:pPr>
              <w:rPr>
                <w:color w:val="000000"/>
                <w:sz w:val="20"/>
                <w:szCs w:val="20"/>
              </w:rPr>
            </w:pPr>
            <w:r w:rsidRPr="00F07779">
              <w:rPr>
                <w:color w:val="000000"/>
                <w:sz w:val="20"/>
                <w:szCs w:val="20"/>
              </w:rPr>
              <w:t>Reconstruction of the distribution system</w:t>
            </w:r>
          </w:p>
        </w:tc>
      </w:tr>
      <w:tr w:rsidR="00E23D0D" w:rsidRPr="00F07779" w14:paraId="649209D5" w14:textId="77777777" w:rsidTr="00615D2C">
        <w:trPr>
          <w:trHeight w:val="518"/>
        </w:trPr>
        <w:tc>
          <w:tcPr>
            <w:tcW w:w="3057" w:type="dxa"/>
            <w:noWrap/>
            <w:hideMark/>
          </w:tcPr>
          <w:p w14:paraId="108A62AF" w14:textId="77777777" w:rsidR="00E23D0D" w:rsidRPr="00F07779" w:rsidRDefault="00E23D0D" w:rsidP="00615D2C">
            <w:pPr>
              <w:rPr>
                <w:color w:val="000000"/>
                <w:sz w:val="20"/>
                <w:szCs w:val="20"/>
              </w:rPr>
            </w:pPr>
            <w:r w:rsidRPr="00F07779">
              <w:rPr>
                <w:sz w:val="20"/>
                <w:szCs w:val="20"/>
              </w:rPr>
              <w:t>Institutions responsible for the implementation of measures and activities</w:t>
            </w:r>
          </w:p>
        </w:tc>
        <w:tc>
          <w:tcPr>
            <w:tcW w:w="5658" w:type="dxa"/>
            <w:noWrap/>
            <w:vAlign w:val="bottom"/>
            <w:hideMark/>
          </w:tcPr>
          <w:p w14:paraId="27F88AA6" w14:textId="31F5B648" w:rsidR="00E23D0D" w:rsidRPr="00F07779" w:rsidRDefault="00E23D0D" w:rsidP="00615D2C">
            <w:pPr>
              <w:rPr>
                <w:color w:val="000000"/>
                <w:sz w:val="20"/>
                <w:szCs w:val="20"/>
              </w:rPr>
            </w:pPr>
            <w:r w:rsidRPr="00F07779">
              <w:rPr>
                <w:color w:val="000000"/>
                <w:sz w:val="20"/>
                <w:szCs w:val="20"/>
              </w:rPr>
              <w:t xml:space="preserve">PUHC </w:t>
            </w:r>
            <w:proofErr w:type="spellStart"/>
            <w:r w:rsidRPr="00F07779">
              <w:rPr>
                <w:color w:val="000000"/>
                <w:sz w:val="20"/>
                <w:szCs w:val="20"/>
              </w:rPr>
              <w:t>Zaječar</w:t>
            </w:r>
            <w:proofErr w:type="spellEnd"/>
            <w:r w:rsidRPr="00F07779">
              <w:rPr>
                <w:color w:val="000000"/>
                <w:sz w:val="20"/>
                <w:szCs w:val="20"/>
              </w:rPr>
              <w:t xml:space="preserve"> </w:t>
            </w:r>
          </w:p>
          <w:p w14:paraId="04EBC931" w14:textId="77777777" w:rsidR="00E23D0D" w:rsidRPr="00F07779" w:rsidRDefault="00E23D0D" w:rsidP="00615D2C">
            <w:pPr>
              <w:rPr>
                <w:color w:val="000000"/>
                <w:sz w:val="20"/>
                <w:szCs w:val="20"/>
              </w:rPr>
            </w:pPr>
            <w:r w:rsidRPr="00F07779">
              <w:rPr>
                <w:color w:val="000000"/>
                <w:sz w:val="20"/>
                <w:szCs w:val="20"/>
              </w:rPr>
              <w:t xml:space="preserve">Competent authority of the City of </w:t>
            </w:r>
            <w:proofErr w:type="spellStart"/>
            <w:r w:rsidRPr="00F07779">
              <w:rPr>
                <w:color w:val="000000"/>
                <w:sz w:val="20"/>
                <w:szCs w:val="20"/>
              </w:rPr>
              <w:t>Zaječar</w:t>
            </w:r>
            <w:proofErr w:type="spellEnd"/>
          </w:p>
        </w:tc>
      </w:tr>
      <w:tr w:rsidR="00E23D0D" w:rsidRPr="00F07779" w14:paraId="0CA1138D" w14:textId="77777777" w:rsidTr="00615D2C">
        <w:trPr>
          <w:trHeight w:val="315"/>
        </w:trPr>
        <w:tc>
          <w:tcPr>
            <w:tcW w:w="3057" w:type="dxa"/>
            <w:noWrap/>
            <w:hideMark/>
          </w:tcPr>
          <w:p w14:paraId="51901096" w14:textId="77777777" w:rsidR="00E23D0D" w:rsidRPr="00F07779" w:rsidRDefault="00E23D0D" w:rsidP="00615D2C">
            <w:pPr>
              <w:rPr>
                <w:color w:val="000000"/>
                <w:sz w:val="20"/>
                <w:szCs w:val="20"/>
              </w:rPr>
            </w:pPr>
            <w:r w:rsidRPr="00F07779">
              <w:rPr>
                <w:sz w:val="20"/>
                <w:szCs w:val="20"/>
              </w:rPr>
              <w:t>Institutions responsible for monitoring implementation and reporting on realization</w:t>
            </w:r>
          </w:p>
        </w:tc>
        <w:tc>
          <w:tcPr>
            <w:tcW w:w="5658" w:type="dxa"/>
            <w:noWrap/>
            <w:vAlign w:val="bottom"/>
            <w:hideMark/>
          </w:tcPr>
          <w:p w14:paraId="1ED92D06" w14:textId="77777777" w:rsidR="00E23D0D" w:rsidRPr="00F07779" w:rsidRDefault="00E23D0D" w:rsidP="00615D2C">
            <w:pPr>
              <w:rPr>
                <w:color w:val="000000"/>
                <w:sz w:val="20"/>
                <w:szCs w:val="20"/>
              </w:rPr>
            </w:pPr>
            <w:r w:rsidRPr="00F07779">
              <w:rPr>
                <w:color w:val="000000"/>
                <w:sz w:val="20"/>
                <w:szCs w:val="20"/>
              </w:rPr>
              <w:t>Ministry of Environmental Protection</w:t>
            </w:r>
          </w:p>
        </w:tc>
      </w:tr>
      <w:tr w:rsidR="00E23D0D" w:rsidRPr="00F07779" w14:paraId="5B3AC1E5" w14:textId="77777777" w:rsidTr="00615D2C">
        <w:trPr>
          <w:trHeight w:val="315"/>
        </w:trPr>
        <w:tc>
          <w:tcPr>
            <w:tcW w:w="3057" w:type="dxa"/>
            <w:noWrap/>
            <w:hideMark/>
          </w:tcPr>
          <w:p w14:paraId="1A77CFEF" w14:textId="77777777" w:rsidR="00E23D0D" w:rsidRPr="00F07779" w:rsidRDefault="00E23D0D" w:rsidP="00615D2C">
            <w:pPr>
              <w:rPr>
                <w:color w:val="000000"/>
                <w:sz w:val="20"/>
                <w:szCs w:val="20"/>
              </w:rPr>
            </w:pPr>
            <w:r w:rsidRPr="00F07779">
              <w:rPr>
                <w:sz w:val="20"/>
                <w:szCs w:val="20"/>
              </w:rPr>
              <w:t>Deadline for implementation</w:t>
            </w:r>
          </w:p>
        </w:tc>
        <w:tc>
          <w:tcPr>
            <w:tcW w:w="5658" w:type="dxa"/>
            <w:noWrap/>
            <w:vAlign w:val="bottom"/>
            <w:hideMark/>
          </w:tcPr>
          <w:p w14:paraId="0170B0C9" w14:textId="77777777" w:rsidR="00E23D0D" w:rsidRPr="00F07779" w:rsidRDefault="00E23D0D" w:rsidP="00615D2C">
            <w:pPr>
              <w:rPr>
                <w:color w:val="000000"/>
                <w:sz w:val="20"/>
                <w:szCs w:val="20"/>
              </w:rPr>
            </w:pPr>
            <w:r w:rsidRPr="00F07779">
              <w:rPr>
                <w:color w:val="000000"/>
                <w:sz w:val="20"/>
                <w:szCs w:val="20"/>
              </w:rPr>
              <w:t xml:space="preserve">2027. </w:t>
            </w:r>
          </w:p>
        </w:tc>
      </w:tr>
      <w:tr w:rsidR="00E23D0D" w:rsidRPr="00F07779" w14:paraId="20560039" w14:textId="77777777" w:rsidTr="00615D2C">
        <w:trPr>
          <w:trHeight w:val="369"/>
        </w:trPr>
        <w:tc>
          <w:tcPr>
            <w:tcW w:w="3057" w:type="dxa"/>
            <w:noWrap/>
            <w:hideMark/>
          </w:tcPr>
          <w:p w14:paraId="782D54D7" w14:textId="77777777" w:rsidR="00E23D0D" w:rsidRPr="00F07779" w:rsidRDefault="00E23D0D" w:rsidP="00615D2C">
            <w:pPr>
              <w:rPr>
                <w:color w:val="000000"/>
                <w:sz w:val="20"/>
                <w:szCs w:val="20"/>
              </w:rPr>
            </w:pPr>
            <w:r w:rsidRPr="00F07779">
              <w:rPr>
                <w:sz w:val="20"/>
                <w:szCs w:val="20"/>
              </w:rPr>
              <w:t>Required funds and source of financing</w:t>
            </w:r>
          </w:p>
        </w:tc>
        <w:tc>
          <w:tcPr>
            <w:tcW w:w="5658" w:type="dxa"/>
            <w:noWrap/>
            <w:vAlign w:val="bottom"/>
            <w:hideMark/>
          </w:tcPr>
          <w:p w14:paraId="7E1CC1ED" w14:textId="77777777" w:rsidR="00E23D0D" w:rsidRPr="00F07779" w:rsidRDefault="00E23D0D" w:rsidP="00615D2C">
            <w:pPr>
              <w:rPr>
                <w:color w:val="000000"/>
                <w:sz w:val="20"/>
                <w:szCs w:val="20"/>
              </w:rPr>
            </w:pPr>
            <w:r w:rsidRPr="00F07779">
              <w:rPr>
                <w:color w:val="000000"/>
                <w:sz w:val="20"/>
                <w:szCs w:val="20"/>
              </w:rPr>
              <w:t>EUR 3.00 million</w:t>
            </w:r>
          </w:p>
          <w:p w14:paraId="30488AAC" w14:textId="77777777" w:rsidR="00E23D0D" w:rsidRPr="00F07779" w:rsidRDefault="00E23D0D" w:rsidP="00615D2C">
            <w:pPr>
              <w:rPr>
                <w:color w:val="000000"/>
                <w:sz w:val="20"/>
                <w:szCs w:val="20"/>
              </w:rPr>
            </w:pPr>
            <w:r w:rsidRPr="00F07779">
              <w:rPr>
                <w:color w:val="000000"/>
                <w:sz w:val="20"/>
                <w:szCs w:val="20"/>
              </w:rPr>
              <w:t>EBRD loan, approximately 20% grant</w:t>
            </w:r>
          </w:p>
          <w:p w14:paraId="69FCBFC6" w14:textId="77777777" w:rsidR="00E23D0D" w:rsidRPr="00F07779" w:rsidRDefault="00E23D0D" w:rsidP="00615D2C">
            <w:pPr>
              <w:rPr>
                <w:color w:val="000000"/>
                <w:sz w:val="20"/>
                <w:szCs w:val="20"/>
              </w:rPr>
            </w:pPr>
            <w:r w:rsidRPr="00F07779">
              <w:rPr>
                <w:color w:val="000000"/>
                <w:sz w:val="20"/>
                <w:szCs w:val="20"/>
              </w:rPr>
              <w:t>The implementation dynamics and the plan for withdrawing funds will be defined later</w:t>
            </w:r>
          </w:p>
        </w:tc>
      </w:tr>
      <w:tr w:rsidR="00E23D0D" w:rsidRPr="00F07779" w14:paraId="24E5ED1A" w14:textId="77777777" w:rsidTr="00615D2C">
        <w:trPr>
          <w:trHeight w:val="209"/>
        </w:trPr>
        <w:tc>
          <w:tcPr>
            <w:tcW w:w="3057" w:type="dxa"/>
            <w:noWrap/>
            <w:hideMark/>
          </w:tcPr>
          <w:p w14:paraId="1E5356C3" w14:textId="77777777" w:rsidR="00E23D0D" w:rsidRPr="00F07779" w:rsidRDefault="00E23D0D" w:rsidP="00615D2C">
            <w:pPr>
              <w:rPr>
                <w:color w:val="000000"/>
                <w:sz w:val="20"/>
                <w:szCs w:val="20"/>
              </w:rPr>
            </w:pPr>
            <w:r w:rsidRPr="00F07779">
              <w:rPr>
                <w:sz w:val="20"/>
                <w:szCs w:val="20"/>
              </w:rPr>
              <w:t>Impact of the activity on the achievement of the objective</w:t>
            </w:r>
          </w:p>
        </w:tc>
        <w:tc>
          <w:tcPr>
            <w:tcW w:w="5658" w:type="dxa"/>
            <w:noWrap/>
            <w:vAlign w:val="bottom"/>
            <w:hideMark/>
          </w:tcPr>
          <w:p w14:paraId="7E343853" w14:textId="77777777" w:rsidR="00E23D0D" w:rsidRPr="00F07779" w:rsidRDefault="00E23D0D" w:rsidP="00615D2C">
            <w:pPr>
              <w:rPr>
                <w:color w:val="000000"/>
                <w:sz w:val="20"/>
                <w:szCs w:val="20"/>
              </w:rPr>
            </w:pPr>
            <w:r w:rsidRPr="00F07779">
              <w:rPr>
                <w:color w:val="000000"/>
                <w:sz w:val="20"/>
                <w:szCs w:val="20"/>
              </w:rPr>
              <w:t>Safe and efficient supply of heat energy</w:t>
            </w:r>
          </w:p>
          <w:p w14:paraId="3461BEEA" w14:textId="77777777" w:rsidR="00E23D0D" w:rsidRPr="00F07779" w:rsidRDefault="00E23D0D" w:rsidP="00615D2C">
            <w:pPr>
              <w:rPr>
                <w:color w:val="000000"/>
                <w:sz w:val="20"/>
                <w:szCs w:val="20"/>
              </w:rPr>
            </w:pPr>
            <w:r w:rsidRPr="00F07779">
              <w:rPr>
                <w:color w:val="000000"/>
                <w:sz w:val="20"/>
                <w:szCs w:val="20"/>
              </w:rPr>
              <w:t>Increase in the efficiency of the distribution system by 15%</w:t>
            </w:r>
          </w:p>
        </w:tc>
      </w:tr>
      <w:tr w:rsidR="00E23D0D" w:rsidRPr="00F07779" w14:paraId="3CC7CDB3" w14:textId="77777777" w:rsidTr="00615D2C">
        <w:trPr>
          <w:trHeight w:val="315"/>
        </w:trPr>
        <w:tc>
          <w:tcPr>
            <w:tcW w:w="3057" w:type="dxa"/>
            <w:noWrap/>
            <w:hideMark/>
          </w:tcPr>
          <w:p w14:paraId="23C5CCF9" w14:textId="77777777" w:rsidR="00E23D0D" w:rsidRPr="00F07779" w:rsidRDefault="00E23D0D" w:rsidP="00615D2C">
            <w:pPr>
              <w:rPr>
                <w:color w:val="000000"/>
                <w:sz w:val="20"/>
                <w:szCs w:val="20"/>
              </w:rPr>
            </w:pPr>
            <w:r w:rsidRPr="00F07779">
              <w:rPr>
                <w:sz w:val="20"/>
                <w:szCs w:val="20"/>
              </w:rPr>
              <w:t>Impact on EE, climate, and environmental protection</w:t>
            </w:r>
          </w:p>
        </w:tc>
        <w:tc>
          <w:tcPr>
            <w:tcW w:w="5658" w:type="dxa"/>
            <w:noWrap/>
            <w:vAlign w:val="bottom"/>
            <w:hideMark/>
          </w:tcPr>
          <w:p w14:paraId="76552DB7" w14:textId="77777777" w:rsidR="00E23D0D" w:rsidRPr="00F07779" w:rsidRDefault="00E23D0D" w:rsidP="00615D2C">
            <w:pPr>
              <w:rPr>
                <w:color w:val="000000"/>
                <w:sz w:val="20"/>
                <w:szCs w:val="20"/>
              </w:rPr>
            </w:pPr>
            <w:r w:rsidRPr="00F07779">
              <w:rPr>
                <w:color w:val="000000"/>
                <w:sz w:val="20"/>
                <w:szCs w:val="20"/>
              </w:rPr>
              <w:t xml:space="preserve">Reduction in emissions by 1.62 t CO2eq/year </w:t>
            </w:r>
          </w:p>
        </w:tc>
      </w:tr>
    </w:tbl>
    <w:p w14:paraId="582B2E68" w14:textId="77777777" w:rsidR="00E23D0D" w:rsidRPr="00F07779" w:rsidRDefault="00E23D0D" w:rsidP="00E23D0D"/>
    <w:p w14:paraId="0BA03895" w14:textId="77777777" w:rsidR="00E23D0D" w:rsidRPr="00F07779" w:rsidRDefault="00E23D0D" w:rsidP="00E23D0D">
      <w:r w:rsidRPr="00F07779">
        <w:t>Table 5.2.3-6: Activities for implementing the measure Т1 – Т1.6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7"/>
        <w:gridCol w:w="5658"/>
      </w:tblGrid>
      <w:tr w:rsidR="00E23D0D" w:rsidRPr="00F07779" w14:paraId="662A7301" w14:textId="77777777" w:rsidTr="00615D2C">
        <w:trPr>
          <w:trHeight w:val="47"/>
        </w:trPr>
        <w:tc>
          <w:tcPr>
            <w:tcW w:w="3057" w:type="dxa"/>
            <w:shd w:val="clear" w:color="000000" w:fill="D9D9D9"/>
            <w:vAlign w:val="center"/>
            <w:hideMark/>
          </w:tcPr>
          <w:p w14:paraId="1CA755B7" w14:textId="77777777" w:rsidR="00E23D0D" w:rsidRPr="00F07779" w:rsidRDefault="00E23D0D" w:rsidP="00615D2C">
            <w:pPr>
              <w:rPr>
                <w:color w:val="000000"/>
                <w:sz w:val="20"/>
                <w:szCs w:val="20"/>
              </w:rPr>
            </w:pPr>
            <w:r w:rsidRPr="00F07779">
              <w:rPr>
                <w:color w:val="000000"/>
                <w:sz w:val="20"/>
                <w:szCs w:val="20"/>
              </w:rPr>
              <w:t>Activity Т1.6</w:t>
            </w:r>
          </w:p>
        </w:tc>
        <w:tc>
          <w:tcPr>
            <w:tcW w:w="5658" w:type="dxa"/>
            <w:shd w:val="clear" w:color="000000" w:fill="D9D9D9"/>
            <w:vAlign w:val="center"/>
            <w:hideMark/>
          </w:tcPr>
          <w:p w14:paraId="5A90200D" w14:textId="77777777" w:rsidR="00E23D0D" w:rsidRPr="00F07779" w:rsidRDefault="00E23D0D" w:rsidP="00615D2C">
            <w:pPr>
              <w:rPr>
                <w:color w:val="000000"/>
                <w:sz w:val="20"/>
                <w:szCs w:val="20"/>
              </w:rPr>
            </w:pPr>
            <w:r w:rsidRPr="00F07779">
              <w:rPr>
                <w:color w:val="000000"/>
                <w:sz w:val="20"/>
                <w:szCs w:val="20"/>
              </w:rPr>
              <w:t xml:space="preserve">Reconstruction of heat substation in </w:t>
            </w:r>
            <w:proofErr w:type="spellStart"/>
            <w:r w:rsidRPr="00F07779">
              <w:rPr>
                <w:color w:val="000000"/>
                <w:sz w:val="20"/>
                <w:szCs w:val="20"/>
              </w:rPr>
              <w:t>Vršac</w:t>
            </w:r>
            <w:proofErr w:type="spellEnd"/>
          </w:p>
        </w:tc>
      </w:tr>
      <w:tr w:rsidR="00E23D0D" w:rsidRPr="00F07779" w14:paraId="5024CBDA" w14:textId="77777777" w:rsidTr="00615D2C">
        <w:trPr>
          <w:trHeight w:val="315"/>
        </w:trPr>
        <w:tc>
          <w:tcPr>
            <w:tcW w:w="3057" w:type="dxa"/>
            <w:hideMark/>
          </w:tcPr>
          <w:p w14:paraId="058AD6DE" w14:textId="77777777" w:rsidR="00E23D0D" w:rsidRPr="00F07779" w:rsidRDefault="00E23D0D" w:rsidP="00615D2C">
            <w:pPr>
              <w:rPr>
                <w:color w:val="000000"/>
                <w:sz w:val="20"/>
                <w:szCs w:val="20"/>
              </w:rPr>
            </w:pPr>
            <w:r w:rsidRPr="00F07779">
              <w:rPr>
                <w:sz w:val="20"/>
                <w:szCs w:val="20"/>
              </w:rPr>
              <w:t>Description</w:t>
            </w:r>
          </w:p>
        </w:tc>
        <w:tc>
          <w:tcPr>
            <w:tcW w:w="5658" w:type="dxa"/>
            <w:noWrap/>
            <w:vAlign w:val="bottom"/>
            <w:hideMark/>
          </w:tcPr>
          <w:p w14:paraId="3A61AC89" w14:textId="77777777" w:rsidR="00E23D0D" w:rsidRPr="00F07779" w:rsidRDefault="00E23D0D" w:rsidP="00615D2C">
            <w:pPr>
              <w:rPr>
                <w:color w:val="000000"/>
                <w:sz w:val="20"/>
                <w:szCs w:val="20"/>
              </w:rPr>
            </w:pPr>
            <w:r w:rsidRPr="00F07779">
              <w:rPr>
                <w:color w:val="000000"/>
                <w:sz w:val="20"/>
                <w:szCs w:val="20"/>
              </w:rPr>
              <w:t xml:space="preserve">Reconstruction of heat substation </w:t>
            </w:r>
          </w:p>
        </w:tc>
      </w:tr>
      <w:tr w:rsidR="00E23D0D" w:rsidRPr="00F07779" w14:paraId="622F9C9A" w14:textId="77777777" w:rsidTr="00615D2C">
        <w:trPr>
          <w:trHeight w:val="640"/>
        </w:trPr>
        <w:tc>
          <w:tcPr>
            <w:tcW w:w="3057" w:type="dxa"/>
            <w:hideMark/>
          </w:tcPr>
          <w:p w14:paraId="2EAD39FF" w14:textId="77777777" w:rsidR="00E23D0D" w:rsidRPr="00F07779" w:rsidRDefault="00E23D0D" w:rsidP="00615D2C">
            <w:pPr>
              <w:rPr>
                <w:color w:val="000000"/>
                <w:sz w:val="20"/>
                <w:szCs w:val="20"/>
              </w:rPr>
            </w:pPr>
            <w:r w:rsidRPr="00F07779">
              <w:rPr>
                <w:sz w:val="20"/>
                <w:szCs w:val="20"/>
              </w:rPr>
              <w:t>Institutions responsible for the implementation of measures and activities</w:t>
            </w:r>
          </w:p>
        </w:tc>
        <w:tc>
          <w:tcPr>
            <w:tcW w:w="5658" w:type="dxa"/>
            <w:vAlign w:val="center"/>
            <w:hideMark/>
          </w:tcPr>
          <w:p w14:paraId="4696B045" w14:textId="77777777" w:rsidR="00E23D0D" w:rsidRPr="00F07779" w:rsidRDefault="00E23D0D" w:rsidP="00615D2C">
            <w:pPr>
              <w:rPr>
                <w:sz w:val="20"/>
                <w:szCs w:val="20"/>
              </w:rPr>
            </w:pPr>
            <w:r w:rsidRPr="00F07779">
              <w:rPr>
                <w:sz w:val="20"/>
                <w:szCs w:val="20"/>
              </w:rPr>
              <w:t xml:space="preserve">PUC Drugi </w:t>
            </w:r>
            <w:proofErr w:type="spellStart"/>
            <w:r w:rsidRPr="00F07779">
              <w:rPr>
                <w:sz w:val="20"/>
                <w:szCs w:val="20"/>
              </w:rPr>
              <w:t>oktobar</w:t>
            </w:r>
            <w:proofErr w:type="spellEnd"/>
            <w:r w:rsidRPr="00F07779">
              <w:rPr>
                <w:sz w:val="20"/>
                <w:szCs w:val="20"/>
              </w:rPr>
              <w:t xml:space="preserve"> </w:t>
            </w:r>
            <w:proofErr w:type="spellStart"/>
            <w:r w:rsidRPr="00F07779">
              <w:rPr>
                <w:sz w:val="20"/>
                <w:szCs w:val="20"/>
              </w:rPr>
              <w:t>Vršac</w:t>
            </w:r>
            <w:proofErr w:type="spellEnd"/>
          </w:p>
          <w:p w14:paraId="1DF52F98" w14:textId="77777777" w:rsidR="00E23D0D" w:rsidRPr="00F07779" w:rsidRDefault="00E23D0D" w:rsidP="00615D2C">
            <w:pPr>
              <w:rPr>
                <w:sz w:val="20"/>
                <w:szCs w:val="20"/>
              </w:rPr>
            </w:pPr>
            <w:r w:rsidRPr="00F07779">
              <w:rPr>
                <w:sz w:val="20"/>
                <w:szCs w:val="20"/>
              </w:rPr>
              <w:t xml:space="preserve">Competent authority of the City of </w:t>
            </w:r>
            <w:proofErr w:type="spellStart"/>
            <w:r w:rsidRPr="00F07779">
              <w:rPr>
                <w:sz w:val="20"/>
                <w:szCs w:val="20"/>
              </w:rPr>
              <w:t>Vršac</w:t>
            </w:r>
            <w:proofErr w:type="spellEnd"/>
          </w:p>
        </w:tc>
      </w:tr>
      <w:tr w:rsidR="00E23D0D" w:rsidRPr="00F07779" w14:paraId="19D6686E" w14:textId="77777777" w:rsidTr="00615D2C">
        <w:trPr>
          <w:trHeight w:val="510"/>
        </w:trPr>
        <w:tc>
          <w:tcPr>
            <w:tcW w:w="3057" w:type="dxa"/>
            <w:hideMark/>
          </w:tcPr>
          <w:p w14:paraId="5797BD99" w14:textId="77777777" w:rsidR="00E23D0D" w:rsidRPr="00F07779" w:rsidRDefault="00E23D0D" w:rsidP="00615D2C">
            <w:pPr>
              <w:rPr>
                <w:color w:val="000000"/>
                <w:sz w:val="20"/>
                <w:szCs w:val="20"/>
              </w:rPr>
            </w:pPr>
            <w:r w:rsidRPr="00F07779">
              <w:rPr>
                <w:sz w:val="20"/>
                <w:szCs w:val="20"/>
              </w:rPr>
              <w:t>Institutions responsible for monitoring implementation and reporting on realization</w:t>
            </w:r>
          </w:p>
        </w:tc>
        <w:tc>
          <w:tcPr>
            <w:tcW w:w="5658" w:type="dxa"/>
            <w:vAlign w:val="center"/>
            <w:hideMark/>
          </w:tcPr>
          <w:p w14:paraId="735187DF" w14:textId="77777777" w:rsidR="00E23D0D" w:rsidRPr="00F07779" w:rsidRDefault="00E23D0D" w:rsidP="00615D2C">
            <w:pPr>
              <w:rPr>
                <w:color w:val="000000"/>
                <w:sz w:val="20"/>
                <w:szCs w:val="20"/>
              </w:rPr>
            </w:pPr>
            <w:r w:rsidRPr="00F07779">
              <w:rPr>
                <w:color w:val="000000"/>
                <w:sz w:val="20"/>
                <w:szCs w:val="20"/>
              </w:rPr>
              <w:t>Ministry of Mining and Energy</w:t>
            </w:r>
          </w:p>
        </w:tc>
      </w:tr>
      <w:tr w:rsidR="00E23D0D" w:rsidRPr="00F07779" w14:paraId="767A4741" w14:textId="77777777" w:rsidTr="00615D2C">
        <w:trPr>
          <w:trHeight w:val="315"/>
        </w:trPr>
        <w:tc>
          <w:tcPr>
            <w:tcW w:w="3057" w:type="dxa"/>
            <w:hideMark/>
          </w:tcPr>
          <w:p w14:paraId="51710586" w14:textId="77777777" w:rsidR="00E23D0D" w:rsidRPr="00F07779" w:rsidRDefault="00E23D0D" w:rsidP="00615D2C">
            <w:pPr>
              <w:rPr>
                <w:color w:val="000000"/>
                <w:sz w:val="20"/>
                <w:szCs w:val="20"/>
              </w:rPr>
            </w:pPr>
            <w:r w:rsidRPr="00F07779">
              <w:rPr>
                <w:sz w:val="20"/>
                <w:szCs w:val="20"/>
              </w:rPr>
              <w:t>Deadline for implementation</w:t>
            </w:r>
          </w:p>
        </w:tc>
        <w:tc>
          <w:tcPr>
            <w:tcW w:w="5658" w:type="dxa"/>
            <w:vAlign w:val="center"/>
            <w:hideMark/>
          </w:tcPr>
          <w:p w14:paraId="77EDBD0B" w14:textId="77777777" w:rsidR="00E23D0D" w:rsidRPr="00F07779" w:rsidRDefault="00E23D0D" w:rsidP="00615D2C">
            <w:pPr>
              <w:rPr>
                <w:color w:val="000000"/>
                <w:sz w:val="20"/>
                <w:szCs w:val="20"/>
              </w:rPr>
            </w:pPr>
            <w:r w:rsidRPr="00F07779">
              <w:rPr>
                <w:color w:val="000000"/>
                <w:sz w:val="20"/>
                <w:szCs w:val="20"/>
              </w:rPr>
              <w:t xml:space="preserve">2027. </w:t>
            </w:r>
          </w:p>
        </w:tc>
      </w:tr>
      <w:tr w:rsidR="00E23D0D" w:rsidRPr="00F07779" w14:paraId="36002EC9" w14:textId="77777777" w:rsidTr="00615D2C">
        <w:trPr>
          <w:trHeight w:val="640"/>
        </w:trPr>
        <w:tc>
          <w:tcPr>
            <w:tcW w:w="3057" w:type="dxa"/>
            <w:hideMark/>
          </w:tcPr>
          <w:p w14:paraId="4C0C76FB" w14:textId="77777777" w:rsidR="00E23D0D" w:rsidRPr="00F07779" w:rsidRDefault="00E23D0D" w:rsidP="00615D2C">
            <w:pPr>
              <w:rPr>
                <w:color w:val="000000"/>
                <w:sz w:val="20"/>
                <w:szCs w:val="20"/>
              </w:rPr>
            </w:pPr>
            <w:r w:rsidRPr="00F07779">
              <w:rPr>
                <w:sz w:val="20"/>
                <w:szCs w:val="20"/>
              </w:rPr>
              <w:t>Required funds and source of financing</w:t>
            </w:r>
          </w:p>
        </w:tc>
        <w:tc>
          <w:tcPr>
            <w:tcW w:w="5658" w:type="dxa"/>
            <w:vAlign w:val="center"/>
            <w:hideMark/>
          </w:tcPr>
          <w:p w14:paraId="153D6A74" w14:textId="77777777" w:rsidR="00E23D0D" w:rsidRPr="00F07779" w:rsidRDefault="00E23D0D" w:rsidP="00615D2C">
            <w:pPr>
              <w:rPr>
                <w:color w:val="000000"/>
                <w:sz w:val="20"/>
                <w:szCs w:val="20"/>
              </w:rPr>
            </w:pPr>
            <w:r w:rsidRPr="00F07779">
              <w:rPr>
                <w:color w:val="000000"/>
                <w:sz w:val="20"/>
                <w:szCs w:val="20"/>
              </w:rPr>
              <w:t>EUR 0.6 million</w:t>
            </w:r>
          </w:p>
          <w:p w14:paraId="7029B3DD" w14:textId="77777777" w:rsidR="00E23D0D" w:rsidRPr="00F07779" w:rsidRDefault="00E23D0D" w:rsidP="00615D2C">
            <w:pPr>
              <w:rPr>
                <w:color w:val="000000"/>
                <w:sz w:val="20"/>
                <w:szCs w:val="20"/>
              </w:rPr>
            </w:pPr>
            <w:r w:rsidRPr="00F07779">
              <w:rPr>
                <w:color w:val="000000"/>
                <w:sz w:val="20"/>
                <w:szCs w:val="20"/>
              </w:rPr>
              <w:t>EBRD loan, approximately 20% grant</w:t>
            </w:r>
          </w:p>
          <w:p w14:paraId="0AE60951" w14:textId="77777777" w:rsidR="00E23D0D" w:rsidRPr="00F07779" w:rsidRDefault="00E23D0D" w:rsidP="00615D2C">
            <w:pPr>
              <w:rPr>
                <w:color w:val="000000"/>
                <w:sz w:val="20"/>
                <w:szCs w:val="20"/>
              </w:rPr>
            </w:pPr>
            <w:r w:rsidRPr="00F07779">
              <w:rPr>
                <w:color w:val="000000"/>
                <w:sz w:val="20"/>
                <w:szCs w:val="20"/>
              </w:rPr>
              <w:t>The implementation dynamics and the plan for withdrawing funds will be defined later</w:t>
            </w:r>
          </w:p>
        </w:tc>
      </w:tr>
      <w:tr w:rsidR="00E23D0D" w:rsidRPr="00F07779" w14:paraId="60590846" w14:textId="77777777" w:rsidTr="00615D2C">
        <w:trPr>
          <w:trHeight w:val="181"/>
        </w:trPr>
        <w:tc>
          <w:tcPr>
            <w:tcW w:w="3057" w:type="dxa"/>
            <w:hideMark/>
          </w:tcPr>
          <w:p w14:paraId="400F9E00" w14:textId="77777777" w:rsidR="00E23D0D" w:rsidRPr="00F07779" w:rsidRDefault="00E23D0D" w:rsidP="00615D2C">
            <w:pPr>
              <w:rPr>
                <w:color w:val="000000"/>
                <w:sz w:val="20"/>
                <w:szCs w:val="20"/>
              </w:rPr>
            </w:pPr>
            <w:r w:rsidRPr="00F07779">
              <w:rPr>
                <w:sz w:val="20"/>
                <w:szCs w:val="20"/>
              </w:rPr>
              <w:t>Impact of the activity on the achievement of the objective</w:t>
            </w:r>
          </w:p>
        </w:tc>
        <w:tc>
          <w:tcPr>
            <w:tcW w:w="5658" w:type="dxa"/>
            <w:noWrap/>
            <w:vAlign w:val="bottom"/>
            <w:hideMark/>
          </w:tcPr>
          <w:p w14:paraId="322D3CB1" w14:textId="77777777" w:rsidR="00E23D0D" w:rsidRPr="00F07779" w:rsidRDefault="00E23D0D" w:rsidP="00615D2C">
            <w:pPr>
              <w:rPr>
                <w:color w:val="000000"/>
                <w:sz w:val="20"/>
                <w:szCs w:val="20"/>
              </w:rPr>
            </w:pPr>
            <w:r w:rsidRPr="00F07779">
              <w:rPr>
                <w:color w:val="000000"/>
                <w:sz w:val="20"/>
                <w:szCs w:val="20"/>
              </w:rPr>
              <w:t>Increasing energy efficiency in heat transfer</w:t>
            </w:r>
          </w:p>
          <w:p w14:paraId="0C7E3236" w14:textId="77777777" w:rsidR="00E23D0D" w:rsidRPr="00F07779" w:rsidRDefault="00E23D0D" w:rsidP="00615D2C">
            <w:pPr>
              <w:rPr>
                <w:color w:val="000000"/>
                <w:sz w:val="20"/>
                <w:szCs w:val="20"/>
              </w:rPr>
            </w:pPr>
            <w:r w:rsidRPr="00F07779">
              <w:rPr>
                <w:color w:val="000000"/>
                <w:sz w:val="20"/>
                <w:szCs w:val="20"/>
              </w:rPr>
              <w:t>Reducing heat energy use by 5%</w:t>
            </w:r>
          </w:p>
        </w:tc>
      </w:tr>
      <w:tr w:rsidR="00E23D0D" w:rsidRPr="00F07779" w14:paraId="267CF8FB" w14:textId="77777777" w:rsidTr="00615D2C">
        <w:trPr>
          <w:trHeight w:val="315"/>
        </w:trPr>
        <w:tc>
          <w:tcPr>
            <w:tcW w:w="3057" w:type="dxa"/>
            <w:hideMark/>
          </w:tcPr>
          <w:p w14:paraId="529F4A48" w14:textId="77777777" w:rsidR="00E23D0D" w:rsidRPr="00F07779" w:rsidRDefault="00E23D0D" w:rsidP="00615D2C">
            <w:pPr>
              <w:rPr>
                <w:color w:val="000000"/>
                <w:sz w:val="20"/>
                <w:szCs w:val="20"/>
              </w:rPr>
            </w:pPr>
            <w:r w:rsidRPr="00F07779">
              <w:rPr>
                <w:sz w:val="20"/>
                <w:szCs w:val="20"/>
              </w:rPr>
              <w:t>Impact on EE, climate, and environmental protection</w:t>
            </w:r>
          </w:p>
        </w:tc>
        <w:tc>
          <w:tcPr>
            <w:tcW w:w="5658" w:type="dxa"/>
            <w:vAlign w:val="center"/>
            <w:hideMark/>
          </w:tcPr>
          <w:p w14:paraId="43F198BA" w14:textId="77777777" w:rsidR="00E23D0D" w:rsidRPr="00F07779" w:rsidRDefault="00E23D0D" w:rsidP="00615D2C">
            <w:pPr>
              <w:rPr>
                <w:color w:val="000000"/>
                <w:sz w:val="20"/>
                <w:szCs w:val="20"/>
              </w:rPr>
            </w:pPr>
            <w:r w:rsidRPr="00F07779">
              <w:rPr>
                <w:color w:val="000000"/>
                <w:sz w:val="20"/>
                <w:szCs w:val="20"/>
              </w:rPr>
              <w:t>Reduction in emissions by 181,25t CO</w:t>
            </w:r>
            <w:r w:rsidRPr="00F07779">
              <w:rPr>
                <w:color w:val="000000"/>
                <w:sz w:val="20"/>
                <w:szCs w:val="20"/>
                <w:vertAlign w:val="subscript"/>
              </w:rPr>
              <w:t>2</w:t>
            </w:r>
            <w:r w:rsidRPr="00F07779">
              <w:rPr>
                <w:color w:val="000000"/>
                <w:sz w:val="20"/>
                <w:szCs w:val="20"/>
              </w:rPr>
              <w:t>eqv/year</w:t>
            </w:r>
          </w:p>
        </w:tc>
      </w:tr>
    </w:tbl>
    <w:p w14:paraId="23686DC2" w14:textId="77777777" w:rsidR="00E23D0D" w:rsidRPr="00F07779" w:rsidRDefault="00E23D0D" w:rsidP="00E23D0D"/>
    <w:p w14:paraId="39D52690" w14:textId="77777777" w:rsidR="008B4484" w:rsidRPr="00F07779" w:rsidRDefault="008B4484" w:rsidP="00E23D0D"/>
    <w:p w14:paraId="78476445" w14:textId="77777777" w:rsidR="00E23D0D" w:rsidRPr="00F07779" w:rsidRDefault="00E23D0D" w:rsidP="00E23D0D">
      <w:r w:rsidRPr="00F07779">
        <w:t>Table 5.2.3-7: Activities for implementing the measure Т1 –Т1.7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7"/>
        <w:gridCol w:w="5658"/>
      </w:tblGrid>
      <w:tr w:rsidR="00E23D0D" w:rsidRPr="00F07779" w14:paraId="0F09D4A3" w14:textId="77777777" w:rsidTr="00615D2C">
        <w:trPr>
          <w:trHeight w:val="403"/>
        </w:trPr>
        <w:tc>
          <w:tcPr>
            <w:tcW w:w="3057" w:type="dxa"/>
            <w:shd w:val="clear" w:color="000000" w:fill="D9D9D9"/>
            <w:vAlign w:val="center"/>
            <w:hideMark/>
          </w:tcPr>
          <w:p w14:paraId="65DE9F21" w14:textId="77777777" w:rsidR="00E23D0D" w:rsidRPr="00F07779" w:rsidRDefault="00E23D0D" w:rsidP="00615D2C">
            <w:pPr>
              <w:rPr>
                <w:color w:val="000000"/>
                <w:sz w:val="20"/>
                <w:szCs w:val="20"/>
              </w:rPr>
            </w:pPr>
            <w:r w:rsidRPr="00F07779">
              <w:rPr>
                <w:color w:val="000000"/>
                <w:sz w:val="20"/>
                <w:szCs w:val="20"/>
              </w:rPr>
              <w:t>Activity Т1.7</w:t>
            </w:r>
          </w:p>
        </w:tc>
        <w:tc>
          <w:tcPr>
            <w:tcW w:w="5658" w:type="dxa"/>
            <w:shd w:val="clear" w:color="000000" w:fill="D9D9D9"/>
            <w:vAlign w:val="center"/>
            <w:hideMark/>
          </w:tcPr>
          <w:p w14:paraId="288B9CC4" w14:textId="77777777" w:rsidR="00E23D0D" w:rsidRPr="00F07779" w:rsidRDefault="00E23D0D" w:rsidP="00615D2C">
            <w:pPr>
              <w:rPr>
                <w:color w:val="000000"/>
                <w:sz w:val="20"/>
                <w:szCs w:val="20"/>
              </w:rPr>
            </w:pPr>
            <w:r w:rsidRPr="00F07779">
              <w:rPr>
                <w:color w:val="000000"/>
                <w:sz w:val="20"/>
                <w:szCs w:val="20"/>
              </w:rPr>
              <w:t xml:space="preserve">Reconstruction of heat substation in </w:t>
            </w:r>
            <w:proofErr w:type="spellStart"/>
            <w:r w:rsidRPr="00F07779">
              <w:rPr>
                <w:color w:val="000000"/>
                <w:sz w:val="20"/>
                <w:szCs w:val="20"/>
              </w:rPr>
              <w:t>Bečej</w:t>
            </w:r>
            <w:proofErr w:type="spellEnd"/>
          </w:p>
        </w:tc>
      </w:tr>
      <w:tr w:rsidR="00E23D0D" w:rsidRPr="00F07779" w14:paraId="5617B068" w14:textId="77777777" w:rsidTr="00615D2C">
        <w:trPr>
          <w:trHeight w:val="315"/>
        </w:trPr>
        <w:tc>
          <w:tcPr>
            <w:tcW w:w="3057" w:type="dxa"/>
            <w:hideMark/>
          </w:tcPr>
          <w:p w14:paraId="072F24FE" w14:textId="77777777" w:rsidR="00E23D0D" w:rsidRPr="00F07779" w:rsidRDefault="00E23D0D" w:rsidP="00615D2C">
            <w:pPr>
              <w:rPr>
                <w:color w:val="000000"/>
                <w:sz w:val="20"/>
                <w:szCs w:val="20"/>
              </w:rPr>
            </w:pPr>
            <w:r w:rsidRPr="00F07779">
              <w:rPr>
                <w:sz w:val="20"/>
                <w:szCs w:val="20"/>
              </w:rPr>
              <w:t>Description</w:t>
            </w:r>
          </w:p>
        </w:tc>
        <w:tc>
          <w:tcPr>
            <w:tcW w:w="5658" w:type="dxa"/>
            <w:noWrap/>
            <w:vAlign w:val="bottom"/>
            <w:hideMark/>
          </w:tcPr>
          <w:p w14:paraId="36AAEB75" w14:textId="77777777" w:rsidR="00E23D0D" w:rsidRPr="00F07779" w:rsidRDefault="00E23D0D" w:rsidP="00615D2C">
            <w:pPr>
              <w:rPr>
                <w:color w:val="000000"/>
                <w:sz w:val="20"/>
                <w:szCs w:val="20"/>
              </w:rPr>
            </w:pPr>
            <w:r w:rsidRPr="00F07779">
              <w:rPr>
                <w:color w:val="000000"/>
                <w:sz w:val="20"/>
                <w:szCs w:val="20"/>
              </w:rPr>
              <w:t>Reconstruction of heat substation</w:t>
            </w:r>
          </w:p>
        </w:tc>
      </w:tr>
      <w:tr w:rsidR="00E23D0D" w:rsidRPr="00F07779" w14:paraId="35856E26" w14:textId="77777777" w:rsidTr="00615D2C">
        <w:trPr>
          <w:trHeight w:val="640"/>
        </w:trPr>
        <w:tc>
          <w:tcPr>
            <w:tcW w:w="3057" w:type="dxa"/>
            <w:hideMark/>
          </w:tcPr>
          <w:p w14:paraId="65D77BDE" w14:textId="77777777" w:rsidR="00E23D0D" w:rsidRPr="00F07779" w:rsidRDefault="00E23D0D" w:rsidP="00615D2C">
            <w:pPr>
              <w:rPr>
                <w:color w:val="000000"/>
                <w:sz w:val="20"/>
                <w:szCs w:val="20"/>
              </w:rPr>
            </w:pPr>
            <w:r w:rsidRPr="00F07779">
              <w:rPr>
                <w:sz w:val="20"/>
                <w:szCs w:val="20"/>
              </w:rPr>
              <w:t>Institutions responsible for the implementation of measures and activities</w:t>
            </w:r>
          </w:p>
        </w:tc>
        <w:tc>
          <w:tcPr>
            <w:tcW w:w="5658" w:type="dxa"/>
            <w:vAlign w:val="center"/>
            <w:hideMark/>
          </w:tcPr>
          <w:p w14:paraId="16B7D7AE" w14:textId="77777777" w:rsidR="00E23D0D" w:rsidRPr="00F07779" w:rsidRDefault="00E23D0D" w:rsidP="00615D2C">
            <w:pPr>
              <w:rPr>
                <w:sz w:val="20"/>
                <w:szCs w:val="20"/>
              </w:rPr>
            </w:pPr>
            <w:r w:rsidRPr="00F07779">
              <w:rPr>
                <w:sz w:val="20"/>
                <w:szCs w:val="20"/>
              </w:rPr>
              <w:t xml:space="preserve">PU </w:t>
            </w:r>
            <w:proofErr w:type="spellStart"/>
            <w:r w:rsidRPr="00F07779">
              <w:rPr>
                <w:sz w:val="20"/>
                <w:szCs w:val="20"/>
              </w:rPr>
              <w:t>Toplana</w:t>
            </w:r>
            <w:proofErr w:type="spellEnd"/>
            <w:r w:rsidRPr="00F07779">
              <w:rPr>
                <w:sz w:val="20"/>
                <w:szCs w:val="20"/>
              </w:rPr>
              <w:t xml:space="preserve"> </w:t>
            </w:r>
            <w:proofErr w:type="spellStart"/>
            <w:r w:rsidRPr="00F07779">
              <w:rPr>
                <w:sz w:val="20"/>
                <w:szCs w:val="20"/>
              </w:rPr>
              <w:t>Bečej</w:t>
            </w:r>
            <w:proofErr w:type="spellEnd"/>
          </w:p>
          <w:p w14:paraId="25D9F47F" w14:textId="77777777" w:rsidR="00E23D0D" w:rsidRPr="00F07779" w:rsidRDefault="00E23D0D" w:rsidP="00615D2C">
            <w:pPr>
              <w:rPr>
                <w:sz w:val="20"/>
                <w:szCs w:val="20"/>
              </w:rPr>
            </w:pPr>
            <w:r w:rsidRPr="00F07779">
              <w:rPr>
                <w:color w:val="000000"/>
                <w:sz w:val="20"/>
                <w:szCs w:val="20"/>
              </w:rPr>
              <w:t xml:space="preserve">Competent authority of the City of </w:t>
            </w:r>
            <w:proofErr w:type="spellStart"/>
            <w:r w:rsidRPr="00F07779">
              <w:rPr>
                <w:color w:val="000000"/>
                <w:sz w:val="20"/>
                <w:szCs w:val="20"/>
              </w:rPr>
              <w:t>Bečej</w:t>
            </w:r>
            <w:proofErr w:type="spellEnd"/>
          </w:p>
        </w:tc>
      </w:tr>
      <w:tr w:rsidR="00E23D0D" w:rsidRPr="00F07779" w14:paraId="3EB68901" w14:textId="77777777" w:rsidTr="00615D2C">
        <w:trPr>
          <w:trHeight w:val="510"/>
        </w:trPr>
        <w:tc>
          <w:tcPr>
            <w:tcW w:w="3057" w:type="dxa"/>
            <w:hideMark/>
          </w:tcPr>
          <w:p w14:paraId="5ADF829E" w14:textId="77777777" w:rsidR="00E23D0D" w:rsidRPr="00F07779" w:rsidRDefault="00E23D0D" w:rsidP="00615D2C">
            <w:pPr>
              <w:rPr>
                <w:color w:val="000000"/>
                <w:sz w:val="20"/>
                <w:szCs w:val="20"/>
              </w:rPr>
            </w:pPr>
            <w:r w:rsidRPr="00F07779">
              <w:rPr>
                <w:sz w:val="20"/>
                <w:szCs w:val="20"/>
              </w:rPr>
              <w:t>Institutions responsible for monitoring implementation and reporting on realization</w:t>
            </w:r>
          </w:p>
        </w:tc>
        <w:tc>
          <w:tcPr>
            <w:tcW w:w="5658" w:type="dxa"/>
            <w:vAlign w:val="center"/>
            <w:hideMark/>
          </w:tcPr>
          <w:p w14:paraId="4BA2C6EE" w14:textId="77777777" w:rsidR="00E23D0D" w:rsidRPr="00F07779" w:rsidRDefault="00E23D0D" w:rsidP="00615D2C">
            <w:pPr>
              <w:rPr>
                <w:color w:val="000000"/>
                <w:sz w:val="20"/>
                <w:szCs w:val="20"/>
              </w:rPr>
            </w:pPr>
            <w:r w:rsidRPr="00F07779">
              <w:rPr>
                <w:color w:val="000000"/>
                <w:sz w:val="20"/>
                <w:szCs w:val="20"/>
              </w:rPr>
              <w:t>Ministry of Mining and Energy</w:t>
            </w:r>
          </w:p>
        </w:tc>
      </w:tr>
      <w:tr w:rsidR="00E23D0D" w:rsidRPr="00F07779" w14:paraId="51D38C8B" w14:textId="77777777" w:rsidTr="00615D2C">
        <w:trPr>
          <w:trHeight w:val="315"/>
        </w:trPr>
        <w:tc>
          <w:tcPr>
            <w:tcW w:w="3057" w:type="dxa"/>
            <w:hideMark/>
          </w:tcPr>
          <w:p w14:paraId="7BB2BE75" w14:textId="77777777" w:rsidR="00E23D0D" w:rsidRPr="00F07779" w:rsidRDefault="00E23D0D" w:rsidP="00615D2C">
            <w:pPr>
              <w:rPr>
                <w:color w:val="000000"/>
                <w:sz w:val="20"/>
                <w:szCs w:val="20"/>
              </w:rPr>
            </w:pPr>
            <w:r w:rsidRPr="00F07779">
              <w:rPr>
                <w:sz w:val="20"/>
                <w:szCs w:val="20"/>
              </w:rPr>
              <w:t>Deadline for implementation</w:t>
            </w:r>
          </w:p>
        </w:tc>
        <w:tc>
          <w:tcPr>
            <w:tcW w:w="5658" w:type="dxa"/>
            <w:vAlign w:val="center"/>
            <w:hideMark/>
          </w:tcPr>
          <w:p w14:paraId="13417934" w14:textId="77777777" w:rsidR="00E23D0D" w:rsidRPr="00F07779" w:rsidRDefault="00E23D0D" w:rsidP="00615D2C">
            <w:pPr>
              <w:rPr>
                <w:color w:val="000000"/>
                <w:sz w:val="20"/>
                <w:szCs w:val="20"/>
              </w:rPr>
            </w:pPr>
            <w:r w:rsidRPr="00F07779">
              <w:rPr>
                <w:color w:val="000000"/>
                <w:sz w:val="20"/>
                <w:szCs w:val="20"/>
              </w:rPr>
              <w:t xml:space="preserve">2027. </w:t>
            </w:r>
          </w:p>
        </w:tc>
      </w:tr>
      <w:tr w:rsidR="00E23D0D" w:rsidRPr="00F07779" w14:paraId="34F29BAB" w14:textId="77777777" w:rsidTr="00615D2C">
        <w:trPr>
          <w:trHeight w:val="640"/>
        </w:trPr>
        <w:tc>
          <w:tcPr>
            <w:tcW w:w="3057" w:type="dxa"/>
            <w:hideMark/>
          </w:tcPr>
          <w:p w14:paraId="3BC3835E" w14:textId="77777777" w:rsidR="00E23D0D" w:rsidRPr="00F07779" w:rsidRDefault="00E23D0D" w:rsidP="00615D2C">
            <w:pPr>
              <w:rPr>
                <w:color w:val="000000"/>
                <w:sz w:val="20"/>
                <w:szCs w:val="20"/>
              </w:rPr>
            </w:pPr>
            <w:r w:rsidRPr="00F07779">
              <w:rPr>
                <w:sz w:val="20"/>
                <w:szCs w:val="20"/>
              </w:rPr>
              <w:t>Required funds and source of financing</w:t>
            </w:r>
          </w:p>
        </w:tc>
        <w:tc>
          <w:tcPr>
            <w:tcW w:w="5658" w:type="dxa"/>
            <w:vAlign w:val="center"/>
            <w:hideMark/>
          </w:tcPr>
          <w:p w14:paraId="569382F1" w14:textId="77777777" w:rsidR="00E23D0D" w:rsidRPr="00F07779" w:rsidRDefault="00E23D0D" w:rsidP="00615D2C">
            <w:pPr>
              <w:rPr>
                <w:color w:val="000000"/>
                <w:sz w:val="20"/>
                <w:szCs w:val="20"/>
              </w:rPr>
            </w:pPr>
            <w:r w:rsidRPr="00F07779">
              <w:rPr>
                <w:color w:val="000000"/>
                <w:sz w:val="20"/>
                <w:szCs w:val="20"/>
              </w:rPr>
              <w:t>EUR 0.44 million</w:t>
            </w:r>
          </w:p>
          <w:p w14:paraId="74133090" w14:textId="77777777" w:rsidR="00E23D0D" w:rsidRPr="00F07779" w:rsidRDefault="00E23D0D" w:rsidP="00615D2C">
            <w:pPr>
              <w:rPr>
                <w:color w:val="000000"/>
                <w:sz w:val="20"/>
                <w:szCs w:val="20"/>
              </w:rPr>
            </w:pPr>
            <w:r w:rsidRPr="00F07779">
              <w:rPr>
                <w:color w:val="000000"/>
                <w:sz w:val="20"/>
                <w:szCs w:val="20"/>
              </w:rPr>
              <w:t>EBRD loan, approximately 20% grant</w:t>
            </w:r>
          </w:p>
          <w:p w14:paraId="1F3AFC6D" w14:textId="77777777" w:rsidR="00E23D0D" w:rsidRPr="00F07779" w:rsidRDefault="00E23D0D" w:rsidP="00615D2C">
            <w:pPr>
              <w:rPr>
                <w:color w:val="000000"/>
                <w:sz w:val="20"/>
                <w:szCs w:val="20"/>
              </w:rPr>
            </w:pPr>
            <w:r w:rsidRPr="00F07779">
              <w:rPr>
                <w:color w:val="000000"/>
                <w:sz w:val="20"/>
                <w:szCs w:val="20"/>
              </w:rPr>
              <w:lastRenderedPageBreak/>
              <w:t>The implementation dynamics and the plan for withdrawing funds will be defined later</w:t>
            </w:r>
          </w:p>
        </w:tc>
      </w:tr>
      <w:tr w:rsidR="00E23D0D" w:rsidRPr="00F07779" w14:paraId="2F84B0AF" w14:textId="77777777" w:rsidTr="00615D2C">
        <w:trPr>
          <w:trHeight w:val="518"/>
        </w:trPr>
        <w:tc>
          <w:tcPr>
            <w:tcW w:w="3057" w:type="dxa"/>
            <w:hideMark/>
          </w:tcPr>
          <w:p w14:paraId="5A4AC031" w14:textId="77777777" w:rsidR="00E23D0D" w:rsidRPr="00F07779" w:rsidRDefault="00E23D0D" w:rsidP="00615D2C">
            <w:pPr>
              <w:rPr>
                <w:color w:val="000000"/>
                <w:sz w:val="20"/>
                <w:szCs w:val="20"/>
              </w:rPr>
            </w:pPr>
            <w:r w:rsidRPr="00F07779">
              <w:rPr>
                <w:sz w:val="20"/>
                <w:szCs w:val="20"/>
              </w:rPr>
              <w:lastRenderedPageBreak/>
              <w:t>Impact of the activity on the achievement of the objective</w:t>
            </w:r>
          </w:p>
        </w:tc>
        <w:tc>
          <w:tcPr>
            <w:tcW w:w="5658" w:type="dxa"/>
            <w:vAlign w:val="center"/>
            <w:hideMark/>
          </w:tcPr>
          <w:p w14:paraId="00BC062D" w14:textId="77777777" w:rsidR="00E23D0D" w:rsidRPr="00F07779" w:rsidRDefault="00E23D0D" w:rsidP="00615D2C">
            <w:pPr>
              <w:rPr>
                <w:color w:val="000000"/>
                <w:sz w:val="20"/>
                <w:szCs w:val="20"/>
              </w:rPr>
            </w:pPr>
            <w:r w:rsidRPr="00F07779">
              <w:rPr>
                <w:color w:val="000000"/>
                <w:sz w:val="20"/>
                <w:szCs w:val="20"/>
              </w:rPr>
              <w:t>Increasing energy efficiency in heat transfer</w:t>
            </w:r>
          </w:p>
          <w:p w14:paraId="48458ED1" w14:textId="77777777" w:rsidR="00E23D0D" w:rsidRPr="00F07779" w:rsidRDefault="00E23D0D" w:rsidP="00615D2C">
            <w:pPr>
              <w:rPr>
                <w:color w:val="000000"/>
                <w:sz w:val="20"/>
                <w:szCs w:val="20"/>
              </w:rPr>
            </w:pPr>
            <w:r w:rsidRPr="00F07779">
              <w:rPr>
                <w:color w:val="000000"/>
                <w:sz w:val="20"/>
                <w:szCs w:val="20"/>
              </w:rPr>
              <w:t>Reducing heat energy use by 6.2%</w:t>
            </w:r>
          </w:p>
        </w:tc>
      </w:tr>
      <w:tr w:rsidR="00E23D0D" w:rsidRPr="00F07779" w14:paraId="57CFFF78" w14:textId="77777777" w:rsidTr="00615D2C">
        <w:trPr>
          <w:trHeight w:val="315"/>
        </w:trPr>
        <w:tc>
          <w:tcPr>
            <w:tcW w:w="3057" w:type="dxa"/>
            <w:hideMark/>
          </w:tcPr>
          <w:p w14:paraId="107AF6D4" w14:textId="77777777" w:rsidR="00E23D0D" w:rsidRPr="00F07779" w:rsidRDefault="00E23D0D" w:rsidP="00615D2C">
            <w:pPr>
              <w:rPr>
                <w:color w:val="000000"/>
                <w:sz w:val="20"/>
                <w:szCs w:val="20"/>
              </w:rPr>
            </w:pPr>
            <w:r w:rsidRPr="00F07779">
              <w:rPr>
                <w:sz w:val="20"/>
                <w:szCs w:val="20"/>
              </w:rPr>
              <w:t>Impact on EE, climate, and environmental protection</w:t>
            </w:r>
          </w:p>
        </w:tc>
        <w:tc>
          <w:tcPr>
            <w:tcW w:w="5658" w:type="dxa"/>
            <w:vAlign w:val="center"/>
            <w:hideMark/>
          </w:tcPr>
          <w:p w14:paraId="585BE0E8" w14:textId="77777777" w:rsidR="00E23D0D" w:rsidRPr="00F07779" w:rsidRDefault="00E23D0D" w:rsidP="00615D2C">
            <w:pPr>
              <w:rPr>
                <w:color w:val="000000"/>
                <w:sz w:val="20"/>
                <w:szCs w:val="20"/>
              </w:rPr>
            </w:pPr>
            <w:r w:rsidRPr="00F07779">
              <w:rPr>
                <w:color w:val="000000"/>
                <w:sz w:val="20"/>
                <w:szCs w:val="20"/>
              </w:rPr>
              <w:t>Reduction in emissions by 194,17 t CO</w:t>
            </w:r>
            <w:r w:rsidRPr="00F07779">
              <w:rPr>
                <w:color w:val="000000"/>
                <w:sz w:val="20"/>
                <w:szCs w:val="20"/>
                <w:vertAlign w:val="subscript"/>
              </w:rPr>
              <w:t>2</w:t>
            </w:r>
            <w:r w:rsidRPr="00F07779">
              <w:rPr>
                <w:color w:val="000000"/>
                <w:sz w:val="20"/>
                <w:szCs w:val="20"/>
              </w:rPr>
              <w:t>eqv/year</w:t>
            </w:r>
          </w:p>
        </w:tc>
      </w:tr>
    </w:tbl>
    <w:p w14:paraId="61887A9B" w14:textId="77777777" w:rsidR="00E23D0D" w:rsidRPr="00F07779" w:rsidRDefault="00E23D0D" w:rsidP="00E23D0D"/>
    <w:p w14:paraId="4BD4683F" w14:textId="77777777" w:rsidR="00E23D0D" w:rsidRPr="00F07779" w:rsidRDefault="00E23D0D" w:rsidP="00E23D0D">
      <w:r w:rsidRPr="00F07779">
        <w:t>Table 5.2.3-8: Activities for implementing the measure Т1 –Т1.8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7"/>
        <w:gridCol w:w="5658"/>
      </w:tblGrid>
      <w:tr w:rsidR="00E23D0D" w:rsidRPr="00F07779" w14:paraId="16CBB006" w14:textId="77777777" w:rsidTr="00615D2C">
        <w:trPr>
          <w:trHeight w:val="374"/>
        </w:trPr>
        <w:tc>
          <w:tcPr>
            <w:tcW w:w="3057" w:type="dxa"/>
            <w:shd w:val="clear" w:color="000000" w:fill="D9D9D9"/>
            <w:vAlign w:val="center"/>
            <w:hideMark/>
          </w:tcPr>
          <w:p w14:paraId="2EB00DDB" w14:textId="77777777" w:rsidR="00E23D0D" w:rsidRPr="00F07779" w:rsidRDefault="00E23D0D" w:rsidP="00615D2C">
            <w:pPr>
              <w:rPr>
                <w:color w:val="000000"/>
                <w:sz w:val="20"/>
                <w:szCs w:val="20"/>
              </w:rPr>
            </w:pPr>
            <w:r w:rsidRPr="00F07779">
              <w:rPr>
                <w:color w:val="000000"/>
                <w:sz w:val="20"/>
                <w:szCs w:val="20"/>
              </w:rPr>
              <w:t>Activity Т1.8</w:t>
            </w:r>
          </w:p>
        </w:tc>
        <w:tc>
          <w:tcPr>
            <w:tcW w:w="5658" w:type="dxa"/>
            <w:shd w:val="clear" w:color="000000" w:fill="D9D9D9"/>
            <w:vAlign w:val="center"/>
            <w:hideMark/>
          </w:tcPr>
          <w:p w14:paraId="331063A6" w14:textId="77777777" w:rsidR="00E23D0D" w:rsidRPr="00F07779" w:rsidRDefault="00E23D0D" w:rsidP="00615D2C">
            <w:pPr>
              <w:rPr>
                <w:color w:val="000000"/>
                <w:sz w:val="20"/>
                <w:szCs w:val="20"/>
              </w:rPr>
            </w:pPr>
            <w:r w:rsidRPr="00F07779">
              <w:rPr>
                <w:color w:val="000000"/>
                <w:sz w:val="20"/>
                <w:szCs w:val="20"/>
              </w:rPr>
              <w:t xml:space="preserve">Reconstruction of heat substation in </w:t>
            </w:r>
            <w:proofErr w:type="spellStart"/>
            <w:r w:rsidRPr="00F07779">
              <w:rPr>
                <w:color w:val="000000"/>
                <w:sz w:val="20"/>
                <w:szCs w:val="20"/>
              </w:rPr>
              <w:t>Kruševac</w:t>
            </w:r>
            <w:proofErr w:type="spellEnd"/>
          </w:p>
        </w:tc>
      </w:tr>
      <w:tr w:rsidR="00E23D0D" w:rsidRPr="00F07779" w14:paraId="7692E647" w14:textId="77777777" w:rsidTr="00615D2C">
        <w:trPr>
          <w:trHeight w:val="315"/>
        </w:trPr>
        <w:tc>
          <w:tcPr>
            <w:tcW w:w="3057" w:type="dxa"/>
            <w:hideMark/>
          </w:tcPr>
          <w:p w14:paraId="1F2C8C0E" w14:textId="77777777" w:rsidR="00E23D0D" w:rsidRPr="00F07779" w:rsidRDefault="00E23D0D" w:rsidP="00615D2C">
            <w:pPr>
              <w:rPr>
                <w:color w:val="000000"/>
                <w:sz w:val="20"/>
                <w:szCs w:val="20"/>
              </w:rPr>
            </w:pPr>
            <w:r w:rsidRPr="00F07779">
              <w:rPr>
                <w:sz w:val="20"/>
                <w:szCs w:val="20"/>
              </w:rPr>
              <w:t>Description</w:t>
            </w:r>
          </w:p>
        </w:tc>
        <w:tc>
          <w:tcPr>
            <w:tcW w:w="5658" w:type="dxa"/>
            <w:noWrap/>
            <w:vAlign w:val="bottom"/>
            <w:hideMark/>
          </w:tcPr>
          <w:p w14:paraId="0B05BF91" w14:textId="77777777" w:rsidR="00E23D0D" w:rsidRPr="00F07779" w:rsidRDefault="00E23D0D" w:rsidP="00615D2C">
            <w:pPr>
              <w:rPr>
                <w:color w:val="000000"/>
                <w:sz w:val="20"/>
                <w:szCs w:val="20"/>
              </w:rPr>
            </w:pPr>
            <w:r w:rsidRPr="00F07779">
              <w:rPr>
                <w:color w:val="000000"/>
                <w:sz w:val="20"/>
                <w:szCs w:val="20"/>
              </w:rPr>
              <w:t>Automation of 66 heat substation</w:t>
            </w:r>
          </w:p>
        </w:tc>
      </w:tr>
      <w:tr w:rsidR="00E23D0D" w:rsidRPr="00F07779" w14:paraId="2DE7DE77" w14:textId="77777777" w:rsidTr="00615D2C">
        <w:trPr>
          <w:trHeight w:val="640"/>
        </w:trPr>
        <w:tc>
          <w:tcPr>
            <w:tcW w:w="3057" w:type="dxa"/>
            <w:hideMark/>
          </w:tcPr>
          <w:p w14:paraId="7C99325E" w14:textId="77777777" w:rsidR="00E23D0D" w:rsidRPr="00F07779" w:rsidRDefault="00E23D0D" w:rsidP="00615D2C">
            <w:pPr>
              <w:rPr>
                <w:color w:val="000000"/>
                <w:sz w:val="20"/>
                <w:szCs w:val="20"/>
              </w:rPr>
            </w:pPr>
            <w:r w:rsidRPr="00F07779">
              <w:rPr>
                <w:sz w:val="20"/>
                <w:szCs w:val="20"/>
              </w:rPr>
              <w:t>Institutions responsible for the implementation of measures and activities</w:t>
            </w:r>
          </w:p>
        </w:tc>
        <w:tc>
          <w:tcPr>
            <w:tcW w:w="5658" w:type="dxa"/>
            <w:vAlign w:val="center"/>
            <w:hideMark/>
          </w:tcPr>
          <w:p w14:paraId="1C2E34AA" w14:textId="77777777" w:rsidR="00E23D0D" w:rsidRPr="00F07779" w:rsidRDefault="00E23D0D" w:rsidP="00615D2C">
            <w:pPr>
              <w:rPr>
                <w:sz w:val="20"/>
                <w:szCs w:val="20"/>
              </w:rPr>
            </w:pPr>
            <w:r w:rsidRPr="00F07779">
              <w:rPr>
                <w:sz w:val="20"/>
                <w:szCs w:val="20"/>
              </w:rPr>
              <w:t xml:space="preserve">PUC </w:t>
            </w:r>
            <w:proofErr w:type="spellStart"/>
            <w:r w:rsidRPr="00F07779">
              <w:rPr>
                <w:sz w:val="20"/>
                <w:szCs w:val="20"/>
              </w:rPr>
              <w:t>Gradska</w:t>
            </w:r>
            <w:proofErr w:type="spellEnd"/>
            <w:r w:rsidRPr="00F07779">
              <w:rPr>
                <w:sz w:val="20"/>
                <w:szCs w:val="20"/>
              </w:rPr>
              <w:t xml:space="preserve"> </w:t>
            </w:r>
            <w:proofErr w:type="spellStart"/>
            <w:r w:rsidRPr="00F07779">
              <w:rPr>
                <w:sz w:val="20"/>
                <w:szCs w:val="20"/>
              </w:rPr>
              <w:t>toplana</w:t>
            </w:r>
            <w:proofErr w:type="spellEnd"/>
            <w:r w:rsidRPr="00F07779">
              <w:rPr>
                <w:sz w:val="20"/>
                <w:szCs w:val="20"/>
              </w:rPr>
              <w:t xml:space="preserve"> </w:t>
            </w:r>
            <w:proofErr w:type="spellStart"/>
            <w:r w:rsidRPr="00F07779">
              <w:rPr>
                <w:sz w:val="20"/>
                <w:szCs w:val="20"/>
              </w:rPr>
              <w:t>Kruševac</w:t>
            </w:r>
            <w:proofErr w:type="spellEnd"/>
          </w:p>
          <w:p w14:paraId="33A7229E" w14:textId="77777777" w:rsidR="00E23D0D" w:rsidRPr="00F07779" w:rsidRDefault="00E23D0D" w:rsidP="00615D2C">
            <w:pPr>
              <w:rPr>
                <w:sz w:val="20"/>
                <w:szCs w:val="20"/>
              </w:rPr>
            </w:pPr>
            <w:r w:rsidRPr="00F07779">
              <w:rPr>
                <w:color w:val="000000"/>
                <w:sz w:val="20"/>
                <w:szCs w:val="20"/>
              </w:rPr>
              <w:t xml:space="preserve">Competent authority of the City of </w:t>
            </w:r>
            <w:proofErr w:type="spellStart"/>
            <w:r w:rsidRPr="00F07779">
              <w:rPr>
                <w:color w:val="000000"/>
                <w:sz w:val="20"/>
                <w:szCs w:val="20"/>
              </w:rPr>
              <w:t>Kruševac</w:t>
            </w:r>
            <w:proofErr w:type="spellEnd"/>
          </w:p>
        </w:tc>
      </w:tr>
      <w:tr w:rsidR="00E23D0D" w:rsidRPr="00F07779" w14:paraId="6AEBB249" w14:textId="77777777" w:rsidTr="00615D2C">
        <w:trPr>
          <w:trHeight w:val="510"/>
        </w:trPr>
        <w:tc>
          <w:tcPr>
            <w:tcW w:w="3057" w:type="dxa"/>
            <w:hideMark/>
          </w:tcPr>
          <w:p w14:paraId="334E579E" w14:textId="77777777" w:rsidR="00E23D0D" w:rsidRPr="00F07779" w:rsidRDefault="00E23D0D" w:rsidP="00615D2C">
            <w:pPr>
              <w:rPr>
                <w:color w:val="000000"/>
                <w:sz w:val="20"/>
                <w:szCs w:val="20"/>
              </w:rPr>
            </w:pPr>
            <w:r w:rsidRPr="00F07779">
              <w:rPr>
                <w:sz w:val="20"/>
                <w:szCs w:val="20"/>
              </w:rPr>
              <w:t>Institutions responsible for monitoring implementation and reporting on realization</w:t>
            </w:r>
          </w:p>
        </w:tc>
        <w:tc>
          <w:tcPr>
            <w:tcW w:w="5658" w:type="dxa"/>
            <w:vAlign w:val="center"/>
            <w:hideMark/>
          </w:tcPr>
          <w:p w14:paraId="5F8420D0" w14:textId="77777777" w:rsidR="00E23D0D" w:rsidRPr="00F07779" w:rsidRDefault="00E23D0D" w:rsidP="00615D2C">
            <w:pPr>
              <w:rPr>
                <w:color w:val="000000"/>
                <w:sz w:val="20"/>
                <w:szCs w:val="20"/>
              </w:rPr>
            </w:pPr>
            <w:r w:rsidRPr="00F07779">
              <w:rPr>
                <w:color w:val="000000"/>
                <w:sz w:val="20"/>
                <w:szCs w:val="20"/>
              </w:rPr>
              <w:t>Ministry of Mining and Energy</w:t>
            </w:r>
          </w:p>
        </w:tc>
      </w:tr>
      <w:tr w:rsidR="00E23D0D" w:rsidRPr="00F07779" w14:paraId="652AD190" w14:textId="77777777" w:rsidTr="00615D2C">
        <w:trPr>
          <w:trHeight w:val="315"/>
        </w:trPr>
        <w:tc>
          <w:tcPr>
            <w:tcW w:w="3057" w:type="dxa"/>
            <w:hideMark/>
          </w:tcPr>
          <w:p w14:paraId="6F239BD8" w14:textId="77777777" w:rsidR="00E23D0D" w:rsidRPr="00F07779" w:rsidRDefault="00E23D0D" w:rsidP="00615D2C">
            <w:pPr>
              <w:rPr>
                <w:color w:val="000000"/>
                <w:sz w:val="20"/>
                <w:szCs w:val="20"/>
              </w:rPr>
            </w:pPr>
            <w:r w:rsidRPr="00F07779">
              <w:rPr>
                <w:sz w:val="20"/>
                <w:szCs w:val="20"/>
              </w:rPr>
              <w:t>Deadline for implementation</w:t>
            </w:r>
          </w:p>
        </w:tc>
        <w:tc>
          <w:tcPr>
            <w:tcW w:w="5658" w:type="dxa"/>
            <w:vAlign w:val="center"/>
            <w:hideMark/>
          </w:tcPr>
          <w:p w14:paraId="441E9AF0" w14:textId="77777777" w:rsidR="00E23D0D" w:rsidRPr="00F07779" w:rsidRDefault="00E23D0D" w:rsidP="00615D2C">
            <w:pPr>
              <w:rPr>
                <w:color w:val="000000"/>
                <w:sz w:val="20"/>
                <w:szCs w:val="20"/>
              </w:rPr>
            </w:pPr>
            <w:r w:rsidRPr="00F07779">
              <w:rPr>
                <w:color w:val="000000"/>
                <w:sz w:val="20"/>
                <w:szCs w:val="20"/>
              </w:rPr>
              <w:t xml:space="preserve">2027. </w:t>
            </w:r>
          </w:p>
        </w:tc>
      </w:tr>
      <w:tr w:rsidR="00E23D0D" w:rsidRPr="00F07779" w14:paraId="206C5A56" w14:textId="77777777" w:rsidTr="00615D2C">
        <w:trPr>
          <w:trHeight w:val="640"/>
        </w:trPr>
        <w:tc>
          <w:tcPr>
            <w:tcW w:w="3057" w:type="dxa"/>
            <w:hideMark/>
          </w:tcPr>
          <w:p w14:paraId="36B65C20" w14:textId="77777777" w:rsidR="00E23D0D" w:rsidRPr="00F07779" w:rsidRDefault="00E23D0D" w:rsidP="00615D2C">
            <w:pPr>
              <w:rPr>
                <w:color w:val="000000"/>
                <w:sz w:val="20"/>
                <w:szCs w:val="20"/>
              </w:rPr>
            </w:pPr>
            <w:r w:rsidRPr="00F07779">
              <w:rPr>
                <w:sz w:val="20"/>
                <w:szCs w:val="20"/>
              </w:rPr>
              <w:t>Required funds and source of financing</w:t>
            </w:r>
          </w:p>
        </w:tc>
        <w:tc>
          <w:tcPr>
            <w:tcW w:w="5658" w:type="dxa"/>
            <w:vAlign w:val="center"/>
            <w:hideMark/>
          </w:tcPr>
          <w:p w14:paraId="0CF91729" w14:textId="77777777" w:rsidR="00E23D0D" w:rsidRPr="00F07779" w:rsidRDefault="00E23D0D" w:rsidP="00615D2C">
            <w:pPr>
              <w:rPr>
                <w:color w:val="000000"/>
                <w:sz w:val="20"/>
                <w:szCs w:val="20"/>
              </w:rPr>
            </w:pPr>
            <w:r w:rsidRPr="00F07779">
              <w:rPr>
                <w:color w:val="000000"/>
                <w:sz w:val="20"/>
                <w:szCs w:val="20"/>
              </w:rPr>
              <w:t>EUR 0.68 million</w:t>
            </w:r>
          </w:p>
          <w:p w14:paraId="4AFA4A13" w14:textId="77777777" w:rsidR="00E23D0D" w:rsidRPr="00F07779" w:rsidRDefault="00E23D0D" w:rsidP="00615D2C">
            <w:pPr>
              <w:rPr>
                <w:color w:val="000000"/>
                <w:sz w:val="20"/>
                <w:szCs w:val="20"/>
              </w:rPr>
            </w:pPr>
            <w:r w:rsidRPr="00F07779">
              <w:rPr>
                <w:color w:val="000000"/>
                <w:sz w:val="20"/>
                <w:szCs w:val="20"/>
              </w:rPr>
              <w:t>EBRD loan, approximately 20% grant</w:t>
            </w:r>
          </w:p>
          <w:p w14:paraId="7EF88DFF" w14:textId="77777777" w:rsidR="00E23D0D" w:rsidRPr="00F07779" w:rsidRDefault="00E23D0D" w:rsidP="00615D2C">
            <w:pPr>
              <w:rPr>
                <w:color w:val="000000"/>
                <w:sz w:val="20"/>
                <w:szCs w:val="20"/>
              </w:rPr>
            </w:pPr>
            <w:r w:rsidRPr="00F07779">
              <w:rPr>
                <w:color w:val="000000"/>
                <w:sz w:val="20"/>
                <w:szCs w:val="20"/>
              </w:rPr>
              <w:t>The implementation dynamics and the plan for withdrawing funds will be defined later</w:t>
            </w:r>
          </w:p>
        </w:tc>
      </w:tr>
      <w:tr w:rsidR="00E23D0D" w:rsidRPr="00F07779" w14:paraId="59E9AB52" w14:textId="77777777" w:rsidTr="008B4484">
        <w:trPr>
          <w:trHeight w:val="480"/>
        </w:trPr>
        <w:tc>
          <w:tcPr>
            <w:tcW w:w="3057" w:type="dxa"/>
            <w:hideMark/>
          </w:tcPr>
          <w:p w14:paraId="77D261E4" w14:textId="77777777" w:rsidR="00E23D0D" w:rsidRPr="00F07779" w:rsidRDefault="00E23D0D" w:rsidP="00615D2C">
            <w:pPr>
              <w:rPr>
                <w:color w:val="000000"/>
                <w:sz w:val="20"/>
                <w:szCs w:val="20"/>
              </w:rPr>
            </w:pPr>
            <w:r w:rsidRPr="00F07779">
              <w:rPr>
                <w:sz w:val="20"/>
                <w:szCs w:val="20"/>
              </w:rPr>
              <w:t>Impact of the activity on the achievement of the objective</w:t>
            </w:r>
          </w:p>
        </w:tc>
        <w:tc>
          <w:tcPr>
            <w:tcW w:w="5658" w:type="dxa"/>
            <w:vAlign w:val="center"/>
            <w:hideMark/>
          </w:tcPr>
          <w:p w14:paraId="5D026110" w14:textId="77777777" w:rsidR="00E23D0D" w:rsidRPr="00F07779" w:rsidRDefault="00E23D0D" w:rsidP="00615D2C">
            <w:pPr>
              <w:rPr>
                <w:color w:val="000000"/>
                <w:sz w:val="20"/>
                <w:szCs w:val="20"/>
              </w:rPr>
            </w:pPr>
            <w:r w:rsidRPr="00F07779">
              <w:rPr>
                <w:color w:val="000000"/>
                <w:sz w:val="20"/>
                <w:szCs w:val="20"/>
              </w:rPr>
              <w:t>Increasing energy efficiency in heat transfer</w:t>
            </w:r>
          </w:p>
          <w:p w14:paraId="3F52789B" w14:textId="77777777" w:rsidR="00E23D0D" w:rsidRPr="00F07779" w:rsidRDefault="00E23D0D" w:rsidP="00615D2C">
            <w:pPr>
              <w:rPr>
                <w:color w:val="000000"/>
                <w:sz w:val="20"/>
                <w:szCs w:val="20"/>
              </w:rPr>
            </w:pPr>
            <w:r w:rsidRPr="00F07779">
              <w:rPr>
                <w:color w:val="000000"/>
                <w:sz w:val="20"/>
                <w:szCs w:val="20"/>
              </w:rPr>
              <w:t>Reducing heat energy use by 5%</w:t>
            </w:r>
          </w:p>
        </w:tc>
      </w:tr>
      <w:tr w:rsidR="00E23D0D" w:rsidRPr="00F07779" w14:paraId="2D45D61D" w14:textId="77777777" w:rsidTr="00615D2C">
        <w:trPr>
          <w:trHeight w:val="315"/>
        </w:trPr>
        <w:tc>
          <w:tcPr>
            <w:tcW w:w="3057" w:type="dxa"/>
            <w:hideMark/>
          </w:tcPr>
          <w:p w14:paraId="745E60E5" w14:textId="77777777" w:rsidR="00E23D0D" w:rsidRPr="00F07779" w:rsidRDefault="00E23D0D" w:rsidP="00615D2C">
            <w:pPr>
              <w:rPr>
                <w:color w:val="000000"/>
                <w:sz w:val="20"/>
                <w:szCs w:val="20"/>
              </w:rPr>
            </w:pPr>
            <w:r w:rsidRPr="00F07779">
              <w:rPr>
                <w:sz w:val="20"/>
                <w:szCs w:val="20"/>
              </w:rPr>
              <w:t>Impact on EE, climate, and environmental protection</w:t>
            </w:r>
          </w:p>
        </w:tc>
        <w:tc>
          <w:tcPr>
            <w:tcW w:w="5658" w:type="dxa"/>
            <w:vAlign w:val="center"/>
            <w:hideMark/>
          </w:tcPr>
          <w:p w14:paraId="63B837E9" w14:textId="77777777" w:rsidR="00E23D0D" w:rsidRPr="00F07779" w:rsidRDefault="00E23D0D" w:rsidP="00615D2C">
            <w:pPr>
              <w:rPr>
                <w:color w:val="000000"/>
                <w:sz w:val="20"/>
                <w:szCs w:val="20"/>
              </w:rPr>
            </w:pPr>
            <w:r w:rsidRPr="00F07779">
              <w:rPr>
                <w:color w:val="000000"/>
                <w:sz w:val="20"/>
                <w:szCs w:val="20"/>
              </w:rPr>
              <w:t xml:space="preserve">Reduction in emissions </w:t>
            </w:r>
            <w:proofErr w:type="gramStart"/>
            <w:r w:rsidRPr="00F07779">
              <w:rPr>
                <w:color w:val="000000"/>
                <w:sz w:val="20"/>
                <w:szCs w:val="20"/>
              </w:rPr>
              <w:t>by  3708</w:t>
            </w:r>
            <w:proofErr w:type="gramEnd"/>
            <w:r w:rsidRPr="00F07779">
              <w:rPr>
                <w:color w:val="000000"/>
                <w:sz w:val="20"/>
                <w:szCs w:val="20"/>
              </w:rPr>
              <w:t>,5t CO</w:t>
            </w:r>
            <w:r w:rsidRPr="00F07779">
              <w:rPr>
                <w:color w:val="000000"/>
                <w:sz w:val="20"/>
                <w:szCs w:val="20"/>
                <w:vertAlign w:val="subscript"/>
              </w:rPr>
              <w:t>2</w:t>
            </w:r>
            <w:r w:rsidRPr="00F07779">
              <w:rPr>
                <w:color w:val="000000"/>
                <w:sz w:val="20"/>
                <w:szCs w:val="20"/>
              </w:rPr>
              <w:t>eqv/year</w:t>
            </w:r>
          </w:p>
        </w:tc>
      </w:tr>
    </w:tbl>
    <w:p w14:paraId="17E10478" w14:textId="77777777" w:rsidR="008B4484" w:rsidRPr="00F07779" w:rsidRDefault="008B4484" w:rsidP="00E23D0D"/>
    <w:p w14:paraId="408B5C37" w14:textId="77777777" w:rsidR="00E23D0D" w:rsidRPr="00F07779" w:rsidRDefault="00E23D0D" w:rsidP="00E23D0D">
      <w:r w:rsidRPr="00F07779">
        <w:t>Table 5.2.3-9: Activities for implementing the measure Т1 –Т1.9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7"/>
        <w:gridCol w:w="5658"/>
      </w:tblGrid>
      <w:tr w:rsidR="00E23D0D" w:rsidRPr="00F07779" w14:paraId="78BEA26F" w14:textId="77777777" w:rsidTr="00615D2C">
        <w:trPr>
          <w:trHeight w:val="339"/>
        </w:trPr>
        <w:tc>
          <w:tcPr>
            <w:tcW w:w="3057" w:type="dxa"/>
            <w:shd w:val="clear" w:color="000000" w:fill="D9D9D9"/>
            <w:vAlign w:val="center"/>
            <w:hideMark/>
          </w:tcPr>
          <w:p w14:paraId="3D5D7655" w14:textId="77777777" w:rsidR="00E23D0D" w:rsidRPr="00F07779" w:rsidRDefault="00E23D0D" w:rsidP="00615D2C">
            <w:pPr>
              <w:rPr>
                <w:color w:val="000000"/>
                <w:sz w:val="20"/>
                <w:szCs w:val="20"/>
              </w:rPr>
            </w:pPr>
            <w:r w:rsidRPr="00F07779">
              <w:rPr>
                <w:color w:val="000000"/>
                <w:sz w:val="20"/>
                <w:szCs w:val="20"/>
              </w:rPr>
              <w:t>Activity Т1.9</w:t>
            </w:r>
          </w:p>
        </w:tc>
        <w:tc>
          <w:tcPr>
            <w:tcW w:w="5658" w:type="dxa"/>
            <w:shd w:val="clear" w:color="000000" w:fill="D9D9D9"/>
            <w:vAlign w:val="center"/>
            <w:hideMark/>
          </w:tcPr>
          <w:p w14:paraId="4591783D" w14:textId="77777777" w:rsidR="00E23D0D" w:rsidRPr="00F07779" w:rsidRDefault="00E23D0D" w:rsidP="00615D2C">
            <w:pPr>
              <w:rPr>
                <w:color w:val="000000"/>
                <w:sz w:val="20"/>
                <w:szCs w:val="20"/>
              </w:rPr>
            </w:pPr>
            <w:r w:rsidRPr="00F07779">
              <w:rPr>
                <w:color w:val="000000"/>
                <w:sz w:val="20"/>
                <w:szCs w:val="20"/>
              </w:rPr>
              <w:t>Reconstruction of heat substation in Kragujevac</w:t>
            </w:r>
          </w:p>
        </w:tc>
      </w:tr>
      <w:tr w:rsidR="00E23D0D" w:rsidRPr="00F07779" w14:paraId="5C922B42" w14:textId="77777777" w:rsidTr="00615D2C">
        <w:trPr>
          <w:trHeight w:val="315"/>
        </w:trPr>
        <w:tc>
          <w:tcPr>
            <w:tcW w:w="3057" w:type="dxa"/>
            <w:hideMark/>
          </w:tcPr>
          <w:p w14:paraId="446A7A34" w14:textId="77777777" w:rsidR="00E23D0D" w:rsidRPr="00F07779" w:rsidRDefault="00E23D0D" w:rsidP="00615D2C">
            <w:pPr>
              <w:rPr>
                <w:color w:val="000000"/>
                <w:sz w:val="20"/>
                <w:szCs w:val="20"/>
              </w:rPr>
            </w:pPr>
            <w:r w:rsidRPr="00F07779">
              <w:rPr>
                <w:sz w:val="20"/>
                <w:szCs w:val="20"/>
              </w:rPr>
              <w:t>Description</w:t>
            </w:r>
          </w:p>
        </w:tc>
        <w:tc>
          <w:tcPr>
            <w:tcW w:w="5658" w:type="dxa"/>
            <w:noWrap/>
            <w:vAlign w:val="bottom"/>
            <w:hideMark/>
          </w:tcPr>
          <w:p w14:paraId="43DEFCB9" w14:textId="77777777" w:rsidR="00E23D0D" w:rsidRPr="00F07779" w:rsidRDefault="00E23D0D" w:rsidP="00615D2C">
            <w:pPr>
              <w:rPr>
                <w:color w:val="000000"/>
                <w:sz w:val="20"/>
                <w:szCs w:val="20"/>
              </w:rPr>
            </w:pPr>
            <w:r w:rsidRPr="00F07779">
              <w:rPr>
                <w:color w:val="000000"/>
                <w:sz w:val="20"/>
                <w:szCs w:val="20"/>
              </w:rPr>
              <w:t>Automation of 79 heat substation</w:t>
            </w:r>
          </w:p>
        </w:tc>
      </w:tr>
      <w:tr w:rsidR="00E23D0D" w:rsidRPr="00F07779" w14:paraId="3E069CA5" w14:textId="77777777" w:rsidTr="00615D2C">
        <w:trPr>
          <w:trHeight w:val="640"/>
        </w:trPr>
        <w:tc>
          <w:tcPr>
            <w:tcW w:w="3057" w:type="dxa"/>
            <w:hideMark/>
          </w:tcPr>
          <w:p w14:paraId="6E926BF3" w14:textId="77777777" w:rsidR="00E23D0D" w:rsidRPr="00F07779" w:rsidRDefault="00E23D0D" w:rsidP="00615D2C">
            <w:pPr>
              <w:rPr>
                <w:color w:val="000000"/>
                <w:sz w:val="20"/>
                <w:szCs w:val="20"/>
              </w:rPr>
            </w:pPr>
            <w:r w:rsidRPr="00F07779">
              <w:rPr>
                <w:sz w:val="20"/>
                <w:szCs w:val="20"/>
              </w:rPr>
              <w:t>Institutions responsible for the implementation of measures and activities</w:t>
            </w:r>
          </w:p>
        </w:tc>
        <w:tc>
          <w:tcPr>
            <w:tcW w:w="5658" w:type="dxa"/>
            <w:vAlign w:val="center"/>
            <w:hideMark/>
          </w:tcPr>
          <w:p w14:paraId="0244357A" w14:textId="77777777" w:rsidR="00E23D0D" w:rsidRPr="00F07779" w:rsidRDefault="00E23D0D" w:rsidP="00615D2C">
            <w:pPr>
              <w:rPr>
                <w:sz w:val="20"/>
                <w:szCs w:val="20"/>
              </w:rPr>
            </w:pPr>
            <w:r w:rsidRPr="00F07779">
              <w:rPr>
                <w:sz w:val="20"/>
                <w:szCs w:val="20"/>
              </w:rPr>
              <w:t>Energetika doo Kragujevac</w:t>
            </w:r>
          </w:p>
          <w:p w14:paraId="0DC447E4" w14:textId="77777777" w:rsidR="00E23D0D" w:rsidRPr="00F07779" w:rsidRDefault="00E23D0D" w:rsidP="00615D2C">
            <w:pPr>
              <w:rPr>
                <w:sz w:val="20"/>
                <w:szCs w:val="20"/>
              </w:rPr>
            </w:pPr>
            <w:r w:rsidRPr="00F07779">
              <w:rPr>
                <w:color w:val="000000"/>
                <w:sz w:val="20"/>
                <w:szCs w:val="20"/>
              </w:rPr>
              <w:t>Competent authority of the City of Kragujevac</w:t>
            </w:r>
          </w:p>
        </w:tc>
      </w:tr>
      <w:tr w:rsidR="00E23D0D" w:rsidRPr="00F07779" w14:paraId="04ED844B" w14:textId="77777777" w:rsidTr="00615D2C">
        <w:trPr>
          <w:trHeight w:val="510"/>
        </w:trPr>
        <w:tc>
          <w:tcPr>
            <w:tcW w:w="3057" w:type="dxa"/>
            <w:hideMark/>
          </w:tcPr>
          <w:p w14:paraId="1EB433DF" w14:textId="77777777" w:rsidR="00E23D0D" w:rsidRPr="00F07779" w:rsidRDefault="00E23D0D" w:rsidP="00615D2C">
            <w:pPr>
              <w:rPr>
                <w:color w:val="000000"/>
                <w:sz w:val="20"/>
                <w:szCs w:val="20"/>
              </w:rPr>
            </w:pPr>
            <w:r w:rsidRPr="00F07779">
              <w:rPr>
                <w:sz w:val="20"/>
                <w:szCs w:val="20"/>
              </w:rPr>
              <w:t>Institutions responsible for monitoring implementation and reporting on realization</w:t>
            </w:r>
          </w:p>
        </w:tc>
        <w:tc>
          <w:tcPr>
            <w:tcW w:w="5658" w:type="dxa"/>
            <w:vAlign w:val="center"/>
            <w:hideMark/>
          </w:tcPr>
          <w:p w14:paraId="0236A1E5" w14:textId="77777777" w:rsidR="00E23D0D" w:rsidRPr="00F07779" w:rsidRDefault="00E23D0D" w:rsidP="00615D2C">
            <w:pPr>
              <w:rPr>
                <w:color w:val="000000"/>
                <w:sz w:val="20"/>
                <w:szCs w:val="20"/>
              </w:rPr>
            </w:pPr>
            <w:r w:rsidRPr="00F07779">
              <w:rPr>
                <w:color w:val="000000"/>
                <w:sz w:val="20"/>
                <w:szCs w:val="20"/>
              </w:rPr>
              <w:t>Ministry of Mining and Energy</w:t>
            </w:r>
          </w:p>
        </w:tc>
      </w:tr>
      <w:tr w:rsidR="00E23D0D" w:rsidRPr="00F07779" w14:paraId="56F09D54" w14:textId="77777777" w:rsidTr="00615D2C">
        <w:trPr>
          <w:trHeight w:val="315"/>
        </w:trPr>
        <w:tc>
          <w:tcPr>
            <w:tcW w:w="3057" w:type="dxa"/>
            <w:hideMark/>
          </w:tcPr>
          <w:p w14:paraId="26F8EA45" w14:textId="77777777" w:rsidR="00E23D0D" w:rsidRPr="00F07779" w:rsidRDefault="00E23D0D" w:rsidP="00615D2C">
            <w:pPr>
              <w:rPr>
                <w:color w:val="000000"/>
                <w:sz w:val="20"/>
                <w:szCs w:val="20"/>
              </w:rPr>
            </w:pPr>
            <w:r w:rsidRPr="00F07779">
              <w:rPr>
                <w:sz w:val="20"/>
                <w:szCs w:val="20"/>
              </w:rPr>
              <w:t>Deadline for implementation</w:t>
            </w:r>
          </w:p>
        </w:tc>
        <w:tc>
          <w:tcPr>
            <w:tcW w:w="5658" w:type="dxa"/>
            <w:vAlign w:val="center"/>
            <w:hideMark/>
          </w:tcPr>
          <w:p w14:paraId="36402C4F" w14:textId="77777777" w:rsidR="00E23D0D" w:rsidRPr="00F07779" w:rsidRDefault="00E23D0D" w:rsidP="00615D2C">
            <w:pPr>
              <w:rPr>
                <w:color w:val="000000"/>
                <w:sz w:val="20"/>
                <w:szCs w:val="20"/>
              </w:rPr>
            </w:pPr>
            <w:r w:rsidRPr="00F07779">
              <w:rPr>
                <w:color w:val="000000"/>
                <w:sz w:val="20"/>
                <w:szCs w:val="20"/>
              </w:rPr>
              <w:t xml:space="preserve">2027. </w:t>
            </w:r>
          </w:p>
        </w:tc>
      </w:tr>
      <w:tr w:rsidR="00E23D0D" w:rsidRPr="00F07779" w14:paraId="7F95FAC0" w14:textId="77777777" w:rsidTr="00615D2C">
        <w:trPr>
          <w:trHeight w:val="640"/>
        </w:trPr>
        <w:tc>
          <w:tcPr>
            <w:tcW w:w="3057" w:type="dxa"/>
            <w:hideMark/>
          </w:tcPr>
          <w:p w14:paraId="67D0760E" w14:textId="77777777" w:rsidR="00E23D0D" w:rsidRPr="00F07779" w:rsidRDefault="00E23D0D" w:rsidP="00615D2C">
            <w:pPr>
              <w:rPr>
                <w:color w:val="000000"/>
                <w:sz w:val="20"/>
                <w:szCs w:val="20"/>
              </w:rPr>
            </w:pPr>
            <w:r w:rsidRPr="00F07779">
              <w:rPr>
                <w:sz w:val="20"/>
                <w:szCs w:val="20"/>
              </w:rPr>
              <w:t>Required funds and source of financing</w:t>
            </w:r>
          </w:p>
        </w:tc>
        <w:tc>
          <w:tcPr>
            <w:tcW w:w="5658" w:type="dxa"/>
            <w:vAlign w:val="center"/>
            <w:hideMark/>
          </w:tcPr>
          <w:p w14:paraId="434DEF6C" w14:textId="77777777" w:rsidR="00E23D0D" w:rsidRPr="00F07779" w:rsidRDefault="00E23D0D" w:rsidP="00615D2C">
            <w:pPr>
              <w:rPr>
                <w:color w:val="000000"/>
                <w:sz w:val="20"/>
                <w:szCs w:val="20"/>
              </w:rPr>
            </w:pPr>
            <w:r w:rsidRPr="00F07779">
              <w:rPr>
                <w:color w:val="000000"/>
                <w:sz w:val="20"/>
                <w:szCs w:val="20"/>
              </w:rPr>
              <w:t>EUR 1.5 million</w:t>
            </w:r>
          </w:p>
          <w:p w14:paraId="1FE6D123" w14:textId="77777777" w:rsidR="00E23D0D" w:rsidRPr="00F07779" w:rsidRDefault="00E23D0D" w:rsidP="00615D2C">
            <w:pPr>
              <w:rPr>
                <w:color w:val="000000"/>
                <w:sz w:val="20"/>
                <w:szCs w:val="20"/>
              </w:rPr>
            </w:pPr>
            <w:r w:rsidRPr="00F07779">
              <w:rPr>
                <w:color w:val="000000"/>
                <w:sz w:val="20"/>
                <w:szCs w:val="20"/>
              </w:rPr>
              <w:t>EBRD loan, approximately 20% grant</w:t>
            </w:r>
          </w:p>
          <w:p w14:paraId="74F1E974" w14:textId="77777777" w:rsidR="00E23D0D" w:rsidRPr="00F07779" w:rsidRDefault="00E23D0D" w:rsidP="00615D2C">
            <w:pPr>
              <w:rPr>
                <w:color w:val="000000"/>
                <w:sz w:val="20"/>
                <w:szCs w:val="20"/>
              </w:rPr>
            </w:pPr>
            <w:r w:rsidRPr="00F07779">
              <w:rPr>
                <w:color w:val="000000"/>
                <w:sz w:val="20"/>
                <w:szCs w:val="20"/>
              </w:rPr>
              <w:t>The implementation dynamics and the plan for withdrawing funds will be defined later</w:t>
            </w:r>
          </w:p>
        </w:tc>
      </w:tr>
      <w:tr w:rsidR="00E23D0D" w:rsidRPr="00F07779" w14:paraId="15CA19A6" w14:textId="77777777" w:rsidTr="008B4484">
        <w:trPr>
          <w:trHeight w:val="484"/>
        </w:trPr>
        <w:tc>
          <w:tcPr>
            <w:tcW w:w="3057" w:type="dxa"/>
            <w:hideMark/>
          </w:tcPr>
          <w:p w14:paraId="37C1A271" w14:textId="77777777" w:rsidR="00E23D0D" w:rsidRPr="00F07779" w:rsidRDefault="00E23D0D" w:rsidP="008B4484">
            <w:pPr>
              <w:snapToGrid w:val="0"/>
              <w:rPr>
                <w:color w:val="000000"/>
                <w:sz w:val="20"/>
                <w:szCs w:val="20"/>
              </w:rPr>
            </w:pPr>
            <w:r w:rsidRPr="00F07779">
              <w:rPr>
                <w:sz w:val="20"/>
                <w:szCs w:val="20"/>
              </w:rPr>
              <w:t>Impact of the activity on the achievement of the objective</w:t>
            </w:r>
          </w:p>
        </w:tc>
        <w:tc>
          <w:tcPr>
            <w:tcW w:w="5658" w:type="dxa"/>
            <w:vAlign w:val="center"/>
            <w:hideMark/>
          </w:tcPr>
          <w:p w14:paraId="1A81AB49" w14:textId="77777777" w:rsidR="00E23D0D" w:rsidRPr="00F07779" w:rsidRDefault="00E23D0D" w:rsidP="008B4484">
            <w:pPr>
              <w:snapToGrid w:val="0"/>
              <w:rPr>
                <w:color w:val="000000"/>
                <w:sz w:val="20"/>
                <w:szCs w:val="20"/>
              </w:rPr>
            </w:pPr>
            <w:r w:rsidRPr="00F07779">
              <w:rPr>
                <w:color w:val="000000"/>
                <w:sz w:val="20"/>
                <w:szCs w:val="20"/>
              </w:rPr>
              <w:t>Increasing energy efficiency in heat transfer</w:t>
            </w:r>
          </w:p>
          <w:p w14:paraId="7B94C803" w14:textId="77777777" w:rsidR="00E23D0D" w:rsidRPr="00F07779" w:rsidRDefault="00E23D0D" w:rsidP="008B4484">
            <w:pPr>
              <w:snapToGrid w:val="0"/>
              <w:rPr>
                <w:color w:val="000000"/>
                <w:sz w:val="20"/>
                <w:szCs w:val="20"/>
                <w:highlight w:val="green"/>
              </w:rPr>
            </w:pPr>
            <w:r w:rsidRPr="00F07779">
              <w:rPr>
                <w:color w:val="000000"/>
                <w:sz w:val="20"/>
                <w:szCs w:val="20"/>
              </w:rPr>
              <w:t>Reducing heat energy use by 5%</w:t>
            </w:r>
          </w:p>
        </w:tc>
      </w:tr>
      <w:tr w:rsidR="00E23D0D" w:rsidRPr="00F07779" w14:paraId="50FAE17E" w14:textId="77777777" w:rsidTr="00615D2C">
        <w:trPr>
          <w:trHeight w:val="315"/>
        </w:trPr>
        <w:tc>
          <w:tcPr>
            <w:tcW w:w="3057" w:type="dxa"/>
            <w:hideMark/>
          </w:tcPr>
          <w:p w14:paraId="0546A0D8" w14:textId="77777777" w:rsidR="00E23D0D" w:rsidRPr="00F07779" w:rsidRDefault="00E23D0D" w:rsidP="00615D2C">
            <w:pPr>
              <w:rPr>
                <w:color w:val="000000"/>
                <w:sz w:val="20"/>
                <w:szCs w:val="20"/>
              </w:rPr>
            </w:pPr>
            <w:r w:rsidRPr="00F07779">
              <w:rPr>
                <w:sz w:val="20"/>
                <w:szCs w:val="20"/>
              </w:rPr>
              <w:t>Impact on EE, climate, and environmental protection</w:t>
            </w:r>
          </w:p>
        </w:tc>
        <w:tc>
          <w:tcPr>
            <w:tcW w:w="5658" w:type="dxa"/>
            <w:vAlign w:val="center"/>
            <w:hideMark/>
          </w:tcPr>
          <w:p w14:paraId="0195200A" w14:textId="5C992F99" w:rsidR="00E23D0D" w:rsidRPr="00F07779" w:rsidRDefault="00E23D0D" w:rsidP="00615D2C">
            <w:pPr>
              <w:rPr>
                <w:color w:val="000000"/>
                <w:sz w:val="20"/>
                <w:szCs w:val="20"/>
                <w:highlight w:val="green"/>
              </w:rPr>
            </w:pPr>
            <w:r w:rsidRPr="00F07779">
              <w:rPr>
                <w:color w:val="000000"/>
                <w:sz w:val="20"/>
                <w:szCs w:val="20"/>
              </w:rPr>
              <w:t>Reduction in emissions by 2569,4 t CO</w:t>
            </w:r>
            <w:r w:rsidRPr="00F07779">
              <w:rPr>
                <w:color w:val="000000"/>
                <w:sz w:val="20"/>
                <w:szCs w:val="20"/>
                <w:vertAlign w:val="subscript"/>
              </w:rPr>
              <w:t>2</w:t>
            </w:r>
            <w:r w:rsidRPr="00F07779">
              <w:rPr>
                <w:color w:val="000000"/>
                <w:sz w:val="20"/>
                <w:szCs w:val="20"/>
              </w:rPr>
              <w:t xml:space="preserve"> </w:t>
            </w:r>
            <w:proofErr w:type="spellStart"/>
            <w:r w:rsidRPr="00F07779">
              <w:rPr>
                <w:color w:val="000000"/>
                <w:sz w:val="20"/>
                <w:szCs w:val="20"/>
              </w:rPr>
              <w:t>eqv</w:t>
            </w:r>
            <w:proofErr w:type="spellEnd"/>
            <w:r w:rsidRPr="00F07779">
              <w:rPr>
                <w:color w:val="000000"/>
                <w:sz w:val="20"/>
                <w:szCs w:val="20"/>
              </w:rPr>
              <w:t>/year</w:t>
            </w:r>
          </w:p>
        </w:tc>
      </w:tr>
    </w:tbl>
    <w:p w14:paraId="43A99204" w14:textId="77777777" w:rsidR="00E23D0D" w:rsidRPr="00F07779" w:rsidRDefault="00E23D0D" w:rsidP="00E23D0D"/>
    <w:p w14:paraId="5B537054" w14:textId="77777777" w:rsidR="00E23D0D" w:rsidRPr="00F07779" w:rsidRDefault="00E23D0D" w:rsidP="00E23D0D">
      <w:r w:rsidRPr="00F07779">
        <w:t>Table 5.2.3-10: Activities for implementing the measure Т1 –Т1.10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47"/>
        <w:gridCol w:w="6168"/>
      </w:tblGrid>
      <w:tr w:rsidR="00E23D0D" w:rsidRPr="00F07779" w14:paraId="66F012FC" w14:textId="77777777" w:rsidTr="008B4484">
        <w:trPr>
          <w:trHeight w:val="330"/>
        </w:trPr>
        <w:tc>
          <w:tcPr>
            <w:tcW w:w="2547" w:type="dxa"/>
            <w:shd w:val="clear" w:color="auto" w:fill="D9D9D9" w:themeFill="background1" w:themeFillShade="D9"/>
            <w:tcMar>
              <w:top w:w="0" w:type="dxa"/>
              <w:left w:w="108" w:type="dxa"/>
              <w:bottom w:w="0" w:type="dxa"/>
              <w:right w:w="108" w:type="dxa"/>
            </w:tcMar>
            <w:vAlign w:val="center"/>
            <w:hideMark/>
          </w:tcPr>
          <w:p w14:paraId="2B092E4B" w14:textId="77777777" w:rsidR="00E23D0D" w:rsidRPr="00F07779" w:rsidRDefault="00E23D0D" w:rsidP="00615D2C">
            <w:pPr>
              <w:rPr>
                <w:bCs/>
                <w:sz w:val="20"/>
                <w:szCs w:val="20"/>
              </w:rPr>
            </w:pPr>
            <w:r w:rsidRPr="00F07779">
              <w:rPr>
                <w:bCs/>
                <w:sz w:val="20"/>
                <w:szCs w:val="20"/>
              </w:rPr>
              <w:t>Activity Т1.13</w:t>
            </w:r>
          </w:p>
        </w:tc>
        <w:tc>
          <w:tcPr>
            <w:tcW w:w="6168" w:type="dxa"/>
            <w:shd w:val="clear" w:color="auto" w:fill="D9D9D9" w:themeFill="background1" w:themeFillShade="D9"/>
            <w:tcMar>
              <w:top w:w="0" w:type="dxa"/>
              <w:left w:w="108" w:type="dxa"/>
              <w:bottom w:w="0" w:type="dxa"/>
              <w:right w:w="108" w:type="dxa"/>
            </w:tcMar>
            <w:vAlign w:val="center"/>
          </w:tcPr>
          <w:p w14:paraId="1A41BCAE" w14:textId="77777777" w:rsidR="00E23D0D" w:rsidRPr="00F07779" w:rsidRDefault="00E23D0D" w:rsidP="00615D2C">
            <w:pPr>
              <w:rPr>
                <w:bCs/>
                <w:sz w:val="20"/>
                <w:szCs w:val="20"/>
              </w:rPr>
            </w:pPr>
            <w:r w:rsidRPr="00F07779">
              <w:rPr>
                <w:bCs/>
                <w:sz w:val="20"/>
                <w:szCs w:val="20"/>
              </w:rPr>
              <w:t>Rehabilitation of district heating systems in Serbia KFW – Phase V</w:t>
            </w:r>
          </w:p>
        </w:tc>
      </w:tr>
      <w:tr w:rsidR="00E23D0D" w:rsidRPr="00F07779" w14:paraId="34DD37B7" w14:textId="77777777" w:rsidTr="008B4484">
        <w:trPr>
          <w:trHeight w:val="330"/>
        </w:trPr>
        <w:tc>
          <w:tcPr>
            <w:tcW w:w="2547" w:type="dxa"/>
            <w:tcMar>
              <w:top w:w="0" w:type="dxa"/>
              <w:left w:w="108" w:type="dxa"/>
              <w:bottom w:w="0" w:type="dxa"/>
              <w:right w:w="108" w:type="dxa"/>
            </w:tcMar>
            <w:hideMark/>
          </w:tcPr>
          <w:p w14:paraId="23153B18" w14:textId="77777777" w:rsidR="00E23D0D" w:rsidRPr="00F07779" w:rsidRDefault="00E23D0D" w:rsidP="00615D2C">
            <w:pPr>
              <w:rPr>
                <w:sz w:val="20"/>
                <w:szCs w:val="20"/>
              </w:rPr>
            </w:pPr>
            <w:r w:rsidRPr="00F07779">
              <w:rPr>
                <w:sz w:val="20"/>
                <w:szCs w:val="20"/>
              </w:rPr>
              <w:t>Description</w:t>
            </w:r>
          </w:p>
        </w:tc>
        <w:tc>
          <w:tcPr>
            <w:tcW w:w="6168" w:type="dxa"/>
            <w:tcMar>
              <w:top w:w="0" w:type="dxa"/>
              <w:left w:w="108" w:type="dxa"/>
              <w:bottom w:w="0" w:type="dxa"/>
              <w:right w:w="108" w:type="dxa"/>
            </w:tcMar>
            <w:vAlign w:val="center"/>
          </w:tcPr>
          <w:p w14:paraId="0088D0A1" w14:textId="3A5EA97F" w:rsidR="00E23D0D" w:rsidRPr="00F07779" w:rsidRDefault="00E23D0D" w:rsidP="00615D2C">
            <w:pPr>
              <w:jc w:val="both"/>
              <w:rPr>
                <w:sz w:val="20"/>
                <w:szCs w:val="20"/>
              </w:rPr>
            </w:pPr>
            <w:r w:rsidRPr="00F07779">
              <w:rPr>
                <w:sz w:val="20"/>
                <w:szCs w:val="20"/>
              </w:rPr>
              <w:t>Rehabilitation and modernization of the SDG include:</w:t>
            </w:r>
          </w:p>
          <w:p w14:paraId="1BB859DA" w14:textId="77777777" w:rsidR="00E23D0D" w:rsidRPr="00F07779" w:rsidRDefault="00E23D0D" w:rsidP="00615D2C">
            <w:pPr>
              <w:jc w:val="both"/>
              <w:rPr>
                <w:sz w:val="20"/>
                <w:szCs w:val="20"/>
              </w:rPr>
            </w:pPr>
            <w:r w:rsidRPr="00F07779">
              <w:rPr>
                <w:sz w:val="20"/>
                <w:szCs w:val="20"/>
              </w:rPr>
              <w:t>- Construction, reconstruction and/or replacement of heat energy production facilities,</w:t>
            </w:r>
          </w:p>
          <w:p w14:paraId="0A5BBDDE" w14:textId="77777777" w:rsidR="00E23D0D" w:rsidRPr="00F07779" w:rsidRDefault="00E23D0D" w:rsidP="00615D2C">
            <w:pPr>
              <w:jc w:val="both"/>
              <w:rPr>
                <w:sz w:val="20"/>
                <w:szCs w:val="20"/>
              </w:rPr>
            </w:pPr>
            <w:r w:rsidRPr="00F07779">
              <w:rPr>
                <w:sz w:val="20"/>
                <w:szCs w:val="20"/>
              </w:rPr>
              <w:t>- replacement and/or expansion of heating pipelines,</w:t>
            </w:r>
          </w:p>
          <w:p w14:paraId="7C8F9911" w14:textId="77777777" w:rsidR="00E23D0D" w:rsidRPr="00F07779" w:rsidRDefault="00E23D0D" w:rsidP="00615D2C">
            <w:pPr>
              <w:jc w:val="both"/>
              <w:rPr>
                <w:sz w:val="20"/>
                <w:szCs w:val="20"/>
              </w:rPr>
            </w:pPr>
            <w:r w:rsidRPr="00F07779">
              <w:rPr>
                <w:sz w:val="20"/>
                <w:szCs w:val="20"/>
              </w:rPr>
              <w:t>- reconstruction, replacement and/or installation of heat substations.</w:t>
            </w:r>
          </w:p>
          <w:p w14:paraId="2BF01833" w14:textId="208BF893" w:rsidR="00E23D0D" w:rsidRPr="00F07779" w:rsidRDefault="00E23D0D" w:rsidP="00615D2C">
            <w:pPr>
              <w:jc w:val="both"/>
              <w:rPr>
                <w:sz w:val="20"/>
                <w:szCs w:val="20"/>
              </w:rPr>
            </w:pPr>
            <w:r w:rsidRPr="00F07779">
              <w:rPr>
                <w:sz w:val="20"/>
                <w:szCs w:val="20"/>
              </w:rPr>
              <w:t xml:space="preserve">The Project </w:t>
            </w:r>
            <w:r w:rsidR="008B4484" w:rsidRPr="00F07779">
              <w:rPr>
                <w:sz w:val="20"/>
                <w:szCs w:val="20"/>
              </w:rPr>
              <w:t>includes</w:t>
            </w:r>
            <w:r w:rsidRPr="00F07779">
              <w:rPr>
                <w:sz w:val="20"/>
                <w:szCs w:val="20"/>
              </w:rPr>
              <w:t xml:space="preserve"> 7 District Heating Plants (from Belgrade, </w:t>
            </w:r>
            <w:proofErr w:type="spellStart"/>
            <w:r w:rsidRPr="00F07779">
              <w:rPr>
                <w:sz w:val="20"/>
                <w:szCs w:val="20"/>
              </w:rPr>
              <w:t>Bor</w:t>
            </w:r>
            <w:proofErr w:type="spellEnd"/>
            <w:r w:rsidRPr="00F07779">
              <w:rPr>
                <w:sz w:val="20"/>
                <w:szCs w:val="20"/>
              </w:rPr>
              <w:t xml:space="preserve">, </w:t>
            </w:r>
            <w:proofErr w:type="spellStart"/>
            <w:r w:rsidRPr="00F07779">
              <w:rPr>
                <w:sz w:val="20"/>
                <w:szCs w:val="20"/>
              </w:rPr>
              <w:t>Jagodina</w:t>
            </w:r>
            <w:proofErr w:type="spellEnd"/>
            <w:r w:rsidRPr="00F07779">
              <w:rPr>
                <w:sz w:val="20"/>
                <w:szCs w:val="20"/>
              </w:rPr>
              <w:t xml:space="preserve">, </w:t>
            </w:r>
            <w:proofErr w:type="spellStart"/>
            <w:r w:rsidRPr="00F07779">
              <w:rPr>
                <w:sz w:val="20"/>
                <w:szCs w:val="20"/>
              </w:rPr>
              <w:t>Leksovac</w:t>
            </w:r>
            <w:proofErr w:type="spellEnd"/>
            <w:r w:rsidRPr="00F07779">
              <w:rPr>
                <w:sz w:val="20"/>
                <w:szCs w:val="20"/>
              </w:rPr>
              <w:t xml:space="preserve">, </w:t>
            </w:r>
            <w:proofErr w:type="spellStart"/>
            <w:r w:rsidRPr="00F07779">
              <w:rPr>
                <w:sz w:val="20"/>
                <w:szCs w:val="20"/>
              </w:rPr>
              <w:t>Negotin</w:t>
            </w:r>
            <w:proofErr w:type="spellEnd"/>
            <w:r w:rsidRPr="00F07779">
              <w:rPr>
                <w:sz w:val="20"/>
                <w:szCs w:val="20"/>
              </w:rPr>
              <w:t xml:space="preserve">, </w:t>
            </w:r>
            <w:proofErr w:type="spellStart"/>
            <w:r w:rsidRPr="00F07779">
              <w:rPr>
                <w:sz w:val="20"/>
                <w:szCs w:val="20"/>
              </w:rPr>
              <w:t>Niš</w:t>
            </w:r>
            <w:proofErr w:type="spellEnd"/>
            <w:r w:rsidRPr="00F07779">
              <w:rPr>
                <w:sz w:val="20"/>
                <w:szCs w:val="20"/>
              </w:rPr>
              <w:t xml:space="preserve"> and Senta) and is implemented through 13 individual investments/contracts, concluded </w:t>
            </w:r>
            <w:proofErr w:type="gramStart"/>
            <w:r w:rsidRPr="00F07779">
              <w:rPr>
                <w:sz w:val="20"/>
                <w:szCs w:val="20"/>
              </w:rPr>
              <w:t>on the basis of</w:t>
            </w:r>
            <w:proofErr w:type="gramEnd"/>
            <w:r w:rsidRPr="00F07779">
              <w:rPr>
                <w:sz w:val="20"/>
                <w:szCs w:val="20"/>
              </w:rPr>
              <w:t xml:space="preserve"> 5 implemented international joint procurements. The goal of the Project </w:t>
            </w:r>
            <w:proofErr w:type="gramStart"/>
            <w:r w:rsidRPr="00F07779">
              <w:rPr>
                <w:sz w:val="20"/>
                <w:szCs w:val="20"/>
              </w:rPr>
              <w:t>is</w:t>
            </w:r>
            <w:proofErr w:type="gramEnd"/>
            <w:r w:rsidRPr="00F07779">
              <w:rPr>
                <w:sz w:val="20"/>
                <w:szCs w:val="20"/>
              </w:rPr>
              <w:t xml:space="preserve"> </w:t>
            </w:r>
            <w:r w:rsidRPr="00F07779">
              <w:rPr>
                <w:sz w:val="20"/>
                <w:szCs w:val="20"/>
              </w:rPr>
              <w:lastRenderedPageBreak/>
              <w:t>efficient and reliable energy supply by District Heating Plants operating according to economic principles. This should contribute to the goal that heat customers and the environment benefit from a sustainable, efficient and reliable energy supply, thereby laying the foundation for Serbia's accession to the EU (in line with the requirements of the Environment Chapter of the EU acquis). Of the 13 individual investments, 8 have been completed and the remaining 5 will be completed by the end of 2025.</w:t>
            </w:r>
          </w:p>
        </w:tc>
      </w:tr>
      <w:tr w:rsidR="00E23D0D" w:rsidRPr="00F07779" w14:paraId="23D05F17" w14:textId="77777777" w:rsidTr="008B4484">
        <w:trPr>
          <w:trHeight w:val="645"/>
        </w:trPr>
        <w:tc>
          <w:tcPr>
            <w:tcW w:w="2547" w:type="dxa"/>
            <w:tcMar>
              <w:top w:w="0" w:type="dxa"/>
              <w:left w:w="108" w:type="dxa"/>
              <w:bottom w:w="0" w:type="dxa"/>
              <w:right w:w="108" w:type="dxa"/>
            </w:tcMar>
            <w:hideMark/>
          </w:tcPr>
          <w:p w14:paraId="25AF437F" w14:textId="77777777" w:rsidR="00E23D0D" w:rsidRPr="00F07779" w:rsidRDefault="00E23D0D" w:rsidP="00615D2C">
            <w:pPr>
              <w:rPr>
                <w:sz w:val="20"/>
                <w:szCs w:val="20"/>
              </w:rPr>
            </w:pPr>
            <w:r w:rsidRPr="00F07779">
              <w:rPr>
                <w:sz w:val="20"/>
                <w:szCs w:val="20"/>
              </w:rPr>
              <w:lastRenderedPageBreak/>
              <w:t>Institutions responsible for the implementation of measures and activities</w:t>
            </w:r>
          </w:p>
        </w:tc>
        <w:tc>
          <w:tcPr>
            <w:tcW w:w="6168" w:type="dxa"/>
            <w:tcMar>
              <w:top w:w="0" w:type="dxa"/>
              <w:left w:w="108" w:type="dxa"/>
              <w:bottom w:w="0" w:type="dxa"/>
              <w:right w:w="108" w:type="dxa"/>
            </w:tcMar>
            <w:vAlign w:val="center"/>
          </w:tcPr>
          <w:p w14:paraId="4FBD14B6" w14:textId="34CBE862" w:rsidR="00E23D0D" w:rsidRPr="00F07779" w:rsidRDefault="00E23D0D" w:rsidP="00615D2C">
            <w:pPr>
              <w:rPr>
                <w:sz w:val="20"/>
                <w:szCs w:val="20"/>
              </w:rPr>
            </w:pPr>
            <w:r w:rsidRPr="00F07779">
              <w:rPr>
                <w:sz w:val="20"/>
                <w:szCs w:val="20"/>
              </w:rPr>
              <w:t>M</w:t>
            </w:r>
            <w:r w:rsidR="008B4484" w:rsidRPr="00F07779">
              <w:rPr>
                <w:sz w:val="20"/>
                <w:szCs w:val="20"/>
              </w:rPr>
              <w:t>o</w:t>
            </w:r>
            <w:r w:rsidRPr="00F07779">
              <w:rPr>
                <w:sz w:val="20"/>
                <w:szCs w:val="20"/>
              </w:rPr>
              <w:t>ME and DHS Project Participants</w:t>
            </w:r>
          </w:p>
        </w:tc>
      </w:tr>
      <w:tr w:rsidR="00E23D0D" w:rsidRPr="00F07779" w14:paraId="5FE53A34" w14:textId="77777777" w:rsidTr="008B4484">
        <w:trPr>
          <w:trHeight w:val="645"/>
        </w:trPr>
        <w:tc>
          <w:tcPr>
            <w:tcW w:w="2547" w:type="dxa"/>
            <w:tcMar>
              <w:top w:w="0" w:type="dxa"/>
              <w:left w:w="108" w:type="dxa"/>
              <w:bottom w:w="0" w:type="dxa"/>
              <w:right w:w="108" w:type="dxa"/>
            </w:tcMar>
            <w:hideMark/>
          </w:tcPr>
          <w:p w14:paraId="0BDCA816" w14:textId="77777777" w:rsidR="00E23D0D" w:rsidRPr="00F07779" w:rsidRDefault="00E23D0D" w:rsidP="00615D2C">
            <w:pPr>
              <w:rPr>
                <w:sz w:val="20"/>
                <w:szCs w:val="20"/>
              </w:rPr>
            </w:pPr>
            <w:r w:rsidRPr="00F07779">
              <w:rPr>
                <w:sz w:val="20"/>
                <w:szCs w:val="20"/>
              </w:rPr>
              <w:t>Institutions responsible for monitoring implementation and reporting on realization</w:t>
            </w:r>
          </w:p>
        </w:tc>
        <w:tc>
          <w:tcPr>
            <w:tcW w:w="6168" w:type="dxa"/>
            <w:tcMar>
              <w:top w:w="0" w:type="dxa"/>
              <w:left w:w="108" w:type="dxa"/>
              <w:bottom w:w="0" w:type="dxa"/>
              <w:right w:w="108" w:type="dxa"/>
            </w:tcMar>
            <w:vAlign w:val="center"/>
          </w:tcPr>
          <w:p w14:paraId="2B290658" w14:textId="0D9ECE4C" w:rsidR="00E23D0D" w:rsidRPr="00F07779" w:rsidRDefault="00E23D0D" w:rsidP="00615D2C">
            <w:pPr>
              <w:rPr>
                <w:sz w:val="20"/>
                <w:szCs w:val="20"/>
              </w:rPr>
            </w:pPr>
            <w:r w:rsidRPr="00F07779">
              <w:rPr>
                <w:sz w:val="20"/>
                <w:szCs w:val="20"/>
              </w:rPr>
              <w:t>M</w:t>
            </w:r>
            <w:r w:rsidR="008B4484" w:rsidRPr="00F07779">
              <w:rPr>
                <w:sz w:val="20"/>
                <w:szCs w:val="20"/>
              </w:rPr>
              <w:t>o</w:t>
            </w:r>
            <w:r w:rsidRPr="00F07779">
              <w:rPr>
                <w:sz w:val="20"/>
                <w:szCs w:val="20"/>
              </w:rPr>
              <w:t>ME and DHS Project Participants</w:t>
            </w:r>
          </w:p>
        </w:tc>
      </w:tr>
      <w:tr w:rsidR="00E23D0D" w:rsidRPr="00F07779" w14:paraId="724D6A89" w14:textId="77777777" w:rsidTr="008B4484">
        <w:trPr>
          <w:trHeight w:val="330"/>
        </w:trPr>
        <w:tc>
          <w:tcPr>
            <w:tcW w:w="2547" w:type="dxa"/>
            <w:tcMar>
              <w:top w:w="0" w:type="dxa"/>
              <w:left w:w="108" w:type="dxa"/>
              <w:bottom w:w="0" w:type="dxa"/>
              <w:right w:w="108" w:type="dxa"/>
            </w:tcMar>
            <w:hideMark/>
          </w:tcPr>
          <w:p w14:paraId="77F6CDBB" w14:textId="77777777" w:rsidR="00E23D0D" w:rsidRPr="00F07779" w:rsidRDefault="00E23D0D" w:rsidP="00615D2C">
            <w:pPr>
              <w:rPr>
                <w:sz w:val="20"/>
                <w:szCs w:val="20"/>
              </w:rPr>
            </w:pPr>
            <w:r w:rsidRPr="00F07779">
              <w:rPr>
                <w:sz w:val="20"/>
                <w:szCs w:val="20"/>
              </w:rPr>
              <w:t>Deadline for implementation</w:t>
            </w:r>
          </w:p>
        </w:tc>
        <w:tc>
          <w:tcPr>
            <w:tcW w:w="6168" w:type="dxa"/>
            <w:tcMar>
              <w:top w:w="0" w:type="dxa"/>
              <w:left w:w="108" w:type="dxa"/>
              <w:bottom w:w="0" w:type="dxa"/>
              <w:right w:w="108" w:type="dxa"/>
            </w:tcMar>
            <w:vAlign w:val="center"/>
          </w:tcPr>
          <w:p w14:paraId="523F6DE7" w14:textId="77777777" w:rsidR="00E23D0D" w:rsidRPr="00F07779" w:rsidRDefault="00E23D0D" w:rsidP="00615D2C">
            <w:pPr>
              <w:rPr>
                <w:sz w:val="20"/>
                <w:szCs w:val="20"/>
              </w:rPr>
            </w:pPr>
            <w:r w:rsidRPr="00F07779">
              <w:rPr>
                <w:sz w:val="20"/>
                <w:szCs w:val="20"/>
              </w:rPr>
              <w:t>Completion of works: 31.12.2025.</w:t>
            </w:r>
          </w:p>
          <w:p w14:paraId="66681134" w14:textId="77777777" w:rsidR="00E23D0D" w:rsidRPr="00F07779" w:rsidRDefault="00E23D0D" w:rsidP="00615D2C">
            <w:pPr>
              <w:rPr>
                <w:sz w:val="20"/>
                <w:szCs w:val="20"/>
              </w:rPr>
            </w:pPr>
            <w:r w:rsidRPr="00F07779">
              <w:rPr>
                <w:sz w:val="20"/>
                <w:szCs w:val="20"/>
              </w:rPr>
              <w:t>Completion of provision of Consulting Services: 30.04.2026.</w:t>
            </w:r>
          </w:p>
          <w:p w14:paraId="4168F35F" w14:textId="77777777" w:rsidR="00E23D0D" w:rsidRPr="00F07779" w:rsidRDefault="00E23D0D" w:rsidP="00615D2C">
            <w:pPr>
              <w:rPr>
                <w:sz w:val="20"/>
                <w:szCs w:val="20"/>
              </w:rPr>
            </w:pPr>
            <w:r w:rsidRPr="00F07779">
              <w:rPr>
                <w:sz w:val="20"/>
                <w:szCs w:val="20"/>
              </w:rPr>
              <w:t>Completion of all activities on the Project: 30.12.2026.</w:t>
            </w:r>
          </w:p>
        </w:tc>
      </w:tr>
      <w:tr w:rsidR="00E23D0D" w:rsidRPr="00F07779" w14:paraId="34EAB6A6" w14:textId="77777777" w:rsidTr="008B4484">
        <w:trPr>
          <w:trHeight w:val="330"/>
        </w:trPr>
        <w:tc>
          <w:tcPr>
            <w:tcW w:w="2547" w:type="dxa"/>
            <w:tcMar>
              <w:top w:w="0" w:type="dxa"/>
              <w:left w:w="108" w:type="dxa"/>
              <w:bottom w:w="0" w:type="dxa"/>
              <w:right w:w="108" w:type="dxa"/>
            </w:tcMar>
            <w:hideMark/>
          </w:tcPr>
          <w:p w14:paraId="1EFD009C" w14:textId="77777777" w:rsidR="00E23D0D" w:rsidRPr="00F07779" w:rsidRDefault="00E23D0D" w:rsidP="00615D2C">
            <w:pPr>
              <w:ind w:right="95"/>
              <w:jc w:val="both"/>
              <w:rPr>
                <w:sz w:val="20"/>
                <w:szCs w:val="20"/>
              </w:rPr>
            </w:pPr>
            <w:r w:rsidRPr="00F07779">
              <w:rPr>
                <w:sz w:val="20"/>
                <w:szCs w:val="20"/>
              </w:rPr>
              <w:t>Required funds and source of financing</w:t>
            </w:r>
          </w:p>
        </w:tc>
        <w:tc>
          <w:tcPr>
            <w:tcW w:w="6168" w:type="dxa"/>
            <w:tcMar>
              <w:top w:w="0" w:type="dxa"/>
              <w:left w:w="108" w:type="dxa"/>
              <w:bottom w:w="0" w:type="dxa"/>
              <w:right w:w="108" w:type="dxa"/>
            </w:tcMar>
            <w:vAlign w:val="center"/>
            <w:hideMark/>
          </w:tcPr>
          <w:p w14:paraId="6B0D174B" w14:textId="77777777" w:rsidR="00E23D0D" w:rsidRPr="00F07779" w:rsidRDefault="00E23D0D" w:rsidP="00615D2C">
            <w:pPr>
              <w:jc w:val="both"/>
              <w:rPr>
                <w:sz w:val="20"/>
                <w:szCs w:val="20"/>
              </w:rPr>
            </w:pPr>
            <w:r w:rsidRPr="00F07779">
              <w:rPr>
                <w:sz w:val="20"/>
                <w:szCs w:val="20"/>
              </w:rPr>
              <w:t>Estimated project value: EUR 32,000,000 (EUR 29,100,000 for technical measures/investments and EUR 2,900,000 for Expert Services)</w:t>
            </w:r>
          </w:p>
          <w:p w14:paraId="7043820B" w14:textId="77777777" w:rsidR="00E23D0D" w:rsidRPr="00F07779" w:rsidRDefault="00E23D0D" w:rsidP="00615D2C">
            <w:pPr>
              <w:jc w:val="both"/>
              <w:rPr>
                <w:sz w:val="20"/>
                <w:szCs w:val="20"/>
              </w:rPr>
            </w:pPr>
            <w:r w:rsidRPr="00F07779">
              <w:rPr>
                <w:sz w:val="20"/>
                <w:szCs w:val="20"/>
              </w:rPr>
              <w:t>Loan/Grant Amount: EUR 30,000,000 KfW Development Loan and EUR 2,000,000 donation from the Government of the Federal Republic of Germany through KfW, Signed Financing Agreements:</w:t>
            </w:r>
          </w:p>
          <w:p w14:paraId="68E0CC1E" w14:textId="77777777" w:rsidR="00E23D0D" w:rsidRPr="00F07779" w:rsidRDefault="00E23D0D" w:rsidP="00615D2C">
            <w:pPr>
              <w:jc w:val="both"/>
              <w:rPr>
                <w:sz w:val="20"/>
                <w:szCs w:val="20"/>
              </w:rPr>
            </w:pPr>
            <w:r w:rsidRPr="00F07779">
              <w:rPr>
                <w:sz w:val="20"/>
                <w:szCs w:val="20"/>
              </w:rPr>
              <w:t xml:space="preserve">- The Loan Agreement between KfW, Frankfurt am </w:t>
            </w:r>
            <w:proofErr w:type="gramStart"/>
            <w:r w:rsidRPr="00F07779">
              <w:rPr>
                <w:sz w:val="20"/>
                <w:szCs w:val="20"/>
              </w:rPr>
              <w:t>Main</w:t>
            </w:r>
            <w:proofErr w:type="gramEnd"/>
            <w:r w:rsidRPr="00F07779">
              <w:rPr>
                <w:sz w:val="20"/>
                <w:szCs w:val="20"/>
              </w:rPr>
              <w:t xml:space="preserve"> and the Republic of Serbia was concluded on December 18, 2019, which was ratified by the National Assembly of the Republic of Serbia by the Law on the Confirmation of the Loan Agreement ("Official Gazette of the Republic of Serbia - International Agreements", No. 6/20).</w:t>
            </w:r>
          </w:p>
          <w:p w14:paraId="130378F0" w14:textId="77777777" w:rsidR="00E23D0D" w:rsidRPr="00F07779" w:rsidRDefault="00E23D0D" w:rsidP="00615D2C">
            <w:pPr>
              <w:jc w:val="both"/>
              <w:rPr>
                <w:sz w:val="20"/>
                <w:szCs w:val="20"/>
              </w:rPr>
            </w:pPr>
            <w:r w:rsidRPr="00F07779">
              <w:rPr>
                <w:sz w:val="20"/>
                <w:szCs w:val="20"/>
              </w:rPr>
              <w:t>- By amendments to the Loan Agreement dated 28 January 2025, the original loan repayment deadline of 30.12.2024 was extended to 31.03.2026, and a portion of the unsecured loan in the amount of EUR 400,000 was allocated to finance Engineering Services provided by the Implementation Consultant in the Extended Period (30.06.2025 – 30.04.2026).</w:t>
            </w:r>
          </w:p>
          <w:p w14:paraId="07434118" w14:textId="77777777" w:rsidR="00E23D0D" w:rsidRPr="00F07779" w:rsidRDefault="00E23D0D" w:rsidP="00615D2C">
            <w:pPr>
              <w:jc w:val="both"/>
              <w:rPr>
                <w:sz w:val="20"/>
                <w:szCs w:val="20"/>
              </w:rPr>
            </w:pPr>
            <w:r w:rsidRPr="00F07779">
              <w:rPr>
                <w:sz w:val="20"/>
                <w:szCs w:val="20"/>
              </w:rPr>
              <w:t>-A grant agreement between KfW, Frankfurt am Main and the Republic of Serbia in the amount of EUR 2,000,000.00 was concluded on 23.04.2020.</w:t>
            </w:r>
          </w:p>
          <w:p w14:paraId="3A24E825" w14:textId="77777777" w:rsidR="00E23D0D" w:rsidRPr="00F07779" w:rsidRDefault="00E23D0D" w:rsidP="00615D2C">
            <w:pPr>
              <w:jc w:val="both"/>
              <w:rPr>
                <w:color w:val="000000"/>
                <w:sz w:val="20"/>
                <w:szCs w:val="20"/>
                <w:shd w:val="clear" w:color="auto" w:fill="00FF00"/>
              </w:rPr>
            </w:pPr>
            <w:r w:rsidRPr="00F07779">
              <w:rPr>
                <w:sz w:val="20"/>
                <w:szCs w:val="20"/>
              </w:rPr>
              <w:t>- Annex to the Donation Agreement dated March 14, 2025, by which the original deadline for payment of the donation (December 30, 2025) was extended to December 30, 2026.</w:t>
            </w:r>
          </w:p>
        </w:tc>
      </w:tr>
      <w:tr w:rsidR="00E23D0D" w:rsidRPr="00F07779" w14:paraId="04BE075B" w14:textId="77777777" w:rsidTr="008B4484">
        <w:trPr>
          <w:trHeight w:val="330"/>
        </w:trPr>
        <w:tc>
          <w:tcPr>
            <w:tcW w:w="2547" w:type="dxa"/>
            <w:tcMar>
              <w:top w:w="0" w:type="dxa"/>
              <w:left w:w="108" w:type="dxa"/>
              <w:bottom w:w="0" w:type="dxa"/>
              <w:right w:w="108" w:type="dxa"/>
            </w:tcMar>
            <w:hideMark/>
          </w:tcPr>
          <w:p w14:paraId="2B6DC4AA" w14:textId="77777777" w:rsidR="00E23D0D" w:rsidRPr="00F07779" w:rsidRDefault="00E23D0D" w:rsidP="00615D2C">
            <w:pPr>
              <w:rPr>
                <w:sz w:val="20"/>
                <w:szCs w:val="20"/>
              </w:rPr>
            </w:pPr>
            <w:r w:rsidRPr="00F07779">
              <w:rPr>
                <w:sz w:val="20"/>
                <w:szCs w:val="20"/>
              </w:rPr>
              <w:t>Impact of the activity on the achievement of the objective</w:t>
            </w:r>
          </w:p>
        </w:tc>
        <w:tc>
          <w:tcPr>
            <w:tcW w:w="6168" w:type="dxa"/>
            <w:tcMar>
              <w:top w:w="0" w:type="dxa"/>
              <w:left w:w="108" w:type="dxa"/>
              <w:bottom w:w="0" w:type="dxa"/>
              <w:right w:w="108" w:type="dxa"/>
            </w:tcMar>
            <w:vAlign w:val="center"/>
            <w:hideMark/>
          </w:tcPr>
          <w:p w14:paraId="2D1E76BD" w14:textId="77777777" w:rsidR="00E23D0D" w:rsidRPr="00F07779" w:rsidRDefault="00E23D0D" w:rsidP="00615D2C">
            <w:pPr>
              <w:rPr>
                <w:sz w:val="20"/>
                <w:szCs w:val="20"/>
              </w:rPr>
            </w:pPr>
            <w:r w:rsidRPr="00F07779">
              <w:rPr>
                <w:sz w:val="20"/>
                <w:szCs w:val="20"/>
              </w:rPr>
              <w:t>This should contribute to the goal of ensuring that heat customers and the environment benefit from a sustainable, efficient and reliable energy supply, thereby laying the foundation for Serbia's accession to the EU (in accordance with the requirements of the Environment Chapter of the EU acquis).</w:t>
            </w:r>
          </w:p>
        </w:tc>
      </w:tr>
      <w:tr w:rsidR="00E23D0D" w:rsidRPr="00F07779" w14:paraId="133AB371" w14:textId="77777777" w:rsidTr="008B4484">
        <w:trPr>
          <w:trHeight w:val="330"/>
        </w:trPr>
        <w:tc>
          <w:tcPr>
            <w:tcW w:w="2547" w:type="dxa"/>
            <w:tcMar>
              <w:top w:w="0" w:type="dxa"/>
              <w:left w:w="108" w:type="dxa"/>
              <w:bottom w:w="0" w:type="dxa"/>
              <w:right w:w="108" w:type="dxa"/>
            </w:tcMar>
            <w:hideMark/>
          </w:tcPr>
          <w:p w14:paraId="092CE79B" w14:textId="77777777" w:rsidR="00E23D0D" w:rsidRPr="00F07779" w:rsidRDefault="00E23D0D" w:rsidP="00615D2C">
            <w:pPr>
              <w:rPr>
                <w:sz w:val="20"/>
                <w:szCs w:val="20"/>
              </w:rPr>
            </w:pPr>
            <w:r w:rsidRPr="00F07779">
              <w:rPr>
                <w:sz w:val="20"/>
                <w:szCs w:val="20"/>
              </w:rPr>
              <w:t>Impact on EE, climate, and environmental protection</w:t>
            </w:r>
          </w:p>
        </w:tc>
        <w:tc>
          <w:tcPr>
            <w:tcW w:w="6168" w:type="dxa"/>
            <w:tcMar>
              <w:top w:w="0" w:type="dxa"/>
              <w:left w:w="108" w:type="dxa"/>
              <w:bottom w:w="0" w:type="dxa"/>
              <w:right w:w="108" w:type="dxa"/>
            </w:tcMar>
            <w:vAlign w:val="center"/>
            <w:hideMark/>
          </w:tcPr>
          <w:p w14:paraId="1ABDEBF8" w14:textId="77777777" w:rsidR="00E23D0D" w:rsidRPr="00F07779" w:rsidRDefault="00E23D0D" w:rsidP="00615D2C">
            <w:pPr>
              <w:rPr>
                <w:sz w:val="20"/>
                <w:szCs w:val="20"/>
              </w:rPr>
            </w:pPr>
            <w:r w:rsidRPr="00F07779">
              <w:rPr>
                <w:sz w:val="20"/>
                <w:szCs w:val="20"/>
              </w:rPr>
              <w:t> The implementation of the Project will achieve:</w:t>
            </w:r>
          </w:p>
          <w:p w14:paraId="03124797" w14:textId="77777777" w:rsidR="00E23D0D" w:rsidRPr="00F07779" w:rsidRDefault="00E23D0D" w:rsidP="00615D2C">
            <w:pPr>
              <w:rPr>
                <w:sz w:val="20"/>
                <w:szCs w:val="20"/>
              </w:rPr>
            </w:pPr>
            <w:r w:rsidRPr="00F07779">
              <w:rPr>
                <w:sz w:val="20"/>
                <w:szCs w:val="20"/>
              </w:rPr>
              <w:t>- reduction of CO2 emissions by 11,700 t/</w:t>
            </w:r>
            <w:proofErr w:type="gramStart"/>
            <w:r w:rsidRPr="00F07779">
              <w:rPr>
                <w:sz w:val="20"/>
                <w:szCs w:val="20"/>
              </w:rPr>
              <w:t>year;</w:t>
            </w:r>
            <w:proofErr w:type="gramEnd"/>
          </w:p>
          <w:p w14:paraId="6F510BB3" w14:textId="77777777" w:rsidR="00E23D0D" w:rsidRPr="00F07779" w:rsidRDefault="00E23D0D" w:rsidP="00615D2C">
            <w:pPr>
              <w:spacing w:after="160" w:line="259" w:lineRule="auto"/>
              <w:contextualSpacing/>
              <w:rPr>
                <w:sz w:val="20"/>
                <w:szCs w:val="20"/>
              </w:rPr>
            </w:pPr>
            <w:r w:rsidRPr="00F07779">
              <w:rPr>
                <w:sz w:val="20"/>
                <w:szCs w:val="20"/>
              </w:rPr>
              <w:t>- increase of the energy efficiency of the system by 4.6%</w:t>
            </w:r>
          </w:p>
        </w:tc>
      </w:tr>
    </w:tbl>
    <w:p w14:paraId="4E029F30" w14:textId="77777777" w:rsidR="00E23D0D" w:rsidRPr="00F07779" w:rsidRDefault="00E23D0D" w:rsidP="00E23D0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7"/>
        <w:gridCol w:w="5658"/>
      </w:tblGrid>
      <w:tr w:rsidR="00E23D0D" w:rsidRPr="00F07779" w14:paraId="37CDC742" w14:textId="77777777" w:rsidTr="00615D2C">
        <w:trPr>
          <w:trHeight w:val="315"/>
        </w:trPr>
        <w:tc>
          <w:tcPr>
            <w:tcW w:w="3057" w:type="dxa"/>
            <w:shd w:val="clear" w:color="auto" w:fill="D9D9D9" w:themeFill="background1" w:themeFillShade="D9"/>
          </w:tcPr>
          <w:p w14:paraId="55A1C390" w14:textId="77777777" w:rsidR="00E23D0D" w:rsidRPr="00F07779" w:rsidRDefault="00E23D0D" w:rsidP="00615D2C">
            <w:pPr>
              <w:rPr>
                <w:b/>
                <w:bCs/>
                <w:color w:val="000000"/>
                <w:sz w:val="20"/>
                <w:szCs w:val="20"/>
              </w:rPr>
            </w:pPr>
            <w:r w:rsidRPr="00F07779">
              <w:rPr>
                <w:b/>
                <w:bCs/>
                <w:color w:val="000000"/>
                <w:sz w:val="20"/>
                <w:szCs w:val="20"/>
              </w:rPr>
              <w:t>Total funds for the measure T1</w:t>
            </w:r>
          </w:p>
        </w:tc>
        <w:tc>
          <w:tcPr>
            <w:tcW w:w="5658" w:type="dxa"/>
            <w:shd w:val="clear" w:color="auto" w:fill="D9D9D9" w:themeFill="background1" w:themeFillShade="D9"/>
          </w:tcPr>
          <w:p w14:paraId="39D83DF6" w14:textId="6743BADF" w:rsidR="00E23D0D" w:rsidRPr="00F07779" w:rsidRDefault="00E23D0D" w:rsidP="00615D2C">
            <w:pPr>
              <w:rPr>
                <w:color w:val="000000"/>
                <w:sz w:val="20"/>
                <w:szCs w:val="20"/>
              </w:rPr>
            </w:pPr>
            <w:r w:rsidRPr="00F07779">
              <w:rPr>
                <w:color w:val="000000"/>
                <w:sz w:val="20"/>
                <w:szCs w:val="20"/>
              </w:rPr>
              <w:t>72</w:t>
            </w:r>
            <w:r w:rsidR="008B4484" w:rsidRPr="00F07779">
              <w:rPr>
                <w:color w:val="000000"/>
                <w:sz w:val="20"/>
                <w:szCs w:val="20"/>
              </w:rPr>
              <w:t>.</w:t>
            </w:r>
            <w:r w:rsidRPr="00F07779">
              <w:rPr>
                <w:color w:val="000000"/>
                <w:sz w:val="20"/>
                <w:szCs w:val="20"/>
              </w:rPr>
              <w:t xml:space="preserve">69 </w:t>
            </w:r>
            <w:r w:rsidR="008B4484" w:rsidRPr="00F07779">
              <w:rPr>
                <w:color w:val="000000"/>
                <w:sz w:val="20"/>
                <w:szCs w:val="20"/>
              </w:rPr>
              <w:t>million</w:t>
            </w:r>
            <w:r w:rsidRPr="00F07779">
              <w:rPr>
                <w:color w:val="000000"/>
                <w:sz w:val="20"/>
                <w:szCs w:val="20"/>
              </w:rPr>
              <w:t xml:space="preserve"> EUR</w:t>
            </w:r>
          </w:p>
        </w:tc>
      </w:tr>
    </w:tbl>
    <w:p w14:paraId="31AE25DF" w14:textId="64F88641" w:rsidR="006739CC" w:rsidRPr="00F07779" w:rsidRDefault="006739CC"/>
    <w:p w14:paraId="3C2ED097" w14:textId="77777777" w:rsidR="008B4484" w:rsidRPr="00F07779" w:rsidRDefault="008B4484" w:rsidP="008B4484">
      <w:r w:rsidRPr="00F07779">
        <w:t>Table 5.2.4-1: Activities for implementing the measure Т2 –Т2.1</w:t>
      </w:r>
    </w:p>
    <w:tbl>
      <w:tblPr>
        <w:tblW w:w="50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1"/>
        <w:gridCol w:w="5739"/>
      </w:tblGrid>
      <w:tr w:rsidR="008B4484" w:rsidRPr="00F07779" w14:paraId="31FC8B31" w14:textId="77777777" w:rsidTr="00615D2C">
        <w:trPr>
          <w:trHeight w:val="399"/>
        </w:trPr>
        <w:tc>
          <w:tcPr>
            <w:tcW w:w="3051" w:type="dxa"/>
            <w:shd w:val="clear" w:color="000000" w:fill="D9D9D9"/>
            <w:hideMark/>
          </w:tcPr>
          <w:p w14:paraId="6B050632" w14:textId="77777777" w:rsidR="008B4484" w:rsidRPr="00F07779" w:rsidRDefault="008B4484" w:rsidP="00615D2C">
            <w:pPr>
              <w:snapToGrid w:val="0"/>
              <w:rPr>
                <w:color w:val="000000"/>
                <w:sz w:val="20"/>
                <w:szCs w:val="20"/>
              </w:rPr>
            </w:pPr>
            <w:r w:rsidRPr="00F07779">
              <w:rPr>
                <w:color w:val="000000"/>
                <w:sz w:val="20"/>
                <w:szCs w:val="20"/>
              </w:rPr>
              <w:t>Activity Т2.1</w:t>
            </w:r>
          </w:p>
        </w:tc>
        <w:tc>
          <w:tcPr>
            <w:tcW w:w="5739" w:type="dxa"/>
            <w:shd w:val="clear" w:color="000000" w:fill="D9D9D9"/>
            <w:hideMark/>
          </w:tcPr>
          <w:p w14:paraId="3ACBA819" w14:textId="77777777" w:rsidR="008B4484" w:rsidRPr="00F07779" w:rsidRDefault="008B4484" w:rsidP="00615D2C">
            <w:pPr>
              <w:snapToGrid w:val="0"/>
              <w:rPr>
                <w:color w:val="000000"/>
                <w:sz w:val="20"/>
                <w:szCs w:val="20"/>
              </w:rPr>
            </w:pPr>
            <w:r w:rsidRPr="00F07779">
              <w:rPr>
                <w:color w:val="000000"/>
                <w:sz w:val="20"/>
                <w:szCs w:val="20"/>
              </w:rPr>
              <w:t xml:space="preserve"> Integration of RES into the DHS of Novi Sad</w:t>
            </w:r>
          </w:p>
        </w:tc>
      </w:tr>
      <w:tr w:rsidR="008B4484" w:rsidRPr="00F07779" w14:paraId="23E5E569" w14:textId="77777777" w:rsidTr="00615D2C">
        <w:trPr>
          <w:trHeight w:val="525"/>
        </w:trPr>
        <w:tc>
          <w:tcPr>
            <w:tcW w:w="3051" w:type="dxa"/>
            <w:hideMark/>
          </w:tcPr>
          <w:p w14:paraId="4074B4E9" w14:textId="77777777" w:rsidR="008B4484" w:rsidRPr="00F07779" w:rsidRDefault="008B4484" w:rsidP="00615D2C">
            <w:pPr>
              <w:snapToGrid w:val="0"/>
              <w:rPr>
                <w:color w:val="000000"/>
                <w:sz w:val="20"/>
                <w:szCs w:val="20"/>
              </w:rPr>
            </w:pPr>
            <w:r w:rsidRPr="00F07779">
              <w:rPr>
                <w:sz w:val="20"/>
                <w:szCs w:val="20"/>
              </w:rPr>
              <w:t>Description</w:t>
            </w:r>
          </w:p>
        </w:tc>
        <w:tc>
          <w:tcPr>
            <w:tcW w:w="5739" w:type="dxa"/>
            <w:hideMark/>
          </w:tcPr>
          <w:p w14:paraId="584D2DE1" w14:textId="6FA358F0" w:rsidR="008B4484" w:rsidRPr="00F07779" w:rsidRDefault="008B4484" w:rsidP="00615D2C">
            <w:pPr>
              <w:snapToGrid w:val="0"/>
              <w:jc w:val="both"/>
              <w:rPr>
                <w:color w:val="000000"/>
                <w:sz w:val="20"/>
                <w:szCs w:val="20"/>
              </w:rPr>
            </w:pPr>
            <w:r w:rsidRPr="00F07779">
              <w:rPr>
                <w:color w:val="000000"/>
                <w:sz w:val="20"/>
                <w:szCs w:val="20"/>
              </w:rPr>
              <w:t>Upgrading the district heating system of Novi Sad through the integration of a solar thermal plant with two seasonal heat storage facilities with a total volume of 869,829 m</w:t>
            </w:r>
            <w:r w:rsidRPr="00F07779">
              <w:rPr>
                <w:color w:val="000000"/>
                <w:sz w:val="20"/>
                <w:szCs w:val="20"/>
                <w:vertAlign w:val="superscript"/>
              </w:rPr>
              <w:t>3</w:t>
            </w:r>
            <w:r w:rsidRPr="00F07779">
              <w:rPr>
                <w:color w:val="000000"/>
                <w:sz w:val="20"/>
                <w:szCs w:val="20"/>
              </w:rPr>
              <w:t xml:space="preserve"> (105 MW), solar collector fields with an area of approximately 38,623 m</w:t>
            </w:r>
            <w:r w:rsidRPr="00F07779">
              <w:rPr>
                <w:color w:val="000000"/>
                <w:sz w:val="20"/>
                <w:szCs w:val="20"/>
                <w:vertAlign w:val="superscript"/>
              </w:rPr>
              <w:t>2</w:t>
            </w:r>
            <w:r w:rsidRPr="00F07779">
              <w:rPr>
                <w:color w:val="000000"/>
                <w:sz w:val="20"/>
                <w:szCs w:val="20"/>
              </w:rPr>
              <w:t xml:space="preserve"> (31 MW), heat pumps with a capacity of 17 MW and two electric boilers with a total capacity of 60 MW.</w:t>
            </w:r>
          </w:p>
        </w:tc>
      </w:tr>
      <w:tr w:rsidR="008B4484" w:rsidRPr="00F07779" w14:paraId="23905124" w14:textId="77777777" w:rsidTr="00615D2C">
        <w:trPr>
          <w:trHeight w:val="690"/>
        </w:trPr>
        <w:tc>
          <w:tcPr>
            <w:tcW w:w="3051" w:type="dxa"/>
            <w:hideMark/>
          </w:tcPr>
          <w:p w14:paraId="459EAA5C" w14:textId="77777777" w:rsidR="008B4484" w:rsidRPr="00F07779" w:rsidRDefault="008B4484" w:rsidP="00615D2C">
            <w:pPr>
              <w:snapToGrid w:val="0"/>
              <w:rPr>
                <w:color w:val="000000"/>
                <w:sz w:val="20"/>
                <w:szCs w:val="20"/>
              </w:rPr>
            </w:pPr>
            <w:r w:rsidRPr="00F07779">
              <w:rPr>
                <w:sz w:val="20"/>
                <w:szCs w:val="20"/>
              </w:rPr>
              <w:t>Institutions responsible for the implementation of measures and activities</w:t>
            </w:r>
          </w:p>
        </w:tc>
        <w:tc>
          <w:tcPr>
            <w:tcW w:w="5739" w:type="dxa"/>
            <w:hideMark/>
          </w:tcPr>
          <w:p w14:paraId="72FA749E" w14:textId="77777777" w:rsidR="008B4484" w:rsidRPr="00F07779" w:rsidRDefault="008B4484" w:rsidP="00615D2C">
            <w:pPr>
              <w:snapToGrid w:val="0"/>
              <w:rPr>
                <w:sz w:val="20"/>
                <w:szCs w:val="20"/>
              </w:rPr>
            </w:pPr>
            <w:r w:rsidRPr="00F07779">
              <w:rPr>
                <w:sz w:val="20"/>
                <w:szCs w:val="20"/>
              </w:rPr>
              <w:t xml:space="preserve">PUC </w:t>
            </w:r>
            <w:proofErr w:type="spellStart"/>
            <w:r w:rsidRPr="00F07779">
              <w:rPr>
                <w:sz w:val="20"/>
                <w:szCs w:val="20"/>
              </w:rPr>
              <w:t>Novosadska</w:t>
            </w:r>
            <w:proofErr w:type="spellEnd"/>
            <w:r w:rsidRPr="00F07779">
              <w:rPr>
                <w:sz w:val="20"/>
                <w:szCs w:val="20"/>
              </w:rPr>
              <w:t xml:space="preserve"> </w:t>
            </w:r>
            <w:proofErr w:type="spellStart"/>
            <w:r w:rsidRPr="00F07779">
              <w:rPr>
                <w:sz w:val="20"/>
                <w:szCs w:val="20"/>
              </w:rPr>
              <w:t>toplana</w:t>
            </w:r>
            <w:proofErr w:type="spellEnd"/>
          </w:p>
          <w:p w14:paraId="0D58D281" w14:textId="77777777" w:rsidR="008B4484" w:rsidRPr="00F07779" w:rsidRDefault="008B4484" w:rsidP="00615D2C">
            <w:pPr>
              <w:snapToGrid w:val="0"/>
              <w:rPr>
                <w:sz w:val="20"/>
                <w:szCs w:val="20"/>
              </w:rPr>
            </w:pPr>
            <w:r w:rsidRPr="00F07779">
              <w:rPr>
                <w:color w:val="000000"/>
                <w:sz w:val="20"/>
                <w:szCs w:val="20"/>
              </w:rPr>
              <w:t>Competent authority of the City of Novi Sad</w:t>
            </w:r>
          </w:p>
        </w:tc>
      </w:tr>
      <w:tr w:rsidR="008B4484" w:rsidRPr="00F07779" w14:paraId="0542CC22" w14:textId="77777777" w:rsidTr="00615D2C">
        <w:trPr>
          <w:trHeight w:val="510"/>
        </w:trPr>
        <w:tc>
          <w:tcPr>
            <w:tcW w:w="3051" w:type="dxa"/>
            <w:hideMark/>
          </w:tcPr>
          <w:p w14:paraId="7285A758" w14:textId="77777777" w:rsidR="008B4484" w:rsidRPr="00F07779" w:rsidRDefault="008B4484" w:rsidP="00615D2C">
            <w:pPr>
              <w:snapToGrid w:val="0"/>
              <w:rPr>
                <w:color w:val="000000"/>
                <w:sz w:val="20"/>
                <w:szCs w:val="20"/>
              </w:rPr>
            </w:pPr>
            <w:r w:rsidRPr="00F07779">
              <w:rPr>
                <w:sz w:val="20"/>
                <w:szCs w:val="20"/>
              </w:rPr>
              <w:lastRenderedPageBreak/>
              <w:t>Institutions responsible for monitoring implementation and reporting on realization</w:t>
            </w:r>
          </w:p>
        </w:tc>
        <w:tc>
          <w:tcPr>
            <w:tcW w:w="5739" w:type="dxa"/>
            <w:hideMark/>
          </w:tcPr>
          <w:p w14:paraId="0C71CFEF" w14:textId="77777777" w:rsidR="008B4484" w:rsidRPr="00F07779" w:rsidRDefault="008B4484" w:rsidP="00615D2C">
            <w:pPr>
              <w:snapToGrid w:val="0"/>
              <w:rPr>
                <w:color w:val="000000"/>
                <w:sz w:val="20"/>
                <w:szCs w:val="20"/>
              </w:rPr>
            </w:pPr>
            <w:r w:rsidRPr="00F07779">
              <w:rPr>
                <w:color w:val="000000"/>
                <w:sz w:val="20"/>
                <w:szCs w:val="20"/>
              </w:rPr>
              <w:t>Ministry of Mining and Energy</w:t>
            </w:r>
          </w:p>
        </w:tc>
      </w:tr>
      <w:tr w:rsidR="008B4484" w:rsidRPr="00F07779" w14:paraId="642099B6" w14:textId="77777777" w:rsidTr="00615D2C">
        <w:trPr>
          <w:trHeight w:val="315"/>
        </w:trPr>
        <w:tc>
          <w:tcPr>
            <w:tcW w:w="3051" w:type="dxa"/>
            <w:hideMark/>
          </w:tcPr>
          <w:p w14:paraId="6E9DF2B0" w14:textId="77777777" w:rsidR="008B4484" w:rsidRPr="00F07779" w:rsidRDefault="008B4484" w:rsidP="00615D2C">
            <w:pPr>
              <w:snapToGrid w:val="0"/>
              <w:rPr>
                <w:color w:val="000000"/>
                <w:sz w:val="20"/>
                <w:szCs w:val="20"/>
              </w:rPr>
            </w:pPr>
            <w:r w:rsidRPr="00F07779">
              <w:rPr>
                <w:sz w:val="20"/>
                <w:szCs w:val="20"/>
              </w:rPr>
              <w:t>Deadline for implementation</w:t>
            </w:r>
          </w:p>
        </w:tc>
        <w:tc>
          <w:tcPr>
            <w:tcW w:w="5739" w:type="dxa"/>
            <w:hideMark/>
          </w:tcPr>
          <w:p w14:paraId="3C744EF0" w14:textId="77777777" w:rsidR="008B4484" w:rsidRPr="00F07779" w:rsidRDefault="008B4484" w:rsidP="00615D2C">
            <w:pPr>
              <w:snapToGrid w:val="0"/>
              <w:rPr>
                <w:rStyle w:val="normaltextrun"/>
                <w:color w:val="000000"/>
                <w:sz w:val="20"/>
                <w:szCs w:val="20"/>
              </w:rPr>
            </w:pPr>
            <w:r w:rsidRPr="00F07779">
              <w:rPr>
                <w:rStyle w:val="normaltextrun"/>
                <w:color w:val="000000"/>
                <w:sz w:val="20"/>
                <w:szCs w:val="20"/>
              </w:rPr>
              <w:t>2030 (including warranty period)</w:t>
            </w:r>
          </w:p>
          <w:p w14:paraId="5505108C" w14:textId="77777777" w:rsidR="008B4484" w:rsidRPr="00F07779" w:rsidRDefault="008B4484" w:rsidP="00615D2C">
            <w:pPr>
              <w:snapToGrid w:val="0"/>
              <w:rPr>
                <w:rStyle w:val="normaltextrun"/>
                <w:color w:val="000000"/>
                <w:sz w:val="20"/>
                <w:szCs w:val="20"/>
              </w:rPr>
            </w:pPr>
            <w:r w:rsidRPr="00F07779">
              <w:rPr>
                <w:rStyle w:val="normaltextrun"/>
                <w:color w:val="000000"/>
                <w:sz w:val="20"/>
                <w:szCs w:val="20"/>
              </w:rPr>
              <w:t>- Equipment procurement and plant construction (2026-2028):</w:t>
            </w:r>
          </w:p>
          <w:p w14:paraId="3E58B003" w14:textId="77777777" w:rsidR="008B4484" w:rsidRPr="00F07779" w:rsidRDefault="008B4484" w:rsidP="00615D2C">
            <w:pPr>
              <w:snapToGrid w:val="0"/>
              <w:rPr>
                <w:rStyle w:val="normaltextrun"/>
                <w:color w:val="000000"/>
                <w:sz w:val="20"/>
                <w:szCs w:val="20"/>
              </w:rPr>
            </w:pPr>
            <w:r w:rsidRPr="00F07779">
              <w:rPr>
                <w:rStyle w:val="normaltextrun"/>
                <w:color w:val="000000"/>
                <w:sz w:val="20"/>
                <w:szCs w:val="20"/>
              </w:rPr>
              <w:t>• Procurement of solar panels, heat pumps, electric water heaters and necessary equipment.</w:t>
            </w:r>
          </w:p>
          <w:p w14:paraId="6B65452B" w14:textId="77777777" w:rsidR="008B4484" w:rsidRPr="00F07779" w:rsidRDefault="008B4484" w:rsidP="00615D2C">
            <w:pPr>
              <w:snapToGrid w:val="0"/>
              <w:rPr>
                <w:rStyle w:val="normaltextrun"/>
                <w:color w:val="000000"/>
                <w:sz w:val="20"/>
                <w:szCs w:val="20"/>
              </w:rPr>
            </w:pPr>
            <w:r w:rsidRPr="00F07779">
              <w:rPr>
                <w:rStyle w:val="normaltextrun"/>
                <w:color w:val="000000"/>
                <w:sz w:val="20"/>
                <w:szCs w:val="20"/>
              </w:rPr>
              <w:t>• Construction of heat storage</w:t>
            </w:r>
          </w:p>
          <w:p w14:paraId="271B79E9" w14:textId="77777777" w:rsidR="008B4484" w:rsidRPr="00F07779" w:rsidRDefault="008B4484" w:rsidP="00615D2C">
            <w:pPr>
              <w:snapToGrid w:val="0"/>
              <w:rPr>
                <w:color w:val="000000"/>
                <w:sz w:val="20"/>
                <w:szCs w:val="20"/>
              </w:rPr>
            </w:pPr>
            <w:r w:rsidRPr="00F07779">
              <w:rPr>
                <w:rStyle w:val="normaltextrun"/>
                <w:color w:val="000000"/>
                <w:sz w:val="20"/>
                <w:szCs w:val="20"/>
              </w:rPr>
              <w:t>• Installation of solar collectors and installation of heat pumps.</w:t>
            </w:r>
          </w:p>
        </w:tc>
      </w:tr>
      <w:tr w:rsidR="008B4484" w:rsidRPr="00F07779" w14:paraId="1CC7EC7B" w14:textId="77777777" w:rsidTr="00615D2C">
        <w:trPr>
          <w:trHeight w:val="640"/>
        </w:trPr>
        <w:tc>
          <w:tcPr>
            <w:tcW w:w="3051" w:type="dxa"/>
            <w:hideMark/>
          </w:tcPr>
          <w:p w14:paraId="51B5D28D" w14:textId="77777777" w:rsidR="008B4484" w:rsidRPr="00F07779" w:rsidRDefault="008B4484" w:rsidP="00615D2C">
            <w:pPr>
              <w:snapToGrid w:val="0"/>
              <w:rPr>
                <w:color w:val="000000"/>
                <w:sz w:val="20"/>
                <w:szCs w:val="20"/>
              </w:rPr>
            </w:pPr>
            <w:r w:rsidRPr="00F07779">
              <w:rPr>
                <w:sz w:val="20"/>
                <w:szCs w:val="20"/>
              </w:rPr>
              <w:t>Required funds and source of financing</w:t>
            </w:r>
          </w:p>
        </w:tc>
        <w:tc>
          <w:tcPr>
            <w:tcW w:w="5739" w:type="dxa"/>
            <w:hideMark/>
          </w:tcPr>
          <w:p w14:paraId="475B5998" w14:textId="77777777" w:rsidR="008B4484" w:rsidRPr="00F07779" w:rsidRDefault="008B4484" w:rsidP="00615D2C">
            <w:pPr>
              <w:snapToGrid w:val="0"/>
              <w:rPr>
                <w:color w:val="000000"/>
                <w:sz w:val="20"/>
                <w:szCs w:val="20"/>
              </w:rPr>
            </w:pPr>
            <w:r w:rsidRPr="00F07779">
              <w:rPr>
                <w:color w:val="000000"/>
                <w:sz w:val="20"/>
                <w:szCs w:val="20"/>
              </w:rPr>
              <w:t>107,865,390 EUR (785,000 EUR in 2025)</w:t>
            </w:r>
          </w:p>
          <w:p w14:paraId="1688E50D" w14:textId="10302C0E" w:rsidR="008B4484" w:rsidRPr="00F07779" w:rsidRDefault="008B4484" w:rsidP="00615D2C">
            <w:pPr>
              <w:snapToGrid w:val="0"/>
              <w:rPr>
                <w:color w:val="000000"/>
                <w:sz w:val="20"/>
                <w:szCs w:val="20"/>
              </w:rPr>
            </w:pPr>
            <w:r w:rsidRPr="00F07779">
              <w:rPr>
                <w:color w:val="000000"/>
                <w:sz w:val="20"/>
                <w:szCs w:val="20"/>
              </w:rPr>
              <w:t xml:space="preserve">Investment Framework for the Western Balkans – 20% investment grant, the rest is a loan from the EBRD, development </w:t>
            </w:r>
            <w:r w:rsidR="00BE5C5E" w:rsidRPr="00F07779">
              <w:rPr>
                <w:color w:val="000000"/>
                <w:sz w:val="20"/>
                <w:szCs w:val="20"/>
              </w:rPr>
              <w:t xml:space="preserve">banks, </w:t>
            </w:r>
            <w:r w:rsidRPr="00F07779">
              <w:rPr>
                <w:color w:val="000000"/>
                <w:sz w:val="20"/>
                <w:szCs w:val="20"/>
              </w:rPr>
              <w:t>local government funds</w:t>
            </w:r>
          </w:p>
        </w:tc>
      </w:tr>
      <w:tr w:rsidR="008B4484" w:rsidRPr="00F07779" w14:paraId="71E6412E" w14:textId="77777777" w:rsidTr="00615D2C">
        <w:trPr>
          <w:trHeight w:val="275"/>
        </w:trPr>
        <w:tc>
          <w:tcPr>
            <w:tcW w:w="3051" w:type="dxa"/>
          </w:tcPr>
          <w:p w14:paraId="3CC7EC79" w14:textId="77777777" w:rsidR="008B4484" w:rsidRPr="00F07779" w:rsidRDefault="008B4484" w:rsidP="00615D2C">
            <w:pPr>
              <w:snapToGrid w:val="0"/>
              <w:rPr>
                <w:color w:val="000000"/>
                <w:sz w:val="20"/>
                <w:szCs w:val="20"/>
              </w:rPr>
            </w:pPr>
            <w:r w:rsidRPr="00F07779">
              <w:rPr>
                <w:color w:val="000000"/>
                <w:sz w:val="20"/>
                <w:szCs w:val="20"/>
              </w:rPr>
              <w:t>2026.</w:t>
            </w:r>
          </w:p>
        </w:tc>
        <w:tc>
          <w:tcPr>
            <w:tcW w:w="5739" w:type="dxa"/>
          </w:tcPr>
          <w:p w14:paraId="5CC7A3DD" w14:textId="77777777" w:rsidR="008B4484" w:rsidRPr="00F07779" w:rsidRDefault="008B4484" w:rsidP="00615D2C">
            <w:pPr>
              <w:snapToGrid w:val="0"/>
              <w:rPr>
                <w:color w:val="000000"/>
                <w:sz w:val="20"/>
                <w:szCs w:val="20"/>
              </w:rPr>
            </w:pPr>
            <w:r w:rsidRPr="00F07779">
              <w:rPr>
                <w:color w:val="000000"/>
                <w:sz w:val="20"/>
                <w:szCs w:val="20"/>
              </w:rPr>
              <w:t>21,000,000 EUR,</w:t>
            </w:r>
          </w:p>
        </w:tc>
      </w:tr>
      <w:tr w:rsidR="008B4484" w:rsidRPr="00F07779" w14:paraId="56B787F6" w14:textId="77777777" w:rsidTr="00615D2C">
        <w:trPr>
          <w:trHeight w:val="265"/>
        </w:trPr>
        <w:tc>
          <w:tcPr>
            <w:tcW w:w="3051" w:type="dxa"/>
          </w:tcPr>
          <w:p w14:paraId="295F7122" w14:textId="77777777" w:rsidR="008B4484" w:rsidRPr="00F07779" w:rsidRDefault="008B4484" w:rsidP="00615D2C">
            <w:pPr>
              <w:snapToGrid w:val="0"/>
              <w:rPr>
                <w:color w:val="000000"/>
                <w:sz w:val="20"/>
                <w:szCs w:val="20"/>
              </w:rPr>
            </w:pPr>
            <w:r w:rsidRPr="00F07779">
              <w:rPr>
                <w:color w:val="000000"/>
                <w:sz w:val="20"/>
                <w:szCs w:val="20"/>
              </w:rPr>
              <w:t>2027.</w:t>
            </w:r>
          </w:p>
        </w:tc>
        <w:tc>
          <w:tcPr>
            <w:tcW w:w="5739" w:type="dxa"/>
          </w:tcPr>
          <w:p w14:paraId="4D83DCB9" w14:textId="77777777" w:rsidR="008B4484" w:rsidRPr="00F07779" w:rsidRDefault="008B4484" w:rsidP="00615D2C">
            <w:pPr>
              <w:snapToGrid w:val="0"/>
              <w:rPr>
                <w:color w:val="000000"/>
                <w:sz w:val="20"/>
                <w:szCs w:val="20"/>
              </w:rPr>
            </w:pPr>
            <w:r w:rsidRPr="00F07779">
              <w:rPr>
                <w:color w:val="000000"/>
                <w:sz w:val="20"/>
                <w:szCs w:val="20"/>
              </w:rPr>
              <w:t>38,000,000 EUR</w:t>
            </w:r>
          </w:p>
        </w:tc>
      </w:tr>
      <w:tr w:rsidR="008B4484" w:rsidRPr="00F07779" w14:paraId="32615EF7" w14:textId="77777777" w:rsidTr="00615D2C">
        <w:trPr>
          <w:trHeight w:val="283"/>
        </w:trPr>
        <w:tc>
          <w:tcPr>
            <w:tcW w:w="3051" w:type="dxa"/>
          </w:tcPr>
          <w:p w14:paraId="59E7D1A4" w14:textId="77777777" w:rsidR="008B4484" w:rsidRPr="00F07779" w:rsidRDefault="008B4484" w:rsidP="00615D2C">
            <w:pPr>
              <w:snapToGrid w:val="0"/>
              <w:rPr>
                <w:color w:val="000000"/>
                <w:sz w:val="20"/>
                <w:szCs w:val="20"/>
              </w:rPr>
            </w:pPr>
            <w:r w:rsidRPr="00F07779">
              <w:rPr>
                <w:color w:val="000000"/>
                <w:sz w:val="20"/>
                <w:szCs w:val="20"/>
              </w:rPr>
              <w:t>2028.</w:t>
            </w:r>
          </w:p>
        </w:tc>
        <w:tc>
          <w:tcPr>
            <w:tcW w:w="5739" w:type="dxa"/>
          </w:tcPr>
          <w:p w14:paraId="2D626249" w14:textId="77777777" w:rsidR="008B4484" w:rsidRPr="00F07779" w:rsidRDefault="008B4484" w:rsidP="00615D2C">
            <w:pPr>
              <w:snapToGrid w:val="0"/>
              <w:rPr>
                <w:color w:val="000000"/>
                <w:sz w:val="20"/>
                <w:szCs w:val="20"/>
              </w:rPr>
            </w:pPr>
            <w:r w:rsidRPr="00F07779">
              <w:rPr>
                <w:color w:val="000000"/>
                <w:sz w:val="20"/>
                <w:szCs w:val="20"/>
              </w:rPr>
              <w:t>48,080,390 EUR</w:t>
            </w:r>
          </w:p>
        </w:tc>
      </w:tr>
      <w:tr w:rsidR="008B4484" w:rsidRPr="00F07779" w14:paraId="3CFE9CEA" w14:textId="77777777" w:rsidTr="00615D2C">
        <w:trPr>
          <w:trHeight w:val="640"/>
        </w:trPr>
        <w:tc>
          <w:tcPr>
            <w:tcW w:w="3051" w:type="dxa"/>
            <w:hideMark/>
          </w:tcPr>
          <w:p w14:paraId="5C84F867" w14:textId="77777777" w:rsidR="008B4484" w:rsidRPr="00F07779" w:rsidRDefault="008B4484" w:rsidP="00615D2C">
            <w:pPr>
              <w:snapToGrid w:val="0"/>
              <w:rPr>
                <w:color w:val="000000"/>
                <w:sz w:val="20"/>
                <w:szCs w:val="20"/>
              </w:rPr>
            </w:pPr>
            <w:r w:rsidRPr="00F07779">
              <w:rPr>
                <w:sz w:val="20"/>
                <w:szCs w:val="20"/>
              </w:rPr>
              <w:t>Impact of the activity on the achievement of the objective</w:t>
            </w:r>
          </w:p>
        </w:tc>
        <w:tc>
          <w:tcPr>
            <w:tcW w:w="5739" w:type="dxa"/>
            <w:hideMark/>
          </w:tcPr>
          <w:p w14:paraId="6D7BAF3D" w14:textId="1C8D5D0F" w:rsidR="008B4484" w:rsidRPr="00F07779" w:rsidRDefault="008B4484" w:rsidP="00BE5C5E">
            <w:pPr>
              <w:snapToGrid w:val="0"/>
              <w:rPr>
                <w:color w:val="000000"/>
                <w:sz w:val="20"/>
                <w:szCs w:val="20"/>
              </w:rPr>
            </w:pPr>
            <w:r w:rsidRPr="00F07779">
              <w:rPr>
                <w:color w:val="000000"/>
                <w:sz w:val="20"/>
                <w:szCs w:val="20"/>
              </w:rPr>
              <w:t>Increase in RES and waste heat</w:t>
            </w:r>
            <w:r w:rsidR="00BE5C5E" w:rsidRPr="00F07779">
              <w:rPr>
                <w:color w:val="000000"/>
                <w:sz w:val="20"/>
                <w:szCs w:val="20"/>
              </w:rPr>
              <w:t xml:space="preserve"> share in </w:t>
            </w:r>
            <w:r w:rsidRPr="00F07779">
              <w:rPr>
                <w:color w:val="000000"/>
                <w:sz w:val="20"/>
                <w:szCs w:val="20"/>
              </w:rPr>
              <w:t>DHS Novi Sad</w:t>
            </w:r>
            <w:r w:rsidR="00BE5C5E" w:rsidRPr="00F07779">
              <w:rPr>
                <w:color w:val="000000"/>
                <w:sz w:val="20"/>
                <w:szCs w:val="20"/>
              </w:rPr>
              <w:t xml:space="preserve"> to</w:t>
            </w:r>
            <w:r w:rsidRPr="00F07779">
              <w:rPr>
                <w:color w:val="000000"/>
                <w:sz w:val="20"/>
                <w:szCs w:val="20"/>
              </w:rPr>
              <w:t xml:space="preserve"> 31%</w:t>
            </w:r>
          </w:p>
        </w:tc>
      </w:tr>
      <w:tr w:rsidR="008B4484" w:rsidRPr="00F07779" w14:paraId="079D516B" w14:textId="77777777" w:rsidTr="00615D2C">
        <w:trPr>
          <w:trHeight w:val="315"/>
        </w:trPr>
        <w:tc>
          <w:tcPr>
            <w:tcW w:w="3051" w:type="dxa"/>
            <w:hideMark/>
          </w:tcPr>
          <w:p w14:paraId="0ED6A10A" w14:textId="77777777" w:rsidR="008B4484" w:rsidRPr="00F07779" w:rsidRDefault="008B4484" w:rsidP="00615D2C">
            <w:pPr>
              <w:snapToGrid w:val="0"/>
              <w:rPr>
                <w:color w:val="000000"/>
                <w:sz w:val="20"/>
                <w:szCs w:val="20"/>
              </w:rPr>
            </w:pPr>
            <w:r w:rsidRPr="00F07779">
              <w:rPr>
                <w:sz w:val="20"/>
                <w:szCs w:val="20"/>
              </w:rPr>
              <w:t>Impact on EE, climate, and environmental protection</w:t>
            </w:r>
          </w:p>
        </w:tc>
        <w:tc>
          <w:tcPr>
            <w:tcW w:w="5739" w:type="dxa"/>
            <w:hideMark/>
          </w:tcPr>
          <w:p w14:paraId="5AECC2EA" w14:textId="77777777" w:rsidR="008B4484" w:rsidRPr="00F07779" w:rsidRDefault="008B4484" w:rsidP="00615D2C">
            <w:pPr>
              <w:snapToGrid w:val="0"/>
              <w:rPr>
                <w:color w:val="000000"/>
                <w:sz w:val="20"/>
                <w:szCs w:val="20"/>
              </w:rPr>
            </w:pPr>
            <w:r w:rsidRPr="00F07779">
              <w:rPr>
                <w:color w:val="000000"/>
                <w:sz w:val="20"/>
                <w:szCs w:val="20"/>
              </w:rPr>
              <w:t>Reduction of annual greenhouse gas emissions:</w:t>
            </w:r>
          </w:p>
          <w:p w14:paraId="47FE7362" w14:textId="77777777" w:rsidR="008B4484" w:rsidRPr="00F07779" w:rsidRDefault="008B4484" w:rsidP="00615D2C">
            <w:pPr>
              <w:snapToGrid w:val="0"/>
              <w:rPr>
                <w:color w:val="000000"/>
                <w:sz w:val="20"/>
                <w:szCs w:val="20"/>
              </w:rPr>
            </w:pPr>
            <w:r w:rsidRPr="00F07779">
              <w:rPr>
                <w:color w:val="000000"/>
                <w:sz w:val="20"/>
                <w:szCs w:val="20"/>
              </w:rPr>
              <w:t>17,350 t CO</w:t>
            </w:r>
            <w:r w:rsidRPr="00F07779">
              <w:rPr>
                <w:color w:val="000000"/>
                <w:sz w:val="20"/>
                <w:szCs w:val="20"/>
                <w:vertAlign w:val="subscript"/>
              </w:rPr>
              <w:t>2</w:t>
            </w:r>
            <w:r w:rsidRPr="00F07779">
              <w:rPr>
                <w:color w:val="000000"/>
                <w:sz w:val="20"/>
                <w:szCs w:val="20"/>
              </w:rPr>
              <w:t>eq /year.</w:t>
            </w:r>
          </w:p>
        </w:tc>
      </w:tr>
    </w:tbl>
    <w:p w14:paraId="39492F0B" w14:textId="77777777" w:rsidR="008B4484" w:rsidRPr="00F07779" w:rsidRDefault="008B4484" w:rsidP="008B4484"/>
    <w:p w14:paraId="479E832D" w14:textId="77777777" w:rsidR="008B4484" w:rsidRPr="00F07779" w:rsidRDefault="008B4484" w:rsidP="008B4484">
      <w:r w:rsidRPr="00F07779">
        <w:t>Table 5.2.4-2: Activities for implementing the measure Т2 –Т2.2</w:t>
      </w:r>
    </w:p>
    <w:tbl>
      <w:tblPr>
        <w:tblW w:w="50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51"/>
        <w:gridCol w:w="5739"/>
      </w:tblGrid>
      <w:tr w:rsidR="008B4484" w:rsidRPr="00F07779" w14:paraId="7C11CF66" w14:textId="77777777" w:rsidTr="00615D2C">
        <w:trPr>
          <w:trHeight w:val="330"/>
        </w:trPr>
        <w:tc>
          <w:tcPr>
            <w:tcW w:w="3051" w:type="dxa"/>
            <w:shd w:val="clear" w:color="auto" w:fill="D9D9D9" w:themeFill="background1" w:themeFillShade="D9"/>
            <w:tcMar>
              <w:top w:w="0" w:type="dxa"/>
              <w:left w:w="108" w:type="dxa"/>
              <w:bottom w:w="0" w:type="dxa"/>
              <w:right w:w="108" w:type="dxa"/>
            </w:tcMar>
            <w:hideMark/>
          </w:tcPr>
          <w:p w14:paraId="271B2872" w14:textId="77777777" w:rsidR="008B4484" w:rsidRPr="00F07779" w:rsidRDefault="008B4484" w:rsidP="00615D2C">
            <w:pPr>
              <w:snapToGrid w:val="0"/>
              <w:rPr>
                <w:sz w:val="20"/>
                <w:szCs w:val="20"/>
              </w:rPr>
            </w:pPr>
            <w:r w:rsidRPr="00F07779">
              <w:rPr>
                <w:sz w:val="20"/>
                <w:szCs w:val="20"/>
              </w:rPr>
              <w:t>Activity Т2.2</w:t>
            </w:r>
          </w:p>
        </w:tc>
        <w:tc>
          <w:tcPr>
            <w:tcW w:w="5739" w:type="dxa"/>
            <w:shd w:val="clear" w:color="auto" w:fill="D9D9D9" w:themeFill="background1" w:themeFillShade="D9"/>
            <w:tcMar>
              <w:top w:w="0" w:type="dxa"/>
              <w:left w:w="108" w:type="dxa"/>
              <w:bottom w:w="0" w:type="dxa"/>
              <w:right w:w="108" w:type="dxa"/>
            </w:tcMar>
          </w:tcPr>
          <w:p w14:paraId="57EB61BF" w14:textId="77777777" w:rsidR="008B4484" w:rsidRPr="00F07779" w:rsidRDefault="008B4484" w:rsidP="00615D2C">
            <w:pPr>
              <w:snapToGrid w:val="0"/>
              <w:rPr>
                <w:color w:val="000000"/>
                <w:sz w:val="20"/>
                <w:szCs w:val="20"/>
              </w:rPr>
            </w:pPr>
            <w:r w:rsidRPr="00F07779">
              <w:rPr>
                <w:color w:val="000000"/>
                <w:sz w:val="20"/>
                <w:szCs w:val="20"/>
              </w:rPr>
              <w:t>Renewable energy sources in district heating systems in Serbia – phase I</w:t>
            </w:r>
          </w:p>
        </w:tc>
      </w:tr>
      <w:tr w:rsidR="008B4484" w:rsidRPr="00F07779" w14:paraId="56DA5EDD" w14:textId="77777777" w:rsidTr="00615D2C">
        <w:trPr>
          <w:trHeight w:val="330"/>
        </w:trPr>
        <w:tc>
          <w:tcPr>
            <w:tcW w:w="3051" w:type="dxa"/>
            <w:tcMar>
              <w:top w:w="0" w:type="dxa"/>
              <w:left w:w="108" w:type="dxa"/>
              <w:bottom w:w="0" w:type="dxa"/>
              <w:right w:w="108" w:type="dxa"/>
            </w:tcMar>
            <w:hideMark/>
          </w:tcPr>
          <w:p w14:paraId="524E754A" w14:textId="77777777" w:rsidR="008B4484" w:rsidRPr="00F07779" w:rsidRDefault="008B4484" w:rsidP="00615D2C">
            <w:pPr>
              <w:snapToGrid w:val="0"/>
              <w:rPr>
                <w:sz w:val="20"/>
                <w:szCs w:val="20"/>
              </w:rPr>
            </w:pPr>
            <w:r w:rsidRPr="00F07779">
              <w:rPr>
                <w:sz w:val="20"/>
                <w:szCs w:val="20"/>
              </w:rPr>
              <w:t>Description</w:t>
            </w:r>
          </w:p>
        </w:tc>
        <w:tc>
          <w:tcPr>
            <w:tcW w:w="5739" w:type="dxa"/>
            <w:tcMar>
              <w:top w:w="0" w:type="dxa"/>
              <w:left w:w="108" w:type="dxa"/>
              <w:bottom w:w="0" w:type="dxa"/>
              <w:right w:w="108" w:type="dxa"/>
            </w:tcMar>
          </w:tcPr>
          <w:p w14:paraId="26F66DAD" w14:textId="77777777" w:rsidR="008B4484" w:rsidRPr="00F07779" w:rsidRDefault="008B4484" w:rsidP="00615D2C">
            <w:pPr>
              <w:snapToGrid w:val="0"/>
              <w:ind w:right="95"/>
              <w:jc w:val="both"/>
              <w:rPr>
                <w:sz w:val="20"/>
                <w:szCs w:val="20"/>
              </w:rPr>
            </w:pPr>
            <w:r w:rsidRPr="00F07779">
              <w:rPr>
                <w:sz w:val="20"/>
                <w:szCs w:val="20"/>
              </w:rPr>
              <w:t xml:space="preserve">The aim of the project "Renewable Energy Sources in District Heating Systems in Serbia - </w:t>
            </w:r>
            <w:proofErr w:type="spellStart"/>
            <w:r w:rsidRPr="00F07779">
              <w:rPr>
                <w:sz w:val="20"/>
                <w:szCs w:val="20"/>
              </w:rPr>
              <w:t>ReDE</w:t>
            </w:r>
            <w:proofErr w:type="spellEnd"/>
            <w:r w:rsidRPr="00F07779">
              <w:rPr>
                <w:sz w:val="20"/>
                <w:szCs w:val="20"/>
              </w:rPr>
              <w:t xml:space="preserve"> Serbia" is to improve air quality, promote the use of renewable energy sources in the production of heat energy in Serbia and increase energy efficiency. It includes 14 projects in 10 local governments (</w:t>
            </w:r>
            <w:proofErr w:type="spellStart"/>
            <w:r w:rsidRPr="00F07779">
              <w:rPr>
                <w:sz w:val="20"/>
                <w:szCs w:val="20"/>
              </w:rPr>
              <w:t>Bečej</w:t>
            </w:r>
            <w:proofErr w:type="spellEnd"/>
            <w:r w:rsidRPr="00F07779">
              <w:rPr>
                <w:sz w:val="20"/>
                <w:szCs w:val="20"/>
              </w:rPr>
              <w:t xml:space="preserve">, </w:t>
            </w:r>
            <w:proofErr w:type="spellStart"/>
            <w:r w:rsidRPr="00F07779">
              <w:rPr>
                <w:sz w:val="20"/>
                <w:szCs w:val="20"/>
              </w:rPr>
              <w:t>Bogatić</w:t>
            </w:r>
            <w:proofErr w:type="spellEnd"/>
            <w:r w:rsidRPr="00F07779">
              <w:rPr>
                <w:sz w:val="20"/>
                <w:szCs w:val="20"/>
              </w:rPr>
              <w:t xml:space="preserve">, </w:t>
            </w:r>
            <w:proofErr w:type="spellStart"/>
            <w:r w:rsidRPr="00F07779">
              <w:rPr>
                <w:sz w:val="20"/>
                <w:szCs w:val="20"/>
              </w:rPr>
              <w:t>Vršac</w:t>
            </w:r>
            <w:proofErr w:type="spellEnd"/>
            <w:r w:rsidRPr="00F07779">
              <w:rPr>
                <w:sz w:val="20"/>
                <w:szCs w:val="20"/>
              </w:rPr>
              <w:t xml:space="preserve">, Kragujevac, </w:t>
            </w:r>
            <w:proofErr w:type="spellStart"/>
            <w:r w:rsidRPr="00F07779">
              <w:rPr>
                <w:sz w:val="20"/>
                <w:szCs w:val="20"/>
              </w:rPr>
              <w:t>Kraljevo</w:t>
            </w:r>
            <w:proofErr w:type="spellEnd"/>
            <w:r w:rsidRPr="00F07779">
              <w:rPr>
                <w:sz w:val="20"/>
                <w:szCs w:val="20"/>
              </w:rPr>
              <w:t xml:space="preserve">, </w:t>
            </w:r>
            <w:proofErr w:type="spellStart"/>
            <w:r w:rsidRPr="00F07779">
              <w:rPr>
                <w:sz w:val="20"/>
                <w:szCs w:val="20"/>
              </w:rPr>
              <w:t>Kruševac</w:t>
            </w:r>
            <w:proofErr w:type="spellEnd"/>
            <w:r w:rsidRPr="00F07779">
              <w:rPr>
                <w:sz w:val="20"/>
                <w:szCs w:val="20"/>
              </w:rPr>
              <w:t xml:space="preserve">, </w:t>
            </w:r>
            <w:proofErr w:type="spellStart"/>
            <w:r w:rsidRPr="00F07779">
              <w:rPr>
                <w:sz w:val="20"/>
                <w:szCs w:val="20"/>
              </w:rPr>
              <w:t>Niš</w:t>
            </w:r>
            <w:proofErr w:type="spellEnd"/>
            <w:r w:rsidRPr="00F07779">
              <w:rPr>
                <w:sz w:val="20"/>
                <w:szCs w:val="20"/>
              </w:rPr>
              <w:t xml:space="preserve">, Novi Pazar, </w:t>
            </w:r>
            <w:proofErr w:type="spellStart"/>
            <w:r w:rsidRPr="00F07779">
              <w:rPr>
                <w:sz w:val="20"/>
                <w:szCs w:val="20"/>
              </w:rPr>
              <w:t>Pančevo</w:t>
            </w:r>
            <w:proofErr w:type="spellEnd"/>
            <w:r w:rsidRPr="00F07779">
              <w:rPr>
                <w:sz w:val="20"/>
                <w:szCs w:val="20"/>
              </w:rPr>
              <w:t xml:space="preserve"> and </w:t>
            </w:r>
            <w:proofErr w:type="spellStart"/>
            <w:r w:rsidRPr="00F07779">
              <w:rPr>
                <w:sz w:val="20"/>
                <w:szCs w:val="20"/>
              </w:rPr>
              <w:t>Paraćin</w:t>
            </w:r>
            <w:proofErr w:type="spellEnd"/>
            <w:r w:rsidRPr="00F07779">
              <w:rPr>
                <w:sz w:val="20"/>
                <w:szCs w:val="20"/>
              </w:rPr>
              <w:t>).</w:t>
            </w:r>
          </w:p>
        </w:tc>
      </w:tr>
      <w:tr w:rsidR="008B4484" w:rsidRPr="00F07779" w14:paraId="1CFB27CF" w14:textId="77777777" w:rsidTr="00615D2C">
        <w:trPr>
          <w:trHeight w:val="645"/>
        </w:trPr>
        <w:tc>
          <w:tcPr>
            <w:tcW w:w="3051" w:type="dxa"/>
            <w:tcMar>
              <w:top w:w="0" w:type="dxa"/>
              <w:left w:w="108" w:type="dxa"/>
              <w:bottom w:w="0" w:type="dxa"/>
              <w:right w:w="108" w:type="dxa"/>
            </w:tcMar>
            <w:hideMark/>
          </w:tcPr>
          <w:p w14:paraId="12761609" w14:textId="77777777" w:rsidR="008B4484" w:rsidRPr="00F07779" w:rsidRDefault="008B4484" w:rsidP="00615D2C">
            <w:pPr>
              <w:snapToGrid w:val="0"/>
              <w:rPr>
                <w:sz w:val="20"/>
                <w:szCs w:val="20"/>
              </w:rPr>
            </w:pPr>
            <w:r w:rsidRPr="00F07779">
              <w:rPr>
                <w:sz w:val="20"/>
                <w:szCs w:val="20"/>
              </w:rPr>
              <w:t>Institutions responsible for the implementation of measures and activities</w:t>
            </w:r>
          </w:p>
        </w:tc>
        <w:tc>
          <w:tcPr>
            <w:tcW w:w="5739" w:type="dxa"/>
            <w:tcMar>
              <w:top w:w="0" w:type="dxa"/>
              <w:left w:w="108" w:type="dxa"/>
              <w:bottom w:w="0" w:type="dxa"/>
              <w:right w:w="108" w:type="dxa"/>
            </w:tcMar>
          </w:tcPr>
          <w:p w14:paraId="57381143" w14:textId="77777777" w:rsidR="008B4484" w:rsidRPr="00F07779" w:rsidRDefault="008B4484" w:rsidP="00615D2C">
            <w:pPr>
              <w:snapToGrid w:val="0"/>
              <w:rPr>
                <w:sz w:val="20"/>
                <w:szCs w:val="20"/>
              </w:rPr>
            </w:pPr>
            <w:r w:rsidRPr="00F07779">
              <w:rPr>
                <w:color w:val="000000"/>
                <w:sz w:val="20"/>
                <w:szCs w:val="20"/>
              </w:rPr>
              <w:t>Ministry of Mining and Energy, Local Government Units, DHS</w:t>
            </w:r>
          </w:p>
        </w:tc>
      </w:tr>
      <w:tr w:rsidR="008B4484" w:rsidRPr="00F07779" w14:paraId="41711EBC" w14:textId="77777777" w:rsidTr="00615D2C">
        <w:trPr>
          <w:trHeight w:val="645"/>
        </w:trPr>
        <w:tc>
          <w:tcPr>
            <w:tcW w:w="3051" w:type="dxa"/>
            <w:tcMar>
              <w:top w:w="0" w:type="dxa"/>
              <w:left w:w="108" w:type="dxa"/>
              <w:bottom w:w="0" w:type="dxa"/>
              <w:right w:w="108" w:type="dxa"/>
            </w:tcMar>
            <w:hideMark/>
          </w:tcPr>
          <w:p w14:paraId="6A32FC53" w14:textId="77777777" w:rsidR="008B4484" w:rsidRPr="00F07779" w:rsidRDefault="008B4484" w:rsidP="00615D2C">
            <w:pPr>
              <w:snapToGrid w:val="0"/>
              <w:rPr>
                <w:sz w:val="20"/>
                <w:szCs w:val="20"/>
              </w:rPr>
            </w:pPr>
            <w:r w:rsidRPr="00F07779">
              <w:rPr>
                <w:sz w:val="20"/>
                <w:szCs w:val="20"/>
              </w:rPr>
              <w:t>Institutions responsible for monitoring implementation and reporting on realization</w:t>
            </w:r>
          </w:p>
        </w:tc>
        <w:tc>
          <w:tcPr>
            <w:tcW w:w="5739" w:type="dxa"/>
            <w:tcMar>
              <w:top w:w="0" w:type="dxa"/>
              <w:left w:w="108" w:type="dxa"/>
              <w:bottom w:w="0" w:type="dxa"/>
              <w:right w:w="108" w:type="dxa"/>
            </w:tcMar>
          </w:tcPr>
          <w:p w14:paraId="4106EAF9" w14:textId="77777777" w:rsidR="008B4484" w:rsidRPr="00F07779" w:rsidRDefault="008B4484" w:rsidP="00615D2C">
            <w:pPr>
              <w:snapToGrid w:val="0"/>
              <w:rPr>
                <w:sz w:val="20"/>
                <w:szCs w:val="20"/>
              </w:rPr>
            </w:pPr>
            <w:r w:rsidRPr="00F07779">
              <w:rPr>
                <w:color w:val="000000"/>
                <w:sz w:val="20"/>
                <w:szCs w:val="20"/>
              </w:rPr>
              <w:t>Ministry of Mining and Energy, Local Government Units, DHS</w:t>
            </w:r>
          </w:p>
        </w:tc>
      </w:tr>
      <w:tr w:rsidR="008B4484" w:rsidRPr="00F07779" w14:paraId="3653C6F5" w14:textId="77777777" w:rsidTr="00615D2C">
        <w:trPr>
          <w:trHeight w:val="330"/>
        </w:trPr>
        <w:tc>
          <w:tcPr>
            <w:tcW w:w="3051" w:type="dxa"/>
            <w:tcMar>
              <w:top w:w="0" w:type="dxa"/>
              <w:left w:w="108" w:type="dxa"/>
              <w:bottom w:w="0" w:type="dxa"/>
              <w:right w:w="108" w:type="dxa"/>
            </w:tcMar>
            <w:hideMark/>
          </w:tcPr>
          <w:p w14:paraId="2BB4E8B1" w14:textId="77777777" w:rsidR="008B4484" w:rsidRPr="00F07779" w:rsidRDefault="008B4484" w:rsidP="00615D2C">
            <w:pPr>
              <w:snapToGrid w:val="0"/>
              <w:rPr>
                <w:sz w:val="20"/>
                <w:szCs w:val="20"/>
              </w:rPr>
            </w:pPr>
            <w:r w:rsidRPr="00F07779">
              <w:rPr>
                <w:sz w:val="20"/>
                <w:szCs w:val="20"/>
              </w:rPr>
              <w:t>Deadline for implementation</w:t>
            </w:r>
          </w:p>
        </w:tc>
        <w:tc>
          <w:tcPr>
            <w:tcW w:w="5739" w:type="dxa"/>
            <w:tcMar>
              <w:top w:w="0" w:type="dxa"/>
              <w:left w:w="108" w:type="dxa"/>
              <w:bottom w:w="0" w:type="dxa"/>
              <w:right w:w="108" w:type="dxa"/>
            </w:tcMar>
          </w:tcPr>
          <w:p w14:paraId="564F9256" w14:textId="77777777" w:rsidR="008B4484" w:rsidRPr="00F07779" w:rsidRDefault="008B4484" w:rsidP="00615D2C">
            <w:pPr>
              <w:snapToGrid w:val="0"/>
              <w:rPr>
                <w:b/>
                <w:bCs/>
                <w:sz w:val="20"/>
                <w:szCs w:val="20"/>
              </w:rPr>
            </w:pPr>
            <w:r w:rsidRPr="00F07779">
              <w:rPr>
                <w:b/>
                <w:bCs/>
                <w:sz w:val="20"/>
                <w:szCs w:val="20"/>
              </w:rPr>
              <w:t xml:space="preserve">Start of work: </w:t>
            </w:r>
            <w:r w:rsidRPr="00F07779">
              <w:rPr>
                <w:sz w:val="20"/>
                <w:szCs w:val="20"/>
              </w:rPr>
              <w:t>Q1 2026.</w:t>
            </w:r>
            <w:r w:rsidRPr="00F07779">
              <w:rPr>
                <w:b/>
                <w:bCs/>
                <w:sz w:val="20"/>
                <w:szCs w:val="20"/>
              </w:rPr>
              <w:t xml:space="preserve"> </w:t>
            </w:r>
          </w:p>
          <w:p w14:paraId="45ADC462" w14:textId="77777777" w:rsidR="008B4484" w:rsidRPr="00F07779" w:rsidRDefault="008B4484" w:rsidP="00615D2C">
            <w:pPr>
              <w:snapToGrid w:val="0"/>
              <w:rPr>
                <w:sz w:val="20"/>
                <w:szCs w:val="20"/>
              </w:rPr>
            </w:pPr>
            <w:r w:rsidRPr="00F07779">
              <w:rPr>
                <w:b/>
                <w:bCs/>
                <w:sz w:val="20"/>
                <w:szCs w:val="20"/>
              </w:rPr>
              <w:t xml:space="preserve">Completion of work: </w:t>
            </w:r>
            <w:r w:rsidRPr="00F07779">
              <w:rPr>
                <w:sz w:val="20"/>
                <w:szCs w:val="20"/>
              </w:rPr>
              <w:t>Q2 2028.</w:t>
            </w:r>
          </w:p>
        </w:tc>
      </w:tr>
      <w:tr w:rsidR="008B4484" w:rsidRPr="00F07779" w14:paraId="745546D0" w14:textId="77777777" w:rsidTr="00615D2C">
        <w:trPr>
          <w:trHeight w:val="330"/>
        </w:trPr>
        <w:tc>
          <w:tcPr>
            <w:tcW w:w="3051" w:type="dxa"/>
            <w:tcMar>
              <w:top w:w="0" w:type="dxa"/>
              <w:left w:w="108" w:type="dxa"/>
              <w:bottom w:w="0" w:type="dxa"/>
              <w:right w:w="108" w:type="dxa"/>
            </w:tcMar>
            <w:hideMark/>
          </w:tcPr>
          <w:p w14:paraId="4704794C" w14:textId="77777777" w:rsidR="008B4484" w:rsidRPr="00F07779" w:rsidRDefault="008B4484" w:rsidP="00615D2C">
            <w:pPr>
              <w:snapToGrid w:val="0"/>
              <w:ind w:right="95"/>
              <w:rPr>
                <w:sz w:val="20"/>
                <w:szCs w:val="20"/>
              </w:rPr>
            </w:pPr>
            <w:r w:rsidRPr="00F07779">
              <w:rPr>
                <w:sz w:val="20"/>
                <w:szCs w:val="20"/>
              </w:rPr>
              <w:t>Required funds and source of financing</w:t>
            </w:r>
          </w:p>
        </w:tc>
        <w:tc>
          <w:tcPr>
            <w:tcW w:w="5739" w:type="dxa"/>
            <w:tcMar>
              <w:top w:w="0" w:type="dxa"/>
              <w:left w:w="108" w:type="dxa"/>
              <w:bottom w:w="0" w:type="dxa"/>
              <w:right w:w="108" w:type="dxa"/>
            </w:tcMar>
            <w:hideMark/>
          </w:tcPr>
          <w:p w14:paraId="11AE3FB7" w14:textId="77777777" w:rsidR="008B4484" w:rsidRPr="00F07779" w:rsidRDefault="008B4484" w:rsidP="00615D2C">
            <w:pPr>
              <w:snapToGrid w:val="0"/>
              <w:jc w:val="both"/>
              <w:rPr>
                <w:sz w:val="20"/>
                <w:szCs w:val="20"/>
              </w:rPr>
            </w:pPr>
            <w:r w:rsidRPr="00F07779">
              <w:rPr>
                <w:sz w:val="20"/>
                <w:szCs w:val="20"/>
              </w:rPr>
              <w:t> </w:t>
            </w:r>
            <w:r w:rsidRPr="00F07779">
              <w:rPr>
                <w:b/>
                <w:bCs/>
                <w:sz w:val="20"/>
                <w:szCs w:val="20"/>
              </w:rPr>
              <w:t>Estimated project value (EUR)</w:t>
            </w:r>
            <w:r w:rsidRPr="00F07779">
              <w:rPr>
                <w:sz w:val="20"/>
                <w:szCs w:val="20"/>
              </w:rPr>
              <w:t>: EUR 40.5 million, of which EUR 37.5 million is for investment and EUR 3 million for technical assistance</w:t>
            </w:r>
          </w:p>
          <w:p w14:paraId="64CF008E" w14:textId="214272E2" w:rsidR="008B4484" w:rsidRPr="00F07779" w:rsidRDefault="008B4484" w:rsidP="00615D2C">
            <w:pPr>
              <w:snapToGrid w:val="0"/>
              <w:jc w:val="both"/>
              <w:rPr>
                <w:sz w:val="20"/>
                <w:szCs w:val="20"/>
              </w:rPr>
            </w:pPr>
            <w:r w:rsidRPr="00F07779">
              <w:rPr>
                <w:b/>
                <w:bCs/>
                <w:sz w:val="20"/>
                <w:szCs w:val="20"/>
              </w:rPr>
              <w:t>Loan/grant amount</w:t>
            </w:r>
            <w:r w:rsidRPr="00F07779">
              <w:rPr>
                <w:sz w:val="20"/>
                <w:szCs w:val="20"/>
              </w:rPr>
              <w:t xml:space="preserve">: EBRD loan of EUR 30 million. EUR 4 million EU grant through the Regional Energy Efficiency </w:t>
            </w:r>
            <w:r w:rsidR="00BE5C5E" w:rsidRPr="00F07779">
              <w:rPr>
                <w:sz w:val="20"/>
                <w:szCs w:val="20"/>
              </w:rPr>
              <w:t>Program</w:t>
            </w:r>
            <w:r w:rsidRPr="00F07779">
              <w:rPr>
                <w:sz w:val="20"/>
                <w:szCs w:val="20"/>
              </w:rPr>
              <w:t xml:space="preserve"> (REEP) and a grant from the Government of Austria, as well as EUR 8.5 million in grants received from the Swiss Confederation (SECO) through the EBRD. EUR 2 million of the grant was spent on project preparation and regulatory improvement activities in the energy efficiency and district heating sub-sectors.</w:t>
            </w:r>
          </w:p>
        </w:tc>
      </w:tr>
      <w:tr w:rsidR="008B4484" w:rsidRPr="00F07779" w14:paraId="348E3FC8" w14:textId="77777777" w:rsidTr="00615D2C">
        <w:trPr>
          <w:trHeight w:val="330"/>
        </w:trPr>
        <w:tc>
          <w:tcPr>
            <w:tcW w:w="3051" w:type="dxa"/>
            <w:tcMar>
              <w:top w:w="0" w:type="dxa"/>
              <w:left w:w="108" w:type="dxa"/>
              <w:bottom w:w="0" w:type="dxa"/>
              <w:right w:w="108" w:type="dxa"/>
            </w:tcMar>
          </w:tcPr>
          <w:p w14:paraId="068A83BD" w14:textId="77777777" w:rsidR="008B4484" w:rsidRPr="00F07779" w:rsidRDefault="008B4484" w:rsidP="00615D2C">
            <w:pPr>
              <w:snapToGrid w:val="0"/>
              <w:ind w:right="95"/>
              <w:rPr>
                <w:sz w:val="20"/>
                <w:szCs w:val="20"/>
              </w:rPr>
            </w:pPr>
            <w:r w:rsidRPr="00F07779">
              <w:rPr>
                <w:color w:val="000000"/>
                <w:sz w:val="20"/>
                <w:szCs w:val="20"/>
              </w:rPr>
              <w:t>2025.</w:t>
            </w:r>
          </w:p>
        </w:tc>
        <w:tc>
          <w:tcPr>
            <w:tcW w:w="5739" w:type="dxa"/>
            <w:tcMar>
              <w:top w:w="0" w:type="dxa"/>
              <w:left w:w="108" w:type="dxa"/>
              <w:bottom w:w="0" w:type="dxa"/>
              <w:right w:w="108" w:type="dxa"/>
            </w:tcMar>
          </w:tcPr>
          <w:p w14:paraId="0AECABFA" w14:textId="77777777" w:rsidR="008B4484" w:rsidRPr="00F07779" w:rsidRDefault="008B4484" w:rsidP="00615D2C">
            <w:pPr>
              <w:snapToGrid w:val="0"/>
              <w:rPr>
                <w:sz w:val="20"/>
                <w:szCs w:val="20"/>
              </w:rPr>
            </w:pPr>
            <w:r w:rsidRPr="00F07779">
              <w:rPr>
                <w:rStyle w:val="normaltextrun"/>
                <w:color w:val="000000"/>
                <w:sz w:val="20"/>
                <w:szCs w:val="20"/>
                <w:bdr w:val="none" w:sz="0" w:space="0" w:color="auto" w:frame="1"/>
              </w:rPr>
              <w:t>725.000 EUR</w:t>
            </w:r>
          </w:p>
        </w:tc>
      </w:tr>
      <w:tr w:rsidR="008B4484" w:rsidRPr="00F07779" w14:paraId="5D004055" w14:textId="77777777" w:rsidTr="00615D2C">
        <w:trPr>
          <w:trHeight w:val="330"/>
        </w:trPr>
        <w:tc>
          <w:tcPr>
            <w:tcW w:w="3051" w:type="dxa"/>
            <w:tcMar>
              <w:top w:w="0" w:type="dxa"/>
              <w:left w:w="108" w:type="dxa"/>
              <w:bottom w:w="0" w:type="dxa"/>
              <w:right w:w="108" w:type="dxa"/>
            </w:tcMar>
          </w:tcPr>
          <w:p w14:paraId="5031AAB4" w14:textId="77777777" w:rsidR="008B4484" w:rsidRPr="00F07779" w:rsidRDefault="008B4484" w:rsidP="00615D2C">
            <w:pPr>
              <w:snapToGrid w:val="0"/>
              <w:ind w:right="95"/>
              <w:rPr>
                <w:sz w:val="20"/>
                <w:szCs w:val="20"/>
              </w:rPr>
            </w:pPr>
            <w:r w:rsidRPr="00F07779">
              <w:rPr>
                <w:color w:val="000000"/>
                <w:sz w:val="20"/>
                <w:szCs w:val="20"/>
              </w:rPr>
              <w:t>2026:</w:t>
            </w:r>
          </w:p>
        </w:tc>
        <w:tc>
          <w:tcPr>
            <w:tcW w:w="5739" w:type="dxa"/>
            <w:tcMar>
              <w:top w:w="0" w:type="dxa"/>
              <w:left w:w="108" w:type="dxa"/>
              <w:bottom w:w="0" w:type="dxa"/>
              <w:right w:w="108" w:type="dxa"/>
            </w:tcMar>
          </w:tcPr>
          <w:p w14:paraId="1C6EAD6F" w14:textId="77777777" w:rsidR="008B4484" w:rsidRPr="00F07779" w:rsidRDefault="008B4484" w:rsidP="00615D2C">
            <w:pPr>
              <w:snapToGrid w:val="0"/>
              <w:rPr>
                <w:sz w:val="20"/>
                <w:szCs w:val="20"/>
              </w:rPr>
            </w:pPr>
            <w:r w:rsidRPr="00F07779">
              <w:rPr>
                <w:color w:val="000000"/>
                <w:sz w:val="20"/>
                <w:szCs w:val="20"/>
              </w:rPr>
              <w:t>19.790.000 EUR </w:t>
            </w:r>
          </w:p>
        </w:tc>
      </w:tr>
      <w:tr w:rsidR="008B4484" w:rsidRPr="00F07779" w14:paraId="7E769D1F" w14:textId="77777777" w:rsidTr="00615D2C">
        <w:trPr>
          <w:trHeight w:val="330"/>
        </w:trPr>
        <w:tc>
          <w:tcPr>
            <w:tcW w:w="3051" w:type="dxa"/>
            <w:tcMar>
              <w:top w:w="0" w:type="dxa"/>
              <w:left w:w="108" w:type="dxa"/>
              <w:bottom w:w="0" w:type="dxa"/>
              <w:right w:w="108" w:type="dxa"/>
            </w:tcMar>
          </w:tcPr>
          <w:p w14:paraId="6DB0E1E1" w14:textId="77777777" w:rsidR="008B4484" w:rsidRPr="00F07779" w:rsidRDefault="008B4484" w:rsidP="00615D2C">
            <w:pPr>
              <w:snapToGrid w:val="0"/>
              <w:ind w:right="95"/>
              <w:rPr>
                <w:sz w:val="20"/>
                <w:szCs w:val="20"/>
              </w:rPr>
            </w:pPr>
            <w:r w:rsidRPr="00F07779">
              <w:rPr>
                <w:color w:val="000000"/>
                <w:sz w:val="20"/>
                <w:szCs w:val="20"/>
              </w:rPr>
              <w:t>2027.</w:t>
            </w:r>
          </w:p>
        </w:tc>
        <w:tc>
          <w:tcPr>
            <w:tcW w:w="5739" w:type="dxa"/>
            <w:tcMar>
              <w:top w:w="0" w:type="dxa"/>
              <w:left w:w="108" w:type="dxa"/>
              <w:bottom w:w="0" w:type="dxa"/>
              <w:right w:w="108" w:type="dxa"/>
            </w:tcMar>
          </w:tcPr>
          <w:p w14:paraId="35D66F3F" w14:textId="77777777" w:rsidR="008B4484" w:rsidRPr="00F07779" w:rsidRDefault="008B4484" w:rsidP="00615D2C">
            <w:pPr>
              <w:snapToGrid w:val="0"/>
              <w:rPr>
                <w:sz w:val="20"/>
                <w:szCs w:val="20"/>
              </w:rPr>
            </w:pPr>
            <w:r w:rsidRPr="00F07779">
              <w:rPr>
                <w:color w:val="000000"/>
                <w:sz w:val="20"/>
                <w:szCs w:val="20"/>
              </w:rPr>
              <w:t>19.610.000 EUR</w:t>
            </w:r>
          </w:p>
        </w:tc>
      </w:tr>
      <w:tr w:rsidR="008B4484" w:rsidRPr="00F07779" w14:paraId="17A31E9D" w14:textId="77777777" w:rsidTr="00615D2C">
        <w:trPr>
          <w:trHeight w:val="330"/>
        </w:trPr>
        <w:tc>
          <w:tcPr>
            <w:tcW w:w="3051" w:type="dxa"/>
            <w:tcMar>
              <w:top w:w="0" w:type="dxa"/>
              <w:left w:w="108" w:type="dxa"/>
              <w:bottom w:w="0" w:type="dxa"/>
              <w:right w:w="108" w:type="dxa"/>
            </w:tcMar>
          </w:tcPr>
          <w:p w14:paraId="2776BB47" w14:textId="77777777" w:rsidR="008B4484" w:rsidRPr="00F07779" w:rsidRDefault="008B4484" w:rsidP="00615D2C">
            <w:pPr>
              <w:snapToGrid w:val="0"/>
              <w:ind w:right="95"/>
              <w:rPr>
                <w:sz w:val="20"/>
                <w:szCs w:val="20"/>
              </w:rPr>
            </w:pPr>
            <w:r w:rsidRPr="00F07779">
              <w:rPr>
                <w:color w:val="000000"/>
                <w:sz w:val="20"/>
                <w:szCs w:val="20"/>
              </w:rPr>
              <w:t>2028.</w:t>
            </w:r>
          </w:p>
        </w:tc>
        <w:tc>
          <w:tcPr>
            <w:tcW w:w="5739" w:type="dxa"/>
            <w:tcMar>
              <w:top w:w="0" w:type="dxa"/>
              <w:left w:w="108" w:type="dxa"/>
              <w:bottom w:w="0" w:type="dxa"/>
              <w:right w:w="108" w:type="dxa"/>
            </w:tcMar>
          </w:tcPr>
          <w:p w14:paraId="10FB66CA" w14:textId="77777777" w:rsidR="008B4484" w:rsidRPr="00F07779" w:rsidRDefault="008B4484" w:rsidP="00615D2C">
            <w:pPr>
              <w:snapToGrid w:val="0"/>
              <w:rPr>
                <w:sz w:val="20"/>
                <w:szCs w:val="20"/>
              </w:rPr>
            </w:pPr>
            <w:r w:rsidRPr="00F07779">
              <w:rPr>
                <w:color w:val="000000"/>
                <w:sz w:val="20"/>
                <w:szCs w:val="20"/>
              </w:rPr>
              <w:t>375.000 EUR</w:t>
            </w:r>
          </w:p>
        </w:tc>
      </w:tr>
      <w:tr w:rsidR="008B4484" w:rsidRPr="00F07779" w14:paraId="368B8E2D" w14:textId="77777777" w:rsidTr="00615D2C">
        <w:trPr>
          <w:trHeight w:val="330"/>
        </w:trPr>
        <w:tc>
          <w:tcPr>
            <w:tcW w:w="3051" w:type="dxa"/>
            <w:tcMar>
              <w:top w:w="0" w:type="dxa"/>
              <w:left w:w="108" w:type="dxa"/>
              <w:bottom w:w="0" w:type="dxa"/>
              <w:right w:w="108" w:type="dxa"/>
            </w:tcMar>
            <w:hideMark/>
          </w:tcPr>
          <w:p w14:paraId="67DA2E98" w14:textId="77777777" w:rsidR="008B4484" w:rsidRPr="00F07779" w:rsidRDefault="008B4484" w:rsidP="00615D2C">
            <w:pPr>
              <w:snapToGrid w:val="0"/>
              <w:rPr>
                <w:sz w:val="20"/>
                <w:szCs w:val="20"/>
              </w:rPr>
            </w:pPr>
            <w:r w:rsidRPr="00F07779">
              <w:rPr>
                <w:sz w:val="20"/>
                <w:szCs w:val="20"/>
              </w:rPr>
              <w:t>Impact of the activity on the achievement of the objective</w:t>
            </w:r>
          </w:p>
        </w:tc>
        <w:tc>
          <w:tcPr>
            <w:tcW w:w="5739" w:type="dxa"/>
            <w:tcMar>
              <w:top w:w="0" w:type="dxa"/>
              <w:left w:w="108" w:type="dxa"/>
              <w:bottom w:w="0" w:type="dxa"/>
              <w:right w:w="108" w:type="dxa"/>
            </w:tcMar>
            <w:hideMark/>
          </w:tcPr>
          <w:p w14:paraId="383A7AF3" w14:textId="77777777" w:rsidR="008B4484" w:rsidRPr="00F07779" w:rsidRDefault="008B4484" w:rsidP="00615D2C">
            <w:pPr>
              <w:snapToGrid w:val="0"/>
              <w:jc w:val="both"/>
              <w:rPr>
                <w:sz w:val="20"/>
                <w:szCs w:val="20"/>
              </w:rPr>
            </w:pPr>
            <w:r w:rsidRPr="00F07779">
              <w:rPr>
                <w:sz w:val="20"/>
                <w:szCs w:val="20"/>
              </w:rPr>
              <w:t xml:space="preserve">Once implemented, these projects would deliver 115 GWh of heat energy from RES and an additional 61 GWh of primary energy would be reduced through the implementation of energy efficiency measures. This represents approximately 3.3% of the total heat energy delivered by the district heating system in Serbia (6,300 GWh). Heat </w:t>
            </w:r>
            <w:r w:rsidRPr="00F07779">
              <w:rPr>
                <w:sz w:val="20"/>
                <w:szCs w:val="20"/>
              </w:rPr>
              <w:lastRenderedPageBreak/>
              <w:t>energy produced from RES would increase from the current 95 GWh to 210 GWh.</w:t>
            </w:r>
          </w:p>
        </w:tc>
      </w:tr>
      <w:tr w:rsidR="008B4484" w:rsidRPr="00F07779" w14:paraId="394F64B2" w14:textId="77777777" w:rsidTr="00615D2C">
        <w:trPr>
          <w:trHeight w:val="330"/>
        </w:trPr>
        <w:tc>
          <w:tcPr>
            <w:tcW w:w="3051" w:type="dxa"/>
            <w:tcMar>
              <w:top w:w="0" w:type="dxa"/>
              <w:left w:w="108" w:type="dxa"/>
              <w:bottom w:w="0" w:type="dxa"/>
              <w:right w:w="108" w:type="dxa"/>
            </w:tcMar>
            <w:hideMark/>
          </w:tcPr>
          <w:p w14:paraId="22DA1C48" w14:textId="77777777" w:rsidR="008B4484" w:rsidRPr="00F07779" w:rsidRDefault="008B4484" w:rsidP="00615D2C">
            <w:pPr>
              <w:snapToGrid w:val="0"/>
              <w:rPr>
                <w:sz w:val="20"/>
                <w:szCs w:val="20"/>
              </w:rPr>
            </w:pPr>
            <w:r w:rsidRPr="00F07779">
              <w:rPr>
                <w:sz w:val="20"/>
                <w:szCs w:val="20"/>
              </w:rPr>
              <w:lastRenderedPageBreak/>
              <w:t>Impact on EE, climate, and environmental protection</w:t>
            </w:r>
          </w:p>
        </w:tc>
        <w:tc>
          <w:tcPr>
            <w:tcW w:w="5739" w:type="dxa"/>
            <w:tcMar>
              <w:top w:w="0" w:type="dxa"/>
              <w:left w:w="108" w:type="dxa"/>
              <w:bottom w:w="0" w:type="dxa"/>
              <w:right w:w="108" w:type="dxa"/>
            </w:tcMar>
            <w:hideMark/>
          </w:tcPr>
          <w:p w14:paraId="247BB805" w14:textId="77777777" w:rsidR="008B4484" w:rsidRPr="00F07779" w:rsidRDefault="008B4484" w:rsidP="00615D2C">
            <w:pPr>
              <w:snapToGrid w:val="0"/>
              <w:rPr>
                <w:sz w:val="20"/>
                <w:szCs w:val="20"/>
              </w:rPr>
            </w:pPr>
            <w:r w:rsidRPr="00F07779">
              <w:rPr>
                <w:sz w:val="20"/>
                <w:szCs w:val="20"/>
              </w:rPr>
              <w:t> Reducing CO2 emissions by 13,600 tons per year.</w:t>
            </w:r>
          </w:p>
        </w:tc>
      </w:tr>
    </w:tbl>
    <w:p w14:paraId="35D6C214" w14:textId="77777777" w:rsidR="008B4484" w:rsidRPr="00F07779" w:rsidRDefault="008B4484" w:rsidP="008B4484"/>
    <w:p w14:paraId="0AE042B3" w14:textId="77777777" w:rsidR="008B4484" w:rsidRPr="00F07779" w:rsidRDefault="008B4484" w:rsidP="008B4484">
      <w:r w:rsidRPr="00F07779">
        <w:t>Table 5.2.4-3: Activities for implementing the measure Т2 –Т2.3</w:t>
      </w:r>
    </w:p>
    <w:tbl>
      <w:tblPr>
        <w:tblW w:w="50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2"/>
        <w:gridCol w:w="5718"/>
      </w:tblGrid>
      <w:tr w:rsidR="008B4484" w:rsidRPr="00F07779" w14:paraId="3E7456B9" w14:textId="77777777" w:rsidTr="00615D2C">
        <w:trPr>
          <w:trHeight w:val="399"/>
        </w:trPr>
        <w:tc>
          <w:tcPr>
            <w:tcW w:w="3072" w:type="dxa"/>
            <w:shd w:val="clear" w:color="000000" w:fill="D9D9D9"/>
            <w:hideMark/>
          </w:tcPr>
          <w:p w14:paraId="586B80CD" w14:textId="77777777" w:rsidR="008B4484" w:rsidRPr="00F07779" w:rsidRDefault="008B4484" w:rsidP="00615D2C">
            <w:pPr>
              <w:snapToGrid w:val="0"/>
              <w:rPr>
                <w:color w:val="000000"/>
                <w:sz w:val="20"/>
                <w:szCs w:val="20"/>
              </w:rPr>
            </w:pPr>
            <w:r w:rsidRPr="00F07779">
              <w:rPr>
                <w:color w:val="000000"/>
                <w:sz w:val="20"/>
                <w:szCs w:val="20"/>
              </w:rPr>
              <w:t>Activity Т2.3</w:t>
            </w:r>
          </w:p>
        </w:tc>
        <w:tc>
          <w:tcPr>
            <w:tcW w:w="5718" w:type="dxa"/>
            <w:shd w:val="clear" w:color="000000" w:fill="D9D9D9"/>
            <w:hideMark/>
          </w:tcPr>
          <w:p w14:paraId="2F392605" w14:textId="225B7B3A" w:rsidR="008B4484" w:rsidRPr="00F07779" w:rsidRDefault="008B4484" w:rsidP="00615D2C">
            <w:pPr>
              <w:snapToGrid w:val="0"/>
              <w:rPr>
                <w:color w:val="000000"/>
                <w:sz w:val="20"/>
                <w:szCs w:val="20"/>
              </w:rPr>
            </w:pPr>
            <w:r w:rsidRPr="00F07779">
              <w:rPr>
                <w:color w:val="000000"/>
                <w:sz w:val="20"/>
                <w:szCs w:val="20"/>
              </w:rPr>
              <w:t xml:space="preserve">Use of heat pumps in the DHS in </w:t>
            </w:r>
            <w:proofErr w:type="spellStart"/>
            <w:r w:rsidRPr="00F07779">
              <w:rPr>
                <w:color w:val="000000"/>
                <w:sz w:val="20"/>
                <w:szCs w:val="20"/>
              </w:rPr>
              <w:t>Užice</w:t>
            </w:r>
            <w:proofErr w:type="spellEnd"/>
            <w:r w:rsidRPr="00F07779">
              <w:rPr>
                <w:color w:val="000000"/>
                <w:sz w:val="20"/>
                <w:szCs w:val="20"/>
              </w:rPr>
              <w:t xml:space="preserve"> and reconstruction of the boiler house "Zlatibor"</w:t>
            </w:r>
          </w:p>
        </w:tc>
      </w:tr>
      <w:tr w:rsidR="008B4484" w:rsidRPr="00F07779" w14:paraId="22136577" w14:textId="77777777" w:rsidTr="00615D2C">
        <w:trPr>
          <w:trHeight w:val="525"/>
        </w:trPr>
        <w:tc>
          <w:tcPr>
            <w:tcW w:w="3072" w:type="dxa"/>
            <w:hideMark/>
          </w:tcPr>
          <w:p w14:paraId="102FC6EF" w14:textId="77777777" w:rsidR="008B4484" w:rsidRPr="00F07779" w:rsidRDefault="008B4484" w:rsidP="00615D2C">
            <w:pPr>
              <w:snapToGrid w:val="0"/>
              <w:rPr>
                <w:color w:val="000000"/>
                <w:sz w:val="20"/>
                <w:szCs w:val="20"/>
              </w:rPr>
            </w:pPr>
            <w:r w:rsidRPr="00F07779">
              <w:rPr>
                <w:sz w:val="20"/>
                <w:szCs w:val="20"/>
              </w:rPr>
              <w:t>Description</w:t>
            </w:r>
          </w:p>
        </w:tc>
        <w:tc>
          <w:tcPr>
            <w:tcW w:w="5718" w:type="dxa"/>
            <w:hideMark/>
          </w:tcPr>
          <w:p w14:paraId="13EF7C7E" w14:textId="77777777" w:rsidR="008B4484" w:rsidRPr="00F07779" w:rsidRDefault="008B4484" w:rsidP="00615D2C">
            <w:pPr>
              <w:snapToGrid w:val="0"/>
              <w:jc w:val="both"/>
              <w:rPr>
                <w:color w:val="000000"/>
                <w:sz w:val="20"/>
                <w:szCs w:val="20"/>
              </w:rPr>
            </w:pPr>
            <w:r w:rsidRPr="00F07779">
              <w:rPr>
                <w:color w:val="000000"/>
                <w:sz w:val="20"/>
                <w:szCs w:val="20"/>
              </w:rPr>
              <w:t xml:space="preserve">- Installation of a 3 MW heat pump as a heat source in the DHS, which uses water from </w:t>
            </w:r>
            <w:proofErr w:type="spellStart"/>
            <w:r w:rsidRPr="00F07779">
              <w:rPr>
                <w:color w:val="000000"/>
                <w:sz w:val="20"/>
                <w:szCs w:val="20"/>
              </w:rPr>
              <w:t>Đetinja</w:t>
            </w:r>
            <w:proofErr w:type="spellEnd"/>
            <w:r w:rsidRPr="00F07779">
              <w:rPr>
                <w:color w:val="000000"/>
                <w:sz w:val="20"/>
                <w:szCs w:val="20"/>
              </w:rPr>
              <w:t xml:space="preserve"> as a heat source</w:t>
            </w:r>
          </w:p>
          <w:p w14:paraId="6587B40E" w14:textId="77777777" w:rsidR="008B4484" w:rsidRPr="00F07779" w:rsidRDefault="008B4484" w:rsidP="00615D2C">
            <w:pPr>
              <w:snapToGrid w:val="0"/>
              <w:jc w:val="both"/>
              <w:rPr>
                <w:color w:val="000000"/>
                <w:sz w:val="20"/>
                <w:szCs w:val="20"/>
              </w:rPr>
            </w:pPr>
            <w:r w:rsidRPr="00F07779">
              <w:rPr>
                <w:color w:val="000000"/>
                <w:sz w:val="20"/>
                <w:szCs w:val="20"/>
              </w:rPr>
              <w:t xml:space="preserve">- Boiler house "ZLATIBOR" - connection to the new boiler house </w:t>
            </w:r>
            <w:proofErr w:type="spellStart"/>
            <w:r w:rsidRPr="00F07779">
              <w:rPr>
                <w:color w:val="000000"/>
                <w:sz w:val="20"/>
                <w:szCs w:val="20"/>
              </w:rPr>
              <w:t>Međaj</w:t>
            </w:r>
            <w:proofErr w:type="spellEnd"/>
            <w:r w:rsidRPr="00F07779">
              <w:rPr>
                <w:color w:val="000000"/>
                <w:sz w:val="20"/>
                <w:szCs w:val="20"/>
              </w:rPr>
              <w:t xml:space="preserve"> (natural gas)</w:t>
            </w:r>
          </w:p>
        </w:tc>
      </w:tr>
      <w:tr w:rsidR="008B4484" w:rsidRPr="00F07779" w14:paraId="4C1AD6C5" w14:textId="77777777" w:rsidTr="00615D2C">
        <w:trPr>
          <w:trHeight w:val="418"/>
        </w:trPr>
        <w:tc>
          <w:tcPr>
            <w:tcW w:w="3072" w:type="dxa"/>
            <w:hideMark/>
          </w:tcPr>
          <w:p w14:paraId="5D283AAE" w14:textId="77777777" w:rsidR="008B4484" w:rsidRPr="00F07779" w:rsidRDefault="008B4484" w:rsidP="00615D2C">
            <w:pPr>
              <w:snapToGrid w:val="0"/>
              <w:rPr>
                <w:color w:val="000000"/>
                <w:sz w:val="20"/>
                <w:szCs w:val="20"/>
              </w:rPr>
            </w:pPr>
            <w:r w:rsidRPr="00F07779">
              <w:rPr>
                <w:sz w:val="20"/>
                <w:szCs w:val="20"/>
              </w:rPr>
              <w:t>Institutions responsible for the implementation of measures and activities</w:t>
            </w:r>
          </w:p>
        </w:tc>
        <w:tc>
          <w:tcPr>
            <w:tcW w:w="5718" w:type="dxa"/>
            <w:hideMark/>
          </w:tcPr>
          <w:p w14:paraId="6B6004BE" w14:textId="77777777" w:rsidR="008B4484" w:rsidRPr="00F07779" w:rsidRDefault="008B4484" w:rsidP="00615D2C">
            <w:pPr>
              <w:snapToGrid w:val="0"/>
              <w:rPr>
                <w:sz w:val="20"/>
                <w:szCs w:val="20"/>
              </w:rPr>
            </w:pPr>
            <w:r w:rsidRPr="00F07779">
              <w:rPr>
                <w:sz w:val="20"/>
                <w:szCs w:val="20"/>
              </w:rPr>
              <w:t xml:space="preserve">PUC </w:t>
            </w:r>
            <w:proofErr w:type="spellStart"/>
            <w:r w:rsidRPr="00F07779">
              <w:rPr>
                <w:sz w:val="20"/>
                <w:szCs w:val="20"/>
              </w:rPr>
              <w:t>Gradska</w:t>
            </w:r>
            <w:proofErr w:type="spellEnd"/>
            <w:r w:rsidRPr="00F07779">
              <w:rPr>
                <w:sz w:val="20"/>
                <w:szCs w:val="20"/>
              </w:rPr>
              <w:t xml:space="preserve"> </w:t>
            </w:r>
            <w:proofErr w:type="spellStart"/>
            <w:r w:rsidRPr="00F07779">
              <w:rPr>
                <w:sz w:val="20"/>
                <w:szCs w:val="20"/>
              </w:rPr>
              <w:t>toplana</w:t>
            </w:r>
            <w:proofErr w:type="spellEnd"/>
            <w:r w:rsidRPr="00F07779">
              <w:rPr>
                <w:sz w:val="20"/>
                <w:szCs w:val="20"/>
              </w:rPr>
              <w:t xml:space="preserve"> </w:t>
            </w:r>
            <w:proofErr w:type="spellStart"/>
            <w:r w:rsidRPr="00F07779">
              <w:rPr>
                <w:sz w:val="20"/>
                <w:szCs w:val="20"/>
              </w:rPr>
              <w:t>Užice</w:t>
            </w:r>
            <w:proofErr w:type="spellEnd"/>
          </w:p>
          <w:p w14:paraId="5DA2DD90" w14:textId="77777777" w:rsidR="008B4484" w:rsidRPr="00F07779" w:rsidRDefault="008B4484" w:rsidP="00615D2C">
            <w:pPr>
              <w:snapToGrid w:val="0"/>
              <w:rPr>
                <w:sz w:val="20"/>
                <w:szCs w:val="20"/>
              </w:rPr>
            </w:pPr>
            <w:r w:rsidRPr="00F07779">
              <w:rPr>
                <w:color w:val="000000"/>
                <w:sz w:val="20"/>
                <w:szCs w:val="20"/>
              </w:rPr>
              <w:t xml:space="preserve">Competent authority of the City of </w:t>
            </w:r>
            <w:proofErr w:type="spellStart"/>
            <w:r w:rsidRPr="00F07779">
              <w:rPr>
                <w:color w:val="000000"/>
                <w:sz w:val="20"/>
                <w:szCs w:val="20"/>
              </w:rPr>
              <w:t>Užice</w:t>
            </w:r>
            <w:proofErr w:type="spellEnd"/>
          </w:p>
        </w:tc>
      </w:tr>
      <w:tr w:rsidR="008B4484" w:rsidRPr="00F07779" w14:paraId="6ABA7CED" w14:textId="77777777" w:rsidTr="00615D2C">
        <w:trPr>
          <w:trHeight w:val="510"/>
        </w:trPr>
        <w:tc>
          <w:tcPr>
            <w:tcW w:w="3072" w:type="dxa"/>
            <w:hideMark/>
          </w:tcPr>
          <w:p w14:paraId="3CAE2E44" w14:textId="77777777" w:rsidR="008B4484" w:rsidRPr="00F07779" w:rsidRDefault="008B4484" w:rsidP="00615D2C">
            <w:pPr>
              <w:snapToGrid w:val="0"/>
              <w:rPr>
                <w:color w:val="000000"/>
                <w:sz w:val="20"/>
                <w:szCs w:val="20"/>
              </w:rPr>
            </w:pPr>
            <w:r w:rsidRPr="00F07779">
              <w:rPr>
                <w:sz w:val="20"/>
                <w:szCs w:val="20"/>
              </w:rPr>
              <w:t>Institutions responsible for monitoring implementation and reporting on realization</w:t>
            </w:r>
          </w:p>
        </w:tc>
        <w:tc>
          <w:tcPr>
            <w:tcW w:w="5718" w:type="dxa"/>
            <w:hideMark/>
          </w:tcPr>
          <w:p w14:paraId="0131B35C" w14:textId="77777777" w:rsidR="008B4484" w:rsidRPr="00F07779" w:rsidRDefault="008B4484" w:rsidP="00615D2C">
            <w:pPr>
              <w:snapToGrid w:val="0"/>
              <w:rPr>
                <w:color w:val="000000"/>
                <w:sz w:val="20"/>
                <w:szCs w:val="20"/>
              </w:rPr>
            </w:pPr>
            <w:r w:rsidRPr="00F07779">
              <w:rPr>
                <w:color w:val="000000"/>
                <w:sz w:val="20"/>
                <w:szCs w:val="20"/>
              </w:rPr>
              <w:t>Ministry of Environmental Protection</w:t>
            </w:r>
          </w:p>
        </w:tc>
      </w:tr>
      <w:tr w:rsidR="008B4484" w:rsidRPr="00F07779" w14:paraId="706E2872" w14:textId="77777777" w:rsidTr="00615D2C">
        <w:trPr>
          <w:trHeight w:val="315"/>
        </w:trPr>
        <w:tc>
          <w:tcPr>
            <w:tcW w:w="3072" w:type="dxa"/>
            <w:hideMark/>
          </w:tcPr>
          <w:p w14:paraId="0F578C42" w14:textId="77777777" w:rsidR="008B4484" w:rsidRPr="00F07779" w:rsidRDefault="008B4484" w:rsidP="00615D2C">
            <w:pPr>
              <w:snapToGrid w:val="0"/>
              <w:rPr>
                <w:color w:val="000000"/>
                <w:sz w:val="20"/>
                <w:szCs w:val="20"/>
              </w:rPr>
            </w:pPr>
            <w:r w:rsidRPr="00F07779">
              <w:rPr>
                <w:sz w:val="20"/>
                <w:szCs w:val="20"/>
              </w:rPr>
              <w:t>Deadline for implementation</w:t>
            </w:r>
          </w:p>
        </w:tc>
        <w:tc>
          <w:tcPr>
            <w:tcW w:w="5718" w:type="dxa"/>
            <w:hideMark/>
          </w:tcPr>
          <w:p w14:paraId="2CAC7E18" w14:textId="77777777" w:rsidR="008B4484" w:rsidRPr="00F07779" w:rsidRDefault="008B4484" w:rsidP="00615D2C">
            <w:pPr>
              <w:snapToGrid w:val="0"/>
              <w:rPr>
                <w:color w:val="000000"/>
                <w:sz w:val="20"/>
                <w:szCs w:val="20"/>
              </w:rPr>
            </w:pPr>
            <w:r w:rsidRPr="00F07779">
              <w:rPr>
                <w:color w:val="000000"/>
                <w:sz w:val="20"/>
                <w:szCs w:val="20"/>
              </w:rPr>
              <w:t xml:space="preserve">2027. </w:t>
            </w:r>
          </w:p>
        </w:tc>
      </w:tr>
      <w:tr w:rsidR="008B4484" w:rsidRPr="00F07779" w14:paraId="5A8B74B5" w14:textId="77777777" w:rsidTr="00615D2C">
        <w:trPr>
          <w:trHeight w:val="640"/>
        </w:trPr>
        <w:tc>
          <w:tcPr>
            <w:tcW w:w="3072" w:type="dxa"/>
            <w:hideMark/>
          </w:tcPr>
          <w:p w14:paraId="4D12936D" w14:textId="77777777" w:rsidR="008B4484" w:rsidRPr="00F07779" w:rsidRDefault="008B4484" w:rsidP="00615D2C">
            <w:pPr>
              <w:snapToGrid w:val="0"/>
              <w:rPr>
                <w:color w:val="000000"/>
                <w:sz w:val="20"/>
                <w:szCs w:val="20"/>
              </w:rPr>
            </w:pPr>
            <w:r w:rsidRPr="00F07779">
              <w:rPr>
                <w:sz w:val="20"/>
                <w:szCs w:val="20"/>
              </w:rPr>
              <w:t>Required funds and source of financing</w:t>
            </w:r>
          </w:p>
        </w:tc>
        <w:tc>
          <w:tcPr>
            <w:tcW w:w="5718" w:type="dxa"/>
            <w:hideMark/>
          </w:tcPr>
          <w:p w14:paraId="5CAE99BB" w14:textId="77777777" w:rsidR="008B4484" w:rsidRPr="00F07779" w:rsidRDefault="008B4484" w:rsidP="00615D2C">
            <w:pPr>
              <w:snapToGrid w:val="0"/>
              <w:rPr>
                <w:color w:val="000000"/>
                <w:sz w:val="20"/>
                <w:szCs w:val="20"/>
              </w:rPr>
            </w:pPr>
            <w:r w:rsidRPr="00F07779">
              <w:rPr>
                <w:color w:val="000000"/>
                <w:sz w:val="20"/>
                <w:szCs w:val="20"/>
              </w:rPr>
              <w:t>EUR 3.96 million</w:t>
            </w:r>
          </w:p>
          <w:p w14:paraId="314C92AC" w14:textId="77777777" w:rsidR="008B4484" w:rsidRPr="00F07779" w:rsidRDefault="008B4484" w:rsidP="00615D2C">
            <w:pPr>
              <w:snapToGrid w:val="0"/>
              <w:rPr>
                <w:color w:val="000000"/>
                <w:sz w:val="20"/>
                <w:szCs w:val="20"/>
              </w:rPr>
            </w:pPr>
            <w:r w:rsidRPr="00F07779">
              <w:rPr>
                <w:color w:val="000000"/>
                <w:sz w:val="20"/>
                <w:szCs w:val="20"/>
              </w:rPr>
              <w:t>EBRD loan, approximately 20% grant</w:t>
            </w:r>
          </w:p>
          <w:p w14:paraId="61A38E00" w14:textId="77777777" w:rsidR="008B4484" w:rsidRPr="00F07779" w:rsidRDefault="008B4484" w:rsidP="00615D2C">
            <w:pPr>
              <w:snapToGrid w:val="0"/>
              <w:rPr>
                <w:color w:val="000000"/>
                <w:sz w:val="20"/>
                <w:szCs w:val="20"/>
              </w:rPr>
            </w:pPr>
            <w:r w:rsidRPr="00F07779">
              <w:rPr>
                <w:color w:val="000000"/>
                <w:sz w:val="20"/>
                <w:szCs w:val="20"/>
              </w:rPr>
              <w:t>The implementation dynamics and the plan for withdrawing funds will be defined later</w:t>
            </w:r>
          </w:p>
        </w:tc>
      </w:tr>
      <w:tr w:rsidR="00BE5C5E" w:rsidRPr="00F07779" w14:paraId="13AD76F9" w14:textId="77777777" w:rsidTr="00615D2C">
        <w:trPr>
          <w:trHeight w:val="973"/>
        </w:trPr>
        <w:tc>
          <w:tcPr>
            <w:tcW w:w="3072" w:type="dxa"/>
            <w:hideMark/>
          </w:tcPr>
          <w:p w14:paraId="3309345F" w14:textId="77777777" w:rsidR="00BE5C5E" w:rsidRPr="00F07779" w:rsidRDefault="00BE5C5E" w:rsidP="00BE5C5E">
            <w:pPr>
              <w:snapToGrid w:val="0"/>
              <w:rPr>
                <w:color w:val="000000"/>
                <w:sz w:val="20"/>
                <w:szCs w:val="20"/>
              </w:rPr>
            </w:pPr>
            <w:r w:rsidRPr="00F07779">
              <w:rPr>
                <w:sz w:val="20"/>
                <w:szCs w:val="20"/>
              </w:rPr>
              <w:t>Impact of the activity on the achievement of the objective</w:t>
            </w:r>
          </w:p>
        </w:tc>
        <w:tc>
          <w:tcPr>
            <w:tcW w:w="5718" w:type="dxa"/>
            <w:hideMark/>
          </w:tcPr>
          <w:p w14:paraId="50ADAB94" w14:textId="77777777" w:rsidR="00BE5C5E" w:rsidRPr="00F07779" w:rsidRDefault="00BE5C5E" w:rsidP="00BE5C5E">
            <w:pPr>
              <w:rPr>
                <w:color w:val="000000"/>
                <w:sz w:val="20"/>
                <w:szCs w:val="20"/>
              </w:rPr>
            </w:pPr>
            <w:r w:rsidRPr="00F07779">
              <w:rPr>
                <w:color w:val="000000"/>
                <w:sz w:val="20"/>
                <w:szCs w:val="20"/>
              </w:rPr>
              <w:t>Increase in the use of RES and waste heat</w:t>
            </w:r>
          </w:p>
          <w:p w14:paraId="319C3A2A" w14:textId="77777777" w:rsidR="00BE5C5E" w:rsidRPr="00F07779" w:rsidRDefault="00BE5C5E" w:rsidP="00BE5C5E">
            <w:pPr>
              <w:rPr>
                <w:color w:val="000000"/>
                <w:sz w:val="20"/>
                <w:szCs w:val="20"/>
              </w:rPr>
            </w:pPr>
            <w:r w:rsidRPr="00F07779">
              <w:rPr>
                <w:color w:val="000000"/>
                <w:sz w:val="20"/>
                <w:szCs w:val="20"/>
              </w:rPr>
              <w:t>Total:</w:t>
            </w:r>
          </w:p>
          <w:p w14:paraId="6360CD36" w14:textId="5170183A" w:rsidR="00BE5C5E" w:rsidRPr="00F07779" w:rsidRDefault="00BE5C5E" w:rsidP="00BE5C5E">
            <w:pPr>
              <w:snapToGrid w:val="0"/>
              <w:rPr>
                <w:color w:val="000000"/>
                <w:sz w:val="20"/>
                <w:szCs w:val="20"/>
              </w:rPr>
            </w:pPr>
            <w:r w:rsidRPr="00F07779">
              <w:rPr>
                <w:color w:val="000000"/>
                <w:sz w:val="20"/>
                <w:szCs w:val="20"/>
              </w:rPr>
              <w:t xml:space="preserve">In DHS in </w:t>
            </w:r>
            <w:proofErr w:type="spellStart"/>
            <w:r w:rsidRPr="00F07779">
              <w:rPr>
                <w:color w:val="000000"/>
                <w:sz w:val="20"/>
                <w:szCs w:val="20"/>
              </w:rPr>
              <w:t>Užice</w:t>
            </w:r>
            <w:proofErr w:type="spellEnd"/>
            <w:r w:rsidRPr="00F07779">
              <w:rPr>
                <w:color w:val="000000"/>
                <w:sz w:val="20"/>
                <w:szCs w:val="20"/>
              </w:rPr>
              <w:t>: 4%</w:t>
            </w:r>
          </w:p>
        </w:tc>
      </w:tr>
      <w:tr w:rsidR="00BE5C5E" w:rsidRPr="00F07779" w14:paraId="3C08E0E9" w14:textId="77777777" w:rsidTr="00BE5C5E">
        <w:trPr>
          <w:trHeight w:val="640"/>
        </w:trPr>
        <w:tc>
          <w:tcPr>
            <w:tcW w:w="3072" w:type="dxa"/>
            <w:hideMark/>
          </w:tcPr>
          <w:p w14:paraId="00B9E695" w14:textId="77777777" w:rsidR="00BE5C5E" w:rsidRPr="00F07779" w:rsidRDefault="00BE5C5E" w:rsidP="00BE5C5E">
            <w:pPr>
              <w:snapToGrid w:val="0"/>
              <w:rPr>
                <w:color w:val="000000"/>
                <w:sz w:val="20"/>
                <w:szCs w:val="20"/>
              </w:rPr>
            </w:pPr>
            <w:r w:rsidRPr="00F07779">
              <w:rPr>
                <w:sz w:val="20"/>
                <w:szCs w:val="20"/>
              </w:rPr>
              <w:t>Impact on EE, climate, and environmental protection</w:t>
            </w:r>
          </w:p>
        </w:tc>
        <w:tc>
          <w:tcPr>
            <w:tcW w:w="5718" w:type="dxa"/>
          </w:tcPr>
          <w:p w14:paraId="4AC9D54E" w14:textId="545E4109" w:rsidR="00BE5C5E" w:rsidRPr="00F07779" w:rsidRDefault="00BE5C5E" w:rsidP="00BE5C5E">
            <w:pPr>
              <w:snapToGrid w:val="0"/>
              <w:rPr>
                <w:color w:val="000000"/>
                <w:sz w:val="20"/>
                <w:szCs w:val="20"/>
              </w:rPr>
            </w:pPr>
            <w:r w:rsidRPr="00F07779">
              <w:rPr>
                <w:color w:val="000000"/>
                <w:sz w:val="20"/>
                <w:szCs w:val="20"/>
              </w:rPr>
              <w:t>Emission reduction 264.1 tCO2eqv/year</w:t>
            </w:r>
          </w:p>
        </w:tc>
      </w:tr>
    </w:tbl>
    <w:p w14:paraId="5F33C38C" w14:textId="77777777" w:rsidR="00BE5C5E" w:rsidRPr="00F07779" w:rsidRDefault="00BE5C5E" w:rsidP="008B4484"/>
    <w:p w14:paraId="052EEB7C" w14:textId="3EF1D98D" w:rsidR="008B4484" w:rsidRPr="00F07779" w:rsidRDefault="008B4484" w:rsidP="008B4484">
      <w:r w:rsidRPr="00F07779">
        <w:t>Table 5.2.4-4: Activities for implementing the measure Т2 –Т2.4</w:t>
      </w:r>
    </w:p>
    <w:tbl>
      <w:tblPr>
        <w:tblW w:w="50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72"/>
        <w:gridCol w:w="5718"/>
      </w:tblGrid>
      <w:tr w:rsidR="008B4484" w:rsidRPr="00F07779" w14:paraId="6202A97F" w14:textId="77777777" w:rsidTr="00615D2C">
        <w:trPr>
          <w:trHeight w:val="330"/>
        </w:trPr>
        <w:tc>
          <w:tcPr>
            <w:tcW w:w="3072" w:type="dxa"/>
            <w:shd w:val="clear" w:color="auto" w:fill="D9D9D9" w:themeFill="background1" w:themeFillShade="D9"/>
            <w:tcMar>
              <w:top w:w="0" w:type="dxa"/>
              <w:left w:w="108" w:type="dxa"/>
              <w:bottom w:w="0" w:type="dxa"/>
              <w:right w:w="108" w:type="dxa"/>
            </w:tcMar>
            <w:vAlign w:val="center"/>
            <w:hideMark/>
          </w:tcPr>
          <w:p w14:paraId="740CBA7A" w14:textId="77777777" w:rsidR="008B4484" w:rsidRPr="00F07779" w:rsidRDefault="008B4484" w:rsidP="00615D2C">
            <w:pPr>
              <w:snapToGrid w:val="0"/>
              <w:rPr>
                <w:sz w:val="20"/>
                <w:szCs w:val="20"/>
              </w:rPr>
            </w:pPr>
            <w:r w:rsidRPr="00F07779">
              <w:rPr>
                <w:sz w:val="20"/>
                <w:szCs w:val="20"/>
              </w:rPr>
              <w:t>Activity T2.4</w:t>
            </w:r>
          </w:p>
        </w:tc>
        <w:tc>
          <w:tcPr>
            <w:tcW w:w="5718" w:type="dxa"/>
            <w:shd w:val="clear" w:color="auto" w:fill="D9D9D9" w:themeFill="background1" w:themeFillShade="D9"/>
            <w:tcMar>
              <w:top w:w="0" w:type="dxa"/>
              <w:left w:w="108" w:type="dxa"/>
              <w:bottom w:w="0" w:type="dxa"/>
              <w:right w:w="108" w:type="dxa"/>
            </w:tcMar>
            <w:vAlign w:val="center"/>
          </w:tcPr>
          <w:p w14:paraId="275AD0A2" w14:textId="77777777" w:rsidR="008B4484" w:rsidRPr="00F07779" w:rsidRDefault="008B4484" w:rsidP="00615D2C">
            <w:pPr>
              <w:snapToGrid w:val="0"/>
              <w:rPr>
                <w:sz w:val="20"/>
                <w:szCs w:val="20"/>
              </w:rPr>
            </w:pPr>
            <w:r w:rsidRPr="00F07779">
              <w:rPr>
                <w:sz w:val="20"/>
                <w:szCs w:val="20"/>
              </w:rPr>
              <w:t>Biomass market development in the Republic of Serbia</w:t>
            </w:r>
          </w:p>
        </w:tc>
      </w:tr>
      <w:tr w:rsidR="008B4484" w:rsidRPr="00F07779" w14:paraId="43ED02C7" w14:textId="77777777" w:rsidTr="00615D2C">
        <w:trPr>
          <w:trHeight w:val="330"/>
        </w:trPr>
        <w:tc>
          <w:tcPr>
            <w:tcW w:w="3072" w:type="dxa"/>
            <w:tcMar>
              <w:top w:w="0" w:type="dxa"/>
              <w:left w:w="108" w:type="dxa"/>
              <w:bottom w:w="0" w:type="dxa"/>
              <w:right w:w="108" w:type="dxa"/>
            </w:tcMar>
            <w:hideMark/>
          </w:tcPr>
          <w:p w14:paraId="1B2D5464" w14:textId="77777777" w:rsidR="008B4484" w:rsidRPr="00F07779" w:rsidRDefault="008B4484" w:rsidP="00615D2C">
            <w:pPr>
              <w:snapToGrid w:val="0"/>
              <w:rPr>
                <w:sz w:val="20"/>
                <w:szCs w:val="20"/>
              </w:rPr>
            </w:pPr>
            <w:r w:rsidRPr="00F07779">
              <w:rPr>
                <w:sz w:val="20"/>
                <w:szCs w:val="20"/>
              </w:rPr>
              <w:t>Description</w:t>
            </w:r>
          </w:p>
        </w:tc>
        <w:tc>
          <w:tcPr>
            <w:tcW w:w="5718" w:type="dxa"/>
            <w:tcMar>
              <w:top w:w="0" w:type="dxa"/>
              <w:left w:w="108" w:type="dxa"/>
              <w:bottom w:w="0" w:type="dxa"/>
              <w:right w:w="108" w:type="dxa"/>
            </w:tcMar>
            <w:vAlign w:val="center"/>
          </w:tcPr>
          <w:p w14:paraId="350B3F58" w14:textId="4D4C8E50" w:rsidR="008B4484" w:rsidRPr="00F07779" w:rsidRDefault="008B4484" w:rsidP="00615D2C">
            <w:pPr>
              <w:tabs>
                <w:tab w:val="left" w:pos="0"/>
              </w:tabs>
              <w:snapToGrid w:val="0"/>
              <w:jc w:val="both"/>
              <w:rPr>
                <w:sz w:val="20"/>
                <w:szCs w:val="20"/>
              </w:rPr>
            </w:pPr>
            <w:r w:rsidRPr="00F07779">
              <w:rPr>
                <w:sz w:val="20"/>
                <w:szCs w:val="20"/>
              </w:rPr>
              <w:t xml:space="preserve">The program aims to introduce the use of renewable energy sources in selected district heating plants in the Republic of Serbia </w:t>
            </w:r>
            <w:proofErr w:type="gramStart"/>
            <w:r w:rsidRPr="00F07779">
              <w:rPr>
                <w:sz w:val="20"/>
                <w:szCs w:val="20"/>
              </w:rPr>
              <w:t>for the production of</w:t>
            </w:r>
            <w:proofErr w:type="gramEnd"/>
            <w:r w:rsidRPr="00F07779">
              <w:rPr>
                <w:sz w:val="20"/>
                <w:szCs w:val="20"/>
              </w:rPr>
              <w:t xml:space="preserve"> </w:t>
            </w:r>
            <w:r w:rsidR="00BE5C5E" w:rsidRPr="00F07779">
              <w:rPr>
                <w:sz w:val="20"/>
                <w:szCs w:val="20"/>
              </w:rPr>
              <w:t>heat</w:t>
            </w:r>
            <w:r w:rsidRPr="00F07779">
              <w:rPr>
                <w:sz w:val="20"/>
                <w:szCs w:val="20"/>
              </w:rPr>
              <w:t xml:space="preserve"> energy, while switching from the use of fossil fuels to the use of biomass. The program envisages the construction of district heating plants, reconstruction of the district heating network and substations in the following cities/municipalities: </w:t>
            </w:r>
            <w:proofErr w:type="spellStart"/>
            <w:r w:rsidRPr="00F07779">
              <w:rPr>
                <w:sz w:val="20"/>
                <w:szCs w:val="20"/>
              </w:rPr>
              <w:t>Majdanpek</w:t>
            </w:r>
            <w:proofErr w:type="spellEnd"/>
            <w:r w:rsidRPr="00F07779">
              <w:rPr>
                <w:sz w:val="20"/>
                <w:szCs w:val="20"/>
              </w:rPr>
              <w:t xml:space="preserve">, </w:t>
            </w:r>
            <w:proofErr w:type="spellStart"/>
            <w:r w:rsidRPr="00F07779">
              <w:rPr>
                <w:sz w:val="20"/>
                <w:szCs w:val="20"/>
              </w:rPr>
              <w:t>Prijepolje</w:t>
            </w:r>
            <w:proofErr w:type="spellEnd"/>
            <w:r w:rsidRPr="00F07779">
              <w:rPr>
                <w:sz w:val="20"/>
                <w:szCs w:val="20"/>
              </w:rPr>
              <w:t xml:space="preserve">, Novi Pazar, Vranje, </w:t>
            </w:r>
            <w:proofErr w:type="spellStart"/>
            <w:r w:rsidRPr="00F07779">
              <w:rPr>
                <w:sz w:val="20"/>
                <w:szCs w:val="20"/>
              </w:rPr>
              <w:t>Niš</w:t>
            </w:r>
            <w:proofErr w:type="spellEnd"/>
            <w:r w:rsidRPr="00F07779">
              <w:rPr>
                <w:sz w:val="20"/>
                <w:szCs w:val="20"/>
              </w:rPr>
              <w:t xml:space="preserve">, </w:t>
            </w:r>
            <w:proofErr w:type="spellStart"/>
            <w:r w:rsidRPr="00F07779">
              <w:rPr>
                <w:sz w:val="20"/>
                <w:szCs w:val="20"/>
              </w:rPr>
              <w:t>Rača</w:t>
            </w:r>
            <w:proofErr w:type="spellEnd"/>
            <w:r w:rsidRPr="00F07779">
              <w:rPr>
                <w:sz w:val="20"/>
                <w:szCs w:val="20"/>
              </w:rPr>
              <w:t>.</w:t>
            </w:r>
          </w:p>
          <w:p w14:paraId="0B89E398" w14:textId="77777777" w:rsidR="008B4484" w:rsidRPr="00F07779" w:rsidRDefault="008B4484" w:rsidP="00615D2C">
            <w:pPr>
              <w:tabs>
                <w:tab w:val="left" w:pos="0"/>
              </w:tabs>
              <w:snapToGrid w:val="0"/>
              <w:jc w:val="both"/>
              <w:rPr>
                <w:sz w:val="20"/>
                <w:szCs w:val="20"/>
              </w:rPr>
            </w:pPr>
            <w:r w:rsidRPr="00F07779">
              <w:rPr>
                <w:sz w:val="20"/>
                <w:szCs w:val="20"/>
              </w:rPr>
              <w:t>Tenders are underway for the selection of consultants for the preparation of feasibility studies (contract signing is expected by September 2025) and a tender for the selection of an implementation consultant (contract signing is expected by December 2025).</w:t>
            </w:r>
          </w:p>
        </w:tc>
      </w:tr>
      <w:tr w:rsidR="008B4484" w:rsidRPr="00F07779" w14:paraId="444E7262" w14:textId="77777777" w:rsidTr="00615D2C">
        <w:trPr>
          <w:trHeight w:val="645"/>
        </w:trPr>
        <w:tc>
          <w:tcPr>
            <w:tcW w:w="3072" w:type="dxa"/>
            <w:tcMar>
              <w:top w:w="0" w:type="dxa"/>
              <w:left w:w="108" w:type="dxa"/>
              <w:bottom w:w="0" w:type="dxa"/>
              <w:right w:w="108" w:type="dxa"/>
            </w:tcMar>
            <w:hideMark/>
          </w:tcPr>
          <w:p w14:paraId="76906DD9" w14:textId="77777777" w:rsidR="008B4484" w:rsidRPr="00F07779" w:rsidRDefault="008B4484" w:rsidP="00615D2C">
            <w:pPr>
              <w:snapToGrid w:val="0"/>
              <w:rPr>
                <w:sz w:val="20"/>
                <w:szCs w:val="20"/>
              </w:rPr>
            </w:pPr>
            <w:r w:rsidRPr="00F07779">
              <w:rPr>
                <w:sz w:val="20"/>
                <w:szCs w:val="20"/>
              </w:rPr>
              <w:t>Institutions responsible for the implementation of measures and activities</w:t>
            </w:r>
          </w:p>
        </w:tc>
        <w:tc>
          <w:tcPr>
            <w:tcW w:w="5718" w:type="dxa"/>
            <w:tcMar>
              <w:top w:w="0" w:type="dxa"/>
              <w:left w:w="108" w:type="dxa"/>
              <w:bottom w:w="0" w:type="dxa"/>
              <w:right w:w="108" w:type="dxa"/>
            </w:tcMar>
            <w:vAlign w:val="center"/>
          </w:tcPr>
          <w:p w14:paraId="1DD30AB5" w14:textId="2E5520D2" w:rsidR="008B4484" w:rsidRPr="00F07779" w:rsidRDefault="00BE5C5E" w:rsidP="00615D2C">
            <w:pPr>
              <w:snapToGrid w:val="0"/>
              <w:rPr>
                <w:sz w:val="20"/>
                <w:szCs w:val="20"/>
              </w:rPr>
            </w:pPr>
            <w:r w:rsidRPr="00F07779">
              <w:rPr>
                <w:sz w:val="20"/>
                <w:szCs w:val="20"/>
              </w:rPr>
              <w:t>MoME</w:t>
            </w:r>
            <w:r w:rsidR="008B4484" w:rsidRPr="00F07779">
              <w:rPr>
                <w:sz w:val="20"/>
                <w:szCs w:val="20"/>
              </w:rPr>
              <w:t xml:space="preserve"> and DHS </w:t>
            </w:r>
          </w:p>
        </w:tc>
      </w:tr>
      <w:tr w:rsidR="008B4484" w:rsidRPr="00F07779" w14:paraId="5D98B60C" w14:textId="77777777" w:rsidTr="00615D2C">
        <w:trPr>
          <w:trHeight w:val="645"/>
        </w:trPr>
        <w:tc>
          <w:tcPr>
            <w:tcW w:w="3072" w:type="dxa"/>
            <w:tcMar>
              <w:top w:w="0" w:type="dxa"/>
              <w:left w:w="108" w:type="dxa"/>
              <w:bottom w:w="0" w:type="dxa"/>
              <w:right w:w="108" w:type="dxa"/>
            </w:tcMar>
            <w:hideMark/>
          </w:tcPr>
          <w:p w14:paraId="1086EF06" w14:textId="77777777" w:rsidR="008B4484" w:rsidRPr="00F07779" w:rsidRDefault="008B4484" w:rsidP="00615D2C">
            <w:pPr>
              <w:snapToGrid w:val="0"/>
              <w:rPr>
                <w:sz w:val="20"/>
                <w:szCs w:val="20"/>
              </w:rPr>
            </w:pPr>
            <w:r w:rsidRPr="00F07779">
              <w:rPr>
                <w:sz w:val="20"/>
                <w:szCs w:val="20"/>
              </w:rPr>
              <w:t>Institutions responsible for monitoring implementation and reporting on realization</w:t>
            </w:r>
          </w:p>
        </w:tc>
        <w:tc>
          <w:tcPr>
            <w:tcW w:w="5718" w:type="dxa"/>
            <w:tcMar>
              <w:top w:w="0" w:type="dxa"/>
              <w:left w:w="108" w:type="dxa"/>
              <w:bottom w:w="0" w:type="dxa"/>
              <w:right w:w="108" w:type="dxa"/>
            </w:tcMar>
            <w:vAlign w:val="center"/>
          </w:tcPr>
          <w:p w14:paraId="238C6F5B" w14:textId="153C910D" w:rsidR="008B4484" w:rsidRPr="00F07779" w:rsidRDefault="00BE5C5E" w:rsidP="00615D2C">
            <w:pPr>
              <w:snapToGrid w:val="0"/>
              <w:rPr>
                <w:sz w:val="20"/>
                <w:szCs w:val="20"/>
              </w:rPr>
            </w:pPr>
            <w:r w:rsidRPr="00F07779">
              <w:rPr>
                <w:sz w:val="20"/>
                <w:szCs w:val="20"/>
              </w:rPr>
              <w:t>MoME</w:t>
            </w:r>
            <w:r w:rsidR="008B4484" w:rsidRPr="00F07779">
              <w:rPr>
                <w:sz w:val="20"/>
                <w:szCs w:val="20"/>
              </w:rPr>
              <w:t xml:space="preserve"> and DHS </w:t>
            </w:r>
          </w:p>
        </w:tc>
      </w:tr>
      <w:tr w:rsidR="008B4484" w:rsidRPr="00F07779" w14:paraId="3D4EE523" w14:textId="77777777" w:rsidTr="00615D2C">
        <w:trPr>
          <w:trHeight w:val="330"/>
        </w:trPr>
        <w:tc>
          <w:tcPr>
            <w:tcW w:w="3072" w:type="dxa"/>
            <w:tcMar>
              <w:top w:w="0" w:type="dxa"/>
              <w:left w:w="108" w:type="dxa"/>
              <w:bottom w:w="0" w:type="dxa"/>
              <w:right w:w="108" w:type="dxa"/>
            </w:tcMar>
            <w:hideMark/>
          </w:tcPr>
          <w:p w14:paraId="468CC8D8" w14:textId="77777777" w:rsidR="008B4484" w:rsidRPr="00F07779" w:rsidRDefault="008B4484" w:rsidP="00615D2C">
            <w:pPr>
              <w:snapToGrid w:val="0"/>
              <w:rPr>
                <w:sz w:val="20"/>
                <w:szCs w:val="20"/>
              </w:rPr>
            </w:pPr>
            <w:r w:rsidRPr="00F07779">
              <w:rPr>
                <w:sz w:val="20"/>
                <w:szCs w:val="20"/>
              </w:rPr>
              <w:t>Deadline for implementation</w:t>
            </w:r>
          </w:p>
        </w:tc>
        <w:tc>
          <w:tcPr>
            <w:tcW w:w="5718" w:type="dxa"/>
            <w:tcMar>
              <w:top w:w="0" w:type="dxa"/>
              <w:left w:w="108" w:type="dxa"/>
              <w:bottom w:w="0" w:type="dxa"/>
              <w:right w:w="108" w:type="dxa"/>
            </w:tcMar>
            <w:vAlign w:val="center"/>
          </w:tcPr>
          <w:p w14:paraId="2201E22F" w14:textId="77777777" w:rsidR="008B4484" w:rsidRPr="00F07779" w:rsidRDefault="008B4484" w:rsidP="00615D2C">
            <w:pPr>
              <w:snapToGrid w:val="0"/>
              <w:rPr>
                <w:sz w:val="20"/>
                <w:szCs w:val="20"/>
              </w:rPr>
            </w:pPr>
            <w:r w:rsidRPr="00F07779">
              <w:rPr>
                <w:sz w:val="20"/>
                <w:szCs w:val="20"/>
              </w:rPr>
              <w:t>The program runs from 01.01. 2025 to 31.12. 2029. It is planned to build two heating plants in 2027, two heating plants in 2028, and two more heating plants in 2029.</w:t>
            </w:r>
          </w:p>
        </w:tc>
      </w:tr>
      <w:tr w:rsidR="008B4484" w:rsidRPr="00F07779" w14:paraId="5404EF0D" w14:textId="77777777" w:rsidTr="00615D2C">
        <w:trPr>
          <w:trHeight w:val="330"/>
        </w:trPr>
        <w:tc>
          <w:tcPr>
            <w:tcW w:w="3072" w:type="dxa"/>
            <w:tcMar>
              <w:top w:w="0" w:type="dxa"/>
              <w:left w:w="108" w:type="dxa"/>
              <w:bottom w:w="0" w:type="dxa"/>
              <w:right w:w="108" w:type="dxa"/>
            </w:tcMar>
            <w:hideMark/>
          </w:tcPr>
          <w:p w14:paraId="16B9552C" w14:textId="77777777" w:rsidR="008B4484" w:rsidRPr="00F07779" w:rsidRDefault="008B4484" w:rsidP="00615D2C">
            <w:pPr>
              <w:snapToGrid w:val="0"/>
              <w:ind w:right="95"/>
              <w:jc w:val="both"/>
              <w:rPr>
                <w:sz w:val="20"/>
                <w:szCs w:val="20"/>
              </w:rPr>
            </w:pPr>
            <w:r w:rsidRPr="00F07779">
              <w:rPr>
                <w:sz w:val="20"/>
                <w:szCs w:val="20"/>
              </w:rPr>
              <w:t>Required funds and source of financing</w:t>
            </w:r>
          </w:p>
        </w:tc>
        <w:tc>
          <w:tcPr>
            <w:tcW w:w="5718" w:type="dxa"/>
            <w:tcMar>
              <w:top w:w="0" w:type="dxa"/>
              <w:left w:w="108" w:type="dxa"/>
              <w:bottom w:w="0" w:type="dxa"/>
              <w:right w:w="108" w:type="dxa"/>
            </w:tcMar>
            <w:vAlign w:val="center"/>
            <w:hideMark/>
          </w:tcPr>
          <w:p w14:paraId="5F052A36" w14:textId="77777777" w:rsidR="008B4484" w:rsidRPr="00F07779" w:rsidRDefault="008B4484" w:rsidP="00615D2C">
            <w:pPr>
              <w:snapToGrid w:val="0"/>
              <w:jc w:val="both"/>
              <w:rPr>
                <w:sz w:val="20"/>
                <w:szCs w:val="20"/>
              </w:rPr>
            </w:pPr>
            <w:r w:rsidRPr="00F07779">
              <w:rPr>
                <w:sz w:val="20"/>
                <w:szCs w:val="20"/>
              </w:rPr>
              <w:t xml:space="preserve">The total value of the Program is EUR 31,900,000, of which EUR 20,000,000 is a loan and EUR 11,900,000 is a grant. All contracts have been </w:t>
            </w:r>
            <w:proofErr w:type="gramStart"/>
            <w:r w:rsidRPr="00F07779">
              <w:rPr>
                <w:sz w:val="20"/>
                <w:szCs w:val="20"/>
              </w:rPr>
              <w:t>signed,</w:t>
            </w:r>
            <w:proofErr w:type="gramEnd"/>
            <w:r w:rsidRPr="00F07779">
              <w:rPr>
                <w:sz w:val="20"/>
                <w:szCs w:val="20"/>
              </w:rPr>
              <w:t xml:space="preserve"> as follows:</w:t>
            </w:r>
          </w:p>
          <w:p w14:paraId="6431406B" w14:textId="77777777" w:rsidR="008B4484" w:rsidRPr="00F07779" w:rsidRDefault="008B4484" w:rsidP="00615D2C">
            <w:pPr>
              <w:snapToGrid w:val="0"/>
              <w:jc w:val="both"/>
              <w:rPr>
                <w:sz w:val="20"/>
                <w:szCs w:val="20"/>
              </w:rPr>
            </w:pPr>
            <w:r w:rsidRPr="00F07779">
              <w:rPr>
                <w:sz w:val="20"/>
                <w:szCs w:val="20"/>
              </w:rPr>
              <w:t>- The Loan Agreement was signed on 27.10. 2023, ratified on 3.07. 2024,</w:t>
            </w:r>
          </w:p>
          <w:p w14:paraId="50812ACD" w14:textId="77777777" w:rsidR="008B4484" w:rsidRPr="00F07779" w:rsidRDefault="008B4484" w:rsidP="00615D2C">
            <w:pPr>
              <w:snapToGrid w:val="0"/>
              <w:jc w:val="both"/>
              <w:rPr>
                <w:sz w:val="20"/>
                <w:szCs w:val="20"/>
              </w:rPr>
            </w:pPr>
            <w:r w:rsidRPr="00F07779">
              <w:rPr>
                <w:sz w:val="20"/>
                <w:szCs w:val="20"/>
              </w:rPr>
              <w:t xml:space="preserve">- A grant of EUR 2,000,000 provided by the Government of the Federal Republic of Germany, the funds of which will be used to </w:t>
            </w:r>
            <w:r w:rsidRPr="00F07779">
              <w:rPr>
                <w:sz w:val="20"/>
                <w:szCs w:val="20"/>
              </w:rPr>
              <w:lastRenderedPageBreak/>
              <w:t xml:space="preserve">finance the work of consultants and the operating costs of the Central Unit for the Implementation of the Program. The Grant Agreement was signed on 22.12. </w:t>
            </w:r>
            <w:proofErr w:type="gramStart"/>
            <w:r w:rsidRPr="00F07779">
              <w:rPr>
                <w:sz w:val="20"/>
                <w:szCs w:val="20"/>
              </w:rPr>
              <w:t>2023;</w:t>
            </w:r>
            <w:proofErr w:type="gramEnd"/>
          </w:p>
          <w:p w14:paraId="0653E3D3" w14:textId="77777777" w:rsidR="008B4484" w:rsidRPr="00F07779" w:rsidRDefault="008B4484" w:rsidP="00615D2C">
            <w:pPr>
              <w:snapToGrid w:val="0"/>
              <w:jc w:val="both"/>
              <w:rPr>
                <w:sz w:val="20"/>
                <w:szCs w:val="20"/>
              </w:rPr>
            </w:pPr>
            <w:r w:rsidRPr="00F07779">
              <w:rPr>
                <w:sz w:val="20"/>
                <w:szCs w:val="20"/>
              </w:rPr>
              <w:t xml:space="preserve">- A grant of EUR 9,000,000 provided through the Western Balkans Investment Framework (WBIF). The funds will be used up to EUR 7,000,000 for the construction of a biomass plant and up to EUR 2,000,000 for financing consultancy services. The contract was signed on 14 May </w:t>
            </w:r>
            <w:proofErr w:type="gramStart"/>
            <w:r w:rsidRPr="00F07779">
              <w:rPr>
                <w:sz w:val="20"/>
                <w:szCs w:val="20"/>
              </w:rPr>
              <w:t>2024;</w:t>
            </w:r>
            <w:proofErr w:type="gramEnd"/>
          </w:p>
          <w:p w14:paraId="5B57D7F6" w14:textId="77777777" w:rsidR="008B4484" w:rsidRPr="00F07779" w:rsidRDefault="008B4484" w:rsidP="00615D2C">
            <w:pPr>
              <w:snapToGrid w:val="0"/>
              <w:rPr>
                <w:sz w:val="20"/>
                <w:szCs w:val="20"/>
              </w:rPr>
            </w:pPr>
            <w:r w:rsidRPr="00F07779">
              <w:rPr>
                <w:sz w:val="20"/>
                <w:szCs w:val="20"/>
              </w:rPr>
              <w:t xml:space="preserve">- A grant of EUR 900,233.64 was received through IPA </w:t>
            </w:r>
            <w:proofErr w:type="gramStart"/>
            <w:r w:rsidRPr="00F07779">
              <w:rPr>
                <w:sz w:val="20"/>
                <w:szCs w:val="20"/>
              </w:rPr>
              <w:t>2018</w:t>
            </w:r>
            <w:proofErr w:type="gramEnd"/>
            <w:r w:rsidRPr="00F07779">
              <w:rPr>
                <w:sz w:val="20"/>
                <w:szCs w:val="20"/>
              </w:rPr>
              <w:t xml:space="preserve"> and the funds will be used for the preparation of pre-feasibility studies. The contract was signed on 14 May 2024.</w:t>
            </w:r>
          </w:p>
        </w:tc>
      </w:tr>
      <w:tr w:rsidR="008B4484" w:rsidRPr="00F07779" w14:paraId="71F25CB3" w14:textId="77777777" w:rsidTr="00615D2C">
        <w:trPr>
          <w:trHeight w:val="330"/>
        </w:trPr>
        <w:tc>
          <w:tcPr>
            <w:tcW w:w="3072" w:type="dxa"/>
            <w:tcMar>
              <w:top w:w="0" w:type="dxa"/>
              <w:left w:w="108" w:type="dxa"/>
              <w:bottom w:w="0" w:type="dxa"/>
              <w:right w:w="108" w:type="dxa"/>
            </w:tcMar>
            <w:hideMark/>
          </w:tcPr>
          <w:p w14:paraId="5C53BB22" w14:textId="77777777" w:rsidR="008B4484" w:rsidRPr="00F07779" w:rsidRDefault="008B4484" w:rsidP="00615D2C">
            <w:pPr>
              <w:snapToGrid w:val="0"/>
              <w:rPr>
                <w:sz w:val="20"/>
                <w:szCs w:val="20"/>
              </w:rPr>
            </w:pPr>
            <w:r w:rsidRPr="00F07779">
              <w:rPr>
                <w:sz w:val="20"/>
                <w:szCs w:val="20"/>
              </w:rPr>
              <w:lastRenderedPageBreak/>
              <w:t>Impact of the activity on the achievement of the objective</w:t>
            </w:r>
          </w:p>
        </w:tc>
        <w:tc>
          <w:tcPr>
            <w:tcW w:w="5718" w:type="dxa"/>
            <w:tcMar>
              <w:top w:w="0" w:type="dxa"/>
              <w:left w:w="108" w:type="dxa"/>
              <w:bottom w:w="0" w:type="dxa"/>
              <w:right w:w="108" w:type="dxa"/>
            </w:tcMar>
            <w:vAlign w:val="center"/>
            <w:hideMark/>
          </w:tcPr>
          <w:p w14:paraId="133EF965" w14:textId="77777777" w:rsidR="008B4484" w:rsidRPr="00F07779" w:rsidRDefault="008B4484" w:rsidP="00615D2C">
            <w:pPr>
              <w:snapToGrid w:val="0"/>
              <w:rPr>
                <w:sz w:val="20"/>
                <w:szCs w:val="20"/>
              </w:rPr>
            </w:pPr>
            <w:r w:rsidRPr="00F07779">
              <w:rPr>
                <w:sz w:val="20"/>
                <w:szCs w:val="20"/>
              </w:rPr>
              <w:t>An increase in the use of RES cannot be assumed at this time, as the installed power of production capacities is not known.</w:t>
            </w:r>
          </w:p>
        </w:tc>
      </w:tr>
      <w:tr w:rsidR="008B4484" w:rsidRPr="00F07779" w14:paraId="56D49AF6" w14:textId="77777777" w:rsidTr="00615D2C">
        <w:trPr>
          <w:trHeight w:val="330"/>
        </w:trPr>
        <w:tc>
          <w:tcPr>
            <w:tcW w:w="3072" w:type="dxa"/>
            <w:tcMar>
              <w:top w:w="0" w:type="dxa"/>
              <w:left w:w="108" w:type="dxa"/>
              <w:bottom w:w="0" w:type="dxa"/>
              <w:right w:w="108" w:type="dxa"/>
            </w:tcMar>
            <w:hideMark/>
          </w:tcPr>
          <w:p w14:paraId="79DB2407" w14:textId="77777777" w:rsidR="008B4484" w:rsidRPr="00F07779" w:rsidRDefault="008B4484" w:rsidP="00615D2C">
            <w:pPr>
              <w:snapToGrid w:val="0"/>
              <w:rPr>
                <w:sz w:val="20"/>
                <w:szCs w:val="20"/>
              </w:rPr>
            </w:pPr>
            <w:r w:rsidRPr="00F07779">
              <w:rPr>
                <w:sz w:val="20"/>
                <w:szCs w:val="20"/>
              </w:rPr>
              <w:t>Impact on EE, climate, and environmental protection</w:t>
            </w:r>
          </w:p>
        </w:tc>
        <w:tc>
          <w:tcPr>
            <w:tcW w:w="5718" w:type="dxa"/>
            <w:tcMar>
              <w:top w:w="0" w:type="dxa"/>
              <w:left w:w="108" w:type="dxa"/>
              <w:bottom w:w="0" w:type="dxa"/>
              <w:right w:w="108" w:type="dxa"/>
            </w:tcMar>
            <w:vAlign w:val="center"/>
            <w:hideMark/>
          </w:tcPr>
          <w:p w14:paraId="67021B0C" w14:textId="77777777" w:rsidR="008B4484" w:rsidRPr="00F07779" w:rsidRDefault="008B4484" w:rsidP="00615D2C">
            <w:pPr>
              <w:snapToGrid w:val="0"/>
              <w:rPr>
                <w:sz w:val="20"/>
                <w:szCs w:val="20"/>
              </w:rPr>
            </w:pPr>
            <w:r w:rsidRPr="00F07779">
              <w:rPr>
                <w:sz w:val="20"/>
                <w:szCs w:val="20"/>
              </w:rPr>
              <w:t> Reducing carbon dioxide emissions and local pollutants.</w:t>
            </w:r>
          </w:p>
        </w:tc>
      </w:tr>
    </w:tbl>
    <w:p w14:paraId="3549B605" w14:textId="77777777" w:rsidR="008B4484" w:rsidRPr="00F07779" w:rsidRDefault="008B4484" w:rsidP="008B4484"/>
    <w:p w14:paraId="67D8B1CF" w14:textId="77777777" w:rsidR="008B4484" w:rsidRPr="00F07779" w:rsidRDefault="008B4484" w:rsidP="008B4484">
      <w:r w:rsidRPr="00F07779">
        <w:t>Table 5.2.4-5: Activities for implementing the measure Т2 –Т2.5</w:t>
      </w:r>
    </w:p>
    <w:tbl>
      <w:tblPr>
        <w:tblStyle w:val="TableGrid"/>
        <w:tblW w:w="0" w:type="auto"/>
        <w:tblLook w:val="04A0" w:firstRow="1" w:lastRow="0" w:firstColumn="1" w:lastColumn="0" w:noHBand="0" w:noVBand="1"/>
      </w:tblPr>
      <w:tblGrid>
        <w:gridCol w:w="2973"/>
        <w:gridCol w:w="5669"/>
      </w:tblGrid>
      <w:tr w:rsidR="008B4484" w:rsidRPr="00F07779" w14:paraId="6B1BA223" w14:textId="77777777" w:rsidTr="00615D2C">
        <w:tc>
          <w:tcPr>
            <w:tcW w:w="2973" w:type="dxa"/>
            <w:shd w:val="clear" w:color="auto" w:fill="D9D9D9" w:themeFill="background1" w:themeFillShade="D9"/>
          </w:tcPr>
          <w:p w14:paraId="7F2A43C9" w14:textId="77777777" w:rsidR="008B4484" w:rsidRPr="00F07779" w:rsidRDefault="008B4484" w:rsidP="00615D2C">
            <w:pPr>
              <w:rPr>
                <w:sz w:val="20"/>
                <w:szCs w:val="20"/>
              </w:rPr>
            </w:pPr>
            <w:r w:rsidRPr="00F07779">
              <w:rPr>
                <w:sz w:val="20"/>
                <w:szCs w:val="20"/>
              </w:rPr>
              <w:t>Activity T2.5.</w:t>
            </w:r>
          </w:p>
        </w:tc>
        <w:tc>
          <w:tcPr>
            <w:tcW w:w="5669" w:type="dxa"/>
            <w:shd w:val="clear" w:color="auto" w:fill="D9D9D9" w:themeFill="background1" w:themeFillShade="D9"/>
          </w:tcPr>
          <w:p w14:paraId="13778450" w14:textId="77777777" w:rsidR="008B4484" w:rsidRPr="00F07779" w:rsidRDefault="008B4484" w:rsidP="00615D2C">
            <w:pPr>
              <w:rPr>
                <w:sz w:val="20"/>
                <w:szCs w:val="20"/>
              </w:rPr>
            </w:pPr>
            <w:r w:rsidRPr="00F07779">
              <w:rPr>
                <w:sz w:val="20"/>
                <w:szCs w:val="20"/>
              </w:rPr>
              <w:t>Decarbonization of district heating (DDH)</w:t>
            </w:r>
          </w:p>
        </w:tc>
      </w:tr>
      <w:tr w:rsidR="008B4484" w:rsidRPr="00F07779" w14:paraId="32773BCF" w14:textId="77777777" w:rsidTr="00615D2C">
        <w:tc>
          <w:tcPr>
            <w:tcW w:w="2973" w:type="dxa"/>
          </w:tcPr>
          <w:p w14:paraId="1E2817F2" w14:textId="77777777" w:rsidR="008B4484" w:rsidRPr="00F07779" w:rsidRDefault="008B4484" w:rsidP="00615D2C">
            <w:pPr>
              <w:rPr>
                <w:sz w:val="20"/>
                <w:szCs w:val="20"/>
              </w:rPr>
            </w:pPr>
            <w:r w:rsidRPr="00F07779">
              <w:rPr>
                <w:sz w:val="20"/>
                <w:szCs w:val="20"/>
              </w:rPr>
              <w:t>Description</w:t>
            </w:r>
          </w:p>
        </w:tc>
        <w:tc>
          <w:tcPr>
            <w:tcW w:w="5669" w:type="dxa"/>
          </w:tcPr>
          <w:p w14:paraId="032B62BA" w14:textId="77777777" w:rsidR="008B4484" w:rsidRPr="00F07779" w:rsidRDefault="008B4484" w:rsidP="00615D2C">
            <w:pPr>
              <w:pStyle w:val="P68B1DB1-ListParagraph17"/>
              <w:spacing w:after="0"/>
              <w:ind w:left="0"/>
              <w:jc w:val="both"/>
              <w:rPr>
                <w:sz w:val="20"/>
                <w:lang w:val="en-US"/>
              </w:rPr>
            </w:pPr>
            <w:r w:rsidRPr="00F07779">
              <w:rPr>
                <w:rFonts w:ascii="Times New Roman" w:hAnsi="Times New Roman" w:cs="Times New Roman"/>
                <w:sz w:val="20"/>
                <w:lang w:val="en-US"/>
              </w:rPr>
              <w:t>The goal of this Project is to increase energy efficiency and introduce renewable energy sources into district heating systems and build appropriate supporting infrastructure, which have been identified as activities that will contribute to increasing the share of renewable energy sources in the overall energy mix and decarbonization of Serbia.</w:t>
            </w:r>
          </w:p>
        </w:tc>
      </w:tr>
      <w:tr w:rsidR="008B4484" w:rsidRPr="00F07779" w14:paraId="2BC2AD14" w14:textId="77777777" w:rsidTr="00615D2C">
        <w:tc>
          <w:tcPr>
            <w:tcW w:w="2973" w:type="dxa"/>
          </w:tcPr>
          <w:p w14:paraId="233E3D8F" w14:textId="77777777" w:rsidR="008B4484" w:rsidRPr="00F07779" w:rsidRDefault="008B4484" w:rsidP="00615D2C">
            <w:pPr>
              <w:rPr>
                <w:sz w:val="20"/>
                <w:szCs w:val="20"/>
              </w:rPr>
            </w:pPr>
            <w:r w:rsidRPr="00F07779">
              <w:rPr>
                <w:sz w:val="20"/>
                <w:szCs w:val="20"/>
              </w:rPr>
              <w:t>Institutions responsible for the implementation of measures and activities</w:t>
            </w:r>
          </w:p>
        </w:tc>
        <w:tc>
          <w:tcPr>
            <w:tcW w:w="5669" w:type="dxa"/>
          </w:tcPr>
          <w:p w14:paraId="25CC5AC3" w14:textId="27C7EDEC" w:rsidR="008B4484" w:rsidRPr="00F07779" w:rsidRDefault="00BE5C5E" w:rsidP="00615D2C">
            <w:pPr>
              <w:rPr>
                <w:sz w:val="20"/>
                <w:szCs w:val="20"/>
              </w:rPr>
            </w:pPr>
            <w:r w:rsidRPr="00F07779">
              <w:rPr>
                <w:sz w:val="20"/>
                <w:szCs w:val="20"/>
              </w:rPr>
              <w:t>MoME</w:t>
            </w:r>
            <w:r w:rsidR="008B4484" w:rsidRPr="00F07779">
              <w:rPr>
                <w:sz w:val="20"/>
                <w:szCs w:val="20"/>
              </w:rPr>
              <w:t xml:space="preserve"> and DHS</w:t>
            </w:r>
          </w:p>
        </w:tc>
      </w:tr>
      <w:tr w:rsidR="008B4484" w:rsidRPr="00F07779" w14:paraId="0F265321" w14:textId="77777777" w:rsidTr="00615D2C">
        <w:tc>
          <w:tcPr>
            <w:tcW w:w="2973" w:type="dxa"/>
          </w:tcPr>
          <w:p w14:paraId="6676A19E" w14:textId="77777777" w:rsidR="008B4484" w:rsidRPr="00F07779" w:rsidRDefault="008B4484" w:rsidP="00615D2C">
            <w:pPr>
              <w:rPr>
                <w:sz w:val="20"/>
                <w:szCs w:val="20"/>
              </w:rPr>
            </w:pPr>
            <w:r w:rsidRPr="00F07779">
              <w:rPr>
                <w:sz w:val="20"/>
                <w:szCs w:val="20"/>
              </w:rPr>
              <w:t>Institutions responsible for monitoring implementation and reporting on realization</w:t>
            </w:r>
          </w:p>
        </w:tc>
        <w:tc>
          <w:tcPr>
            <w:tcW w:w="5669" w:type="dxa"/>
          </w:tcPr>
          <w:p w14:paraId="702323EE" w14:textId="482E1DD7" w:rsidR="008B4484" w:rsidRPr="00F07779" w:rsidRDefault="00BE5C5E" w:rsidP="00615D2C">
            <w:pPr>
              <w:rPr>
                <w:sz w:val="20"/>
                <w:szCs w:val="20"/>
              </w:rPr>
            </w:pPr>
            <w:r w:rsidRPr="00F07779">
              <w:rPr>
                <w:sz w:val="20"/>
                <w:szCs w:val="20"/>
              </w:rPr>
              <w:t>MoME</w:t>
            </w:r>
            <w:r w:rsidR="008B4484" w:rsidRPr="00F07779">
              <w:rPr>
                <w:sz w:val="20"/>
                <w:szCs w:val="20"/>
              </w:rPr>
              <w:t>, KfW, Implementation Consultant, DHS Project Participants</w:t>
            </w:r>
          </w:p>
        </w:tc>
      </w:tr>
      <w:tr w:rsidR="008B4484" w:rsidRPr="00F07779" w14:paraId="484B5AE8" w14:textId="77777777" w:rsidTr="00615D2C">
        <w:tc>
          <w:tcPr>
            <w:tcW w:w="2973" w:type="dxa"/>
          </w:tcPr>
          <w:p w14:paraId="4C4FE198" w14:textId="77777777" w:rsidR="008B4484" w:rsidRPr="00F07779" w:rsidRDefault="008B4484" w:rsidP="00615D2C">
            <w:pPr>
              <w:rPr>
                <w:sz w:val="20"/>
                <w:szCs w:val="20"/>
              </w:rPr>
            </w:pPr>
            <w:r w:rsidRPr="00F07779">
              <w:rPr>
                <w:sz w:val="20"/>
                <w:szCs w:val="20"/>
              </w:rPr>
              <w:t>Deadline for implementation</w:t>
            </w:r>
          </w:p>
        </w:tc>
        <w:tc>
          <w:tcPr>
            <w:tcW w:w="5669" w:type="dxa"/>
          </w:tcPr>
          <w:p w14:paraId="2F8E5E6F" w14:textId="77777777" w:rsidR="008B4484" w:rsidRPr="00F07779" w:rsidRDefault="008B4484" w:rsidP="00615D2C">
            <w:pPr>
              <w:rPr>
                <w:sz w:val="20"/>
                <w:szCs w:val="20"/>
              </w:rPr>
            </w:pPr>
            <w:r w:rsidRPr="00F07779">
              <w:rPr>
                <w:sz w:val="20"/>
                <w:szCs w:val="20"/>
              </w:rPr>
              <w:t>Start of implementation: The conclusion of financial agreements is expected at the end of 2025 or beginning of 2026.</w:t>
            </w:r>
          </w:p>
          <w:p w14:paraId="03C9967A" w14:textId="77777777" w:rsidR="008B4484" w:rsidRPr="00F07779" w:rsidRDefault="008B4484" w:rsidP="00615D2C">
            <w:pPr>
              <w:rPr>
                <w:sz w:val="20"/>
                <w:szCs w:val="20"/>
              </w:rPr>
            </w:pPr>
            <w:r w:rsidRPr="00F07779">
              <w:rPr>
                <w:sz w:val="20"/>
                <w:szCs w:val="20"/>
              </w:rPr>
              <w:t>Start of investment implementation in 2027.</w:t>
            </w:r>
          </w:p>
          <w:p w14:paraId="679E8B1A" w14:textId="77777777" w:rsidR="008B4484" w:rsidRPr="00F07779" w:rsidRDefault="008B4484" w:rsidP="00615D2C">
            <w:pPr>
              <w:rPr>
                <w:sz w:val="20"/>
                <w:szCs w:val="20"/>
              </w:rPr>
            </w:pPr>
            <w:r w:rsidRPr="00F07779">
              <w:rPr>
                <w:sz w:val="20"/>
                <w:szCs w:val="20"/>
              </w:rPr>
              <w:t>Completion of implementation: 2031.</w:t>
            </w:r>
          </w:p>
        </w:tc>
      </w:tr>
      <w:tr w:rsidR="008B4484" w:rsidRPr="00F07779" w14:paraId="3CFB9DD1" w14:textId="77777777" w:rsidTr="00615D2C">
        <w:tc>
          <w:tcPr>
            <w:tcW w:w="2973" w:type="dxa"/>
          </w:tcPr>
          <w:p w14:paraId="0DEB56CB" w14:textId="77777777" w:rsidR="008B4484" w:rsidRPr="00F07779" w:rsidRDefault="008B4484" w:rsidP="00615D2C">
            <w:pPr>
              <w:rPr>
                <w:sz w:val="20"/>
                <w:szCs w:val="20"/>
              </w:rPr>
            </w:pPr>
            <w:r w:rsidRPr="00F07779">
              <w:rPr>
                <w:sz w:val="20"/>
                <w:szCs w:val="20"/>
              </w:rPr>
              <w:t>Required funds and source of financing</w:t>
            </w:r>
          </w:p>
        </w:tc>
        <w:tc>
          <w:tcPr>
            <w:tcW w:w="5669" w:type="dxa"/>
          </w:tcPr>
          <w:p w14:paraId="186D5B6D" w14:textId="77777777" w:rsidR="008B4484" w:rsidRPr="00F07779" w:rsidRDefault="008B4484" w:rsidP="00615D2C">
            <w:pPr>
              <w:rPr>
                <w:sz w:val="20"/>
                <w:szCs w:val="20"/>
              </w:rPr>
            </w:pPr>
            <w:r w:rsidRPr="00F07779">
              <w:rPr>
                <w:sz w:val="20"/>
                <w:szCs w:val="20"/>
              </w:rPr>
              <w:t>Estimated value: EUR 58,000,000, as follows:</w:t>
            </w:r>
          </w:p>
          <w:p w14:paraId="3659287C" w14:textId="77777777" w:rsidR="008B4484" w:rsidRPr="00F07779" w:rsidRDefault="008B4484" w:rsidP="00615D2C">
            <w:pPr>
              <w:rPr>
                <w:sz w:val="20"/>
                <w:szCs w:val="20"/>
              </w:rPr>
            </w:pPr>
            <w:r w:rsidRPr="00F07779">
              <w:rPr>
                <w:sz w:val="20"/>
                <w:szCs w:val="20"/>
              </w:rPr>
              <w:t>For the implementation of investments (total EUR 52,000,000):</w:t>
            </w:r>
          </w:p>
          <w:p w14:paraId="1572E641" w14:textId="77777777" w:rsidR="008B4484" w:rsidRPr="00F07779" w:rsidRDefault="008B4484" w:rsidP="00615D2C">
            <w:pPr>
              <w:rPr>
                <w:sz w:val="20"/>
                <w:szCs w:val="20"/>
              </w:rPr>
            </w:pPr>
            <w:r w:rsidRPr="00F07779">
              <w:rPr>
                <w:sz w:val="20"/>
                <w:szCs w:val="20"/>
              </w:rPr>
              <w:t>- EUR 40,000,000 KfW development loan</w:t>
            </w:r>
          </w:p>
          <w:p w14:paraId="73F810D8" w14:textId="77777777" w:rsidR="008B4484" w:rsidRPr="00F07779" w:rsidRDefault="008B4484" w:rsidP="00615D2C">
            <w:pPr>
              <w:rPr>
                <w:sz w:val="20"/>
                <w:szCs w:val="20"/>
              </w:rPr>
            </w:pPr>
            <w:r w:rsidRPr="00F07779">
              <w:rPr>
                <w:sz w:val="20"/>
                <w:szCs w:val="20"/>
              </w:rPr>
              <w:t>- EUR 12,000,000 donations from EU funds (REEP) via KfW</w:t>
            </w:r>
          </w:p>
          <w:p w14:paraId="0EAB2861" w14:textId="77777777" w:rsidR="008B4484" w:rsidRPr="00F07779" w:rsidRDefault="008B4484" w:rsidP="00615D2C">
            <w:pPr>
              <w:rPr>
                <w:sz w:val="20"/>
                <w:szCs w:val="20"/>
              </w:rPr>
            </w:pPr>
            <w:r w:rsidRPr="00F07779">
              <w:rPr>
                <w:sz w:val="20"/>
                <w:szCs w:val="20"/>
              </w:rPr>
              <w:t>For Accompanying Measures/Expert Services (total EUR 6,000,000):</w:t>
            </w:r>
          </w:p>
          <w:p w14:paraId="5738D918" w14:textId="77777777" w:rsidR="008B4484" w:rsidRPr="00F07779" w:rsidRDefault="008B4484" w:rsidP="00615D2C">
            <w:pPr>
              <w:rPr>
                <w:sz w:val="20"/>
                <w:szCs w:val="20"/>
              </w:rPr>
            </w:pPr>
            <w:r w:rsidRPr="00F07779">
              <w:rPr>
                <w:sz w:val="20"/>
                <w:szCs w:val="20"/>
              </w:rPr>
              <w:t>- EUR 3,000,000 donations from EU funds (REEP) via KfW</w:t>
            </w:r>
          </w:p>
          <w:p w14:paraId="3AED4EFA" w14:textId="77777777" w:rsidR="008B4484" w:rsidRPr="00F07779" w:rsidRDefault="008B4484" w:rsidP="00615D2C">
            <w:pPr>
              <w:rPr>
                <w:sz w:val="20"/>
                <w:szCs w:val="20"/>
              </w:rPr>
            </w:pPr>
            <w:r w:rsidRPr="00F07779">
              <w:rPr>
                <w:sz w:val="20"/>
                <w:szCs w:val="20"/>
              </w:rPr>
              <w:t>- EUR 3,000,000 donations from the Government of the Federal Republic of Germany via KfW</w:t>
            </w:r>
          </w:p>
        </w:tc>
      </w:tr>
      <w:tr w:rsidR="008B4484" w:rsidRPr="00F07779" w14:paraId="65698CF9" w14:textId="77777777" w:rsidTr="00615D2C">
        <w:tc>
          <w:tcPr>
            <w:tcW w:w="2973" w:type="dxa"/>
          </w:tcPr>
          <w:p w14:paraId="1BE24254" w14:textId="77777777" w:rsidR="008B4484" w:rsidRPr="00F07779" w:rsidRDefault="008B4484" w:rsidP="00615D2C">
            <w:pPr>
              <w:rPr>
                <w:sz w:val="20"/>
                <w:szCs w:val="20"/>
              </w:rPr>
            </w:pPr>
            <w:r w:rsidRPr="00F07779">
              <w:rPr>
                <w:sz w:val="20"/>
                <w:szCs w:val="20"/>
              </w:rPr>
              <w:t>2026.</w:t>
            </w:r>
          </w:p>
        </w:tc>
        <w:tc>
          <w:tcPr>
            <w:tcW w:w="5669" w:type="dxa"/>
          </w:tcPr>
          <w:p w14:paraId="52175D77" w14:textId="77777777" w:rsidR="008B4484" w:rsidRPr="00F07779" w:rsidRDefault="008B4484" w:rsidP="00615D2C">
            <w:pPr>
              <w:rPr>
                <w:sz w:val="20"/>
                <w:szCs w:val="20"/>
              </w:rPr>
            </w:pPr>
            <w:r w:rsidRPr="00F07779">
              <w:rPr>
                <w:sz w:val="20"/>
                <w:szCs w:val="20"/>
              </w:rPr>
              <w:t xml:space="preserve">940.000 EUR (110.215.000 RSD) </w:t>
            </w:r>
          </w:p>
        </w:tc>
      </w:tr>
      <w:tr w:rsidR="008B4484" w:rsidRPr="00F07779" w14:paraId="1E0C0C87" w14:textId="77777777" w:rsidTr="00615D2C">
        <w:tc>
          <w:tcPr>
            <w:tcW w:w="2973" w:type="dxa"/>
          </w:tcPr>
          <w:p w14:paraId="1D521822" w14:textId="77777777" w:rsidR="008B4484" w:rsidRPr="00F07779" w:rsidRDefault="008B4484" w:rsidP="00615D2C">
            <w:pPr>
              <w:rPr>
                <w:sz w:val="20"/>
                <w:szCs w:val="20"/>
              </w:rPr>
            </w:pPr>
            <w:r w:rsidRPr="00F07779">
              <w:rPr>
                <w:sz w:val="20"/>
                <w:szCs w:val="20"/>
              </w:rPr>
              <w:t>2027.</w:t>
            </w:r>
          </w:p>
        </w:tc>
        <w:tc>
          <w:tcPr>
            <w:tcW w:w="5669" w:type="dxa"/>
          </w:tcPr>
          <w:p w14:paraId="71748480" w14:textId="77777777" w:rsidR="008B4484" w:rsidRPr="00F07779" w:rsidRDefault="008B4484" w:rsidP="00615D2C">
            <w:pPr>
              <w:rPr>
                <w:sz w:val="20"/>
                <w:szCs w:val="20"/>
              </w:rPr>
            </w:pPr>
            <w:r w:rsidRPr="00F07779">
              <w:rPr>
                <w:sz w:val="20"/>
                <w:szCs w:val="20"/>
              </w:rPr>
              <w:t>13.688.000 EUR (1.604.918.000 RSD)</w:t>
            </w:r>
          </w:p>
        </w:tc>
      </w:tr>
      <w:tr w:rsidR="008B4484" w:rsidRPr="00F07779" w14:paraId="0FEC36FE" w14:textId="77777777" w:rsidTr="00615D2C">
        <w:tc>
          <w:tcPr>
            <w:tcW w:w="2973" w:type="dxa"/>
          </w:tcPr>
          <w:p w14:paraId="4F494B6B" w14:textId="77777777" w:rsidR="008B4484" w:rsidRPr="00F07779" w:rsidRDefault="008B4484" w:rsidP="00615D2C">
            <w:pPr>
              <w:rPr>
                <w:sz w:val="20"/>
                <w:szCs w:val="20"/>
              </w:rPr>
            </w:pPr>
            <w:r w:rsidRPr="00F07779">
              <w:rPr>
                <w:sz w:val="20"/>
                <w:szCs w:val="20"/>
              </w:rPr>
              <w:t>2028.</w:t>
            </w:r>
          </w:p>
        </w:tc>
        <w:tc>
          <w:tcPr>
            <w:tcW w:w="5669" w:type="dxa"/>
          </w:tcPr>
          <w:p w14:paraId="49DF2070" w14:textId="77777777" w:rsidR="008B4484" w:rsidRPr="00F07779" w:rsidRDefault="008B4484" w:rsidP="00615D2C">
            <w:pPr>
              <w:rPr>
                <w:sz w:val="20"/>
                <w:szCs w:val="20"/>
              </w:rPr>
            </w:pPr>
            <w:r w:rsidRPr="00F07779">
              <w:rPr>
                <w:sz w:val="20"/>
                <w:szCs w:val="20"/>
              </w:rPr>
              <w:t>20.088.000 EUR (2.355.318.000 RSD)</w:t>
            </w:r>
          </w:p>
        </w:tc>
      </w:tr>
      <w:tr w:rsidR="008B4484" w:rsidRPr="00F07779" w14:paraId="6720C115" w14:textId="77777777" w:rsidTr="00615D2C">
        <w:tc>
          <w:tcPr>
            <w:tcW w:w="2973" w:type="dxa"/>
          </w:tcPr>
          <w:p w14:paraId="74065AA1" w14:textId="77777777" w:rsidR="008B4484" w:rsidRPr="00F07779" w:rsidRDefault="008B4484" w:rsidP="00615D2C">
            <w:pPr>
              <w:rPr>
                <w:sz w:val="20"/>
                <w:szCs w:val="20"/>
              </w:rPr>
            </w:pPr>
            <w:r w:rsidRPr="00F07779">
              <w:rPr>
                <w:sz w:val="20"/>
                <w:szCs w:val="20"/>
              </w:rPr>
              <w:t>Impact of the activity on the achievement of the objective</w:t>
            </w:r>
          </w:p>
        </w:tc>
        <w:tc>
          <w:tcPr>
            <w:tcW w:w="5669" w:type="dxa"/>
          </w:tcPr>
          <w:p w14:paraId="32CFC0B5" w14:textId="77777777" w:rsidR="008B4484" w:rsidRPr="00F07779" w:rsidRDefault="008B4484" w:rsidP="00615D2C">
            <w:pPr>
              <w:rPr>
                <w:sz w:val="20"/>
                <w:szCs w:val="20"/>
              </w:rPr>
            </w:pPr>
            <w:r w:rsidRPr="00F07779">
              <w:rPr>
                <w:sz w:val="20"/>
                <w:szCs w:val="20"/>
              </w:rPr>
              <w:t>Increasing the use of RES; The increase in the share of RES cannot be accurately determined, because the installed power of production capacities is not known.</w:t>
            </w:r>
          </w:p>
        </w:tc>
      </w:tr>
      <w:tr w:rsidR="008B4484" w:rsidRPr="00F07779" w14:paraId="4CE6EFEC" w14:textId="77777777" w:rsidTr="00615D2C">
        <w:tc>
          <w:tcPr>
            <w:tcW w:w="2973" w:type="dxa"/>
          </w:tcPr>
          <w:p w14:paraId="6E9C40F5" w14:textId="77777777" w:rsidR="008B4484" w:rsidRPr="00F07779" w:rsidRDefault="008B4484" w:rsidP="00615D2C">
            <w:pPr>
              <w:rPr>
                <w:sz w:val="20"/>
                <w:szCs w:val="20"/>
              </w:rPr>
            </w:pPr>
            <w:r w:rsidRPr="00F07779">
              <w:rPr>
                <w:sz w:val="20"/>
                <w:szCs w:val="20"/>
              </w:rPr>
              <w:t>Impact on EE, climate, and environmental protection</w:t>
            </w:r>
          </w:p>
        </w:tc>
        <w:tc>
          <w:tcPr>
            <w:tcW w:w="5669" w:type="dxa"/>
          </w:tcPr>
          <w:p w14:paraId="7B74DA48" w14:textId="77777777" w:rsidR="008B4484" w:rsidRPr="00F07779" w:rsidRDefault="008B4484" w:rsidP="00615D2C">
            <w:pPr>
              <w:rPr>
                <w:sz w:val="20"/>
                <w:szCs w:val="20"/>
              </w:rPr>
            </w:pPr>
            <w:r w:rsidRPr="00F07779">
              <w:rPr>
                <w:sz w:val="20"/>
                <w:szCs w:val="20"/>
              </w:rPr>
              <w:t>Increasing the energy efficiency of DHSs, reducing carbon dioxide emissions and local pollutants</w:t>
            </w:r>
          </w:p>
        </w:tc>
      </w:tr>
    </w:tbl>
    <w:p w14:paraId="528EFCA3" w14:textId="77777777" w:rsidR="008B4484" w:rsidRPr="00F07779" w:rsidRDefault="008B4484" w:rsidP="008B4484"/>
    <w:tbl>
      <w:tblPr>
        <w:tblW w:w="50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2"/>
        <w:gridCol w:w="5718"/>
      </w:tblGrid>
      <w:tr w:rsidR="008B4484" w:rsidRPr="00F07779" w14:paraId="68F202C1" w14:textId="77777777" w:rsidTr="00615D2C">
        <w:trPr>
          <w:trHeight w:val="315"/>
        </w:trPr>
        <w:tc>
          <w:tcPr>
            <w:tcW w:w="3072" w:type="dxa"/>
            <w:shd w:val="clear" w:color="auto" w:fill="D9D9D9" w:themeFill="background1" w:themeFillShade="D9"/>
          </w:tcPr>
          <w:p w14:paraId="527ED321" w14:textId="77777777" w:rsidR="008B4484" w:rsidRPr="00F07779" w:rsidRDefault="008B4484" w:rsidP="00615D2C">
            <w:pPr>
              <w:rPr>
                <w:b/>
                <w:bCs/>
                <w:color w:val="000000"/>
                <w:sz w:val="20"/>
                <w:szCs w:val="20"/>
              </w:rPr>
            </w:pPr>
            <w:r w:rsidRPr="00F07779">
              <w:rPr>
                <w:b/>
                <w:bCs/>
                <w:color w:val="000000"/>
                <w:sz w:val="20"/>
                <w:szCs w:val="20"/>
              </w:rPr>
              <w:t>Total funds for the measure T2</w:t>
            </w:r>
          </w:p>
        </w:tc>
        <w:tc>
          <w:tcPr>
            <w:tcW w:w="5718" w:type="dxa"/>
            <w:shd w:val="clear" w:color="auto" w:fill="D9D9D9" w:themeFill="background1" w:themeFillShade="D9"/>
          </w:tcPr>
          <w:p w14:paraId="667671A0" w14:textId="39BD285C" w:rsidR="008B4484" w:rsidRPr="00F07779" w:rsidRDefault="008B4484" w:rsidP="00615D2C">
            <w:pPr>
              <w:rPr>
                <w:b/>
                <w:bCs/>
                <w:color w:val="000000"/>
                <w:sz w:val="20"/>
                <w:szCs w:val="20"/>
              </w:rPr>
            </w:pPr>
            <w:r w:rsidRPr="00F07779">
              <w:rPr>
                <w:b/>
                <w:bCs/>
                <w:color w:val="000000"/>
                <w:sz w:val="20"/>
                <w:szCs w:val="20"/>
              </w:rPr>
              <w:t>217</w:t>
            </w:r>
            <w:r w:rsidR="00484069" w:rsidRPr="00F07779">
              <w:rPr>
                <w:b/>
                <w:bCs/>
                <w:color w:val="000000"/>
                <w:sz w:val="20"/>
                <w:szCs w:val="20"/>
              </w:rPr>
              <w:t>.</w:t>
            </w:r>
            <w:r w:rsidRPr="00F07779">
              <w:rPr>
                <w:b/>
                <w:bCs/>
                <w:color w:val="000000"/>
                <w:sz w:val="20"/>
                <w:szCs w:val="20"/>
              </w:rPr>
              <w:t xml:space="preserve">43 </w:t>
            </w:r>
            <w:r w:rsidR="00484069" w:rsidRPr="00F07779">
              <w:rPr>
                <w:b/>
                <w:bCs/>
                <w:color w:val="000000"/>
                <w:sz w:val="20"/>
                <w:szCs w:val="20"/>
              </w:rPr>
              <w:t>million</w:t>
            </w:r>
            <w:r w:rsidRPr="00F07779">
              <w:rPr>
                <w:b/>
                <w:bCs/>
                <w:color w:val="000000"/>
                <w:sz w:val="20"/>
                <w:szCs w:val="20"/>
              </w:rPr>
              <w:t xml:space="preserve"> EUR</w:t>
            </w:r>
          </w:p>
        </w:tc>
      </w:tr>
    </w:tbl>
    <w:p w14:paraId="27609B14" w14:textId="5F715BB5" w:rsidR="008B4484" w:rsidRPr="00F07779" w:rsidRDefault="008B4484" w:rsidP="008B4484"/>
    <w:p w14:paraId="402A167F" w14:textId="77777777" w:rsidR="008B4484" w:rsidRPr="00F07779" w:rsidRDefault="008B4484" w:rsidP="008B4484">
      <w:r w:rsidRPr="00F07779">
        <w:t>Table 5.2.5: Activities for implementing the measure Т3 –Т3.1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8"/>
        <w:gridCol w:w="5567"/>
      </w:tblGrid>
      <w:tr w:rsidR="008B4484" w:rsidRPr="00F07779" w14:paraId="51887C7A" w14:textId="77777777" w:rsidTr="00615D2C">
        <w:trPr>
          <w:trHeight w:val="315"/>
        </w:trPr>
        <w:tc>
          <w:tcPr>
            <w:tcW w:w="1806" w:type="pct"/>
            <w:shd w:val="clear" w:color="auto" w:fill="D9D9D9" w:themeFill="background1" w:themeFillShade="D9"/>
            <w:noWrap/>
            <w:hideMark/>
          </w:tcPr>
          <w:p w14:paraId="29ADE3E0" w14:textId="77777777" w:rsidR="008B4484" w:rsidRPr="00F07779" w:rsidRDefault="008B4484" w:rsidP="00615D2C">
            <w:pPr>
              <w:rPr>
                <w:bCs/>
                <w:color w:val="000000"/>
                <w:sz w:val="20"/>
                <w:szCs w:val="20"/>
              </w:rPr>
            </w:pPr>
            <w:r w:rsidRPr="00F07779">
              <w:rPr>
                <w:bCs/>
                <w:color w:val="000000"/>
                <w:sz w:val="20"/>
                <w:szCs w:val="20"/>
              </w:rPr>
              <w:t>Activity Т3.1</w:t>
            </w:r>
          </w:p>
        </w:tc>
        <w:tc>
          <w:tcPr>
            <w:tcW w:w="3194" w:type="pct"/>
            <w:shd w:val="clear" w:color="auto" w:fill="D9D9D9" w:themeFill="background1" w:themeFillShade="D9"/>
            <w:noWrap/>
          </w:tcPr>
          <w:p w14:paraId="0F0BC4C5" w14:textId="77777777" w:rsidR="008B4484" w:rsidRPr="00F07779" w:rsidRDefault="008B4484" w:rsidP="00615D2C">
            <w:pPr>
              <w:rPr>
                <w:bCs/>
                <w:color w:val="000000"/>
                <w:sz w:val="20"/>
                <w:szCs w:val="20"/>
              </w:rPr>
            </w:pPr>
            <w:r w:rsidRPr="00F07779">
              <w:rPr>
                <w:bCs/>
                <w:color w:val="000000"/>
                <w:sz w:val="20"/>
                <w:szCs w:val="20"/>
              </w:rPr>
              <w:t>Billing for delivered heat energy in district heating systems according to measured energy consumption</w:t>
            </w:r>
          </w:p>
        </w:tc>
      </w:tr>
      <w:tr w:rsidR="008B4484" w:rsidRPr="00F07779" w14:paraId="0E817EAA" w14:textId="77777777" w:rsidTr="00615D2C">
        <w:trPr>
          <w:trHeight w:val="315"/>
        </w:trPr>
        <w:tc>
          <w:tcPr>
            <w:tcW w:w="1806" w:type="pct"/>
            <w:noWrap/>
            <w:hideMark/>
          </w:tcPr>
          <w:p w14:paraId="7C1C3606" w14:textId="77777777" w:rsidR="008B4484" w:rsidRPr="00F07779" w:rsidRDefault="008B4484" w:rsidP="00615D2C">
            <w:pPr>
              <w:rPr>
                <w:color w:val="000000"/>
                <w:sz w:val="20"/>
                <w:szCs w:val="20"/>
              </w:rPr>
            </w:pPr>
            <w:r w:rsidRPr="00F07779">
              <w:rPr>
                <w:sz w:val="20"/>
                <w:szCs w:val="20"/>
              </w:rPr>
              <w:t>Description</w:t>
            </w:r>
          </w:p>
        </w:tc>
        <w:tc>
          <w:tcPr>
            <w:tcW w:w="3194" w:type="pct"/>
            <w:noWrap/>
          </w:tcPr>
          <w:p w14:paraId="61517EFC" w14:textId="77777777" w:rsidR="008B4484" w:rsidRPr="00F07779" w:rsidRDefault="008B4484" w:rsidP="00615D2C">
            <w:pPr>
              <w:rPr>
                <w:color w:val="000000"/>
                <w:sz w:val="20"/>
                <w:szCs w:val="20"/>
              </w:rPr>
            </w:pPr>
            <w:r w:rsidRPr="00F07779">
              <w:rPr>
                <w:color w:val="000000"/>
                <w:sz w:val="20"/>
                <w:szCs w:val="20"/>
              </w:rPr>
              <w:t xml:space="preserve">Billing according to consumption in the entire consumption area for both tariff groups, i.e. residential and commercial premises. </w:t>
            </w:r>
            <w:r w:rsidRPr="00F07779">
              <w:rPr>
                <w:color w:val="000000"/>
                <w:sz w:val="20"/>
                <w:szCs w:val="20"/>
              </w:rPr>
              <w:lastRenderedPageBreak/>
              <w:t>Full implementation of the Methodology for determining the price of heat energy supply to the end customer.</w:t>
            </w:r>
          </w:p>
        </w:tc>
      </w:tr>
      <w:tr w:rsidR="008B4484" w:rsidRPr="00F07779" w14:paraId="73748E57" w14:textId="77777777" w:rsidTr="00615D2C">
        <w:trPr>
          <w:trHeight w:val="315"/>
        </w:trPr>
        <w:tc>
          <w:tcPr>
            <w:tcW w:w="1806" w:type="pct"/>
            <w:noWrap/>
            <w:hideMark/>
          </w:tcPr>
          <w:p w14:paraId="18E4EF91" w14:textId="77777777" w:rsidR="008B4484" w:rsidRPr="00F07779" w:rsidRDefault="008B4484" w:rsidP="00615D2C">
            <w:pPr>
              <w:rPr>
                <w:color w:val="000000"/>
                <w:sz w:val="20"/>
                <w:szCs w:val="20"/>
              </w:rPr>
            </w:pPr>
            <w:r w:rsidRPr="00F07779">
              <w:rPr>
                <w:sz w:val="20"/>
                <w:szCs w:val="20"/>
              </w:rPr>
              <w:lastRenderedPageBreak/>
              <w:t>Institutions responsible for the implementation of measures and activities</w:t>
            </w:r>
          </w:p>
        </w:tc>
        <w:tc>
          <w:tcPr>
            <w:tcW w:w="3194" w:type="pct"/>
            <w:noWrap/>
          </w:tcPr>
          <w:p w14:paraId="21C73CCF" w14:textId="77777777" w:rsidR="008B4484" w:rsidRPr="00F07779" w:rsidRDefault="008B4484" w:rsidP="00615D2C">
            <w:pPr>
              <w:rPr>
                <w:color w:val="000000"/>
                <w:sz w:val="20"/>
                <w:szCs w:val="20"/>
              </w:rPr>
            </w:pPr>
            <w:r w:rsidRPr="00F07779">
              <w:rPr>
                <w:color w:val="000000"/>
                <w:sz w:val="20"/>
                <w:szCs w:val="20"/>
              </w:rPr>
              <w:t>DHS and LSG</w:t>
            </w:r>
          </w:p>
        </w:tc>
      </w:tr>
      <w:tr w:rsidR="008B4484" w:rsidRPr="00F07779" w14:paraId="2D492B6E" w14:textId="77777777" w:rsidTr="00615D2C">
        <w:trPr>
          <w:trHeight w:val="525"/>
        </w:trPr>
        <w:tc>
          <w:tcPr>
            <w:tcW w:w="1806" w:type="pct"/>
            <w:hideMark/>
          </w:tcPr>
          <w:p w14:paraId="598581D6" w14:textId="77777777" w:rsidR="008B4484" w:rsidRPr="00F07779" w:rsidRDefault="008B4484" w:rsidP="00615D2C">
            <w:pPr>
              <w:rPr>
                <w:color w:val="000000"/>
                <w:sz w:val="20"/>
                <w:szCs w:val="20"/>
              </w:rPr>
            </w:pPr>
            <w:r w:rsidRPr="00F07779">
              <w:rPr>
                <w:sz w:val="20"/>
                <w:szCs w:val="20"/>
              </w:rPr>
              <w:t>Institutions responsible for monitoring implementation and reporting on realization</w:t>
            </w:r>
          </w:p>
        </w:tc>
        <w:tc>
          <w:tcPr>
            <w:tcW w:w="3194" w:type="pct"/>
            <w:noWrap/>
          </w:tcPr>
          <w:p w14:paraId="71D2CDAC" w14:textId="77777777" w:rsidR="008B4484" w:rsidRPr="00F07779" w:rsidRDefault="008B4484" w:rsidP="00615D2C">
            <w:pPr>
              <w:rPr>
                <w:color w:val="000000"/>
                <w:sz w:val="20"/>
                <w:szCs w:val="20"/>
              </w:rPr>
            </w:pPr>
            <w:r w:rsidRPr="00F07779">
              <w:rPr>
                <w:color w:val="000000"/>
                <w:sz w:val="20"/>
                <w:szCs w:val="20"/>
              </w:rPr>
              <w:t>Ministry of Mining and Energy</w:t>
            </w:r>
          </w:p>
          <w:p w14:paraId="3F294502" w14:textId="77777777" w:rsidR="008B4484" w:rsidRPr="00F07779" w:rsidRDefault="008B4484" w:rsidP="00615D2C">
            <w:pPr>
              <w:rPr>
                <w:color w:val="000000"/>
                <w:sz w:val="20"/>
                <w:szCs w:val="20"/>
              </w:rPr>
            </w:pPr>
            <w:r w:rsidRPr="00F07779">
              <w:rPr>
                <w:color w:val="000000"/>
                <w:sz w:val="20"/>
                <w:szCs w:val="20"/>
              </w:rPr>
              <w:t>Energy Inspector</w:t>
            </w:r>
          </w:p>
        </w:tc>
      </w:tr>
      <w:tr w:rsidR="008B4484" w:rsidRPr="00F07779" w14:paraId="6E3CD8A8" w14:textId="77777777" w:rsidTr="00615D2C">
        <w:trPr>
          <w:trHeight w:val="315"/>
        </w:trPr>
        <w:tc>
          <w:tcPr>
            <w:tcW w:w="1806" w:type="pct"/>
            <w:noWrap/>
            <w:hideMark/>
          </w:tcPr>
          <w:p w14:paraId="6B13DC4C" w14:textId="77777777" w:rsidR="008B4484" w:rsidRPr="00F07779" w:rsidRDefault="008B4484" w:rsidP="00615D2C">
            <w:pPr>
              <w:rPr>
                <w:color w:val="000000"/>
                <w:sz w:val="20"/>
                <w:szCs w:val="20"/>
              </w:rPr>
            </w:pPr>
            <w:r w:rsidRPr="00F07779">
              <w:rPr>
                <w:sz w:val="20"/>
                <w:szCs w:val="20"/>
              </w:rPr>
              <w:t>Deadline for implementation</w:t>
            </w:r>
          </w:p>
        </w:tc>
        <w:tc>
          <w:tcPr>
            <w:tcW w:w="3194" w:type="pct"/>
            <w:noWrap/>
          </w:tcPr>
          <w:p w14:paraId="73F7386E" w14:textId="77777777" w:rsidR="008B4484" w:rsidRPr="00F07779" w:rsidRDefault="008B4484" w:rsidP="00615D2C">
            <w:pPr>
              <w:rPr>
                <w:color w:val="000000"/>
                <w:sz w:val="20"/>
                <w:szCs w:val="20"/>
              </w:rPr>
            </w:pPr>
            <w:r w:rsidRPr="00F07779">
              <w:rPr>
                <w:color w:val="000000"/>
                <w:sz w:val="20"/>
                <w:szCs w:val="20"/>
              </w:rPr>
              <w:t>2027.</w:t>
            </w:r>
          </w:p>
        </w:tc>
      </w:tr>
      <w:tr w:rsidR="008B4484" w:rsidRPr="00F07779" w14:paraId="0DE8465A" w14:textId="77777777" w:rsidTr="00615D2C">
        <w:trPr>
          <w:trHeight w:val="315"/>
        </w:trPr>
        <w:tc>
          <w:tcPr>
            <w:tcW w:w="1806" w:type="pct"/>
            <w:noWrap/>
            <w:hideMark/>
          </w:tcPr>
          <w:p w14:paraId="2F50993F" w14:textId="77777777" w:rsidR="008B4484" w:rsidRPr="00F07779" w:rsidRDefault="008B4484" w:rsidP="00615D2C">
            <w:pPr>
              <w:rPr>
                <w:color w:val="000000"/>
                <w:sz w:val="20"/>
                <w:szCs w:val="20"/>
              </w:rPr>
            </w:pPr>
            <w:r w:rsidRPr="00F07779">
              <w:rPr>
                <w:sz w:val="20"/>
                <w:szCs w:val="20"/>
              </w:rPr>
              <w:t>Required funds and source of financing</w:t>
            </w:r>
          </w:p>
        </w:tc>
        <w:tc>
          <w:tcPr>
            <w:tcW w:w="3194" w:type="pct"/>
            <w:noWrap/>
          </w:tcPr>
          <w:p w14:paraId="4213D53C" w14:textId="60C1C0B0" w:rsidR="008B4484" w:rsidRPr="00F07779" w:rsidRDefault="00484069" w:rsidP="00615D2C">
            <w:pPr>
              <w:rPr>
                <w:color w:val="000000"/>
                <w:sz w:val="20"/>
                <w:szCs w:val="20"/>
              </w:rPr>
            </w:pPr>
            <w:r w:rsidRPr="00F07779">
              <w:rPr>
                <w:color w:val="000000"/>
                <w:sz w:val="20"/>
                <w:szCs w:val="20"/>
              </w:rPr>
              <w:t>Do not require additional funds</w:t>
            </w:r>
          </w:p>
        </w:tc>
      </w:tr>
      <w:tr w:rsidR="008B4484" w:rsidRPr="00F07779" w14:paraId="548E155F" w14:textId="77777777" w:rsidTr="00615D2C">
        <w:trPr>
          <w:trHeight w:val="315"/>
        </w:trPr>
        <w:tc>
          <w:tcPr>
            <w:tcW w:w="1806" w:type="pct"/>
            <w:noWrap/>
            <w:hideMark/>
          </w:tcPr>
          <w:p w14:paraId="22DF9F39" w14:textId="77777777" w:rsidR="008B4484" w:rsidRPr="00F07779" w:rsidRDefault="008B4484" w:rsidP="00615D2C">
            <w:pPr>
              <w:rPr>
                <w:color w:val="000000"/>
                <w:sz w:val="20"/>
                <w:szCs w:val="20"/>
              </w:rPr>
            </w:pPr>
            <w:r w:rsidRPr="00F07779">
              <w:rPr>
                <w:sz w:val="20"/>
                <w:szCs w:val="20"/>
              </w:rPr>
              <w:t>Impact of the activity on the achievement of the objective</w:t>
            </w:r>
          </w:p>
        </w:tc>
        <w:tc>
          <w:tcPr>
            <w:tcW w:w="3194" w:type="pct"/>
            <w:noWrap/>
          </w:tcPr>
          <w:p w14:paraId="77EC0DD8" w14:textId="77777777" w:rsidR="008B4484" w:rsidRPr="00F07779" w:rsidRDefault="008B4484" w:rsidP="00615D2C">
            <w:pPr>
              <w:snapToGrid w:val="0"/>
              <w:rPr>
                <w:color w:val="000000"/>
                <w:sz w:val="20"/>
                <w:szCs w:val="20"/>
              </w:rPr>
            </w:pPr>
            <w:r w:rsidRPr="00F07779">
              <w:rPr>
                <w:color w:val="000000"/>
                <w:sz w:val="20"/>
                <w:szCs w:val="20"/>
              </w:rPr>
              <w:t>Long-term sustainable business of energy entities:</w:t>
            </w:r>
          </w:p>
          <w:p w14:paraId="35DC03E4" w14:textId="77777777" w:rsidR="008B4484" w:rsidRPr="00F07779" w:rsidRDefault="008B4484" w:rsidP="00615D2C">
            <w:pPr>
              <w:snapToGrid w:val="0"/>
              <w:rPr>
                <w:color w:val="000000"/>
                <w:sz w:val="20"/>
                <w:szCs w:val="20"/>
              </w:rPr>
            </w:pPr>
            <w:r w:rsidRPr="00F07779">
              <w:rPr>
                <w:color w:val="000000"/>
                <w:sz w:val="20"/>
                <w:szCs w:val="20"/>
              </w:rPr>
              <w:t>35% of DHSs charge for delivered heat energy according to measured energy consumption</w:t>
            </w:r>
          </w:p>
        </w:tc>
      </w:tr>
      <w:tr w:rsidR="008B4484" w:rsidRPr="00F07779" w14:paraId="3F780CE8" w14:textId="77777777" w:rsidTr="00615D2C">
        <w:trPr>
          <w:trHeight w:val="315"/>
        </w:trPr>
        <w:tc>
          <w:tcPr>
            <w:tcW w:w="1806" w:type="pct"/>
            <w:noWrap/>
            <w:hideMark/>
          </w:tcPr>
          <w:p w14:paraId="69D6CBA7" w14:textId="77777777" w:rsidR="008B4484" w:rsidRPr="00F07779" w:rsidRDefault="008B4484" w:rsidP="00615D2C">
            <w:pPr>
              <w:rPr>
                <w:color w:val="000000"/>
                <w:sz w:val="20"/>
                <w:szCs w:val="20"/>
              </w:rPr>
            </w:pPr>
            <w:r w:rsidRPr="00F07779">
              <w:rPr>
                <w:sz w:val="20"/>
                <w:szCs w:val="20"/>
              </w:rPr>
              <w:t>Impact on EE, climate, and environmental protection</w:t>
            </w:r>
          </w:p>
        </w:tc>
        <w:tc>
          <w:tcPr>
            <w:tcW w:w="3194" w:type="pct"/>
            <w:noWrap/>
          </w:tcPr>
          <w:p w14:paraId="704FC651" w14:textId="77777777" w:rsidR="008B4484" w:rsidRPr="00F07779" w:rsidRDefault="008B4484" w:rsidP="00615D2C">
            <w:pPr>
              <w:rPr>
                <w:color w:val="000000"/>
                <w:sz w:val="20"/>
                <w:szCs w:val="20"/>
              </w:rPr>
            </w:pPr>
            <w:r w:rsidRPr="00F07779">
              <w:rPr>
                <w:color w:val="000000"/>
                <w:sz w:val="20"/>
                <w:szCs w:val="20"/>
              </w:rPr>
              <w:t>The expected reduction in specific heat energy consumption has a positive effect on environmental protection and climate.</w:t>
            </w:r>
          </w:p>
        </w:tc>
      </w:tr>
    </w:tbl>
    <w:p w14:paraId="7B94074E" w14:textId="77777777" w:rsidR="008B4484" w:rsidRPr="00F07779" w:rsidRDefault="008B4484" w:rsidP="008B4484">
      <w:pPr>
        <w:snapToGrid w:val="0"/>
      </w:pPr>
    </w:p>
    <w:p w14:paraId="78E9322B" w14:textId="77777777" w:rsidR="008B4484" w:rsidRPr="00F07779" w:rsidRDefault="008B4484" w:rsidP="008B4484">
      <w:pPr>
        <w:snapToGrid w:val="0"/>
        <w:rPr>
          <w:rFonts w:eastAsia="Calibri"/>
          <w:color w:val="2F5496"/>
          <w:sz w:val="20"/>
          <w:szCs w:val="20"/>
        </w:rPr>
      </w:pPr>
      <w:r w:rsidRPr="00F07779">
        <w:t>Table 5.2.6: Activities for implementing the measure Т4 –Т4.1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3"/>
        <w:gridCol w:w="5562"/>
      </w:tblGrid>
      <w:tr w:rsidR="008B4484" w:rsidRPr="00F07779" w14:paraId="57BCEBD2" w14:textId="77777777" w:rsidTr="00615D2C">
        <w:trPr>
          <w:trHeight w:val="315"/>
        </w:trPr>
        <w:tc>
          <w:tcPr>
            <w:tcW w:w="3153" w:type="dxa"/>
            <w:shd w:val="clear" w:color="auto" w:fill="D9D9D9" w:themeFill="background1" w:themeFillShade="D9"/>
            <w:noWrap/>
            <w:hideMark/>
          </w:tcPr>
          <w:p w14:paraId="25369EF9" w14:textId="77777777" w:rsidR="008B4484" w:rsidRPr="00F07779" w:rsidRDefault="008B4484" w:rsidP="00615D2C">
            <w:pPr>
              <w:rPr>
                <w:bCs/>
                <w:color w:val="000000"/>
                <w:sz w:val="20"/>
                <w:szCs w:val="20"/>
              </w:rPr>
            </w:pPr>
            <w:r w:rsidRPr="00F07779">
              <w:rPr>
                <w:bCs/>
                <w:color w:val="000000"/>
                <w:sz w:val="20"/>
                <w:szCs w:val="20"/>
              </w:rPr>
              <w:t>Activity Т4.1</w:t>
            </w:r>
          </w:p>
        </w:tc>
        <w:tc>
          <w:tcPr>
            <w:tcW w:w="5562" w:type="dxa"/>
            <w:shd w:val="clear" w:color="auto" w:fill="D9D9D9" w:themeFill="background1" w:themeFillShade="D9"/>
            <w:noWrap/>
            <w:vAlign w:val="bottom"/>
            <w:hideMark/>
          </w:tcPr>
          <w:p w14:paraId="3B7D79F8" w14:textId="77777777" w:rsidR="008B4484" w:rsidRPr="00F07779" w:rsidRDefault="008B4484" w:rsidP="00615D2C">
            <w:pPr>
              <w:rPr>
                <w:bCs/>
                <w:color w:val="000000"/>
                <w:sz w:val="20"/>
                <w:szCs w:val="20"/>
              </w:rPr>
            </w:pPr>
            <w:r w:rsidRPr="00F07779">
              <w:rPr>
                <w:color w:val="000000"/>
                <w:sz w:val="20"/>
                <w:szCs w:val="20"/>
              </w:rPr>
              <w:t>Adoption of the Heat Energy Law</w:t>
            </w:r>
          </w:p>
        </w:tc>
      </w:tr>
      <w:tr w:rsidR="008B4484" w:rsidRPr="00F07779" w14:paraId="4F2AFCC9" w14:textId="77777777" w:rsidTr="00615D2C">
        <w:trPr>
          <w:trHeight w:val="315"/>
        </w:trPr>
        <w:tc>
          <w:tcPr>
            <w:tcW w:w="3153" w:type="dxa"/>
            <w:noWrap/>
            <w:hideMark/>
          </w:tcPr>
          <w:p w14:paraId="05AFB122" w14:textId="77777777" w:rsidR="008B4484" w:rsidRPr="00F07779" w:rsidRDefault="008B4484" w:rsidP="00615D2C">
            <w:pPr>
              <w:rPr>
                <w:color w:val="000000"/>
                <w:sz w:val="20"/>
                <w:szCs w:val="20"/>
              </w:rPr>
            </w:pPr>
            <w:r w:rsidRPr="00F07779">
              <w:rPr>
                <w:sz w:val="20"/>
                <w:szCs w:val="20"/>
              </w:rPr>
              <w:t>Description</w:t>
            </w:r>
          </w:p>
        </w:tc>
        <w:tc>
          <w:tcPr>
            <w:tcW w:w="5562" w:type="dxa"/>
            <w:noWrap/>
            <w:vAlign w:val="bottom"/>
            <w:hideMark/>
          </w:tcPr>
          <w:p w14:paraId="402B10A9" w14:textId="77777777" w:rsidR="008B4484" w:rsidRPr="00F07779" w:rsidRDefault="008B4484" w:rsidP="00615D2C">
            <w:pPr>
              <w:rPr>
                <w:color w:val="000000"/>
                <w:sz w:val="20"/>
                <w:szCs w:val="20"/>
              </w:rPr>
            </w:pPr>
            <w:r w:rsidRPr="00F07779">
              <w:rPr>
                <w:color w:val="000000"/>
                <w:sz w:val="20"/>
                <w:szCs w:val="20"/>
              </w:rPr>
              <w:t>Amendments to the Energy Law, Article 8 c: The Program for the Development of Thermal Energy Production and Use is the basic act that determines the directions of action and public policy in the field of thermal energy production and use and the implementation of public policies.</w:t>
            </w:r>
          </w:p>
        </w:tc>
      </w:tr>
      <w:tr w:rsidR="008B4484" w:rsidRPr="00F07779" w14:paraId="6C852C8E" w14:textId="77777777" w:rsidTr="00615D2C">
        <w:trPr>
          <w:trHeight w:val="315"/>
        </w:trPr>
        <w:tc>
          <w:tcPr>
            <w:tcW w:w="3153" w:type="dxa"/>
            <w:noWrap/>
            <w:hideMark/>
          </w:tcPr>
          <w:p w14:paraId="3F30793F" w14:textId="77777777" w:rsidR="008B4484" w:rsidRPr="00F07779" w:rsidRDefault="008B4484" w:rsidP="00615D2C">
            <w:pPr>
              <w:rPr>
                <w:color w:val="000000"/>
                <w:sz w:val="20"/>
                <w:szCs w:val="20"/>
              </w:rPr>
            </w:pPr>
            <w:r w:rsidRPr="00F07779">
              <w:rPr>
                <w:sz w:val="20"/>
                <w:szCs w:val="20"/>
              </w:rPr>
              <w:t>Institutions responsible for the implementation of measures and activities</w:t>
            </w:r>
          </w:p>
        </w:tc>
        <w:tc>
          <w:tcPr>
            <w:tcW w:w="5562" w:type="dxa"/>
            <w:noWrap/>
            <w:vAlign w:val="bottom"/>
            <w:hideMark/>
          </w:tcPr>
          <w:p w14:paraId="41A831A4" w14:textId="75204815" w:rsidR="008B4484" w:rsidRPr="00F07779" w:rsidRDefault="00484069" w:rsidP="00615D2C">
            <w:pPr>
              <w:rPr>
                <w:color w:val="000000"/>
                <w:sz w:val="20"/>
                <w:szCs w:val="20"/>
              </w:rPr>
            </w:pPr>
            <w:r w:rsidRPr="00F07779">
              <w:rPr>
                <w:color w:val="000000"/>
                <w:sz w:val="20"/>
                <w:szCs w:val="20"/>
              </w:rPr>
              <w:t xml:space="preserve">Ministry of </w:t>
            </w:r>
            <w:proofErr w:type="gramStart"/>
            <w:r w:rsidRPr="00F07779">
              <w:rPr>
                <w:color w:val="000000"/>
                <w:sz w:val="20"/>
                <w:szCs w:val="20"/>
              </w:rPr>
              <w:t>mining</w:t>
            </w:r>
            <w:proofErr w:type="gramEnd"/>
            <w:r w:rsidRPr="00F07779">
              <w:rPr>
                <w:color w:val="000000"/>
                <w:sz w:val="20"/>
                <w:szCs w:val="20"/>
              </w:rPr>
              <w:t xml:space="preserve"> and energy</w:t>
            </w:r>
          </w:p>
        </w:tc>
      </w:tr>
      <w:tr w:rsidR="008B4484" w:rsidRPr="00F07779" w14:paraId="5278E20C" w14:textId="77777777" w:rsidTr="00615D2C">
        <w:trPr>
          <w:trHeight w:val="525"/>
        </w:trPr>
        <w:tc>
          <w:tcPr>
            <w:tcW w:w="3153" w:type="dxa"/>
            <w:hideMark/>
          </w:tcPr>
          <w:p w14:paraId="4C0B2478" w14:textId="77777777" w:rsidR="008B4484" w:rsidRPr="00F07779" w:rsidRDefault="008B4484" w:rsidP="00615D2C">
            <w:pPr>
              <w:rPr>
                <w:color w:val="000000"/>
                <w:sz w:val="20"/>
                <w:szCs w:val="20"/>
              </w:rPr>
            </w:pPr>
            <w:r w:rsidRPr="00F07779">
              <w:rPr>
                <w:sz w:val="20"/>
                <w:szCs w:val="20"/>
              </w:rPr>
              <w:t>Institutions responsible for monitoring implementation and reporting on realization</w:t>
            </w:r>
          </w:p>
        </w:tc>
        <w:tc>
          <w:tcPr>
            <w:tcW w:w="5562" w:type="dxa"/>
            <w:noWrap/>
            <w:vAlign w:val="bottom"/>
            <w:hideMark/>
          </w:tcPr>
          <w:p w14:paraId="6282E430" w14:textId="77777777" w:rsidR="008B4484" w:rsidRPr="00F07779" w:rsidRDefault="008B4484" w:rsidP="00615D2C">
            <w:pPr>
              <w:rPr>
                <w:color w:val="000000"/>
                <w:sz w:val="20"/>
                <w:szCs w:val="20"/>
              </w:rPr>
            </w:pPr>
            <w:r w:rsidRPr="00F07779">
              <w:rPr>
                <w:color w:val="000000"/>
                <w:sz w:val="20"/>
                <w:szCs w:val="20"/>
              </w:rPr>
              <w:t>DHBA „</w:t>
            </w:r>
            <w:proofErr w:type="spellStart"/>
            <w:r w:rsidRPr="00F07779">
              <w:rPr>
                <w:color w:val="000000"/>
                <w:sz w:val="20"/>
                <w:szCs w:val="20"/>
              </w:rPr>
              <w:t>Toplane</w:t>
            </w:r>
            <w:proofErr w:type="spellEnd"/>
            <w:r w:rsidRPr="00F07779">
              <w:rPr>
                <w:color w:val="000000"/>
                <w:sz w:val="20"/>
                <w:szCs w:val="20"/>
              </w:rPr>
              <w:t xml:space="preserve"> </w:t>
            </w:r>
            <w:proofErr w:type="gramStart"/>
            <w:r w:rsidRPr="00F07779">
              <w:rPr>
                <w:color w:val="000000"/>
                <w:sz w:val="20"/>
                <w:szCs w:val="20"/>
              </w:rPr>
              <w:t>Srbije“</w:t>
            </w:r>
            <w:proofErr w:type="gramEnd"/>
          </w:p>
        </w:tc>
      </w:tr>
      <w:tr w:rsidR="008B4484" w:rsidRPr="00F07779" w14:paraId="3685A77E" w14:textId="77777777" w:rsidTr="00615D2C">
        <w:trPr>
          <w:trHeight w:val="315"/>
        </w:trPr>
        <w:tc>
          <w:tcPr>
            <w:tcW w:w="3153" w:type="dxa"/>
            <w:noWrap/>
            <w:hideMark/>
          </w:tcPr>
          <w:p w14:paraId="0284D3AF" w14:textId="77777777" w:rsidR="008B4484" w:rsidRPr="00F07779" w:rsidRDefault="008B4484" w:rsidP="00615D2C">
            <w:pPr>
              <w:rPr>
                <w:color w:val="000000"/>
                <w:sz w:val="20"/>
                <w:szCs w:val="20"/>
              </w:rPr>
            </w:pPr>
            <w:r w:rsidRPr="00F07779">
              <w:rPr>
                <w:sz w:val="20"/>
                <w:szCs w:val="20"/>
              </w:rPr>
              <w:t>Deadline for implementation</w:t>
            </w:r>
          </w:p>
        </w:tc>
        <w:tc>
          <w:tcPr>
            <w:tcW w:w="5562" w:type="dxa"/>
            <w:noWrap/>
            <w:vAlign w:val="bottom"/>
            <w:hideMark/>
          </w:tcPr>
          <w:p w14:paraId="3CB99493" w14:textId="77777777" w:rsidR="008B4484" w:rsidRPr="00F07779" w:rsidRDefault="008B4484" w:rsidP="00615D2C">
            <w:pPr>
              <w:rPr>
                <w:color w:val="000000"/>
                <w:sz w:val="20"/>
                <w:szCs w:val="20"/>
              </w:rPr>
            </w:pPr>
            <w:r w:rsidRPr="00F07779">
              <w:rPr>
                <w:color w:val="000000"/>
                <w:sz w:val="20"/>
                <w:szCs w:val="20"/>
              </w:rPr>
              <w:t xml:space="preserve">2026. </w:t>
            </w:r>
          </w:p>
        </w:tc>
      </w:tr>
      <w:tr w:rsidR="008B4484" w:rsidRPr="00F07779" w14:paraId="3B0993A3" w14:textId="77777777" w:rsidTr="00615D2C">
        <w:trPr>
          <w:trHeight w:val="241"/>
        </w:trPr>
        <w:tc>
          <w:tcPr>
            <w:tcW w:w="3153" w:type="dxa"/>
            <w:noWrap/>
            <w:hideMark/>
          </w:tcPr>
          <w:p w14:paraId="40776052" w14:textId="77777777" w:rsidR="008B4484" w:rsidRPr="00F07779" w:rsidRDefault="008B4484" w:rsidP="00615D2C">
            <w:pPr>
              <w:rPr>
                <w:color w:val="000000"/>
                <w:sz w:val="20"/>
                <w:szCs w:val="20"/>
              </w:rPr>
            </w:pPr>
            <w:r w:rsidRPr="00F07779">
              <w:rPr>
                <w:sz w:val="20"/>
                <w:szCs w:val="20"/>
              </w:rPr>
              <w:t>Required funds and source of financing</w:t>
            </w:r>
          </w:p>
        </w:tc>
        <w:tc>
          <w:tcPr>
            <w:tcW w:w="5562" w:type="dxa"/>
            <w:noWrap/>
            <w:vAlign w:val="bottom"/>
            <w:hideMark/>
          </w:tcPr>
          <w:p w14:paraId="3EB6F192" w14:textId="77777777" w:rsidR="008B4484" w:rsidRPr="00F07779" w:rsidRDefault="008B4484" w:rsidP="00615D2C">
            <w:pPr>
              <w:rPr>
                <w:color w:val="000000"/>
                <w:sz w:val="20"/>
                <w:szCs w:val="20"/>
              </w:rPr>
            </w:pPr>
            <w:r w:rsidRPr="00F07779">
              <w:rPr>
                <w:color w:val="000000"/>
                <w:sz w:val="20"/>
                <w:szCs w:val="20"/>
              </w:rPr>
              <w:t>0.1 million EUR (11,725,000 RSD)</w:t>
            </w:r>
          </w:p>
          <w:p w14:paraId="0B5E4855" w14:textId="77777777" w:rsidR="008B4484" w:rsidRPr="00F07779" w:rsidRDefault="008B4484" w:rsidP="00615D2C">
            <w:pPr>
              <w:rPr>
                <w:color w:val="000000"/>
                <w:sz w:val="20"/>
                <w:szCs w:val="20"/>
              </w:rPr>
            </w:pPr>
            <w:r w:rsidRPr="00F07779">
              <w:rPr>
                <w:color w:val="000000"/>
                <w:sz w:val="20"/>
                <w:szCs w:val="20"/>
              </w:rPr>
              <w:t>EBRD, donation</w:t>
            </w:r>
          </w:p>
        </w:tc>
      </w:tr>
      <w:tr w:rsidR="008B4484" w:rsidRPr="00F07779" w14:paraId="4EC14DBE" w14:textId="77777777" w:rsidTr="00484069">
        <w:trPr>
          <w:trHeight w:val="489"/>
        </w:trPr>
        <w:tc>
          <w:tcPr>
            <w:tcW w:w="3153" w:type="dxa"/>
            <w:noWrap/>
            <w:hideMark/>
          </w:tcPr>
          <w:p w14:paraId="797194E0" w14:textId="77777777" w:rsidR="008B4484" w:rsidRPr="00F07779" w:rsidRDefault="008B4484" w:rsidP="00615D2C">
            <w:pPr>
              <w:rPr>
                <w:color w:val="000000"/>
                <w:sz w:val="20"/>
                <w:szCs w:val="20"/>
              </w:rPr>
            </w:pPr>
            <w:r w:rsidRPr="00F07779">
              <w:rPr>
                <w:sz w:val="20"/>
                <w:szCs w:val="20"/>
              </w:rPr>
              <w:t>Impact of the activity on the achievement of the objective</w:t>
            </w:r>
          </w:p>
        </w:tc>
        <w:tc>
          <w:tcPr>
            <w:tcW w:w="5562" w:type="dxa"/>
            <w:noWrap/>
            <w:vAlign w:val="bottom"/>
            <w:hideMark/>
          </w:tcPr>
          <w:p w14:paraId="039D909B" w14:textId="2F9BF531" w:rsidR="008B4484" w:rsidRPr="00F07779" w:rsidRDefault="00484069" w:rsidP="00615D2C">
            <w:pPr>
              <w:rPr>
                <w:color w:val="000000"/>
                <w:sz w:val="20"/>
                <w:szCs w:val="20"/>
              </w:rPr>
            </w:pPr>
            <w:r w:rsidRPr="00F07779">
              <w:rPr>
                <w:color w:val="000000"/>
                <w:sz w:val="20"/>
                <w:szCs w:val="20"/>
              </w:rPr>
              <w:t>Increasing the number of connections to district heating systems</w:t>
            </w:r>
          </w:p>
        </w:tc>
      </w:tr>
      <w:tr w:rsidR="008B4484" w:rsidRPr="00F07779" w14:paraId="6F6233B6" w14:textId="77777777" w:rsidTr="00615D2C">
        <w:trPr>
          <w:trHeight w:val="315"/>
        </w:trPr>
        <w:tc>
          <w:tcPr>
            <w:tcW w:w="3153" w:type="dxa"/>
            <w:noWrap/>
            <w:hideMark/>
          </w:tcPr>
          <w:p w14:paraId="68D05E25" w14:textId="77777777" w:rsidR="008B4484" w:rsidRPr="00F07779" w:rsidRDefault="008B4484" w:rsidP="00615D2C">
            <w:pPr>
              <w:rPr>
                <w:color w:val="000000"/>
                <w:sz w:val="20"/>
                <w:szCs w:val="20"/>
              </w:rPr>
            </w:pPr>
            <w:r w:rsidRPr="00F07779">
              <w:rPr>
                <w:sz w:val="20"/>
                <w:szCs w:val="20"/>
              </w:rPr>
              <w:t>Impact on EE, climate, and environmental protection</w:t>
            </w:r>
          </w:p>
        </w:tc>
        <w:tc>
          <w:tcPr>
            <w:tcW w:w="5562" w:type="dxa"/>
            <w:noWrap/>
            <w:vAlign w:val="bottom"/>
            <w:hideMark/>
          </w:tcPr>
          <w:p w14:paraId="1CB88F67" w14:textId="77777777" w:rsidR="008B4484" w:rsidRPr="00F07779" w:rsidRDefault="008B4484" w:rsidP="00615D2C">
            <w:pPr>
              <w:rPr>
                <w:color w:val="000000"/>
                <w:sz w:val="20"/>
                <w:szCs w:val="20"/>
              </w:rPr>
            </w:pPr>
            <w:r w:rsidRPr="00F07779">
              <w:rPr>
                <w:color w:val="000000"/>
                <w:sz w:val="20"/>
                <w:szCs w:val="20"/>
              </w:rPr>
              <w:t>No direct impact</w:t>
            </w:r>
          </w:p>
        </w:tc>
      </w:tr>
      <w:tr w:rsidR="008B4484" w:rsidRPr="00F07779" w14:paraId="0C9641C7" w14:textId="77777777" w:rsidTr="00615D2C">
        <w:trPr>
          <w:trHeight w:val="315"/>
        </w:trPr>
        <w:tc>
          <w:tcPr>
            <w:tcW w:w="3153" w:type="dxa"/>
            <w:noWrap/>
            <w:hideMark/>
          </w:tcPr>
          <w:p w14:paraId="2566D065" w14:textId="77777777" w:rsidR="008B4484" w:rsidRPr="00F07779" w:rsidRDefault="008B4484" w:rsidP="00615D2C">
            <w:pPr>
              <w:rPr>
                <w:color w:val="000000"/>
                <w:sz w:val="20"/>
                <w:szCs w:val="20"/>
              </w:rPr>
            </w:pPr>
            <w:r w:rsidRPr="00F07779">
              <w:rPr>
                <w:color w:val="000000"/>
                <w:sz w:val="20"/>
                <w:szCs w:val="20"/>
              </w:rPr>
              <w:t>Regulations to be adopted/amended</w:t>
            </w:r>
          </w:p>
        </w:tc>
        <w:tc>
          <w:tcPr>
            <w:tcW w:w="5562" w:type="dxa"/>
            <w:noWrap/>
            <w:vAlign w:val="bottom"/>
            <w:hideMark/>
          </w:tcPr>
          <w:p w14:paraId="74556F28" w14:textId="77777777" w:rsidR="008B4484" w:rsidRPr="00F07779" w:rsidRDefault="008B4484" w:rsidP="00615D2C">
            <w:pPr>
              <w:rPr>
                <w:color w:val="000000"/>
                <w:sz w:val="20"/>
                <w:szCs w:val="20"/>
              </w:rPr>
            </w:pPr>
            <w:r w:rsidRPr="00F07779">
              <w:rPr>
                <w:color w:val="000000"/>
                <w:sz w:val="20"/>
                <w:szCs w:val="20"/>
              </w:rPr>
              <w:t>Amendment to the Energy Law</w:t>
            </w:r>
          </w:p>
        </w:tc>
      </w:tr>
      <w:tr w:rsidR="008B4484" w:rsidRPr="00F07779" w14:paraId="746CF914" w14:textId="77777777" w:rsidTr="00615D2C">
        <w:trPr>
          <w:trHeight w:val="315"/>
        </w:trPr>
        <w:tc>
          <w:tcPr>
            <w:tcW w:w="3153" w:type="dxa"/>
            <w:shd w:val="clear" w:color="auto" w:fill="D9D9D9" w:themeFill="background1" w:themeFillShade="D9"/>
            <w:noWrap/>
          </w:tcPr>
          <w:p w14:paraId="7B662683" w14:textId="77777777" w:rsidR="008B4484" w:rsidRPr="00F07779" w:rsidRDefault="008B4484" w:rsidP="00615D2C">
            <w:pPr>
              <w:rPr>
                <w:b/>
                <w:bCs/>
                <w:sz w:val="20"/>
                <w:szCs w:val="20"/>
              </w:rPr>
            </w:pPr>
            <w:r w:rsidRPr="00F07779">
              <w:rPr>
                <w:b/>
                <w:bCs/>
                <w:sz w:val="20"/>
                <w:szCs w:val="20"/>
              </w:rPr>
              <w:t>Total funds for the measure T4</w:t>
            </w:r>
          </w:p>
        </w:tc>
        <w:tc>
          <w:tcPr>
            <w:tcW w:w="5562" w:type="dxa"/>
            <w:shd w:val="clear" w:color="auto" w:fill="D9D9D9" w:themeFill="background1" w:themeFillShade="D9"/>
            <w:noWrap/>
          </w:tcPr>
          <w:p w14:paraId="18E06AC6" w14:textId="5253CA20" w:rsidR="008B4484" w:rsidRPr="00F07779" w:rsidRDefault="008B4484" w:rsidP="00615D2C">
            <w:pPr>
              <w:rPr>
                <w:b/>
                <w:bCs/>
                <w:sz w:val="20"/>
                <w:szCs w:val="20"/>
              </w:rPr>
            </w:pPr>
            <w:r w:rsidRPr="00F07779">
              <w:rPr>
                <w:b/>
                <w:bCs/>
                <w:sz w:val="20"/>
                <w:szCs w:val="20"/>
              </w:rPr>
              <w:t xml:space="preserve">0.10 EUR </w:t>
            </w:r>
            <w:r w:rsidR="00484069" w:rsidRPr="00F07779">
              <w:rPr>
                <w:b/>
                <w:bCs/>
                <w:sz w:val="20"/>
                <w:szCs w:val="20"/>
              </w:rPr>
              <w:t>million</w:t>
            </w:r>
          </w:p>
        </w:tc>
      </w:tr>
    </w:tbl>
    <w:p w14:paraId="3260BB07" w14:textId="1AD81077" w:rsidR="008B4484" w:rsidRPr="00F07779" w:rsidRDefault="008B4484" w:rsidP="00613D07"/>
    <w:p w14:paraId="1A7B61B7" w14:textId="77777777" w:rsidR="0094644B" w:rsidRPr="00F07779" w:rsidRDefault="0094644B" w:rsidP="0094644B">
      <w:pPr>
        <w:pStyle w:val="Heading2"/>
        <w:numPr>
          <w:ilvl w:val="1"/>
          <w:numId w:val="7"/>
        </w:numPr>
        <w:rPr>
          <w:rFonts w:ascii="Times New Roman" w:hAnsi="Times New Roman" w:cs="Times New Roman"/>
        </w:rPr>
      </w:pPr>
      <w:r w:rsidRPr="00F07779">
        <w:rPr>
          <w:rFonts w:ascii="Times New Roman" w:hAnsi="Times New Roman" w:cs="Times New Roman"/>
        </w:rPr>
        <w:t>RES Sector</w:t>
      </w:r>
    </w:p>
    <w:p w14:paraId="0A606AE5" w14:textId="77777777" w:rsidR="0094644B" w:rsidRPr="00FA3F57" w:rsidRDefault="0094644B" w:rsidP="0094644B">
      <w:pPr>
        <w:jc w:val="both"/>
      </w:pPr>
    </w:p>
    <w:p w14:paraId="2FF19C9F" w14:textId="77777777" w:rsidR="0094644B" w:rsidRPr="00F07779" w:rsidRDefault="0094644B" w:rsidP="0094644B">
      <w:pPr>
        <w:jc w:val="both"/>
      </w:pPr>
      <w:r w:rsidRPr="00FA3F57">
        <w:t xml:space="preserve">The strategic </w:t>
      </w:r>
      <w:r w:rsidRPr="00F07779">
        <w:t>objectives</w:t>
      </w:r>
      <w:r w:rsidRPr="00FA3F57">
        <w:t xml:space="preserve"> within the renewable energy resources (RES) sector focus on expanding RES utilization for generating electricity, heat, and transportation. These objectives align with the overarching aims of the energy sector's development, positively influencing energy security and decarbonization, while enhancing the energy sector's economic competitiveness in the long run.</w:t>
      </w:r>
    </w:p>
    <w:p w14:paraId="631259E6" w14:textId="77777777" w:rsidR="0094644B" w:rsidRPr="00FA3F57" w:rsidRDefault="0094644B" w:rsidP="0094644B">
      <w:pPr>
        <w:jc w:val="both"/>
      </w:pPr>
      <w:r w:rsidRPr="00FA3F57">
        <w:t xml:space="preserve">To achieve these strategic </w:t>
      </w:r>
      <w:r w:rsidRPr="00F07779">
        <w:t>objectives</w:t>
      </w:r>
      <w:r w:rsidRPr="00FA3F57">
        <w:t>, the Strategy outlines eight specific measures:</w:t>
      </w:r>
    </w:p>
    <w:p w14:paraId="520FBA19" w14:textId="77777777" w:rsidR="0094644B" w:rsidRPr="00FA3F57" w:rsidRDefault="0094644B" w:rsidP="0094644B">
      <w:pPr>
        <w:pStyle w:val="ListParagraph"/>
        <w:numPr>
          <w:ilvl w:val="0"/>
          <w:numId w:val="16"/>
        </w:numPr>
        <w:tabs>
          <w:tab w:val="left" w:pos="1276"/>
        </w:tabs>
        <w:spacing w:before="120" w:after="60"/>
        <w:jc w:val="both"/>
        <w:rPr>
          <w:noProof w:val="0"/>
        </w:rPr>
      </w:pPr>
      <w:r w:rsidRPr="00FA3F57">
        <w:rPr>
          <w:rFonts w:ascii="Times New Roman" w:hAnsi="Times New Roman" w:cs="Times New Roman"/>
          <w:noProof w:val="0"/>
        </w:rPr>
        <w:t>RES1</w:t>
      </w:r>
      <w:r w:rsidRPr="00FA3F57">
        <w:rPr>
          <w:rFonts w:ascii="Times New Roman" w:hAnsi="Times New Roman" w:cs="Times New Roman"/>
          <w:noProof w:val="0"/>
        </w:rPr>
        <w:tab/>
        <w:t>Financial and other incentives for the development of RES capacity (hydro, wind, solar energy, etc.</w:t>
      </w:r>
      <w:proofErr w:type="gramStart"/>
      <w:r w:rsidRPr="00FA3F57">
        <w:rPr>
          <w:rFonts w:ascii="Times New Roman" w:hAnsi="Times New Roman" w:cs="Times New Roman"/>
          <w:noProof w:val="0"/>
        </w:rPr>
        <w:t>);</w:t>
      </w:r>
      <w:proofErr w:type="gramEnd"/>
    </w:p>
    <w:p w14:paraId="4063405A" w14:textId="77777777" w:rsidR="0094644B" w:rsidRPr="00FA3F57" w:rsidRDefault="0094644B" w:rsidP="0094644B">
      <w:pPr>
        <w:pStyle w:val="ListParagraph"/>
        <w:numPr>
          <w:ilvl w:val="0"/>
          <w:numId w:val="16"/>
        </w:numPr>
        <w:tabs>
          <w:tab w:val="left" w:pos="1276"/>
        </w:tabs>
        <w:spacing w:before="120" w:after="60"/>
        <w:jc w:val="both"/>
        <w:rPr>
          <w:noProof w:val="0"/>
        </w:rPr>
      </w:pPr>
      <w:r w:rsidRPr="00FA3F57">
        <w:rPr>
          <w:rFonts w:ascii="Times New Roman" w:hAnsi="Times New Roman" w:cs="Times New Roman"/>
          <w:noProof w:val="0"/>
        </w:rPr>
        <w:t>RES2</w:t>
      </w:r>
      <w:r w:rsidRPr="00FA3F57">
        <w:rPr>
          <w:rFonts w:ascii="Times New Roman" w:hAnsi="Times New Roman" w:cs="Times New Roman"/>
          <w:noProof w:val="0"/>
        </w:rPr>
        <w:tab/>
        <w:t xml:space="preserve">Informing and educating the </w:t>
      </w:r>
      <w:proofErr w:type="gramStart"/>
      <w:r w:rsidRPr="00FA3F57">
        <w:rPr>
          <w:rFonts w:ascii="Times New Roman" w:hAnsi="Times New Roman" w:cs="Times New Roman"/>
          <w:noProof w:val="0"/>
        </w:rPr>
        <w:t>public;</w:t>
      </w:r>
      <w:proofErr w:type="gramEnd"/>
    </w:p>
    <w:p w14:paraId="3AA88C6B" w14:textId="77777777" w:rsidR="0094644B" w:rsidRPr="00FA3F57" w:rsidRDefault="0094644B" w:rsidP="0094644B">
      <w:pPr>
        <w:pStyle w:val="ListParagraph"/>
        <w:numPr>
          <w:ilvl w:val="0"/>
          <w:numId w:val="16"/>
        </w:numPr>
        <w:tabs>
          <w:tab w:val="left" w:pos="1276"/>
        </w:tabs>
        <w:spacing w:before="120" w:after="60"/>
        <w:jc w:val="both"/>
        <w:rPr>
          <w:noProof w:val="0"/>
        </w:rPr>
      </w:pPr>
      <w:r w:rsidRPr="00FA3F57">
        <w:rPr>
          <w:rFonts w:ascii="Times New Roman" w:hAnsi="Times New Roman" w:cs="Times New Roman"/>
          <w:noProof w:val="0"/>
        </w:rPr>
        <w:t>RES3</w:t>
      </w:r>
      <w:r w:rsidRPr="00FA3F57">
        <w:rPr>
          <w:rFonts w:ascii="Times New Roman" w:hAnsi="Times New Roman" w:cs="Times New Roman"/>
          <w:noProof w:val="0"/>
        </w:rPr>
        <w:tab/>
        <w:t xml:space="preserve">Simplified and fast procedures for customers wishing to switch to the prosumer </w:t>
      </w:r>
      <w:proofErr w:type="gramStart"/>
      <w:r w:rsidRPr="00FA3F57">
        <w:rPr>
          <w:rFonts w:ascii="Times New Roman" w:hAnsi="Times New Roman" w:cs="Times New Roman"/>
          <w:noProof w:val="0"/>
        </w:rPr>
        <w:t>category;</w:t>
      </w:r>
      <w:proofErr w:type="gramEnd"/>
    </w:p>
    <w:p w14:paraId="6F1FC8E6" w14:textId="77777777" w:rsidR="0094644B" w:rsidRPr="00FA3F57" w:rsidRDefault="0094644B" w:rsidP="0094644B">
      <w:pPr>
        <w:pStyle w:val="ListParagraph"/>
        <w:numPr>
          <w:ilvl w:val="0"/>
          <w:numId w:val="16"/>
        </w:numPr>
        <w:tabs>
          <w:tab w:val="left" w:pos="1276"/>
        </w:tabs>
        <w:spacing w:before="120" w:after="60"/>
        <w:jc w:val="both"/>
        <w:rPr>
          <w:noProof w:val="0"/>
        </w:rPr>
      </w:pPr>
      <w:r w:rsidRPr="00FA3F57">
        <w:rPr>
          <w:rFonts w:ascii="Times New Roman" w:hAnsi="Times New Roman" w:cs="Times New Roman"/>
          <w:noProof w:val="0"/>
        </w:rPr>
        <w:t>RES4</w:t>
      </w:r>
      <w:r w:rsidRPr="00FA3F57">
        <w:rPr>
          <w:rFonts w:ascii="Times New Roman" w:hAnsi="Times New Roman" w:cs="Times New Roman"/>
          <w:noProof w:val="0"/>
        </w:rPr>
        <w:tab/>
        <w:t xml:space="preserve">Increasing the energy efficiency of the </w:t>
      </w:r>
      <w:proofErr w:type="gramStart"/>
      <w:r w:rsidRPr="00FA3F57">
        <w:rPr>
          <w:rFonts w:ascii="Times New Roman" w:hAnsi="Times New Roman" w:cs="Times New Roman"/>
          <w:noProof w:val="0"/>
        </w:rPr>
        <w:t>network;</w:t>
      </w:r>
      <w:proofErr w:type="gramEnd"/>
    </w:p>
    <w:p w14:paraId="316B0C34" w14:textId="77777777" w:rsidR="0094644B" w:rsidRPr="00FA3F57" w:rsidRDefault="0094644B" w:rsidP="0094644B">
      <w:pPr>
        <w:pStyle w:val="ListParagraph"/>
        <w:numPr>
          <w:ilvl w:val="0"/>
          <w:numId w:val="16"/>
        </w:numPr>
        <w:tabs>
          <w:tab w:val="left" w:pos="1276"/>
        </w:tabs>
        <w:spacing w:before="120" w:after="60"/>
        <w:jc w:val="both"/>
        <w:rPr>
          <w:noProof w:val="0"/>
        </w:rPr>
      </w:pPr>
      <w:r w:rsidRPr="00FA3F57">
        <w:rPr>
          <w:rFonts w:ascii="Times New Roman" w:hAnsi="Times New Roman" w:cs="Times New Roman"/>
          <w:noProof w:val="0"/>
        </w:rPr>
        <w:lastRenderedPageBreak/>
        <w:t>RES5</w:t>
      </w:r>
      <w:r w:rsidRPr="00FA3F57">
        <w:rPr>
          <w:rFonts w:ascii="Times New Roman" w:hAnsi="Times New Roman" w:cs="Times New Roman"/>
          <w:noProof w:val="0"/>
        </w:rPr>
        <w:tab/>
        <w:t xml:space="preserve">Financial and other incentives for the development of RES capacity </w:t>
      </w:r>
      <w:proofErr w:type="gramStart"/>
      <w:r w:rsidRPr="00FA3F57">
        <w:rPr>
          <w:rFonts w:ascii="Times New Roman" w:hAnsi="Times New Roman" w:cs="Times New Roman"/>
          <w:noProof w:val="0"/>
        </w:rPr>
        <w:t>for the production of</w:t>
      </w:r>
      <w:proofErr w:type="gramEnd"/>
      <w:r w:rsidRPr="00FA3F57">
        <w:rPr>
          <w:rFonts w:ascii="Times New Roman" w:hAnsi="Times New Roman" w:cs="Times New Roman"/>
          <w:noProof w:val="0"/>
        </w:rPr>
        <w:t xml:space="preserve"> heat </w:t>
      </w:r>
      <w:proofErr w:type="gramStart"/>
      <w:r w:rsidRPr="00FA3F57">
        <w:rPr>
          <w:rFonts w:ascii="Times New Roman" w:hAnsi="Times New Roman" w:cs="Times New Roman"/>
          <w:noProof w:val="0"/>
        </w:rPr>
        <w:t>energy;</w:t>
      </w:r>
      <w:proofErr w:type="gramEnd"/>
    </w:p>
    <w:p w14:paraId="72BFE90D" w14:textId="77777777" w:rsidR="0094644B" w:rsidRPr="00FA3F57" w:rsidRDefault="0094644B" w:rsidP="0094644B">
      <w:pPr>
        <w:pStyle w:val="ListParagraph"/>
        <w:numPr>
          <w:ilvl w:val="0"/>
          <w:numId w:val="16"/>
        </w:numPr>
        <w:tabs>
          <w:tab w:val="left" w:pos="1276"/>
        </w:tabs>
        <w:spacing w:before="120" w:after="60"/>
        <w:jc w:val="both"/>
        <w:rPr>
          <w:rFonts w:ascii="Times New Roman" w:hAnsi="Times New Roman" w:cs="Times New Roman"/>
          <w:noProof w:val="0"/>
        </w:rPr>
      </w:pPr>
      <w:r w:rsidRPr="00FA3F57">
        <w:rPr>
          <w:rFonts w:ascii="Times New Roman" w:hAnsi="Times New Roman" w:cs="Times New Roman"/>
          <w:noProof w:val="0"/>
        </w:rPr>
        <w:t>RES6</w:t>
      </w:r>
      <w:r w:rsidRPr="00FA3F57">
        <w:rPr>
          <w:rFonts w:ascii="Times New Roman" w:hAnsi="Times New Roman" w:cs="Times New Roman"/>
          <w:noProof w:val="0"/>
        </w:rPr>
        <w:tab/>
        <w:t xml:space="preserve">Establishing the necessary </w:t>
      </w:r>
      <w:proofErr w:type="gramStart"/>
      <w:r w:rsidRPr="00FA3F57">
        <w:rPr>
          <w:rFonts w:ascii="Times New Roman" w:hAnsi="Times New Roman" w:cs="Times New Roman"/>
          <w:noProof w:val="0"/>
        </w:rPr>
        <w:t>infrastructure;</w:t>
      </w:r>
      <w:proofErr w:type="gramEnd"/>
    </w:p>
    <w:p w14:paraId="475C8079" w14:textId="77777777" w:rsidR="0094644B" w:rsidRPr="00FA3F57" w:rsidRDefault="0094644B" w:rsidP="0094644B">
      <w:pPr>
        <w:pStyle w:val="ListParagraph"/>
        <w:numPr>
          <w:ilvl w:val="0"/>
          <w:numId w:val="16"/>
        </w:numPr>
        <w:tabs>
          <w:tab w:val="left" w:pos="1276"/>
        </w:tabs>
        <w:spacing w:before="120" w:after="60"/>
        <w:jc w:val="both"/>
        <w:rPr>
          <w:rFonts w:ascii="Times New Roman" w:hAnsi="Times New Roman" w:cs="Times New Roman"/>
          <w:noProof w:val="0"/>
        </w:rPr>
      </w:pPr>
      <w:r w:rsidRPr="00FA3F57">
        <w:rPr>
          <w:rFonts w:ascii="Times New Roman" w:hAnsi="Times New Roman" w:cs="Times New Roman"/>
          <w:noProof w:val="0"/>
        </w:rPr>
        <w:t>RES7</w:t>
      </w:r>
      <w:r w:rsidRPr="00FA3F57">
        <w:rPr>
          <w:rFonts w:ascii="Times New Roman" w:hAnsi="Times New Roman" w:cs="Times New Roman"/>
          <w:noProof w:val="0"/>
        </w:rPr>
        <w:tab/>
        <w:t xml:space="preserve">Modifications of the electrical distribution network for </w:t>
      </w:r>
      <w:proofErr w:type="gramStart"/>
      <w:r w:rsidRPr="00FA3F57">
        <w:rPr>
          <w:rFonts w:ascii="Times New Roman" w:hAnsi="Times New Roman" w:cs="Times New Roman"/>
          <w:noProof w:val="0"/>
        </w:rPr>
        <w:t>electromobility;</w:t>
      </w:r>
      <w:proofErr w:type="gramEnd"/>
    </w:p>
    <w:p w14:paraId="42B97966" w14:textId="77777777" w:rsidR="0094644B" w:rsidRPr="00FA3F57" w:rsidRDefault="0094644B" w:rsidP="0094644B">
      <w:pPr>
        <w:pStyle w:val="ListParagraph"/>
        <w:numPr>
          <w:ilvl w:val="0"/>
          <w:numId w:val="16"/>
        </w:numPr>
        <w:tabs>
          <w:tab w:val="left" w:pos="1276"/>
        </w:tabs>
        <w:spacing w:before="120" w:after="60"/>
        <w:jc w:val="both"/>
        <w:rPr>
          <w:rFonts w:ascii="Times New Roman" w:hAnsi="Times New Roman" w:cs="Times New Roman"/>
          <w:noProof w:val="0"/>
        </w:rPr>
      </w:pPr>
      <w:r w:rsidRPr="00FA3F57">
        <w:rPr>
          <w:rFonts w:ascii="Times New Roman" w:hAnsi="Times New Roman" w:cs="Times New Roman"/>
          <w:noProof w:val="0"/>
        </w:rPr>
        <w:t>RES8</w:t>
      </w:r>
      <w:r w:rsidRPr="00FA3F57">
        <w:rPr>
          <w:rFonts w:ascii="Times New Roman" w:hAnsi="Times New Roman" w:cs="Times New Roman"/>
          <w:noProof w:val="0"/>
        </w:rPr>
        <w:tab/>
        <w:t>Intensification of national incentives for the widespread adoption of electric vehicles.</w:t>
      </w:r>
    </w:p>
    <w:p w14:paraId="607316EB" w14:textId="77777777" w:rsidR="0094644B" w:rsidRPr="00F07779" w:rsidRDefault="0094644B" w:rsidP="0094644B">
      <w:pPr>
        <w:jc w:val="both"/>
      </w:pPr>
      <w:r w:rsidRPr="00F07779">
        <w:t xml:space="preserve">During the relevant Program period, plans are in place to implement all eight of the </w:t>
      </w:r>
      <w:proofErr w:type="gramStart"/>
      <w:r w:rsidRPr="00F07779">
        <w:t>aforementioned measures</w:t>
      </w:r>
      <w:proofErr w:type="gramEnd"/>
      <w:r w:rsidRPr="00F07779">
        <w:t>.</w:t>
      </w:r>
    </w:p>
    <w:p w14:paraId="3A431F8C" w14:textId="77777777" w:rsidR="0094644B" w:rsidRPr="00FA3F57" w:rsidRDefault="0094644B" w:rsidP="0094644B">
      <w:pPr>
        <w:jc w:val="both"/>
      </w:pPr>
      <w:r w:rsidRPr="00F07779">
        <w:t>Additionally, this Program includes two further measures:</w:t>
      </w:r>
    </w:p>
    <w:p w14:paraId="3C1E0019" w14:textId="77777777" w:rsidR="0094644B" w:rsidRPr="00FA3F57" w:rsidRDefault="0094644B" w:rsidP="0094644B">
      <w:pPr>
        <w:pStyle w:val="ListParagraph"/>
        <w:numPr>
          <w:ilvl w:val="0"/>
          <w:numId w:val="16"/>
        </w:numPr>
        <w:tabs>
          <w:tab w:val="left" w:pos="1276"/>
        </w:tabs>
        <w:spacing w:before="120" w:after="60"/>
        <w:jc w:val="both"/>
        <w:rPr>
          <w:rFonts w:ascii="Times New Roman" w:hAnsi="Times New Roman" w:cs="Times New Roman"/>
          <w:noProof w:val="0"/>
        </w:rPr>
      </w:pPr>
      <w:r w:rsidRPr="00FA3F57">
        <w:rPr>
          <w:rFonts w:ascii="Times New Roman" w:hAnsi="Times New Roman" w:cs="Times New Roman"/>
          <w:noProof w:val="0"/>
        </w:rPr>
        <w:t>RES9</w:t>
      </w:r>
      <w:r w:rsidRPr="00FA3F57">
        <w:rPr>
          <w:rFonts w:ascii="Times New Roman" w:hAnsi="Times New Roman" w:cs="Times New Roman"/>
          <w:noProof w:val="0"/>
        </w:rPr>
        <w:tab/>
        <w:t>Improving the regulatory framework within the renewable energy sector</w:t>
      </w:r>
      <w:r w:rsidRPr="00FA3F57" w:rsidDel="00D7091E">
        <w:rPr>
          <w:rFonts w:ascii="Times New Roman" w:hAnsi="Times New Roman" w:cs="Times New Roman"/>
          <w:noProof w:val="0"/>
        </w:rPr>
        <w:t xml:space="preserve"> </w:t>
      </w:r>
      <w:r w:rsidRPr="00FA3F57">
        <w:rPr>
          <w:rFonts w:ascii="Times New Roman" w:hAnsi="Times New Roman" w:cs="Times New Roman"/>
          <w:noProof w:val="0"/>
        </w:rPr>
        <w:t>and</w:t>
      </w:r>
    </w:p>
    <w:p w14:paraId="65F6886F" w14:textId="77777777" w:rsidR="0094644B" w:rsidRPr="00FA3F57" w:rsidRDefault="0094644B" w:rsidP="0094644B">
      <w:pPr>
        <w:pStyle w:val="ListParagraph"/>
        <w:numPr>
          <w:ilvl w:val="0"/>
          <w:numId w:val="16"/>
        </w:numPr>
        <w:tabs>
          <w:tab w:val="left" w:pos="1134"/>
          <w:tab w:val="left" w:pos="1560"/>
        </w:tabs>
        <w:spacing w:before="120" w:after="60"/>
        <w:jc w:val="both"/>
        <w:rPr>
          <w:rFonts w:ascii="Times New Roman" w:hAnsi="Times New Roman" w:cs="Times New Roman"/>
          <w:noProof w:val="0"/>
        </w:rPr>
      </w:pPr>
      <w:r w:rsidRPr="00FA3F57">
        <w:rPr>
          <w:rFonts w:ascii="Times New Roman" w:hAnsi="Times New Roman" w:cs="Times New Roman"/>
          <w:noProof w:val="0"/>
        </w:rPr>
        <w:t>RES10</w:t>
      </w:r>
      <w:r w:rsidRPr="00FA3F57">
        <w:rPr>
          <w:rFonts w:ascii="Times New Roman" w:hAnsi="Times New Roman" w:cs="Times New Roman"/>
          <w:noProof w:val="0"/>
        </w:rPr>
        <w:tab/>
        <w:t>Improving energy statistics.</w:t>
      </w:r>
    </w:p>
    <w:p w14:paraId="3DDD03DC" w14:textId="77777777" w:rsidR="0094644B" w:rsidRPr="00FA3F57" w:rsidRDefault="0094644B" w:rsidP="0094644B">
      <w:pPr>
        <w:jc w:val="both"/>
      </w:pPr>
      <w:r w:rsidRPr="00FA3F57">
        <w:t>Strategic measures for the implementation of the set objectives in the renewable energy sector are supportive (incentive), informational, institutional/ governance, investment, and regulatory:</w:t>
      </w:r>
    </w:p>
    <w:p w14:paraId="62E9DA39" w14:textId="77777777" w:rsidR="0094644B" w:rsidRPr="00FA3F57" w:rsidRDefault="0094644B" w:rsidP="0094644B">
      <w:pPr>
        <w:pStyle w:val="ListParagraph"/>
        <w:numPr>
          <w:ilvl w:val="0"/>
          <w:numId w:val="16"/>
        </w:numPr>
        <w:tabs>
          <w:tab w:val="left" w:pos="1276"/>
        </w:tabs>
        <w:spacing w:before="120" w:after="60"/>
        <w:jc w:val="both"/>
        <w:rPr>
          <w:rFonts w:ascii="Times New Roman" w:hAnsi="Times New Roman" w:cs="Times New Roman"/>
          <w:noProof w:val="0"/>
        </w:rPr>
      </w:pPr>
      <w:r w:rsidRPr="00FA3F57">
        <w:rPr>
          <w:rFonts w:ascii="Times New Roman" w:hAnsi="Times New Roman" w:cs="Times New Roman"/>
          <w:noProof w:val="0"/>
        </w:rPr>
        <w:t xml:space="preserve">Supportive (incentive) measures: RES1, RES5 и </w:t>
      </w:r>
      <w:proofErr w:type="gramStart"/>
      <w:r w:rsidRPr="00FA3F57">
        <w:rPr>
          <w:rFonts w:ascii="Times New Roman" w:hAnsi="Times New Roman" w:cs="Times New Roman"/>
          <w:noProof w:val="0"/>
        </w:rPr>
        <w:t>RES8;</w:t>
      </w:r>
      <w:proofErr w:type="gramEnd"/>
    </w:p>
    <w:p w14:paraId="4065AB9A" w14:textId="77777777" w:rsidR="0094644B" w:rsidRPr="00FA3F57" w:rsidRDefault="0094644B" w:rsidP="0094644B">
      <w:pPr>
        <w:pStyle w:val="ListParagraph"/>
        <w:numPr>
          <w:ilvl w:val="0"/>
          <w:numId w:val="16"/>
        </w:numPr>
        <w:tabs>
          <w:tab w:val="left" w:pos="1276"/>
        </w:tabs>
        <w:spacing w:before="120" w:after="60"/>
        <w:jc w:val="both"/>
        <w:rPr>
          <w:rFonts w:ascii="Times New Roman" w:hAnsi="Times New Roman" w:cs="Times New Roman"/>
          <w:noProof w:val="0"/>
        </w:rPr>
      </w:pPr>
      <w:r w:rsidRPr="00FA3F57">
        <w:rPr>
          <w:rFonts w:ascii="Times New Roman" w:hAnsi="Times New Roman" w:cs="Times New Roman"/>
          <w:noProof w:val="0"/>
        </w:rPr>
        <w:t xml:space="preserve">Informational measure: </w:t>
      </w:r>
      <w:proofErr w:type="gramStart"/>
      <w:r w:rsidRPr="00FA3F57">
        <w:rPr>
          <w:rFonts w:ascii="Times New Roman" w:hAnsi="Times New Roman" w:cs="Times New Roman"/>
          <w:noProof w:val="0"/>
        </w:rPr>
        <w:t>RES2;</w:t>
      </w:r>
      <w:proofErr w:type="gramEnd"/>
    </w:p>
    <w:p w14:paraId="17750632" w14:textId="77777777" w:rsidR="0094644B" w:rsidRPr="00FA3F57" w:rsidRDefault="0094644B" w:rsidP="0094644B">
      <w:pPr>
        <w:pStyle w:val="ListParagraph"/>
        <w:numPr>
          <w:ilvl w:val="0"/>
          <w:numId w:val="16"/>
        </w:numPr>
        <w:tabs>
          <w:tab w:val="left" w:pos="1276"/>
        </w:tabs>
        <w:spacing w:before="120" w:after="60"/>
        <w:jc w:val="both"/>
        <w:rPr>
          <w:rFonts w:ascii="Times New Roman" w:hAnsi="Times New Roman" w:cs="Times New Roman"/>
          <w:noProof w:val="0"/>
        </w:rPr>
      </w:pPr>
      <w:r w:rsidRPr="00FA3F57">
        <w:rPr>
          <w:rFonts w:ascii="Times New Roman" w:eastAsia="Times New Roman" w:hAnsi="Times New Roman" w:cs="Times New Roman"/>
          <w:noProof w:val="0"/>
          <w:kern w:val="0"/>
          <w:lang w:eastAsia="en-GB"/>
          <w14:ligatures w14:val="none"/>
        </w:rPr>
        <w:t>Institutional/governance</w:t>
      </w:r>
      <w:r w:rsidRPr="00FA3F57">
        <w:rPr>
          <w:rFonts w:ascii="Times New Roman" w:hAnsi="Times New Roman" w:cs="Times New Roman"/>
          <w:noProof w:val="0"/>
        </w:rPr>
        <w:t xml:space="preserve">: RES3 и </w:t>
      </w:r>
      <w:proofErr w:type="gramStart"/>
      <w:r w:rsidRPr="00FA3F57">
        <w:rPr>
          <w:rFonts w:ascii="Times New Roman" w:hAnsi="Times New Roman" w:cs="Times New Roman"/>
          <w:noProof w:val="0"/>
        </w:rPr>
        <w:t>RES10;</w:t>
      </w:r>
      <w:proofErr w:type="gramEnd"/>
    </w:p>
    <w:p w14:paraId="7F7B5812" w14:textId="77777777" w:rsidR="0094644B" w:rsidRPr="00FA3F57" w:rsidRDefault="0094644B" w:rsidP="0094644B">
      <w:pPr>
        <w:pStyle w:val="ListParagraph"/>
        <w:numPr>
          <w:ilvl w:val="0"/>
          <w:numId w:val="16"/>
        </w:numPr>
        <w:tabs>
          <w:tab w:val="left" w:pos="1276"/>
        </w:tabs>
        <w:spacing w:before="120" w:after="60"/>
        <w:jc w:val="both"/>
        <w:rPr>
          <w:noProof w:val="0"/>
        </w:rPr>
      </w:pPr>
      <w:r w:rsidRPr="00FA3F57">
        <w:rPr>
          <w:rFonts w:ascii="Times New Roman" w:hAnsi="Times New Roman" w:cs="Times New Roman"/>
          <w:noProof w:val="0"/>
        </w:rPr>
        <w:t xml:space="preserve">Investment measure: RES4, RES6 и </w:t>
      </w:r>
      <w:proofErr w:type="gramStart"/>
      <w:r w:rsidRPr="00FA3F57">
        <w:rPr>
          <w:rFonts w:ascii="Times New Roman" w:hAnsi="Times New Roman" w:cs="Times New Roman"/>
          <w:noProof w:val="0"/>
        </w:rPr>
        <w:t>RES7;</w:t>
      </w:r>
      <w:proofErr w:type="gramEnd"/>
    </w:p>
    <w:p w14:paraId="39EE9550" w14:textId="77777777" w:rsidR="0094644B" w:rsidRPr="00FA3F57" w:rsidRDefault="0094644B" w:rsidP="0094644B">
      <w:pPr>
        <w:pStyle w:val="ListParagraph"/>
        <w:numPr>
          <w:ilvl w:val="0"/>
          <w:numId w:val="16"/>
        </w:numPr>
        <w:tabs>
          <w:tab w:val="left" w:pos="1276"/>
        </w:tabs>
        <w:spacing w:before="120" w:after="60"/>
        <w:jc w:val="both"/>
        <w:rPr>
          <w:noProof w:val="0"/>
        </w:rPr>
      </w:pPr>
      <w:r w:rsidRPr="00FA3F57">
        <w:rPr>
          <w:rFonts w:ascii="Times New Roman" w:hAnsi="Times New Roman" w:cs="Times New Roman"/>
          <w:noProof w:val="0"/>
        </w:rPr>
        <w:t>Regulatory measure: RES9.</w:t>
      </w:r>
    </w:p>
    <w:p w14:paraId="10E2F1C3" w14:textId="77777777" w:rsidR="0094644B" w:rsidRPr="00FA3F57" w:rsidRDefault="0094644B" w:rsidP="0094644B">
      <w:pPr>
        <w:jc w:val="both"/>
      </w:pPr>
      <w:r w:rsidRPr="00FA3F57">
        <w:t xml:space="preserve">The objective of measures </w:t>
      </w:r>
      <w:r w:rsidRPr="00F07779">
        <w:t>RES</w:t>
      </w:r>
      <w:r w:rsidRPr="00FA3F57">
        <w:t>1-</w:t>
      </w:r>
      <w:r w:rsidRPr="00F07779">
        <w:t>RES</w:t>
      </w:r>
      <w:r w:rsidRPr="00FA3F57">
        <w:t xml:space="preserve">4 is to increase the share of RES in electricity generation. These measures are complemented by measures and activities from the electricity sector related to the construction of new production capacities using renewable energy sources and the reconstruction of existing ones. </w:t>
      </w:r>
      <w:r w:rsidRPr="00F07779">
        <w:t>EPS JSC Belgrade</w:t>
      </w:r>
      <w:r w:rsidRPr="00FA3F57">
        <w:t xml:space="preserve"> </w:t>
      </w:r>
      <w:r w:rsidRPr="00F07779">
        <w:t xml:space="preserve">intends to build </w:t>
      </w:r>
      <w:r w:rsidRPr="00FA3F57">
        <w:t>the following power plants:</w:t>
      </w:r>
    </w:p>
    <w:p w14:paraId="6D617531" w14:textId="77777777" w:rsidR="0094644B" w:rsidRPr="00FA3F57" w:rsidRDefault="0094644B" w:rsidP="0094644B">
      <w:pPr>
        <w:pStyle w:val="ListParagraph"/>
        <w:numPr>
          <w:ilvl w:val="0"/>
          <w:numId w:val="16"/>
        </w:numPr>
        <w:tabs>
          <w:tab w:val="left" w:pos="1276"/>
        </w:tabs>
        <w:spacing w:before="120" w:after="60"/>
        <w:jc w:val="both"/>
        <w:rPr>
          <w:noProof w:val="0"/>
        </w:rPr>
      </w:pPr>
      <w:r w:rsidRPr="00FA3F57">
        <w:rPr>
          <w:rFonts w:ascii="Times New Roman" w:hAnsi="Times New Roman" w:cs="Times New Roman"/>
          <w:noProof w:val="0"/>
        </w:rPr>
        <w:t>Self-balancing solar power plants with a capacity of 1 GW</w:t>
      </w:r>
      <w:r w:rsidRPr="00FA3F57" w:rsidDel="00662CE5">
        <w:rPr>
          <w:rFonts w:ascii="Times New Roman" w:hAnsi="Times New Roman" w:cs="Times New Roman"/>
          <w:noProof w:val="0"/>
        </w:rPr>
        <w:t xml:space="preserve"> </w:t>
      </w:r>
      <w:r w:rsidRPr="00FA3F57">
        <w:rPr>
          <w:rFonts w:ascii="Times New Roman" w:hAnsi="Times New Roman" w:cs="Times New Roman"/>
          <w:noProof w:val="0"/>
        </w:rPr>
        <w:t xml:space="preserve">and </w:t>
      </w:r>
    </w:p>
    <w:p w14:paraId="4ED9D136" w14:textId="77777777" w:rsidR="0094644B" w:rsidRPr="00FA3F57" w:rsidRDefault="0094644B" w:rsidP="0094644B">
      <w:pPr>
        <w:pStyle w:val="ListParagraph"/>
        <w:numPr>
          <w:ilvl w:val="0"/>
          <w:numId w:val="16"/>
        </w:numPr>
        <w:tabs>
          <w:tab w:val="left" w:pos="1276"/>
        </w:tabs>
        <w:spacing w:before="120" w:after="60"/>
        <w:jc w:val="both"/>
        <w:rPr>
          <w:noProof w:val="0"/>
        </w:rPr>
      </w:pPr>
      <w:r w:rsidRPr="00FA3F57">
        <w:rPr>
          <w:rFonts w:ascii="Times New Roman" w:hAnsi="Times New Roman" w:cs="Times New Roman"/>
          <w:noProof w:val="0"/>
        </w:rPr>
        <w:t xml:space="preserve">Solar power plants Morava and </w:t>
      </w:r>
      <w:proofErr w:type="spellStart"/>
      <w:r w:rsidRPr="00FA3F57">
        <w:rPr>
          <w:rFonts w:ascii="Times New Roman" w:hAnsi="Times New Roman" w:cs="Times New Roman"/>
          <w:noProof w:val="0"/>
        </w:rPr>
        <w:t>Kolubara</w:t>
      </w:r>
      <w:proofErr w:type="spellEnd"/>
      <w:r w:rsidRPr="00FA3F57">
        <w:rPr>
          <w:rFonts w:ascii="Times New Roman" w:hAnsi="Times New Roman" w:cs="Times New Roman"/>
          <w:noProof w:val="0"/>
        </w:rPr>
        <w:t>,</w:t>
      </w:r>
    </w:p>
    <w:p w14:paraId="153BDA90" w14:textId="77777777" w:rsidR="0094644B" w:rsidRPr="00F07779" w:rsidRDefault="0094644B" w:rsidP="0094644B">
      <w:pPr>
        <w:jc w:val="both"/>
      </w:pPr>
      <w:r w:rsidRPr="00FA3F57">
        <w:t xml:space="preserve">as well as projects for the reconstruction and increase of the capacity of </w:t>
      </w:r>
      <w:r w:rsidRPr="00F07779">
        <w:t>certain</w:t>
      </w:r>
      <w:r w:rsidRPr="00FA3F57">
        <w:t xml:space="preserve"> HPPs in its </w:t>
      </w:r>
      <w:r w:rsidRPr="00F07779">
        <w:t>portfolio</w:t>
      </w:r>
      <w:r w:rsidRPr="00FA3F57">
        <w:t>.</w:t>
      </w:r>
    </w:p>
    <w:p w14:paraId="343C86E7" w14:textId="77777777" w:rsidR="0094644B" w:rsidRPr="00FA3F57" w:rsidRDefault="0094644B" w:rsidP="0094644B">
      <w:pPr>
        <w:jc w:val="both"/>
      </w:pPr>
      <w:r w:rsidRPr="00F07779">
        <w:t>Moreover, the construction of various solar and small-scale hydropower plants is also a possibility.</w:t>
      </w:r>
    </w:p>
    <w:p w14:paraId="1110156D" w14:textId="77777777" w:rsidR="0094644B" w:rsidRPr="00FA3F57" w:rsidRDefault="0094644B" w:rsidP="0094644B">
      <w:pPr>
        <w:jc w:val="both"/>
      </w:pPr>
      <w:r w:rsidRPr="00F07779">
        <w:t>In terms of projects by private investors who previously took part in auctions for the allocation of the right to a market premium, the construction of several power plants is scheduled before</w:t>
      </w:r>
      <w:r w:rsidRPr="00FA3F57">
        <w:t xml:space="preserve"> the end of 2028</w:t>
      </w:r>
      <w:r w:rsidRPr="00FA3F57">
        <w:rPr>
          <w:rStyle w:val="FootnoteReference"/>
        </w:rPr>
        <w:footnoteReference w:id="22"/>
      </w:r>
      <w:r w:rsidRPr="00FA3F57">
        <w:t>:</w:t>
      </w:r>
    </w:p>
    <w:p w14:paraId="3112B158" w14:textId="77777777" w:rsidR="0094644B" w:rsidRPr="00FA3F57" w:rsidRDefault="0094644B" w:rsidP="0094644B">
      <w:pPr>
        <w:pStyle w:val="ListParagraph"/>
        <w:numPr>
          <w:ilvl w:val="0"/>
          <w:numId w:val="16"/>
        </w:numPr>
        <w:tabs>
          <w:tab w:val="left" w:pos="1276"/>
        </w:tabs>
        <w:spacing w:before="120" w:after="60"/>
        <w:jc w:val="both"/>
        <w:rPr>
          <w:rFonts w:ascii="Times New Roman" w:hAnsi="Times New Roman" w:cs="Times New Roman"/>
          <w:noProof w:val="0"/>
        </w:rPr>
      </w:pPr>
      <w:r w:rsidRPr="00FA3F57">
        <w:rPr>
          <w:rFonts w:ascii="Times New Roman" w:hAnsi="Times New Roman" w:cs="Times New Roman"/>
          <w:noProof w:val="0"/>
        </w:rPr>
        <w:t xml:space="preserve">WP </w:t>
      </w:r>
      <w:proofErr w:type="spellStart"/>
      <w:proofErr w:type="gramStart"/>
      <w:r w:rsidRPr="00FA3F57">
        <w:rPr>
          <w:rFonts w:ascii="Times New Roman" w:hAnsi="Times New Roman" w:cs="Times New Roman"/>
          <w:noProof w:val="0"/>
        </w:rPr>
        <w:t>Vetrozelena</w:t>
      </w:r>
      <w:proofErr w:type="spellEnd"/>
      <w:r w:rsidRPr="00FA3F57">
        <w:rPr>
          <w:rFonts w:ascii="Times New Roman" w:hAnsi="Times New Roman" w:cs="Times New Roman"/>
          <w:noProof w:val="0"/>
        </w:rPr>
        <w:t>;</w:t>
      </w:r>
      <w:proofErr w:type="gramEnd"/>
    </w:p>
    <w:p w14:paraId="352A4008" w14:textId="77777777" w:rsidR="0094644B" w:rsidRPr="00FA3F57" w:rsidRDefault="0094644B" w:rsidP="0094644B">
      <w:pPr>
        <w:pStyle w:val="ListParagraph"/>
        <w:numPr>
          <w:ilvl w:val="0"/>
          <w:numId w:val="16"/>
        </w:numPr>
        <w:tabs>
          <w:tab w:val="left" w:pos="1276"/>
        </w:tabs>
        <w:spacing w:before="120" w:after="60"/>
        <w:jc w:val="both"/>
        <w:rPr>
          <w:rFonts w:ascii="Times New Roman" w:hAnsi="Times New Roman" w:cs="Times New Roman"/>
          <w:noProof w:val="0"/>
        </w:rPr>
      </w:pPr>
      <w:r w:rsidRPr="00FA3F57">
        <w:rPr>
          <w:rFonts w:ascii="Times New Roman" w:hAnsi="Times New Roman" w:cs="Times New Roman"/>
          <w:noProof w:val="0"/>
        </w:rPr>
        <w:t xml:space="preserve">WP </w:t>
      </w:r>
      <w:proofErr w:type="spellStart"/>
      <w:r w:rsidRPr="00FA3F57">
        <w:rPr>
          <w:rFonts w:ascii="Times New Roman" w:hAnsi="Times New Roman" w:cs="Times New Roman"/>
          <w:noProof w:val="0"/>
        </w:rPr>
        <w:t>Crni</w:t>
      </w:r>
      <w:proofErr w:type="spellEnd"/>
      <w:r w:rsidRPr="00FA3F57">
        <w:rPr>
          <w:rFonts w:ascii="Times New Roman" w:hAnsi="Times New Roman" w:cs="Times New Roman"/>
          <w:noProof w:val="0"/>
        </w:rPr>
        <w:t xml:space="preserve"> </w:t>
      </w:r>
      <w:proofErr w:type="spellStart"/>
      <w:proofErr w:type="gramStart"/>
      <w:r w:rsidRPr="00FA3F57">
        <w:rPr>
          <w:rFonts w:ascii="Times New Roman" w:hAnsi="Times New Roman" w:cs="Times New Roman"/>
          <w:noProof w:val="0"/>
        </w:rPr>
        <w:t>Vrh</w:t>
      </w:r>
      <w:proofErr w:type="spellEnd"/>
      <w:r w:rsidRPr="00FA3F57">
        <w:rPr>
          <w:rFonts w:ascii="Times New Roman" w:hAnsi="Times New Roman" w:cs="Times New Roman"/>
          <w:noProof w:val="0"/>
        </w:rPr>
        <w:t>;</w:t>
      </w:r>
      <w:proofErr w:type="gramEnd"/>
    </w:p>
    <w:p w14:paraId="30E73C30" w14:textId="77777777" w:rsidR="0094644B" w:rsidRPr="00FA3F57" w:rsidRDefault="0094644B" w:rsidP="0094644B">
      <w:pPr>
        <w:pStyle w:val="ListParagraph"/>
        <w:numPr>
          <w:ilvl w:val="0"/>
          <w:numId w:val="16"/>
        </w:numPr>
        <w:tabs>
          <w:tab w:val="left" w:pos="1276"/>
        </w:tabs>
        <w:spacing w:before="120" w:after="60"/>
        <w:jc w:val="both"/>
        <w:rPr>
          <w:rFonts w:ascii="Times New Roman" w:hAnsi="Times New Roman" w:cs="Times New Roman"/>
          <w:noProof w:val="0"/>
        </w:rPr>
      </w:pPr>
      <w:r w:rsidRPr="00FA3F57">
        <w:rPr>
          <w:rFonts w:ascii="Times New Roman" w:hAnsi="Times New Roman" w:cs="Times New Roman"/>
          <w:noProof w:val="0"/>
        </w:rPr>
        <w:t xml:space="preserve">WP </w:t>
      </w:r>
      <w:proofErr w:type="spellStart"/>
      <w:r w:rsidRPr="00FA3F57">
        <w:rPr>
          <w:rFonts w:ascii="Times New Roman" w:hAnsi="Times New Roman" w:cs="Times New Roman"/>
          <w:noProof w:val="0"/>
        </w:rPr>
        <w:t>Čibuk</w:t>
      </w:r>
      <w:proofErr w:type="spellEnd"/>
      <w:r w:rsidRPr="00FA3F57">
        <w:rPr>
          <w:rFonts w:ascii="Times New Roman" w:hAnsi="Times New Roman" w:cs="Times New Roman"/>
          <w:noProof w:val="0"/>
        </w:rPr>
        <w:t xml:space="preserve"> </w:t>
      </w:r>
      <w:proofErr w:type="gramStart"/>
      <w:r w:rsidRPr="00FA3F57">
        <w:rPr>
          <w:rFonts w:ascii="Times New Roman" w:hAnsi="Times New Roman" w:cs="Times New Roman"/>
          <w:noProof w:val="0"/>
        </w:rPr>
        <w:t>2;</w:t>
      </w:r>
      <w:proofErr w:type="gramEnd"/>
    </w:p>
    <w:p w14:paraId="31FCC9A4" w14:textId="77777777" w:rsidR="0094644B" w:rsidRPr="00FA3F57" w:rsidRDefault="0094644B" w:rsidP="0094644B">
      <w:pPr>
        <w:pStyle w:val="ListParagraph"/>
        <w:numPr>
          <w:ilvl w:val="0"/>
          <w:numId w:val="16"/>
        </w:numPr>
        <w:tabs>
          <w:tab w:val="left" w:pos="1276"/>
        </w:tabs>
        <w:spacing w:before="120" w:after="60"/>
        <w:jc w:val="both"/>
        <w:rPr>
          <w:rFonts w:ascii="Times New Roman" w:hAnsi="Times New Roman" w:cs="Times New Roman"/>
          <w:noProof w:val="0"/>
        </w:rPr>
      </w:pPr>
      <w:r w:rsidRPr="00FA3F57">
        <w:rPr>
          <w:rFonts w:ascii="Times New Roman" w:hAnsi="Times New Roman" w:cs="Times New Roman"/>
          <w:noProof w:val="0"/>
        </w:rPr>
        <w:t xml:space="preserve">WP </w:t>
      </w:r>
      <w:proofErr w:type="spellStart"/>
      <w:proofErr w:type="gramStart"/>
      <w:r w:rsidRPr="00FA3F57">
        <w:rPr>
          <w:rFonts w:ascii="Times New Roman" w:hAnsi="Times New Roman" w:cs="Times New Roman"/>
          <w:noProof w:val="0"/>
        </w:rPr>
        <w:t>Jasikovo</w:t>
      </w:r>
      <w:proofErr w:type="spellEnd"/>
      <w:r w:rsidRPr="00FA3F57">
        <w:rPr>
          <w:rFonts w:ascii="Times New Roman" w:hAnsi="Times New Roman" w:cs="Times New Roman"/>
          <w:noProof w:val="0"/>
        </w:rPr>
        <w:t>;</w:t>
      </w:r>
      <w:proofErr w:type="gramEnd"/>
    </w:p>
    <w:p w14:paraId="49D06800" w14:textId="77777777" w:rsidR="0094644B" w:rsidRPr="00FA3F57" w:rsidRDefault="0094644B" w:rsidP="0094644B">
      <w:pPr>
        <w:pStyle w:val="ListParagraph"/>
        <w:numPr>
          <w:ilvl w:val="0"/>
          <w:numId w:val="16"/>
        </w:numPr>
        <w:tabs>
          <w:tab w:val="left" w:pos="1276"/>
        </w:tabs>
        <w:spacing w:before="120" w:after="60"/>
        <w:jc w:val="both"/>
        <w:rPr>
          <w:rFonts w:ascii="Times New Roman" w:hAnsi="Times New Roman" w:cs="Times New Roman"/>
          <w:noProof w:val="0"/>
        </w:rPr>
      </w:pPr>
      <w:r w:rsidRPr="00FA3F57">
        <w:rPr>
          <w:rFonts w:ascii="Times New Roman" w:hAnsi="Times New Roman" w:cs="Times New Roman"/>
          <w:noProof w:val="0"/>
        </w:rPr>
        <w:t xml:space="preserve">WP </w:t>
      </w:r>
      <w:proofErr w:type="spellStart"/>
      <w:r w:rsidRPr="00FA3F57">
        <w:rPr>
          <w:rFonts w:ascii="Times New Roman" w:hAnsi="Times New Roman" w:cs="Times New Roman"/>
          <w:noProof w:val="0"/>
        </w:rPr>
        <w:t>Alibunar</w:t>
      </w:r>
      <w:proofErr w:type="spellEnd"/>
      <w:r w:rsidRPr="00FA3F57">
        <w:rPr>
          <w:rFonts w:ascii="Times New Roman" w:hAnsi="Times New Roman" w:cs="Times New Roman"/>
          <w:noProof w:val="0"/>
        </w:rPr>
        <w:t xml:space="preserve"> </w:t>
      </w:r>
      <w:proofErr w:type="gramStart"/>
      <w:r w:rsidRPr="00FA3F57">
        <w:rPr>
          <w:rFonts w:ascii="Times New Roman" w:hAnsi="Times New Roman" w:cs="Times New Roman"/>
          <w:noProof w:val="0"/>
        </w:rPr>
        <w:t>1;</w:t>
      </w:r>
      <w:proofErr w:type="gramEnd"/>
    </w:p>
    <w:p w14:paraId="5B32B685" w14:textId="77777777" w:rsidR="0094644B" w:rsidRPr="00FA3F57" w:rsidRDefault="0094644B" w:rsidP="0094644B">
      <w:pPr>
        <w:pStyle w:val="ListParagraph"/>
        <w:numPr>
          <w:ilvl w:val="0"/>
          <w:numId w:val="16"/>
        </w:numPr>
        <w:tabs>
          <w:tab w:val="left" w:pos="1276"/>
        </w:tabs>
        <w:spacing w:before="120" w:after="60"/>
        <w:jc w:val="both"/>
        <w:rPr>
          <w:rFonts w:ascii="Times New Roman" w:hAnsi="Times New Roman" w:cs="Times New Roman"/>
          <w:noProof w:val="0"/>
        </w:rPr>
      </w:pPr>
      <w:r w:rsidRPr="00FA3F57">
        <w:rPr>
          <w:rFonts w:ascii="Times New Roman" w:hAnsi="Times New Roman" w:cs="Times New Roman"/>
          <w:noProof w:val="0"/>
        </w:rPr>
        <w:t xml:space="preserve">WP </w:t>
      </w:r>
      <w:proofErr w:type="spellStart"/>
      <w:r w:rsidRPr="00FA3F57">
        <w:rPr>
          <w:rFonts w:ascii="Times New Roman" w:hAnsi="Times New Roman" w:cs="Times New Roman"/>
          <w:noProof w:val="0"/>
        </w:rPr>
        <w:t>Alibunar</w:t>
      </w:r>
      <w:proofErr w:type="spellEnd"/>
      <w:r w:rsidRPr="00FA3F57">
        <w:rPr>
          <w:rFonts w:ascii="Times New Roman" w:hAnsi="Times New Roman" w:cs="Times New Roman"/>
          <w:noProof w:val="0"/>
        </w:rPr>
        <w:t xml:space="preserve"> </w:t>
      </w:r>
      <w:proofErr w:type="gramStart"/>
      <w:r w:rsidRPr="00FA3F57">
        <w:rPr>
          <w:rFonts w:ascii="Times New Roman" w:hAnsi="Times New Roman" w:cs="Times New Roman"/>
          <w:noProof w:val="0"/>
        </w:rPr>
        <w:t>2;</w:t>
      </w:r>
      <w:proofErr w:type="gramEnd"/>
    </w:p>
    <w:p w14:paraId="4390E315" w14:textId="77777777" w:rsidR="0094644B" w:rsidRPr="00FA3F57" w:rsidRDefault="0094644B" w:rsidP="0094644B">
      <w:pPr>
        <w:pStyle w:val="ListParagraph"/>
        <w:numPr>
          <w:ilvl w:val="0"/>
          <w:numId w:val="16"/>
        </w:numPr>
        <w:tabs>
          <w:tab w:val="left" w:pos="1276"/>
        </w:tabs>
        <w:spacing w:before="120" w:after="60"/>
        <w:jc w:val="both"/>
        <w:rPr>
          <w:rFonts w:ascii="Times New Roman" w:hAnsi="Times New Roman" w:cs="Times New Roman"/>
          <w:noProof w:val="0"/>
        </w:rPr>
      </w:pPr>
      <w:r w:rsidRPr="00FA3F57">
        <w:rPr>
          <w:rFonts w:ascii="Times New Roman" w:hAnsi="Times New Roman" w:cs="Times New Roman"/>
          <w:noProof w:val="0"/>
        </w:rPr>
        <w:t xml:space="preserve">WP Bela Anta </w:t>
      </w:r>
      <w:proofErr w:type="gramStart"/>
      <w:r w:rsidRPr="00FA3F57">
        <w:rPr>
          <w:rFonts w:ascii="Times New Roman" w:hAnsi="Times New Roman" w:cs="Times New Roman"/>
          <w:noProof w:val="0"/>
        </w:rPr>
        <w:t>2;</w:t>
      </w:r>
      <w:proofErr w:type="gramEnd"/>
    </w:p>
    <w:p w14:paraId="28648382" w14:textId="77777777" w:rsidR="0094644B" w:rsidRPr="00FA3F57" w:rsidRDefault="0094644B" w:rsidP="0094644B">
      <w:pPr>
        <w:pStyle w:val="ListParagraph"/>
        <w:numPr>
          <w:ilvl w:val="0"/>
          <w:numId w:val="16"/>
        </w:numPr>
        <w:tabs>
          <w:tab w:val="left" w:pos="1276"/>
        </w:tabs>
        <w:spacing w:before="120" w:after="60"/>
        <w:jc w:val="both"/>
        <w:rPr>
          <w:rFonts w:ascii="Times New Roman" w:hAnsi="Times New Roman" w:cs="Times New Roman"/>
          <w:noProof w:val="0"/>
        </w:rPr>
      </w:pPr>
      <w:r w:rsidRPr="00FA3F57">
        <w:rPr>
          <w:rFonts w:ascii="Times New Roman" w:hAnsi="Times New Roman" w:cs="Times New Roman"/>
          <w:noProof w:val="0"/>
        </w:rPr>
        <w:t xml:space="preserve">SPP </w:t>
      </w:r>
      <w:proofErr w:type="spellStart"/>
      <w:r w:rsidRPr="00FA3F57">
        <w:rPr>
          <w:rFonts w:ascii="Times New Roman" w:hAnsi="Times New Roman" w:cs="Times New Roman"/>
          <w:noProof w:val="0"/>
        </w:rPr>
        <w:t>Solarina</w:t>
      </w:r>
      <w:proofErr w:type="spellEnd"/>
      <w:r w:rsidRPr="00FA3F57">
        <w:rPr>
          <w:rFonts w:ascii="Times New Roman" w:hAnsi="Times New Roman" w:cs="Times New Roman"/>
          <w:noProof w:val="0"/>
        </w:rPr>
        <w:t>.</w:t>
      </w:r>
    </w:p>
    <w:p w14:paraId="3315D4C4" w14:textId="77777777" w:rsidR="0094644B" w:rsidRPr="00FA3F57" w:rsidRDefault="0094644B" w:rsidP="0094644B">
      <w:pPr>
        <w:jc w:val="both"/>
      </w:pPr>
      <w:r w:rsidRPr="00FA3F57">
        <w:t xml:space="preserve">The total installed capacity of these power plants </w:t>
      </w:r>
      <w:r w:rsidRPr="00F07779">
        <w:t>will total 1,059 MW, with 737 MW coming from the market premium quota</w:t>
      </w:r>
      <w:r w:rsidRPr="00FA3F57">
        <w:t xml:space="preserve">. </w:t>
      </w:r>
    </w:p>
    <w:p w14:paraId="67902211" w14:textId="77777777" w:rsidR="0094644B" w:rsidRPr="00FA3F57" w:rsidRDefault="0094644B" w:rsidP="0094644B">
      <w:pPr>
        <w:jc w:val="both"/>
      </w:pPr>
      <w:r w:rsidRPr="00F07779">
        <w:t>Detailed information on these activities can be found in Chapter 5.1</w:t>
      </w:r>
    </w:p>
    <w:p w14:paraId="1F77CF3A" w14:textId="77777777" w:rsidR="0094644B" w:rsidRPr="00FA3F57" w:rsidRDefault="0094644B" w:rsidP="0094644B">
      <w:pPr>
        <w:jc w:val="both"/>
        <w:rPr>
          <w:rFonts w:asciiTheme="minorHAnsi" w:hAnsiTheme="minorHAnsi" w:cstheme="minorBidi"/>
        </w:rPr>
      </w:pPr>
      <w:r w:rsidRPr="00FA3F57">
        <w:t xml:space="preserve">Measures RES1-RES4 </w:t>
      </w:r>
      <w:r w:rsidRPr="00F07779">
        <w:t xml:space="preserve">are intended to further encourage the development of new projects, targeting both larger investors and individuals or legal entities that wish to transition to </w:t>
      </w:r>
      <w:r w:rsidRPr="00F07779">
        <w:lastRenderedPageBreak/>
        <w:t>prosumer status. For the years 2026 through 2028, the anticipated installed capacity for prosumers is projected to be 30 MW, 35 MW, and 40 MW, respectively, each year</w:t>
      </w:r>
      <w:r w:rsidRPr="00FA3F57">
        <w:t>.</w:t>
      </w:r>
    </w:p>
    <w:p w14:paraId="5255B0DF" w14:textId="77777777" w:rsidR="0094644B" w:rsidRPr="00FA3F57" w:rsidRDefault="0094644B" w:rsidP="0094644B">
      <w:pPr>
        <w:tabs>
          <w:tab w:val="left" w:pos="1276"/>
        </w:tabs>
        <w:spacing w:before="120" w:after="60"/>
        <w:jc w:val="both"/>
      </w:pPr>
      <w:r w:rsidRPr="00F07779">
        <w:t xml:space="preserve">To enhance the development of renewable energy sources and establish a consistent and reliable incentive framework for investors, a new incentive plan for renewable energy utilization is set to be introduced </w:t>
      </w:r>
      <w:proofErr w:type="gramStart"/>
      <w:r w:rsidRPr="00F07779">
        <w:t>in the near future</w:t>
      </w:r>
      <w:proofErr w:type="gramEnd"/>
      <w:r w:rsidRPr="00F07779">
        <w:t>. This plan will outline the framework for future auctions to distribute market premiums, in line with the legislation on renewable energy and the requirements of the energy market.</w:t>
      </w:r>
    </w:p>
    <w:p w14:paraId="3C6F3BD2" w14:textId="77777777" w:rsidR="0094644B" w:rsidRPr="00FA3F57" w:rsidRDefault="0094644B" w:rsidP="0094644B">
      <w:pPr>
        <w:tabs>
          <w:tab w:val="left" w:pos="1276"/>
        </w:tabs>
        <w:spacing w:before="120" w:after="60"/>
        <w:jc w:val="both"/>
      </w:pPr>
      <w:r w:rsidRPr="00FA3F57">
        <w:t>The continuation of the organization of auctions for the allocation of market premiums is based on the positive effects of previous cycles, but primarily aims to improve the investment environment, increase the share of green energy in total production, and ensure a more secure supply of electricity in the Republic of Serbia.</w:t>
      </w:r>
    </w:p>
    <w:p w14:paraId="1256B4D8" w14:textId="77777777" w:rsidR="0094644B" w:rsidRPr="00FA3F57" w:rsidRDefault="0094644B" w:rsidP="0094644B">
      <w:pPr>
        <w:tabs>
          <w:tab w:val="left" w:pos="1276"/>
        </w:tabs>
        <w:spacing w:before="120" w:after="60"/>
        <w:jc w:val="both"/>
      </w:pPr>
      <w:r w:rsidRPr="00FA3F57">
        <w:t xml:space="preserve">Certain measures can also be found in the energy efficiency sector, where the following projects are planned, </w:t>
      </w:r>
      <w:r w:rsidRPr="00F07779">
        <w:t>with a range of projects planned that partly include incentives</w:t>
      </w:r>
      <w:r w:rsidRPr="00FA3F57">
        <w:t xml:space="preserve"> for the use of renewable energy sources, primarily solar panels:</w:t>
      </w:r>
    </w:p>
    <w:p w14:paraId="236475DF" w14:textId="77777777" w:rsidR="0094644B" w:rsidRPr="00FA3F57" w:rsidRDefault="0094644B" w:rsidP="0094644B">
      <w:pPr>
        <w:pStyle w:val="ListParagraph"/>
        <w:numPr>
          <w:ilvl w:val="0"/>
          <w:numId w:val="16"/>
        </w:numPr>
        <w:tabs>
          <w:tab w:val="left" w:pos="1276"/>
        </w:tabs>
        <w:spacing w:before="120" w:after="60"/>
        <w:jc w:val="both"/>
        <w:rPr>
          <w:rFonts w:ascii="Times New Roman" w:hAnsi="Times New Roman" w:cs="Times New Roman"/>
          <w:noProof w:val="0"/>
        </w:rPr>
      </w:pPr>
      <w:r w:rsidRPr="00FA3F57">
        <w:rPr>
          <w:rFonts w:ascii="Times New Roman" w:hAnsi="Times New Roman" w:cs="Times New Roman"/>
          <w:noProof w:val="0"/>
        </w:rPr>
        <w:t xml:space="preserve">National program for energy renovation of public buildings in local government units, as well as city municipalities in </w:t>
      </w:r>
      <w:proofErr w:type="gramStart"/>
      <w:r w:rsidRPr="00FA3F57">
        <w:rPr>
          <w:rFonts w:ascii="Times New Roman" w:hAnsi="Times New Roman" w:cs="Times New Roman"/>
          <w:noProof w:val="0"/>
        </w:rPr>
        <w:t>2025-2028;</w:t>
      </w:r>
      <w:proofErr w:type="gramEnd"/>
    </w:p>
    <w:p w14:paraId="600AB6B7" w14:textId="77777777" w:rsidR="0094644B" w:rsidRPr="00FA3F57" w:rsidRDefault="0094644B" w:rsidP="0094644B">
      <w:pPr>
        <w:pStyle w:val="ListParagraph"/>
        <w:numPr>
          <w:ilvl w:val="0"/>
          <w:numId w:val="16"/>
        </w:numPr>
        <w:tabs>
          <w:tab w:val="left" w:pos="1276"/>
        </w:tabs>
        <w:spacing w:before="120" w:after="60"/>
        <w:jc w:val="both"/>
        <w:rPr>
          <w:rFonts w:ascii="Times New Roman" w:hAnsi="Times New Roman" w:cs="Times New Roman"/>
          <w:noProof w:val="0"/>
        </w:rPr>
      </w:pPr>
      <w:r w:rsidRPr="00FA3F57">
        <w:rPr>
          <w:rFonts w:ascii="Times New Roman" w:hAnsi="Times New Roman" w:cs="Times New Roman"/>
          <w:noProof w:val="0"/>
        </w:rPr>
        <w:t xml:space="preserve">Clean energy and energy efficiency for </w:t>
      </w:r>
      <w:proofErr w:type="gramStart"/>
      <w:r w:rsidRPr="00FA3F57">
        <w:rPr>
          <w:rFonts w:ascii="Times New Roman" w:hAnsi="Times New Roman" w:cs="Times New Roman"/>
          <w:noProof w:val="0"/>
        </w:rPr>
        <w:t>citizens;</w:t>
      </w:r>
      <w:proofErr w:type="gramEnd"/>
    </w:p>
    <w:p w14:paraId="161067FE" w14:textId="77777777" w:rsidR="0094644B" w:rsidRPr="00FA3F57" w:rsidRDefault="0094644B" w:rsidP="0094644B">
      <w:pPr>
        <w:pStyle w:val="ListParagraph"/>
        <w:numPr>
          <w:ilvl w:val="0"/>
          <w:numId w:val="16"/>
        </w:numPr>
        <w:tabs>
          <w:tab w:val="left" w:pos="1276"/>
        </w:tabs>
        <w:spacing w:before="120" w:after="60"/>
        <w:jc w:val="both"/>
        <w:rPr>
          <w:rFonts w:ascii="Times New Roman" w:hAnsi="Times New Roman" w:cs="Times New Roman"/>
          <w:noProof w:val="0"/>
        </w:rPr>
      </w:pPr>
      <w:r w:rsidRPr="00FA3F57">
        <w:rPr>
          <w:rFonts w:ascii="Times New Roman" w:hAnsi="Times New Roman" w:cs="Times New Roman"/>
          <w:noProof w:val="0"/>
        </w:rPr>
        <w:t>Project for improving the energy efficiency of public buildings in the Autonomous Province of Vojvodina.</w:t>
      </w:r>
    </w:p>
    <w:p w14:paraId="0E724921" w14:textId="77777777" w:rsidR="0094644B" w:rsidRPr="00FA3F57" w:rsidRDefault="0094644B" w:rsidP="0094644B">
      <w:pPr>
        <w:tabs>
          <w:tab w:val="left" w:pos="1276"/>
        </w:tabs>
        <w:spacing w:before="120" w:after="60"/>
        <w:jc w:val="both"/>
      </w:pPr>
      <w:r w:rsidRPr="00FA3F57">
        <w:t>The objective of the RES5 measure is to increase the share of RES in heat generation by i</w:t>
      </w:r>
      <w:r w:rsidRPr="00F07779">
        <w:t>mplementing</w:t>
      </w:r>
      <w:r w:rsidRPr="00FA3F57">
        <w:t xml:space="preserve"> various forms of financial and other incentives. This measure is complemented by measures and activities from the heat sector related to the construction of new renewable energy capacity, namely:</w:t>
      </w:r>
    </w:p>
    <w:p w14:paraId="516C1FE6" w14:textId="77777777" w:rsidR="0094644B" w:rsidRPr="00FA3F57" w:rsidRDefault="0094644B" w:rsidP="0094644B">
      <w:pPr>
        <w:pStyle w:val="ListParagraph"/>
        <w:numPr>
          <w:ilvl w:val="0"/>
          <w:numId w:val="16"/>
        </w:numPr>
        <w:tabs>
          <w:tab w:val="left" w:pos="1276"/>
        </w:tabs>
        <w:spacing w:before="120" w:after="60"/>
        <w:jc w:val="both"/>
        <w:rPr>
          <w:rFonts w:ascii="Times New Roman" w:hAnsi="Times New Roman" w:cs="Times New Roman"/>
          <w:noProof w:val="0"/>
        </w:rPr>
      </w:pPr>
      <w:r w:rsidRPr="00FA3F57">
        <w:rPr>
          <w:rFonts w:ascii="Times New Roman" w:hAnsi="Times New Roman" w:cs="Times New Roman"/>
          <w:noProof w:val="0"/>
        </w:rPr>
        <w:t>Integration of RES into the Novi Sad Municipal District Heating System,</w:t>
      </w:r>
    </w:p>
    <w:p w14:paraId="3C109B23" w14:textId="77777777" w:rsidR="0094644B" w:rsidRPr="00FA3F57" w:rsidRDefault="0094644B" w:rsidP="0094644B">
      <w:pPr>
        <w:pStyle w:val="ListParagraph"/>
        <w:numPr>
          <w:ilvl w:val="0"/>
          <w:numId w:val="16"/>
        </w:numPr>
        <w:tabs>
          <w:tab w:val="left" w:pos="1276"/>
        </w:tabs>
        <w:spacing w:before="120" w:after="60"/>
        <w:jc w:val="both"/>
        <w:rPr>
          <w:rFonts w:ascii="Times New Roman" w:hAnsi="Times New Roman" w:cs="Times New Roman"/>
          <w:noProof w:val="0"/>
        </w:rPr>
      </w:pPr>
      <w:bookmarkStart w:id="13" w:name="_Hlk211346455"/>
      <w:r w:rsidRPr="00FA3F57">
        <w:rPr>
          <w:rFonts w:ascii="Times New Roman" w:hAnsi="Times New Roman" w:cs="Times New Roman"/>
          <w:noProof w:val="0"/>
        </w:rPr>
        <w:t>Implementing RES into district heating systems in 10 local government units</w:t>
      </w:r>
      <w:bookmarkEnd w:id="13"/>
      <w:r w:rsidRPr="00FA3F57">
        <w:rPr>
          <w:rFonts w:ascii="Times New Roman" w:hAnsi="Times New Roman" w:cs="Times New Roman"/>
          <w:noProof w:val="0"/>
        </w:rPr>
        <w:t>,</w:t>
      </w:r>
    </w:p>
    <w:p w14:paraId="641C6CB9" w14:textId="77777777" w:rsidR="0094644B" w:rsidRPr="00FA3F57" w:rsidRDefault="0094644B" w:rsidP="0094644B">
      <w:pPr>
        <w:pStyle w:val="ListParagraph"/>
        <w:numPr>
          <w:ilvl w:val="0"/>
          <w:numId w:val="16"/>
        </w:numPr>
        <w:tabs>
          <w:tab w:val="left" w:pos="1276"/>
        </w:tabs>
        <w:spacing w:before="120" w:after="60"/>
        <w:jc w:val="both"/>
        <w:rPr>
          <w:rFonts w:ascii="Times New Roman" w:hAnsi="Times New Roman" w:cs="Times New Roman"/>
          <w:noProof w:val="0"/>
        </w:rPr>
      </w:pPr>
      <w:r w:rsidRPr="00FA3F57">
        <w:rPr>
          <w:rFonts w:ascii="Times New Roman" w:hAnsi="Times New Roman" w:cs="Times New Roman"/>
          <w:noProof w:val="0"/>
        </w:rPr>
        <w:t xml:space="preserve">Use of a heat pump in DHS in </w:t>
      </w:r>
      <w:proofErr w:type="spellStart"/>
      <w:r w:rsidRPr="00FA3F57">
        <w:rPr>
          <w:rFonts w:ascii="Times New Roman" w:hAnsi="Times New Roman" w:cs="Times New Roman"/>
          <w:noProof w:val="0"/>
        </w:rPr>
        <w:t>Užice</w:t>
      </w:r>
      <w:proofErr w:type="spellEnd"/>
      <w:r w:rsidRPr="00FA3F57">
        <w:rPr>
          <w:rFonts w:ascii="Times New Roman" w:hAnsi="Times New Roman" w:cs="Times New Roman"/>
          <w:noProof w:val="0"/>
        </w:rPr>
        <w:t xml:space="preserve"> and reconstruction of the boiler house "Zlatibor"</w:t>
      </w:r>
    </w:p>
    <w:p w14:paraId="3183DB56" w14:textId="77777777" w:rsidR="0094644B" w:rsidRPr="00FA3F57" w:rsidRDefault="0094644B" w:rsidP="0094644B">
      <w:pPr>
        <w:pStyle w:val="ListParagraph"/>
        <w:numPr>
          <w:ilvl w:val="0"/>
          <w:numId w:val="16"/>
        </w:numPr>
        <w:tabs>
          <w:tab w:val="left" w:pos="1276"/>
        </w:tabs>
        <w:spacing w:before="120" w:after="60"/>
        <w:jc w:val="both"/>
        <w:rPr>
          <w:rFonts w:ascii="Times New Roman" w:hAnsi="Times New Roman" w:cs="Times New Roman"/>
          <w:noProof w:val="0"/>
        </w:rPr>
      </w:pPr>
      <w:r w:rsidRPr="00FA3F57">
        <w:rPr>
          <w:rFonts w:ascii="Times New Roman" w:hAnsi="Times New Roman" w:cs="Times New Roman"/>
          <w:noProof w:val="0"/>
        </w:rPr>
        <w:t>Development of the biomass market in the Republic of Serbia.</w:t>
      </w:r>
    </w:p>
    <w:p w14:paraId="2A823BD3" w14:textId="77777777" w:rsidR="0094644B" w:rsidRPr="00FA3F57" w:rsidRDefault="0094644B" w:rsidP="0094644B">
      <w:pPr>
        <w:tabs>
          <w:tab w:val="left" w:pos="1276"/>
        </w:tabs>
        <w:spacing w:before="120" w:after="60"/>
        <w:jc w:val="both"/>
      </w:pPr>
      <w:r w:rsidRPr="00FA3F57">
        <w:t xml:space="preserve">The </w:t>
      </w:r>
      <w:proofErr w:type="gramStart"/>
      <w:r w:rsidRPr="00FA3F57">
        <w:t>aforementioned activities</w:t>
      </w:r>
      <w:proofErr w:type="gramEnd"/>
      <w:r w:rsidRPr="00FA3F57">
        <w:t xml:space="preserve"> are described in detail in Chapter 5.2. Measure OIE5 should further stimulate the development of new projects by implementing incentive measures for the application of RES in the thermal energy sector.</w:t>
      </w:r>
    </w:p>
    <w:p w14:paraId="613DCF5D" w14:textId="77777777" w:rsidR="0094644B" w:rsidRPr="00FA3F57" w:rsidRDefault="0094644B" w:rsidP="0094644B">
      <w:pPr>
        <w:tabs>
          <w:tab w:val="left" w:pos="1276"/>
        </w:tabs>
        <w:spacing w:before="120" w:after="60"/>
        <w:jc w:val="both"/>
      </w:pPr>
      <w:r w:rsidRPr="00FA3F57">
        <w:t xml:space="preserve">The objective of measures </w:t>
      </w:r>
      <w:r w:rsidRPr="00F07779">
        <w:t>RES</w:t>
      </w:r>
      <w:r w:rsidRPr="00FA3F57">
        <w:t>6-</w:t>
      </w:r>
      <w:r w:rsidRPr="00F07779">
        <w:t>RES</w:t>
      </w:r>
      <w:r w:rsidRPr="00FA3F57">
        <w:t xml:space="preserve">8 is to increase the share of RES in transport. </w:t>
      </w:r>
      <w:r w:rsidRPr="00F07779">
        <w:t>European Union legislation regarding renewable energy sources is evolving towards a gradual decline in the use of first-generation biofuels while continuously increasing the share of RES in transport, which also encompasses a rise in the use of advanced biofuels.</w:t>
      </w:r>
      <w:r w:rsidRPr="00FA3F57">
        <w:t xml:space="preserve"> </w:t>
      </w:r>
      <w:r w:rsidRPr="00F07779">
        <w:t>The Integrated National Energy and Climate Plan of the Republic of Serbia for the Period up to 2030, with a vision to 2050, specifically includes decarbonization initiatives for the years 2025-2030, aimed primarily at increasing the share of renewable energy sources in the transport sector</w:t>
      </w:r>
      <w:r w:rsidRPr="00FA3F57">
        <w:t xml:space="preserve">. However, the introduction of advanced biofuels in the Republic of Serbia is accompanied by numerous challenges (price and stability of supply of advanced biofuels, low availability of production technologies, threatened sanctions against the largest oil company </w:t>
      </w:r>
      <w:r w:rsidRPr="00F07779">
        <w:t xml:space="preserve">NIS </w:t>
      </w:r>
      <w:proofErr w:type="spellStart"/>
      <w:r w:rsidRPr="00F07779">
        <w:t>j.s.</w:t>
      </w:r>
      <w:proofErr w:type="spellEnd"/>
      <w:r w:rsidRPr="00F07779">
        <w:t xml:space="preserve"> C. Novi Sad</w:t>
      </w:r>
      <w:r w:rsidRPr="00FA3F57">
        <w:t xml:space="preserve">, geopolitical situation, etc.). Based on the above, problems related to the implementation of </w:t>
      </w:r>
      <w:r w:rsidRPr="00F07779">
        <w:t>RES</w:t>
      </w:r>
      <w:r w:rsidRPr="00FA3F57">
        <w:t>6-</w:t>
      </w:r>
      <w:r w:rsidRPr="00F07779">
        <w:t>RES</w:t>
      </w:r>
      <w:r w:rsidRPr="00FA3F57">
        <w:t>8 measures in the production and use of biofuels may be real.</w:t>
      </w:r>
      <w:r w:rsidRPr="00F07779">
        <w:t xml:space="preserve"> </w:t>
      </w:r>
      <w:r w:rsidRPr="00FA3F57">
        <w:t xml:space="preserve">However, a partial contribution to achieving the ambitious RES target in transport can also be </w:t>
      </w:r>
      <w:proofErr w:type="gramStart"/>
      <w:r w:rsidRPr="00FA3F57">
        <w:t>achieved</w:t>
      </w:r>
      <w:proofErr w:type="gramEnd"/>
      <w:r w:rsidRPr="00FA3F57">
        <w:t xml:space="preserve"> by using biomethane and renewable fuels of non-biological origin (e.g., renewable hydrogen) in transport, as well as through the electrification of transport. In this regard, fiscal and economic incentives are planned to support the additional use of electric vehicles, i.e., their purchase and use. Indicative measures from the </w:t>
      </w:r>
      <w:r w:rsidRPr="00F07779">
        <w:t>NECP</w:t>
      </w:r>
      <w:r w:rsidRPr="00FA3F57">
        <w:t xml:space="preserve"> include providing grants at market price, reducing registration </w:t>
      </w:r>
      <w:r w:rsidRPr="00FA3F57">
        <w:lastRenderedPageBreak/>
        <w:t>and use costs through tax breaks and tax reductions, launching a special pricing policy in insurance programs, reducing road tolls, free entry to the city center, and free parking and the right to use certain parking spaces. In addition, the installation of additional chargers is planned to further promote the consumption of energy generated by RES in electromobility as one of the policy measures.</w:t>
      </w:r>
    </w:p>
    <w:p w14:paraId="1B490817" w14:textId="77777777" w:rsidR="0094644B" w:rsidRPr="00FA3F57" w:rsidRDefault="0094644B" w:rsidP="0094644B">
      <w:pPr>
        <w:tabs>
          <w:tab w:val="left" w:pos="1276"/>
        </w:tabs>
        <w:spacing w:before="120" w:after="60"/>
        <w:jc w:val="both"/>
      </w:pPr>
      <w:r w:rsidRPr="00FA3F57">
        <w:t xml:space="preserve">Measure </w:t>
      </w:r>
      <w:r w:rsidRPr="00F07779">
        <w:t>RES</w:t>
      </w:r>
      <w:r w:rsidRPr="00FA3F57">
        <w:t xml:space="preserve">9 refers to the Certification of installers of plants using renewable energy sources (in accordance with the Energy Law and Annex 4 of the RED III Directive), and Measure </w:t>
      </w:r>
      <w:r w:rsidRPr="00F07779">
        <w:t>RES</w:t>
      </w:r>
      <w:r w:rsidRPr="00FA3F57">
        <w:t xml:space="preserve">10 refers to research on the use of RES for heating and cooling </w:t>
      </w:r>
      <w:proofErr w:type="gramStart"/>
      <w:r w:rsidRPr="00FA3F57">
        <w:t>and in</w:t>
      </w:r>
      <w:proofErr w:type="gramEnd"/>
      <w:r w:rsidRPr="00FA3F57">
        <w:t xml:space="preserve"> transport.</w:t>
      </w:r>
    </w:p>
    <w:p w14:paraId="5BC82402" w14:textId="77777777" w:rsidR="0094644B" w:rsidRPr="00FA3F57" w:rsidRDefault="0094644B" w:rsidP="0094644B">
      <w:pPr>
        <w:tabs>
          <w:tab w:val="left" w:pos="1276"/>
        </w:tabs>
        <w:spacing w:before="120" w:after="60"/>
        <w:jc w:val="both"/>
      </w:pPr>
      <w:r w:rsidRPr="00FA3F57">
        <w:t xml:space="preserve">Given that for measures </w:t>
      </w:r>
      <w:r w:rsidRPr="00F07779">
        <w:t>RES</w:t>
      </w:r>
      <w:r w:rsidRPr="00FA3F57">
        <w:t>1-</w:t>
      </w:r>
      <w:r w:rsidRPr="00F07779">
        <w:t>RES</w:t>
      </w:r>
      <w:r w:rsidRPr="00FA3F57">
        <w:t xml:space="preserve">8 the investment values and sources of financing are shown in other sectors, only the investment value of measure </w:t>
      </w:r>
      <w:r w:rsidRPr="00F07779">
        <w:t>RES</w:t>
      </w:r>
      <w:r w:rsidRPr="00FA3F57">
        <w:t>10 is shown in Table 5.3.1.</w:t>
      </w:r>
    </w:p>
    <w:p w14:paraId="281A4FC6" w14:textId="77777777" w:rsidR="0094644B" w:rsidRPr="00FA3F57" w:rsidRDefault="0094644B" w:rsidP="0094644B">
      <w:pPr>
        <w:jc w:val="both"/>
      </w:pPr>
    </w:p>
    <w:p w14:paraId="147319C0" w14:textId="77777777" w:rsidR="0094644B" w:rsidRPr="00FA3F57" w:rsidRDefault="0094644B" w:rsidP="0094644B">
      <w:pPr>
        <w:jc w:val="both"/>
      </w:pPr>
      <w:r w:rsidRPr="00FA3F57">
        <w:t xml:space="preserve">Table 5.3.1: Measures in the renewable energy </w:t>
      </w:r>
      <w:r w:rsidRPr="00F07779">
        <w:t xml:space="preserve">sources </w:t>
      </w:r>
      <w:r w:rsidRPr="00FA3F57">
        <w:t>sector</w:t>
      </w:r>
    </w:p>
    <w:tbl>
      <w:tblPr>
        <w:tblStyle w:val="TableGrid"/>
        <w:tblW w:w="5000" w:type="pct"/>
        <w:tblLayout w:type="fixed"/>
        <w:tblLook w:val="04A0" w:firstRow="1" w:lastRow="0" w:firstColumn="1" w:lastColumn="0" w:noHBand="0" w:noVBand="1"/>
      </w:tblPr>
      <w:tblGrid>
        <w:gridCol w:w="2065"/>
        <w:gridCol w:w="771"/>
        <w:gridCol w:w="845"/>
        <w:gridCol w:w="1714"/>
        <w:gridCol w:w="1688"/>
        <w:gridCol w:w="1632"/>
      </w:tblGrid>
      <w:tr w:rsidR="0094644B" w:rsidRPr="00F07779" w14:paraId="69409FC3" w14:textId="77777777" w:rsidTr="00FB5086">
        <w:trPr>
          <w:cantSplit/>
        </w:trPr>
        <w:tc>
          <w:tcPr>
            <w:tcW w:w="2065" w:type="dxa"/>
            <w:vMerge w:val="restart"/>
          </w:tcPr>
          <w:p w14:paraId="1EAFA4C8" w14:textId="77777777" w:rsidR="0094644B" w:rsidRPr="00FA3F57" w:rsidRDefault="0094644B" w:rsidP="00FB5086">
            <w:pPr>
              <w:spacing w:after="120"/>
              <w:jc w:val="both"/>
              <w:rPr>
                <w:sz w:val="20"/>
                <w:szCs w:val="20"/>
              </w:rPr>
            </w:pPr>
            <w:r w:rsidRPr="00F07779">
              <w:rPr>
                <w:sz w:val="20"/>
                <w:szCs w:val="20"/>
              </w:rPr>
              <w:t>Name</w:t>
            </w:r>
            <w:r w:rsidRPr="00FA3F57">
              <w:rPr>
                <w:sz w:val="20"/>
                <w:szCs w:val="20"/>
              </w:rPr>
              <w:t xml:space="preserve"> </w:t>
            </w:r>
          </w:p>
        </w:tc>
        <w:tc>
          <w:tcPr>
            <w:tcW w:w="771" w:type="dxa"/>
            <w:vMerge w:val="restart"/>
          </w:tcPr>
          <w:p w14:paraId="535151D0" w14:textId="77777777" w:rsidR="0094644B" w:rsidRPr="00FA3F57" w:rsidRDefault="0094644B" w:rsidP="00FB5086">
            <w:pPr>
              <w:spacing w:after="120"/>
              <w:jc w:val="both"/>
              <w:rPr>
                <w:sz w:val="20"/>
                <w:szCs w:val="20"/>
              </w:rPr>
            </w:pPr>
            <w:r w:rsidRPr="00F07779">
              <w:rPr>
                <w:sz w:val="20"/>
                <w:szCs w:val="20"/>
              </w:rPr>
              <w:t>Type</w:t>
            </w:r>
            <w:r w:rsidRPr="00FA3F57">
              <w:rPr>
                <w:sz w:val="20"/>
                <w:szCs w:val="20"/>
              </w:rPr>
              <w:t>*</w:t>
            </w:r>
          </w:p>
        </w:tc>
        <w:tc>
          <w:tcPr>
            <w:tcW w:w="5879" w:type="dxa"/>
            <w:gridSpan w:val="4"/>
          </w:tcPr>
          <w:p w14:paraId="71BC8B80" w14:textId="77777777" w:rsidR="0094644B" w:rsidRPr="00FA3F57" w:rsidRDefault="0094644B" w:rsidP="00FB5086">
            <w:pPr>
              <w:spacing w:after="120"/>
              <w:jc w:val="both"/>
              <w:rPr>
                <w:sz w:val="20"/>
                <w:szCs w:val="20"/>
              </w:rPr>
            </w:pPr>
            <w:r w:rsidRPr="00F07779">
              <w:rPr>
                <w:sz w:val="20"/>
                <w:szCs w:val="20"/>
              </w:rPr>
              <w:t>Investment value</w:t>
            </w:r>
            <w:r w:rsidRPr="00FA3F57">
              <w:rPr>
                <w:sz w:val="20"/>
                <w:szCs w:val="20"/>
              </w:rPr>
              <w:t xml:space="preserve"> </w:t>
            </w:r>
          </w:p>
        </w:tc>
      </w:tr>
      <w:tr w:rsidR="0094644B" w:rsidRPr="00F07779" w14:paraId="118A15A2" w14:textId="77777777" w:rsidTr="00FB5086">
        <w:trPr>
          <w:cantSplit/>
        </w:trPr>
        <w:tc>
          <w:tcPr>
            <w:tcW w:w="2065" w:type="dxa"/>
            <w:vMerge/>
          </w:tcPr>
          <w:p w14:paraId="6F3DFC30" w14:textId="77777777" w:rsidR="0094644B" w:rsidRPr="00FA3F57" w:rsidRDefault="0094644B" w:rsidP="00FB5086">
            <w:pPr>
              <w:spacing w:after="120"/>
              <w:jc w:val="both"/>
              <w:rPr>
                <w:sz w:val="20"/>
                <w:szCs w:val="20"/>
              </w:rPr>
            </w:pPr>
          </w:p>
        </w:tc>
        <w:tc>
          <w:tcPr>
            <w:tcW w:w="771" w:type="dxa"/>
            <w:vMerge/>
          </w:tcPr>
          <w:p w14:paraId="3800C369" w14:textId="77777777" w:rsidR="0094644B" w:rsidRPr="00FA3F57" w:rsidRDefault="0094644B" w:rsidP="00FB5086">
            <w:pPr>
              <w:spacing w:after="120"/>
              <w:jc w:val="both"/>
              <w:rPr>
                <w:sz w:val="20"/>
                <w:szCs w:val="20"/>
              </w:rPr>
            </w:pPr>
          </w:p>
        </w:tc>
        <w:tc>
          <w:tcPr>
            <w:tcW w:w="845" w:type="dxa"/>
          </w:tcPr>
          <w:p w14:paraId="1055644C" w14:textId="77777777" w:rsidR="0094644B" w:rsidRPr="00F07779" w:rsidRDefault="0094644B" w:rsidP="00FB5086">
            <w:pPr>
              <w:spacing w:after="120"/>
              <w:jc w:val="both"/>
              <w:rPr>
                <w:sz w:val="20"/>
                <w:szCs w:val="20"/>
              </w:rPr>
            </w:pPr>
            <w:r w:rsidRPr="00F07779">
              <w:rPr>
                <w:sz w:val="20"/>
                <w:szCs w:val="20"/>
              </w:rPr>
              <w:t>Year</w:t>
            </w:r>
          </w:p>
        </w:tc>
        <w:tc>
          <w:tcPr>
            <w:tcW w:w="1714" w:type="dxa"/>
          </w:tcPr>
          <w:p w14:paraId="36F56039" w14:textId="77777777" w:rsidR="0094644B" w:rsidRPr="00F07779" w:rsidRDefault="0094644B" w:rsidP="00FB5086">
            <w:pPr>
              <w:spacing w:after="120"/>
              <w:jc w:val="both"/>
              <w:rPr>
                <w:sz w:val="20"/>
                <w:szCs w:val="20"/>
              </w:rPr>
            </w:pPr>
            <w:r w:rsidRPr="00F07779">
              <w:rPr>
                <w:sz w:val="20"/>
                <w:szCs w:val="20"/>
              </w:rPr>
              <w:t>RS Budget/</w:t>
            </w:r>
            <w:r w:rsidRPr="00FA3F57">
              <w:rPr>
                <w:sz w:val="20"/>
                <w:szCs w:val="20"/>
              </w:rPr>
              <w:t>LSGU</w:t>
            </w:r>
          </w:p>
        </w:tc>
        <w:tc>
          <w:tcPr>
            <w:tcW w:w="1688" w:type="dxa"/>
          </w:tcPr>
          <w:p w14:paraId="7E792F6A" w14:textId="77777777" w:rsidR="0094644B" w:rsidRPr="00F07779" w:rsidRDefault="0094644B" w:rsidP="00FB5086">
            <w:pPr>
              <w:spacing w:after="120"/>
              <w:jc w:val="both"/>
              <w:rPr>
                <w:sz w:val="20"/>
                <w:szCs w:val="20"/>
              </w:rPr>
            </w:pPr>
            <w:r w:rsidRPr="00F07779">
              <w:rPr>
                <w:sz w:val="20"/>
                <w:szCs w:val="20"/>
              </w:rPr>
              <w:t>Own funds</w:t>
            </w:r>
          </w:p>
        </w:tc>
        <w:tc>
          <w:tcPr>
            <w:tcW w:w="1632" w:type="dxa"/>
          </w:tcPr>
          <w:p w14:paraId="0A1CE501" w14:textId="77777777" w:rsidR="0094644B" w:rsidRPr="00FA3F57" w:rsidRDefault="0094644B" w:rsidP="00FB5086">
            <w:pPr>
              <w:spacing w:after="120"/>
              <w:jc w:val="both"/>
              <w:rPr>
                <w:sz w:val="20"/>
                <w:szCs w:val="20"/>
              </w:rPr>
            </w:pPr>
            <w:r w:rsidRPr="00F07779">
              <w:rPr>
                <w:sz w:val="20"/>
                <w:szCs w:val="20"/>
              </w:rPr>
              <w:t>Other sources</w:t>
            </w:r>
            <w:r w:rsidRPr="00FA3F57">
              <w:rPr>
                <w:sz w:val="20"/>
                <w:szCs w:val="20"/>
              </w:rPr>
              <w:t xml:space="preserve"> </w:t>
            </w:r>
          </w:p>
        </w:tc>
      </w:tr>
      <w:tr w:rsidR="0094644B" w:rsidRPr="00F07779" w14:paraId="3967836F" w14:textId="77777777" w:rsidTr="00FB5086">
        <w:trPr>
          <w:cantSplit/>
          <w:trHeight w:val="92"/>
        </w:trPr>
        <w:tc>
          <w:tcPr>
            <w:tcW w:w="2065" w:type="dxa"/>
            <w:vMerge w:val="restart"/>
          </w:tcPr>
          <w:p w14:paraId="796C9927" w14:textId="77777777" w:rsidR="0094644B" w:rsidRPr="00FA3F57" w:rsidRDefault="0094644B" w:rsidP="00FB5086">
            <w:pPr>
              <w:spacing w:after="120"/>
              <w:jc w:val="both"/>
              <w:rPr>
                <w:sz w:val="20"/>
                <w:szCs w:val="20"/>
              </w:rPr>
            </w:pPr>
            <w:r w:rsidRPr="00F07779">
              <w:rPr>
                <w:sz w:val="20"/>
                <w:szCs w:val="20"/>
              </w:rPr>
              <w:t>RES</w:t>
            </w:r>
            <w:r w:rsidRPr="00FA3F57">
              <w:rPr>
                <w:sz w:val="20"/>
                <w:szCs w:val="20"/>
              </w:rPr>
              <w:t>10 Improving energy statistics</w:t>
            </w:r>
          </w:p>
        </w:tc>
        <w:tc>
          <w:tcPr>
            <w:tcW w:w="771" w:type="dxa"/>
            <w:vMerge w:val="restart"/>
          </w:tcPr>
          <w:p w14:paraId="563C5AF0" w14:textId="77777777" w:rsidR="0094644B" w:rsidRPr="00F07779" w:rsidRDefault="0094644B" w:rsidP="00FB5086">
            <w:pPr>
              <w:spacing w:after="120"/>
              <w:jc w:val="center"/>
              <w:rPr>
                <w:sz w:val="20"/>
                <w:szCs w:val="20"/>
              </w:rPr>
            </w:pPr>
            <w:r w:rsidRPr="00F07779">
              <w:rPr>
                <w:sz w:val="20"/>
                <w:szCs w:val="20"/>
              </w:rPr>
              <w:t>IG</w:t>
            </w:r>
          </w:p>
        </w:tc>
        <w:tc>
          <w:tcPr>
            <w:tcW w:w="845" w:type="dxa"/>
            <w:vAlign w:val="center"/>
          </w:tcPr>
          <w:p w14:paraId="64798712" w14:textId="77777777" w:rsidR="0094644B" w:rsidRPr="00FA3F57" w:rsidRDefault="0094644B" w:rsidP="00FB5086">
            <w:pPr>
              <w:spacing w:before="60" w:after="60"/>
              <w:jc w:val="center"/>
              <w:rPr>
                <w:sz w:val="20"/>
                <w:szCs w:val="20"/>
              </w:rPr>
            </w:pPr>
            <w:r w:rsidRPr="00FA3F57">
              <w:rPr>
                <w:sz w:val="20"/>
                <w:szCs w:val="20"/>
              </w:rPr>
              <w:t>2026</w:t>
            </w:r>
          </w:p>
        </w:tc>
        <w:tc>
          <w:tcPr>
            <w:tcW w:w="1714" w:type="dxa"/>
          </w:tcPr>
          <w:p w14:paraId="253FAE3C" w14:textId="77777777" w:rsidR="0094644B" w:rsidRPr="00FA3F57" w:rsidRDefault="0094644B" w:rsidP="00FB5086">
            <w:pPr>
              <w:spacing w:before="60" w:after="60"/>
              <w:jc w:val="center"/>
              <w:rPr>
                <w:sz w:val="20"/>
                <w:szCs w:val="20"/>
              </w:rPr>
            </w:pPr>
            <w:r w:rsidRPr="00FA3F57">
              <w:rPr>
                <w:sz w:val="20"/>
                <w:szCs w:val="20"/>
              </w:rPr>
              <w:t>5</w:t>
            </w:r>
            <w:r w:rsidRPr="00F07779">
              <w:rPr>
                <w:sz w:val="20"/>
                <w:szCs w:val="20"/>
              </w:rPr>
              <w:t>,</w:t>
            </w:r>
            <w:r w:rsidRPr="00FA3F57">
              <w:rPr>
                <w:sz w:val="20"/>
                <w:szCs w:val="20"/>
              </w:rPr>
              <w:t xml:space="preserve">863 </w:t>
            </w:r>
            <w:proofErr w:type="spellStart"/>
            <w:r w:rsidRPr="00F07779">
              <w:rPr>
                <w:sz w:val="20"/>
                <w:szCs w:val="20"/>
              </w:rPr>
              <w:t>mn</w:t>
            </w:r>
            <w:proofErr w:type="spellEnd"/>
            <w:r w:rsidRPr="00FA3F57">
              <w:rPr>
                <w:sz w:val="20"/>
                <w:szCs w:val="20"/>
              </w:rPr>
              <w:t xml:space="preserve"> RSD</w:t>
            </w:r>
          </w:p>
          <w:p w14:paraId="170BEE78" w14:textId="77777777" w:rsidR="0094644B" w:rsidRPr="00FA3F57" w:rsidRDefault="0094644B" w:rsidP="00FB5086">
            <w:pPr>
              <w:spacing w:before="60" w:after="60"/>
              <w:jc w:val="center"/>
              <w:rPr>
                <w:sz w:val="18"/>
                <w:szCs w:val="18"/>
              </w:rPr>
            </w:pPr>
            <w:r w:rsidRPr="00FA3F57">
              <w:rPr>
                <w:sz w:val="20"/>
                <w:szCs w:val="20"/>
              </w:rPr>
              <w:t xml:space="preserve">50 </w:t>
            </w:r>
            <w:proofErr w:type="spellStart"/>
            <w:r w:rsidRPr="00FA3F57">
              <w:rPr>
                <w:sz w:val="20"/>
                <w:szCs w:val="20"/>
              </w:rPr>
              <w:t>mn</w:t>
            </w:r>
            <w:proofErr w:type="spellEnd"/>
            <w:r w:rsidRPr="00FA3F57">
              <w:rPr>
                <w:sz w:val="20"/>
                <w:szCs w:val="20"/>
              </w:rPr>
              <w:t xml:space="preserve"> EUR</w:t>
            </w:r>
          </w:p>
        </w:tc>
        <w:tc>
          <w:tcPr>
            <w:tcW w:w="1688" w:type="dxa"/>
          </w:tcPr>
          <w:p w14:paraId="3FC82DB0" w14:textId="77777777" w:rsidR="0094644B" w:rsidRPr="00FA3F57" w:rsidRDefault="0094644B" w:rsidP="00FB5086">
            <w:pPr>
              <w:spacing w:before="60" w:after="60"/>
              <w:jc w:val="center"/>
              <w:rPr>
                <w:sz w:val="18"/>
                <w:szCs w:val="18"/>
              </w:rPr>
            </w:pPr>
            <w:r w:rsidRPr="00FA3F57">
              <w:rPr>
                <w:sz w:val="18"/>
                <w:szCs w:val="18"/>
              </w:rPr>
              <w:t>0</w:t>
            </w:r>
          </w:p>
        </w:tc>
        <w:tc>
          <w:tcPr>
            <w:tcW w:w="1632" w:type="dxa"/>
          </w:tcPr>
          <w:p w14:paraId="7D8D8656" w14:textId="77777777" w:rsidR="0094644B" w:rsidRPr="00F07779" w:rsidRDefault="0094644B" w:rsidP="00FB5086">
            <w:pPr>
              <w:spacing w:before="60" w:after="60"/>
              <w:jc w:val="center"/>
              <w:rPr>
                <w:sz w:val="18"/>
                <w:szCs w:val="18"/>
              </w:rPr>
            </w:pPr>
            <w:r w:rsidRPr="00F07779">
              <w:rPr>
                <w:sz w:val="18"/>
                <w:szCs w:val="18"/>
              </w:rPr>
              <w:t>0</w:t>
            </w:r>
          </w:p>
        </w:tc>
      </w:tr>
      <w:tr w:rsidR="0094644B" w:rsidRPr="00F07779" w14:paraId="7DB150BD" w14:textId="77777777" w:rsidTr="00FB5086">
        <w:trPr>
          <w:cantSplit/>
          <w:trHeight w:val="92"/>
        </w:trPr>
        <w:tc>
          <w:tcPr>
            <w:tcW w:w="2065" w:type="dxa"/>
            <w:vMerge/>
          </w:tcPr>
          <w:p w14:paraId="532A0C45" w14:textId="77777777" w:rsidR="0094644B" w:rsidRPr="00FA3F57" w:rsidRDefault="0094644B" w:rsidP="00FB5086">
            <w:pPr>
              <w:spacing w:after="120"/>
              <w:jc w:val="both"/>
              <w:rPr>
                <w:sz w:val="20"/>
                <w:szCs w:val="20"/>
              </w:rPr>
            </w:pPr>
          </w:p>
        </w:tc>
        <w:tc>
          <w:tcPr>
            <w:tcW w:w="771" w:type="dxa"/>
            <w:vMerge/>
          </w:tcPr>
          <w:p w14:paraId="0F258FD5" w14:textId="77777777" w:rsidR="0094644B" w:rsidRPr="00FA3F57" w:rsidRDefault="0094644B" w:rsidP="00FB5086">
            <w:pPr>
              <w:spacing w:after="120"/>
              <w:jc w:val="both"/>
              <w:rPr>
                <w:sz w:val="20"/>
                <w:szCs w:val="20"/>
              </w:rPr>
            </w:pPr>
          </w:p>
        </w:tc>
        <w:tc>
          <w:tcPr>
            <w:tcW w:w="845" w:type="dxa"/>
            <w:vAlign w:val="center"/>
          </w:tcPr>
          <w:p w14:paraId="2F0B8CE9" w14:textId="77777777" w:rsidR="0094644B" w:rsidRPr="00F07779" w:rsidRDefault="0094644B" w:rsidP="00FB5086">
            <w:pPr>
              <w:spacing w:before="60" w:after="60"/>
              <w:jc w:val="center"/>
              <w:rPr>
                <w:sz w:val="20"/>
                <w:szCs w:val="20"/>
              </w:rPr>
            </w:pPr>
            <w:r w:rsidRPr="00FA3F57">
              <w:rPr>
                <w:sz w:val="20"/>
                <w:szCs w:val="20"/>
              </w:rPr>
              <w:t>2027</w:t>
            </w:r>
          </w:p>
        </w:tc>
        <w:tc>
          <w:tcPr>
            <w:tcW w:w="1714" w:type="dxa"/>
          </w:tcPr>
          <w:p w14:paraId="692998C4" w14:textId="77777777" w:rsidR="0094644B" w:rsidRPr="00FA3F57" w:rsidRDefault="0094644B" w:rsidP="00FB5086">
            <w:pPr>
              <w:spacing w:before="60" w:after="60"/>
              <w:jc w:val="center"/>
              <w:rPr>
                <w:sz w:val="20"/>
                <w:szCs w:val="20"/>
              </w:rPr>
            </w:pPr>
            <w:r w:rsidRPr="00FA3F57">
              <w:rPr>
                <w:sz w:val="20"/>
                <w:szCs w:val="20"/>
              </w:rPr>
              <w:t>9</w:t>
            </w:r>
            <w:r w:rsidRPr="00F07779">
              <w:rPr>
                <w:sz w:val="20"/>
                <w:szCs w:val="20"/>
              </w:rPr>
              <w:t>,</w:t>
            </w:r>
            <w:r w:rsidRPr="00FA3F57">
              <w:rPr>
                <w:sz w:val="20"/>
                <w:szCs w:val="20"/>
              </w:rPr>
              <w:t xml:space="preserve">380 </w:t>
            </w:r>
            <w:proofErr w:type="spellStart"/>
            <w:r w:rsidRPr="00F07779">
              <w:rPr>
                <w:sz w:val="20"/>
                <w:szCs w:val="20"/>
              </w:rPr>
              <w:t>mn</w:t>
            </w:r>
            <w:proofErr w:type="spellEnd"/>
            <w:r w:rsidRPr="00FA3F57">
              <w:rPr>
                <w:sz w:val="20"/>
                <w:szCs w:val="20"/>
              </w:rPr>
              <w:t xml:space="preserve"> RSD</w:t>
            </w:r>
          </w:p>
          <w:p w14:paraId="7BD67409" w14:textId="77777777" w:rsidR="0094644B" w:rsidRPr="00FA3F57" w:rsidRDefault="0094644B" w:rsidP="00FB5086">
            <w:pPr>
              <w:spacing w:before="60" w:after="60"/>
              <w:jc w:val="center"/>
              <w:rPr>
                <w:sz w:val="18"/>
                <w:szCs w:val="18"/>
              </w:rPr>
            </w:pPr>
            <w:r w:rsidRPr="00FA3F57">
              <w:rPr>
                <w:sz w:val="20"/>
                <w:szCs w:val="20"/>
              </w:rPr>
              <w:t xml:space="preserve">80 </w:t>
            </w:r>
            <w:proofErr w:type="spellStart"/>
            <w:r w:rsidRPr="00FA3F57">
              <w:rPr>
                <w:sz w:val="20"/>
                <w:szCs w:val="20"/>
              </w:rPr>
              <w:t>mn</w:t>
            </w:r>
            <w:proofErr w:type="spellEnd"/>
            <w:r w:rsidRPr="00FA3F57">
              <w:rPr>
                <w:sz w:val="20"/>
                <w:szCs w:val="20"/>
              </w:rPr>
              <w:t xml:space="preserve"> EUR</w:t>
            </w:r>
          </w:p>
        </w:tc>
        <w:tc>
          <w:tcPr>
            <w:tcW w:w="1688" w:type="dxa"/>
          </w:tcPr>
          <w:p w14:paraId="6D2E7F7E" w14:textId="77777777" w:rsidR="0094644B" w:rsidRPr="00FA3F57" w:rsidRDefault="0094644B" w:rsidP="00FB5086">
            <w:pPr>
              <w:spacing w:before="60" w:after="60"/>
              <w:jc w:val="center"/>
              <w:rPr>
                <w:sz w:val="18"/>
                <w:szCs w:val="18"/>
              </w:rPr>
            </w:pPr>
            <w:r w:rsidRPr="00FA3F57">
              <w:rPr>
                <w:sz w:val="18"/>
                <w:szCs w:val="18"/>
              </w:rPr>
              <w:t>0</w:t>
            </w:r>
          </w:p>
        </w:tc>
        <w:tc>
          <w:tcPr>
            <w:tcW w:w="1632" w:type="dxa"/>
          </w:tcPr>
          <w:p w14:paraId="2BDDF94A" w14:textId="77777777" w:rsidR="0094644B" w:rsidRPr="00F07779" w:rsidRDefault="0094644B" w:rsidP="00FB5086">
            <w:pPr>
              <w:spacing w:before="60" w:after="60"/>
              <w:jc w:val="center"/>
              <w:rPr>
                <w:sz w:val="18"/>
                <w:szCs w:val="18"/>
              </w:rPr>
            </w:pPr>
            <w:r w:rsidRPr="00F07779">
              <w:rPr>
                <w:sz w:val="18"/>
                <w:szCs w:val="18"/>
              </w:rPr>
              <w:t>0</w:t>
            </w:r>
          </w:p>
        </w:tc>
      </w:tr>
      <w:tr w:rsidR="0094644B" w:rsidRPr="00F07779" w14:paraId="3D51DE8F" w14:textId="77777777" w:rsidTr="00FB5086">
        <w:trPr>
          <w:cantSplit/>
          <w:trHeight w:val="92"/>
        </w:trPr>
        <w:tc>
          <w:tcPr>
            <w:tcW w:w="2065" w:type="dxa"/>
            <w:vMerge/>
          </w:tcPr>
          <w:p w14:paraId="16736018" w14:textId="77777777" w:rsidR="0094644B" w:rsidRPr="00FA3F57" w:rsidRDefault="0094644B" w:rsidP="00FB5086">
            <w:pPr>
              <w:spacing w:after="120"/>
              <w:jc w:val="both"/>
              <w:rPr>
                <w:sz w:val="20"/>
                <w:szCs w:val="20"/>
              </w:rPr>
            </w:pPr>
          </w:p>
        </w:tc>
        <w:tc>
          <w:tcPr>
            <w:tcW w:w="771" w:type="dxa"/>
            <w:vMerge/>
          </w:tcPr>
          <w:p w14:paraId="633A2EE4" w14:textId="77777777" w:rsidR="0094644B" w:rsidRPr="00FA3F57" w:rsidRDefault="0094644B" w:rsidP="00FB5086">
            <w:pPr>
              <w:spacing w:after="120"/>
              <w:jc w:val="both"/>
              <w:rPr>
                <w:sz w:val="20"/>
                <w:szCs w:val="20"/>
              </w:rPr>
            </w:pPr>
          </w:p>
        </w:tc>
        <w:tc>
          <w:tcPr>
            <w:tcW w:w="845" w:type="dxa"/>
            <w:vAlign w:val="center"/>
          </w:tcPr>
          <w:p w14:paraId="4A25C72E" w14:textId="77777777" w:rsidR="0094644B" w:rsidRPr="00F07779" w:rsidRDefault="0094644B" w:rsidP="00FB5086">
            <w:pPr>
              <w:spacing w:before="60" w:after="60"/>
              <w:jc w:val="center"/>
              <w:rPr>
                <w:sz w:val="20"/>
                <w:szCs w:val="20"/>
              </w:rPr>
            </w:pPr>
            <w:r w:rsidRPr="00FA3F57">
              <w:rPr>
                <w:sz w:val="20"/>
                <w:szCs w:val="20"/>
              </w:rPr>
              <w:t>2028</w:t>
            </w:r>
          </w:p>
        </w:tc>
        <w:tc>
          <w:tcPr>
            <w:tcW w:w="1714" w:type="dxa"/>
          </w:tcPr>
          <w:p w14:paraId="26570E33" w14:textId="77777777" w:rsidR="0094644B" w:rsidRPr="00FA3F57" w:rsidRDefault="0094644B" w:rsidP="00FB5086">
            <w:pPr>
              <w:spacing w:before="60" w:after="60"/>
              <w:jc w:val="center"/>
              <w:rPr>
                <w:sz w:val="20"/>
                <w:szCs w:val="20"/>
              </w:rPr>
            </w:pPr>
            <w:r w:rsidRPr="00FA3F57">
              <w:rPr>
                <w:sz w:val="20"/>
                <w:szCs w:val="20"/>
              </w:rPr>
              <w:t>8</w:t>
            </w:r>
            <w:r w:rsidRPr="00F07779">
              <w:rPr>
                <w:sz w:val="20"/>
                <w:szCs w:val="20"/>
              </w:rPr>
              <w:t>,</w:t>
            </w:r>
            <w:r w:rsidRPr="00FA3F57">
              <w:rPr>
                <w:sz w:val="20"/>
                <w:szCs w:val="20"/>
              </w:rPr>
              <w:t xml:space="preserve">208 </w:t>
            </w:r>
            <w:proofErr w:type="spellStart"/>
            <w:r w:rsidRPr="00F07779">
              <w:rPr>
                <w:sz w:val="20"/>
                <w:szCs w:val="20"/>
              </w:rPr>
              <w:t>mn</w:t>
            </w:r>
            <w:proofErr w:type="spellEnd"/>
            <w:r w:rsidRPr="00FA3F57">
              <w:rPr>
                <w:sz w:val="20"/>
                <w:szCs w:val="20"/>
              </w:rPr>
              <w:t xml:space="preserve"> RSD</w:t>
            </w:r>
          </w:p>
          <w:p w14:paraId="74C86FE0" w14:textId="77777777" w:rsidR="0094644B" w:rsidRPr="00FA3F57" w:rsidRDefault="0094644B" w:rsidP="00FB5086">
            <w:pPr>
              <w:spacing w:before="60" w:after="60"/>
              <w:jc w:val="center"/>
              <w:rPr>
                <w:sz w:val="18"/>
                <w:szCs w:val="18"/>
              </w:rPr>
            </w:pPr>
            <w:r w:rsidRPr="00FA3F57">
              <w:rPr>
                <w:sz w:val="20"/>
                <w:szCs w:val="20"/>
              </w:rPr>
              <w:t xml:space="preserve">70 </w:t>
            </w:r>
            <w:proofErr w:type="spellStart"/>
            <w:r w:rsidRPr="00FA3F57">
              <w:rPr>
                <w:sz w:val="20"/>
                <w:szCs w:val="20"/>
              </w:rPr>
              <w:t>mn</w:t>
            </w:r>
            <w:proofErr w:type="spellEnd"/>
            <w:r w:rsidRPr="00FA3F57">
              <w:rPr>
                <w:sz w:val="20"/>
                <w:szCs w:val="20"/>
              </w:rPr>
              <w:t xml:space="preserve"> EUR</w:t>
            </w:r>
          </w:p>
        </w:tc>
        <w:tc>
          <w:tcPr>
            <w:tcW w:w="1688" w:type="dxa"/>
          </w:tcPr>
          <w:p w14:paraId="4878CACD" w14:textId="77777777" w:rsidR="0094644B" w:rsidRPr="00FA3F57" w:rsidRDefault="0094644B" w:rsidP="00FB5086">
            <w:pPr>
              <w:spacing w:before="60" w:after="60"/>
              <w:jc w:val="center"/>
              <w:rPr>
                <w:sz w:val="18"/>
                <w:szCs w:val="18"/>
              </w:rPr>
            </w:pPr>
            <w:r w:rsidRPr="00FA3F57">
              <w:rPr>
                <w:sz w:val="18"/>
                <w:szCs w:val="18"/>
              </w:rPr>
              <w:t>0</w:t>
            </w:r>
          </w:p>
        </w:tc>
        <w:tc>
          <w:tcPr>
            <w:tcW w:w="1632" w:type="dxa"/>
          </w:tcPr>
          <w:p w14:paraId="5D090000" w14:textId="77777777" w:rsidR="0094644B" w:rsidRPr="00F07779" w:rsidRDefault="0094644B" w:rsidP="00FB5086">
            <w:pPr>
              <w:spacing w:before="60" w:after="60"/>
              <w:jc w:val="center"/>
              <w:rPr>
                <w:sz w:val="18"/>
                <w:szCs w:val="18"/>
              </w:rPr>
            </w:pPr>
            <w:r w:rsidRPr="00F07779">
              <w:rPr>
                <w:sz w:val="18"/>
                <w:szCs w:val="18"/>
              </w:rPr>
              <w:t>0</w:t>
            </w:r>
          </w:p>
        </w:tc>
      </w:tr>
      <w:tr w:rsidR="0094644B" w:rsidRPr="00F07779" w14:paraId="74A407B6" w14:textId="77777777" w:rsidTr="00FB5086">
        <w:trPr>
          <w:cantSplit/>
          <w:trHeight w:val="92"/>
        </w:trPr>
        <w:tc>
          <w:tcPr>
            <w:tcW w:w="3681" w:type="dxa"/>
            <w:gridSpan w:val="3"/>
          </w:tcPr>
          <w:p w14:paraId="08D3F6A2" w14:textId="77777777" w:rsidR="0094644B" w:rsidRPr="00F07779" w:rsidRDefault="0094644B" w:rsidP="00FB5086">
            <w:pPr>
              <w:spacing w:before="60" w:after="60"/>
              <w:jc w:val="right"/>
              <w:rPr>
                <w:sz w:val="20"/>
                <w:szCs w:val="20"/>
              </w:rPr>
            </w:pPr>
            <w:r w:rsidRPr="00FA3F57">
              <w:rPr>
                <w:sz w:val="20"/>
                <w:szCs w:val="20"/>
              </w:rPr>
              <w:t>In total</w:t>
            </w:r>
          </w:p>
        </w:tc>
        <w:tc>
          <w:tcPr>
            <w:tcW w:w="1714" w:type="dxa"/>
          </w:tcPr>
          <w:p w14:paraId="46A960CB" w14:textId="77777777" w:rsidR="0094644B" w:rsidRPr="00FA3F57" w:rsidRDefault="0094644B" w:rsidP="00FB5086">
            <w:pPr>
              <w:spacing w:before="60" w:after="60"/>
              <w:jc w:val="center"/>
              <w:rPr>
                <w:sz w:val="20"/>
                <w:szCs w:val="20"/>
              </w:rPr>
            </w:pPr>
            <w:r w:rsidRPr="00FA3F57">
              <w:rPr>
                <w:sz w:val="20"/>
                <w:szCs w:val="20"/>
              </w:rPr>
              <w:t>23</w:t>
            </w:r>
            <w:r w:rsidRPr="00F07779">
              <w:rPr>
                <w:sz w:val="20"/>
                <w:szCs w:val="20"/>
              </w:rPr>
              <w:t>,</w:t>
            </w:r>
            <w:r w:rsidRPr="00FA3F57">
              <w:rPr>
                <w:sz w:val="20"/>
                <w:szCs w:val="20"/>
              </w:rPr>
              <w:t>45</w:t>
            </w:r>
            <w:r w:rsidRPr="00F07779">
              <w:rPr>
                <w:sz w:val="20"/>
                <w:szCs w:val="20"/>
              </w:rPr>
              <w:t>1</w:t>
            </w:r>
            <w:r w:rsidRPr="00FA3F57">
              <w:rPr>
                <w:sz w:val="20"/>
                <w:szCs w:val="20"/>
              </w:rPr>
              <w:t xml:space="preserve"> </w:t>
            </w:r>
            <w:proofErr w:type="spellStart"/>
            <w:r w:rsidRPr="00F07779">
              <w:rPr>
                <w:sz w:val="20"/>
                <w:szCs w:val="20"/>
              </w:rPr>
              <w:t>mn</w:t>
            </w:r>
            <w:proofErr w:type="spellEnd"/>
            <w:r w:rsidRPr="00FA3F57">
              <w:rPr>
                <w:sz w:val="20"/>
                <w:szCs w:val="20"/>
              </w:rPr>
              <w:t xml:space="preserve"> RSD</w:t>
            </w:r>
          </w:p>
          <w:p w14:paraId="6AF33192" w14:textId="77777777" w:rsidR="0094644B" w:rsidRPr="00FA3F57" w:rsidRDefault="0094644B" w:rsidP="00FB5086">
            <w:pPr>
              <w:spacing w:before="60" w:after="60"/>
              <w:jc w:val="center"/>
              <w:rPr>
                <w:sz w:val="20"/>
                <w:szCs w:val="20"/>
              </w:rPr>
            </w:pPr>
            <w:r w:rsidRPr="00FA3F57">
              <w:rPr>
                <w:sz w:val="20"/>
                <w:szCs w:val="20"/>
              </w:rPr>
              <w:t xml:space="preserve">200 </w:t>
            </w:r>
            <w:proofErr w:type="spellStart"/>
            <w:r w:rsidRPr="00FA3F57">
              <w:rPr>
                <w:sz w:val="20"/>
                <w:szCs w:val="20"/>
              </w:rPr>
              <w:t>mn</w:t>
            </w:r>
            <w:proofErr w:type="spellEnd"/>
            <w:r w:rsidRPr="00FA3F57">
              <w:rPr>
                <w:sz w:val="20"/>
                <w:szCs w:val="20"/>
              </w:rPr>
              <w:t xml:space="preserve"> EUR</w:t>
            </w:r>
          </w:p>
        </w:tc>
        <w:tc>
          <w:tcPr>
            <w:tcW w:w="1688" w:type="dxa"/>
          </w:tcPr>
          <w:p w14:paraId="0EC1A87A" w14:textId="77777777" w:rsidR="0094644B" w:rsidRPr="00FA3F57" w:rsidRDefault="0094644B" w:rsidP="00FB5086">
            <w:pPr>
              <w:spacing w:before="60" w:after="60"/>
              <w:jc w:val="center"/>
              <w:rPr>
                <w:sz w:val="18"/>
                <w:szCs w:val="18"/>
              </w:rPr>
            </w:pPr>
          </w:p>
        </w:tc>
        <w:tc>
          <w:tcPr>
            <w:tcW w:w="1632" w:type="dxa"/>
          </w:tcPr>
          <w:p w14:paraId="3668FC4E" w14:textId="77777777" w:rsidR="0094644B" w:rsidRPr="00F07779" w:rsidRDefault="0094644B" w:rsidP="00FB5086">
            <w:pPr>
              <w:spacing w:before="60" w:after="60"/>
              <w:jc w:val="center"/>
              <w:rPr>
                <w:sz w:val="18"/>
                <w:szCs w:val="18"/>
              </w:rPr>
            </w:pPr>
          </w:p>
        </w:tc>
      </w:tr>
    </w:tbl>
    <w:p w14:paraId="53C8C6FA" w14:textId="77777777" w:rsidR="0094644B" w:rsidRPr="00F07779" w:rsidRDefault="0094644B" w:rsidP="0094644B">
      <w:pPr>
        <w:rPr>
          <w:sz w:val="16"/>
          <w:szCs w:val="16"/>
        </w:rPr>
      </w:pPr>
      <w:r w:rsidRPr="00F07779">
        <w:rPr>
          <w:sz w:val="16"/>
          <w:szCs w:val="16"/>
        </w:rPr>
        <w:t xml:space="preserve">* Inv-Investment, R-Regulatory, S – Supportive (Incentive), Inf-Informative, IG – Institutional/governance, F-Financial </w:t>
      </w:r>
    </w:p>
    <w:p w14:paraId="58865A62" w14:textId="77777777" w:rsidR="0094644B" w:rsidRPr="00FA3F57" w:rsidRDefault="0094644B" w:rsidP="0094644B">
      <w:pPr>
        <w:jc w:val="both"/>
      </w:pPr>
    </w:p>
    <w:p w14:paraId="35463B37" w14:textId="77777777" w:rsidR="0094644B" w:rsidRPr="00FA3F57" w:rsidRDefault="0094644B" w:rsidP="0094644B">
      <w:pPr>
        <w:jc w:val="both"/>
      </w:pPr>
      <w:r w:rsidRPr="00FA3F57">
        <w:t xml:space="preserve">Table 5.3.2 shows the adopted development </w:t>
      </w:r>
      <w:r w:rsidRPr="00F07779">
        <w:t>objectives</w:t>
      </w:r>
      <w:r w:rsidRPr="00FA3F57">
        <w:t xml:space="preserve"> for the renewable energy sector (RES), measures to achieve the stated objectives, indicators for monitoring implementation, indicator values in 2023, and projected values in 2026-2028. It is important to note that, as regards the projected value of the indicator describing the share of produced thermal energy from RES/waste heat in total thermal energy production, its shown growth is based on assumptions from the </w:t>
      </w:r>
      <w:r w:rsidRPr="00F07779">
        <w:t>NECP</w:t>
      </w:r>
      <w:r w:rsidRPr="00FA3F57">
        <w:t xml:space="preserve">, which </w:t>
      </w:r>
      <w:proofErr w:type="gramStart"/>
      <w:r w:rsidRPr="00FA3F57">
        <w:t>include</w:t>
      </w:r>
      <w:proofErr w:type="gramEnd"/>
      <w:r w:rsidRPr="00FA3F57">
        <w:t xml:space="preserve"> a significant increase in the use of heat pumps. Given that there is no reliable statistical data on the use of heat pumps in the Republic of Serbia, only after the implementation of the statistical research measure (Activity RES10.1) will it be possible to calculate the actual value of this indicator.</w:t>
      </w:r>
    </w:p>
    <w:p w14:paraId="625A901C" w14:textId="77777777" w:rsidR="0094644B" w:rsidRPr="00FA3F57" w:rsidRDefault="0094644B" w:rsidP="0094644B">
      <w:pPr>
        <w:jc w:val="both"/>
      </w:pPr>
    </w:p>
    <w:p w14:paraId="475767ED" w14:textId="77777777" w:rsidR="0094644B" w:rsidRPr="00F07779" w:rsidRDefault="0094644B" w:rsidP="0094644B">
      <w:pPr>
        <w:jc w:val="both"/>
      </w:pPr>
      <w:r w:rsidRPr="00FA3F57">
        <w:t xml:space="preserve">Tables 5.3.3-1 - 5.3.4-1 show the activities required for the implementation of measures </w:t>
      </w:r>
      <w:r w:rsidRPr="00F07779">
        <w:t>RES</w:t>
      </w:r>
      <w:r w:rsidRPr="00FA3F57">
        <w:t xml:space="preserve">9 and </w:t>
      </w:r>
      <w:r w:rsidRPr="00F07779">
        <w:t>RES</w:t>
      </w:r>
      <w:r w:rsidRPr="00FA3F57">
        <w:t>10.</w:t>
      </w:r>
    </w:p>
    <w:p w14:paraId="7F3ABC32" w14:textId="77777777" w:rsidR="0094644B" w:rsidRPr="00F07779" w:rsidRDefault="0094644B" w:rsidP="0094644B">
      <w:pPr>
        <w:jc w:val="both"/>
      </w:pPr>
    </w:p>
    <w:p w14:paraId="0B52C6D9" w14:textId="77777777" w:rsidR="0094644B" w:rsidRPr="00F07779" w:rsidRDefault="0094644B" w:rsidP="0094644B">
      <w:r w:rsidRPr="00FA3F57">
        <w:t xml:space="preserve">Table 5.3.2: Objectives, measures and indicators in </w:t>
      </w:r>
      <w:r w:rsidRPr="00F07779">
        <w:t>RES</w:t>
      </w:r>
      <w:r w:rsidRPr="00FA3F57">
        <w:t xml:space="preserve"> sector </w:t>
      </w:r>
    </w:p>
    <w:tbl>
      <w:tblPr>
        <w:tblStyle w:val="TableGrid1"/>
        <w:tblW w:w="5000" w:type="pct"/>
        <w:tblLook w:val="04A0" w:firstRow="1" w:lastRow="0" w:firstColumn="1" w:lastColumn="0" w:noHBand="0" w:noVBand="1"/>
      </w:tblPr>
      <w:tblGrid>
        <w:gridCol w:w="807"/>
        <w:gridCol w:w="981"/>
        <w:gridCol w:w="2323"/>
        <w:gridCol w:w="2209"/>
        <w:gridCol w:w="2375"/>
      </w:tblGrid>
      <w:tr w:rsidR="0094644B" w:rsidRPr="00F07779" w14:paraId="46799961" w14:textId="77777777" w:rsidTr="00FB5086">
        <w:trPr>
          <w:trHeight w:val="637"/>
        </w:trPr>
        <w:tc>
          <w:tcPr>
            <w:tcW w:w="1028" w:type="pct"/>
            <w:gridSpan w:val="2"/>
            <w:hideMark/>
          </w:tcPr>
          <w:p w14:paraId="01A32FE7" w14:textId="77777777" w:rsidR="0094644B" w:rsidRPr="00FA3F57" w:rsidRDefault="0094644B" w:rsidP="00FB5086">
            <w:pPr>
              <w:snapToGrid w:val="0"/>
              <w:ind w:firstLine="15"/>
              <w:rPr>
                <w:rFonts w:eastAsia="Calibri"/>
                <w:b/>
                <w:bCs/>
                <w:color w:val="2F5496"/>
                <w:sz w:val="18"/>
                <w:szCs w:val="18"/>
                <w:lang w:val="en-US"/>
              </w:rPr>
            </w:pPr>
            <w:r w:rsidRPr="00FA3F57">
              <w:rPr>
                <w:rFonts w:eastAsia="Calibri"/>
                <w:b/>
                <w:bCs/>
                <w:color w:val="2F5496"/>
                <w:sz w:val="18"/>
                <w:szCs w:val="18"/>
                <w:lang w:val="en-US"/>
              </w:rPr>
              <w:t>Objectives</w:t>
            </w:r>
          </w:p>
        </w:tc>
        <w:tc>
          <w:tcPr>
            <w:tcW w:w="1336" w:type="pct"/>
            <w:hideMark/>
          </w:tcPr>
          <w:p w14:paraId="6C7165D1" w14:textId="77777777" w:rsidR="0094644B" w:rsidRPr="00FA3F57" w:rsidRDefault="0094644B" w:rsidP="00FB5086">
            <w:pPr>
              <w:pStyle w:val="ListParagraph"/>
              <w:numPr>
                <w:ilvl w:val="0"/>
                <w:numId w:val="1"/>
              </w:numPr>
              <w:ind w:left="129" w:hanging="187"/>
              <w:rPr>
                <w:rFonts w:ascii="Times New Roman" w:eastAsia="Calibri" w:hAnsi="Times New Roman" w:cs="Times New Roman"/>
                <w:noProof w:val="0"/>
                <w:color w:val="2F5496"/>
                <w:sz w:val="18"/>
                <w:szCs w:val="18"/>
                <w:lang w:val="en-US"/>
              </w:rPr>
            </w:pPr>
            <w:r w:rsidRPr="00FA3F57">
              <w:rPr>
                <w:rFonts w:ascii="Times New Roman" w:eastAsia="Calibri" w:hAnsi="Times New Roman" w:cs="Times New Roman"/>
                <w:noProof w:val="0"/>
                <w:color w:val="2F5496"/>
                <w:sz w:val="18"/>
                <w:szCs w:val="18"/>
              </w:rPr>
              <w:t>Greater use of RES for electricity production</w:t>
            </w:r>
          </w:p>
        </w:tc>
        <w:tc>
          <w:tcPr>
            <w:tcW w:w="1270" w:type="pct"/>
            <w:hideMark/>
          </w:tcPr>
          <w:p w14:paraId="555BE5E8" w14:textId="77777777" w:rsidR="0094644B" w:rsidRPr="00FA3F57" w:rsidRDefault="0094644B" w:rsidP="00FB5086">
            <w:pPr>
              <w:pStyle w:val="ListParagraph"/>
              <w:numPr>
                <w:ilvl w:val="0"/>
                <w:numId w:val="1"/>
              </w:numPr>
              <w:ind w:left="129" w:hanging="187"/>
              <w:rPr>
                <w:rFonts w:ascii="Times New Roman" w:eastAsia="Calibri" w:hAnsi="Times New Roman" w:cs="Times New Roman"/>
                <w:noProof w:val="0"/>
                <w:color w:val="2F5496"/>
                <w:sz w:val="18"/>
                <w:szCs w:val="18"/>
                <w:lang w:val="en-US"/>
              </w:rPr>
            </w:pPr>
            <w:r w:rsidRPr="00FA3F57">
              <w:rPr>
                <w:rFonts w:ascii="Times New Roman" w:eastAsia="Calibri" w:hAnsi="Times New Roman" w:cs="Times New Roman"/>
                <w:noProof w:val="0"/>
                <w:color w:val="2F5496"/>
                <w:sz w:val="18"/>
                <w:szCs w:val="18"/>
              </w:rPr>
              <w:t>Greater use of RES for heat production</w:t>
            </w:r>
          </w:p>
        </w:tc>
        <w:tc>
          <w:tcPr>
            <w:tcW w:w="1366" w:type="pct"/>
            <w:hideMark/>
          </w:tcPr>
          <w:p w14:paraId="418FD8B6" w14:textId="77777777" w:rsidR="0094644B" w:rsidRPr="00FA3F57" w:rsidRDefault="0094644B" w:rsidP="00FB5086">
            <w:pPr>
              <w:pStyle w:val="ListParagraph"/>
              <w:numPr>
                <w:ilvl w:val="0"/>
                <w:numId w:val="1"/>
              </w:numPr>
              <w:ind w:left="129" w:hanging="187"/>
              <w:rPr>
                <w:rFonts w:ascii="Times New Roman" w:eastAsia="Calibri" w:hAnsi="Times New Roman" w:cs="Times New Roman"/>
                <w:noProof w:val="0"/>
                <w:color w:val="2F5496"/>
                <w:sz w:val="18"/>
                <w:szCs w:val="18"/>
                <w:lang w:val="en-US"/>
              </w:rPr>
            </w:pPr>
            <w:r w:rsidRPr="00FA3F57">
              <w:rPr>
                <w:rFonts w:ascii="Times New Roman" w:eastAsia="Calibri" w:hAnsi="Times New Roman" w:cs="Times New Roman"/>
                <w:noProof w:val="0"/>
                <w:color w:val="2F5496"/>
                <w:sz w:val="18"/>
                <w:szCs w:val="18"/>
              </w:rPr>
              <w:t>Greater use of RES in transport</w:t>
            </w:r>
          </w:p>
        </w:tc>
      </w:tr>
      <w:tr w:rsidR="0094644B" w:rsidRPr="00F07779" w14:paraId="44A2860B" w14:textId="77777777" w:rsidTr="00FB5086">
        <w:trPr>
          <w:trHeight w:val="485"/>
        </w:trPr>
        <w:tc>
          <w:tcPr>
            <w:tcW w:w="1028" w:type="pct"/>
            <w:gridSpan w:val="2"/>
            <w:hideMark/>
          </w:tcPr>
          <w:p w14:paraId="41FE0138" w14:textId="77777777" w:rsidR="0094644B" w:rsidRPr="00FA3F57" w:rsidRDefault="0094644B" w:rsidP="00FB5086">
            <w:pPr>
              <w:snapToGrid w:val="0"/>
              <w:ind w:firstLine="15"/>
              <w:rPr>
                <w:rFonts w:eastAsia="Calibri"/>
                <w:b/>
                <w:bCs/>
                <w:color w:val="2F5496"/>
                <w:sz w:val="18"/>
                <w:szCs w:val="18"/>
                <w:lang w:val="en-US"/>
              </w:rPr>
            </w:pPr>
            <w:r w:rsidRPr="00F07779">
              <w:rPr>
                <w:rFonts w:eastAsia="Calibri"/>
                <w:b/>
                <w:bCs/>
                <w:color w:val="2F5496"/>
                <w:sz w:val="18"/>
                <w:szCs w:val="18"/>
                <w:lang w:val="en-US"/>
              </w:rPr>
              <w:t>Measures</w:t>
            </w:r>
          </w:p>
        </w:tc>
        <w:tc>
          <w:tcPr>
            <w:tcW w:w="1336" w:type="pct"/>
          </w:tcPr>
          <w:p w14:paraId="48819929" w14:textId="77777777" w:rsidR="0094644B" w:rsidRPr="00FA3F57" w:rsidRDefault="0094644B" w:rsidP="00FB5086">
            <w:pPr>
              <w:snapToGrid w:val="0"/>
              <w:ind w:left="130" w:firstLine="0"/>
              <w:rPr>
                <w:rFonts w:eastAsia="Calibri"/>
                <w:sz w:val="18"/>
                <w:szCs w:val="18"/>
                <w:lang w:val="en-US"/>
              </w:rPr>
            </w:pPr>
            <w:r w:rsidRPr="00FA3F57">
              <w:rPr>
                <w:rFonts w:eastAsia="Calibri"/>
                <w:color w:val="2F5496"/>
                <w:sz w:val="18"/>
                <w:szCs w:val="18"/>
                <w:lang w:val="en-US"/>
              </w:rPr>
              <w:t xml:space="preserve">RES1, RES2, RES3, RES4, RES9 </w:t>
            </w:r>
          </w:p>
        </w:tc>
        <w:tc>
          <w:tcPr>
            <w:tcW w:w="1270" w:type="pct"/>
            <w:hideMark/>
          </w:tcPr>
          <w:p w14:paraId="2EDD8F3D" w14:textId="77777777" w:rsidR="0094644B" w:rsidRPr="00FA3F57" w:rsidRDefault="0094644B" w:rsidP="00FB5086">
            <w:pPr>
              <w:snapToGrid w:val="0"/>
              <w:ind w:left="130" w:firstLine="0"/>
              <w:rPr>
                <w:rFonts w:eastAsia="Calibri"/>
                <w:color w:val="2F5496"/>
                <w:sz w:val="18"/>
                <w:szCs w:val="18"/>
                <w:lang w:val="en-US"/>
              </w:rPr>
            </w:pPr>
            <w:r w:rsidRPr="00FA3F57">
              <w:rPr>
                <w:rFonts w:eastAsia="Calibri"/>
                <w:color w:val="2F5496"/>
                <w:sz w:val="18"/>
                <w:szCs w:val="18"/>
                <w:lang w:val="en-US"/>
              </w:rPr>
              <w:t>RES5, RES10</w:t>
            </w:r>
          </w:p>
        </w:tc>
        <w:tc>
          <w:tcPr>
            <w:tcW w:w="1366" w:type="pct"/>
            <w:hideMark/>
          </w:tcPr>
          <w:p w14:paraId="04CCECBB" w14:textId="77777777" w:rsidR="0094644B" w:rsidRPr="00FA3F57" w:rsidRDefault="0094644B" w:rsidP="00FB5086">
            <w:pPr>
              <w:ind w:firstLine="82"/>
              <w:rPr>
                <w:rFonts w:eastAsia="Calibri"/>
                <w:color w:val="2F5496"/>
                <w:sz w:val="18"/>
                <w:szCs w:val="18"/>
                <w:lang w:val="en-US"/>
              </w:rPr>
            </w:pPr>
            <w:r w:rsidRPr="00FA3F57">
              <w:rPr>
                <w:rFonts w:eastAsia="Calibri"/>
                <w:color w:val="2F5496"/>
                <w:sz w:val="18"/>
                <w:szCs w:val="18"/>
                <w:lang w:val="en-US"/>
              </w:rPr>
              <w:t xml:space="preserve">RES6, RES7, RES8, RES10 </w:t>
            </w:r>
          </w:p>
        </w:tc>
      </w:tr>
      <w:tr w:rsidR="0094644B" w:rsidRPr="00F07779" w14:paraId="750D882E" w14:textId="77777777" w:rsidTr="00FB5086">
        <w:trPr>
          <w:trHeight w:val="841"/>
        </w:trPr>
        <w:tc>
          <w:tcPr>
            <w:tcW w:w="1028" w:type="pct"/>
            <w:gridSpan w:val="2"/>
            <w:hideMark/>
          </w:tcPr>
          <w:p w14:paraId="29FD321C" w14:textId="77777777" w:rsidR="0094644B" w:rsidRPr="00FA3F57" w:rsidRDefault="0094644B" w:rsidP="00FB5086">
            <w:pPr>
              <w:snapToGrid w:val="0"/>
              <w:ind w:firstLine="15"/>
              <w:rPr>
                <w:rFonts w:eastAsia="Calibri"/>
                <w:b/>
                <w:bCs/>
                <w:color w:val="2F5496"/>
                <w:sz w:val="18"/>
                <w:szCs w:val="18"/>
                <w:lang w:val="en-US"/>
              </w:rPr>
            </w:pPr>
            <w:r w:rsidRPr="00F07779">
              <w:rPr>
                <w:rFonts w:eastAsia="Calibri"/>
                <w:b/>
                <w:bCs/>
                <w:color w:val="2F5496"/>
                <w:sz w:val="18"/>
                <w:szCs w:val="18"/>
                <w:lang w:val="en-US"/>
              </w:rPr>
              <w:t>Indicators</w:t>
            </w:r>
          </w:p>
        </w:tc>
        <w:tc>
          <w:tcPr>
            <w:tcW w:w="1336" w:type="pct"/>
            <w:hideMark/>
          </w:tcPr>
          <w:p w14:paraId="7178150A" w14:textId="77777777" w:rsidR="0094644B" w:rsidRPr="00FA3F57" w:rsidRDefault="0094644B" w:rsidP="00FB5086">
            <w:pPr>
              <w:snapToGrid w:val="0"/>
              <w:ind w:left="130" w:firstLine="0"/>
              <w:rPr>
                <w:rFonts w:eastAsia="Calibri"/>
                <w:color w:val="2F5496"/>
                <w:sz w:val="18"/>
                <w:szCs w:val="18"/>
                <w:lang w:val="en-US"/>
              </w:rPr>
            </w:pPr>
            <w:r w:rsidRPr="00F07779">
              <w:rPr>
                <w:rFonts w:eastAsia="Calibri"/>
                <w:color w:val="2F5496"/>
                <w:sz w:val="18"/>
                <w:szCs w:val="18"/>
                <w:lang w:val="en-US"/>
              </w:rPr>
              <w:t xml:space="preserve">Share of electricity produced from RES in </w:t>
            </w:r>
            <w:proofErr w:type="gramStart"/>
            <w:r w:rsidRPr="00F07779">
              <w:rPr>
                <w:rFonts w:eastAsia="Calibri"/>
                <w:color w:val="2F5496"/>
                <w:sz w:val="18"/>
                <w:szCs w:val="18"/>
                <w:lang w:val="en-US"/>
              </w:rPr>
              <w:t>the total</w:t>
            </w:r>
            <w:proofErr w:type="gramEnd"/>
            <w:r w:rsidRPr="00F07779">
              <w:rPr>
                <w:rFonts w:eastAsia="Calibri"/>
                <w:color w:val="2F5496"/>
                <w:sz w:val="18"/>
                <w:szCs w:val="18"/>
                <w:lang w:val="en-US"/>
              </w:rPr>
              <w:t xml:space="preserve"> electricity production</w:t>
            </w:r>
          </w:p>
        </w:tc>
        <w:tc>
          <w:tcPr>
            <w:tcW w:w="1270" w:type="pct"/>
            <w:hideMark/>
          </w:tcPr>
          <w:p w14:paraId="26CC1BAB" w14:textId="77777777" w:rsidR="0094644B" w:rsidRPr="00FA3F57" w:rsidRDefault="0094644B" w:rsidP="00FB5086">
            <w:pPr>
              <w:snapToGrid w:val="0"/>
              <w:ind w:left="130" w:firstLine="0"/>
              <w:rPr>
                <w:rFonts w:eastAsia="Calibri"/>
                <w:color w:val="2F5496"/>
                <w:sz w:val="18"/>
                <w:szCs w:val="18"/>
                <w:lang w:val="en-US"/>
              </w:rPr>
            </w:pPr>
            <w:r w:rsidRPr="00FA3F57">
              <w:rPr>
                <w:rFonts w:eastAsia="Calibri"/>
                <w:color w:val="2F5496"/>
                <w:sz w:val="18"/>
                <w:szCs w:val="18"/>
                <w:lang w:val="en-US"/>
              </w:rPr>
              <w:t>Share of heat energy produced from RES/waste heat in total heat energy production</w:t>
            </w:r>
            <w:r w:rsidRPr="00FA3F57" w:rsidDel="004135B7">
              <w:rPr>
                <w:rFonts w:eastAsia="Calibri"/>
                <w:color w:val="2F5496"/>
                <w:sz w:val="18"/>
                <w:szCs w:val="18"/>
                <w:lang w:val="en-US"/>
              </w:rPr>
              <w:t xml:space="preserve"> </w:t>
            </w:r>
          </w:p>
        </w:tc>
        <w:tc>
          <w:tcPr>
            <w:tcW w:w="1366" w:type="pct"/>
            <w:hideMark/>
          </w:tcPr>
          <w:p w14:paraId="7F4E2C7C" w14:textId="77777777" w:rsidR="0094644B" w:rsidRPr="00FA3F57" w:rsidRDefault="0094644B" w:rsidP="00FB5086">
            <w:pPr>
              <w:snapToGrid w:val="0"/>
              <w:ind w:left="130" w:firstLine="0"/>
              <w:rPr>
                <w:rFonts w:eastAsia="Calibri"/>
                <w:sz w:val="18"/>
                <w:szCs w:val="18"/>
                <w:lang w:val="en-US"/>
              </w:rPr>
            </w:pPr>
            <w:proofErr w:type="gramStart"/>
            <w:r w:rsidRPr="00F07779">
              <w:rPr>
                <w:rFonts w:eastAsia="Calibri"/>
                <w:color w:val="2F5496"/>
                <w:sz w:val="18"/>
                <w:szCs w:val="18"/>
                <w:lang w:val="en-US"/>
              </w:rPr>
              <w:t>Share</w:t>
            </w:r>
            <w:proofErr w:type="gramEnd"/>
            <w:r w:rsidRPr="00F07779">
              <w:rPr>
                <w:rFonts w:eastAsia="Calibri"/>
                <w:color w:val="2F5496"/>
                <w:sz w:val="18"/>
                <w:szCs w:val="18"/>
                <w:lang w:val="en-US"/>
              </w:rPr>
              <w:t xml:space="preserve"> of RES in transport</w:t>
            </w:r>
          </w:p>
        </w:tc>
      </w:tr>
      <w:tr w:rsidR="0094644B" w:rsidRPr="00F07779" w14:paraId="034ECC85" w14:textId="77777777" w:rsidTr="00FB5086">
        <w:tc>
          <w:tcPr>
            <w:tcW w:w="1028" w:type="pct"/>
            <w:gridSpan w:val="2"/>
          </w:tcPr>
          <w:p w14:paraId="232E45B9" w14:textId="77777777" w:rsidR="0094644B" w:rsidRPr="00FA3F57" w:rsidRDefault="0094644B" w:rsidP="00FB5086">
            <w:pPr>
              <w:snapToGrid w:val="0"/>
              <w:ind w:firstLine="15"/>
              <w:rPr>
                <w:rFonts w:eastAsia="Calibri"/>
                <w:b/>
                <w:bCs/>
                <w:color w:val="2F5496"/>
                <w:sz w:val="18"/>
                <w:szCs w:val="18"/>
                <w:lang w:val="en-US"/>
              </w:rPr>
            </w:pPr>
            <w:r w:rsidRPr="00FA3F57">
              <w:rPr>
                <w:rFonts w:eastAsia="Calibri"/>
                <w:b/>
                <w:bCs/>
                <w:color w:val="2F5496"/>
                <w:sz w:val="18"/>
                <w:szCs w:val="18"/>
                <w:lang w:val="en-US"/>
              </w:rPr>
              <w:t>Indicator v</w:t>
            </w:r>
            <w:r w:rsidRPr="00F07779">
              <w:rPr>
                <w:rFonts w:eastAsia="Calibri"/>
                <w:b/>
                <w:bCs/>
                <w:color w:val="2F5496"/>
                <w:sz w:val="18"/>
                <w:szCs w:val="18"/>
                <w:lang w:val="en-US"/>
              </w:rPr>
              <w:t>alue</w:t>
            </w:r>
            <w:r w:rsidRPr="00FA3F57">
              <w:rPr>
                <w:rFonts w:eastAsia="Calibri"/>
                <w:b/>
                <w:bCs/>
                <w:color w:val="2F5496"/>
                <w:sz w:val="18"/>
                <w:szCs w:val="18"/>
                <w:lang w:val="en-US"/>
              </w:rPr>
              <w:t xml:space="preserve"> </w:t>
            </w:r>
            <w:r w:rsidRPr="00F07779">
              <w:rPr>
                <w:rFonts w:eastAsia="Calibri"/>
                <w:b/>
                <w:bCs/>
                <w:color w:val="2F5496"/>
                <w:sz w:val="18"/>
                <w:szCs w:val="18"/>
                <w:lang w:val="en-US"/>
              </w:rPr>
              <w:t xml:space="preserve">in </w:t>
            </w:r>
            <w:r w:rsidRPr="00FA3F57">
              <w:rPr>
                <w:rFonts w:eastAsia="Calibri"/>
                <w:b/>
                <w:bCs/>
                <w:color w:val="2F5496"/>
                <w:sz w:val="18"/>
                <w:szCs w:val="18"/>
                <w:lang w:val="en-US"/>
              </w:rPr>
              <w:t>2023</w:t>
            </w:r>
          </w:p>
        </w:tc>
        <w:tc>
          <w:tcPr>
            <w:tcW w:w="1336" w:type="pct"/>
            <w:vAlign w:val="center"/>
          </w:tcPr>
          <w:p w14:paraId="41358B2C" w14:textId="77777777" w:rsidR="0094644B" w:rsidRPr="00FA3F57" w:rsidRDefault="0094644B" w:rsidP="00FB5086">
            <w:pPr>
              <w:pStyle w:val="NormalWeb"/>
              <w:spacing w:before="0" w:beforeAutospacing="0" w:after="0" w:afterAutospacing="0"/>
              <w:ind w:firstLine="0"/>
              <w:jc w:val="center"/>
              <w:rPr>
                <w:rFonts w:eastAsia="Calibri"/>
                <w:color w:val="2F5496"/>
                <w:sz w:val="18"/>
                <w:szCs w:val="18"/>
                <w:lang w:val="en-US"/>
              </w:rPr>
            </w:pPr>
            <w:r w:rsidRPr="00FA3F57">
              <w:rPr>
                <w:rFonts w:eastAsia="Calibri"/>
                <w:color w:val="2F5496"/>
                <w:sz w:val="18"/>
                <w:szCs w:val="18"/>
                <w:lang w:val="en-US"/>
              </w:rPr>
              <w:t>31.75%</w:t>
            </w:r>
          </w:p>
        </w:tc>
        <w:tc>
          <w:tcPr>
            <w:tcW w:w="1270" w:type="pct"/>
            <w:vAlign w:val="center"/>
          </w:tcPr>
          <w:p w14:paraId="3E28DCF8" w14:textId="77777777" w:rsidR="0094644B" w:rsidRPr="00FA3F57" w:rsidRDefault="0094644B" w:rsidP="00FB5086">
            <w:pPr>
              <w:pStyle w:val="NormalWeb"/>
              <w:spacing w:before="0" w:beforeAutospacing="0" w:after="0" w:afterAutospacing="0"/>
              <w:ind w:firstLine="0"/>
              <w:jc w:val="center"/>
              <w:rPr>
                <w:rFonts w:eastAsia="Calibri"/>
                <w:color w:val="2F5496"/>
                <w:sz w:val="18"/>
                <w:szCs w:val="18"/>
                <w:lang w:val="en-US"/>
              </w:rPr>
            </w:pPr>
            <w:r w:rsidRPr="00FA3F57">
              <w:rPr>
                <w:rFonts w:eastAsia="Calibri"/>
                <w:color w:val="2F5496"/>
                <w:sz w:val="18"/>
                <w:szCs w:val="18"/>
                <w:lang w:val="en-US"/>
              </w:rPr>
              <w:t>35.88%</w:t>
            </w:r>
          </w:p>
        </w:tc>
        <w:tc>
          <w:tcPr>
            <w:tcW w:w="1366" w:type="pct"/>
            <w:vAlign w:val="center"/>
          </w:tcPr>
          <w:p w14:paraId="40B1E299" w14:textId="77777777" w:rsidR="0094644B" w:rsidRPr="00FA3F57" w:rsidRDefault="0094644B" w:rsidP="00FB5086">
            <w:pPr>
              <w:pStyle w:val="NormalWeb"/>
              <w:spacing w:before="0" w:beforeAutospacing="0" w:after="0" w:afterAutospacing="0"/>
              <w:ind w:firstLine="0"/>
              <w:jc w:val="center"/>
              <w:rPr>
                <w:rFonts w:eastAsia="Calibri"/>
                <w:color w:val="2F5496"/>
                <w:sz w:val="18"/>
                <w:szCs w:val="18"/>
                <w:lang w:val="en-US"/>
              </w:rPr>
            </w:pPr>
            <w:r w:rsidRPr="00FA3F57">
              <w:rPr>
                <w:rFonts w:eastAsia="Calibri"/>
                <w:color w:val="2F5496"/>
                <w:sz w:val="18"/>
                <w:szCs w:val="18"/>
                <w:lang w:val="en-US"/>
              </w:rPr>
              <w:t>0.60%</w:t>
            </w:r>
          </w:p>
        </w:tc>
      </w:tr>
      <w:tr w:rsidR="0094644B" w:rsidRPr="00F07779" w14:paraId="2EBA4CD0" w14:textId="77777777" w:rsidTr="00FB5086">
        <w:trPr>
          <w:cantSplit/>
          <w:trHeight w:val="397"/>
        </w:trPr>
        <w:tc>
          <w:tcPr>
            <w:tcW w:w="464" w:type="pct"/>
            <w:vMerge w:val="restart"/>
            <w:textDirection w:val="btLr"/>
            <w:vAlign w:val="center"/>
          </w:tcPr>
          <w:p w14:paraId="0108C1FE" w14:textId="77777777" w:rsidR="0094644B" w:rsidRPr="00FA3F57" w:rsidRDefault="0094644B" w:rsidP="00FB5086">
            <w:pPr>
              <w:snapToGrid w:val="0"/>
              <w:ind w:firstLine="0"/>
              <w:jc w:val="both"/>
              <w:rPr>
                <w:rFonts w:eastAsia="Calibri"/>
                <w:b/>
                <w:color w:val="2F5496"/>
                <w:sz w:val="18"/>
                <w:szCs w:val="18"/>
                <w:lang w:val="en-US"/>
              </w:rPr>
            </w:pPr>
            <w:r w:rsidRPr="00F07779">
              <w:rPr>
                <w:rFonts w:eastAsia="Calibri"/>
                <w:b/>
                <w:color w:val="2F5496"/>
                <w:sz w:val="18"/>
                <w:szCs w:val="18"/>
                <w:lang w:val="en-US"/>
              </w:rPr>
              <w:lastRenderedPageBreak/>
              <w:t>Projected</w:t>
            </w:r>
            <w:r w:rsidRPr="00FA3F57">
              <w:rPr>
                <w:rFonts w:eastAsia="Calibri"/>
                <w:b/>
                <w:color w:val="2F5496"/>
                <w:sz w:val="18"/>
                <w:szCs w:val="18"/>
                <w:lang w:val="en-US"/>
              </w:rPr>
              <w:br/>
            </w:r>
            <w:r w:rsidRPr="00F07779">
              <w:rPr>
                <w:rFonts w:eastAsia="Calibri"/>
                <w:b/>
                <w:color w:val="2F5496"/>
                <w:sz w:val="18"/>
                <w:szCs w:val="18"/>
                <w:lang w:val="en-US"/>
              </w:rPr>
              <w:t>indicator value</w:t>
            </w:r>
          </w:p>
        </w:tc>
        <w:tc>
          <w:tcPr>
            <w:tcW w:w="564" w:type="pct"/>
            <w:vAlign w:val="center"/>
          </w:tcPr>
          <w:p w14:paraId="4806DF2E" w14:textId="77777777" w:rsidR="0094644B" w:rsidRPr="00FA3F57" w:rsidRDefault="0094644B" w:rsidP="00FB5086">
            <w:pPr>
              <w:snapToGrid w:val="0"/>
              <w:spacing w:before="60" w:after="60"/>
              <w:ind w:firstLine="15"/>
              <w:jc w:val="right"/>
              <w:rPr>
                <w:rFonts w:eastAsia="Calibri"/>
                <w:b/>
                <w:bCs/>
                <w:color w:val="2F5496"/>
                <w:sz w:val="18"/>
                <w:szCs w:val="18"/>
                <w:lang w:val="en-US"/>
              </w:rPr>
            </w:pPr>
            <w:r w:rsidRPr="00FA3F57">
              <w:rPr>
                <w:rFonts w:eastAsia="Calibri"/>
                <w:b/>
                <w:bCs/>
                <w:color w:val="2F5496"/>
                <w:sz w:val="18"/>
                <w:szCs w:val="18"/>
                <w:lang w:val="en-US"/>
              </w:rPr>
              <w:t>2026</w:t>
            </w:r>
          </w:p>
        </w:tc>
        <w:tc>
          <w:tcPr>
            <w:tcW w:w="1336" w:type="pct"/>
            <w:vAlign w:val="center"/>
          </w:tcPr>
          <w:p w14:paraId="4AACB122" w14:textId="77777777" w:rsidR="0094644B" w:rsidRPr="00FA3F57" w:rsidRDefault="0094644B" w:rsidP="00FB5086">
            <w:pPr>
              <w:spacing w:before="60" w:after="60"/>
              <w:ind w:firstLine="0"/>
              <w:jc w:val="center"/>
              <w:rPr>
                <w:rFonts w:eastAsia="Calibri"/>
                <w:color w:val="2F5496"/>
                <w:sz w:val="18"/>
                <w:szCs w:val="18"/>
                <w:lang w:val="en-US"/>
              </w:rPr>
            </w:pPr>
            <w:r w:rsidRPr="00FA3F57">
              <w:rPr>
                <w:rFonts w:eastAsia="Calibri"/>
                <w:color w:val="2F5496"/>
                <w:sz w:val="18"/>
                <w:szCs w:val="18"/>
                <w:lang w:val="en-US"/>
              </w:rPr>
              <w:t>36.7%</w:t>
            </w:r>
          </w:p>
        </w:tc>
        <w:tc>
          <w:tcPr>
            <w:tcW w:w="1270" w:type="pct"/>
            <w:vAlign w:val="center"/>
          </w:tcPr>
          <w:p w14:paraId="5E1452BF" w14:textId="77777777" w:rsidR="0094644B" w:rsidRPr="00FA3F57" w:rsidRDefault="0094644B" w:rsidP="00FB5086">
            <w:pPr>
              <w:pStyle w:val="NormalWeb"/>
              <w:spacing w:before="60" w:beforeAutospacing="0" w:after="60" w:afterAutospacing="0"/>
              <w:ind w:firstLine="0"/>
              <w:jc w:val="center"/>
              <w:rPr>
                <w:rFonts w:eastAsia="Calibri"/>
                <w:color w:val="2F5496"/>
                <w:sz w:val="18"/>
                <w:szCs w:val="18"/>
                <w:lang w:val="en-US"/>
              </w:rPr>
            </w:pPr>
            <w:r w:rsidRPr="00FA3F57">
              <w:rPr>
                <w:rFonts w:eastAsia="Calibri"/>
                <w:color w:val="2F5496"/>
                <w:sz w:val="18"/>
                <w:szCs w:val="18"/>
                <w:lang w:val="en-US"/>
              </w:rPr>
              <w:t>41.5%</w:t>
            </w:r>
          </w:p>
        </w:tc>
        <w:tc>
          <w:tcPr>
            <w:tcW w:w="1366" w:type="pct"/>
            <w:vAlign w:val="center"/>
          </w:tcPr>
          <w:p w14:paraId="4CB74AB8" w14:textId="77777777" w:rsidR="0094644B" w:rsidRPr="00FA3F57" w:rsidRDefault="0094644B" w:rsidP="00FB5086">
            <w:pPr>
              <w:pStyle w:val="NormalWeb"/>
              <w:spacing w:before="60" w:beforeAutospacing="0" w:after="60" w:afterAutospacing="0"/>
              <w:ind w:firstLine="0"/>
              <w:jc w:val="center"/>
              <w:rPr>
                <w:rFonts w:eastAsia="Calibri"/>
                <w:color w:val="2F5496"/>
                <w:sz w:val="18"/>
                <w:szCs w:val="18"/>
                <w:lang w:val="en-US"/>
              </w:rPr>
            </w:pPr>
            <w:r w:rsidRPr="00FA3F57">
              <w:rPr>
                <w:rFonts w:eastAsia="Calibri"/>
                <w:color w:val="2F5496"/>
                <w:sz w:val="18"/>
                <w:szCs w:val="18"/>
                <w:lang w:val="en-US"/>
              </w:rPr>
              <w:t>2.1%</w:t>
            </w:r>
          </w:p>
        </w:tc>
      </w:tr>
      <w:tr w:rsidR="0094644B" w:rsidRPr="00F07779" w14:paraId="5A1D8D5D" w14:textId="77777777" w:rsidTr="00FB5086">
        <w:trPr>
          <w:cantSplit/>
          <w:trHeight w:val="397"/>
        </w:trPr>
        <w:tc>
          <w:tcPr>
            <w:tcW w:w="464" w:type="pct"/>
            <w:vMerge/>
          </w:tcPr>
          <w:p w14:paraId="3C21847B" w14:textId="77777777" w:rsidR="0094644B" w:rsidRPr="00FA3F57" w:rsidRDefault="0094644B" w:rsidP="00FB5086">
            <w:pPr>
              <w:jc w:val="center"/>
              <w:rPr>
                <w:rFonts w:eastAsia="Calibri"/>
                <w:color w:val="2F5496"/>
                <w:sz w:val="18"/>
                <w:szCs w:val="18"/>
                <w:lang w:val="en-US"/>
              </w:rPr>
            </w:pPr>
          </w:p>
        </w:tc>
        <w:tc>
          <w:tcPr>
            <w:tcW w:w="564" w:type="pct"/>
            <w:vAlign w:val="center"/>
          </w:tcPr>
          <w:p w14:paraId="6CE43002" w14:textId="77777777" w:rsidR="0094644B" w:rsidRPr="00FA3F57" w:rsidRDefault="0094644B" w:rsidP="00FB5086">
            <w:pPr>
              <w:snapToGrid w:val="0"/>
              <w:spacing w:before="60" w:after="60"/>
              <w:ind w:firstLine="15"/>
              <w:jc w:val="right"/>
              <w:rPr>
                <w:rFonts w:eastAsia="Calibri"/>
                <w:b/>
                <w:bCs/>
                <w:color w:val="2F5496"/>
                <w:sz w:val="18"/>
                <w:szCs w:val="18"/>
                <w:lang w:val="en-US"/>
              </w:rPr>
            </w:pPr>
            <w:r w:rsidRPr="00FA3F57">
              <w:rPr>
                <w:rFonts w:eastAsia="Calibri"/>
                <w:b/>
                <w:bCs/>
                <w:color w:val="2F5496"/>
                <w:sz w:val="18"/>
                <w:szCs w:val="18"/>
                <w:lang w:val="en-US"/>
              </w:rPr>
              <w:t>2027</w:t>
            </w:r>
          </w:p>
        </w:tc>
        <w:tc>
          <w:tcPr>
            <w:tcW w:w="1336" w:type="pct"/>
            <w:vAlign w:val="center"/>
          </w:tcPr>
          <w:p w14:paraId="0912A7F4" w14:textId="77777777" w:rsidR="0094644B" w:rsidRPr="00FA3F57" w:rsidRDefault="0094644B" w:rsidP="00FB5086">
            <w:pPr>
              <w:spacing w:before="60" w:after="60"/>
              <w:ind w:firstLine="0"/>
              <w:jc w:val="center"/>
              <w:rPr>
                <w:rFonts w:eastAsia="Calibri"/>
                <w:color w:val="2F5496"/>
                <w:sz w:val="18"/>
                <w:szCs w:val="18"/>
                <w:lang w:val="en-US"/>
              </w:rPr>
            </w:pPr>
            <w:r w:rsidRPr="00FA3F57">
              <w:rPr>
                <w:rFonts w:eastAsia="Calibri"/>
                <w:color w:val="2F5496"/>
                <w:sz w:val="18"/>
                <w:szCs w:val="18"/>
                <w:lang w:val="en-US"/>
              </w:rPr>
              <w:t>38%</w:t>
            </w:r>
          </w:p>
        </w:tc>
        <w:tc>
          <w:tcPr>
            <w:tcW w:w="1270" w:type="pct"/>
            <w:vAlign w:val="center"/>
          </w:tcPr>
          <w:p w14:paraId="2BC1EC6C" w14:textId="77777777" w:rsidR="0094644B" w:rsidRPr="00FA3F57" w:rsidRDefault="0094644B" w:rsidP="00FB5086">
            <w:pPr>
              <w:pStyle w:val="NormalWeb"/>
              <w:spacing w:before="60" w:beforeAutospacing="0" w:after="60" w:afterAutospacing="0"/>
              <w:ind w:firstLine="0"/>
              <w:jc w:val="center"/>
              <w:rPr>
                <w:rFonts w:eastAsia="Calibri"/>
                <w:color w:val="2F5496"/>
                <w:sz w:val="18"/>
                <w:szCs w:val="18"/>
                <w:lang w:val="en-US"/>
              </w:rPr>
            </w:pPr>
            <w:r w:rsidRPr="00FA3F57">
              <w:rPr>
                <w:rFonts w:eastAsia="Calibri"/>
                <w:color w:val="2F5496"/>
                <w:sz w:val="18"/>
                <w:szCs w:val="18"/>
                <w:lang w:val="en-US"/>
              </w:rPr>
              <w:t>41.2%</w:t>
            </w:r>
          </w:p>
        </w:tc>
        <w:tc>
          <w:tcPr>
            <w:tcW w:w="1366" w:type="pct"/>
            <w:vAlign w:val="center"/>
          </w:tcPr>
          <w:p w14:paraId="4997A83A" w14:textId="77777777" w:rsidR="0094644B" w:rsidRPr="00FA3F57" w:rsidRDefault="0094644B" w:rsidP="00FB5086">
            <w:pPr>
              <w:pStyle w:val="NormalWeb"/>
              <w:spacing w:before="60" w:beforeAutospacing="0" w:after="60" w:afterAutospacing="0"/>
              <w:ind w:firstLine="0"/>
              <w:jc w:val="center"/>
              <w:rPr>
                <w:rFonts w:eastAsia="Calibri"/>
                <w:color w:val="2F5496"/>
                <w:sz w:val="18"/>
                <w:szCs w:val="18"/>
                <w:lang w:val="en-US"/>
              </w:rPr>
            </w:pPr>
            <w:r w:rsidRPr="00FA3F57">
              <w:rPr>
                <w:rFonts w:eastAsia="Calibri"/>
                <w:color w:val="2F5496"/>
                <w:sz w:val="18"/>
                <w:szCs w:val="18"/>
                <w:lang w:val="en-US"/>
              </w:rPr>
              <w:t>2.3%</w:t>
            </w:r>
          </w:p>
        </w:tc>
      </w:tr>
      <w:tr w:rsidR="0094644B" w:rsidRPr="00F07779" w14:paraId="6B212591" w14:textId="77777777" w:rsidTr="00FB5086">
        <w:trPr>
          <w:cantSplit/>
          <w:trHeight w:val="397"/>
        </w:trPr>
        <w:tc>
          <w:tcPr>
            <w:tcW w:w="464" w:type="pct"/>
            <w:vMerge/>
          </w:tcPr>
          <w:p w14:paraId="3AC50FE3" w14:textId="77777777" w:rsidR="0094644B" w:rsidRPr="00FA3F57" w:rsidRDefault="0094644B" w:rsidP="00FB5086">
            <w:pPr>
              <w:jc w:val="center"/>
              <w:rPr>
                <w:rFonts w:eastAsia="Calibri"/>
                <w:color w:val="2F5496"/>
                <w:sz w:val="18"/>
                <w:szCs w:val="18"/>
                <w:lang w:val="en-US"/>
              </w:rPr>
            </w:pPr>
          </w:p>
        </w:tc>
        <w:tc>
          <w:tcPr>
            <w:tcW w:w="564" w:type="pct"/>
            <w:vAlign w:val="center"/>
          </w:tcPr>
          <w:p w14:paraId="34FF4EE8" w14:textId="77777777" w:rsidR="0094644B" w:rsidRPr="00FA3F57" w:rsidRDefault="0094644B" w:rsidP="00FB5086">
            <w:pPr>
              <w:snapToGrid w:val="0"/>
              <w:spacing w:before="60" w:after="60"/>
              <w:ind w:firstLine="15"/>
              <w:jc w:val="right"/>
              <w:rPr>
                <w:rFonts w:eastAsia="Calibri"/>
                <w:b/>
                <w:bCs/>
                <w:color w:val="2F5496"/>
                <w:sz w:val="18"/>
                <w:szCs w:val="18"/>
                <w:lang w:val="en-US"/>
              </w:rPr>
            </w:pPr>
            <w:r w:rsidRPr="00FA3F57">
              <w:rPr>
                <w:rFonts w:eastAsia="Calibri"/>
                <w:b/>
                <w:bCs/>
                <w:color w:val="2F5496"/>
                <w:sz w:val="18"/>
                <w:szCs w:val="18"/>
                <w:lang w:val="en-US"/>
              </w:rPr>
              <w:t>2028</w:t>
            </w:r>
          </w:p>
        </w:tc>
        <w:tc>
          <w:tcPr>
            <w:tcW w:w="1336" w:type="pct"/>
            <w:vAlign w:val="center"/>
          </w:tcPr>
          <w:p w14:paraId="4182F325" w14:textId="77777777" w:rsidR="0094644B" w:rsidRPr="00FA3F57" w:rsidRDefault="0094644B" w:rsidP="00FB5086">
            <w:pPr>
              <w:spacing w:before="60" w:after="60"/>
              <w:ind w:firstLine="0"/>
              <w:jc w:val="center"/>
              <w:rPr>
                <w:rFonts w:eastAsia="Calibri"/>
                <w:color w:val="2F5496"/>
                <w:sz w:val="18"/>
                <w:szCs w:val="18"/>
                <w:lang w:val="en-US"/>
              </w:rPr>
            </w:pPr>
            <w:r w:rsidRPr="00FA3F57">
              <w:rPr>
                <w:rFonts w:eastAsia="Calibri"/>
                <w:color w:val="2F5496"/>
                <w:sz w:val="18"/>
                <w:szCs w:val="18"/>
                <w:lang w:val="en-US"/>
              </w:rPr>
              <w:t>39.8%</w:t>
            </w:r>
          </w:p>
        </w:tc>
        <w:tc>
          <w:tcPr>
            <w:tcW w:w="1270" w:type="pct"/>
            <w:vAlign w:val="center"/>
          </w:tcPr>
          <w:p w14:paraId="57B6BC9D" w14:textId="77777777" w:rsidR="0094644B" w:rsidRPr="00FA3F57" w:rsidRDefault="0094644B" w:rsidP="00FB5086">
            <w:pPr>
              <w:pStyle w:val="NormalWeb"/>
              <w:spacing w:before="60" w:beforeAutospacing="0" w:after="60" w:afterAutospacing="0"/>
              <w:ind w:firstLine="0"/>
              <w:jc w:val="center"/>
              <w:rPr>
                <w:rFonts w:eastAsia="Calibri"/>
                <w:color w:val="2F5496"/>
                <w:sz w:val="18"/>
                <w:szCs w:val="18"/>
                <w:lang w:val="en-US"/>
              </w:rPr>
            </w:pPr>
            <w:r w:rsidRPr="00FA3F57">
              <w:rPr>
                <w:rFonts w:eastAsia="Calibri"/>
                <w:color w:val="2F5496"/>
                <w:sz w:val="18"/>
                <w:szCs w:val="18"/>
                <w:lang w:val="en-US"/>
              </w:rPr>
              <w:t>41.1%</w:t>
            </w:r>
          </w:p>
        </w:tc>
        <w:tc>
          <w:tcPr>
            <w:tcW w:w="1366" w:type="pct"/>
            <w:vAlign w:val="center"/>
          </w:tcPr>
          <w:p w14:paraId="186EBBA3" w14:textId="77777777" w:rsidR="0094644B" w:rsidRPr="00FA3F57" w:rsidRDefault="0094644B" w:rsidP="00FB5086">
            <w:pPr>
              <w:pStyle w:val="NormalWeb"/>
              <w:spacing w:before="60" w:beforeAutospacing="0" w:after="60" w:afterAutospacing="0"/>
              <w:ind w:firstLine="0"/>
              <w:jc w:val="center"/>
              <w:rPr>
                <w:rFonts w:eastAsia="Calibri"/>
                <w:color w:val="2F5496"/>
                <w:sz w:val="18"/>
                <w:szCs w:val="18"/>
                <w:lang w:val="en-US"/>
              </w:rPr>
            </w:pPr>
            <w:r w:rsidRPr="00FA3F57">
              <w:rPr>
                <w:rFonts w:eastAsia="Calibri"/>
                <w:color w:val="2F5496"/>
                <w:sz w:val="18"/>
                <w:szCs w:val="18"/>
                <w:lang w:val="en-US"/>
              </w:rPr>
              <w:t>2.6%</w:t>
            </w:r>
          </w:p>
        </w:tc>
      </w:tr>
    </w:tbl>
    <w:tbl>
      <w:tblPr>
        <w:tblStyle w:val="TableGrid"/>
        <w:tblpPr w:leftFromText="180" w:rightFromText="180" w:vertAnchor="text" w:horzAnchor="margin" w:tblpXSpec="center" w:tblpY="864"/>
        <w:tblW w:w="0" w:type="auto"/>
        <w:tblLook w:val="04A0" w:firstRow="1" w:lastRow="0" w:firstColumn="1" w:lastColumn="0" w:noHBand="0" w:noVBand="1"/>
      </w:tblPr>
      <w:tblGrid>
        <w:gridCol w:w="2973"/>
        <w:gridCol w:w="5667"/>
      </w:tblGrid>
      <w:tr w:rsidR="0094644B" w:rsidRPr="00F07779" w14:paraId="40090D15" w14:textId="77777777" w:rsidTr="00FB5086">
        <w:tc>
          <w:tcPr>
            <w:tcW w:w="2973" w:type="dxa"/>
            <w:shd w:val="clear" w:color="auto" w:fill="D9D9D9" w:themeFill="background1" w:themeFillShade="D9"/>
          </w:tcPr>
          <w:p w14:paraId="71AB2535" w14:textId="77777777" w:rsidR="0094644B" w:rsidRPr="00FA3F57" w:rsidRDefault="0094644B" w:rsidP="00FB5086">
            <w:pPr>
              <w:rPr>
                <w:sz w:val="20"/>
                <w:szCs w:val="20"/>
              </w:rPr>
            </w:pPr>
            <w:r w:rsidRPr="00FA3F57">
              <w:rPr>
                <w:sz w:val="20"/>
                <w:szCs w:val="20"/>
              </w:rPr>
              <w:t>Activity RES9.1</w:t>
            </w:r>
          </w:p>
        </w:tc>
        <w:tc>
          <w:tcPr>
            <w:tcW w:w="5667" w:type="dxa"/>
            <w:shd w:val="clear" w:color="auto" w:fill="D9D9D9" w:themeFill="background1" w:themeFillShade="D9"/>
          </w:tcPr>
          <w:p w14:paraId="4DBF5412" w14:textId="77777777" w:rsidR="0094644B" w:rsidRPr="00FA3F57" w:rsidRDefault="0094644B" w:rsidP="00FB5086">
            <w:pPr>
              <w:rPr>
                <w:sz w:val="20"/>
                <w:szCs w:val="20"/>
              </w:rPr>
            </w:pPr>
            <w:r w:rsidRPr="00F07779">
              <w:rPr>
                <w:sz w:val="20"/>
                <w:szCs w:val="20"/>
              </w:rPr>
              <w:t>Amendment of the law</w:t>
            </w:r>
          </w:p>
        </w:tc>
      </w:tr>
      <w:tr w:rsidR="0094644B" w:rsidRPr="00F07779" w14:paraId="25FB8C93" w14:textId="77777777" w:rsidTr="00FB5086">
        <w:tc>
          <w:tcPr>
            <w:tcW w:w="2973" w:type="dxa"/>
          </w:tcPr>
          <w:p w14:paraId="3647B09A" w14:textId="77777777" w:rsidR="0094644B" w:rsidRPr="00FA3F57" w:rsidRDefault="0094644B" w:rsidP="00FB5086">
            <w:pPr>
              <w:rPr>
                <w:sz w:val="20"/>
                <w:szCs w:val="20"/>
              </w:rPr>
            </w:pPr>
            <w:r w:rsidRPr="00FA3F57">
              <w:rPr>
                <w:sz w:val="20"/>
                <w:szCs w:val="20"/>
              </w:rPr>
              <w:t>Description</w:t>
            </w:r>
          </w:p>
        </w:tc>
        <w:tc>
          <w:tcPr>
            <w:tcW w:w="5667" w:type="dxa"/>
          </w:tcPr>
          <w:p w14:paraId="774ED2D7" w14:textId="77777777" w:rsidR="0094644B" w:rsidRPr="00FA3F57" w:rsidRDefault="0094644B" w:rsidP="00FB5086">
            <w:pPr>
              <w:rPr>
                <w:sz w:val="20"/>
                <w:szCs w:val="20"/>
              </w:rPr>
            </w:pPr>
            <w:r w:rsidRPr="00F07779">
              <w:rPr>
                <w:sz w:val="20"/>
                <w:szCs w:val="20"/>
              </w:rPr>
              <w:t>In 2026, it is planned to adopt Amendments and Supplements to the Law on the Use of RES, which will transpose parts of Directive (EU) 2023/2413 of the European Parliament and of the Council (RED III Directive), with a focus on the requirements of Articles 15 and 16.</w:t>
            </w:r>
          </w:p>
        </w:tc>
      </w:tr>
      <w:tr w:rsidR="0094644B" w:rsidRPr="00F07779" w14:paraId="70D86AEB" w14:textId="77777777" w:rsidTr="00FB5086">
        <w:tc>
          <w:tcPr>
            <w:tcW w:w="2973" w:type="dxa"/>
          </w:tcPr>
          <w:p w14:paraId="3E4CB0A7" w14:textId="77777777" w:rsidR="0094644B" w:rsidRPr="00FA3F57" w:rsidRDefault="0094644B" w:rsidP="00FB5086">
            <w:pPr>
              <w:rPr>
                <w:sz w:val="20"/>
                <w:szCs w:val="20"/>
              </w:rPr>
            </w:pPr>
            <w:r w:rsidRPr="00FA3F57">
              <w:rPr>
                <w:sz w:val="20"/>
                <w:szCs w:val="20"/>
              </w:rPr>
              <w:t>Institutions responsible for the implementation of measures and activities</w:t>
            </w:r>
          </w:p>
        </w:tc>
        <w:tc>
          <w:tcPr>
            <w:tcW w:w="5667" w:type="dxa"/>
          </w:tcPr>
          <w:p w14:paraId="1F21DAED" w14:textId="77777777" w:rsidR="0094644B" w:rsidRPr="00FA3F57" w:rsidRDefault="0094644B" w:rsidP="00FB5086">
            <w:pPr>
              <w:rPr>
                <w:sz w:val="20"/>
                <w:szCs w:val="20"/>
              </w:rPr>
            </w:pPr>
            <w:r w:rsidRPr="00FA3F57">
              <w:rPr>
                <w:sz w:val="20"/>
                <w:szCs w:val="20"/>
              </w:rPr>
              <w:t>Ministry of Mining and Energy</w:t>
            </w:r>
          </w:p>
        </w:tc>
      </w:tr>
      <w:tr w:rsidR="0094644B" w:rsidRPr="00F07779" w14:paraId="4068C71F" w14:textId="77777777" w:rsidTr="00FB5086">
        <w:tc>
          <w:tcPr>
            <w:tcW w:w="2973" w:type="dxa"/>
          </w:tcPr>
          <w:p w14:paraId="398ABBBF" w14:textId="77777777" w:rsidR="0094644B" w:rsidRPr="00FA3F57" w:rsidRDefault="0094644B" w:rsidP="00FB5086">
            <w:pPr>
              <w:rPr>
                <w:sz w:val="20"/>
                <w:szCs w:val="20"/>
              </w:rPr>
            </w:pPr>
            <w:r w:rsidRPr="00FA3F57">
              <w:rPr>
                <w:sz w:val="20"/>
                <w:szCs w:val="20"/>
              </w:rPr>
              <w:t>Institutions responsible for monitoring implementation and reporting on the realization</w:t>
            </w:r>
          </w:p>
        </w:tc>
        <w:tc>
          <w:tcPr>
            <w:tcW w:w="5667" w:type="dxa"/>
          </w:tcPr>
          <w:p w14:paraId="1A516A54" w14:textId="77777777" w:rsidR="0094644B" w:rsidRPr="00FA3F57" w:rsidRDefault="0094644B" w:rsidP="00FB5086">
            <w:pPr>
              <w:rPr>
                <w:sz w:val="20"/>
                <w:szCs w:val="20"/>
              </w:rPr>
            </w:pPr>
            <w:r w:rsidRPr="00FA3F57">
              <w:rPr>
                <w:sz w:val="20"/>
                <w:szCs w:val="20"/>
              </w:rPr>
              <w:t>Ministry of Mining and Energy</w:t>
            </w:r>
          </w:p>
        </w:tc>
      </w:tr>
      <w:tr w:rsidR="0094644B" w:rsidRPr="00F07779" w14:paraId="2B914A62" w14:textId="77777777" w:rsidTr="00FB5086">
        <w:tc>
          <w:tcPr>
            <w:tcW w:w="2973" w:type="dxa"/>
          </w:tcPr>
          <w:p w14:paraId="0EABC95B" w14:textId="77777777" w:rsidR="0094644B" w:rsidRPr="00FA3F57" w:rsidRDefault="0094644B" w:rsidP="00FB5086">
            <w:pPr>
              <w:rPr>
                <w:sz w:val="20"/>
                <w:szCs w:val="20"/>
              </w:rPr>
            </w:pPr>
            <w:r w:rsidRPr="00FA3F57">
              <w:rPr>
                <w:sz w:val="20"/>
                <w:szCs w:val="20"/>
              </w:rPr>
              <w:t>Deadline for implementation</w:t>
            </w:r>
          </w:p>
        </w:tc>
        <w:tc>
          <w:tcPr>
            <w:tcW w:w="5667" w:type="dxa"/>
          </w:tcPr>
          <w:p w14:paraId="6F585A68" w14:textId="77777777" w:rsidR="0094644B" w:rsidRPr="00FA3F57" w:rsidRDefault="0094644B" w:rsidP="00FB5086">
            <w:pPr>
              <w:rPr>
                <w:sz w:val="20"/>
                <w:szCs w:val="20"/>
              </w:rPr>
            </w:pPr>
            <w:r w:rsidRPr="00FA3F57">
              <w:rPr>
                <w:sz w:val="20"/>
                <w:szCs w:val="20"/>
              </w:rPr>
              <w:t>Permanent activities (2026-2028)</w:t>
            </w:r>
          </w:p>
        </w:tc>
      </w:tr>
      <w:tr w:rsidR="0094644B" w:rsidRPr="00F07779" w14:paraId="2CC4F40D" w14:textId="77777777" w:rsidTr="00FB5086">
        <w:tc>
          <w:tcPr>
            <w:tcW w:w="2973" w:type="dxa"/>
          </w:tcPr>
          <w:p w14:paraId="7FDF5C27" w14:textId="77777777" w:rsidR="0094644B" w:rsidRPr="00FA3F57" w:rsidRDefault="0094644B" w:rsidP="00FB5086">
            <w:pPr>
              <w:rPr>
                <w:sz w:val="20"/>
                <w:szCs w:val="20"/>
              </w:rPr>
            </w:pPr>
            <w:r w:rsidRPr="00FA3F57">
              <w:rPr>
                <w:sz w:val="20"/>
                <w:szCs w:val="20"/>
              </w:rPr>
              <w:t>Required funds and source of financing</w:t>
            </w:r>
          </w:p>
        </w:tc>
        <w:tc>
          <w:tcPr>
            <w:tcW w:w="5667" w:type="dxa"/>
          </w:tcPr>
          <w:p w14:paraId="36DF3A1B" w14:textId="77777777" w:rsidR="0094644B" w:rsidRPr="00FA3F57" w:rsidRDefault="0094644B" w:rsidP="00FB5086">
            <w:pPr>
              <w:rPr>
                <w:sz w:val="20"/>
                <w:szCs w:val="20"/>
              </w:rPr>
            </w:pPr>
            <w:r w:rsidRPr="00FA3F57">
              <w:rPr>
                <w:sz w:val="20"/>
                <w:szCs w:val="20"/>
              </w:rPr>
              <w:t>The measure does not require special funds.</w:t>
            </w:r>
          </w:p>
        </w:tc>
      </w:tr>
      <w:tr w:rsidR="0094644B" w:rsidRPr="00F07779" w14:paraId="5F02B81C" w14:textId="77777777" w:rsidTr="00FB5086">
        <w:tc>
          <w:tcPr>
            <w:tcW w:w="2973" w:type="dxa"/>
          </w:tcPr>
          <w:p w14:paraId="1AD37330" w14:textId="77777777" w:rsidR="0094644B" w:rsidRPr="00FA3F57" w:rsidRDefault="0094644B" w:rsidP="00FB5086">
            <w:pPr>
              <w:rPr>
                <w:sz w:val="20"/>
                <w:szCs w:val="20"/>
              </w:rPr>
            </w:pPr>
            <w:r w:rsidRPr="00FA3F57">
              <w:rPr>
                <w:sz w:val="20"/>
                <w:szCs w:val="20"/>
              </w:rPr>
              <w:t>Implementation indicator</w:t>
            </w:r>
          </w:p>
        </w:tc>
        <w:tc>
          <w:tcPr>
            <w:tcW w:w="5667" w:type="dxa"/>
          </w:tcPr>
          <w:p w14:paraId="3CF6B175" w14:textId="77777777" w:rsidR="0094644B" w:rsidRPr="00FA3F57" w:rsidRDefault="0094644B" w:rsidP="00FB5086">
            <w:pPr>
              <w:rPr>
                <w:sz w:val="20"/>
                <w:szCs w:val="20"/>
              </w:rPr>
            </w:pPr>
            <w:r w:rsidRPr="00FA3F57">
              <w:rPr>
                <w:sz w:val="20"/>
                <w:szCs w:val="20"/>
              </w:rPr>
              <w:t>Implementation phase:</w:t>
            </w:r>
          </w:p>
        </w:tc>
      </w:tr>
      <w:tr w:rsidR="0094644B" w:rsidRPr="00F07779" w14:paraId="71A0100A" w14:textId="77777777" w:rsidTr="00FB5086">
        <w:tc>
          <w:tcPr>
            <w:tcW w:w="2973" w:type="dxa"/>
          </w:tcPr>
          <w:p w14:paraId="065DE583" w14:textId="77777777" w:rsidR="0094644B" w:rsidRPr="00FA3F57" w:rsidRDefault="0094644B" w:rsidP="00FB5086">
            <w:pPr>
              <w:rPr>
                <w:sz w:val="20"/>
                <w:szCs w:val="20"/>
              </w:rPr>
            </w:pPr>
            <w:r w:rsidRPr="00FA3F57">
              <w:rPr>
                <w:sz w:val="20"/>
                <w:szCs w:val="20"/>
              </w:rPr>
              <w:t>Required funds and source of financing</w:t>
            </w:r>
          </w:p>
        </w:tc>
        <w:tc>
          <w:tcPr>
            <w:tcW w:w="5667" w:type="dxa"/>
          </w:tcPr>
          <w:p w14:paraId="5B3A962D" w14:textId="77777777" w:rsidR="0094644B" w:rsidRPr="00FA3F57" w:rsidRDefault="0094644B" w:rsidP="00FB5086">
            <w:pPr>
              <w:rPr>
                <w:sz w:val="20"/>
                <w:szCs w:val="20"/>
              </w:rPr>
            </w:pPr>
            <w:r w:rsidRPr="00F07779">
              <w:rPr>
                <w:sz w:val="20"/>
                <w:szCs w:val="20"/>
              </w:rPr>
              <w:t>Drafting, proposal preparation, adoption, and approval</w:t>
            </w:r>
          </w:p>
        </w:tc>
      </w:tr>
      <w:tr w:rsidR="0094644B" w:rsidRPr="00F07779" w14:paraId="1AC179EA" w14:textId="77777777" w:rsidTr="00FB5086">
        <w:tc>
          <w:tcPr>
            <w:tcW w:w="2973" w:type="dxa"/>
          </w:tcPr>
          <w:p w14:paraId="24944BB7" w14:textId="77777777" w:rsidR="0094644B" w:rsidRPr="00FA3F57" w:rsidRDefault="0094644B" w:rsidP="00FB5086">
            <w:pPr>
              <w:rPr>
                <w:sz w:val="20"/>
                <w:szCs w:val="20"/>
              </w:rPr>
            </w:pPr>
            <w:r w:rsidRPr="00FA3F57">
              <w:rPr>
                <w:sz w:val="20"/>
                <w:szCs w:val="20"/>
              </w:rPr>
              <w:t>Impact on EE, climate, and environmental protection</w:t>
            </w:r>
          </w:p>
        </w:tc>
        <w:tc>
          <w:tcPr>
            <w:tcW w:w="5667" w:type="dxa"/>
          </w:tcPr>
          <w:p w14:paraId="68297D86" w14:textId="77777777" w:rsidR="0094644B" w:rsidRPr="00FA3F57" w:rsidRDefault="0094644B" w:rsidP="00FB5086">
            <w:pPr>
              <w:rPr>
                <w:sz w:val="20"/>
                <w:szCs w:val="20"/>
              </w:rPr>
            </w:pPr>
            <w:r w:rsidRPr="00F07779">
              <w:rPr>
                <w:sz w:val="20"/>
                <w:szCs w:val="20"/>
              </w:rPr>
              <w:t xml:space="preserve">The improvement of the regulatory framework through the adoption of the </w:t>
            </w:r>
            <w:proofErr w:type="gramStart"/>
            <w:r w:rsidRPr="00F07779">
              <w:rPr>
                <w:sz w:val="20"/>
                <w:szCs w:val="20"/>
              </w:rPr>
              <w:t>aforementioned and</w:t>
            </w:r>
            <w:proofErr w:type="gramEnd"/>
            <w:r w:rsidRPr="00F07779">
              <w:rPr>
                <w:sz w:val="20"/>
                <w:szCs w:val="20"/>
              </w:rPr>
              <w:t xml:space="preserve"> described subordinate legislation integrally contributes to the secure supply of electricity to the domestic market.</w:t>
            </w:r>
          </w:p>
        </w:tc>
      </w:tr>
    </w:tbl>
    <w:p w14:paraId="0B6EBFA2" w14:textId="77777777" w:rsidR="0094644B" w:rsidRPr="00F07779" w:rsidRDefault="0094644B" w:rsidP="0094644B">
      <w:pPr>
        <w:tabs>
          <w:tab w:val="left" w:pos="1276"/>
          <w:tab w:val="left" w:pos="1560"/>
        </w:tabs>
        <w:spacing w:before="120" w:after="60"/>
        <w:jc w:val="both"/>
      </w:pPr>
    </w:p>
    <w:p w14:paraId="32BA511D" w14:textId="77777777" w:rsidR="0094644B" w:rsidRPr="00FA3F57" w:rsidRDefault="0094644B" w:rsidP="0094644B">
      <w:pPr>
        <w:tabs>
          <w:tab w:val="left" w:pos="1276"/>
          <w:tab w:val="left" w:pos="1560"/>
        </w:tabs>
        <w:spacing w:before="120" w:after="60"/>
        <w:jc w:val="both"/>
      </w:pPr>
      <w:r w:rsidRPr="00FA3F57">
        <w:t>Table 5.3.3-1:</w:t>
      </w:r>
      <w:r w:rsidRPr="00FA3F57">
        <w:tab/>
        <w:t xml:space="preserve">Activities for implementing </w:t>
      </w:r>
      <w:proofErr w:type="gramStart"/>
      <w:r w:rsidRPr="00FA3F57">
        <w:t>the measure</w:t>
      </w:r>
      <w:proofErr w:type="gramEnd"/>
      <w:r w:rsidRPr="00FA3F57">
        <w:t xml:space="preserve"> RES9- Activity RES9.1</w:t>
      </w:r>
    </w:p>
    <w:p w14:paraId="30C6A645" w14:textId="77777777" w:rsidR="0094644B" w:rsidRPr="00F07779" w:rsidRDefault="0094644B" w:rsidP="0094644B">
      <w:pPr>
        <w:jc w:val="both"/>
        <w:sectPr w:rsidR="0094644B" w:rsidRPr="00F07779" w:rsidSect="0094644B">
          <w:footerReference w:type="even" r:id="rId15"/>
          <w:footerReference w:type="default" r:id="rId16"/>
          <w:pgSz w:w="11900" w:h="16840"/>
          <w:pgMar w:top="1134" w:right="1134" w:bottom="1134" w:left="1134" w:header="709" w:footer="709" w:gutter="907"/>
          <w:cols w:space="708"/>
          <w:titlePg/>
          <w:docGrid w:linePitch="360"/>
        </w:sectPr>
      </w:pPr>
    </w:p>
    <w:p w14:paraId="4FE56BA6" w14:textId="77777777" w:rsidR="0094644B" w:rsidRPr="00FA3F57" w:rsidRDefault="0094644B" w:rsidP="0094644B">
      <w:pPr>
        <w:tabs>
          <w:tab w:val="left" w:pos="1276"/>
          <w:tab w:val="left" w:pos="1560"/>
        </w:tabs>
        <w:spacing w:before="120" w:after="60"/>
        <w:jc w:val="both"/>
      </w:pPr>
      <w:r w:rsidRPr="00FA3F57">
        <w:lastRenderedPageBreak/>
        <w:t>Table 5.3.3-2:</w:t>
      </w:r>
      <w:r w:rsidRPr="00FA3F57">
        <w:tab/>
        <w:t xml:space="preserve">Activities for implementing </w:t>
      </w:r>
      <w:proofErr w:type="gramStart"/>
      <w:r w:rsidRPr="00FA3F57">
        <w:t>the measure</w:t>
      </w:r>
      <w:proofErr w:type="gramEnd"/>
      <w:r w:rsidRPr="00FA3F57">
        <w:t xml:space="preserve"> RES9- Activity RES9.2</w:t>
      </w:r>
    </w:p>
    <w:tbl>
      <w:tblPr>
        <w:tblStyle w:val="TableGrid"/>
        <w:tblW w:w="0" w:type="auto"/>
        <w:tblLook w:val="04A0" w:firstRow="1" w:lastRow="0" w:firstColumn="1" w:lastColumn="0" w:noHBand="0" w:noVBand="1"/>
      </w:tblPr>
      <w:tblGrid>
        <w:gridCol w:w="2973"/>
        <w:gridCol w:w="5667"/>
      </w:tblGrid>
      <w:tr w:rsidR="0094644B" w:rsidRPr="00F07779" w14:paraId="5A697205" w14:textId="77777777" w:rsidTr="00FB5086">
        <w:tc>
          <w:tcPr>
            <w:tcW w:w="2973" w:type="dxa"/>
            <w:shd w:val="clear" w:color="auto" w:fill="D9D9D9" w:themeFill="background1" w:themeFillShade="D9"/>
          </w:tcPr>
          <w:p w14:paraId="2F5F9D31" w14:textId="77777777" w:rsidR="0094644B" w:rsidRPr="00FA3F57" w:rsidRDefault="0094644B" w:rsidP="00FB5086">
            <w:pPr>
              <w:rPr>
                <w:sz w:val="20"/>
                <w:szCs w:val="20"/>
              </w:rPr>
            </w:pPr>
            <w:r w:rsidRPr="00FA3F57">
              <w:rPr>
                <w:sz w:val="20"/>
                <w:szCs w:val="20"/>
              </w:rPr>
              <w:t>Activity RES9.2</w:t>
            </w:r>
          </w:p>
        </w:tc>
        <w:tc>
          <w:tcPr>
            <w:tcW w:w="5667" w:type="dxa"/>
            <w:shd w:val="clear" w:color="auto" w:fill="D9D9D9" w:themeFill="background1" w:themeFillShade="D9"/>
          </w:tcPr>
          <w:p w14:paraId="021E2B22" w14:textId="77777777" w:rsidR="0094644B" w:rsidRPr="00FA3F57" w:rsidRDefault="0094644B" w:rsidP="00FB5086">
            <w:pPr>
              <w:rPr>
                <w:sz w:val="20"/>
                <w:szCs w:val="20"/>
              </w:rPr>
            </w:pPr>
            <w:r w:rsidRPr="00F07779">
              <w:rPr>
                <w:sz w:val="20"/>
                <w:szCs w:val="20"/>
              </w:rPr>
              <w:t>Enactment of secondary legislation</w:t>
            </w:r>
          </w:p>
        </w:tc>
      </w:tr>
      <w:tr w:rsidR="0094644B" w:rsidRPr="00F07779" w14:paraId="327E7D81" w14:textId="77777777" w:rsidTr="00FB5086">
        <w:tc>
          <w:tcPr>
            <w:tcW w:w="2973" w:type="dxa"/>
          </w:tcPr>
          <w:p w14:paraId="1A480C47" w14:textId="77777777" w:rsidR="0094644B" w:rsidRPr="00FA3F57" w:rsidRDefault="0094644B" w:rsidP="00FB5086">
            <w:pPr>
              <w:rPr>
                <w:sz w:val="20"/>
                <w:szCs w:val="20"/>
              </w:rPr>
            </w:pPr>
            <w:r w:rsidRPr="00FA3F57">
              <w:rPr>
                <w:sz w:val="20"/>
                <w:szCs w:val="20"/>
              </w:rPr>
              <w:t>Description</w:t>
            </w:r>
          </w:p>
        </w:tc>
        <w:tc>
          <w:tcPr>
            <w:tcW w:w="5667" w:type="dxa"/>
          </w:tcPr>
          <w:p w14:paraId="590BBDD5" w14:textId="77777777" w:rsidR="0094644B" w:rsidRPr="00FA3F57" w:rsidRDefault="0094644B" w:rsidP="00FB5086">
            <w:pPr>
              <w:rPr>
                <w:sz w:val="20"/>
                <w:szCs w:val="20"/>
              </w:rPr>
            </w:pPr>
            <w:r w:rsidRPr="00F07779">
              <w:rPr>
                <w:sz w:val="20"/>
                <w:szCs w:val="20"/>
              </w:rPr>
              <w:t>During 2026, subordinate legislation concerning the certification of installers of plants utilizing renewable energy sources will be enacted, in accordance with the Energy Law and Annex 4 of the RED III Directive.</w:t>
            </w:r>
          </w:p>
        </w:tc>
      </w:tr>
      <w:tr w:rsidR="0094644B" w:rsidRPr="00F07779" w14:paraId="31B90C0F" w14:textId="77777777" w:rsidTr="00FB5086">
        <w:tc>
          <w:tcPr>
            <w:tcW w:w="2973" w:type="dxa"/>
          </w:tcPr>
          <w:p w14:paraId="39A191A2" w14:textId="77777777" w:rsidR="0094644B" w:rsidRPr="00FA3F57" w:rsidRDefault="0094644B" w:rsidP="00FB5086">
            <w:pPr>
              <w:rPr>
                <w:sz w:val="20"/>
                <w:szCs w:val="20"/>
              </w:rPr>
            </w:pPr>
            <w:r w:rsidRPr="00FA3F57">
              <w:rPr>
                <w:sz w:val="20"/>
                <w:szCs w:val="20"/>
              </w:rPr>
              <w:t>Institutions responsible for the implementation of measures and activities</w:t>
            </w:r>
          </w:p>
        </w:tc>
        <w:tc>
          <w:tcPr>
            <w:tcW w:w="5667" w:type="dxa"/>
          </w:tcPr>
          <w:p w14:paraId="065CD08B" w14:textId="77777777" w:rsidR="0094644B" w:rsidRPr="00FA3F57" w:rsidRDefault="0094644B" w:rsidP="00FB5086">
            <w:pPr>
              <w:rPr>
                <w:sz w:val="20"/>
                <w:szCs w:val="20"/>
              </w:rPr>
            </w:pPr>
            <w:r w:rsidRPr="00FA3F57">
              <w:rPr>
                <w:sz w:val="20"/>
                <w:szCs w:val="20"/>
              </w:rPr>
              <w:t>Ministry of Mining and Energy</w:t>
            </w:r>
          </w:p>
        </w:tc>
      </w:tr>
      <w:tr w:rsidR="0094644B" w:rsidRPr="00F07779" w14:paraId="4B5A6B39" w14:textId="77777777" w:rsidTr="00FB5086">
        <w:tc>
          <w:tcPr>
            <w:tcW w:w="2973" w:type="dxa"/>
          </w:tcPr>
          <w:p w14:paraId="231071B2" w14:textId="77777777" w:rsidR="0094644B" w:rsidRPr="00FA3F57" w:rsidRDefault="0094644B" w:rsidP="00FB5086">
            <w:pPr>
              <w:rPr>
                <w:sz w:val="20"/>
                <w:szCs w:val="20"/>
              </w:rPr>
            </w:pPr>
            <w:r w:rsidRPr="00FA3F57">
              <w:rPr>
                <w:sz w:val="20"/>
                <w:szCs w:val="20"/>
              </w:rPr>
              <w:t>Institutions responsible for monitoring implementation and reporting on the realization</w:t>
            </w:r>
          </w:p>
        </w:tc>
        <w:tc>
          <w:tcPr>
            <w:tcW w:w="5667" w:type="dxa"/>
          </w:tcPr>
          <w:p w14:paraId="48E66FC3" w14:textId="77777777" w:rsidR="0094644B" w:rsidRPr="00FA3F57" w:rsidRDefault="0094644B" w:rsidP="00FB5086">
            <w:pPr>
              <w:rPr>
                <w:sz w:val="20"/>
                <w:szCs w:val="20"/>
              </w:rPr>
            </w:pPr>
            <w:r w:rsidRPr="00FA3F57">
              <w:rPr>
                <w:sz w:val="20"/>
                <w:szCs w:val="20"/>
              </w:rPr>
              <w:t>Ministry of Mining and Energy</w:t>
            </w:r>
          </w:p>
        </w:tc>
      </w:tr>
      <w:tr w:rsidR="0094644B" w:rsidRPr="00F07779" w14:paraId="58DA5701" w14:textId="77777777" w:rsidTr="00FB5086">
        <w:tc>
          <w:tcPr>
            <w:tcW w:w="2973" w:type="dxa"/>
          </w:tcPr>
          <w:p w14:paraId="66D04C50" w14:textId="77777777" w:rsidR="0094644B" w:rsidRPr="00FA3F57" w:rsidRDefault="0094644B" w:rsidP="00FB5086">
            <w:pPr>
              <w:rPr>
                <w:sz w:val="20"/>
                <w:szCs w:val="20"/>
              </w:rPr>
            </w:pPr>
            <w:r w:rsidRPr="00FA3F57">
              <w:rPr>
                <w:sz w:val="20"/>
                <w:szCs w:val="20"/>
              </w:rPr>
              <w:t>Deadline for implementation</w:t>
            </w:r>
          </w:p>
        </w:tc>
        <w:tc>
          <w:tcPr>
            <w:tcW w:w="5667" w:type="dxa"/>
          </w:tcPr>
          <w:p w14:paraId="600C7466" w14:textId="77777777" w:rsidR="0094644B" w:rsidRPr="00FA3F57" w:rsidRDefault="0094644B" w:rsidP="00FB5086">
            <w:pPr>
              <w:rPr>
                <w:sz w:val="20"/>
                <w:szCs w:val="20"/>
              </w:rPr>
            </w:pPr>
            <w:r w:rsidRPr="00FA3F57">
              <w:rPr>
                <w:sz w:val="20"/>
                <w:szCs w:val="20"/>
              </w:rPr>
              <w:t>Permanent activities (2026-2028)</w:t>
            </w:r>
          </w:p>
        </w:tc>
      </w:tr>
      <w:tr w:rsidR="0094644B" w:rsidRPr="00F07779" w14:paraId="09A9E1AC" w14:textId="77777777" w:rsidTr="00FB5086">
        <w:tc>
          <w:tcPr>
            <w:tcW w:w="2973" w:type="dxa"/>
          </w:tcPr>
          <w:p w14:paraId="4B48950F" w14:textId="77777777" w:rsidR="0094644B" w:rsidRPr="00FA3F57" w:rsidRDefault="0094644B" w:rsidP="00FB5086">
            <w:pPr>
              <w:rPr>
                <w:sz w:val="20"/>
                <w:szCs w:val="20"/>
              </w:rPr>
            </w:pPr>
            <w:r w:rsidRPr="00FA3F57">
              <w:rPr>
                <w:sz w:val="20"/>
                <w:szCs w:val="20"/>
              </w:rPr>
              <w:t>Required funds and source of financing</w:t>
            </w:r>
          </w:p>
        </w:tc>
        <w:tc>
          <w:tcPr>
            <w:tcW w:w="5667" w:type="dxa"/>
          </w:tcPr>
          <w:p w14:paraId="3A8B362B" w14:textId="77777777" w:rsidR="0094644B" w:rsidRPr="00FA3F57" w:rsidRDefault="0094644B" w:rsidP="00FB5086">
            <w:pPr>
              <w:rPr>
                <w:sz w:val="20"/>
                <w:szCs w:val="20"/>
              </w:rPr>
            </w:pPr>
            <w:r w:rsidRPr="00FA3F57">
              <w:rPr>
                <w:sz w:val="20"/>
                <w:szCs w:val="20"/>
              </w:rPr>
              <w:t>The measure does not require special funds.</w:t>
            </w:r>
          </w:p>
        </w:tc>
      </w:tr>
      <w:tr w:rsidR="0094644B" w:rsidRPr="00F07779" w14:paraId="622465D1" w14:textId="77777777" w:rsidTr="00FB5086">
        <w:tc>
          <w:tcPr>
            <w:tcW w:w="2973" w:type="dxa"/>
          </w:tcPr>
          <w:p w14:paraId="554332FD" w14:textId="77777777" w:rsidR="0094644B" w:rsidRPr="00FA3F57" w:rsidRDefault="0094644B" w:rsidP="00FB5086">
            <w:pPr>
              <w:rPr>
                <w:sz w:val="20"/>
                <w:szCs w:val="20"/>
              </w:rPr>
            </w:pPr>
            <w:r w:rsidRPr="00FA3F57">
              <w:rPr>
                <w:sz w:val="20"/>
                <w:szCs w:val="20"/>
              </w:rPr>
              <w:t>Implementation indicator</w:t>
            </w:r>
          </w:p>
        </w:tc>
        <w:tc>
          <w:tcPr>
            <w:tcW w:w="5667" w:type="dxa"/>
          </w:tcPr>
          <w:p w14:paraId="0E07F3E6" w14:textId="77777777" w:rsidR="0094644B" w:rsidRPr="00FA3F57" w:rsidRDefault="0094644B" w:rsidP="00FB5086">
            <w:pPr>
              <w:rPr>
                <w:sz w:val="20"/>
                <w:szCs w:val="20"/>
              </w:rPr>
            </w:pPr>
            <w:r w:rsidRPr="00FA3F57">
              <w:rPr>
                <w:sz w:val="20"/>
                <w:szCs w:val="20"/>
              </w:rPr>
              <w:t>Implementation phase:</w:t>
            </w:r>
          </w:p>
        </w:tc>
      </w:tr>
      <w:tr w:rsidR="0094644B" w:rsidRPr="00F07779" w14:paraId="7CFAA4B4" w14:textId="77777777" w:rsidTr="00FB5086">
        <w:tc>
          <w:tcPr>
            <w:tcW w:w="2973" w:type="dxa"/>
          </w:tcPr>
          <w:p w14:paraId="2962E3A9" w14:textId="77777777" w:rsidR="0094644B" w:rsidRPr="00FA3F57" w:rsidRDefault="0094644B" w:rsidP="00FB5086">
            <w:pPr>
              <w:rPr>
                <w:sz w:val="20"/>
                <w:szCs w:val="20"/>
              </w:rPr>
            </w:pPr>
            <w:r w:rsidRPr="00FA3F57">
              <w:rPr>
                <w:sz w:val="20"/>
                <w:szCs w:val="20"/>
              </w:rPr>
              <w:t>Required funds and source of financing</w:t>
            </w:r>
          </w:p>
        </w:tc>
        <w:tc>
          <w:tcPr>
            <w:tcW w:w="5667" w:type="dxa"/>
          </w:tcPr>
          <w:p w14:paraId="51C490FA" w14:textId="77777777" w:rsidR="0094644B" w:rsidRPr="00FA3F57" w:rsidRDefault="0094644B" w:rsidP="00FB5086">
            <w:pPr>
              <w:rPr>
                <w:sz w:val="20"/>
                <w:szCs w:val="20"/>
              </w:rPr>
            </w:pPr>
            <w:r w:rsidRPr="00F07779">
              <w:rPr>
                <w:sz w:val="20"/>
                <w:szCs w:val="20"/>
              </w:rPr>
              <w:t>Drafting, proposal development, adoption, and approval</w:t>
            </w:r>
          </w:p>
        </w:tc>
      </w:tr>
      <w:tr w:rsidR="0094644B" w:rsidRPr="00F07779" w14:paraId="1DFA51DA" w14:textId="77777777" w:rsidTr="00FB5086">
        <w:tc>
          <w:tcPr>
            <w:tcW w:w="2973" w:type="dxa"/>
          </w:tcPr>
          <w:p w14:paraId="368D7E15" w14:textId="77777777" w:rsidR="0094644B" w:rsidRPr="00FA3F57" w:rsidRDefault="0094644B" w:rsidP="00FB5086">
            <w:pPr>
              <w:rPr>
                <w:sz w:val="20"/>
                <w:szCs w:val="20"/>
              </w:rPr>
            </w:pPr>
            <w:r w:rsidRPr="00FA3F57">
              <w:rPr>
                <w:sz w:val="20"/>
                <w:szCs w:val="20"/>
              </w:rPr>
              <w:t>Impact on EE, climate, and environmental protection</w:t>
            </w:r>
          </w:p>
        </w:tc>
        <w:tc>
          <w:tcPr>
            <w:tcW w:w="5667" w:type="dxa"/>
          </w:tcPr>
          <w:p w14:paraId="6D2ACCA9" w14:textId="77777777" w:rsidR="0094644B" w:rsidRPr="00FA3F57" w:rsidRDefault="0094644B" w:rsidP="00FB5086">
            <w:pPr>
              <w:rPr>
                <w:sz w:val="20"/>
                <w:szCs w:val="20"/>
              </w:rPr>
            </w:pPr>
            <w:r w:rsidRPr="00F07779">
              <w:rPr>
                <w:sz w:val="20"/>
                <w:szCs w:val="20"/>
              </w:rPr>
              <w:t xml:space="preserve">The improvement of the regulatory framework through the adoption of the </w:t>
            </w:r>
            <w:proofErr w:type="gramStart"/>
            <w:r w:rsidRPr="00F07779">
              <w:rPr>
                <w:sz w:val="20"/>
                <w:szCs w:val="20"/>
              </w:rPr>
              <w:t>aforementioned and</w:t>
            </w:r>
            <w:proofErr w:type="gramEnd"/>
            <w:r w:rsidRPr="00F07779">
              <w:rPr>
                <w:sz w:val="20"/>
                <w:szCs w:val="20"/>
              </w:rPr>
              <w:t xml:space="preserve"> described subordinate legislation integrally contributes to the secure supply of electricity to the domestic market.</w:t>
            </w:r>
          </w:p>
        </w:tc>
      </w:tr>
    </w:tbl>
    <w:p w14:paraId="2722E5BF" w14:textId="77777777" w:rsidR="0094644B" w:rsidRPr="00FA3F57" w:rsidRDefault="0094644B" w:rsidP="0094644B"/>
    <w:p w14:paraId="00D4AA28" w14:textId="77777777" w:rsidR="0094644B" w:rsidRPr="00FA3F57" w:rsidRDefault="0094644B" w:rsidP="0094644B">
      <w:pPr>
        <w:tabs>
          <w:tab w:val="left" w:pos="1276"/>
          <w:tab w:val="left" w:pos="1560"/>
        </w:tabs>
        <w:spacing w:before="120" w:after="60"/>
        <w:jc w:val="both"/>
      </w:pPr>
      <w:r w:rsidRPr="00FA3F57">
        <w:t>Table 5.3.3-3:</w:t>
      </w:r>
      <w:r w:rsidRPr="00FA3F57">
        <w:tab/>
        <w:t>Activities for implementing the measure RES9- Activity RES9.3</w:t>
      </w:r>
    </w:p>
    <w:tbl>
      <w:tblPr>
        <w:tblStyle w:val="TableGrid"/>
        <w:tblW w:w="0" w:type="auto"/>
        <w:tblLook w:val="04A0" w:firstRow="1" w:lastRow="0" w:firstColumn="1" w:lastColumn="0" w:noHBand="0" w:noVBand="1"/>
      </w:tblPr>
      <w:tblGrid>
        <w:gridCol w:w="2973"/>
        <w:gridCol w:w="5667"/>
      </w:tblGrid>
      <w:tr w:rsidR="0094644B" w:rsidRPr="00F07779" w14:paraId="01D39A13" w14:textId="77777777" w:rsidTr="00FB5086">
        <w:tc>
          <w:tcPr>
            <w:tcW w:w="2973" w:type="dxa"/>
            <w:shd w:val="clear" w:color="auto" w:fill="D9D9D9" w:themeFill="background1" w:themeFillShade="D9"/>
          </w:tcPr>
          <w:p w14:paraId="799064DE" w14:textId="77777777" w:rsidR="0094644B" w:rsidRPr="00FA3F57" w:rsidRDefault="0094644B" w:rsidP="00FB5086">
            <w:pPr>
              <w:rPr>
                <w:sz w:val="20"/>
                <w:szCs w:val="20"/>
              </w:rPr>
            </w:pPr>
            <w:r w:rsidRPr="00FA3F57">
              <w:rPr>
                <w:sz w:val="20"/>
                <w:szCs w:val="20"/>
              </w:rPr>
              <w:t>Activity RES9.3</w:t>
            </w:r>
          </w:p>
        </w:tc>
        <w:tc>
          <w:tcPr>
            <w:tcW w:w="5667" w:type="dxa"/>
            <w:shd w:val="clear" w:color="auto" w:fill="D9D9D9" w:themeFill="background1" w:themeFillShade="D9"/>
          </w:tcPr>
          <w:p w14:paraId="337A9C86" w14:textId="77777777" w:rsidR="0094644B" w:rsidRPr="00FA3F57" w:rsidRDefault="0094644B" w:rsidP="00FB5086">
            <w:pPr>
              <w:rPr>
                <w:sz w:val="20"/>
                <w:szCs w:val="20"/>
              </w:rPr>
            </w:pPr>
            <w:r w:rsidRPr="00FA3F57">
              <w:rPr>
                <w:sz w:val="20"/>
                <w:szCs w:val="20"/>
              </w:rPr>
              <w:t>Development of a framework for the operation of Renewable Energy Communities (RECs) and Citizen Energy Communities (CECs)</w:t>
            </w:r>
          </w:p>
        </w:tc>
      </w:tr>
      <w:tr w:rsidR="0094644B" w:rsidRPr="00F07779" w14:paraId="1C29DC8F" w14:textId="77777777" w:rsidTr="00FB5086">
        <w:tc>
          <w:tcPr>
            <w:tcW w:w="2973" w:type="dxa"/>
          </w:tcPr>
          <w:p w14:paraId="2DCA72C4" w14:textId="77777777" w:rsidR="0094644B" w:rsidRPr="00FA3F57" w:rsidRDefault="0094644B" w:rsidP="00FB5086">
            <w:pPr>
              <w:rPr>
                <w:sz w:val="20"/>
                <w:szCs w:val="20"/>
              </w:rPr>
            </w:pPr>
            <w:r w:rsidRPr="00FA3F57">
              <w:rPr>
                <w:sz w:val="20"/>
                <w:szCs w:val="20"/>
              </w:rPr>
              <w:t>Description</w:t>
            </w:r>
          </w:p>
        </w:tc>
        <w:tc>
          <w:tcPr>
            <w:tcW w:w="5667" w:type="dxa"/>
          </w:tcPr>
          <w:p w14:paraId="7F94C3B0" w14:textId="0E4BE083" w:rsidR="00742D66" w:rsidRPr="00FA3F57" w:rsidRDefault="00742D66" w:rsidP="00742D66">
            <w:pPr>
              <w:rPr>
                <w:sz w:val="20"/>
                <w:szCs w:val="20"/>
              </w:rPr>
            </w:pPr>
            <w:r w:rsidRPr="00FA3F57">
              <w:rPr>
                <w:sz w:val="20"/>
                <w:szCs w:val="20"/>
              </w:rPr>
              <w:t>The activity includes:</w:t>
            </w:r>
          </w:p>
          <w:p w14:paraId="4F191E2B" w14:textId="4FADC845" w:rsidR="00742D66" w:rsidRPr="00FA3F57" w:rsidRDefault="00742D66" w:rsidP="00742D66">
            <w:pPr>
              <w:rPr>
                <w:sz w:val="20"/>
                <w:szCs w:val="20"/>
              </w:rPr>
            </w:pPr>
            <w:r w:rsidRPr="00FA3F57">
              <w:rPr>
                <w:sz w:val="20"/>
                <w:szCs w:val="20"/>
              </w:rPr>
              <w:t>- Amending the Decree on the Conditions of Delivery and Supply of Electricity, with a detailed definition of the procedure for obtaining status, models for the use of renewable energy sources (RES) within Citizen Energy Communities (CECs) and Renewable Energy Communities (RECs), and the introduction of facilitations related to system access and balancing responsibility.</w:t>
            </w:r>
          </w:p>
          <w:p w14:paraId="55387803" w14:textId="212C7141" w:rsidR="00742D66" w:rsidRPr="00FA3F57" w:rsidRDefault="00742D66" w:rsidP="00742D66">
            <w:pPr>
              <w:rPr>
                <w:sz w:val="20"/>
                <w:szCs w:val="20"/>
              </w:rPr>
            </w:pPr>
            <w:r w:rsidRPr="00FA3F57">
              <w:rPr>
                <w:sz w:val="20"/>
                <w:szCs w:val="20"/>
              </w:rPr>
              <w:t xml:space="preserve">- Introducing the obligation for public disclosure and regular updating of maps showing available capacities for connecting facilities that produce electricity from RES, as well as a list of connection requests submitted and currently being processed by the Distribution System Operator (DSO). It is necessary to clearly distinguish between available connection capacities for large-scale generation facilities and smaller ones, e.g. those intended for self-consumption. A regulatory obligation should be established requiring the DSO to reserve a specific portion of capacity for connecting CEC and REC generation facilities, </w:t>
            </w:r>
            <w:proofErr w:type="gramStart"/>
            <w:r w:rsidRPr="00FA3F57">
              <w:rPr>
                <w:sz w:val="20"/>
                <w:szCs w:val="20"/>
              </w:rPr>
              <w:t>in order to</w:t>
            </w:r>
            <w:proofErr w:type="gramEnd"/>
            <w:r w:rsidRPr="00FA3F57">
              <w:rPr>
                <w:sz w:val="20"/>
                <w:szCs w:val="20"/>
              </w:rPr>
              <w:t xml:space="preserve"> promote “citizen energy.”</w:t>
            </w:r>
          </w:p>
          <w:p w14:paraId="4B2D1921" w14:textId="7C3F51D7" w:rsidR="0094644B" w:rsidRPr="00FA3F57" w:rsidRDefault="00742D66" w:rsidP="00FA3F57">
            <w:r w:rsidRPr="00FA3F57">
              <w:rPr>
                <w:sz w:val="20"/>
                <w:szCs w:val="20"/>
              </w:rPr>
              <w:t>- Promoting donor activities directed toward supporting RECs and CECs.</w:t>
            </w:r>
          </w:p>
        </w:tc>
      </w:tr>
      <w:tr w:rsidR="0094644B" w:rsidRPr="00F07779" w14:paraId="1D62642F" w14:textId="77777777" w:rsidTr="00FB5086">
        <w:tc>
          <w:tcPr>
            <w:tcW w:w="2973" w:type="dxa"/>
          </w:tcPr>
          <w:p w14:paraId="0CFF1E10" w14:textId="77777777" w:rsidR="0094644B" w:rsidRPr="00FA3F57" w:rsidRDefault="0094644B" w:rsidP="00FB5086">
            <w:pPr>
              <w:rPr>
                <w:sz w:val="20"/>
                <w:szCs w:val="20"/>
              </w:rPr>
            </w:pPr>
            <w:r w:rsidRPr="00FA3F57">
              <w:rPr>
                <w:sz w:val="20"/>
                <w:szCs w:val="20"/>
              </w:rPr>
              <w:t>Institutions responsible for the implementation of measures and activities</w:t>
            </w:r>
          </w:p>
        </w:tc>
        <w:tc>
          <w:tcPr>
            <w:tcW w:w="5667" w:type="dxa"/>
          </w:tcPr>
          <w:p w14:paraId="3231038F" w14:textId="77777777" w:rsidR="0094644B" w:rsidRPr="00FA3F57" w:rsidRDefault="0094644B" w:rsidP="00FB5086">
            <w:pPr>
              <w:rPr>
                <w:sz w:val="20"/>
                <w:szCs w:val="20"/>
              </w:rPr>
            </w:pPr>
            <w:r w:rsidRPr="00FA3F57">
              <w:rPr>
                <w:sz w:val="20"/>
                <w:szCs w:val="20"/>
              </w:rPr>
              <w:t>Ministry of Mining and Energy</w:t>
            </w:r>
          </w:p>
        </w:tc>
      </w:tr>
      <w:tr w:rsidR="0094644B" w:rsidRPr="00F07779" w14:paraId="491B7425" w14:textId="77777777" w:rsidTr="00FB5086">
        <w:tc>
          <w:tcPr>
            <w:tcW w:w="2973" w:type="dxa"/>
          </w:tcPr>
          <w:p w14:paraId="62AA33BE" w14:textId="77777777" w:rsidR="0094644B" w:rsidRPr="00FA3F57" w:rsidRDefault="0094644B" w:rsidP="00FB5086">
            <w:pPr>
              <w:rPr>
                <w:sz w:val="20"/>
                <w:szCs w:val="20"/>
              </w:rPr>
            </w:pPr>
            <w:r w:rsidRPr="00FA3F57">
              <w:rPr>
                <w:sz w:val="20"/>
                <w:szCs w:val="20"/>
              </w:rPr>
              <w:t>Institutions responsible for monitoring implementation and reporting on the realization</w:t>
            </w:r>
          </w:p>
        </w:tc>
        <w:tc>
          <w:tcPr>
            <w:tcW w:w="5667" w:type="dxa"/>
          </w:tcPr>
          <w:p w14:paraId="368FE39B" w14:textId="77777777" w:rsidR="0094644B" w:rsidRPr="00FA3F57" w:rsidRDefault="0094644B" w:rsidP="00FB5086">
            <w:pPr>
              <w:rPr>
                <w:sz w:val="20"/>
                <w:szCs w:val="20"/>
              </w:rPr>
            </w:pPr>
            <w:r w:rsidRPr="00FA3F57">
              <w:rPr>
                <w:sz w:val="20"/>
                <w:szCs w:val="20"/>
              </w:rPr>
              <w:t>Ministry of Mining and Energy</w:t>
            </w:r>
          </w:p>
        </w:tc>
      </w:tr>
      <w:tr w:rsidR="0094644B" w:rsidRPr="00F07779" w14:paraId="4C3A7518" w14:textId="77777777" w:rsidTr="00FB5086">
        <w:tc>
          <w:tcPr>
            <w:tcW w:w="2973" w:type="dxa"/>
          </w:tcPr>
          <w:p w14:paraId="3D438A2E" w14:textId="77777777" w:rsidR="0094644B" w:rsidRPr="00FA3F57" w:rsidRDefault="0094644B" w:rsidP="00FB5086">
            <w:pPr>
              <w:rPr>
                <w:sz w:val="20"/>
                <w:szCs w:val="20"/>
              </w:rPr>
            </w:pPr>
            <w:r w:rsidRPr="00FA3F57">
              <w:rPr>
                <w:sz w:val="20"/>
                <w:szCs w:val="20"/>
              </w:rPr>
              <w:t>Deadline for implementation</w:t>
            </w:r>
          </w:p>
        </w:tc>
        <w:tc>
          <w:tcPr>
            <w:tcW w:w="5667" w:type="dxa"/>
          </w:tcPr>
          <w:p w14:paraId="6318DF46" w14:textId="77777777" w:rsidR="0094644B" w:rsidRPr="00FA3F57" w:rsidRDefault="0094644B" w:rsidP="00FB5086">
            <w:pPr>
              <w:rPr>
                <w:sz w:val="20"/>
                <w:szCs w:val="20"/>
              </w:rPr>
            </w:pPr>
            <w:r w:rsidRPr="00FA3F57">
              <w:rPr>
                <w:sz w:val="20"/>
                <w:szCs w:val="20"/>
              </w:rPr>
              <w:t>2027.</w:t>
            </w:r>
          </w:p>
        </w:tc>
      </w:tr>
      <w:tr w:rsidR="0094644B" w:rsidRPr="00F07779" w14:paraId="296E0F9D" w14:textId="77777777" w:rsidTr="00FB5086">
        <w:tc>
          <w:tcPr>
            <w:tcW w:w="2973" w:type="dxa"/>
          </w:tcPr>
          <w:p w14:paraId="79AAEC70" w14:textId="77777777" w:rsidR="0094644B" w:rsidRPr="00FA3F57" w:rsidRDefault="0094644B" w:rsidP="00FB5086">
            <w:pPr>
              <w:rPr>
                <w:sz w:val="20"/>
                <w:szCs w:val="20"/>
              </w:rPr>
            </w:pPr>
            <w:r w:rsidRPr="00FA3F57">
              <w:rPr>
                <w:sz w:val="20"/>
                <w:szCs w:val="20"/>
              </w:rPr>
              <w:t>Required funds and source of financing</w:t>
            </w:r>
          </w:p>
        </w:tc>
        <w:tc>
          <w:tcPr>
            <w:tcW w:w="5667" w:type="dxa"/>
          </w:tcPr>
          <w:p w14:paraId="2D3D72E9" w14:textId="77777777" w:rsidR="0094644B" w:rsidRPr="00FA3F57" w:rsidRDefault="0094644B" w:rsidP="00FB5086">
            <w:pPr>
              <w:rPr>
                <w:sz w:val="20"/>
                <w:szCs w:val="20"/>
              </w:rPr>
            </w:pPr>
            <w:r w:rsidRPr="00FA3F57">
              <w:rPr>
                <w:sz w:val="20"/>
                <w:szCs w:val="20"/>
              </w:rPr>
              <w:t>The measure does not require special funds.</w:t>
            </w:r>
          </w:p>
        </w:tc>
      </w:tr>
      <w:tr w:rsidR="0094644B" w:rsidRPr="00F07779" w14:paraId="207ACA3E" w14:textId="77777777" w:rsidTr="00FB5086">
        <w:tc>
          <w:tcPr>
            <w:tcW w:w="2973" w:type="dxa"/>
          </w:tcPr>
          <w:p w14:paraId="7E59D1FF" w14:textId="77777777" w:rsidR="0094644B" w:rsidRPr="00FA3F57" w:rsidRDefault="0094644B" w:rsidP="00FB5086">
            <w:pPr>
              <w:rPr>
                <w:sz w:val="20"/>
                <w:szCs w:val="20"/>
              </w:rPr>
            </w:pPr>
            <w:r w:rsidRPr="00FA3F57">
              <w:rPr>
                <w:sz w:val="20"/>
                <w:szCs w:val="20"/>
              </w:rPr>
              <w:t>Implementation indicator</w:t>
            </w:r>
          </w:p>
        </w:tc>
        <w:tc>
          <w:tcPr>
            <w:tcW w:w="5667" w:type="dxa"/>
          </w:tcPr>
          <w:p w14:paraId="56DA2D47" w14:textId="77777777" w:rsidR="0094644B" w:rsidRPr="00FA3F57" w:rsidRDefault="0094644B" w:rsidP="0094644B">
            <w:pPr>
              <w:pStyle w:val="ListParagraph"/>
              <w:numPr>
                <w:ilvl w:val="0"/>
                <w:numId w:val="45"/>
              </w:numPr>
              <w:ind w:left="178" w:hanging="178"/>
              <w:rPr>
                <w:rFonts w:ascii="Times New Roman" w:hAnsi="Times New Roman" w:cs="Times New Roman"/>
                <w:noProof w:val="0"/>
                <w:sz w:val="20"/>
                <w:szCs w:val="20"/>
              </w:rPr>
            </w:pPr>
            <w:r w:rsidRPr="00FA3F57">
              <w:rPr>
                <w:rFonts w:ascii="Times New Roman" w:hAnsi="Times New Roman" w:cs="Times New Roman"/>
                <w:noProof w:val="0"/>
                <w:sz w:val="20"/>
                <w:szCs w:val="20"/>
              </w:rPr>
              <w:t xml:space="preserve">amended Regulation on the Conditions of Delivery and Supply of </w:t>
            </w:r>
            <w:proofErr w:type="gramStart"/>
            <w:r w:rsidRPr="00FA3F57">
              <w:rPr>
                <w:rFonts w:ascii="Times New Roman" w:hAnsi="Times New Roman" w:cs="Times New Roman"/>
                <w:noProof w:val="0"/>
                <w:sz w:val="20"/>
                <w:szCs w:val="20"/>
              </w:rPr>
              <w:t>Electricity;</w:t>
            </w:r>
            <w:proofErr w:type="gramEnd"/>
          </w:p>
          <w:p w14:paraId="0B07F090" w14:textId="77777777" w:rsidR="0094644B" w:rsidRPr="00FA3F57" w:rsidRDefault="0094644B" w:rsidP="0094644B">
            <w:pPr>
              <w:pStyle w:val="ListParagraph"/>
              <w:numPr>
                <w:ilvl w:val="0"/>
                <w:numId w:val="45"/>
              </w:numPr>
              <w:ind w:left="178" w:hanging="178"/>
              <w:rPr>
                <w:rFonts w:ascii="Times New Roman" w:hAnsi="Times New Roman" w:cs="Times New Roman"/>
                <w:noProof w:val="0"/>
                <w:sz w:val="20"/>
                <w:szCs w:val="20"/>
              </w:rPr>
            </w:pPr>
            <w:r w:rsidRPr="00FA3F57">
              <w:rPr>
                <w:rFonts w:ascii="Times New Roman" w:hAnsi="Times New Roman" w:cs="Times New Roman"/>
                <w:noProof w:val="0"/>
                <w:sz w:val="20"/>
                <w:szCs w:val="20"/>
              </w:rPr>
              <w:t xml:space="preserve">publicly published register and map of available capacities for connection of facilities for electricity production from </w:t>
            </w:r>
            <w:proofErr w:type="gramStart"/>
            <w:r w:rsidRPr="00FA3F57">
              <w:rPr>
                <w:rFonts w:ascii="Times New Roman" w:hAnsi="Times New Roman" w:cs="Times New Roman"/>
                <w:noProof w:val="0"/>
                <w:sz w:val="20"/>
                <w:szCs w:val="20"/>
              </w:rPr>
              <w:t>RES;</w:t>
            </w:r>
            <w:proofErr w:type="gramEnd"/>
          </w:p>
          <w:p w14:paraId="4AA469C7" w14:textId="77777777" w:rsidR="0094644B" w:rsidRPr="00FA3F57" w:rsidRDefault="0094644B" w:rsidP="0094644B">
            <w:pPr>
              <w:pStyle w:val="ListParagraph"/>
              <w:numPr>
                <w:ilvl w:val="0"/>
                <w:numId w:val="45"/>
              </w:numPr>
              <w:ind w:left="178" w:hanging="178"/>
              <w:rPr>
                <w:noProof w:val="0"/>
                <w:sz w:val="20"/>
                <w:szCs w:val="20"/>
              </w:rPr>
            </w:pPr>
            <w:r w:rsidRPr="00FA3F57">
              <w:rPr>
                <w:rFonts w:ascii="Times New Roman" w:hAnsi="Times New Roman" w:cs="Times New Roman"/>
                <w:noProof w:val="0"/>
                <w:sz w:val="20"/>
                <w:szCs w:val="20"/>
              </w:rPr>
              <w:lastRenderedPageBreak/>
              <w:t>publicly published list of connection requests submitted and currently in procedure with the DSO.</w:t>
            </w:r>
          </w:p>
        </w:tc>
      </w:tr>
      <w:tr w:rsidR="0094644B" w:rsidRPr="00F07779" w14:paraId="338F0E9C" w14:textId="77777777" w:rsidTr="00FB5086">
        <w:tc>
          <w:tcPr>
            <w:tcW w:w="2973" w:type="dxa"/>
          </w:tcPr>
          <w:p w14:paraId="21AD62EC" w14:textId="77777777" w:rsidR="0094644B" w:rsidRPr="00FA3F57" w:rsidRDefault="0094644B" w:rsidP="00FB5086">
            <w:pPr>
              <w:rPr>
                <w:sz w:val="20"/>
                <w:szCs w:val="20"/>
              </w:rPr>
            </w:pPr>
            <w:r w:rsidRPr="00FA3F57">
              <w:rPr>
                <w:sz w:val="20"/>
                <w:szCs w:val="20"/>
              </w:rPr>
              <w:lastRenderedPageBreak/>
              <w:t>Required funds and source of financing</w:t>
            </w:r>
          </w:p>
        </w:tc>
        <w:tc>
          <w:tcPr>
            <w:tcW w:w="5667" w:type="dxa"/>
          </w:tcPr>
          <w:p w14:paraId="13B8CCA2" w14:textId="77777777" w:rsidR="0094644B" w:rsidRPr="00FA3F57" w:rsidRDefault="0094644B" w:rsidP="00FB5086">
            <w:pPr>
              <w:rPr>
                <w:sz w:val="20"/>
                <w:szCs w:val="20"/>
              </w:rPr>
            </w:pPr>
            <w:r w:rsidRPr="00FA3F57">
              <w:rPr>
                <w:sz w:val="20"/>
                <w:szCs w:val="20"/>
              </w:rPr>
              <w:t>A larger number of CECs and RECs, and an increased share of RES in electricity production</w:t>
            </w:r>
          </w:p>
        </w:tc>
      </w:tr>
      <w:tr w:rsidR="0094644B" w:rsidRPr="00F07779" w14:paraId="24F2065C" w14:textId="77777777" w:rsidTr="00FB5086">
        <w:tc>
          <w:tcPr>
            <w:tcW w:w="2973" w:type="dxa"/>
          </w:tcPr>
          <w:p w14:paraId="12305383" w14:textId="77777777" w:rsidR="0094644B" w:rsidRPr="00FA3F57" w:rsidRDefault="0094644B" w:rsidP="00FB5086">
            <w:pPr>
              <w:rPr>
                <w:sz w:val="20"/>
                <w:szCs w:val="20"/>
              </w:rPr>
            </w:pPr>
            <w:r w:rsidRPr="00FA3F57">
              <w:rPr>
                <w:sz w:val="20"/>
                <w:szCs w:val="20"/>
              </w:rPr>
              <w:t>Impact on EE, climate, and environmental protection</w:t>
            </w:r>
          </w:p>
        </w:tc>
        <w:tc>
          <w:tcPr>
            <w:tcW w:w="5667" w:type="dxa"/>
          </w:tcPr>
          <w:p w14:paraId="63007E16" w14:textId="77777777" w:rsidR="0094644B" w:rsidRPr="00FA3F57" w:rsidRDefault="0094644B" w:rsidP="00FB5086">
            <w:pPr>
              <w:rPr>
                <w:sz w:val="20"/>
                <w:szCs w:val="20"/>
              </w:rPr>
            </w:pPr>
            <w:r w:rsidRPr="00FA3F57">
              <w:rPr>
                <w:sz w:val="20"/>
                <w:szCs w:val="20"/>
              </w:rPr>
              <w:t>No direct impact</w:t>
            </w:r>
          </w:p>
        </w:tc>
      </w:tr>
    </w:tbl>
    <w:p w14:paraId="73EAAE44" w14:textId="77777777" w:rsidR="0094644B" w:rsidRPr="00FA3F57" w:rsidRDefault="0094644B" w:rsidP="0094644B"/>
    <w:p w14:paraId="0D2C6569" w14:textId="77777777" w:rsidR="0094644B" w:rsidRPr="00FA3F57" w:rsidRDefault="0094644B" w:rsidP="0094644B"/>
    <w:p w14:paraId="7B3B269C" w14:textId="77777777" w:rsidR="0094644B" w:rsidRPr="00FA3F57" w:rsidRDefault="0094644B" w:rsidP="0094644B">
      <w:r w:rsidRPr="00FA3F57">
        <w:t xml:space="preserve">Table 5.3.4-1: Activities for implementing </w:t>
      </w:r>
      <w:proofErr w:type="gramStart"/>
      <w:r w:rsidRPr="00FA3F57">
        <w:t>the measure</w:t>
      </w:r>
      <w:proofErr w:type="gramEnd"/>
      <w:r w:rsidRPr="00FA3F57">
        <w:t xml:space="preserve"> RES9- Activity RES10.1</w:t>
      </w:r>
    </w:p>
    <w:tbl>
      <w:tblPr>
        <w:tblStyle w:val="TableGrid"/>
        <w:tblW w:w="8715" w:type="dxa"/>
        <w:tblLook w:val="04A0" w:firstRow="1" w:lastRow="0" w:firstColumn="1" w:lastColumn="0" w:noHBand="0" w:noVBand="1"/>
      </w:tblPr>
      <w:tblGrid>
        <w:gridCol w:w="2972"/>
        <w:gridCol w:w="5743"/>
      </w:tblGrid>
      <w:tr w:rsidR="0094644B" w:rsidRPr="00F07779" w14:paraId="4EBCE6AB" w14:textId="77777777" w:rsidTr="00FB5086">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7453B17" w14:textId="77777777" w:rsidR="0094644B" w:rsidRPr="00FA3F57" w:rsidRDefault="0094644B" w:rsidP="00FB5086">
            <w:pPr>
              <w:rPr>
                <w:kern w:val="2"/>
                <w:sz w:val="20"/>
                <w:szCs w:val="20"/>
                <w14:ligatures w14:val="standardContextual"/>
              </w:rPr>
            </w:pPr>
            <w:r w:rsidRPr="00FA3F57">
              <w:rPr>
                <w:sz w:val="20"/>
                <w:szCs w:val="20"/>
              </w:rPr>
              <w:t>Activity</w:t>
            </w:r>
            <w:r w:rsidRPr="00FA3F57">
              <w:rPr>
                <w:kern w:val="2"/>
                <w:sz w:val="20"/>
                <w:szCs w:val="20"/>
                <w14:ligatures w14:val="standardContextual"/>
              </w:rPr>
              <w:t xml:space="preserve"> RES10.1</w:t>
            </w:r>
          </w:p>
        </w:tc>
        <w:tc>
          <w:tcPr>
            <w:tcW w:w="5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F8A41E" w14:textId="77777777" w:rsidR="0094644B" w:rsidRPr="00FA3F57" w:rsidRDefault="0094644B" w:rsidP="00FB5086">
            <w:pPr>
              <w:rPr>
                <w:kern w:val="2"/>
                <w:sz w:val="20"/>
                <w:szCs w:val="20"/>
                <w14:ligatures w14:val="standardContextual"/>
              </w:rPr>
            </w:pPr>
            <w:r w:rsidRPr="00FA3F57">
              <w:rPr>
                <w:kern w:val="2"/>
                <w:sz w:val="20"/>
                <w:szCs w:val="20"/>
                <w14:ligatures w14:val="standardContextual"/>
              </w:rPr>
              <w:t xml:space="preserve">Research on the use of RES for heating, cooling, and in transport </w:t>
            </w:r>
          </w:p>
        </w:tc>
      </w:tr>
      <w:tr w:rsidR="0094644B" w:rsidRPr="00F07779" w14:paraId="697322DE" w14:textId="77777777" w:rsidTr="00FB5086">
        <w:tc>
          <w:tcPr>
            <w:tcW w:w="2972" w:type="dxa"/>
            <w:tcBorders>
              <w:top w:val="single" w:sz="4" w:space="0" w:color="auto"/>
              <w:left w:val="single" w:sz="4" w:space="0" w:color="auto"/>
              <w:bottom w:val="single" w:sz="4" w:space="0" w:color="auto"/>
              <w:right w:val="single" w:sz="4" w:space="0" w:color="auto"/>
            </w:tcBorders>
            <w:hideMark/>
          </w:tcPr>
          <w:p w14:paraId="3FEA0ACF" w14:textId="77777777" w:rsidR="0094644B" w:rsidRPr="00FA3F57" w:rsidRDefault="0094644B" w:rsidP="00FB5086">
            <w:pPr>
              <w:rPr>
                <w:kern w:val="2"/>
                <w:sz w:val="20"/>
                <w:szCs w:val="20"/>
                <w14:ligatures w14:val="standardContextual"/>
              </w:rPr>
            </w:pPr>
            <w:r w:rsidRPr="00FA3F57">
              <w:rPr>
                <w:kern w:val="2"/>
                <w:sz w:val="20"/>
                <w:szCs w:val="20"/>
                <w14:ligatures w14:val="standardContextual"/>
              </w:rPr>
              <w:t>Description</w:t>
            </w:r>
          </w:p>
        </w:tc>
        <w:tc>
          <w:tcPr>
            <w:tcW w:w="5743" w:type="dxa"/>
            <w:tcBorders>
              <w:top w:val="single" w:sz="4" w:space="0" w:color="auto"/>
              <w:left w:val="single" w:sz="4" w:space="0" w:color="auto"/>
              <w:bottom w:val="single" w:sz="4" w:space="0" w:color="auto"/>
              <w:right w:val="single" w:sz="4" w:space="0" w:color="auto"/>
            </w:tcBorders>
            <w:hideMark/>
          </w:tcPr>
          <w:p w14:paraId="10AD7521" w14:textId="77777777" w:rsidR="0094644B" w:rsidRPr="00FA3F57" w:rsidRDefault="0094644B" w:rsidP="00FB5086">
            <w:pPr>
              <w:rPr>
                <w:kern w:val="2"/>
                <w:sz w:val="20"/>
                <w:szCs w:val="20"/>
                <w14:ligatures w14:val="standardContextual"/>
              </w:rPr>
            </w:pPr>
            <w:r w:rsidRPr="00F07779">
              <w:rPr>
                <w:kern w:val="2"/>
                <w:sz w:val="20"/>
                <w:szCs w:val="20"/>
                <w14:ligatures w14:val="standardContextual"/>
              </w:rPr>
              <w:t xml:space="preserve">Considering the crucial need to monitor the achievement of RES share targets for heating, cooling, and transport, it is necessary step to establish a comprehensive system for regular statistical monitoring of RES utilization (including biomass, solar thermal, and geothermal energy) across households, the public and commercial sectors, and agriculture, as well as the deployment of heat pumps for heating and cooling purposes in all consumption sectors. </w:t>
            </w:r>
            <w:r w:rsidRPr="00FA3F57">
              <w:rPr>
                <w:kern w:val="2"/>
                <w:sz w:val="20"/>
                <w:szCs w:val="20"/>
                <w14:ligatures w14:val="standardContextual"/>
              </w:rPr>
              <w:t xml:space="preserve">Statistical research </w:t>
            </w:r>
            <w:proofErr w:type="gramStart"/>
            <w:r w:rsidRPr="00FA3F57">
              <w:rPr>
                <w:kern w:val="2"/>
                <w:sz w:val="20"/>
                <w:szCs w:val="20"/>
                <w14:ligatures w14:val="standardContextual"/>
              </w:rPr>
              <w:t>would</w:t>
            </w:r>
            <w:proofErr w:type="gramEnd"/>
            <w:r w:rsidRPr="00FA3F57">
              <w:rPr>
                <w:kern w:val="2"/>
                <w:sz w:val="20"/>
                <w:szCs w:val="20"/>
                <w14:ligatures w14:val="standardContextual"/>
              </w:rPr>
              <w:t xml:space="preserve"> be conducted on an annual basis. </w:t>
            </w:r>
            <w:r w:rsidRPr="00F07779">
              <w:rPr>
                <w:kern w:val="2"/>
                <w:sz w:val="20"/>
                <w:szCs w:val="20"/>
                <w14:ligatures w14:val="standardContextual"/>
              </w:rPr>
              <w:t>A pilot study would be conducted in 2027, followed by the first regular study in 2028. It is also necessary to introduce specific statistical monitoring and reporting on biofuel consumption in transport according to categories.</w:t>
            </w:r>
          </w:p>
        </w:tc>
      </w:tr>
      <w:tr w:rsidR="0094644B" w:rsidRPr="00F07779" w14:paraId="053FEA32" w14:textId="77777777" w:rsidTr="00FB5086">
        <w:tc>
          <w:tcPr>
            <w:tcW w:w="2972" w:type="dxa"/>
            <w:tcBorders>
              <w:top w:val="single" w:sz="4" w:space="0" w:color="auto"/>
              <w:left w:val="single" w:sz="4" w:space="0" w:color="auto"/>
              <w:bottom w:val="single" w:sz="4" w:space="0" w:color="auto"/>
              <w:right w:val="single" w:sz="4" w:space="0" w:color="auto"/>
            </w:tcBorders>
            <w:hideMark/>
          </w:tcPr>
          <w:p w14:paraId="010D7B1D" w14:textId="77777777" w:rsidR="0094644B" w:rsidRPr="00FA3F57" w:rsidRDefault="0094644B" w:rsidP="00FB5086">
            <w:pPr>
              <w:rPr>
                <w:kern w:val="2"/>
                <w:sz w:val="20"/>
                <w:szCs w:val="20"/>
                <w14:ligatures w14:val="standardContextual"/>
              </w:rPr>
            </w:pPr>
            <w:r w:rsidRPr="00FA3F57">
              <w:rPr>
                <w:kern w:val="2"/>
                <w:sz w:val="20"/>
                <w:szCs w:val="20"/>
                <w14:ligatures w14:val="standardContextual"/>
              </w:rPr>
              <w:t>Institutions responsible for the implementation of measures and activities</w:t>
            </w:r>
          </w:p>
        </w:tc>
        <w:tc>
          <w:tcPr>
            <w:tcW w:w="5743" w:type="dxa"/>
            <w:tcBorders>
              <w:top w:val="single" w:sz="4" w:space="0" w:color="auto"/>
              <w:left w:val="single" w:sz="4" w:space="0" w:color="auto"/>
              <w:bottom w:val="single" w:sz="4" w:space="0" w:color="auto"/>
              <w:right w:val="single" w:sz="4" w:space="0" w:color="auto"/>
            </w:tcBorders>
            <w:hideMark/>
          </w:tcPr>
          <w:p w14:paraId="7D38C08D" w14:textId="77777777" w:rsidR="0094644B" w:rsidRPr="00FA3F57" w:rsidRDefault="0094644B" w:rsidP="00FB5086">
            <w:pPr>
              <w:rPr>
                <w:kern w:val="2"/>
                <w:sz w:val="20"/>
                <w:szCs w:val="20"/>
                <w14:ligatures w14:val="standardContextual"/>
              </w:rPr>
            </w:pPr>
            <w:r w:rsidRPr="00FA3F57">
              <w:rPr>
                <w:kern w:val="2"/>
                <w:sz w:val="20"/>
                <w:szCs w:val="20"/>
                <w14:ligatures w14:val="standardContextual"/>
              </w:rPr>
              <w:t>Statistical Office of the Republic of Serbia</w:t>
            </w:r>
          </w:p>
        </w:tc>
      </w:tr>
      <w:tr w:rsidR="0094644B" w:rsidRPr="00F07779" w14:paraId="199D259E" w14:textId="77777777" w:rsidTr="00FB5086">
        <w:tc>
          <w:tcPr>
            <w:tcW w:w="2972" w:type="dxa"/>
            <w:tcBorders>
              <w:top w:val="single" w:sz="4" w:space="0" w:color="auto"/>
              <w:left w:val="single" w:sz="4" w:space="0" w:color="auto"/>
              <w:bottom w:val="single" w:sz="4" w:space="0" w:color="auto"/>
              <w:right w:val="single" w:sz="4" w:space="0" w:color="auto"/>
            </w:tcBorders>
            <w:hideMark/>
          </w:tcPr>
          <w:p w14:paraId="000840AE" w14:textId="77777777" w:rsidR="0094644B" w:rsidRPr="00FA3F57" w:rsidRDefault="0094644B" w:rsidP="00FB5086">
            <w:pPr>
              <w:rPr>
                <w:kern w:val="2"/>
                <w:sz w:val="20"/>
                <w:szCs w:val="20"/>
                <w14:ligatures w14:val="standardContextual"/>
              </w:rPr>
            </w:pPr>
            <w:r w:rsidRPr="00FA3F57">
              <w:rPr>
                <w:kern w:val="2"/>
                <w:sz w:val="20"/>
                <w:szCs w:val="20"/>
                <w14:ligatures w14:val="standardContextual"/>
              </w:rPr>
              <w:t>Institutions responsible for monitoring implementation and reporting on the realization</w:t>
            </w:r>
          </w:p>
        </w:tc>
        <w:tc>
          <w:tcPr>
            <w:tcW w:w="5743" w:type="dxa"/>
            <w:tcBorders>
              <w:top w:val="single" w:sz="4" w:space="0" w:color="auto"/>
              <w:left w:val="single" w:sz="4" w:space="0" w:color="auto"/>
              <w:bottom w:val="single" w:sz="4" w:space="0" w:color="auto"/>
              <w:right w:val="single" w:sz="4" w:space="0" w:color="auto"/>
            </w:tcBorders>
            <w:hideMark/>
          </w:tcPr>
          <w:p w14:paraId="57A615BF" w14:textId="77777777" w:rsidR="0094644B" w:rsidRPr="00FA3F57" w:rsidRDefault="0094644B" w:rsidP="00FB5086">
            <w:pPr>
              <w:rPr>
                <w:kern w:val="2"/>
                <w:sz w:val="20"/>
                <w:szCs w:val="20"/>
                <w14:ligatures w14:val="standardContextual"/>
              </w:rPr>
            </w:pPr>
            <w:r w:rsidRPr="00FA3F57">
              <w:rPr>
                <w:kern w:val="2"/>
                <w:sz w:val="20"/>
                <w:szCs w:val="20"/>
                <w14:ligatures w14:val="standardContextual"/>
              </w:rPr>
              <w:t>Ministry of Mining and Energy</w:t>
            </w:r>
          </w:p>
        </w:tc>
      </w:tr>
      <w:tr w:rsidR="0094644B" w:rsidRPr="00F07779" w14:paraId="43E8F5A7" w14:textId="77777777" w:rsidTr="00FB5086">
        <w:tc>
          <w:tcPr>
            <w:tcW w:w="2972" w:type="dxa"/>
            <w:tcBorders>
              <w:top w:val="single" w:sz="4" w:space="0" w:color="auto"/>
              <w:left w:val="single" w:sz="4" w:space="0" w:color="auto"/>
              <w:bottom w:val="single" w:sz="4" w:space="0" w:color="auto"/>
              <w:right w:val="single" w:sz="4" w:space="0" w:color="auto"/>
            </w:tcBorders>
            <w:hideMark/>
          </w:tcPr>
          <w:p w14:paraId="3CB8EEB9" w14:textId="77777777" w:rsidR="0094644B" w:rsidRPr="00FA3F57" w:rsidRDefault="0094644B" w:rsidP="00FB5086">
            <w:pPr>
              <w:rPr>
                <w:kern w:val="2"/>
                <w:sz w:val="20"/>
                <w:szCs w:val="20"/>
                <w14:ligatures w14:val="standardContextual"/>
              </w:rPr>
            </w:pPr>
            <w:r w:rsidRPr="00FA3F57">
              <w:rPr>
                <w:sz w:val="20"/>
                <w:szCs w:val="20"/>
              </w:rPr>
              <w:t>Deadline for implementation</w:t>
            </w:r>
          </w:p>
        </w:tc>
        <w:tc>
          <w:tcPr>
            <w:tcW w:w="5743" w:type="dxa"/>
            <w:tcBorders>
              <w:top w:val="single" w:sz="4" w:space="0" w:color="auto"/>
              <w:left w:val="single" w:sz="4" w:space="0" w:color="auto"/>
              <w:bottom w:val="single" w:sz="4" w:space="0" w:color="auto"/>
              <w:right w:val="single" w:sz="4" w:space="0" w:color="auto"/>
            </w:tcBorders>
            <w:hideMark/>
          </w:tcPr>
          <w:p w14:paraId="1DAAFE42" w14:textId="77777777" w:rsidR="0094644B" w:rsidRPr="00FA3F57" w:rsidRDefault="0094644B" w:rsidP="00FB5086">
            <w:pPr>
              <w:rPr>
                <w:kern w:val="2"/>
                <w:sz w:val="20"/>
                <w:szCs w:val="20"/>
                <w14:ligatures w14:val="standardContextual"/>
              </w:rPr>
            </w:pPr>
            <w:r w:rsidRPr="00FA3F57">
              <w:rPr>
                <w:kern w:val="2"/>
                <w:sz w:val="20"/>
                <w:szCs w:val="20"/>
                <w14:ligatures w14:val="standardContextual"/>
              </w:rPr>
              <w:t>2028.</w:t>
            </w:r>
          </w:p>
        </w:tc>
      </w:tr>
      <w:tr w:rsidR="0094644B" w:rsidRPr="00F07779" w14:paraId="67FA8296" w14:textId="77777777" w:rsidTr="00FB5086">
        <w:tc>
          <w:tcPr>
            <w:tcW w:w="2972" w:type="dxa"/>
            <w:tcBorders>
              <w:top w:val="single" w:sz="4" w:space="0" w:color="auto"/>
              <w:left w:val="single" w:sz="4" w:space="0" w:color="auto"/>
              <w:bottom w:val="single" w:sz="4" w:space="0" w:color="auto"/>
              <w:right w:val="single" w:sz="4" w:space="0" w:color="auto"/>
            </w:tcBorders>
            <w:hideMark/>
          </w:tcPr>
          <w:p w14:paraId="5B24F30A" w14:textId="77777777" w:rsidR="0094644B" w:rsidRPr="00FA3F57" w:rsidRDefault="0094644B" w:rsidP="00FB5086">
            <w:pPr>
              <w:rPr>
                <w:kern w:val="2"/>
                <w:sz w:val="20"/>
                <w:szCs w:val="20"/>
                <w14:ligatures w14:val="standardContextual"/>
              </w:rPr>
            </w:pPr>
            <w:r w:rsidRPr="00FA3F57">
              <w:rPr>
                <w:kern w:val="2"/>
                <w:sz w:val="20"/>
                <w:szCs w:val="20"/>
                <w14:ligatures w14:val="standardContextual"/>
              </w:rPr>
              <w:t>Required funds and source of financing</w:t>
            </w:r>
          </w:p>
          <w:p w14:paraId="338CABA3" w14:textId="77777777" w:rsidR="0094644B" w:rsidRPr="00FA3F57" w:rsidRDefault="0094644B" w:rsidP="00FB5086">
            <w:pPr>
              <w:rPr>
                <w:kern w:val="2"/>
                <w:sz w:val="20"/>
                <w:szCs w:val="20"/>
                <w14:ligatures w14:val="standardContextual"/>
              </w:rPr>
            </w:pPr>
            <w:r w:rsidRPr="00FA3F57">
              <w:rPr>
                <w:sz w:val="20"/>
                <w:szCs w:val="20"/>
              </w:rPr>
              <w:t>(in thousands of RSD)</w:t>
            </w:r>
          </w:p>
        </w:tc>
        <w:tc>
          <w:tcPr>
            <w:tcW w:w="5743" w:type="dxa"/>
            <w:tcBorders>
              <w:top w:val="single" w:sz="4" w:space="0" w:color="auto"/>
              <w:left w:val="single" w:sz="4" w:space="0" w:color="auto"/>
              <w:bottom w:val="single" w:sz="4" w:space="0" w:color="auto"/>
              <w:right w:val="single" w:sz="4" w:space="0" w:color="auto"/>
            </w:tcBorders>
            <w:hideMark/>
          </w:tcPr>
          <w:p w14:paraId="36A1605C" w14:textId="77777777" w:rsidR="0094644B" w:rsidRPr="00FA3F57" w:rsidRDefault="0094644B" w:rsidP="00FB5086">
            <w:pPr>
              <w:rPr>
                <w:kern w:val="2"/>
                <w:sz w:val="20"/>
                <w:szCs w:val="20"/>
                <w14:ligatures w14:val="standardContextual"/>
              </w:rPr>
            </w:pPr>
            <w:r w:rsidRPr="00FA3F57">
              <w:rPr>
                <w:sz w:val="20"/>
                <w:szCs w:val="20"/>
              </w:rPr>
              <w:t>23,450 (0.2 million EUR)</w:t>
            </w:r>
          </w:p>
        </w:tc>
      </w:tr>
      <w:tr w:rsidR="0094644B" w:rsidRPr="00F07779" w14:paraId="4B285215" w14:textId="77777777" w:rsidTr="00FB5086">
        <w:tc>
          <w:tcPr>
            <w:tcW w:w="2972" w:type="dxa"/>
            <w:tcBorders>
              <w:top w:val="single" w:sz="4" w:space="0" w:color="auto"/>
              <w:left w:val="single" w:sz="4" w:space="0" w:color="auto"/>
              <w:bottom w:val="single" w:sz="4" w:space="0" w:color="auto"/>
              <w:right w:val="single" w:sz="4" w:space="0" w:color="auto"/>
            </w:tcBorders>
          </w:tcPr>
          <w:p w14:paraId="1070942E" w14:textId="77777777" w:rsidR="0094644B" w:rsidRPr="00FA3F57" w:rsidRDefault="0094644B" w:rsidP="00FB5086">
            <w:pPr>
              <w:rPr>
                <w:kern w:val="2"/>
                <w:sz w:val="20"/>
                <w:szCs w:val="20"/>
                <w14:ligatures w14:val="standardContextual"/>
              </w:rPr>
            </w:pPr>
            <w:r w:rsidRPr="00FA3F57">
              <w:rPr>
                <w:sz w:val="20"/>
                <w:szCs w:val="20"/>
              </w:rPr>
              <w:t>Planned investments for 2026.</w:t>
            </w:r>
            <w:r w:rsidRPr="00FA3F57">
              <w:rPr>
                <w:sz w:val="20"/>
                <w:szCs w:val="20"/>
              </w:rPr>
              <w:br/>
              <w:t>(in thousands of RSD)</w:t>
            </w:r>
          </w:p>
        </w:tc>
        <w:tc>
          <w:tcPr>
            <w:tcW w:w="5743" w:type="dxa"/>
            <w:tcBorders>
              <w:top w:val="single" w:sz="4" w:space="0" w:color="auto"/>
              <w:left w:val="single" w:sz="4" w:space="0" w:color="auto"/>
              <w:bottom w:val="single" w:sz="4" w:space="0" w:color="auto"/>
              <w:right w:val="single" w:sz="4" w:space="0" w:color="auto"/>
            </w:tcBorders>
          </w:tcPr>
          <w:p w14:paraId="49F15A77" w14:textId="77777777" w:rsidR="0094644B" w:rsidRPr="00FA3F57" w:rsidRDefault="0094644B" w:rsidP="00FB5086">
            <w:pPr>
              <w:rPr>
                <w:kern w:val="2"/>
                <w:sz w:val="20"/>
                <w:szCs w:val="20"/>
                <w14:ligatures w14:val="standardContextual"/>
              </w:rPr>
            </w:pPr>
            <w:r w:rsidRPr="00FA3F57">
              <w:rPr>
                <w:sz w:val="20"/>
                <w:szCs w:val="20"/>
              </w:rPr>
              <w:t>5,863 (budget of RS)</w:t>
            </w:r>
          </w:p>
        </w:tc>
      </w:tr>
      <w:tr w:rsidR="0094644B" w:rsidRPr="00F07779" w14:paraId="20048867" w14:textId="77777777" w:rsidTr="00FB5086">
        <w:tc>
          <w:tcPr>
            <w:tcW w:w="2972" w:type="dxa"/>
            <w:tcBorders>
              <w:top w:val="single" w:sz="4" w:space="0" w:color="auto"/>
              <w:left w:val="single" w:sz="4" w:space="0" w:color="auto"/>
              <w:bottom w:val="single" w:sz="4" w:space="0" w:color="auto"/>
              <w:right w:val="single" w:sz="4" w:space="0" w:color="auto"/>
            </w:tcBorders>
          </w:tcPr>
          <w:p w14:paraId="64E1DB13" w14:textId="77777777" w:rsidR="0094644B" w:rsidRPr="00FA3F57" w:rsidRDefault="0094644B" w:rsidP="00FB5086">
            <w:pPr>
              <w:rPr>
                <w:kern w:val="2"/>
                <w:sz w:val="20"/>
                <w:szCs w:val="20"/>
                <w14:ligatures w14:val="standardContextual"/>
              </w:rPr>
            </w:pPr>
            <w:r w:rsidRPr="00FA3F57">
              <w:rPr>
                <w:sz w:val="20"/>
                <w:szCs w:val="20"/>
              </w:rPr>
              <w:t>Planned investments for 2027.</w:t>
            </w:r>
            <w:r w:rsidRPr="00FA3F57">
              <w:rPr>
                <w:sz w:val="20"/>
                <w:szCs w:val="20"/>
              </w:rPr>
              <w:br/>
              <w:t>(in thousands of RSD)</w:t>
            </w:r>
          </w:p>
        </w:tc>
        <w:tc>
          <w:tcPr>
            <w:tcW w:w="5743" w:type="dxa"/>
            <w:tcBorders>
              <w:top w:val="single" w:sz="4" w:space="0" w:color="auto"/>
              <w:left w:val="single" w:sz="4" w:space="0" w:color="auto"/>
              <w:bottom w:val="single" w:sz="4" w:space="0" w:color="auto"/>
              <w:right w:val="single" w:sz="4" w:space="0" w:color="auto"/>
            </w:tcBorders>
          </w:tcPr>
          <w:p w14:paraId="479E53E0" w14:textId="77777777" w:rsidR="0094644B" w:rsidRPr="00FA3F57" w:rsidRDefault="0094644B" w:rsidP="00FB5086">
            <w:pPr>
              <w:rPr>
                <w:kern w:val="2"/>
                <w:sz w:val="20"/>
                <w:szCs w:val="20"/>
                <w14:ligatures w14:val="standardContextual"/>
              </w:rPr>
            </w:pPr>
            <w:r w:rsidRPr="00FA3F57">
              <w:rPr>
                <w:sz w:val="20"/>
                <w:szCs w:val="20"/>
              </w:rPr>
              <w:t>9,380 (budget RS)</w:t>
            </w:r>
          </w:p>
        </w:tc>
      </w:tr>
      <w:tr w:rsidR="0094644B" w:rsidRPr="00F07779" w14:paraId="6FC7041C" w14:textId="77777777" w:rsidTr="00FB5086">
        <w:tc>
          <w:tcPr>
            <w:tcW w:w="2972" w:type="dxa"/>
            <w:tcBorders>
              <w:top w:val="single" w:sz="4" w:space="0" w:color="auto"/>
              <w:left w:val="single" w:sz="4" w:space="0" w:color="auto"/>
              <w:bottom w:val="single" w:sz="4" w:space="0" w:color="auto"/>
              <w:right w:val="single" w:sz="4" w:space="0" w:color="auto"/>
            </w:tcBorders>
          </w:tcPr>
          <w:p w14:paraId="68F18A98" w14:textId="77777777" w:rsidR="0094644B" w:rsidRPr="00FA3F57" w:rsidRDefault="0094644B" w:rsidP="00FB5086">
            <w:pPr>
              <w:rPr>
                <w:kern w:val="2"/>
                <w:sz w:val="20"/>
                <w:szCs w:val="20"/>
                <w14:ligatures w14:val="standardContextual"/>
              </w:rPr>
            </w:pPr>
            <w:r w:rsidRPr="00FA3F57">
              <w:rPr>
                <w:sz w:val="20"/>
                <w:szCs w:val="20"/>
              </w:rPr>
              <w:t>Planned investments for 2028.</w:t>
            </w:r>
            <w:r w:rsidRPr="00FA3F57">
              <w:rPr>
                <w:sz w:val="20"/>
                <w:szCs w:val="20"/>
              </w:rPr>
              <w:br/>
              <w:t>(in thousands of RSD)</w:t>
            </w:r>
          </w:p>
        </w:tc>
        <w:tc>
          <w:tcPr>
            <w:tcW w:w="5743" w:type="dxa"/>
            <w:tcBorders>
              <w:top w:val="single" w:sz="4" w:space="0" w:color="auto"/>
              <w:left w:val="single" w:sz="4" w:space="0" w:color="auto"/>
              <w:bottom w:val="single" w:sz="4" w:space="0" w:color="auto"/>
              <w:right w:val="single" w:sz="4" w:space="0" w:color="auto"/>
            </w:tcBorders>
          </w:tcPr>
          <w:p w14:paraId="155EC562" w14:textId="77777777" w:rsidR="0094644B" w:rsidRPr="00FA3F57" w:rsidRDefault="0094644B" w:rsidP="00FB5086">
            <w:pPr>
              <w:rPr>
                <w:kern w:val="2"/>
                <w:sz w:val="20"/>
                <w:szCs w:val="20"/>
                <w14:ligatures w14:val="standardContextual"/>
              </w:rPr>
            </w:pPr>
            <w:r w:rsidRPr="00FA3F57">
              <w:rPr>
                <w:sz w:val="20"/>
                <w:szCs w:val="20"/>
              </w:rPr>
              <w:t>8,208 (budget of RS)</w:t>
            </w:r>
          </w:p>
        </w:tc>
      </w:tr>
      <w:tr w:rsidR="0094644B" w:rsidRPr="00F07779" w14:paraId="5206AB62" w14:textId="77777777" w:rsidTr="00FB5086">
        <w:tc>
          <w:tcPr>
            <w:tcW w:w="2972" w:type="dxa"/>
            <w:tcBorders>
              <w:top w:val="single" w:sz="4" w:space="0" w:color="auto"/>
              <w:left w:val="single" w:sz="4" w:space="0" w:color="auto"/>
              <w:bottom w:val="single" w:sz="4" w:space="0" w:color="auto"/>
              <w:right w:val="single" w:sz="4" w:space="0" w:color="auto"/>
            </w:tcBorders>
            <w:hideMark/>
          </w:tcPr>
          <w:p w14:paraId="40F59943" w14:textId="77777777" w:rsidR="0094644B" w:rsidRPr="00FA3F57" w:rsidRDefault="0094644B" w:rsidP="00FB5086">
            <w:pPr>
              <w:rPr>
                <w:kern w:val="2"/>
                <w:sz w:val="20"/>
                <w:szCs w:val="20"/>
                <w14:ligatures w14:val="standardContextual"/>
              </w:rPr>
            </w:pPr>
            <w:r w:rsidRPr="00FA3F57">
              <w:rPr>
                <w:kern w:val="2"/>
                <w:sz w:val="20"/>
                <w:szCs w:val="20"/>
                <w14:ligatures w14:val="standardContextual"/>
              </w:rPr>
              <w:t>Implementation indicator</w:t>
            </w:r>
          </w:p>
        </w:tc>
        <w:tc>
          <w:tcPr>
            <w:tcW w:w="5743" w:type="dxa"/>
            <w:tcBorders>
              <w:top w:val="single" w:sz="4" w:space="0" w:color="auto"/>
              <w:left w:val="single" w:sz="4" w:space="0" w:color="auto"/>
              <w:bottom w:val="single" w:sz="4" w:space="0" w:color="auto"/>
              <w:right w:val="single" w:sz="4" w:space="0" w:color="auto"/>
            </w:tcBorders>
            <w:hideMark/>
          </w:tcPr>
          <w:p w14:paraId="2905792E" w14:textId="77777777" w:rsidR="0094644B" w:rsidRPr="00FA3F57" w:rsidRDefault="0094644B" w:rsidP="00FB5086">
            <w:pPr>
              <w:rPr>
                <w:kern w:val="2"/>
                <w:sz w:val="20"/>
                <w:szCs w:val="20"/>
                <w14:ligatures w14:val="standardContextual"/>
              </w:rPr>
            </w:pPr>
            <w:r w:rsidRPr="00FA3F57">
              <w:rPr>
                <w:kern w:val="2"/>
                <w:sz w:val="20"/>
                <w:szCs w:val="20"/>
                <w14:ligatures w14:val="standardContextual"/>
              </w:rPr>
              <w:t>Preparation of statistical research, Pilot research, Regular research</w:t>
            </w:r>
          </w:p>
        </w:tc>
      </w:tr>
      <w:tr w:rsidR="0094644B" w:rsidRPr="00F07779" w14:paraId="5E4DBF40" w14:textId="77777777" w:rsidTr="00FB5086">
        <w:tc>
          <w:tcPr>
            <w:tcW w:w="2972" w:type="dxa"/>
            <w:tcBorders>
              <w:top w:val="single" w:sz="4" w:space="0" w:color="auto"/>
              <w:left w:val="single" w:sz="4" w:space="0" w:color="auto"/>
              <w:bottom w:val="single" w:sz="4" w:space="0" w:color="auto"/>
              <w:right w:val="single" w:sz="4" w:space="0" w:color="auto"/>
            </w:tcBorders>
            <w:hideMark/>
          </w:tcPr>
          <w:p w14:paraId="64E9A7FD" w14:textId="77777777" w:rsidR="0094644B" w:rsidRPr="00FA3F57" w:rsidRDefault="0094644B" w:rsidP="00FB5086">
            <w:pPr>
              <w:rPr>
                <w:kern w:val="2"/>
                <w:sz w:val="20"/>
                <w:szCs w:val="20"/>
                <w14:ligatures w14:val="standardContextual"/>
              </w:rPr>
            </w:pPr>
            <w:r w:rsidRPr="00FA3F57">
              <w:rPr>
                <w:kern w:val="2"/>
                <w:sz w:val="20"/>
                <w:szCs w:val="20"/>
                <w14:ligatures w14:val="standardContextual"/>
              </w:rPr>
              <w:t>Required funds and source of financing</w:t>
            </w:r>
          </w:p>
        </w:tc>
        <w:tc>
          <w:tcPr>
            <w:tcW w:w="5743" w:type="dxa"/>
            <w:tcBorders>
              <w:top w:val="single" w:sz="4" w:space="0" w:color="auto"/>
              <w:left w:val="single" w:sz="4" w:space="0" w:color="auto"/>
              <w:bottom w:val="single" w:sz="4" w:space="0" w:color="auto"/>
              <w:right w:val="single" w:sz="4" w:space="0" w:color="auto"/>
            </w:tcBorders>
            <w:hideMark/>
          </w:tcPr>
          <w:p w14:paraId="72DE897F" w14:textId="77777777" w:rsidR="0094644B" w:rsidRPr="00FA3F57" w:rsidRDefault="0094644B" w:rsidP="00FB5086">
            <w:pPr>
              <w:rPr>
                <w:kern w:val="2"/>
                <w:sz w:val="20"/>
                <w:szCs w:val="20"/>
                <w14:ligatures w14:val="standardContextual"/>
              </w:rPr>
            </w:pPr>
            <w:r w:rsidRPr="00F07779">
              <w:rPr>
                <w:kern w:val="2"/>
                <w:sz w:val="20"/>
                <w:szCs w:val="20"/>
                <w14:ligatures w14:val="standardContextual"/>
              </w:rPr>
              <w:t>Research is necessary for monitoring the achievement of goals in the RES sector.</w:t>
            </w:r>
          </w:p>
        </w:tc>
      </w:tr>
      <w:tr w:rsidR="0094644B" w:rsidRPr="00F07779" w14:paraId="4B0EBA12" w14:textId="77777777" w:rsidTr="00FB5086">
        <w:tc>
          <w:tcPr>
            <w:tcW w:w="2972" w:type="dxa"/>
            <w:tcBorders>
              <w:top w:val="single" w:sz="4" w:space="0" w:color="auto"/>
              <w:left w:val="single" w:sz="4" w:space="0" w:color="auto"/>
              <w:bottom w:val="single" w:sz="4" w:space="0" w:color="auto"/>
              <w:right w:val="single" w:sz="4" w:space="0" w:color="auto"/>
            </w:tcBorders>
            <w:hideMark/>
          </w:tcPr>
          <w:p w14:paraId="67AEECAA" w14:textId="77777777" w:rsidR="0094644B" w:rsidRPr="00FA3F57" w:rsidRDefault="0094644B" w:rsidP="00FB5086">
            <w:pPr>
              <w:rPr>
                <w:kern w:val="2"/>
                <w:sz w:val="20"/>
                <w:szCs w:val="20"/>
                <w14:ligatures w14:val="standardContextual"/>
              </w:rPr>
            </w:pPr>
            <w:r w:rsidRPr="00FA3F57">
              <w:rPr>
                <w:kern w:val="2"/>
                <w:sz w:val="20"/>
                <w:szCs w:val="20"/>
                <w14:ligatures w14:val="standardContextual"/>
              </w:rPr>
              <w:t>Impact on EE, climate, and environmental protection</w:t>
            </w:r>
          </w:p>
        </w:tc>
        <w:tc>
          <w:tcPr>
            <w:tcW w:w="5743" w:type="dxa"/>
            <w:tcBorders>
              <w:top w:val="single" w:sz="4" w:space="0" w:color="auto"/>
              <w:left w:val="single" w:sz="4" w:space="0" w:color="auto"/>
              <w:bottom w:val="single" w:sz="4" w:space="0" w:color="auto"/>
              <w:right w:val="single" w:sz="4" w:space="0" w:color="auto"/>
            </w:tcBorders>
            <w:hideMark/>
          </w:tcPr>
          <w:p w14:paraId="3CBA1D9C" w14:textId="77777777" w:rsidR="0094644B" w:rsidRPr="00FA3F57" w:rsidRDefault="0094644B" w:rsidP="00FB5086">
            <w:pPr>
              <w:rPr>
                <w:kern w:val="2"/>
                <w:sz w:val="20"/>
                <w:szCs w:val="20"/>
                <w14:ligatures w14:val="standardContextual"/>
              </w:rPr>
            </w:pPr>
            <w:r w:rsidRPr="00FA3F57">
              <w:rPr>
                <w:kern w:val="2"/>
                <w:sz w:val="20"/>
                <w:szCs w:val="20"/>
                <w14:ligatures w14:val="standardContextual"/>
              </w:rPr>
              <w:t>No direct impact</w:t>
            </w:r>
          </w:p>
        </w:tc>
      </w:tr>
    </w:tbl>
    <w:p w14:paraId="51D8A781" w14:textId="77777777" w:rsidR="0094644B" w:rsidRPr="00FA3F57" w:rsidRDefault="0094644B" w:rsidP="0094644B">
      <w:pPr>
        <w:tabs>
          <w:tab w:val="left" w:pos="1276"/>
        </w:tabs>
        <w:spacing w:before="120" w:after="60"/>
        <w:jc w:val="both"/>
      </w:pPr>
    </w:p>
    <w:p w14:paraId="7F9EEB9B" w14:textId="77777777" w:rsidR="0094644B" w:rsidRPr="00F07779" w:rsidRDefault="0094644B" w:rsidP="0094644B">
      <w:pPr>
        <w:pStyle w:val="Heading2"/>
        <w:ind w:left="360"/>
        <w:rPr>
          <w:rFonts w:ascii="Times New Roman" w:hAnsi="Times New Roman" w:cs="Times New Roman"/>
        </w:rPr>
      </w:pPr>
      <w:r w:rsidRPr="00F07779">
        <w:rPr>
          <w:rFonts w:ascii="Times New Roman" w:hAnsi="Times New Roman" w:cs="Times New Roman"/>
        </w:rPr>
        <w:t>5.4. Energy Efficiency</w:t>
      </w:r>
    </w:p>
    <w:p w14:paraId="0EC1A128" w14:textId="77777777" w:rsidR="0094644B" w:rsidRPr="00F07779" w:rsidRDefault="0094644B" w:rsidP="0094644B">
      <w:pPr>
        <w:jc w:val="both"/>
      </w:pPr>
    </w:p>
    <w:p w14:paraId="35503B25" w14:textId="77777777" w:rsidR="0094644B" w:rsidRPr="00FA3F57" w:rsidRDefault="0094644B" w:rsidP="0094644B">
      <w:pPr>
        <w:jc w:val="both"/>
      </w:pPr>
      <w:r w:rsidRPr="00FA3F57">
        <w:t xml:space="preserve">The primary strategic objective in energy efficiency is to increase energy efficiency across all energy consumption sectors. When it comes to the general priorities of energy development and the principles on which the energy policy of the Republic of Serbia is developed, the role of energy efficiency is, </w:t>
      </w:r>
      <w:proofErr w:type="gramStart"/>
      <w:r w:rsidRPr="00FA3F57">
        <w:t>first of all</w:t>
      </w:r>
      <w:proofErr w:type="gramEnd"/>
      <w:r w:rsidRPr="00FA3F57">
        <w:t>, to contribute to the decarbonization of the energy sector, security of energy supply, increasing the competitiveness of the economy, and reducing energy poverty.</w:t>
      </w:r>
    </w:p>
    <w:p w14:paraId="61F9DC72" w14:textId="77777777" w:rsidR="0094644B" w:rsidRPr="00FA3F57" w:rsidRDefault="0094644B" w:rsidP="0094644B">
      <w:pPr>
        <w:jc w:val="both"/>
      </w:pPr>
      <w:r w:rsidRPr="00FA3F57">
        <w:t>The Strategy defines ten sectoral measures that contribute to the strategic objective:</w:t>
      </w:r>
    </w:p>
    <w:p w14:paraId="498AF1BB" w14:textId="77777777" w:rsidR="0094644B" w:rsidRPr="00FA3F57" w:rsidRDefault="0094644B" w:rsidP="0094644B">
      <w:pPr>
        <w:spacing w:after="120"/>
        <w:ind w:left="1276" w:hanging="556"/>
        <w:jc w:val="both"/>
      </w:pPr>
      <w:r w:rsidRPr="00FA3F57">
        <w:t>EE1</w:t>
      </w:r>
      <w:r w:rsidRPr="00FA3F57">
        <w:tab/>
        <w:t xml:space="preserve">Financial incentives aimed at increasing energy efficiency in all energy consumption </w:t>
      </w:r>
      <w:proofErr w:type="gramStart"/>
      <w:r w:rsidRPr="00FA3F57">
        <w:t>sectors;</w:t>
      </w:r>
      <w:proofErr w:type="gramEnd"/>
    </w:p>
    <w:p w14:paraId="7268777C" w14:textId="77777777" w:rsidR="0094644B" w:rsidRPr="00FA3F57" w:rsidRDefault="0094644B" w:rsidP="0094644B">
      <w:pPr>
        <w:spacing w:after="120"/>
        <w:ind w:left="1276" w:hanging="556"/>
        <w:jc w:val="both"/>
      </w:pPr>
      <w:r w:rsidRPr="00FA3F57">
        <w:t>ЕЕ2</w:t>
      </w:r>
      <w:r w:rsidRPr="00FA3F57">
        <w:tab/>
        <w:t xml:space="preserve">Continuous improvement of the regulatory framework and its compliance with EU regulations regarding energy </w:t>
      </w:r>
      <w:proofErr w:type="gramStart"/>
      <w:r w:rsidRPr="00FA3F57">
        <w:t>efficiency;</w:t>
      </w:r>
      <w:proofErr w:type="gramEnd"/>
    </w:p>
    <w:p w14:paraId="2CBCC71C" w14:textId="77777777" w:rsidR="0094644B" w:rsidRPr="00FA3F57" w:rsidRDefault="0094644B" w:rsidP="0094644B">
      <w:pPr>
        <w:spacing w:after="120"/>
        <w:ind w:left="1276" w:hanging="556"/>
        <w:jc w:val="both"/>
      </w:pPr>
      <w:r w:rsidRPr="00FA3F57">
        <w:lastRenderedPageBreak/>
        <w:t>ЕЕ3</w:t>
      </w:r>
      <w:r w:rsidRPr="00FA3F57">
        <w:tab/>
        <w:t xml:space="preserve">Strengthening the capacity of all institutions involved in the implementation of energy efficiency </w:t>
      </w:r>
      <w:proofErr w:type="gramStart"/>
      <w:r w:rsidRPr="00FA3F57">
        <w:t>policies;</w:t>
      </w:r>
      <w:proofErr w:type="gramEnd"/>
    </w:p>
    <w:p w14:paraId="612F48C6" w14:textId="77777777" w:rsidR="0094644B" w:rsidRPr="00FA3F57" w:rsidRDefault="0094644B" w:rsidP="0094644B">
      <w:pPr>
        <w:spacing w:after="120"/>
        <w:ind w:left="1276" w:hanging="556"/>
        <w:jc w:val="both"/>
      </w:pPr>
      <w:r w:rsidRPr="00FA3F57">
        <w:t>ЕЕ4</w:t>
      </w:r>
      <w:r w:rsidRPr="00FA3F57">
        <w:tab/>
        <w:t xml:space="preserve">Improving regulations related to the energy performance of </w:t>
      </w:r>
      <w:proofErr w:type="gramStart"/>
      <w:r w:rsidRPr="00FA3F57">
        <w:t>buildings;</w:t>
      </w:r>
      <w:proofErr w:type="gramEnd"/>
    </w:p>
    <w:p w14:paraId="6E07B855" w14:textId="77777777" w:rsidR="0094644B" w:rsidRPr="00FA3F57" w:rsidRDefault="0094644B" w:rsidP="0094644B">
      <w:pPr>
        <w:spacing w:after="120"/>
        <w:ind w:left="1276" w:hanging="556"/>
        <w:jc w:val="both"/>
      </w:pPr>
      <w:r w:rsidRPr="00FA3F57">
        <w:t>ЕЕ5</w:t>
      </w:r>
      <w:r w:rsidRPr="00FA3F57">
        <w:tab/>
        <w:t xml:space="preserve">Implementation of "green procurement" that sets requirements for energy efficiency in the public and commercial </w:t>
      </w:r>
      <w:proofErr w:type="gramStart"/>
      <w:r w:rsidRPr="00FA3F57">
        <w:t>sectors;</w:t>
      </w:r>
      <w:proofErr w:type="gramEnd"/>
    </w:p>
    <w:p w14:paraId="39377E01" w14:textId="77777777" w:rsidR="0094644B" w:rsidRPr="00FA3F57" w:rsidRDefault="0094644B" w:rsidP="0094644B">
      <w:pPr>
        <w:spacing w:after="120"/>
        <w:ind w:left="1276" w:hanging="556"/>
        <w:jc w:val="both"/>
      </w:pPr>
      <w:r w:rsidRPr="00FA3F57">
        <w:t>ЕЕ6</w:t>
      </w:r>
      <w:r w:rsidRPr="00FA3F57">
        <w:tab/>
        <w:t xml:space="preserve">Application of energy management system in the industrial energy, public energy, and </w:t>
      </w:r>
      <w:proofErr w:type="gramStart"/>
      <w:r w:rsidRPr="00FA3F57">
        <w:t>buildings;</w:t>
      </w:r>
      <w:proofErr w:type="gramEnd"/>
    </w:p>
    <w:p w14:paraId="20E9C036" w14:textId="77777777" w:rsidR="0094644B" w:rsidRPr="00FA3F57" w:rsidRDefault="0094644B" w:rsidP="0094644B">
      <w:pPr>
        <w:spacing w:after="120"/>
        <w:ind w:left="1276" w:hanging="556"/>
        <w:jc w:val="both"/>
      </w:pPr>
      <w:r w:rsidRPr="00FA3F57">
        <w:t>ЕЕ7</w:t>
      </w:r>
      <w:r w:rsidRPr="00FA3F57">
        <w:tab/>
        <w:t xml:space="preserve">Compliance with new EU vehicle emissions standards and transition to more efficient </w:t>
      </w:r>
      <w:proofErr w:type="gramStart"/>
      <w:r w:rsidRPr="00FA3F57">
        <w:t>vehicles;</w:t>
      </w:r>
      <w:proofErr w:type="gramEnd"/>
    </w:p>
    <w:p w14:paraId="427F94E9" w14:textId="77777777" w:rsidR="0094644B" w:rsidRPr="00FA3F57" w:rsidRDefault="0094644B" w:rsidP="0094644B">
      <w:pPr>
        <w:spacing w:after="120"/>
        <w:ind w:left="1276" w:hanging="556"/>
        <w:jc w:val="both"/>
      </w:pPr>
      <w:r w:rsidRPr="00FA3F57">
        <w:t>ЕЕ8</w:t>
      </w:r>
      <w:r w:rsidRPr="00FA3F57">
        <w:tab/>
        <w:t xml:space="preserve">Improvement of the system for monitoring and tracking consumption and final energy </w:t>
      </w:r>
      <w:proofErr w:type="gramStart"/>
      <w:r w:rsidRPr="00FA3F57">
        <w:t>savings;</w:t>
      </w:r>
      <w:proofErr w:type="gramEnd"/>
    </w:p>
    <w:p w14:paraId="33807873" w14:textId="77777777" w:rsidR="0094644B" w:rsidRPr="00FA3F57" w:rsidRDefault="0094644B" w:rsidP="0094644B">
      <w:pPr>
        <w:spacing w:after="120"/>
        <w:ind w:left="1276" w:hanging="556"/>
        <w:jc w:val="both"/>
      </w:pPr>
      <w:r w:rsidRPr="00FA3F57">
        <w:t>ЕЕ9</w:t>
      </w:r>
      <w:r w:rsidRPr="00FA3F57">
        <w:tab/>
        <w:t xml:space="preserve">Informing and educating the </w:t>
      </w:r>
      <w:proofErr w:type="gramStart"/>
      <w:r w:rsidRPr="00FA3F57">
        <w:t>public</w:t>
      </w:r>
      <w:r w:rsidRPr="00F07779">
        <w:t>;</w:t>
      </w:r>
      <w:proofErr w:type="gramEnd"/>
    </w:p>
    <w:p w14:paraId="6299AA65" w14:textId="77777777" w:rsidR="0094644B" w:rsidRPr="00FA3F57" w:rsidRDefault="0094644B" w:rsidP="0094644B">
      <w:pPr>
        <w:spacing w:after="120"/>
        <w:ind w:left="1276" w:hanging="556"/>
        <w:jc w:val="both"/>
      </w:pPr>
      <w:r w:rsidRPr="00FA3F57">
        <w:t>ЕЕ10</w:t>
      </w:r>
      <w:r w:rsidRPr="00FA3F57">
        <w:tab/>
        <w:t>Implementation of energy audits and energy efficiency measures.</w:t>
      </w:r>
    </w:p>
    <w:p w14:paraId="3C2ABDA2" w14:textId="77777777" w:rsidR="0094644B" w:rsidRPr="00F07779" w:rsidRDefault="0094644B" w:rsidP="0094644B">
      <w:pPr>
        <w:jc w:val="both"/>
      </w:pPr>
      <w:r w:rsidRPr="00F07779">
        <w:t>During the relevant time frame</w:t>
      </w:r>
      <w:r w:rsidRPr="00FA3F57">
        <w:t>, 2025</w:t>
      </w:r>
      <w:proofErr w:type="gramStart"/>
      <w:r w:rsidRPr="00FA3F57">
        <w:t>- 2028</w:t>
      </w:r>
      <w:proofErr w:type="gramEnd"/>
      <w:r w:rsidRPr="00FA3F57">
        <w:t xml:space="preserve">, all the </w:t>
      </w:r>
      <w:proofErr w:type="gramStart"/>
      <w:r w:rsidRPr="00FA3F57">
        <w:t>aforementioned measures</w:t>
      </w:r>
      <w:proofErr w:type="gramEnd"/>
      <w:r w:rsidRPr="00FA3F57">
        <w:t xml:space="preserve"> are planned to be implemented.</w:t>
      </w:r>
    </w:p>
    <w:p w14:paraId="4EB9BAA1" w14:textId="77777777" w:rsidR="0094644B" w:rsidRPr="00F07779" w:rsidRDefault="0094644B" w:rsidP="0094644B">
      <w:pPr>
        <w:jc w:val="both"/>
      </w:pPr>
      <w:r w:rsidRPr="00FA3F57">
        <w:t xml:space="preserve">The objective of the </w:t>
      </w:r>
      <w:r w:rsidRPr="00FA3F57">
        <w:rPr>
          <w:b/>
          <w:bCs/>
        </w:rPr>
        <w:t>EE1 measure</w:t>
      </w:r>
      <w:r w:rsidRPr="00FA3F57">
        <w:t xml:space="preserve"> is to increase investments in technical energy efficiency measures in energy consumption sectors. Most activities focus on incentives in the building sector, which should dominantly impact energy efficiency in households and the public and commercial sectors. The following most significant incentive projects are identified:</w:t>
      </w:r>
    </w:p>
    <w:p w14:paraId="463996F8" w14:textId="77777777" w:rsidR="0094644B" w:rsidRPr="00F07779" w:rsidRDefault="0094644B" w:rsidP="0094644B">
      <w:pPr>
        <w:ind w:left="737" w:hanging="737"/>
        <w:jc w:val="both"/>
      </w:pPr>
      <w:r w:rsidRPr="00FA3F57">
        <w:t>ЕЕ1.1</w:t>
      </w:r>
      <w:r w:rsidRPr="00FA3F57">
        <w:tab/>
        <w:t xml:space="preserve">Energy renovation of residential, multi-family buildings connected to a district heating system - Public ESCO </w:t>
      </w:r>
      <w:proofErr w:type="gramStart"/>
      <w:r w:rsidRPr="00FA3F57">
        <w:t>Project;</w:t>
      </w:r>
      <w:proofErr w:type="gramEnd"/>
    </w:p>
    <w:p w14:paraId="2A6171D3" w14:textId="77777777" w:rsidR="0094644B" w:rsidRPr="00FA3F57" w:rsidRDefault="0094644B" w:rsidP="0094644B">
      <w:pPr>
        <w:ind w:left="737" w:hanging="737"/>
        <w:jc w:val="both"/>
      </w:pPr>
      <w:r w:rsidRPr="00FA3F57">
        <w:t>ЕЕ1.2</w:t>
      </w:r>
      <w:r w:rsidRPr="00FA3F57">
        <w:tab/>
        <w:t xml:space="preserve">Clean energy and energy efficiency for </w:t>
      </w:r>
      <w:proofErr w:type="gramStart"/>
      <w:r w:rsidRPr="00FA3F57">
        <w:t>citizens;</w:t>
      </w:r>
      <w:proofErr w:type="gramEnd"/>
    </w:p>
    <w:p w14:paraId="77587B4C" w14:textId="77777777" w:rsidR="0094644B" w:rsidRPr="00FA3F57" w:rsidRDefault="0094644B" w:rsidP="0094644B">
      <w:pPr>
        <w:ind w:left="737" w:hanging="737"/>
        <w:jc w:val="both"/>
      </w:pPr>
      <w:r w:rsidRPr="00FA3F57">
        <w:t>ЕЕ1.3</w:t>
      </w:r>
      <w:r w:rsidRPr="00FA3F57">
        <w:tab/>
        <w:t xml:space="preserve">Low-carbon plants phase </w:t>
      </w:r>
      <w:proofErr w:type="gramStart"/>
      <w:r w:rsidRPr="00FA3F57">
        <w:t>2;</w:t>
      </w:r>
      <w:proofErr w:type="gramEnd"/>
    </w:p>
    <w:p w14:paraId="187F1609" w14:textId="77777777" w:rsidR="0094644B" w:rsidRPr="00FA3F57" w:rsidRDefault="0094644B" w:rsidP="0094644B">
      <w:pPr>
        <w:ind w:left="737" w:hanging="737"/>
        <w:jc w:val="both"/>
      </w:pPr>
      <w:r w:rsidRPr="00FA3F57">
        <w:t>ЕЕ1.4</w:t>
      </w:r>
      <w:r w:rsidRPr="00FA3F57">
        <w:tab/>
        <w:t xml:space="preserve">National program for the energy renovation of public buildings in local self-government units and city municipalities </w:t>
      </w:r>
      <w:proofErr w:type="gramStart"/>
      <w:r w:rsidRPr="00FA3F57">
        <w:t>2024;</w:t>
      </w:r>
      <w:proofErr w:type="gramEnd"/>
    </w:p>
    <w:p w14:paraId="5E7D21D2" w14:textId="77777777" w:rsidR="0094644B" w:rsidRPr="00FA3F57" w:rsidRDefault="0094644B" w:rsidP="0094644B">
      <w:pPr>
        <w:ind w:left="737" w:hanging="737"/>
        <w:jc w:val="both"/>
      </w:pPr>
      <w:r w:rsidRPr="00FA3F57">
        <w:t>ЕЕ1.5</w:t>
      </w:r>
      <w:r w:rsidRPr="00FA3F57">
        <w:tab/>
        <w:t xml:space="preserve">National program for the installation of solar panels and accompanying installations </w:t>
      </w:r>
      <w:proofErr w:type="gramStart"/>
      <w:r w:rsidRPr="00FA3F57">
        <w:t>for the production of</w:t>
      </w:r>
      <w:proofErr w:type="gramEnd"/>
      <w:r w:rsidRPr="00FA3F57">
        <w:t xml:space="preserve"> electricity for own needs in facilities of public importance in local government units, as well as city municipalities </w:t>
      </w:r>
      <w:proofErr w:type="gramStart"/>
      <w:r w:rsidRPr="00FA3F57">
        <w:t>2024;</w:t>
      </w:r>
      <w:proofErr w:type="gramEnd"/>
      <w:r w:rsidRPr="00FA3F57">
        <w:t xml:space="preserve"> </w:t>
      </w:r>
    </w:p>
    <w:p w14:paraId="01876B3B" w14:textId="77777777" w:rsidR="0094644B" w:rsidRPr="00FA3F57" w:rsidRDefault="0094644B" w:rsidP="0094644B">
      <w:pPr>
        <w:ind w:left="737" w:hanging="737"/>
        <w:jc w:val="both"/>
      </w:pPr>
      <w:r w:rsidRPr="00FA3F57">
        <w:t>ЕЕ1.6</w:t>
      </w:r>
      <w:r w:rsidRPr="00FA3F57">
        <w:tab/>
        <w:t xml:space="preserve">National program for energy renovation of public buildings in local government units, as well as city municipalities in </w:t>
      </w:r>
      <w:proofErr w:type="gramStart"/>
      <w:r w:rsidRPr="00FA3F57">
        <w:t>2025-2028;</w:t>
      </w:r>
      <w:proofErr w:type="gramEnd"/>
    </w:p>
    <w:p w14:paraId="4329662A" w14:textId="77777777" w:rsidR="0094644B" w:rsidRPr="00FA3F57" w:rsidRDefault="0094644B" w:rsidP="0094644B">
      <w:pPr>
        <w:ind w:left="737" w:hanging="737"/>
        <w:jc w:val="both"/>
      </w:pPr>
      <w:r w:rsidRPr="00FA3F57">
        <w:t>ЕЕ1.7</w:t>
      </w:r>
      <w:r w:rsidRPr="00FA3F57">
        <w:tab/>
        <w:t xml:space="preserve">Energy efficiency in public buildings and renewable energy sources in the district heating sector (Greening the public sector) – Rehabilitation of the Military Medical </w:t>
      </w:r>
      <w:proofErr w:type="gramStart"/>
      <w:r w:rsidRPr="00FA3F57">
        <w:t>Academy;</w:t>
      </w:r>
      <w:proofErr w:type="gramEnd"/>
    </w:p>
    <w:p w14:paraId="264127C9" w14:textId="77777777" w:rsidR="0094644B" w:rsidRPr="00FA3F57" w:rsidRDefault="0094644B" w:rsidP="0094644B">
      <w:pPr>
        <w:ind w:left="737" w:hanging="737"/>
        <w:jc w:val="both"/>
      </w:pPr>
      <w:r w:rsidRPr="00FA3F57">
        <w:t>ЕЕ1.8</w:t>
      </w:r>
      <w:r w:rsidRPr="00FA3F57">
        <w:tab/>
        <w:t xml:space="preserve">Energy efficiency in central government </w:t>
      </w:r>
      <w:proofErr w:type="gramStart"/>
      <w:r w:rsidRPr="00FA3F57">
        <w:t>buildings;</w:t>
      </w:r>
      <w:proofErr w:type="gramEnd"/>
    </w:p>
    <w:p w14:paraId="2CA016BF" w14:textId="77777777" w:rsidR="0094644B" w:rsidRPr="00FA3F57" w:rsidRDefault="0094644B" w:rsidP="0094644B">
      <w:pPr>
        <w:ind w:left="737" w:hanging="737"/>
        <w:jc w:val="both"/>
      </w:pPr>
      <w:r w:rsidRPr="00FA3F57">
        <w:t>EE1.9</w:t>
      </w:r>
      <w:r w:rsidRPr="00FA3F57">
        <w:tab/>
        <w:t xml:space="preserve">Thermal rehabilitation of facilities – Institute of Sport and Sports Medicine of the Republic of Serbia (SRC </w:t>
      </w:r>
      <w:proofErr w:type="spellStart"/>
      <w:r w:rsidRPr="00FA3F57">
        <w:t>Košutnjak</w:t>
      </w:r>
      <w:proofErr w:type="spellEnd"/>
      <w:proofErr w:type="gramStart"/>
      <w:r w:rsidRPr="00FA3F57">
        <w:t>);</w:t>
      </w:r>
      <w:proofErr w:type="gramEnd"/>
    </w:p>
    <w:p w14:paraId="1495773B" w14:textId="77777777" w:rsidR="0094644B" w:rsidRPr="00FA3F57" w:rsidRDefault="0094644B" w:rsidP="0094644B">
      <w:pPr>
        <w:ind w:left="737" w:hanging="737"/>
        <w:jc w:val="both"/>
      </w:pPr>
      <w:r w:rsidRPr="00FA3F57">
        <w:t>ЕЕ1.10</w:t>
      </w:r>
      <w:r w:rsidRPr="00FA3F57">
        <w:tab/>
        <w:t xml:space="preserve">Thermal rehabilitation of facilities – Serbian Ministry of Internal Affairs Building – Novi </w:t>
      </w:r>
      <w:proofErr w:type="gramStart"/>
      <w:r w:rsidRPr="00FA3F57">
        <w:t>Sad;</w:t>
      </w:r>
      <w:proofErr w:type="gramEnd"/>
    </w:p>
    <w:p w14:paraId="450BBDBE" w14:textId="77777777" w:rsidR="0094644B" w:rsidRPr="00FA3F57" w:rsidRDefault="0094644B" w:rsidP="0094644B">
      <w:pPr>
        <w:ind w:left="737" w:hanging="737"/>
        <w:jc w:val="both"/>
      </w:pPr>
      <w:r w:rsidRPr="00FA3F57">
        <w:t>ЕЕ1.11</w:t>
      </w:r>
      <w:r w:rsidRPr="00FA3F57">
        <w:tab/>
        <w:t xml:space="preserve">IPARD III </w:t>
      </w:r>
      <w:proofErr w:type="spellStart"/>
      <w:r w:rsidRPr="00FA3F57">
        <w:t>Programme</w:t>
      </w:r>
      <w:proofErr w:type="spellEnd"/>
      <w:r w:rsidRPr="00FA3F57">
        <w:t xml:space="preserve"> for the Republic of Serbia for 2021-2027, Support Schemes for Encouraging Energy Efficiency in the Agricultural </w:t>
      </w:r>
      <w:proofErr w:type="gramStart"/>
      <w:r w:rsidRPr="00FA3F57">
        <w:t>Sector;</w:t>
      </w:r>
      <w:proofErr w:type="gramEnd"/>
    </w:p>
    <w:p w14:paraId="6E7AFB69" w14:textId="77777777" w:rsidR="0094644B" w:rsidRPr="00FA3F57" w:rsidRDefault="0094644B" w:rsidP="0094644B">
      <w:pPr>
        <w:ind w:left="737" w:hanging="737"/>
        <w:jc w:val="both"/>
      </w:pPr>
      <w:r w:rsidRPr="00FA3F57">
        <w:t>ЕЕ1.12</w:t>
      </w:r>
      <w:r w:rsidRPr="00FA3F57">
        <w:tab/>
        <w:t xml:space="preserve">Project to improve the energy efficiency of public buildings in the Autonomous Province of </w:t>
      </w:r>
      <w:proofErr w:type="gramStart"/>
      <w:r w:rsidRPr="00FA3F57">
        <w:t>Vojvodina;</w:t>
      </w:r>
      <w:proofErr w:type="gramEnd"/>
    </w:p>
    <w:p w14:paraId="7F0BDFBB" w14:textId="77777777" w:rsidR="0094644B" w:rsidRPr="00FA3F57" w:rsidRDefault="0094644B" w:rsidP="0094644B">
      <w:pPr>
        <w:ind w:left="737" w:hanging="737"/>
        <w:jc w:val="both"/>
      </w:pPr>
      <w:r w:rsidRPr="00FA3F57">
        <w:t>ЕЕ1.13</w:t>
      </w:r>
      <w:r w:rsidRPr="00FA3F57">
        <w:tab/>
        <w:t xml:space="preserve">Increasing energy efficiency in public </w:t>
      </w:r>
      <w:proofErr w:type="gramStart"/>
      <w:r w:rsidRPr="00FA3F57">
        <w:t>buildings;</w:t>
      </w:r>
      <w:proofErr w:type="gramEnd"/>
    </w:p>
    <w:p w14:paraId="0592FB0E" w14:textId="77777777" w:rsidR="0094644B" w:rsidRPr="00F07779" w:rsidRDefault="0094644B" w:rsidP="0094644B">
      <w:pPr>
        <w:ind w:left="737" w:hanging="737"/>
        <w:jc w:val="both"/>
        <w:rPr>
          <w:lang w:eastAsia="sr-Latn-RS"/>
        </w:rPr>
      </w:pPr>
      <w:r w:rsidRPr="00FA3F57">
        <w:t>ЕЕ1.14</w:t>
      </w:r>
      <w:r w:rsidRPr="00FA3F57">
        <w:tab/>
        <w:t xml:space="preserve">Rehabilitation of district heating systems in Serbia KFW – Phase </w:t>
      </w:r>
      <w:proofErr w:type="gramStart"/>
      <w:r w:rsidRPr="00FA3F57">
        <w:t>V</w:t>
      </w:r>
      <w:r w:rsidRPr="00F07779">
        <w:rPr>
          <w:lang w:eastAsia="sr-Latn-RS"/>
        </w:rPr>
        <w:t>;</w:t>
      </w:r>
      <w:proofErr w:type="gramEnd"/>
    </w:p>
    <w:p w14:paraId="72B5EDC6" w14:textId="77777777" w:rsidR="0094644B" w:rsidRPr="00FA3F57" w:rsidRDefault="0094644B" w:rsidP="0094644B">
      <w:pPr>
        <w:ind w:left="737" w:hanging="737"/>
        <w:jc w:val="both"/>
        <w:rPr>
          <w:lang w:eastAsia="sr-Latn-RS"/>
        </w:rPr>
      </w:pPr>
      <w:r w:rsidRPr="00FA3F57">
        <w:t>ЕЕ1.15</w:t>
      </w:r>
      <w:r w:rsidRPr="00FA3F57">
        <w:tab/>
        <w:t xml:space="preserve">Integration of renewable energy from solar thermal sources and heat pumps into the district heating system in Novi </w:t>
      </w:r>
      <w:proofErr w:type="gramStart"/>
      <w:r w:rsidRPr="00FA3F57">
        <w:t>Sad</w:t>
      </w:r>
      <w:r w:rsidRPr="00FA3F57">
        <w:rPr>
          <w:lang w:eastAsia="sr-Latn-RS"/>
        </w:rPr>
        <w:t>;</w:t>
      </w:r>
      <w:proofErr w:type="gramEnd"/>
    </w:p>
    <w:p w14:paraId="486FACC8" w14:textId="77777777" w:rsidR="0094644B" w:rsidRPr="00F07779" w:rsidRDefault="0094644B" w:rsidP="0094644B">
      <w:pPr>
        <w:ind w:left="737" w:hanging="737"/>
        <w:jc w:val="both"/>
        <w:rPr>
          <w:lang w:eastAsia="sr-Latn-RS"/>
        </w:rPr>
      </w:pPr>
      <w:r w:rsidRPr="00FA3F57">
        <w:t>ЕЕ1.16</w:t>
      </w:r>
      <w:r w:rsidRPr="00FA3F57">
        <w:rPr>
          <w:lang w:eastAsia="sr-Latn-RS"/>
        </w:rPr>
        <w:tab/>
        <w:t xml:space="preserve">Renewable energy sources in district heating systems in Serbia – phase </w:t>
      </w:r>
      <w:proofErr w:type="gramStart"/>
      <w:r w:rsidRPr="00FA3F57">
        <w:rPr>
          <w:lang w:eastAsia="sr-Latn-RS"/>
        </w:rPr>
        <w:t>I</w:t>
      </w:r>
      <w:r w:rsidRPr="00F07779">
        <w:rPr>
          <w:lang w:eastAsia="sr-Latn-RS"/>
        </w:rPr>
        <w:t>;</w:t>
      </w:r>
      <w:proofErr w:type="gramEnd"/>
    </w:p>
    <w:p w14:paraId="7F444533" w14:textId="77777777" w:rsidR="0094644B" w:rsidRPr="00FA3F57" w:rsidRDefault="0094644B" w:rsidP="0094644B">
      <w:pPr>
        <w:ind w:left="737" w:hanging="737"/>
        <w:jc w:val="both"/>
        <w:rPr>
          <w:lang w:eastAsia="sr-Latn-RS"/>
        </w:rPr>
      </w:pPr>
      <w:r w:rsidRPr="00F07779">
        <w:rPr>
          <w:lang w:eastAsia="sr-Latn-RS"/>
        </w:rPr>
        <w:t>EE1.1</w:t>
      </w:r>
      <w:r w:rsidRPr="00FA3F57">
        <w:rPr>
          <w:lang w:eastAsia="sr-Latn-RS"/>
        </w:rPr>
        <w:t>7</w:t>
      </w:r>
      <w:r w:rsidRPr="00F07779">
        <w:rPr>
          <w:lang w:eastAsia="sr-Latn-RS"/>
        </w:rPr>
        <w:tab/>
        <w:t xml:space="preserve">Biomass market development in the Republic of </w:t>
      </w:r>
      <w:proofErr w:type="gramStart"/>
      <w:r w:rsidRPr="00F07779">
        <w:rPr>
          <w:lang w:eastAsia="sr-Latn-RS"/>
        </w:rPr>
        <w:t>Serbia</w:t>
      </w:r>
      <w:r w:rsidRPr="00FA3F57">
        <w:rPr>
          <w:lang w:eastAsia="sr-Latn-RS"/>
        </w:rPr>
        <w:t>;</w:t>
      </w:r>
      <w:proofErr w:type="gramEnd"/>
    </w:p>
    <w:p w14:paraId="791FBFD8" w14:textId="77777777" w:rsidR="0094644B" w:rsidRPr="00FA3F57" w:rsidRDefault="0094644B" w:rsidP="0094644B">
      <w:pPr>
        <w:ind w:left="737" w:hanging="737"/>
        <w:jc w:val="both"/>
      </w:pPr>
      <w:r w:rsidRPr="00FA3F57">
        <w:rPr>
          <w:lang w:eastAsia="sr-Latn-RS"/>
        </w:rPr>
        <w:t>EE1.18</w:t>
      </w:r>
      <w:r w:rsidRPr="00FA3F57">
        <w:rPr>
          <w:lang w:eastAsia="sr-Latn-RS"/>
        </w:rPr>
        <w:tab/>
      </w:r>
      <w:r w:rsidRPr="00FA3F57">
        <w:t>Decarbonization of district heating</w:t>
      </w:r>
      <w:r w:rsidRPr="00F07779">
        <w:t xml:space="preserve"> </w:t>
      </w:r>
      <w:r w:rsidRPr="00FA3F57">
        <w:t>(</w:t>
      </w:r>
      <w:r w:rsidRPr="00F07779">
        <w:t>DDH</w:t>
      </w:r>
      <w:r w:rsidRPr="00FA3F57">
        <w:t>).</w:t>
      </w:r>
    </w:p>
    <w:p w14:paraId="520FA74C" w14:textId="77777777" w:rsidR="0094644B" w:rsidRPr="00FA3F57" w:rsidRDefault="0094644B" w:rsidP="0094644B">
      <w:pPr>
        <w:jc w:val="both"/>
      </w:pPr>
      <w:r w:rsidRPr="00FA3F57">
        <w:lastRenderedPageBreak/>
        <w:t xml:space="preserve">Activities EE1.1-EE1.10 are projects implemented by the Ministry of Mining and Energy, except for project EE1.3, which is financed through banks, with the Ministry as the institutional partner. The Ministry of Agriculture, Forestry, and Water Management is responsible </w:t>
      </w:r>
      <w:proofErr w:type="gramStart"/>
      <w:r w:rsidRPr="00FA3F57">
        <w:t>for activity</w:t>
      </w:r>
      <w:proofErr w:type="gramEnd"/>
      <w:r w:rsidRPr="00FA3F57">
        <w:t xml:space="preserve"> EE1.11. Activities EE1.12 and EE1.13 are under the jurisdiction of the Provincial Secretariat for Energy, Construction, and Transport. Activities EE1.14-EE1.18 are projects prepared and implemented by the Ministry of Mining and Energy, and they primarily relate to the thermal energy sector. More details on these projects can be found in Chapter 5.2.</w:t>
      </w:r>
    </w:p>
    <w:p w14:paraId="3D91E2C1" w14:textId="77777777" w:rsidR="0094644B" w:rsidRPr="00FA3F57" w:rsidRDefault="0094644B" w:rsidP="0094644B">
      <w:pPr>
        <w:jc w:val="both"/>
      </w:pPr>
      <w:r w:rsidRPr="00FA3F57">
        <w:t xml:space="preserve">The total value of investments for this measure amounts to approximately 191.8 billion dinars, including the previously mentioned projects in the thermal energy </w:t>
      </w:r>
      <w:proofErr w:type="gramStart"/>
      <w:r w:rsidRPr="00FA3F57">
        <w:t xml:space="preserve">sector (or </w:t>
      </w:r>
      <w:proofErr w:type="gramEnd"/>
      <w:r w:rsidRPr="00FA3F57">
        <w:t>126.4 billion RSD without them).</w:t>
      </w:r>
    </w:p>
    <w:p w14:paraId="20B4DF48" w14:textId="77777777" w:rsidR="0094644B" w:rsidRPr="00FA3F57" w:rsidRDefault="0094644B" w:rsidP="0094644B">
      <w:pPr>
        <w:jc w:val="both"/>
      </w:pPr>
      <w:r w:rsidRPr="00FA3F57">
        <w:t>The objective of the EE2 measure is to align domestic energy efficiency regulations with relevant EU regulations. The Ministry of Mining and Energy is continuously implementing this measure, and its costs are included in the regular budget for the Energy Efficiency Department within the Ministry. During 2026-2028, regulations on eco-design and energy labeling will be gradually adopted. Amendments and additions to the Law on Energy Efficiency and Rational Use of Energy are anticipated by the end of 2026. Afterward, the plan is to transpose the new European Energy Efficiency Directive (EU) 2023/1791 during 2027-2028.</w:t>
      </w:r>
    </w:p>
    <w:p w14:paraId="55E6867A" w14:textId="77777777" w:rsidR="0094644B" w:rsidRPr="00FA3F57" w:rsidRDefault="0094644B" w:rsidP="0094644B">
      <w:pPr>
        <w:jc w:val="both"/>
      </w:pPr>
      <w:r w:rsidRPr="00FA3F57">
        <w:t xml:space="preserve">The EE3 measure aims to strengthen the capacity of institutions that implement and monitor energy efficiency measures. It is planned to establish a working body that will implement the principle "Energy Efficiency First". This working body should be composed of representatives of different ministries, who would monitor and supervise large capital projects in the Republic of Serbia, with respect to the </w:t>
      </w:r>
      <w:proofErr w:type="gramStart"/>
      <w:r w:rsidRPr="00FA3F57">
        <w:t>aforementioned principle</w:t>
      </w:r>
      <w:proofErr w:type="gramEnd"/>
      <w:r w:rsidRPr="00FA3F57">
        <w:t>, which emphasizes the implementation of energy-saving solutions and prioritizes energy efficiency measures as the first step in addressing energy needs.</w:t>
      </w:r>
    </w:p>
    <w:p w14:paraId="07C1CE71" w14:textId="77777777" w:rsidR="0094644B" w:rsidRPr="00FA3F57" w:rsidRDefault="0094644B" w:rsidP="0094644B">
      <w:pPr>
        <w:jc w:val="both"/>
      </w:pPr>
      <w:r w:rsidRPr="00FA3F57">
        <w:t>The objective of the</w:t>
      </w:r>
      <w:r w:rsidRPr="00FA3F57">
        <w:rPr>
          <w:b/>
          <w:bCs/>
        </w:rPr>
        <w:t xml:space="preserve"> EE4</w:t>
      </w:r>
      <w:r w:rsidRPr="00FA3F57">
        <w:t xml:space="preserve"> </w:t>
      </w:r>
      <w:r w:rsidRPr="00FA3F57">
        <w:rPr>
          <w:b/>
          <w:bCs/>
        </w:rPr>
        <w:t>measure</w:t>
      </w:r>
      <w:r w:rsidRPr="00FA3F57">
        <w:t xml:space="preserve"> is further improvement of the legislative framework and regulations relating to energy efficiency in buildings, aligning them with relevant EU directives. This measure falls entirely under the jurisdiction of the Ministry of Construction, Transport and Infrastructure.</w:t>
      </w:r>
    </w:p>
    <w:p w14:paraId="3119698B" w14:textId="77777777" w:rsidR="0094644B" w:rsidRPr="00FA3F57" w:rsidRDefault="0094644B" w:rsidP="0094644B">
      <w:pPr>
        <w:jc w:val="both"/>
      </w:pPr>
      <w:r w:rsidRPr="00FA3F57">
        <w:t xml:space="preserve">The objective of </w:t>
      </w:r>
      <w:r w:rsidRPr="00F07779">
        <w:rPr>
          <w:b/>
          <w:bCs/>
        </w:rPr>
        <w:t>the EE5</w:t>
      </w:r>
      <w:r w:rsidRPr="00F07779">
        <w:t xml:space="preserve"> </w:t>
      </w:r>
      <w:r w:rsidRPr="00FA3F57">
        <w:rPr>
          <w:b/>
          <w:bCs/>
        </w:rPr>
        <w:t>mea</w:t>
      </w:r>
      <w:r w:rsidRPr="00F07779">
        <w:rPr>
          <w:b/>
          <w:bCs/>
        </w:rPr>
        <w:t>sure</w:t>
      </w:r>
      <w:r w:rsidRPr="00FA3F57">
        <w:rPr>
          <w:b/>
          <w:bCs/>
        </w:rPr>
        <w:t xml:space="preserve"> </w:t>
      </w:r>
      <w:r w:rsidRPr="00FA3F57">
        <w:t>is to ensure that, in public procurement, when ordering certain categories of goods, works and services, certain environmental parameters are taken into account as one of the criteria for awarding contracts, in addition to price and quality, in accordance with the Law on Public Procurement (Official Gazette of the Republic of Serbia, No. 92/2023). Environmental aspects, such as the life cycle of products, maintenance costs, water and electricity consumption, as well as the recycling of goods, should have an impact on the selection of bids.</w:t>
      </w:r>
    </w:p>
    <w:p w14:paraId="36F2BE95" w14:textId="77777777" w:rsidR="0094644B" w:rsidRPr="00FA3F57" w:rsidRDefault="0094644B" w:rsidP="0094644B">
      <w:pPr>
        <w:jc w:val="both"/>
      </w:pPr>
      <w:r w:rsidRPr="00FA3F57">
        <w:t xml:space="preserve">The objective of </w:t>
      </w:r>
      <w:r w:rsidRPr="00FA3F57">
        <w:rPr>
          <w:b/>
          <w:bCs/>
        </w:rPr>
        <w:t>the EE6 measure</w:t>
      </w:r>
      <w:r w:rsidRPr="00FA3F57">
        <w:t xml:space="preserve"> is to increase energy efficiency and reduce emissions of harmful gases by implementing the energy management system in industrial energy, public energy, and buildings. Within the framework of this measure, in the observed period until 2028, the project is being implemented:</w:t>
      </w:r>
    </w:p>
    <w:p w14:paraId="19861FBD" w14:textId="77777777" w:rsidR="0094644B" w:rsidRPr="00FA3F57" w:rsidRDefault="0094644B" w:rsidP="0094644B">
      <w:pPr>
        <w:keepNext/>
        <w:ind w:left="737" w:hanging="737"/>
        <w:jc w:val="both"/>
      </w:pPr>
      <w:r w:rsidRPr="00FA3F57">
        <w:t>ЕЕ6.1</w:t>
      </w:r>
      <w:r w:rsidRPr="00FA3F57">
        <w:tab/>
        <w:t>Improving the energy management system to increase investments in energy efficiency of public buildings in Serbia.</w:t>
      </w:r>
    </w:p>
    <w:p w14:paraId="497C65AF" w14:textId="77777777" w:rsidR="0094644B" w:rsidRPr="00FA3F57" w:rsidRDefault="0094644B" w:rsidP="0094644B">
      <w:pPr>
        <w:ind w:firstLine="720"/>
        <w:jc w:val="both"/>
      </w:pPr>
      <w:r w:rsidRPr="00FA3F57">
        <w:t>The value of the project is 149.4 million RSD.</w:t>
      </w:r>
    </w:p>
    <w:p w14:paraId="4455C41D" w14:textId="77777777" w:rsidR="0094644B" w:rsidRPr="00FA3F57" w:rsidRDefault="0094644B" w:rsidP="0094644B">
      <w:pPr>
        <w:jc w:val="both"/>
      </w:pPr>
      <w:r w:rsidRPr="00FA3F57">
        <w:t xml:space="preserve">It is important to note that in May 2025, the Faculty of Mechanical Engineering of the University of Belgrade began training energy advisors, who will conduct energy audits, by the Law on Energy Efficiency and Rational Use of Energy. Consequently, in the coming years, especially during 2027 and 2028, </w:t>
      </w:r>
      <w:r w:rsidRPr="00F07779">
        <w:t>wider</w:t>
      </w:r>
      <w:r w:rsidRPr="00FA3F57">
        <w:t xml:space="preserve"> use of these audits should be expected.</w:t>
      </w:r>
    </w:p>
    <w:p w14:paraId="295168B3" w14:textId="77777777" w:rsidR="0094644B" w:rsidRPr="00FA3F57" w:rsidRDefault="0094644B" w:rsidP="0094644B">
      <w:pPr>
        <w:jc w:val="both"/>
      </w:pPr>
      <w:r w:rsidRPr="00FA3F57">
        <w:t xml:space="preserve">The objective of </w:t>
      </w:r>
      <w:r w:rsidRPr="00F07779">
        <w:rPr>
          <w:b/>
          <w:bCs/>
        </w:rPr>
        <w:t>the EE7 measure</w:t>
      </w:r>
      <w:r w:rsidRPr="00FA3F57">
        <w:t xml:space="preserve"> is to comply with the new EU standards </w:t>
      </w:r>
      <w:r w:rsidRPr="00F07779">
        <w:t>regarding</w:t>
      </w:r>
      <w:r w:rsidRPr="00FA3F57">
        <w:t xml:space="preserve"> vehicle emissions and to switch to more efficient vehicles. The Ministry of Internal and Foreign Trade and the Ministry of Construction, Transport, and Infrastructure are responsible for these standards. Incentive measures for the switch to more efficient and </w:t>
      </w:r>
      <w:r w:rsidRPr="00FA3F57">
        <w:lastRenderedPageBreak/>
        <w:t>environmentally friendly vehicles have, until now, been under the responsibility of the Ministry of Environmental Protection.</w:t>
      </w:r>
    </w:p>
    <w:p w14:paraId="332A5E8A" w14:textId="77777777" w:rsidR="0094644B" w:rsidRPr="00FA3F57" w:rsidRDefault="0094644B" w:rsidP="0094644B">
      <w:pPr>
        <w:jc w:val="both"/>
      </w:pPr>
      <w:r w:rsidRPr="00FA3F57">
        <w:t xml:space="preserve">The objective of </w:t>
      </w:r>
      <w:r w:rsidRPr="00FA3F57">
        <w:rPr>
          <w:b/>
          <w:bCs/>
        </w:rPr>
        <w:t>the EE8 measure</w:t>
      </w:r>
      <w:r w:rsidRPr="00FA3F57">
        <w:t xml:space="preserve"> is to improve the existing systems for monitoring and tracking final energy consumption and savings. The monitoring is continuously carried out through all projects in the energy efficiency </w:t>
      </w:r>
      <w:r w:rsidRPr="00F07779">
        <w:t xml:space="preserve">sector </w:t>
      </w:r>
      <w:r w:rsidRPr="00FA3F57">
        <w:t>that are under the responsibility of the MoME</w:t>
      </w:r>
      <w:r w:rsidRPr="00F07779">
        <w:t xml:space="preserve">. In </w:t>
      </w:r>
      <w:r w:rsidRPr="00FA3F57">
        <w:t xml:space="preserve">the coming period, the implementation of a new, more technologically advanced system </w:t>
      </w:r>
      <w:r w:rsidRPr="00F07779">
        <w:t xml:space="preserve">should be </w:t>
      </w:r>
      <w:r w:rsidRPr="00FA3F57">
        <w:t xml:space="preserve">expected, </w:t>
      </w:r>
      <w:r w:rsidRPr="00F07779">
        <w:t>with</w:t>
      </w:r>
      <w:r w:rsidRPr="00FA3F57">
        <w:t xml:space="preserve"> more complex databases. </w:t>
      </w:r>
    </w:p>
    <w:p w14:paraId="7B79A0DB" w14:textId="77777777" w:rsidR="0094644B" w:rsidRPr="00FA3F57" w:rsidRDefault="0094644B" w:rsidP="0094644B">
      <w:pPr>
        <w:jc w:val="both"/>
      </w:pPr>
      <w:r w:rsidRPr="00FA3F57">
        <w:t xml:space="preserve">The objective of </w:t>
      </w:r>
      <w:r w:rsidRPr="00FA3F57">
        <w:rPr>
          <w:b/>
          <w:bCs/>
        </w:rPr>
        <w:t>the EE9 measure</w:t>
      </w:r>
      <w:r w:rsidRPr="00FA3F57">
        <w:t xml:space="preserve"> is to inform and educate the public, </w:t>
      </w:r>
      <w:proofErr w:type="gramStart"/>
      <w:r w:rsidRPr="00FA3F57">
        <w:t>in order to</w:t>
      </w:r>
      <w:proofErr w:type="gramEnd"/>
      <w:r w:rsidRPr="00FA3F57">
        <w:t xml:space="preserve"> influence general awareness on the issue of decarbonization and energy saving. This measure primarily includes activities on projects aimed at households and public buildings, but also in agriculture and the thermal energy sector. In other words, this measure includes all projects from the EE1 and EE6</w:t>
      </w:r>
      <w:r w:rsidRPr="00F07779">
        <w:t xml:space="preserve"> measures</w:t>
      </w:r>
      <w:r w:rsidRPr="00FA3F57">
        <w:t>.</w:t>
      </w:r>
    </w:p>
    <w:p w14:paraId="041CF1C4" w14:textId="77777777" w:rsidR="0094644B" w:rsidRPr="00FA3F57" w:rsidRDefault="0094644B" w:rsidP="0094644B">
      <w:pPr>
        <w:jc w:val="both"/>
      </w:pPr>
      <w:r w:rsidRPr="00FA3F57">
        <w:t xml:space="preserve">The investment </w:t>
      </w:r>
      <w:r w:rsidRPr="00F07779">
        <w:t xml:space="preserve">value </w:t>
      </w:r>
      <w:r w:rsidRPr="00FA3F57">
        <w:t xml:space="preserve">for this measure is approximately 191.9 billion </w:t>
      </w:r>
      <w:r w:rsidRPr="00F07779">
        <w:t>RSD</w:t>
      </w:r>
      <w:r w:rsidRPr="00FA3F57">
        <w:t xml:space="preserve"> (</w:t>
      </w:r>
      <w:r w:rsidRPr="00F07779">
        <w:t>already</w:t>
      </w:r>
      <w:r w:rsidRPr="00FA3F57">
        <w:t xml:space="preserve"> included in the investment values of the EE1 and EE6 measures), including the previously mentioned projects from the thermal energy sector.</w:t>
      </w:r>
    </w:p>
    <w:p w14:paraId="65739796" w14:textId="77777777" w:rsidR="0094644B" w:rsidRPr="00FA3F57" w:rsidRDefault="0094644B" w:rsidP="0094644B">
      <w:pPr>
        <w:spacing w:after="60"/>
        <w:jc w:val="both"/>
      </w:pPr>
      <w:r w:rsidRPr="00FA3F57">
        <w:t xml:space="preserve">The objective of </w:t>
      </w:r>
      <w:r w:rsidRPr="00FA3F57">
        <w:rPr>
          <w:b/>
          <w:bCs/>
        </w:rPr>
        <w:t>the EE10 measure</w:t>
      </w:r>
      <w:r w:rsidRPr="00FA3F57">
        <w:t xml:space="preserve"> is to improve energy efficiency, reduce losses, etc., primarily among energy management system taxpayers and large enterprises, as well as in the public sector, through the implementation of energy audits and energy efficiency measures. Within this measure, several activities, or projects, are planned, which mostly overlap with activities within other energy efficiency measures. These are:</w:t>
      </w:r>
      <w:r w:rsidRPr="00FA3F57" w:rsidDel="00176D74">
        <w:t xml:space="preserve"> </w:t>
      </w:r>
    </w:p>
    <w:p w14:paraId="1E8B35DA" w14:textId="77777777" w:rsidR="0094644B" w:rsidRPr="00FA3F57" w:rsidRDefault="0094644B" w:rsidP="0094644B">
      <w:pPr>
        <w:keepNext/>
        <w:ind w:left="737" w:hanging="737"/>
        <w:jc w:val="both"/>
      </w:pPr>
      <w:r w:rsidRPr="00FA3F57">
        <w:t>ЕЕ10.1</w:t>
      </w:r>
      <w:r w:rsidRPr="00FA3F57">
        <w:tab/>
        <w:t xml:space="preserve">National program for the energy renovation of public buildings in local self-government units and city municipalities 2024. </w:t>
      </w:r>
      <w:r w:rsidRPr="00F07779">
        <w:t>The identical</w:t>
      </w:r>
      <w:r w:rsidRPr="00FA3F57">
        <w:t xml:space="preserve"> activity as EE1.4 and ЕЕ9.</w:t>
      </w:r>
      <w:proofErr w:type="gramStart"/>
      <w:r w:rsidRPr="00FA3F57">
        <w:t>4;</w:t>
      </w:r>
      <w:proofErr w:type="gramEnd"/>
    </w:p>
    <w:p w14:paraId="5D9DB64C" w14:textId="77777777" w:rsidR="0094644B" w:rsidRPr="00FA3F57" w:rsidRDefault="0094644B" w:rsidP="0094644B">
      <w:pPr>
        <w:keepNext/>
        <w:ind w:left="737" w:hanging="737"/>
        <w:jc w:val="both"/>
      </w:pPr>
      <w:r w:rsidRPr="00FA3F57">
        <w:t>ЕЕ10.2</w:t>
      </w:r>
      <w:r w:rsidRPr="00FA3F57">
        <w:tab/>
        <w:t xml:space="preserve">National program for energy renovation of public buildings in local government units, as well as city municipalities in 2025-2028. </w:t>
      </w:r>
      <w:r w:rsidRPr="00F07779">
        <w:t>The identical</w:t>
      </w:r>
      <w:r w:rsidRPr="00FA3F57">
        <w:t xml:space="preserve"> activity as EE1.6 and EE9.</w:t>
      </w:r>
      <w:proofErr w:type="gramStart"/>
      <w:r w:rsidRPr="00FA3F57">
        <w:t>6;</w:t>
      </w:r>
      <w:proofErr w:type="gramEnd"/>
    </w:p>
    <w:p w14:paraId="0667741B" w14:textId="77777777" w:rsidR="0094644B" w:rsidRPr="00FA3F57" w:rsidRDefault="0094644B" w:rsidP="0094644B">
      <w:pPr>
        <w:keepNext/>
        <w:ind w:left="737" w:hanging="737"/>
        <w:jc w:val="both"/>
      </w:pPr>
      <w:r w:rsidRPr="00FA3F57">
        <w:t>ЕЕ10.3</w:t>
      </w:r>
      <w:r w:rsidRPr="00FA3F57">
        <w:tab/>
        <w:t>Energy efficiency in public buildings and renewable energy sources in the district heating sector (</w:t>
      </w:r>
      <w:r w:rsidRPr="00F07779">
        <w:t>“</w:t>
      </w:r>
      <w:r w:rsidRPr="00FA3F57">
        <w:t>Greening the public sector</w:t>
      </w:r>
      <w:r w:rsidRPr="00F07779">
        <w:t>”</w:t>
      </w:r>
      <w:r w:rsidRPr="00FA3F57">
        <w:t xml:space="preserve">) – Rehabilitation of the Military Medical Academy. </w:t>
      </w:r>
      <w:r w:rsidRPr="00F07779">
        <w:t>The identical</w:t>
      </w:r>
      <w:r w:rsidRPr="00FA3F57">
        <w:t xml:space="preserve"> activity as EE1.7 and EE9.</w:t>
      </w:r>
      <w:proofErr w:type="gramStart"/>
      <w:r w:rsidRPr="00FA3F57">
        <w:t>7;</w:t>
      </w:r>
      <w:proofErr w:type="gramEnd"/>
    </w:p>
    <w:p w14:paraId="49DDD1E7" w14:textId="77777777" w:rsidR="0094644B" w:rsidRPr="00FA3F57" w:rsidRDefault="0094644B" w:rsidP="0094644B">
      <w:pPr>
        <w:keepNext/>
        <w:ind w:left="737" w:hanging="737"/>
        <w:jc w:val="both"/>
      </w:pPr>
      <w:r w:rsidRPr="00FA3F57">
        <w:t>ЕЕ10.4</w:t>
      </w:r>
      <w:r w:rsidRPr="00FA3F57">
        <w:tab/>
        <w:t xml:space="preserve">Energy efficiency in central government buildings. </w:t>
      </w:r>
      <w:r w:rsidRPr="00F07779">
        <w:t>The identical</w:t>
      </w:r>
      <w:r w:rsidRPr="00FA3F57">
        <w:t xml:space="preserve"> activity as EE1.8 and EE9.</w:t>
      </w:r>
      <w:proofErr w:type="gramStart"/>
      <w:r w:rsidRPr="00FA3F57">
        <w:t>8;</w:t>
      </w:r>
      <w:proofErr w:type="gramEnd"/>
    </w:p>
    <w:p w14:paraId="5DCA5732" w14:textId="77777777" w:rsidR="0094644B" w:rsidRPr="00FA3F57" w:rsidRDefault="0094644B" w:rsidP="0094644B">
      <w:pPr>
        <w:keepNext/>
        <w:ind w:left="737" w:hanging="737"/>
        <w:jc w:val="both"/>
      </w:pPr>
      <w:r w:rsidRPr="00FA3F57">
        <w:t>EE10.5</w:t>
      </w:r>
      <w:r w:rsidRPr="00FA3F57">
        <w:tab/>
        <w:t xml:space="preserve">Thermal rehabilitation of facilities – Institute of Sport and Sports Medicine of the Republic of Serbia (SRC </w:t>
      </w:r>
      <w:proofErr w:type="spellStart"/>
      <w:r w:rsidRPr="00FA3F57">
        <w:t>Košutnjak</w:t>
      </w:r>
      <w:proofErr w:type="spellEnd"/>
      <w:r w:rsidRPr="00FA3F57">
        <w:t xml:space="preserve">). </w:t>
      </w:r>
      <w:r w:rsidRPr="00F07779">
        <w:t>The identical</w:t>
      </w:r>
      <w:r w:rsidRPr="00FA3F57">
        <w:t xml:space="preserve"> activity as EE1.9 and EE9.</w:t>
      </w:r>
      <w:proofErr w:type="gramStart"/>
      <w:r w:rsidRPr="00FA3F57">
        <w:t>9;</w:t>
      </w:r>
      <w:proofErr w:type="gramEnd"/>
    </w:p>
    <w:p w14:paraId="367FEF8F" w14:textId="77777777" w:rsidR="0094644B" w:rsidRPr="00FA3F57" w:rsidRDefault="0094644B" w:rsidP="0094644B">
      <w:pPr>
        <w:keepNext/>
        <w:ind w:left="737" w:hanging="737"/>
        <w:jc w:val="both"/>
      </w:pPr>
      <w:r w:rsidRPr="00FA3F57">
        <w:t>EE10.6</w:t>
      </w:r>
      <w:r w:rsidRPr="00FA3F57">
        <w:tab/>
        <w:t xml:space="preserve">Thermal rehabilitation of facilities – Serbian Ministry of Internal Affairs Building – Novi Sad. </w:t>
      </w:r>
      <w:r w:rsidRPr="00F07779">
        <w:t>The identical</w:t>
      </w:r>
      <w:r w:rsidRPr="00FA3F57">
        <w:t xml:space="preserve"> activity as EE1.10 and EE9.</w:t>
      </w:r>
      <w:proofErr w:type="gramStart"/>
      <w:r w:rsidRPr="00FA3F57">
        <w:t>10;</w:t>
      </w:r>
      <w:proofErr w:type="gramEnd"/>
    </w:p>
    <w:p w14:paraId="651604FB" w14:textId="77777777" w:rsidR="0094644B" w:rsidRPr="00FA3F57" w:rsidRDefault="0094644B" w:rsidP="0094644B">
      <w:pPr>
        <w:keepNext/>
        <w:ind w:left="737" w:hanging="737"/>
        <w:jc w:val="both"/>
      </w:pPr>
      <w:r w:rsidRPr="00FA3F57">
        <w:t>ЕЕ10.7</w:t>
      </w:r>
      <w:r w:rsidRPr="00FA3F57">
        <w:tab/>
        <w:t xml:space="preserve">Improving the energy management system to increase investments in energy efficiency of public buildings in Serbia. </w:t>
      </w:r>
      <w:r w:rsidRPr="00F07779">
        <w:t>The identical</w:t>
      </w:r>
      <w:r w:rsidRPr="00FA3F57">
        <w:t xml:space="preserve"> activity as EE6.1 and EE9.19.</w:t>
      </w:r>
    </w:p>
    <w:p w14:paraId="18CA0EB1" w14:textId="77777777" w:rsidR="0094644B" w:rsidRPr="00FA3F57" w:rsidRDefault="0094644B" w:rsidP="0094644B">
      <w:pPr>
        <w:spacing w:before="120"/>
        <w:jc w:val="both"/>
      </w:pPr>
      <w:r w:rsidRPr="00FA3F57">
        <w:t>The</w:t>
      </w:r>
      <w:r w:rsidRPr="00F07779">
        <w:t xml:space="preserve"> </w:t>
      </w:r>
      <w:r w:rsidRPr="00FA3F57">
        <w:t xml:space="preserve">investment </w:t>
      </w:r>
      <w:r w:rsidRPr="00F07779">
        <w:t xml:space="preserve">value </w:t>
      </w:r>
      <w:r w:rsidRPr="00FA3F57">
        <w:t xml:space="preserve">for this measure is approximately 38.8 billion </w:t>
      </w:r>
      <w:r w:rsidRPr="00F07779">
        <w:t>RSD</w:t>
      </w:r>
      <w:r w:rsidRPr="00FA3F57">
        <w:t xml:space="preserve"> (already included in the investment values</w:t>
      </w:r>
      <w:r w:rsidRPr="00F07779">
        <w:t xml:space="preserve"> of the</w:t>
      </w:r>
      <w:r w:rsidRPr="00FA3F57">
        <w:t xml:space="preserve"> EE1 and EE6</w:t>
      </w:r>
      <w:r w:rsidRPr="00F07779">
        <w:t xml:space="preserve"> </w:t>
      </w:r>
      <w:r w:rsidRPr="00FA3F57">
        <w:t>measures).</w:t>
      </w:r>
    </w:p>
    <w:p w14:paraId="1AA2594C" w14:textId="77777777" w:rsidR="0094644B" w:rsidRPr="00FA3F57" w:rsidRDefault="0094644B" w:rsidP="0094644B">
      <w:pPr>
        <w:jc w:val="both"/>
      </w:pPr>
      <w:r w:rsidRPr="00FA3F57">
        <w:t>A recapitulation of the above measures with investment values</w:t>
      </w:r>
      <w:r w:rsidRPr="00F07779">
        <w:t xml:space="preserve"> </w:t>
      </w:r>
      <w:r w:rsidRPr="00FA3F57">
        <w:t>and sources of financing is presented in Table 5.4.1.</w:t>
      </w:r>
    </w:p>
    <w:p w14:paraId="6148668A" w14:textId="77777777" w:rsidR="0094644B" w:rsidRPr="00FA3F57" w:rsidRDefault="0094644B" w:rsidP="0094644B">
      <w:pPr>
        <w:jc w:val="both"/>
      </w:pPr>
    </w:p>
    <w:p w14:paraId="3192A33C" w14:textId="77777777" w:rsidR="0094644B" w:rsidRPr="00FA3F57" w:rsidRDefault="0094644B" w:rsidP="0094644B">
      <w:pPr>
        <w:keepNext/>
        <w:jc w:val="both"/>
      </w:pPr>
      <w:r w:rsidRPr="00FA3F57">
        <w:t>Table 5.4.1: Energy efficiency measures</w:t>
      </w:r>
      <w:r w:rsidRPr="00FA3F57">
        <w:rPr>
          <w:rStyle w:val="FootnoteReference"/>
        </w:rPr>
        <w:footnoteReference w:id="23"/>
      </w:r>
      <w:r w:rsidRPr="00FA3F57">
        <w:rPr>
          <w:rStyle w:val="FootnoteReference"/>
        </w:rPr>
        <w:footnoteReference w:id="24"/>
      </w:r>
      <w:r w:rsidRPr="00FA3F57">
        <w:rPr>
          <w:rStyle w:val="FootnoteReference"/>
        </w:rPr>
        <w:footnoteReference w:id="25"/>
      </w:r>
      <w:r w:rsidRPr="00FA3F57">
        <w:rPr>
          <w:rStyle w:val="FootnoteReference"/>
        </w:rPr>
        <w:footnoteReference w:id="26"/>
      </w:r>
    </w:p>
    <w:tbl>
      <w:tblPr>
        <w:tblStyle w:val="TableGrid"/>
        <w:tblW w:w="5000" w:type="pct"/>
        <w:tblLayout w:type="fixed"/>
        <w:tblLook w:val="04A0" w:firstRow="1" w:lastRow="0" w:firstColumn="1" w:lastColumn="0" w:noHBand="0" w:noVBand="1"/>
      </w:tblPr>
      <w:tblGrid>
        <w:gridCol w:w="2078"/>
        <w:gridCol w:w="894"/>
        <w:gridCol w:w="851"/>
        <w:gridCol w:w="1701"/>
        <w:gridCol w:w="1560"/>
        <w:gridCol w:w="1631"/>
      </w:tblGrid>
      <w:tr w:rsidR="0094644B" w:rsidRPr="00F07779" w14:paraId="3C2CD65F" w14:textId="77777777" w:rsidTr="00FB5086">
        <w:tc>
          <w:tcPr>
            <w:tcW w:w="1192" w:type="pct"/>
            <w:vMerge w:val="restart"/>
          </w:tcPr>
          <w:p w14:paraId="618D0C3D" w14:textId="77777777" w:rsidR="0094644B" w:rsidRPr="00FA3F57" w:rsidRDefault="0094644B" w:rsidP="00FB5086">
            <w:pPr>
              <w:keepNext/>
              <w:spacing w:after="120"/>
              <w:jc w:val="both"/>
              <w:rPr>
                <w:sz w:val="20"/>
                <w:szCs w:val="20"/>
              </w:rPr>
            </w:pPr>
            <w:r w:rsidRPr="00FA3F57">
              <w:rPr>
                <w:sz w:val="20"/>
                <w:szCs w:val="20"/>
              </w:rPr>
              <w:t>Name</w:t>
            </w:r>
          </w:p>
        </w:tc>
        <w:tc>
          <w:tcPr>
            <w:tcW w:w="513" w:type="pct"/>
            <w:vMerge w:val="restart"/>
          </w:tcPr>
          <w:p w14:paraId="7B1B5906" w14:textId="77777777" w:rsidR="0094644B" w:rsidRPr="00FA3F57" w:rsidRDefault="0094644B" w:rsidP="00FB5086">
            <w:pPr>
              <w:keepNext/>
              <w:spacing w:after="120"/>
              <w:jc w:val="both"/>
              <w:rPr>
                <w:sz w:val="20"/>
                <w:szCs w:val="20"/>
              </w:rPr>
            </w:pPr>
            <w:r w:rsidRPr="00FA3F57">
              <w:rPr>
                <w:sz w:val="20"/>
                <w:szCs w:val="20"/>
              </w:rPr>
              <w:t>Type*</w:t>
            </w:r>
          </w:p>
        </w:tc>
        <w:tc>
          <w:tcPr>
            <w:tcW w:w="3295" w:type="pct"/>
            <w:gridSpan w:val="4"/>
          </w:tcPr>
          <w:p w14:paraId="6333255A" w14:textId="77777777" w:rsidR="0094644B" w:rsidRPr="00FA3F57" w:rsidRDefault="0094644B" w:rsidP="00FB5086">
            <w:pPr>
              <w:keepNext/>
              <w:spacing w:after="120"/>
              <w:jc w:val="both"/>
              <w:rPr>
                <w:sz w:val="20"/>
                <w:szCs w:val="20"/>
              </w:rPr>
            </w:pPr>
            <w:r w:rsidRPr="00FA3F57">
              <w:rPr>
                <w:sz w:val="20"/>
                <w:szCs w:val="20"/>
              </w:rPr>
              <w:t>Investment value</w:t>
            </w:r>
          </w:p>
        </w:tc>
      </w:tr>
      <w:tr w:rsidR="0094644B" w:rsidRPr="00F07779" w14:paraId="53B17B96" w14:textId="77777777" w:rsidTr="00FB5086">
        <w:tc>
          <w:tcPr>
            <w:tcW w:w="1192" w:type="pct"/>
            <w:vMerge/>
          </w:tcPr>
          <w:p w14:paraId="1F28CAD6" w14:textId="77777777" w:rsidR="0094644B" w:rsidRPr="00FA3F57" w:rsidRDefault="0094644B" w:rsidP="00FB5086">
            <w:pPr>
              <w:spacing w:after="120"/>
              <w:jc w:val="both"/>
              <w:rPr>
                <w:sz w:val="20"/>
                <w:szCs w:val="20"/>
              </w:rPr>
            </w:pPr>
          </w:p>
        </w:tc>
        <w:tc>
          <w:tcPr>
            <w:tcW w:w="513" w:type="pct"/>
            <w:vMerge/>
          </w:tcPr>
          <w:p w14:paraId="7AFA42CA" w14:textId="77777777" w:rsidR="0094644B" w:rsidRPr="00FA3F57" w:rsidRDefault="0094644B" w:rsidP="00FB5086">
            <w:pPr>
              <w:spacing w:after="120"/>
              <w:jc w:val="both"/>
              <w:rPr>
                <w:sz w:val="20"/>
                <w:szCs w:val="20"/>
              </w:rPr>
            </w:pPr>
          </w:p>
        </w:tc>
        <w:tc>
          <w:tcPr>
            <w:tcW w:w="488" w:type="pct"/>
          </w:tcPr>
          <w:p w14:paraId="6DE1316C" w14:textId="77777777" w:rsidR="0094644B" w:rsidRPr="00FA3F57" w:rsidRDefault="0094644B" w:rsidP="00FB5086">
            <w:pPr>
              <w:spacing w:after="120"/>
              <w:jc w:val="both"/>
              <w:rPr>
                <w:sz w:val="20"/>
                <w:szCs w:val="20"/>
              </w:rPr>
            </w:pPr>
            <w:r w:rsidRPr="00FA3F57">
              <w:rPr>
                <w:sz w:val="20"/>
                <w:szCs w:val="20"/>
              </w:rPr>
              <w:t>Year</w:t>
            </w:r>
          </w:p>
        </w:tc>
        <w:tc>
          <w:tcPr>
            <w:tcW w:w="976" w:type="pct"/>
          </w:tcPr>
          <w:p w14:paraId="7331E7C1" w14:textId="77777777" w:rsidR="0094644B" w:rsidRPr="00FA3F57" w:rsidRDefault="0094644B" w:rsidP="00FB5086">
            <w:pPr>
              <w:spacing w:after="120"/>
              <w:jc w:val="both"/>
              <w:rPr>
                <w:sz w:val="20"/>
                <w:szCs w:val="20"/>
              </w:rPr>
            </w:pPr>
            <w:r w:rsidRPr="00FA3F57">
              <w:rPr>
                <w:sz w:val="20"/>
                <w:szCs w:val="20"/>
              </w:rPr>
              <w:t>Budget RS/LSGU</w:t>
            </w:r>
          </w:p>
        </w:tc>
        <w:tc>
          <w:tcPr>
            <w:tcW w:w="895" w:type="pct"/>
          </w:tcPr>
          <w:p w14:paraId="5C94CA20" w14:textId="77777777" w:rsidR="0094644B" w:rsidRPr="00FA3F57" w:rsidRDefault="0094644B" w:rsidP="00FB5086">
            <w:pPr>
              <w:spacing w:after="120"/>
              <w:jc w:val="both"/>
              <w:rPr>
                <w:sz w:val="20"/>
                <w:szCs w:val="20"/>
              </w:rPr>
            </w:pPr>
            <w:r w:rsidRPr="00FA3F57">
              <w:rPr>
                <w:sz w:val="20"/>
                <w:szCs w:val="20"/>
              </w:rPr>
              <w:t>Own funds</w:t>
            </w:r>
          </w:p>
        </w:tc>
        <w:tc>
          <w:tcPr>
            <w:tcW w:w="936" w:type="pct"/>
          </w:tcPr>
          <w:p w14:paraId="531B26EF" w14:textId="77777777" w:rsidR="0094644B" w:rsidRPr="00FA3F57" w:rsidRDefault="0094644B" w:rsidP="00FB5086">
            <w:pPr>
              <w:spacing w:after="120"/>
              <w:jc w:val="both"/>
              <w:rPr>
                <w:sz w:val="20"/>
                <w:szCs w:val="20"/>
              </w:rPr>
            </w:pPr>
            <w:r w:rsidRPr="00FA3F57">
              <w:rPr>
                <w:sz w:val="20"/>
                <w:szCs w:val="20"/>
              </w:rPr>
              <w:t>Other sources</w:t>
            </w:r>
          </w:p>
        </w:tc>
      </w:tr>
      <w:tr w:rsidR="0094644B" w:rsidRPr="00F07779" w14:paraId="3802FF91" w14:textId="77777777" w:rsidTr="00FB5086">
        <w:trPr>
          <w:trHeight w:val="454"/>
        </w:trPr>
        <w:tc>
          <w:tcPr>
            <w:tcW w:w="1192" w:type="pct"/>
            <w:vMerge w:val="restart"/>
          </w:tcPr>
          <w:p w14:paraId="5ADEFE62" w14:textId="77777777" w:rsidR="0094644B" w:rsidRPr="00FA3F57" w:rsidRDefault="0094644B" w:rsidP="00FB5086">
            <w:pPr>
              <w:spacing w:after="120"/>
              <w:rPr>
                <w:sz w:val="20"/>
                <w:szCs w:val="20"/>
              </w:rPr>
            </w:pPr>
            <w:r w:rsidRPr="00FA3F57">
              <w:rPr>
                <w:sz w:val="20"/>
                <w:szCs w:val="20"/>
              </w:rPr>
              <w:t>ЕЕ1 Financial incentives aimed at increasing energy efficiency in all energy consumption sectors</w:t>
            </w:r>
          </w:p>
        </w:tc>
        <w:tc>
          <w:tcPr>
            <w:tcW w:w="513" w:type="pct"/>
            <w:vMerge w:val="restart"/>
          </w:tcPr>
          <w:p w14:paraId="37D1EE16" w14:textId="77777777" w:rsidR="0094644B" w:rsidRPr="00FA3F57" w:rsidRDefault="0094644B" w:rsidP="00FB5086">
            <w:pPr>
              <w:spacing w:after="120"/>
              <w:jc w:val="center"/>
              <w:rPr>
                <w:sz w:val="20"/>
                <w:szCs w:val="20"/>
              </w:rPr>
            </w:pPr>
            <w:r w:rsidRPr="00FA3F57">
              <w:rPr>
                <w:sz w:val="20"/>
                <w:szCs w:val="20"/>
              </w:rPr>
              <w:t>S</w:t>
            </w:r>
          </w:p>
          <w:p w14:paraId="0BA79ED5" w14:textId="77777777" w:rsidR="0094644B" w:rsidRPr="00FA3F57" w:rsidRDefault="0094644B" w:rsidP="00FB5086">
            <w:pPr>
              <w:spacing w:after="120"/>
              <w:jc w:val="center"/>
              <w:rPr>
                <w:sz w:val="20"/>
                <w:szCs w:val="20"/>
              </w:rPr>
            </w:pPr>
            <w:r w:rsidRPr="00FA3F57">
              <w:rPr>
                <w:sz w:val="20"/>
                <w:szCs w:val="20"/>
              </w:rPr>
              <w:lastRenderedPageBreak/>
              <w:t>F</w:t>
            </w:r>
          </w:p>
        </w:tc>
        <w:tc>
          <w:tcPr>
            <w:tcW w:w="488" w:type="pct"/>
            <w:vMerge w:val="restart"/>
            <w:vAlign w:val="center"/>
          </w:tcPr>
          <w:p w14:paraId="388506E1" w14:textId="77777777" w:rsidR="0094644B" w:rsidRPr="00FA3F57" w:rsidRDefault="0094644B" w:rsidP="00FB5086">
            <w:pPr>
              <w:jc w:val="center"/>
              <w:rPr>
                <w:sz w:val="20"/>
                <w:szCs w:val="20"/>
              </w:rPr>
            </w:pPr>
            <w:r w:rsidRPr="00FA3F57">
              <w:rPr>
                <w:sz w:val="20"/>
                <w:szCs w:val="20"/>
              </w:rPr>
              <w:lastRenderedPageBreak/>
              <w:t>2026</w:t>
            </w:r>
          </w:p>
        </w:tc>
        <w:tc>
          <w:tcPr>
            <w:tcW w:w="976" w:type="pct"/>
            <w:shd w:val="clear" w:color="auto" w:fill="D9D9D9" w:themeFill="background1" w:themeFillShade="D9"/>
            <w:vAlign w:val="center"/>
          </w:tcPr>
          <w:p w14:paraId="6265B3BD" w14:textId="77777777" w:rsidR="0094644B" w:rsidRPr="00FA3F57" w:rsidRDefault="0094644B" w:rsidP="00FB5086">
            <w:pPr>
              <w:jc w:val="right"/>
              <w:rPr>
                <w:sz w:val="18"/>
                <w:szCs w:val="18"/>
              </w:rPr>
            </w:pPr>
            <w:r w:rsidRPr="00FA3F57">
              <w:rPr>
                <w:sz w:val="18"/>
                <w:szCs w:val="18"/>
              </w:rPr>
              <w:t xml:space="preserve">7,491 </w:t>
            </w:r>
            <w:proofErr w:type="spellStart"/>
            <w:r w:rsidRPr="00FA3F57">
              <w:rPr>
                <w:sz w:val="18"/>
                <w:szCs w:val="18"/>
              </w:rPr>
              <w:t>mn</w:t>
            </w:r>
            <w:proofErr w:type="spellEnd"/>
            <w:r w:rsidRPr="00FA3F57">
              <w:rPr>
                <w:sz w:val="18"/>
                <w:szCs w:val="18"/>
              </w:rPr>
              <w:t xml:space="preserve"> RSD</w:t>
            </w:r>
          </w:p>
          <w:p w14:paraId="72AD36DE" w14:textId="77777777" w:rsidR="0094644B" w:rsidRPr="00FA3F57" w:rsidRDefault="0094644B" w:rsidP="00FB5086">
            <w:pPr>
              <w:jc w:val="right"/>
              <w:rPr>
                <w:sz w:val="18"/>
                <w:szCs w:val="18"/>
              </w:rPr>
            </w:pPr>
            <w:r w:rsidRPr="00FA3F57">
              <w:rPr>
                <w:sz w:val="18"/>
                <w:szCs w:val="18"/>
              </w:rPr>
              <w:t xml:space="preserve">63.9 </w:t>
            </w:r>
            <w:proofErr w:type="spellStart"/>
            <w:r w:rsidRPr="00FA3F57">
              <w:rPr>
                <w:sz w:val="18"/>
                <w:szCs w:val="18"/>
              </w:rPr>
              <w:t>mn</w:t>
            </w:r>
            <w:proofErr w:type="spellEnd"/>
            <w:r w:rsidRPr="00FA3F57">
              <w:rPr>
                <w:sz w:val="18"/>
                <w:szCs w:val="18"/>
              </w:rPr>
              <w:t xml:space="preserve"> EUR</w:t>
            </w:r>
          </w:p>
        </w:tc>
        <w:tc>
          <w:tcPr>
            <w:tcW w:w="895" w:type="pct"/>
            <w:shd w:val="clear" w:color="auto" w:fill="D9D9D9" w:themeFill="background1" w:themeFillShade="D9"/>
            <w:vAlign w:val="center"/>
          </w:tcPr>
          <w:p w14:paraId="7A1EE159" w14:textId="77777777" w:rsidR="0094644B" w:rsidRPr="00FA3F57" w:rsidRDefault="0094644B" w:rsidP="00FB5086">
            <w:pPr>
              <w:jc w:val="right"/>
              <w:rPr>
                <w:sz w:val="18"/>
                <w:szCs w:val="18"/>
              </w:rPr>
            </w:pPr>
            <w:r w:rsidRPr="00FA3F57">
              <w:rPr>
                <w:sz w:val="18"/>
                <w:szCs w:val="18"/>
              </w:rPr>
              <w:t>0</w:t>
            </w:r>
          </w:p>
        </w:tc>
        <w:tc>
          <w:tcPr>
            <w:tcW w:w="936" w:type="pct"/>
            <w:shd w:val="clear" w:color="auto" w:fill="D9D9D9" w:themeFill="background1" w:themeFillShade="D9"/>
            <w:vAlign w:val="center"/>
          </w:tcPr>
          <w:p w14:paraId="0DB81988" w14:textId="77777777" w:rsidR="0094644B" w:rsidRPr="00FA3F57" w:rsidRDefault="0094644B" w:rsidP="00FB5086">
            <w:pPr>
              <w:jc w:val="right"/>
              <w:rPr>
                <w:sz w:val="18"/>
                <w:szCs w:val="18"/>
              </w:rPr>
            </w:pPr>
            <w:r w:rsidRPr="00FA3F57">
              <w:rPr>
                <w:sz w:val="18"/>
                <w:szCs w:val="18"/>
              </w:rPr>
              <w:t xml:space="preserve">2,330 </w:t>
            </w:r>
            <w:proofErr w:type="spellStart"/>
            <w:r w:rsidRPr="00FA3F57">
              <w:rPr>
                <w:sz w:val="18"/>
                <w:szCs w:val="18"/>
              </w:rPr>
              <w:t>mn</w:t>
            </w:r>
            <w:proofErr w:type="spellEnd"/>
            <w:r w:rsidRPr="00FA3F57">
              <w:rPr>
                <w:sz w:val="18"/>
                <w:szCs w:val="18"/>
              </w:rPr>
              <w:t xml:space="preserve"> RSD</w:t>
            </w:r>
          </w:p>
          <w:p w14:paraId="6AB8362B" w14:textId="77777777" w:rsidR="0094644B" w:rsidRPr="00FA3F57" w:rsidRDefault="0094644B" w:rsidP="00FB5086">
            <w:pPr>
              <w:jc w:val="right"/>
              <w:rPr>
                <w:sz w:val="18"/>
                <w:szCs w:val="18"/>
              </w:rPr>
            </w:pPr>
            <w:r w:rsidRPr="00FA3F57">
              <w:rPr>
                <w:sz w:val="18"/>
                <w:szCs w:val="18"/>
              </w:rPr>
              <w:t xml:space="preserve">19.9 </w:t>
            </w:r>
            <w:proofErr w:type="spellStart"/>
            <w:r w:rsidRPr="00FA3F57">
              <w:rPr>
                <w:sz w:val="18"/>
                <w:szCs w:val="18"/>
              </w:rPr>
              <w:t>mn</w:t>
            </w:r>
            <w:proofErr w:type="spellEnd"/>
            <w:r w:rsidRPr="00FA3F57">
              <w:rPr>
                <w:sz w:val="18"/>
                <w:szCs w:val="18"/>
              </w:rPr>
              <w:t xml:space="preserve"> EUR</w:t>
            </w:r>
          </w:p>
        </w:tc>
      </w:tr>
      <w:tr w:rsidR="0094644B" w:rsidRPr="00F07779" w14:paraId="64D1860E" w14:textId="77777777" w:rsidTr="00FB5086">
        <w:trPr>
          <w:trHeight w:val="454"/>
        </w:trPr>
        <w:tc>
          <w:tcPr>
            <w:tcW w:w="1192" w:type="pct"/>
            <w:vMerge/>
          </w:tcPr>
          <w:p w14:paraId="66131F63" w14:textId="77777777" w:rsidR="0094644B" w:rsidRPr="00FA3F57" w:rsidRDefault="0094644B" w:rsidP="00FB5086">
            <w:pPr>
              <w:spacing w:after="120"/>
              <w:rPr>
                <w:sz w:val="20"/>
                <w:szCs w:val="20"/>
              </w:rPr>
            </w:pPr>
          </w:p>
        </w:tc>
        <w:tc>
          <w:tcPr>
            <w:tcW w:w="513" w:type="pct"/>
            <w:vMerge/>
          </w:tcPr>
          <w:p w14:paraId="06A7FE46" w14:textId="77777777" w:rsidR="0094644B" w:rsidRPr="00FA3F57" w:rsidRDefault="0094644B" w:rsidP="00FB5086">
            <w:pPr>
              <w:spacing w:after="120"/>
              <w:jc w:val="center"/>
              <w:rPr>
                <w:sz w:val="20"/>
                <w:szCs w:val="20"/>
              </w:rPr>
            </w:pPr>
          </w:p>
        </w:tc>
        <w:tc>
          <w:tcPr>
            <w:tcW w:w="488" w:type="pct"/>
            <w:vMerge/>
            <w:vAlign w:val="center"/>
          </w:tcPr>
          <w:p w14:paraId="75D266B8" w14:textId="77777777" w:rsidR="0094644B" w:rsidRPr="00FA3F57" w:rsidRDefault="0094644B" w:rsidP="00FB5086">
            <w:pPr>
              <w:jc w:val="center"/>
              <w:rPr>
                <w:sz w:val="20"/>
                <w:szCs w:val="20"/>
              </w:rPr>
            </w:pPr>
          </w:p>
        </w:tc>
        <w:tc>
          <w:tcPr>
            <w:tcW w:w="976" w:type="pct"/>
            <w:vAlign w:val="center"/>
          </w:tcPr>
          <w:p w14:paraId="23BB8FE4" w14:textId="77777777" w:rsidR="0094644B" w:rsidRPr="00FA3F57" w:rsidRDefault="0094644B" w:rsidP="00FB5086">
            <w:pPr>
              <w:jc w:val="right"/>
              <w:rPr>
                <w:sz w:val="18"/>
                <w:szCs w:val="18"/>
              </w:rPr>
            </w:pPr>
            <w:r w:rsidRPr="00FA3F57">
              <w:rPr>
                <w:sz w:val="18"/>
                <w:szCs w:val="18"/>
              </w:rPr>
              <w:t xml:space="preserve">2,966 </w:t>
            </w:r>
            <w:proofErr w:type="spellStart"/>
            <w:r w:rsidRPr="00FA3F57">
              <w:rPr>
                <w:sz w:val="18"/>
                <w:szCs w:val="18"/>
              </w:rPr>
              <w:t>mn</w:t>
            </w:r>
            <w:proofErr w:type="spellEnd"/>
            <w:r w:rsidRPr="00FA3F57">
              <w:rPr>
                <w:sz w:val="18"/>
                <w:szCs w:val="18"/>
              </w:rPr>
              <w:t xml:space="preserve"> RSD</w:t>
            </w:r>
          </w:p>
          <w:p w14:paraId="6D8BD8CB" w14:textId="77777777" w:rsidR="0094644B" w:rsidRPr="00FA3F57" w:rsidRDefault="0094644B" w:rsidP="00FB5086">
            <w:pPr>
              <w:jc w:val="right"/>
              <w:rPr>
                <w:sz w:val="18"/>
                <w:szCs w:val="18"/>
              </w:rPr>
            </w:pPr>
            <w:r w:rsidRPr="00FA3F57">
              <w:rPr>
                <w:sz w:val="18"/>
                <w:szCs w:val="18"/>
              </w:rPr>
              <w:t xml:space="preserve">25.3 </w:t>
            </w:r>
            <w:proofErr w:type="spellStart"/>
            <w:r w:rsidRPr="00FA3F57">
              <w:rPr>
                <w:sz w:val="18"/>
                <w:szCs w:val="18"/>
              </w:rPr>
              <w:t>mn</w:t>
            </w:r>
            <w:proofErr w:type="spellEnd"/>
            <w:r w:rsidRPr="00FA3F57">
              <w:rPr>
                <w:sz w:val="18"/>
                <w:szCs w:val="18"/>
              </w:rPr>
              <w:t xml:space="preserve"> EUR</w:t>
            </w:r>
          </w:p>
        </w:tc>
        <w:tc>
          <w:tcPr>
            <w:tcW w:w="895" w:type="pct"/>
            <w:vAlign w:val="center"/>
          </w:tcPr>
          <w:p w14:paraId="2908E214" w14:textId="77777777" w:rsidR="0094644B" w:rsidRPr="00FA3F57" w:rsidRDefault="0094644B" w:rsidP="00FB5086">
            <w:pPr>
              <w:jc w:val="right"/>
              <w:rPr>
                <w:sz w:val="18"/>
                <w:szCs w:val="18"/>
              </w:rPr>
            </w:pPr>
            <w:r w:rsidRPr="00FA3F57">
              <w:rPr>
                <w:sz w:val="18"/>
                <w:szCs w:val="18"/>
              </w:rPr>
              <w:t>0</w:t>
            </w:r>
          </w:p>
        </w:tc>
        <w:tc>
          <w:tcPr>
            <w:tcW w:w="936" w:type="pct"/>
            <w:vAlign w:val="center"/>
          </w:tcPr>
          <w:p w14:paraId="54D5D655" w14:textId="77777777" w:rsidR="0094644B" w:rsidRPr="00FA3F57" w:rsidRDefault="0094644B" w:rsidP="00FB5086">
            <w:pPr>
              <w:jc w:val="right"/>
              <w:rPr>
                <w:sz w:val="18"/>
                <w:szCs w:val="18"/>
              </w:rPr>
            </w:pPr>
            <w:r w:rsidRPr="00FA3F57">
              <w:rPr>
                <w:sz w:val="18"/>
                <w:szCs w:val="18"/>
              </w:rPr>
              <w:t xml:space="preserve">489 </w:t>
            </w:r>
            <w:proofErr w:type="spellStart"/>
            <w:r w:rsidRPr="00FA3F57">
              <w:rPr>
                <w:sz w:val="18"/>
                <w:szCs w:val="18"/>
              </w:rPr>
              <w:t>mn</w:t>
            </w:r>
            <w:proofErr w:type="spellEnd"/>
            <w:r w:rsidRPr="00FA3F57">
              <w:rPr>
                <w:sz w:val="18"/>
                <w:szCs w:val="18"/>
              </w:rPr>
              <w:t xml:space="preserve"> RSD</w:t>
            </w:r>
          </w:p>
          <w:p w14:paraId="2A8C5625" w14:textId="77777777" w:rsidR="0094644B" w:rsidRPr="00FA3F57" w:rsidRDefault="0094644B" w:rsidP="00FB5086">
            <w:pPr>
              <w:jc w:val="right"/>
              <w:rPr>
                <w:sz w:val="18"/>
                <w:szCs w:val="18"/>
              </w:rPr>
            </w:pPr>
            <w:r w:rsidRPr="00FA3F57">
              <w:rPr>
                <w:sz w:val="18"/>
                <w:szCs w:val="18"/>
              </w:rPr>
              <w:t xml:space="preserve">4.2 </w:t>
            </w:r>
            <w:proofErr w:type="spellStart"/>
            <w:r w:rsidRPr="00FA3F57">
              <w:rPr>
                <w:sz w:val="18"/>
                <w:szCs w:val="18"/>
              </w:rPr>
              <w:t>mn</w:t>
            </w:r>
            <w:proofErr w:type="spellEnd"/>
            <w:r w:rsidRPr="00FA3F57">
              <w:rPr>
                <w:sz w:val="18"/>
                <w:szCs w:val="18"/>
              </w:rPr>
              <w:t xml:space="preserve"> EUR</w:t>
            </w:r>
          </w:p>
        </w:tc>
      </w:tr>
      <w:tr w:rsidR="0094644B" w:rsidRPr="00F07779" w14:paraId="5A1173A4" w14:textId="77777777" w:rsidTr="00FB5086">
        <w:trPr>
          <w:trHeight w:val="454"/>
        </w:trPr>
        <w:tc>
          <w:tcPr>
            <w:tcW w:w="1192" w:type="pct"/>
            <w:vMerge/>
          </w:tcPr>
          <w:p w14:paraId="5510C544" w14:textId="77777777" w:rsidR="0094644B" w:rsidRPr="00FA3F57" w:rsidRDefault="0094644B" w:rsidP="00FB5086">
            <w:pPr>
              <w:spacing w:after="120"/>
              <w:rPr>
                <w:sz w:val="20"/>
                <w:szCs w:val="20"/>
              </w:rPr>
            </w:pPr>
          </w:p>
        </w:tc>
        <w:tc>
          <w:tcPr>
            <w:tcW w:w="513" w:type="pct"/>
            <w:vMerge/>
          </w:tcPr>
          <w:p w14:paraId="7F6C970B" w14:textId="77777777" w:rsidR="0094644B" w:rsidRPr="00FA3F57" w:rsidRDefault="0094644B" w:rsidP="00FB5086">
            <w:pPr>
              <w:spacing w:after="120"/>
              <w:jc w:val="center"/>
              <w:rPr>
                <w:sz w:val="20"/>
                <w:szCs w:val="20"/>
              </w:rPr>
            </w:pPr>
          </w:p>
        </w:tc>
        <w:tc>
          <w:tcPr>
            <w:tcW w:w="488" w:type="pct"/>
            <w:vMerge w:val="restart"/>
            <w:vAlign w:val="center"/>
          </w:tcPr>
          <w:p w14:paraId="03EB7CEE" w14:textId="77777777" w:rsidR="0094644B" w:rsidRPr="00FA3F57" w:rsidRDefault="0094644B" w:rsidP="00FB5086">
            <w:pPr>
              <w:jc w:val="center"/>
              <w:rPr>
                <w:sz w:val="20"/>
                <w:szCs w:val="20"/>
              </w:rPr>
            </w:pPr>
            <w:r w:rsidRPr="00FA3F57">
              <w:rPr>
                <w:sz w:val="20"/>
                <w:szCs w:val="20"/>
              </w:rPr>
              <w:t>2027</w:t>
            </w:r>
          </w:p>
        </w:tc>
        <w:tc>
          <w:tcPr>
            <w:tcW w:w="976" w:type="pct"/>
            <w:shd w:val="clear" w:color="auto" w:fill="D9D9D9" w:themeFill="background1" w:themeFillShade="D9"/>
            <w:vAlign w:val="center"/>
          </w:tcPr>
          <w:p w14:paraId="7C247AB8" w14:textId="77777777" w:rsidR="0094644B" w:rsidRPr="00FA3F57" w:rsidRDefault="0094644B" w:rsidP="00FB5086">
            <w:pPr>
              <w:jc w:val="right"/>
              <w:rPr>
                <w:sz w:val="18"/>
                <w:szCs w:val="18"/>
              </w:rPr>
            </w:pPr>
            <w:r w:rsidRPr="00FA3F57">
              <w:rPr>
                <w:sz w:val="18"/>
                <w:szCs w:val="18"/>
              </w:rPr>
              <w:t xml:space="preserve">8,781 </w:t>
            </w:r>
            <w:proofErr w:type="spellStart"/>
            <w:r w:rsidRPr="00FA3F57">
              <w:rPr>
                <w:sz w:val="18"/>
                <w:szCs w:val="18"/>
              </w:rPr>
              <w:t>mn</w:t>
            </w:r>
            <w:proofErr w:type="spellEnd"/>
            <w:r w:rsidRPr="00FA3F57">
              <w:rPr>
                <w:sz w:val="18"/>
                <w:szCs w:val="18"/>
              </w:rPr>
              <w:t xml:space="preserve"> RSD</w:t>
            </w:r>
          </w:p>
          <w:p w14:paraId="1E84D0E5" w14:textId="77777777" w:rsidR="0094644B" w:rsidRPr="00FA3F57" w:rsidRDefault="0094644B" w:rsidP="00FB5086">
            <w:pPr>
              <w:jc w:val="right"/>
              <w:rPr>
                <w:sz w:val="18"/>
                <w:szCs w:val="18"/>
              </w:rPr>
            </w:pPr>
            <w:r w:rsidRPr="00FA3F57">
              <w:rPr>
                <w:sz w:val="18"/>
                <w:szCs w:val="18"/>
              </w:rPr>
              <w:t xml:space="preserve">74.9 </w:t>
            </w:r>
            <w:proofErr w:type="spellStart"/>
            <w:r w:rsidRPr="00FA3F57">
              <w:rPr>
                <w:sz w:val="18"/>
                <w:szCs w:val="18"/>
              </w:rPr>
              <w:t>mn</w:t>
            </w:r>
            <w:proofErr w:type="spellEnd"/>
            <w:r w:rsidRPr="00FA3F57">
              <w:rPr>
                <w:sz w:val="18"/>
                <w:szCs w:val="18"/>
              </w:rPr>
              <w:t xml:space="preserve"> EUR</w:t>
            </w:r>
          </w:p>
        </w:tc>
        <w:tc>
          <w:tcPr>
            <w:tcW w:w="895" w:type="pct"/>
            <w:shd w:val="clear" w:color="auto" w:fill="D9D9D9" w:themeFill="background1" w:themeFillShade="D9"/>
            <w:vAlign w:val="center"/>
          </w:tcPr>
          <w:p w14:paraId="684E91F8" w14:textId="77777777" w:rsidR="0094644B" w:rsidRPr="00FA3F57" w:rsidRDefault="0094644B" w:rsidP="00FB5086">
            <w:pPr>
              <w:jc w:val="right"/>
              <w:rPr>
                <w:sz w:val="18"/>
                <w:szCs w:val="18"/>
              </w:rPr>
            </w:pPr>
            <w:r w:rsidRPr="00FA3F57">
              <w:rPr>
                <w:sz w:val="18"/>
                <w:szCs w:val="18"/>
              </w:rPr>
              <w:t>0</w:t>
            </w:r>
          </w:p>
        </w:tc>
        <w:tc>
          <w:tcPr>
            <w:tcW w:w="936" w:type="pct"/>
            <w:shd w:val="clear" w:color="auto" w:fill="D9D9D9" w:themeFill="background1" w:themeFillShade="D9"/>
            <w:vAlign w:val="center"/>
          </w:tcPr>
          <w:p w14:paraId="2942BA73" w14:textId="77777777" w:rsidR="0094644B" w:rsidRPr="00FA3F57" w:rsidRDefault="0094644B" w:rsidP="00FB5086">
            <w:pPr>
              <w:jc w:val="right"/>
              <w:rPr>
                <w:sz w:val="18"/>
                <w:szCs w:val="18"/>
              </w:rPr>
            </w:pPr>
            <w:r w:rsidRPr="00FA3F57">
              <w:rPr>
                <w:sz w:val="18"/>
                <w:szCs w:val="18"/>
              </w:rPr>
              <w:t xml:space="preserve">3,863 </w:t>
            </w:r>
            <w:proofErr w:type="spellStart"/>
            <w:r w:rsidRPr="00FA3F57">
              <w:rPr>
                <w:sz w:val="18"/>
                <w:szCs w:val="18"/>
              </w:rPr>
              <w:t>mn</w:t>
            </w:r>
            <w:proofErr w:type="spellEnd"/>
            <w:r w:rsidRPr="00FA3F57">
              <w:rPr>
                <w:sz w:val="18"/>
                <w:szCs w:val="18"/>
              </w:rPr>
              <w:t xml:space="preserve"> RSD</w:t>
            </w:r>
          </w:p>
          <w:p w14:paraId="7FF7A211" w14:textId="77777777" w:rsidR="0094644B" w:rsidRPr="00FA3F57" w:rsidRDefault="0094644B" w:rsidP="00FB5086">
            <w:pPr>
              <w:jc w:val="right"/>
              <w:rPr>
                <w:sz w:val="18"/>
                <w:szCs w:val="18"/>
              </w:rPr>
            </w:pPr>
            <w:r w:rsidRPr="00FA3F57">
              <w:rPr>
                <w:sz w:val="18"/>
                <w:szCs w:val="18"/>
              </w:rPr>
              <w:t xml:space="preserve">32.9 </w:t>
            </w:r>
            <w:proofErr w:type="spellStart"/>
            <w:r w:rsidRPr="00FA3F57">
              <w:rPr>
                <w:sz w:val="18"/>
                <w:szCs w:val="18"/>
              </w:rPr>
              <w:t>mn</w:t>
            </w:r>
            <w:proofErr w:type="spellEnd"/>
            <w:r w:rsidRPr="00FA3F57">
              <w:rPr>
                <w:sz w:val="18"/>
                <w:szCs w:val="18"/>
              </w:rPr>
              <w:t xml:space="preserve"> EUR</w:t>
            </w:r>
          </w:p>
        </w:tc>
      </w:tr>
      <w:tr w:rsidR="0094644B" w:rsidRPr="00F07779" w14:paraId="58B08D18" w14:textId="77777777" w:rsidTr="00FB5086">
        <w:trPr>
          <w:trHeight w:val="454"/>
        </w:trPr>
        <w:tc>
          <w:tcPr>
            <w:tcW w:w="1192" w:type="pct"/>
            <w:vMerge/>
          </w:tcPr>
          <w:p w14:paraId="6A8E3204" w14:textId="77777777" w:rsidR="0094644B" w:rsidRPr="00FA3F57" w:rsidRDefault="0094644B" w:rsidP="00FB5086">
            <w:pPr>
              <w:spacing w:after="120"/>
              <w:rPr>
                <w:sz w:val="20"/>
                <w:szCs w:val="20"/>
              </w:rPr>
            </w:pPr>
          </w:p>
        </w:tc>
        <w:tc>
          <w:tcPr>
            <w:tcW w:w="513" w:type="pct"/>
            <w:vMerge/>
          </w:tcPr>
          <w:p w14:paraId="6C21C2AE" w14:textId="77777777" w:rsidR="0094644B" w:rsidRPr="00FA3F57" w:rsidRDefault="0094644B" w:rsidP="00FB5086">
            <w:pPr>
              <w:spacing w:after="120"/>
              <w:jc w:val="center"/>
              <w:rPr>
                <w:sz w:val="20"/>
                <w:szCs w:val="20"/>
              </w:rPr>
            </w:pPr>
          </w:p>
        </w:tc>
        <w:tc>
          <w:tcPr>
            <w:tcW w:w="488" w:type="pct"/>
            <w:vMerge/>
            <w:vAlign w:val="center"/>
          </w:tcPr>
          <w:p w14:paraId="66367762" w14:textId="77777777" w:rsidR="0094644B" w:rsidRPr="00FA3F57" w:rsidRDefault="0094644B" w:rsidP="00FB5086">
            <w:pPr>
              <w:jc w:val="center"/>
              <w:rPr>
                <w:sz w:val="20"/>
                <w:szCs w:val="20"/>
              </w:rPr>
            </w:pPr>
          </w:p>
        </w:tc>
        <w:tc>
          <w:tcPr>
            <w:tcW w:w="976" w:type="pct"/>
            <w:vAlign w:val="center"/>
          </w:tcPr>
          <w:p w14:paraId="528ED347" w14:textId="77777777" w:rsidR="0094644B" w:rsidRPr="00FA3F57" w:rsidRDefault="0094644B" w:rsidP="00FB5086">
            <w:pPr>
              <w:jc w:val="right"/>
              <w:rPr>
                <w:sz w:val="18"/>
                <w:szCs w:val="18"/>
              </w:rPr>
            </w:pPr>
            <w:r w:rsidRPr="00FA3F57">
              <w:rPr>
                <w:sz w:val="18"/>
                <w:szCs w:val="18"/>
              </w:rPr>
              <w:t xml:space="preserve">3,257 </w:t>
            </w:r>
            <w:proofErr w:type="spellStart"/>
            <w:r w:rsidRPr="00FA3F57">
              <w:rPr>
                <w:sz w:val="18"/>
                <w:szCs w:val="18"/>
              </w:rPr>
              <w:t>mn</w:t>
            </w:r>
            <w:proofErr w:type="spellEnd"/>
            <w:r w:rsidRPr="00FA3F57">
              <w:rPr>
                <w:sz w:val="18"/>
                <w:szCs w:val="18"/>
              </w:rPr>
              <w:t xml:space="preserve"> RSD</w:t>
            </w:r>
          </w:p>
          <w:p w14:paraId="4C4C1B1E" w14:textId="77777777" w:rsidR="0094644B" w:rsidRPr="00FA3F57" w:rsidRDefault="0094644B" w:rsidP="00FB5086">
            <w:pPr>
              <w:jc w:val="right"/>
              <w:rPr>
                <w:sz w:val="18"/>
                <w:szCs w:val="18"/>
              </w:rPr>
            </w:pPr>
            <w:r w:rsidRPr="00FA3F57">
              <w:rPr>
                <w:sz w:val="18"/>
                <w:szCs w:val="18"/>
              </w:rPr>
              <w:t xml:space="preserve">27.8 </w:t>
            </w:r>
            <w:proofErr w:type="spellStart"/>
            <w:r w:rsidRPr="00FA3F57">
              <w:rPr>
                <w:sz w:val="18"/>
                <w:szCs w:val="18"/>
              </w:rPr>
              <w:t>mn</w:t>
            </w:r>
            <w:proofErr w:type="spellEnd"/>
            <w:r w:rsidRPr="00FA3F57">
              <w:rPr>
                <w:sz w:val="18"/>
                <w:szCs w:val="18"/>
              </w:rPr>
              <w:t xml:space="preserve"> EUR</w:t>
            </w:r>
          </w:p>
        </w:tc>
        <w:tc>
          <w:tcPr>
            <w:tcW w:w="895" w:type="pct"/>
            <w:vAlign w:val="center"/>
          </w:tcPr>
          <w:p w14:paraId="1EB91CF3" w14:textId="77777777" w:rsidR="0094644B" w:rsidRPr="00FA3F57" w:rsidDel="007A1D77" w:rsidRDefault="0094644B" w:rsidP="00FB5086">
            <w:pPr>
              <w:jc w:val="right"/>
              <w:rPr>
                <w:sz w:val="18"/>
                <w:szCs w:val="18"/>
              </w:rPr>
            </w:pPr>
            <w:r w:rsidRPr="00FA3F57">
              <w:rPr>
                <w:sz w:val="18"/>
                <w:szCs w:val="18"/>
              </w:rPr>
              <w:t>0</w:t>
            </w:r>
          </w:p>
        </w:tc>
        <w:tc>
          <w:tcPr>
            <w:tcW w:w="936" w:type="pct"/>
            <w:vAlign w:val="center"/>
          </w:tcPr>
          <w:p w14:paraId="3E9861F5" w14:textId="77777777" w:rsidR="0094644B" w:rsidRPr="00FA3F57" w:rsidRDefault="0094644B" w:rsidP="00FB5086">
            <w:pPr>
              <w:jc w:val="right"/>
              <w:rPr>
                <w:sz w:val="18"/>
                <w:szCs w:val="18"/>
              </w:rPr>
            </w:pPr>
            <w:r w:rsidRPr="00FA3F57">
              <w:rPr>
                <w:sz w:val="18"/>
                <w:szCs w:val="18"/>
              </w:rPr>
              <w:t xml:space="preserve">749 </w:t>
            </w:r>
            <w:proofErr w:type="spellStart"/>
            <w:r w:rsidRPr="00FA3F57">
              <w:rPr>
                <w:sz w:val="18"/>
                <w:szCs w:val="18"/>
              </w:rPr>
              <w:t>mn</w:t>
            </w:r>
            <w:proofErr w:type="spellEnd"/>
            <w:r w:rsidRPr="00FA3F57">
              <w:rPr>
                <w:sz w:val="18"/>
                <w:szCs w:val="18"/>
              </w:rPr>
              <w:t xml:space="preserve"> RSD</w:t>
            </w:r>
          </w:p>
          <w:p w14:paraId="76F2B903" w14:textId="77777777" w:rsidR="0094644B" w:rsidRPr="00FA3F57" w:rsidRDefault="0094644B" w:rsidP="00FB5086">
            <w:pPr>
              <w:jc w:val="right"/>
              <w:rPr>
                <w:sz w:val="18"/>
                <w:szCs w:val="18"/>
              </w:rPr>
            </w:pPr>
            <w:r w:rsidRPr="00FA3F57">
              <w:rPr>
                <w:sz w:val="18"/>
                <w:szCs w:val="18"/>
              </w:rPr>
              <w:t xml:space="preserve">6.4 </w:t>
            </w:r>
            <w:proofErr w:type="spellStart"/>
            <w:r w:rsidRPr="00FA3F57">
              <w:rPr>
                <w:sz w:val="18"/>
                <w:szCs w:val="18"/>
              </w:rPr>
              <w:t>mn</w:t>
            </w:r>
            <w:proofErr w:type="spellEnd"/>
            <w:r w:rsidRPr="00FA3F57">
              <w:rPr>
                <w:sz w:val="18"/>
                <w:szCs w:val="18"/>
              </w:rPr>
              <w:t xml:space="preserve"> EUR</w:t>
            </w:r>
          </w:p>
        </w:tc>
      </w:tr>
      <w:tr w:rsidR="0094644B" w:rsidRPr="00F07779" w14:paraId="1FADD2D2" w14:textId="77777777" w:rsidTr="00FB5086">
        <w:trPr>
          <w:trHeight w:val="454"/>
        </w:trPr>
        <w:tc>
          <w:tcPr>
            <w:tcW w:w="1192" w:type="pct"/>
            <w:vMerge/>
          </w:tcPr>
          <w:p w14:paraId="0821A5DE" w14:textId="77777777" w:rsidR="0094644B" w:rsidRPr="00FA3F57" w:rsidRDefault="0094644B" w:rsidP="00FB5086">
            <w:pPr>
              <w:spacing w:after="120"/>
              <w:rPr>
                <w:sz w:val="20"/>
                <w:szCs w:val="20"/>
              </w:rPr>
            </w:pPr>
          </w:p>
        </w:tc>
        <w:tc>
          <w:tcPr>
            <w:tcW w:w="513" w:type="pct"/>
            <w:vMerge/>
          </w:tcPr>
          <w:p w14:paraId="0DE4E874" w14:textId="77777777" w:rsidR="0094644B" w:rsidRPr="00FA3F57" w:rsidRDefault="0094644B" w:rsidP="00FB5086">
            <w:pPr>
              <w:spacing w:after="120"/>
              <w:jc w:val="center"/>
              <w:rPr>
                <w:sz w:val="20"/>
                <w:szCs w:val="20"/>
              </w:rPr>
            </w:pPr>
          </w:p>
        </w:tc>
        <w:tc>
          <w:tcPr>
            <w:tcW w:w="488" w:type="pct"/>
            <w:vMerge w:val="restart"/>
            <w:vAlign w:val="center"/>
          </w:tcPr>
          <w:p w14:paraId="21B66377" w14:textId="77777777" w:rsidR="0094644B" w:rsidRPr="00FA3F57" w:rsidRDefault="0094644B" w:rsidP="00FB5086">
            <w:pPr>
              <w:jc w:val="center"/>
              <w:rPr>
                <w:sz w:val="20"/>
                <w:szCs w:val="20"/>
              </w:rPr>
            </w:pPr>
            <w:r w:rsidRPr="00FA3F57">
              <w:rPr>
                <w:sz w:val="20"/>
                <w:szCs w:val="20"/>
              </w:rPr>
              <w:t>2028</w:t>
            </w:r>
          </w:p>
        </w:tc>
        <w:tc>
          <w:tcPr>
            <w:tcW w:w="976" w:type="pct"/>
            <w:shd w:val="clear" w:color="auto" w:fill="D9D9D9" w:themeFill="background1" w:themeFillShade="D9"/>
            <w:vAlign w:val="center"/>
          </w:tcPr>
          <w:p w14:paraId="6D127DFB" w14:textId="77777777" w:rsidR="0094644B" w:rsidRPr="00FA3F57" w:rsidRDefault="0094644B" w:rsidP="00FB5086">
            <w:pPr>
              <w:jc w:val="right"/>
              <w:rPr>
                <w:sz w:val="18"/>
                <w:szCs w:val="18"/>
              </w:rPr>
            </w:pPr>
            <w:r w:rsidRPr="00FA3F57">
              <w:rPr>
                <w:sz w:val="18"/>
                <w:szCs w:val="18"/>
              </w:rPr>
              <w:t xml:space="preserve">7,709 </w:t>
            </w:r>
            <w:proofErr w:type="spellStart"/>
            <w:r w:rsidRPr="00FA3F57">
              <w:rPr>
                <w:sz w:val="18"/>
                <w:szCs w:val="18"/>
              </w:rPr>
              <w:t>mn</w:t>
            </w:r>
            <w:proofErr w:type="spellEnd"/>
            <w:r w:rsidRPr="00FA3F57">
              <w:rPr>
                <w:sz w:val="18"/>
                <w:szCs w:val="18"/>
              </w:rPr>
              <w:t xml:space="preserve"> RSD</w:t>
            </w:r>
          </w:p>
          <w:p w14:paraId="7977F766" w14:textId="77777777" w:rsidR="0094644B" w:rsidRPr="00FA3F57" w:rsidRDefault="0094644B" w:rsidP="00FB5086">
            <w:pPr>
              <w:jc w:val="right"/>
              <w:rPr>
                <w:sz w:val="18"/>
                <w:szCs w:val="18"/>
              </w:rPr>
            </w:pPr>
            <w:r w:rsidRPr="00FA3F57">
              <w:rPr>
                <w:sz w:val="18"/>
                <w:szCs w:val="18"/>
              </w:rPr>
              <w:t xml:space="preserve">65.7 </w:t>
            </w:r>
            <w:proofErr w:type="spellStart"/>
            <w:r w:rsidRPr="00FA3F57">
              <w:rPr>
                <w:sz w:val="18"/>
                <w:szCs w:val="18"/>
              </w:rPr>
              <w:t>mn</w:t>
            </w:r>
            <w:proofErr w:type="spellEnd"/>
            <w:r w:rsidRPr="00FA3F57">
              <w:rPr>
                <w:sz w:val="18"/>
                <w:szCs w:val="18"/>
              </w:rPr>
              <w:t xml:space="preserve"> EUR</w:t>
            </w:r>
          </w:p>
        </w:tc>
        <w:tc>
          <w:tcPr>
            <w:tcW w:w="895" w:type="pct"/>
            <w:shd w:val="clear" w:color="auto" w:fill="D9D9D9" w:themeFill="background1" w:themeFillShade="D9"/>
            <w:vAlign w:val="center"/>
          </w:tcPr>
          <w:p w14:paraId="0A5AEF95" w14:textId="77777777" w:rsidR="0094644B" w:rsidRPr="00FA3F57" w:rsidRDefault="0094644B" w:rsidP="00FB5086">
            <w:pPr>
              <w:jc w:val="right"/>
              <w:rPr>
                <w:sz w:val="18"/>
                <w:szCs w:val="18"/>
              </w:rPr>
            </w:pPr>
            <w:r w:rsidRPr="00FA3F57">
              <w:rPr>
                <w:sz w:val="18"/>
                <w:szCs w:val="18"/>
              </w:rPr>
              <w:t>0</w:t>
            </w:r>
          </w:p>
        </w:tc>
        <w:tc>
          <w:tcPr>
            <w:tcW w:w="936" w:type="pct"/>
            <w:shd w:val="clear" w:color="auto" w:fill="D9D9D9" w:themeFill="background1" w:themeFillShade="D9"/>
            <w:vAlign w:val="center"/>
          </w:tcPr>
          <w:p w14:paraId="5DA5CD6A" w14:textId="77777777" w:rsidR="0094644B" w:rsidRPr="00FA3F57" w:rsidRDefault="0094644B" w:rsidP="00FB5086">
            <w:pPr>
              <w:jc w:val="right"/>
              <w:rPr>
                <w:sz w:val="18"/>
                <w:szCs w:val="18"/>
              </w:rPr>
            </w:pPr>
            <w:r w:rsidRPr="00FA3F57">
              <w:rPr>
                <w:sz w:val="18"/>
                <w:szCs w:val="18"/>
              </w:rPr>
              <w:t xml:space="preserve">3,609 </w:t>
            </w:r>
            <w:proofErr w:type="spellStart"/>
            <w:r w:rsidRPr="00FA3F57">
              <w:rPr>
                <w:sz w:val="18"/>
                <w:szCs w:val="18"/>
              </w:rPr>
              <w:t>mn</w:t>
            </w:r>
            <w:proofErr w:type="spellEnd"/>
            <w:r w:rsidRPr="00FA3F57">
              <w:rPr>
                <w:sz w:val="18"/>
                <w:szCs w:val="18"/>
              </w:rPr>
              <w:t xml:space="preserve"> RSD</w:t>
            </w:r>
          </w:p>
          <w:p w14:paraId="3CC654BE" w14:textId="77777777" w:rsidR="0094644B" w:rsidRPr="00FA3F57" w:rsidRDefault="0094644B" w:rsidP="00FB5086">
            <w:pPr>
              <w:jc w:val="right"/>
              <w:rPr>
                <w:sz w:val="18"/>
                <w:szCs w:val="18"/>
              </w:rPr>
            </w:pPr>
            <w:r w:rsidRPr="00FA3F57">
              <w:rPr>
                <w:sz w:val="18"/>
                <w:szCs w:val="18"/>
              </w:rPr>
              <w:t xml:space="preserve">30.8 </w:t>
            </w:r>
            <w:proofErr w:type="spellStart"/>
            <w:r w:rsidRPr="00FA3F57">
              <w:rPr>
                <w:sz w:val="18"/>
                <w:szCs w:val="18"/>
              </w:rPr>
              <w:t>mn</w:t>
            </w:r>
            <w:proofErr w:type="spellEnd"/>
            <w:r w:rsidRPr="00FA3F57">
              <w:rPr>
                <w:sz w:val="18"/>
                <w:szCs w:val="18"/>
              </w:rPr>
              <w:t xml:space="preserve"> EUR</w:t>
            </w:r>
            <w:r w:rsidRPr="00FA3F57" w:rsidDel="00FD7FB4">
              <w:rPr>
                <w:sz w:val="18"/>
                <w:szCs w:val="18"/>
              </w:rPr>
              <w:t xml:space="preserve"> </w:t>
            </w:r>
          </w:p>
        </w:tc>
      </w:tr>
      <w:tr w:rsidR="0094644B" w:rsidRPr="00F07779" w14:paraId="637554E9" w14:textId="77777777" w:rsidTr="00FB5086">
        <w:trPr>
          <w:trHeight w:val="454"/>
        </w:trPr>
        <w:tc>
          <w:tcPr>
            <w:tcW w:w="1192" w:type="pct"/>
            <w:vMerge/>
          </w:tcPr>
          <w:p w14:paraId="6A7D74F0" w14:textId="77777777" w:rsidR="0094644B" w:rsidRPr="00FA3F57" w:rsidRDefault="0094644B" w:rsidP="00FB5086">
            <w:pPr>
              <w:spacing w:after="120"/>
              <w:rPr>
                <w:sz w:val="20"/>
                <w:szCs w:val="20"/>
              </w:rPr>
            </w:pPr>
          </w:p>
        </w:tc>
        <w:tc>
          <w:tcPr>
            <w:tcW w:w="513" w:type="pct"/>
            <w:vMerge/>
          </w:tcPr>
          <w:p w14:paraId="69FC134C" w14:textId="77777777" w:rsidR="0094644B" w:rsidRPr="00FA3F57" w:rsidRDefault="0094644B" w:rsidP="00FB5086">
            <w:pPr>
              <w:spacing w:after="120"/>
              <w:jc w:val="center"/>
              <w:rPr>
                <w:sz w:val="20"/>
                <w:szCs w:val="20"/>
              </w:rPr>
            </w:pPr>
          </w:p>
        </w:tc>
        <w:tc>
          <w:tcPr>
            <w:tcW w:w="488" w:type="pct"/>
            <w:vMerge/>
            <w:vAlign w:val="center"/>
          </w:tcPr>
          <w:p w14:paraId="067D2AF9" w14:textId="77777777" w:rsidR="0094644B" w:rsidRPr="00FA3F57" w:rsidRDefault="0094644B" w:rsidP="00FB5086">
            <w:pPr>
              <w:jc w:val="center"/>
              <w:rPr>
                <w:sz w:val="20"/>
                <w:szCs w:val="20"/>
              </w:rPr>
            </w:pPr>
          </w:p>
        </w:tc>
        <w:tc>
          <w:tcPr>
            <w:tcW w:w="976" w:type="pct"/>
            <w:vAlign w:val="center"/>
          </w:tcPr>
          <w:p w14:paraId="0AE63634" w14:textId="77777777" w:rsidR="0094644B" w:rsidRPr="00FA3F57" w:rsidRDefault="0094644B" w:rsidP="00FB5086">
            <w:pPr>
              <w:jc w:val="right"/>
              <w:rPr>
                <w:sz w:val="18"/>
                <w:szCs w:val="18"/>
              </w:rPr>
            </w:pPr>
            <w:r w:rsidRPr="00FA3F57">
              <w:rPr>
                <w:sz w:val="18"/>
                <w:szCs w:val="18"/>
              </w:rPr>
              <w:t xml:space="preserve">2,050 </w:t>
            </w:r>
            <w:proofErr w:type="spellStart"/>
            <w:r w:rsidRPr="00FA3F57">
              <w:rPr>
                <w:sz w:val="18"/>
                <w:szCs w:val="18"/>
              </w:rPr>
              <w:t>mn</w:t>
            </w:r>
            <w:proofErr w:type="spellEnd"/>
            <w:r w:rsidRPr="00FA3F57">
              <w:rPr>
                <w:sz w:val="18"/>
                <w:szCs w:val="18"/>
              </w:rPr>
              <w:t xml:space="preserve"> RSD</w:t>
            </w:r>
          </w:p>
          <w:p w14:paraId="3CBA0EA8" w14:textId="77777777" w:rsidR="0094644B" w:rsidRPr="00FA3F57" w:rsidRDefault="0094644B" w:rsidP="00FB5086">
            <w:pPr>
              <w:jc w:val="right"/>
              <w:rPr>
                <w:sz w:val="18"/>
                <w:szCs w:val="18"/>
              </w:rPr>
            </w:pPr>
            <w:r w:rsidRPr="00FA3F57">
              <w:rPr>
                <w:sz w:val="18"/>
                <w:szCs w:val="18"/>
              </w:rPr>
              <w:t xml:space="preserve">17.5 </w:t>
            </w:r>
            <w:proofErr w:type="spellStart"/>
            <w:r w:rsidRPr="00FA3F57">
              <w:rPr>
                <w:sz w:val="18"/>
                <w:szCs w:val="18"/>
              </w:rPr>
              <w:t>mn</w:t>
            </w:r>
            <w:proofErr w:type="spellEnd"/>
            <w:r w:rsidRPr="00FA3F57">
              <w:rPr>
                <w:sz w:val="18"/>
                <w:szCs w:val="18"/>
              </w:rPr>
              <w:t xml:space="preserve"> EUR</w:t>
            </w:r>
          </w:p>
        </w:tc>
        <w:tc>
          <w:tcPr>
            <w:tcW w:w="895" w:type="pct"/>
            <w:vAlign w:val="center"/>
          </w:tcPr>
          <w:p w14:paraId="48D10B7D" w14:textId="77777777" w:rsidR="0094644B" w:rsidRPr="00FA3F57" w:rsidDel="007A1D77" w:rsidRDefault="0094644B" w:rsidP="00FB5086">
            <w:pPr>
              <w:jc w:val="right"/>
              <w:rPr>
                <w:sz w:val="18"/>
                <w:szCs w:val="18"/>
              </w:rPr>
            </w:pPr>
            <w:r w:rsidRPr="00FA3F57">
              <w:rPr>
                <w:sz w:val="18"/>
                <w:szCs w:val="18"/>
              </w:rPr>
              <w:t>0</w:t>
            </w:r>
          </w:p>
        </w:tc>
        <w:tc>
          <w:tcPr>
            <w:tcW w:w="936" w:type="pct"/>
            <w:vAlign w:val="center"/>
          </w:tcPr>
          <w:p w14:paraId="16B286B1" w14:textId="77777777" w:rsidR="0094644B" w:rsidRPr="00FA3F57" w:rsidRDefault="0094644B" w:rsidP="00FB5086">
            <w:pPr>
              <w:jc w:val="right"/>
              <w:rPr>
                <w:sz w:val="18"/>
                <w:szCs w:val="18"/>
              </w:rPr>
            </w:pPr>
            <w:r w:rsidRPr="00FA3F57">
              <w:rPr>
                <w:sz w:val="18"/>
                <w:szCs w:val="18"/>
              </w:rPr>
              <w:t xml:space="preserve">117 </w:t>
            </w:r>
            <w:proofErr w:type="spellStart"/>
            <w:r w:rsidRPr="00FA3F57">
              <w:rPr>
                <w:sz w:val="18"/>
                <w:szCs w:val="18"/>
              </w:rPr>
              <w:t>mn</w:t>
            </w:r>
            <w:proofErr w:type="spellEnd"/>
            <w:r w:rsidRPr="00FA3F57">
              <w:rPr>
                <w:sz w:val="18"/>
                <w:szCs w:val="18"/>
              </w:rPr>
              <w:t xml:space="preserve"> RSD</w:t>
            </w:r>
          </w:p>
          <w:p w14:paraId="59E5E454" w14:textId="77777777" w:rsidR="0094644B" w:rsidRPr="00FA3F57" w:rsidRDefault="0094644B" w:rsidP="00FB5086">
            <w:pPr>
              <w:jc w:val="right"/>
              <w:rPr>
                <w:sz w:val="18"/>
                <w:szCs w:val="18"/>
              </w:rPr>
            </w:pPr>
            <w:r w:rsidRPr="00FA3F57">
              <w:rPr>
                <w:sz w:val="18"/>
                <w:szCs w:val="18"/>
              </w:rPr>
              <w:t xml:space="preserve">1 </w:t>
            </w:r>
            <w:proofErr w:type="spellStart"/>
            <w:r w:rsidRPr="00FA3F57">
              <w:rPr>
                <w:sz w:val="18"/>
                <w:szCs w:val="18"/>
              </w:rPr>
              <w:t>mn</w:t>
            </w:r>
            <w:proofErr w:type="spellEnd"/>
            <w:r w:rsidRPr="00FA3F57">
              <w:rPr>
                <w:sz w:val="18"/>
                <w:szCs w:val="18"/>
              </w:rPr>
              <w:t xml:space="preserve"> EUR</w:t>
            </w:r>
          </w:p>
        </w:tc>
      </w:tr>
      <w:tr w:rsidR="0094644B" w:rsidRPr="00F07779" w14:paraId="6D0F4BAC" w14:textId="77777777" w:rsidTr="00FB5086">
        <w:trPr>
          <w:trHeight w:val="454"/>
        </w:trPr>
        <w:tc>
          <w:tcPr>
            <w:tcW w:w="1192" w:type="pct"/>
            <w:vMerge w:val="restart"/>
          </w:tcPr>
          <w:p w14:paraId="27476C27" w14:textId="77777777" w:rsidR="0094644B" w:rsidRPr="00FA3F57" w:rsidRDefault="0094644B" w:rsidP="00FB5086">
            <w:pPr>
              <w:spacing w:after="120"/>
              <w:rPr>
                <w:sz w:val="20"/>
                <w:szCs w:val="20"/>
              </w:rPr>
            </w:pPr>
            <w:r w:rsidRPr="00FA3F57">
              <w:rPr>
                <w:sz w:val="20"/>
                <w:szCs w:val="20"/>
              </w:rPr>
              <w:t>ЕЕ6 Application of energy management system in the industrial energy, public energy, and buildings</w:t>
            </w:r>
          </w:p>
        </w:tc>
        <w:tc>
          <w:tcPr>
            <w:tcW w:w="513" w:type="pct"/>
            <w:vMerge w:val="restart"/>
          </w:tcPr>
          <w:p w14:paraId="7A0CD128" w14:textId="77777777" w:rsidR="0094644B" w:rsidRPr="00FA3F57" w:rsidRDefault="0094644B" w:rsidP="00FB5086">
            <w:pPr>
              <w:spacing w:after="120"/>
              <w:jc w:val="center"/>
              <w:rPr>
                <w:sz w:val="20"/>
                <w:szCs w:val="20"/>
              </w:rPr>
            </w:pPr>
            <w:r w:rsidRPr="00FA3F57">
              <w:rPr>
                <w:sz w:val="20"/>
                <w:szCs w:val="20"/>
              </w:rPr>
              <w:t>Inv</w:t>
            </w:r>
          </w:p>
          <w:p w14:paraId="58C0E630" w14:textId="77777777" w:rsidR="0094644B" w:rsidRPr="00FA3F57" w:rsidRDefault="0094644B" w:rsidP="00FB5086">
            <w:pPr>
              <w:spacing w:after="120"/>
              <w:jc w:val="center"/>
              <w:rPr>
                <w:sz w:val="20"/>
                <w:szCs w:val="20"/>
              </w:rPr>
            </w:pPr>
            <w:r w:rsidRPr="00FA3F57">
              <w:rPr>
                <w:sz w:val="20"/>
                <w:szCs w:val="20"/>
              </w:rPr>
              <w:t>Reg</w:t>
            </w:r>
          </w:p>
          <w:p w14:paraId="7B4BA69C" w14:textId="77777777" w:rsidR="0094644B" w:rsidRPr="00FA3F57" w:rsidRDefault="0094644B" w:rsidP="00FB5086">
            <w:pPr>
              <w:spacing w:after="120"/>
              <w:jc w:val="center"/>
              <w:rPr>
                <w:sz w:val="20"/>
                <w:szCs w:val="20"/>
              </w:rPr>
            </w:pPr>
            <w:r w:rsidRPr="00FA3F57">
              <w:rPr>
                <w:sz w:val="20"/>
                <w:szCs w:val="20"/>
              </w:rPr>
              <w:t>Inf</w:t>
            </w:r>
          </w:p>
        </w:tc>
        <w:tc>
          <w:tcPr>
            <w:tcW w:w="488" w:type="pct"/>
            <w:vAlign w:val="center"/>
          </w:tcPr>
          <w:p w14:paraId="2043B372" w14:textId="77777777" w:rsidR="0094644B" w:rsidRPr="00FA3F57" w:rsidRDefault="0094644B" w:rsidP="00FB5086">
            <w:pPr>
              <w:jc w:val="center"/>
              <w:rPr>
                <w:sz w:val="20"/>
                <w:szCs w:val="20"/>
              </w:rPr>
            </w:pPr>
            <w:r w:rsidRPr="00FA3F57">
              <w:rPr>
                <w:sz w:val="20"/>
                <w:szCs w:val="20"/>
              </w:rPr>
              <w:t>2026</w:t>
            </w:r>
          </w:p>
        </w:tc>
        <w:tc>
          <w:tcPr>
            <w:tcW w:w="976" w:type="pct"/>
            <w:vAlign w:val="center"/>
          </w:tcPr>
          <w:p w14:paraId="6047F128" w14:textId="77777777" w:rsidR="0094644B" w:rsidRPr="00FA3F57" w:rsidRDefault="0094644B" w:rsidP="00FB5086">
            <w:pPr>
              <w:jc w:val="right"/>
              <w:rPr>
                <w:sz w:val="18"/>
                <w:szCs w:val="18"/>
              </w:rPr>
            </w:pPr>
            <w:r w:rsidRPr="00FA3F57">
              <w:rPr>
                <w:sz w:val="18"/>
                <w:szCs w:val="18"/>
              </w:rPr>
              <w:t>0</w:t>
            </w:r>
          </w:p>
        </w:tc>
        <w:tc>
          <w:tcPr>
            <w:tcW w:w="895" w:type="pct"/>
            <w:vAlign w:val="center"/>
          </w:tcPr>
          <w:p w14:paraId="42FB7614" w14:textId="77777777" w:rsidR="0094644B" w:rsidRPr="00FA3F57" w:rsidRDefault="0094644B" w:rsidP="00FB5086">
            <w:pPr>
              <w:jc w:val="right"/>
              <w:rPr>
                <w:sz w:val="18"/>
                <w:szCs w:val="18"/>
              </w:rPr>
            </w:pPr>
            <w:r w:rsidRPr="00FA3F57">
              <w:rPr>
                <w:sz w:val="18"/>
                <w:szCs w:val="18"/>
              </w:rPr>
              <w:t>0</w:t>
            </w:r>
          </w:p>
        </w:tc>
        <w:tc>
          <w:tcPr>
            <w:tcW w:w="936" w:type="pct"/>
            <w:vAlign w:val="center"/>
          </w:tcPr>
          <w:p w14:paraId="43EDC258" w14:textId="77777777" w:rsidR="0094644B" w:rsidRPr="00FA3F57" w:rsidRDefault="0094644B" w:rsidP="00FB5086">
            <w:pPr>
              <w:jc w:val="right"/>
              <w:rPr>
                <w:sz w:val="18"/>
                <w:szCs w:val="18"/>
              </w:rPr>
            </w:pPr>
            <w:r w:rsidRPr="00FA3F57">
              <w:rPr>
                <w:sz w:val="18"/>
                <w:szCs w:val="18"/>
              </w:rPr>
              <w:t xml:space="preserve">13,9 </w:t>
            </w:r>
            <w:proofErr w:type="spellStart"/>
            <w:r w:rsidRPr="00FA3F57">
              <w:rPr>
                <w:sz w:val="18"/>
                <w:szCs w:val="18"/>
              </w:rPr>
              <w:t>mn</w:t>
            </w:r>
            <w:proofErr w:type="spellEnd"/>
            <w:r w:rsidRPr="00FA3F57">
              <w:rPr>
                <w:sz w:val="18"/>
                <w:szCs w:val="18"/>
              </w:rPr>
              <w:t xml:space="preserve"> RSD</w:t>
            </w:r>
          </w:p>
          <w:p w14:paraId="13458516" w14:textId="77777777" w:rsidR="0094644B" w:rsidRPr="00FA3F57" w:rsidRDefault="0094644B" w:rsidP="00FB5086">
            <w:pPr>
              <w:jc w:val="right"/>
              <w:rPr>
                <w:sz w:val="18"/>
                <w:szCs w:val="18"/>
              </w:rPr>
            </w:pPr>
            <w:r w:rsidRPr="00FA3F57">
              <w:rPr>
                <w:sz w:val="18"/>
                <w:szCs w:val="18"/>
              </w:rPr>
              <w:t xml:space="preserve">0.12 </w:t>
            </w:r>
            <w:proofErr w:type="spellStart"/>
            <w:r w:rsidRPr="00FA3F57">
              <w:rPr>
                <w:sz w:val="18"/>
                <w:szCs w:val="18"/>
              </w:rPr>
              <w:t>mn</w:t>
            </w:r>
            <w:proofErr w:type="spellEnd"/>
            <w:r w:rsidRPr="00FA3F57">
              <w:rPr>
                <w:sz w:val="18"/>
                <w:szCs w:val="18"/>
              </w:rPr>
              <w:t xml:space="preserve"> EUR</w:t>
            </w:r>
          </w:p>
        </w:tc>
      </w:tr>
      <w:tr w:rsidR="0094644B" w:rsidRPr="00F07779" w14:paraId="4D88F15A" w14:textId="77777777" w:rsidTr="00FB5086">
        <w:trPr>
          <w:trHeight w:val="454"/>
        </w:trPr>
        <w:tc>
          <w:tcPr>
            <w:tcW w:w="1192" w:type="pct"/>
            <w:vMerge/>
          </w:tcPr>
          <w:p w14:paraId="7ED6E58A" w14:textId="77777777" w:rsidR="0094644B" w:rsidRPr="00FA3F57" w:rsidRDefault="0094644B" w:rsidP="00FB5086">
            <w:pPr>
              <w:spacing w:after="120"/>
              <w:rPr>
                <w:sz w:val="20"/>
                <w:szCs w:val="20"/>
              </w:rPr>
            </w:pPr>
          </w:p>
        </w:tc>
        <w:tc>
          <w:tcPr>
            <w:tcW w:w="513" w:type="pct"/>
            <w:vMerge/>
          </w:tcPr>
          <w:p w14:paraId="1530DA3E" w14:textId="77777777" w:rsidR="0094644B" w:rsidRPr="00FA3F57" w:rsidRDefault="0094644B" w:rsidP="00FB5086">
            <w:pPr>
              <w:spacing w:after="120"/>
              <w:jc w:val="center"/>
              <w:rPr>
                <w:sz w:val="20"/>
                <w:szCs w:val="20"/>
              </w:rPr>
            </w:pPr>
          </w:p>
        </w:tc>
        <w:tc>
          <w:tcPr>
            <w:tcW w:w="488" w:type="pct"/>
            <w:vAlign w:val="center"/>
          </w:tcPr>
          <w:p w14:paraId="0E3140C9" w14:textId="77777777" w:rsidR="0094644B" w:rsidRPr="00FA3F57" w:rsidRDefault="0094644B" w:rsidP="00FB5086">
            <w:pPr>
              <w:jc w:val="center"/>
              <w:rPr>
                <w:sz w:val="20"/>
                <w:szCs w:val="20"/>
              </w:rPr>
            </w:pPr>
            <w:r w:rsidRPr="00FA3F57">
              <w:rPr>
                <w:sz w:val="20"/>
                <w:szCs w:val="20"/>
              </w:rPr>
              <w:t>2027</w:t>
            </w:r>
          </w:p>
        </w:tc>
        <w:tc>
          <w:tcPr>
            <w:tcW w:w="976" w:type="pct"/>
            <w:vAlign w:val="center"/>
          </w:tcPr>
          <w:p w14:paraId="128F24B5" w14:textId="77777777" w:rsidR="0094644B" w:rsidRPr="00FA3F57" w:rsidRDefault="0094644B" w:rsidP="00FB5086">
            <w:pPr>
              <w:jc w:val="right"/>
              <w:rPr>
                <w:sz w:val="18"/>
                <w:szCs w:val="18"/>
              </w:rPr>
            </w:pPr>
            <w:r w:rsidRPr="00FA3F57">
              <w:rPr>
                <w:sz w:val="18"/>
                <w:szCs w:val="18"/>
              </w:rPr>
              <w:t>0</w:t>
            </w:r>
          </w:p>
        </w:tc>
        <w:tc>
          <w:tcPr>
            <w:tcW w:w="895" w:type="pct"/>
            <w:vAlign w:val="center"/>
          </w:tcPr>
          <w:p w14:paraId="187FE463" w14:textId="77777777" w:rsidR="0094644B" w:rsidRPr="00FA3F57" w:rsidRDefault="0094644B" w:rsidP="00FB5086">
            <w:pPr>
              <w:jc w:val="right"/>
              <w:rPr>
                <w:sz w:val="18"/>
                <w:szCs w:val="18"/>
              </w:rPr>
            </w:pPr>
            <w:r w:rsidRPr="00FA3F57">
              <w:rPr>
                <w:sz w:val="18"/>
                <w:szCs w:val="18"/>
              </w:rPr>
              <w:t>0</w:t>
            </w:r>
          </w:p>
        </w:tc>
        <w:tc>
          <w:tcPr>
            <w:tcW w:w="936" w:type="pct"/>
            <w:vAlign w:val="center"/>
          </w:tcPr>
          <w:p w14:paraId="7D695904" w14:textId="77777777" w:rsidR="0094644B" w:rsidRPr="00FA3F57" w:rsidRDefault="0094644B" w:rsidP="00FB5086">
            <w:pPr>
              <w:jc w:val="right"/>
              <w:rPr>
                <w:sz w:val="18"/>
                <w:szCs w:val="18"/>
              </w:rPr>
            </w:pPr>
            <w:r w:rsidRPr="00FA3F57">
              <w:rPr>
                <w:sz w:val="18"/>
                <w:szCs w:val="18"/>
              </w:rPr>
              <w:t>0</w:t>
            </w:r>
          </w:p>
        </w:tc>
      </w:tr>
      <w:tr w:rsidR="0094644B" w:rsidRPr="00F07779" w14:paraId="3D1AAA93" w14:textId="77777777" w:rsidTr="00FB5086">
        <w:trPr>
          <w:trHeight w:val="454"/>
        </w:trPr>
        <w:tc>
          <w:tcPr>
            <w:tcW w:w="1192" w:type="pct"/>
            <w:vMerge/>
          </w:tcPr>
          <w:p w14:paraId="199FF020" w14:textId="77777777" w:rsidR="0094644B" w:rsidRPr="00FA3F57" w:rsidRDefault="0094644B" w:rsidP="00FB5086">
            <w:pPr>
              <w:spacing w:after="120"/>
              <w:rPr>
                <w:sz w:val="20"/>
                <w:szCs w:val="20"/>
              </w:rPr>
            </w:pPr>
          </w:p>
        </w:tc>
        <w:tc>
          <w:tcPr>
            <w:tcW w:w="513" w:type="pct"/>
            <w:vMerge/>
          </w:tcPr>
          <w:p w14:paraId="27CBBAB7" w14:textId="77777777" w:rsidR="0094644B" w:rsidRPr="00FA3F57" w:rsidRDefault="0094644B" w:rsidP="00FB5086">
            <w:pPr>
              <w:spacing w:after="120"/>
              <w:jc w:val="center"/>
              <w:rPr>
                <w:sz w:val="20"/>
                <w:szCs w:val="20"/>
              </w:rPr>
            </w:pPr>
          </w:p>
        </w:tc>
        <w:tc>
          <w:tcPr>
            <w:tcW w:w="488" w:type="pct"/>
            <w:vAlign w:val="center"/>
          </w:tcPr>
          <w:p w14:paraId="4DC6D612" w14:textId="77777777" w:rsidR="0094644B" w:rsidRPr="00FA3F57" w:rsidRDefault="0094644B" w:rsidP="00FB5086">
            <w:pPr>
              <w:jc w:val="center"/>
              <w:rPr>
                <w:sz w:val="20"/>
                <w:szCs w:val="20"/>
              </w:rPr>
            </w:pPr>
            <w:r w:rsidRPr="00FA3F57">
              <w:rPr>
                <w:sz w:val="20"/>
                <w:szCs w:val="20"/>
              </w:rPr>
              <w:t>2028</w:t>
            </w:r>
          </w:p>
        </w:tc>
        <w:tc>
          <w:tcPr>
            <w:tcW w:w="976" w:type="pct"/>
            <w:vAlign w:val="center"/>
          </w:tcPr>
          <w:p w14:paraId="600F5757" w14:textId="77777777" w:rsidR="0094644B" w:rsidRPr="00FA3F57" w:rsidRDefault="0094644B" w:rsidP="00FB5086">
            <w:pPr>
              <w:jc w:val="right"/>
              <w:rPr>
                <w:sz w:val="18"/>
                <w:szCs w:val="18"/>
              </w:rPr>
            </w:pPr>
            <w:r w:rsidRPr="00FA3F57">
              <w:rPr>
                <w:sz w:val="18"/>
                <w:szCs w:val="18"/>
              </w:rPr>
              <w:t>0</w:t>
            </w:r>
          </w:p>
        </w:tc>
        <w:tc>
          <w:tcPr>
            <w:tcW w:w="895" w:type="pct"/>
            <w:vAlign w:val="center"/>
          </w:tcPr>
          <w:p w14:paraId="47968689" w14:textId="77777777" w:rsidR="0094644B" w:rsidRPr="00FA3F57" w:rsidRDefault="0094644B" w:rsidP="00FB5086">
            <w:pPr>
              <w:jc w:val="right"/>
              <w:rPr>
                <w:sz w:val="18"/>
                <w:szCs w:val="18"/>
              </w:rPr>
            </w:pPr>
            <w:r w:rsidRPr="00FA3F57">
              <w:rPr>
                <w:sz w:val="18"/>
                <w:szCs w:val="18"/>
              </w:rPr>
              <w:t>0</w:t>
            </w:r>
          </w:p>
        </w:tc>
        <w:tc>
          <w:tcPr>
            <w:tcW w:w="936" w:type="pct"/>
            <w:vAlign w:val="center"/>
          </w:tcPr>
          <w:p w14:paraId="74B41F1E" w14:textId="77777777" w:rsidR="0094644B" w:rsidRPr="00FA3F57" w:rsidRDefault="0094644B" w:rsidP="00FB5086">
            <w:pPr>
              <w:jc w:val="right"/>
              <w:rPr>
                <w:sz w:val="18"/>
                <w:szCs w:val="18"/>
              </w:rPr>
            </w:pPr>
            <w:r w:rsidRPr="00FA3F57">
              <w:rPr>
                <w:sz w:val="18"/>
                <w:szCs w:val="18"/>
              </w:rPr>
              <w:t>0</w:t>
            </w:r>
          </w:p>
        </w:tc>
      </w:tr>
      <w:tr w:rsidR="0094644B" w:rsidRPr="00F07779" w14:paraId="38D0A3E4" w14:textId="77777777" w:rsidTr="00FB5086">
        <w:trPr>
          <w:trHeight w:val="454"/>
        </w:trPr>
        <w:tc>
          <w:tcPr>
            <w:tcW w:w="1192" w:type="pct"/>
            <w:vMerge w:val="restart"/>
          </w:tcPr>
          <w:p w14:paraId="430E99CD" w14:textId="77777777" w:rsidR="0094644B" w:rsidRPr="00FA3F57" w:rsidRDefault="0094644B" w:rsidP="00FB5086">
            <w:pPr>
              <w:spacing w:after="120"/>
              <w:rPr>
                <w:sz w:val="20"/>
                <w:szCs w:val="20"/>
              </w:rPr>
            </w:pPr>
            <w:r w:rsidRPr="00FA3F57">
              <w:rPr>
                <w:sz w:val="20"/>
                <w:szCs w:val="20"/>
              </w:rPr>
              <w:t>ЕЕ9 Informing and educating the public</w:t>
            </w:r>
          </w:p>
        </w:tc>
        <w:tc>
          <w:tcPr>
            <w:tcW w:w="513" w:type="pct"/>
            <w:vMerge w:val="restart"/>
          </w:tcPr>
          <w:p w14:paraId="222F237E" w14:textId="77777777" w:rsidR="0094644B" w:rsidRPr="00FA3F57" w:rsidRDefault="0094644B" w:rsidP="00FB5086">
            <w:pPr>
              <w:spacing w:after="120"/>
              <w:jc w:val="center"/>
              <w:rPr>
                <w:sz w:val="20"/>
                <w:szCs w:val="20"/>
              </w:rPr>
            </w:pPr>
            <w:r w:rsidRPr="00FA3F57">
              <w:rPr>
                <w:sz w:val="20"/>
                <w:szCs w:val="20"/>
              </w:rPr>
              <w:t>Inf</w:t>
            </w:r>
          </w:p>
        </w:tc>
        <w:tc>
          <w:tcPr>
            <w:tcW w:w="488" w:type="pct"/>
            <w:vMerge w:val="restart"/>
            <w:vAlign w:val="center"/>
          </w:tcPr>
          <w:p w14:paraId="05716055" w14:textId="77777777" w:rsidR="0094644B" w:rsidRPr="00FA3F57" w:rsidRDefault="0094644B" w:rsidP="00FB5086">
            <w:pPr>
              <w:jc w:val="center"/>
              <w:rPr>
                <w:sz w:val="20"/>
                <w:szCs w:val="20"/>
              </w:rPr>
            </w:pPr>
            <w:r w:rsidRPr="00FA3F57">
              <w:rPr>
                <w:sz w:val="20"/>
                <w:szCs w:val="20"/>
              </w:rPr>
              <w:t>2026</w:t>
            </w:r>
          </w:p>
        </w:tc>
        <w:tc>
          <w:tcPr>
            <w:tcW w:w="976" w:type="pct"/>
            <w:shd w:val="clear" w:color="auto" w:fill="D9D9D9" w:themeFill="background1" w:themeFillShade="D9"/>
            <w:vAlign w:val="center"/>
          </w:tcPr>
          <w:p w14:paraId="69896243" w14:textId="77777777" w:rsidR="0094644B" w:rsidRPr="00FA3F57" w:rsidRDefault="0094644B" w:rsidP="00FB5086">
            <w:pPr>
              <w:jc w:val="right"/>
              <w:rPr>
                <w:i/>
                <w:iCs/>
                <w:sz w:val="18"/>
                <w:szCs w:val="18"/>
              </w:rPr>
            </w:pPr>
            <w:r w:rsidRPr="00FA3F57">
              <w:rPr>
                <w:i/>
                <w:iCs/>
                <w:sz w:val="18"/>
                <w:szCs w:val="18"/>
              </w:rPr>
              <w:t xml:space="preserve">7,491 </w:t>
            </w:r>
            <w:proofErr w:type="spellStart"/>
            <w:r w:rsidRPr="00FA3F57">
              <w:rPr>
                <w:i/>
                <w:iCs/>
                <w:sz w:val="18"/>
                <w:szCs w:val="18"/>
              </w:rPr>
              <w:t>mn</w:t>
            </w:r>
            <w:proofErr w:type="spellEnd"/>
            <w:r w:rsidRPr="00FA3F57">
              <w:rPr>
                <w:i/>
                <w:iCs/>
                <w:sz w:val="18"/>
                <w:szCs w:val="18"/>
              </w:rPr>
              <w:t xml:space="preserve"> RSD</w:t>
            </w:r>
          </w:p>
          <w:p w14:paraId="568B85D2" w14:textId="77777777" w:rsidR="0094644B" w:rsidRPr="00FA3F57" w:rsidRDefault="0094644B" w:rsidP="00FB5086">
            <w:pPr>
              <w:jc w:val="right"/>
              <w:rPr>
                <w:i/>
                <w:iCs/>
                <w:sz w:val="18"/>
                <w:szCs w:val="18"/>
              </w:rPr>
            </w:pPr>
            <w:r w:rsidRPr="00FA3F57">
              <w:rPr>
                <w:i/>
                <w:iCs/>
                <w:sz w:val="18"/>
                <w:szCs w:val="18"/>
              </w:rPr>
              <w:t xml:space="preserve">63.9 </w:t>
            </w:r>
            <w:proofErr w:type="spellStart"/>
            <w:r w:rsidRPr="00FA3F57">
              <w:rPr>
                <w:i/>
                <w:iCs/>
                <w:sz w:val="18"/>
                <w:szCs w:val="18"/>
              </w:rPr>
              <w:t>mn</w:t>
            </w:r>
            <w:proofErr w:type="spellEnd"/>
            <w:r w:rsidRPr="00FA3F57">
              <w:rPr>
                <w:i/>
                <w:iCs/>
                <w:sz w:val="18"/>
                <w:szCs w:val="18"/>
              </w:rPr>
              <w:t xml:space="preserve"> EUR</w:t>
            </w:r>
          </w:p>
        </w:tc>
        <w:tc>
          <w:tcPr>
            <w:tcW w:w="895" w:type="pct"/>
            <w:shd w:val="clear" w:color="auto" w:fill="D9D9D9" w:themeFill="background1" w:themeFillShade="D9"/>
            <w:vAlign w:val="center"/>
          </w:tcPr>
          <w:p w14:paraId="4199AF31" w14:textId="77777777" w:rsidR="0094644B" w:rsidRPr="00FA3F57" w:rsidRDefault="0094644B" w:rsidP="00FB5086">
            <w:pPr>
              <w:jc w:val="right"/>
              <w:rPr>
                <w:i/>
                <w:iCs/>
                <w:sz w:val="18"/>
                <w:szCs w:val="18"/>
              </w:rPr>
            </w:pPr>
            <w:r w:rsidRPr="00FA3F57">
              <w:rPr>
                <w:i/>
                <w:iCs/>
                <w:sz w:val="18"/>
                <w:szCs w:val="18"/>
              </w:rPr>
              <w:t>0</w:t>
            </w:r>
          </w:p>
        </w:tc>
        <w:tc>
          <w:tcPr>
            <w:tcW w:w="936" w:type="pct"/>
            <w:shd w:val="clear" w:color="auto" w:fill="D9D9D9" w:themeFill="background1" w:themeFillShade="D9"/>
            <w:vAlign w:val="center"/>
          </w:tcPr>
          <w:p w14:paraId="3FE2C5D7" w14:textId="77777777" w:rsidR="0094644B" w:rsidRPr="00FA3F57" w:rsidRDefault="0094644B" w:rsidP="00FB5086">
            <w:pPr>
              <w:jc w:val="right"/>
              <w:rPr>
                <w:i/>
                <w:sz w:val="18"/>
                <w:szCs w:val="18"/>
              </w:rPr>
            </w:pPr>
            <w:r w:rsidRPr="00FA3F57">
              <w:rPr>
                <w:i/>
                <w:sz w:val="18"/>
                <w:szCs w:val="18"/>
              </w:rPr>
              <w:t xml:space="preserve">2,334 </w:t>
            </w:r>
            <w:proofErr w:type="spellStart"/>
            <w:r w:rsidRPr="00FA3F57">
              <w:rPr>
                <w:i/>
                <w:sz w:val="18"/>
                <w:szCs w:val="18"/>
              </w:rPr>
              <w:t>mn</w:t>
            </w:r>
            <w:proofErr w:type="spellEnd"/>
            <w:r w:rsidRPr="00FA3F57">
              <w:rPr>
                <w:i/>
                <w:sz w:val="18"/>
                <w:szCs w:val="18"/>
              </w:rPr>
              <w:t xml:space="preserve"> RSD</w:t>
            </w:r>
          </w:p>
          <w:p w14:paraId="79CC972D" w14:textId="77777777" w:rsidR="0094644B" w:rsidRPr="00FA3F57" w:rsidRDefault="0094644B" w:rsidP="00FB5086">
            <w:pPr>
              <w:jc w:val="right"/>
              <w:rPr>
                <w:i/>
                <w:sz w:val="18"/>
                <w:szCs w:val="18"/>
              </w:rPr>
            </w:pPr>
            <w:r w:rsidRPr="00FA3F57">
              <w:rPr>
                <w:i/>
                <w:sz w:val="18"/>
                <w:szCs w:val="18"/>
              </w:rPr>
              <w:t xml:space="preserve">19.05 </w:t>
            </w:r>
            <w:proofErr w:type="spellStart"/>
            <w:r w:rsidRPr="00FA3F57">
              <w:rPr>
                <w:i/>
                <w:sz w:val="18"/>
                <w:szCs w:val="18"/>
              </w:rPr>
              <w:t>mn</w:t>
            </w:r>
            <w:proofErr w:type="spellEnd"/>
            <w:r w:rsidRPr="00FA3F57">
              <w:rPr>
                <w:i/>
                <w:sz w:val="18"/>
                <w:szCs w:val="18"/>
              </w:rPr>
              <w:t xml:space="preserve"> EUR</w:t>
            </w:r>
          </w:p>
        </w:tc>
      </w:tr>
      <w:tr w:rsidR="0094644B" w:rsidRPr="00F07779" w14:paraId="5BD005CC" w14:textId="77777777" w:rsidTr="00FB5086">
        <w:trPr>
          <w:trHeight w:val="454"/>
        </w:trPr>
        <w:tc>
          <w:tcPr>
            <w:tcW w:w="1192" w:type="pct"/>
            <w:vMerge/>
          </w:tcPr>
          <w:p w14:paraId="372C3620" w14:textId="77777777" w:rsidR="0094644B" w:rsidRPr="00FA3F57" w:rsidRDefault="0094644B" w:rsidP="00FB5086">
            <w:pPr>
              <w:spacing w:after="120"/>
              <w:rPr>
                <w:sz w:val="20"/>
                <w:szCs w:val="20"/>
              </w:rPr>
            </w:pPr>
          </w:p>
        </w:tc>
        <w:tc>
          <w:tcPr>
            <w:tcW w:w="513" w:type="pct"/>
            <w:vMerge/>
          </w:tcPr>
          <w:p w14:paraId="36252A5D" w14:textId="77777777" w:rsidR="0094644B" w:rsidRPr="00FA3F57" w:rsidRDefault="0094644B" w:rsidP="00FB5086">
            <w:pPr>
              <w:spacing w:after="120"/>
              <w:jc w:val="center"/>
              <w:rPr>
                <w:sz w:val="20"/>
                <w:szCs w:val="20"/>
              </w:rPr>
            </w:pPr>
          </w:p>
        </w:tc>
        <w:tc>
          <w:tcPr>
            <w:tcW w:w="488" w:type="pct"/>
            <w:vMerge/>
            <w:vAlign w:val="center"/>
          </w:tcPr>
          <w:p w14:paraId="4AD7093A" w14:textId="77777777" w:rsidR="0094644B" w:rsidRPr="00FA3F57" w:rsidRDefault="0094644B" w:rsidP="00FB5086">
            <w:pPr>
              <w:jc w:val="center"/>
              <w:rPr>
                <w:sz w:val="20"/>
                <w:szCs w:val="20"/>
              </w:rPr>
            </w:pPr>
          </w:p>
        </w:tc>
        <w:tc>
          <w:tcPr>
            <w:tcW w:w="976" w:type="pct"/>
            <w:vAlign w:val="center"/>
          </w:tcPr>
          <w:p w14:paraId="3689CEF0" w14:textId="77777777" w:rsidR="0094644B" w:rsidRPr="00FA3F57" w:rsidRDefault="0094644B" w:rsidP="00FB5086">
            <w:pPr>
              <w:jc w:val="right"/>
              <w:rPr>
                <w:i/>
                <w:iCs/>
                <w:sz w:val="18"/>
                <w:szCs w:val="18"/>
              </w:rPr>
            </w:pPr>
            <w:r w:rsidRPr="00FA3F57">
              <w:rPr>
                <w:i/>
                <w:iCs/>
                <w:sz w:val="18"/>
                <w:szCs w:val="18"/>
              </w:rPr>
              <w:t xml:space="preserve">2,966 </w:t>
            </w:r>
            <w:proofErr w:type="spellStart"/>
            <w:r w:rsidRPr="00FA3F57">
              <w:rPr>
                <w:i/>
                <w:iCs/>
                <w:sz w:val="18"/>
                <w:szCs w:val="18"/>
              </w:rPr>
              <w:t>mn</w:t>
            </w:r>
            <w:proofErr w:type="spellEnd"/>
            <w:r w:rsidRPr="00FA3F57">
              <w:rPr>
                <w:i/>
                <w:iCs/>
                <w:sz w:val="18"/>
                <w:szCs w:val="18"/>
              </w:rPr>
              <w:t xml:space="preserve"> RSD</w:t>
            </w:r>
          </w:p>
          <w:p w14:paraId="5FD490FF" w14:textId="77777777" w:rsidR="0094644B" w:rsidRPr="00FA3F57" w:rsidRDefault="0094644B" w:rsidP="00FB5086">
            <w:pPr>
              <w:jc w:val="right"/>
              <w:rPr>
                <w:i/>
                <w:iCs/>
                <w:sz w:val="18"/>
                <w:szCs w:val="18"/>
              </w:rPr>
            </w:pPr>
            <w:r w:rsidRPr="00FA3F57">
              <w:rPr>
                <w:i/>
                <w:iCs/>
                <w:sz w:val="18"/>
                <w:szCs w:val="18"/>
              </w:rPr>
              <w:t xml:space="preserve">25.3 </w:t>
            </w:r>
            <w:proofErr w:type="spellStart"/>
            <w:r w:rsidRPr="00FA3F57">
              <w:rPr>
                <w:i/>
                <w:iCs/>
                <w:sz w:val="18"/>
                <w:szCs w:val="18"/>
              </w:rPr>
              <w:t>mn</w:t>
            </w:r>
            <w:proofErr w:type="spellEnd"/>
            <w:r w:rsidRPr="00FA3F57">
              <w:rPr>
                <w:i/>
                <w:iCs/>
                <w:sz w:val="18"/>
                <w:szCs w:val="18"/>
              </w:rPr>
              <w:t xml:space="preserve"> EUR</w:t>
            </w:r>
          </w:p>
        </w:tc>
        <w:tc>
          <w:tcPr>
            <w:tcW w:w="895" w:type="pct"/>
            <w:vAlign w:val="center"/>
          </w:tcPr>
          <w:p w14:paraId="78CB6F3C" w14:textId="77777777" w:rsidR="0094644B" w:rsidRPr="00FA3F57" w:rsidRDefault="0094644B" w:rsidP="00FB5086">
            <w:pPr>
              <w:jc w:val="right"/>
              <w:rPr>
                <w:i/>
                <w:iCs/>
                <w:sz w:val="18"/>
                <w:szCs w:val="18"/>
              </w:rPr>
            </w:pPr>
            <w:r w:rsidRPr="00FA3F57">
              <w:rPr>
                <w:i/>
                <w:iCs/>
                <w:sz w:val="18"/>
                <w:szCs w:val="18"/>
              </w:rPr>
              <w:t>0</w:t>
            </w:r>
          </w:p>
        </w:tc>
        <w:tc>
          <w:tcPr>
            <w:tcW w:w="936" w:type="pct"/>
            <w:vAlign w:val="center"/>
          </w:tcPr>
          <w:p w14:paraId="2F774084" w14:textId="77777777" w:rsidR="0094644B" w:rsidRPr="00FA3F57" w:rsidRDefault="0094644B" w:rsidP="00FB5086">
            <w:pPr>
              <w:jc w:val="right"/>
              <w:rPr>
                <w:sz w:val="18"/>
                <w:szCs w:val="18"/>
              </w:rPr>
            </w:pPr>
            <w:r w:rsidRPr="00FA3F57">
              <w:rPr>
                <w:sz w:val="18"/>
                <w:szCs w:val="18"/>
              </w:rPr>
              <w:t xml:space="preserve">503 </w:t>
            </w:r>
            <w:proofErr w:type="spellStart"/>
            <w:r w:rsidRPr="00FA3F57">
              <w:rPr>
                <w:sz w:val="18"/>
                <w:szCs w:val="18"/>
              </w:rPr>
              <w:t>mn</w:t>
            </w:r>
            <w:proofErr w:type="spellEnd"/>
            <w:r w:rsidRPr="00FA3F57">
              <w:rPr>
                <w:sz w:val="18"/>
                <w:szCs w:val="18"/>
              </w:rPr>
              <w:t xml:space="preserve"> RSD</w:t>
            </w:r>
          </w:p>
          <w:p w14:paraId="0CF2DB34" w14:textId="77777777" w:rsidR="0094644B" w:rsidRPr="00FA3F57" w:rsidRDefault="0094644B" w:rsidP="00FB5086">
            <w:pPr>
              <w:jc w:val="right"/>
              <w:rPr>
                <w:i/>
                <w:sz w:val="18"/>
                <w:szCs w:val="18"/>
              </w:rPr>
            </w:pPr>
            <w:r w:rsidRPr="00FA3F57">
              <w:rPr>
                <w:sz w:val="18"/>
                <w:szCs w:val="18"/>
              </w:rPr>
              <w:t xml:space="preserve">4.3 </w:t>
            </w:r>
            <w:proofErr w:type="spellStart"/>
            <w:r w:rsidRPr="00FA3F57">
              <w:rPr>
                <w:sz w:val="18"/>
                <w:szCs w:val="18"/>
              </w:rPr>
              <w:t>mn</w:t>
            </w:r>
            <w:proofErr w:type="spellEnd"/>
            <w:r w:rsidRPr="00FA3F57">
              <w:rPr>
                <w:sz w:val="18"/>
                <w:szCs w:val="18"/>
              </w:rPr>
              <w:t xml:space="preserve"> EUR</w:t>
            </w:r>
          </w:p>
        </w:tc>
      </w:tr>
      <w:tr w:rsidR="0094644B" w:rsidRPr="00F07779" w14:paraId="6C79DF6D" w14:textId="77777777" w:rsidTr="00FB5086">
        <w:trPr>
          <w:trHeight w:val="454"/>
        </w:trPr>
        <w:tc>
          <w:tcPr>
            <w:tcW w:w="1192" w:type="pct"/>
            <w:vMerge/>
          </w:tcPr>
          <w:p w14:paraId="567B4DE2" w14:textId="77777777" w:rsidR="0094644B" w:rsidRPr="00FA3F57" w:rsidRDefault="0094644B" w:rsidP="00FB5086">
            <w:pPr>
              <w:spacing w:after="120"/>
              <w:rPr>
                <w:sz w:val="20"/>
                <w:szCs w:val="20"/>
              </w:rPr>
            </w:pPr>
          </w:p>
        </w:tc>
        <w:tc>
          <w:tcPr>
            <w:tcW w:w="513" w:type="pct"/>
            <w:vMerge/>
          </w:tcPr>
          <w:p w14:paraId="5367AAB8" w14:textId="77777777" w:rsidR="0094644B" w:rsidRPr="00FA3F57" w:rsidRDefault="0094644B" w:rsidP="00FB5086">
            <w:pPr>
              <w:spacing w:after="120"/>
              <w:jc w:val="center"/>
              <w:rPr>
                <w:sz w:val="20"/>
                <w:szCs w:val="20"/>
              </w:rPr>
            </w:pPr>
          </w:p>
        </w:tc>
        <w:tc>
          <w:tcPr>
            <w:tcW w:w="488" w:type="pct"/>
            <w:vMerge w:val="restart"/>
            <w:vAlign w:val="center"/>
          </w:tcPr>
          <w:p w14:paraId="4B0D49F5" w14:textId="77777777" w:rsidR="0094644B" w:rsidRPr="00FA3F57" w:rsidRDefault="0094644B" w:rsidP="00FB5086">
            <w:pPr>
              <w:jc w:val="center"/>
              <w:rPr>
                <w:sz w:val="20"/>
                <w:szCs w:val="20"/>
              </w:rPr>
            </w:pPr>
            <w:r w:rsidRPr="00FA3F57">
              <w:rPr>
                <w:sz w:val="20"/>
                <w:szCs w:val="20"/>
              </w:rPr>
              <w:t>2027</w:t>
            </w:r>
          </w:p>
        </w:tc>
        <w:tc>
          <w:tcPr>
            <w:tcW w:w="976" w:type="pct"/>
            <w:shd w:val="clear" w:color="auto" w:fill="D9D9D9" w:themeFill="background1" w:themeFillShade="D9"/>
            <w:vAlign w:val="center"/>
          </w:tcPr>
          <w:p w14:paraId="57DB122C" w14:textId="77777777" w:rsidR="0094644B" w:rsidRPr="00FA3F57" w:rsidRDefault="0094644B" w:rsidP="00FB5086">
            <w:pPr>
              <w:jc w:val="right"/>
              <w:rPr>
                <w:i/>
                <w:iCs/>
                <w:sz w:val="18"/>
                <w:szCs w:val="18"/>
              </w:rPr>
            </w:pPr>
            <w:r w:rsidRPr="00FA3F57">
              <w:rPr>
                <w:i/>
                <w:iCs/>
                <w:sz w:val="18"/>
                <w:szCs w:val="18"/>
              </w:rPr>
              <w:t xml:space="preserve">8,781 </w:t>
            </w:r>
            <w:proofErr w:type="spellStart"/>
            <w:r w:rsidRPr="00FA3F57">
              <w:rPr>
                <w:i/>
                <w:iCs/>
                <w:sz w:val="18"/>
                <w:szCs w:val="18"/>
              </w:rPr>
              <w:t>mn</w:t>
            </w:r>
            <w:proofErr w:type="spellEnd"/>
            <w:r w:rsidRPr="00FA3F57">
              <w:rPr>
                <w:i/>
                <w:iCs/>
                <w:sz w:val="18"/>
                <w:szCs w:val="18"/>
              </w:rPr>
              <w:t xml:space="preserve"> RSD</w:t>
            </w:r>
          </w:p>
          <w:p w14:paraId="0A54F77B" w14:textId="77777777" w:rsidR="0094644B" w:rsidRPr="00FA3F57" w:rsidRDefault="0094644B" w:rsidP="00FB5086">
            <w:pPr>
              <w:jc w:val="right"/>
              <w:rPr>
                <w:i/>
                <w:sz w:val="18"/>
                <w:szCs w:val="18"/>
              </w:rPr>
            </w:pPr>
            <w:r w:rsidRPr="00FA3F57">
              <w:rPr>
                <w:i/>
                <w:iCs/>
                <w:sz w:val="18"/>
                <w:szCs w:val="18"/>
              </w:rPr>
              <w:t xml:space="preserve">74.9 </w:t>
            </w:r>
            <w:proofErr w:type="spellStart"/>
            <w:r w:rsidRPr="00FA3F57">
              <w:rPr>
                <w:i/>
                <w:iCs/>
                <w:sz w:val="18"/>
                <w:szCs w:val="18"/>
              </w:rPr>
              <w:t>mn</w:t>
            </w:r>
            <w:proofErr w:type="spellEnd"/>
            <w:r w:rsidRPr="00FA3F57">
              <w:rPr>
                <w:i/>
                <w:iCs/>
                <w:sz w:val="18"/>
                <w:szCs w:val="18"/>
              </w:rPr>
              <w:t xml:space="preserve"> EUR</w:t>
            </w:r>
          </w:p>
        </w:tc>
        <w:tc>
          <w:tcPr>
            <w:tcW w:w="895" w:type="pct"/>
            <w:shd w:val="clear" w:color="auto" w:fill="D9D9D9" w:themeFill="background1" w:themeFillShade="D9"/>
            <w:vAlign w:val="center"/>
          </w:tcPr>
          <w:p w14:paraId="78A6E6D2" w14:textId="77777777" w:rsidR="0094644B" w:rsidRPr="00FA3F57" w:rsidRDefault="0094644B" w:rsidP="00FB5086">
            <w:pPr>
              <w:jc w:val="right"/>
              <w:rPr>
                <w:i/>
                <w:sz w:val="18"/>
                <w:szCs w:val="18"/>
              </w:rPr>
            </w:pPr>
            <w:r w:rsidRPr="00FA3F57">
              <w:rPr>
                <w:i/>
                <w:iCs/>
                <w:sz w:val="18"/>
                <w:szCs w:val="18"/>
              </w:rPr>
              <w:t>0</w:t>
            </w:r>
          </w:p>
        </w:tc>
        <w:tc>
          <w:tcPr>
            <w:tcW w:w="936" w:type="pct"/>
            <w:shd w:val="clear" w:color="auto" w:fill="D9D9D9" w:themeFill="background1" w:themeFillShade="D9"/>
            <w:vAlign w:val="center"/>
          </w:tcPr>
          <w:p w14:paraId="35F20EE2" w14:textId="77777777" w:rsidR="0094644B" w:rsidRPr="00FA3F57" w:rsidRDefault="0094644B" w:rsidP="00FB5086">
            <w:pPr>
              <w:jc w:val="right"/>
              <w:rPr>
                <w:i/>
                <w:iCs/>
                <w:sz w:val="18"/>
                <w:szCs w:val="18"/>
              </w:rPr>
            </w:pPr>
            <w:r w:rsidRPr="00FA3F57">
              <w:rPr>
                <w:i/>
                <w:iCs/>
                <w:sz w:val="18"/>
                <w:szCs w:val="18"/>
              </w:rPr>
              <w:t xml:space="preserve">3,863 </w:t>
            </w:r>
            <w:proofErr w:type="spellStart"/>
            <w:r w:rsidRPr="00FA3F57">
              <w:rPr>
                <w:i/>
                <w:iCs/>
                <w:sz w:val="18"/>
                <w:szCs w:val="18"/>
              </w:rPr>
              <w:t>mn</w:t>
            </w:r>
            <w:proofErr w:type="spellEnd"/>
            <w:r w:rsidRPr="00FA3F57">
              <w:rPr>
                <w:i/>
                <w:iCs/>
                <w:sz w:val="18"/>
                <w:szCs w:val="18"/>
              </w:rPr>
              <w:t xml:space="preserve"> RSD</w:t>
            </w:r>
          </w:p>
          <w:p w14:paraId="2231D30A" w14:textId="77777777" w:rsidR="0094644B" w:rsidRPr="00FA3F57" w:rsidRDefault="0094644B" w:rsidP="00FB5086">
            <w:pPr>
              <w:jc w:val="right"/>
              <w:rPr>
                <w:i/>
                <w:sz w:val="18"/>
                <w:szCs w:val="18"/>
              </w:rPr>
            </w:pPr>
            <w:r w:rsidRPr="00FA3F57">
              <w:rPr>
                <w:i/>
                <w:iCs/>
                <w:sz w:val="18"/>
                <w:szCs w:val="18"/>
              </w:rPr>
              <w:t xml:space="preserve">32.9 </w:t>
            </w:r>
            <w:proofErr w:type="spellStart"/>
            <w:r w:rsidRPr="00FA3F57">
              <w:rPr>
                <w:i/>
                <w:iCs/>
                <w:sz w:val="18"/>
                <w:szCs w:val="18"/>
              </w:rPr>
              <w:t>mn</w:t>
            </w:r>
            <w:proofErr w:type="spellEnd"/>
            <w:r w:rsidRPr="00FA3F57">
              <w:rPr>
                <w:i/>
                <w:iCs/>
                <w:sz w:val="18"/>
                <w:szCs w:val="18"/>
              </w:rPr>
              <w:t xml:space="preserve"> EUR</w:t>
            </w:r>
          </w:p>
        </w:tc>
      </w:tr>
      <w:tr w:rsidR="0094644B" w:rsidRPr="00F07779" w14:paraId="72F07781" w14:textId="77777777" w:rsidTr="00FB5086">
        <w:trPr>
          <w:trHeight w:val="454"/>
        </w:trPr>
        <w:tc>
          <w:tcPr>
            <w:tcW w:w="1192" w:type="pct"/>
            <w:vMerge/>
          </w:tcPr>
          <w:p w14:paraId="1A7D4CAA" w14:textId="77777777" w:rsidR="0094644B" w:rsidRPr="00FA3F57" w:rsidRDefault="0094644B" w:rsidP="00FB5086">
            <w:pPr>
              <w:spacing w:after="120"/>
              <w:rPr>
                <w:sz w:val="20"/>
                <w:szCs w:val="20"/>
              </w:rPr>
            </w:pPr>
          </w:p>
        </w:tc>
        <w:tc>
          <w:tcPr>
            <w:tcW w:w="513" w:type="pct"/>
            <w:vMerge/>
          </w:tcPr>
          <w:p w14:paraId="53F2D72B" w14:textId="77777777" w:rsidR="0094644B" w:rsidRPr="00FA3F57" w:rsidRDefault="0094644B" w:rsidP="00FB5086">
            <w:pPr>
              <w:spacing w:after="120"/>
              <w:jc w:val="center"/>
              <w:rPr>
                <w:sz w:val="20"/>
                <w:szCs w:val="20"/>
              </w:rPr>
            </w:pPr>
          </w:p>
        </w:tc>
        <w:tc>
          <w:tcPr>
            <w:tcW w:w="488" w:type="pct"/>
            <w:vMerge/>
            <w:vAlign w:val="center"/>
          </w:tcPr>
          <w:p w14:paraId="26357C6A" w14:textId="77777777" w:rsidR="0094644B" w:rsidRPr="00FA3F57" w:rsidRDefault="0094644B" w:rsidP="00FB5086">
            <w:pPr>
              <w:jc w:val="center"/>
              <w:rPr>
                <w:sz w:val="20"/>
                <w:szCs w:val="20"/>
              </w:rPr>
            </w:pPr>
          </w:p>
        </w:tc>
        <w:tc>
          <w:tcPr>
            <w:tcW w:w="976" w:type="pct"/>
            <w:vAlign w:val="center"/>
          </w:tcPr>
          <w:p w14:paraId="6CF2C8A5" w14:textId="77777777" w:rsidR="0094644B" w:rsidRPr="00FA3F57" w:rsidRDefault="0094644B" w:rsidP="00FB5086">
            <w:pPr>
              <w:jc w:val="right"/>
              <w:rPr>
                <w:i/>
                <w:iCs/>
                <w:sz w:val="18"/>
                <w:szCs w:val="18"/>
              </w:rPr>
            </w:pPr>
            <w:r w:rsidRPr="00FA3F57">
              <w:rPr>
                <w:i/>
                <w:iCs/>
                <w:sz w:val="18"/>
                <w:szCs w:val="18"/>
              </w:rPr>
              <w:t xml:space="preserve">3,257 </w:t>
            </w:r>
            <w:proofErr w:type="spellStart"/>
            <w:r w:rsidRPr="00FA3F57">
              <w:rPr>
                <w:i/>
                <w:iCs/>
                <w:sz w:val="18"/>
                <w:szCs w:val="18"/>
              </w:rPr>
              <w:t>mn</w:t>
            </w:r>
            <w:proofErr w:type="spellEnd"/>
            <w:r w:rsidRPr="00FA3F57">
              <w:rPr>
                <w:i/>
                <w:iCs/>
                <w:sz w:val="18"/>
                <w:szCs w:val="18"/>
              </w:rPr>
              <w:t xml:space="preserve"> RSD</w:t>
            </w:r>
          </w:p>
          <w:p w14:paraId="39084F7D" w14:textId="77777777" w:rsidR="0094644B" w:rsidRPr="00FA3F57" w:rsidRDefault="0094644B" w:rsidP="00FB5086">
            <w:pPr>
              <w:jc w:val="right"/>
              <w:rPr>
                <w:i/>
                <w:iCs/>
                <w:sz w:val="18"/>
                <w:szCs w:val="18"/>
              </w:rPr>
            </w:pPr>
            <w:r w:rsidRPr="00FA3F57">
              <w:rPr>
                <w:i/>
                <w:iCs/>
                <w:sz w:val="18"/>
                <w:szCs w:val="18"/>
              </w:rPr>
              <w:t xml:space="preserve">27.8 </w:t>
            </w:r>
            <w:proofErr w:type="spellStart"/>
            <w:r w:rsidRPr="00FA3F57">
              <w:rPr>
                <w:i/>
                <w:iCs/>
                <w:sz w:val="18"/>
                <w:szCs w:val="18"/>
              </w:rPr>
              <w:t>mn</w:t>
            </w:r>
            <w:proofErr w:type="spellEnd"/>
            <w:r w:rsidRPr="00FA3F57">
              <w:rPr>
                <w:i/>
                <w:iCs/>
                <w:sz w:val="18"/>
                <w:szCs w:val="18"/>
              </w:rPr>
              <w:t xml:space="preserve"> EUR</w:t>
            </w:r>
          </w:p>
        </w:tc>
        <w:tc>
          <w:tcPr>
            <w:tcW w:w="895" w:type="pct"/>
            <w:vAlign w:val="center"/>
          </w:tcPr>
          <w:p w14:paraId="0EDE3778" w14:textId="77777777" w:rsidR="0094644B" w:rsidRPr="00FA3F57" w:rsidRDefault="0094644B" w:rsidP="00FB5086">
            <w:pPr>
              <w:jc w:val="right"/>
              <w:rPr>
                <w:i/>
                <w:iCs/>
                <w:sz w:val="18"/>
                <w:szCs w:val="18"/>
              </w:rPr>
            </w:pPr>
            <w:r w:rsidRPr="00FA3F57">
              <w:rPr>
                <w:i/>
                <w:iCs/>
                <w:sz w:val="18"/>
                <w:szCs w:val="18"/>
              </w:rPr>
              <w:t>0</w:t>
            </w:r>
          </w:p>
        </w:tc>
        <w:tc>
          <w:tcPr>
            <w:tcW w:w="936" w:type="pct"/>
            <w:vAlign w:val="center"/>
          </w:tcPr>
          <w:p w14:paraId="7E02ADE3" w14:textId="77777777" w:rsidR="0094644B" w:rsidRPr="00FA3F57" w:rsidRDefault="0094644B" w:rsidP="00FB5086">
            <w:pPr>
              <w:jc w:val="right"/>
              <w:rPr>
                <w:i/>
                <w:iCs/>
                <w:sz w:val="18"/>
                <w:szCs w:val="18"/>
              </w:rPr>
            </w:pPr>
            <w:r w:rsidRPr="00FA3F57">
              <w:rPr>
                <w:i/>
                <w:iCs/>
                <w:sz w:val="18"/>
                <w:szCs w:val="18"/>
              </w:rPr>
              <w:t xml:space="preserve">749 </w:t>
            </w:r>
            <w:proofErr w:type="spellStart"/>
            <w:r w:rsidRPr="00FA3F57">
              <w:rPr>
                <w:i/>
                <w:iCs/>
                <w:sz w:val="18"/>
                <w:szCs w:val="18"/>
              </w:rPr>
              <w:t>mn</w:t>
            </w:r>
            <w:proofErr w:type="spellEnd"/>
            <w:r w:rsidRPr="00FA3F57">
              <w:rPr>
                <w:i/>
                <w:iCs/>
                <w:sz w:val="18"/>
                <w:szCs w:val="18"/>
              </w:rPr>
              <w:t xml:space="preserve"> RSD</w:t>
            </w:r>
          </w:p>
          <w:p w14:paraId="47D5DF9D" w14:textId="77777777" w:rsidR="0094644B" w:rsidRPr="00FA3F57" w:rsidRDefault="0094644B" w:rsidP="00FB5086">
            <w:pPr>
              <w:jc w:val="right"/>
              <w:rPr>
                <w:i/>
                <w:iCs/>
                <w:sz w:val="18"/>
                <w:szCs w:val="18"/>
              </w:rPr>
            </w:pPr>
            <w:r w:rsidRPr="00FA3F57">
              <w:rPr>
                <w:i/>
                <w:iCs/>
                <w:sz w:val="18"/>
                <w:szCs w:val="18"/>
              </w:rPr>
              <w:t xml:space="preserve">6.4 </w:t>
            </w:r>
            <w:proofErr w:type="spellStart"/>
            <w:r w:rsidRPr="00FA3F57">
              <w:rPr>
                <w:i/>
                <w:iCs/>
                <w:sz w:val="18"/>
                <w:szCs w:val="18"/>
              </w:rPr>
              <w:t>mn</w:t>
            </w:r>
            <w:proofErr w:type="spellEnd"/>
            <w:r w:rsidRPr="00FA3F57">
              <w:rPr>
                <w:i/>
                <w:iCs/>
                <w:sz w:val="18"/>
                <w:szCs w:val="18"/>
              </w:rPr>
              <w:t xml:space="preserve"> EUR</w:t>
            </w:r>
          </w:p>
        </w:tc>
      </w:tr>
      <w:tr w:rsidR="0094644B" w:rsidRPr="00F07779" w14:paraId="4E5F5D9C" w14:textId="77777777" w:rsidTr="00FB5086">
        <w:trPr>
          <w:trHeight w:val="454"/>
        </w:trPr>
        <w:tc>
          <w:tcPr>
            <w:tcW w:w="1192" w:type="pct"/>
            <w:vMerge/>
          </w:tcPr>
          <w:p w14:paraId="0E25782B" w14:textId="77777777" w:rsidR="0094644B" w:rsidRPr="00FA3F57" w:rsidRDefault="0094644B" w:rsidP="00FB5086">
            <w:pPr>
              <w:spacing w:after="120"/>
              <w:rPr>
                <w:sz w:val="20"/>
                <w:szCs w:val="20"/>
              </w:rPr>
            </w:pPr>
          </w:p>
        </w:tc>
        <w:tc>
          <w:tcPr>
            <w:tcW w:w="513" w:type="pct"/>
            <w:vMerge/>
          </w:tcPr>
          <w:p w14:paraId="4E7FB71A" w14:textId="77777777" w:rsidR="0094644B" w:rsidRPr="00FA3F57" w:rsidRDefault="0094644B" w:rsidP="00FB5086">
            <w:pPr>
              <w:spacing w:after="120"/>
              <w:jc w:val="center"/>
              <w:rPr>
                <w:sz w:val="20"/>
                <w:szCs w:val="20"/>
              </w:rPr>
            </w:pPr>
          </w:p>
        </w:tc>
        <w:tc>
          <w:tcPr>
            <w:tcW w:w="488" w:type="pct"/>
            <w:vMerge w:val="restart"/>
            <w:vAlign w:val="center"/>
          </w:tcPr>
          <w:p w14:paraId="14A0441A" w14:textId="77777777" w:rsidR="0094644B" w:rsidRPr="00FA3F57" w:rsidRDefault="0094644B" w:rsidP="00FB5086">
            <w:pPr>
              <w:jc w:val="center"/>
              <w:rPr>
                <w:sz w:val="20"/>
                <w:szCs w:val="20"/>
              </w:rPr>
            </w:pPr>
            <w:r w:rsidRPr="00FA3F57">
              <w:rPr>
                <w:sz w:val="20"/>
                <w:szCs w:val="20"/>
              </w:rPr>
              <w:t>2028</w:t>
            </w:r>
          </w:p>
        </w:tc>
        <w:tc>
          <w:tcPr>
            <w:tcW w:w="976" w:type="pct"/>
            <w:shd w:val="clear" w:color="auto" w:fill="D9D9D9" w:themeFill="background1" w:themeFillShade="D9"/>
            <w:vAlign w:val="center"/>
          </w:tcPr>
          <w:p w14:paraId="6361633F" w14:textId="77777777" w:rsidR="0094644B" w:rsidRPr="00FA3F57" w:rsidRDefault="0094644B" w:rsidP="00FB5086">
            <w:pPr>
              <w:jc w:val="right"/>
              <w:rPr>
                <w:i/>
                <w:iCs/>
                <w:sz w:val="18"/>
                <w:szCs w:val="18"/>
              </w:rPr>
            </w:pPr>
            <w:r w:rsidRPr="00FA3F57">
              <w:rPr>
                <w:i/>
                <w:iCs/>
                <w:sz w:val="18"/>
                <w:szCs w:val="18"/>
              </w:rPr>
              <w:t xml:space="preserve">7,709 </w:t>
            </w:r>
            <w:proofErr w:type="spellStart"/>
            <w:r w:rsidRPr="00FA3F57">
              <w:rPr>
                <w:i/>
                <w:iCs/>
                <w:sz w:val="18"/>
                <w:szCs w:val="18"/>
              </w:rPr>
              <w:t>mn</w:t>
            </w:r>
            <w:proofErr w:type="spellEnd"/>
            <w:r w:rsidRPr="00FA3F57">
              <w:rPr>
                <w:i/>
                <w:iCs/>
                <w:sz w:val="18"/>
                <w:szCs w:val="18"/>
              </w:rPr>
              <w:t xml:space="preserve"> RSD</w:t>
            </w:r>
          </w:p>
          <w:p w14:paraId="2A2964DE" w14:textId="77777777" w:rsidR="0094644B" w:rsidRPr="00FA3F57" w:rsidRDefault="0094644B" w:rsidP="00FB5086">
            <w:pPr>
              <w:jc w:val="right"/>
              <w:rPr>
                <w:i/>
                <w:iCs/>
                <w:sz w:val="18"/>
                <w:szCs w:val="18"/>
              </w:rPr>
            </w:pPr>
            <w:r w:rsidRPr="00FA3F57">
              <w:rPr>
                <w:i/>
                <w:iCs/>
                <w:sz w:val="18"/>
                <w:szCs w:val="18"/>
              </w:rPr>
              <w:t xml:space="preserve">65.7 </w:t>
            </w:r>
            <w:proofErr w:type="spellStart"/>
            <w:r w:rsidRPr="00FA3F57">
              <w:rPr>
                <w:i/>
                <w:iCs/>
                <w:sz w:val="18"/>
                <w:szCs w:val="18"/>
              </w:rPr>
              <w:t>mn</w:t>
            </w:r>
            <w:proofErr w:type="spellEnd"/>
            <w:r w:rsidRPr="00FA3F57">
              <w:rPr>
                <w:i/>
                <w:iCs/>
                <w:sz w:val="18"/>
                <w:szCs w:val="18"/>
              </w:rPr>
              <w:t xml:space="preserve"> EUR</w:t>
            </w:r>
          </w:p>
        </w:tc>
        <w:tc>
          <w:tcPr>
            <w:tcW w:w="895" w:type="pct"/>
            <w:shd w:val="clear" w:color="auto" w:fill="D9D9D9" w:themeFill="background1" w:themeFillShade="D9"/>
            <w:vAlign w:val="center"/>
          </w:tcPr>
          <w:p w14:paraId="110F7197" w14:textId="77777777" w:rsidR="0094644B" w:rsidRPr="00FA3F57" w:rsidRDefault="0094644B" w:rsidP="00FB5086">
            <w:pPr>
              <w:jc w:val="right"/>
              <w:rPr>
                <w:i/>
                <w:iCs/>
                <w:sz w:val="18"/>
                <w:szCs w:val="18"/>
              </w:rPr>
            </w:pPr>
            <w:r w:rsidRPr="00FA3F57">
              <w:rPr>
                <w:i/>
                <w:iCs/>
                <w:sz w:val="18"/>
                <w:szCs w:val="18"/>
              </w:rPr>
              <w:t>0</w:t>
            </w:r>
          </w:p>
        </w:tc>
        <w:tc>
          <w:tcPr>
            <w:tcW w:w="936" w:type="pct"/>
            <w:shd w:val="clear" w:color="auto" w:fill="D9D9D9" w:themeFill="background1" w:themeFillShade="D9"/>
            <w:vAlign w:val="center"/>
          </w:tcPr>
          <w:p w14:paraId="188578A3" w14:textId="77777777" w:rsidR="0094644B" w:rsidRPr="00FA3F57" w:rsidRDefault="0094644B" w:rsidP="00FB5086">
            <w:pPr>
              <w:jc w:val="right"/>
              <w:rPr>
                <w:i/>
                <w:iCs/>
                <w:sz w:val="18"/>
                <w:szCs w:val="18"/>
              </w:rPr>
            </w:pPr>
            <w:r w:rsidRPr="00FA3F57">
              <w:rPr>
                <w:i/>
                <w:iCs/>
                <w:sz w:val="18"/>
                <w:szCs w:val="18"/>
              </w:rPr>
              <w:t xml:space="preserve">3,609 </w:t>
            </w:r>
            <w:proofErr w:type="spellStart"/>
            <w:r w:rsidRPr="00FA3F57">
              <w:rPr>
                <w:i/>
                <w:iCs/>
                <w:sz w:val="18"/>
                <w:szCs w:val="18"/>
              </w:rPr>
              <w:t>mn</w:t>
            </w:r>
            <w:proofErr w:type="spellEnd"/>
            <w:r w:rsidRPr="00FA3F57">
              <w:rPr>
                <w:i/>
                <w:iCs/>
                <w:sz w:val="18"/>
                <w:szCs w:val="18"/>
              </w:rPr>
              <w:t xml:space="preserve"> RSD</w:t>
            </w:r>
          </w:p>
          <w:p w14:paraId="5371C354" w14:textId="77777777" w:rsidR="0094644B" w:rsidRPr="00FA3F57" w:rsidRDefault="0094644B" w:rsidP="00FB5086">
            <w:pPr>
              <w:jc w:val="right"/>
              <w:rPr>
                <w:i/>
                <w:iCs/>
                <w:sz w:val="18"/>
                <w:szCs w:val="18"/>
              </w:rPr>
            </w:pPr>
            <w:r w:rsidRPr="00FA3F57">
              <w:rPr>
                <w:i/>
                <w:iCs/>
                <w:sz w:val="18"/>
                <w:szCs w:val="18"/>
              </w:rPr>
              <w:t xml:space="preserve">30.8 </w:t>
            </w:r>
            <w:proofErr w:type="spellStart"/>
            <w:r w:rsidRPr="00FA3F57">
              <w:rPr>
                <w:i/>
                <w:iCs/>
                <w:sz w:val="18"/>
                <w:szCs w:val="18"/>
              </w:rPr>
              <w:t>mn</w:t>
            </w:r>
            <w:proofErr w:type="spellEnd"/>
            <w:r w:rsidRPr="00FA3F57">
              <w:rPr>
                <w:i/>
                <w:iCs/>
                <w:sz w:val="18"/>
                <w:szCs w:val="18"/>
              </w:rPr>
              <w:t xml:space="preserve"> EUR</w:t>
            </w:r>
            <w:r w:rsidRPr="00FA3F57" w:rsidDel="00FD7FB4">
              <w:rPr>
                <w:i/>
                <w:iCs/>
                <w:sz w:val="18"/>
                <w:szCs w:val="18"/>
              </w:rPr>
              <w:t xml:space="preserve"> </w:t>
            </w:r>
          </w:p>
        </w:tc>
      </w:tr>
      <w:tr w:rsidR="0094644B" w:rsidRPr="00F07779" w14:paraId="53B84116" w14:textId="77777777" w:rsidTr="00FB5086">
        <w:trPr>
          <w:trHeight w:val="454"/>
        </w:trPr>
        <w:tc>
          <w:tcPr>
            <w:tcW w:w="1192" w:type="pct"/>
            <w:vMerge/>
          </w:tcPr>
          <w:p w14:paraId="3B96F952" w14:textId="77777777" w:rsidR="0094644B" w:rsidRPr="00FA3F57" w:rsidRDefault="0094644B" w:rsidP="00FB5086">
            <w:pPr>
              <w:spacing w:after="120"/>
              <w:rPr>
                <w:sz w:val="20"/>
                <w:szCs w:val="20"/>
              </w:rPr>
            </w:pPr>
          </w:p>
        </w:tc>
        <w:tc>
          <w:tcPr>
            <w:tcW w:w="513" w:type="pct"/>
            <w:vMerge/>
          </w:tcPr>
          <w:p w14:paraId="29E79BDA" w14:textId="77777777" w:rsidR="0094644B" w:rsidRPr="00FA3F57" w:rsidRDefault="0094644B" w:rsidP="00FB5086">
            <w:pPr>
              <w:spacing w:after="120"/>
              <w:jc w:val="center"/>
              <w:rPr>
                <w:sz w:val="20"/>
                <w:szCs w:val="20"/>
              </w:rPr>
            </w:pPr>
          </w:p>
        </w:tc>
        <w:tc>
          <w:tcPr>
            <w:tcW w:w="488" w:type="pct"/>
            <w:vMerge/>
            <w:vAlign w:val="center"/>
          </w:tcPr>
          <w:p w14:paraId="3552C49A" w14:textId="77777777" w:rsidR="0094644B" w:rsidRPr="00FA3F57" w:rsidRDefault="0094644B" w:rsidP="00FB5086">
            <w:pPr>
              <w:jc w:val="center"/>
              <w:rPr>
                <w:sz w:val="20"/>
                <w:szCs w:val="20"/>
              </w:rPr>
            </w:pPr>
          </w:p>
        </w:tc>
        <w:tc>
          <w:tcPr>
            <w:tcW w:w="976" w:type="pct"/>
            <w:vAlign w:val="center"/>
          </w:tcPr>
          <w:p w14:paraId="434D0995" w14:textId="77777777" w:rsidR="0094644B" w:rsidRPr="00FA3F57" w:rsidRDefault="0094644B" w:rsidP="00FB5086">
            <w:pPr>
              <w:jc w:val="right"/>
              <w:rPr>
                <w:i/>
                <w:iCs/>
                <w:sz w:val="18"/>
                <w:szCs w:val="18"/>
              </w:rPr>
            </w:pPr>
            <w:r w:rsidRPr="00FA3F57">
              <w:rPr>
                <w:i/>
                <w:iCs/>
                <w:sz w:val="18"/>
                <w:szCs w:val="18"/>
              </w:rPr>
              <w:t xml:space="preserve">2,050 </w:t>
            </w:r>
            <w:proofErr w:type="spellStart"/>
            <w:r w:rsidRPr="00FA3F57">
              <w:rPr>
                <w:i/>
                <w:iCs/>
                <w:sz w:val="18"/>
                <w:szCs w:val="18"/>
              </w:rPr>
              <w:t>mn</w:t>
            </w:r>
            <w:proofErr w:type="spellEnd"/>
            <w:r w:rsidRPr="00FA3F57">
              <w:rPr>
                <w:i/>
                <w:iCs/>
                <w:sz w:val="18"/>
                <w:szCs w:val="18"/>
              </w:rPr>
              <w:t xml:space="preserve"> RSD</w:t>
            </w:r>
          </w:p>
          <w:p w14:paraId="7D757776" w14:textId="77777777" w:rsidR="0094644B" w:rsidRPr="00FA3F57" w:rsidRDefault="0094644B" w:rsidP="00FB5086">
            <w:pPr>
              <w:jc w:val="right"/>
              <w:rPr>
                <w:i/>
                <w:iCs/>
                <w:sz w:val="18"/>
                <w:szCs w:val="18"/>
              </w:rPr>
            </w:pPr>
            <w:r w:rsidRPr="00FA3F57">
              <w:rPr>
                <w:i/>
                <w:iCs/>
                <w:sz w:val="18"/>
                <w:szCs w:val="18"/>
              </w:rPr>
              <w:t xml:space="preserve">17.5 </w:t>
            </w:r>
            <w:proofErr w:type="spellStart"/>
            <w:r w:rsidRPr="00FA3F57">
              <w:rPr>
                <w:i/>
                <w:iCs/>
                <w:sz w:val="18"/>
                <w:szCs w:val="18"/>
              </w:rPr>
              <w:t>mn</w:t>
            </w:r>
            <w:proofErr w:type="spellEnd"/>
            <w:r w:rsidRPr="00FA3F57">
              <w:rPr>
                <w:i/>
                <w:iCs/>
                <w:sz w:val="18"/>
                <w:szCs w:val="18"/>
              </w:rPr>
              <w:t xml:space="preserve"> EUR</w:t>
            </w:r>
          </w:p>
        </w:tc>
        <w:tc>
          <w:tcPr>
            <w:tcW w:w="895" w:type="pct"/>
            <w:vAlign w:val="center"/>
          </w:tcPr>
          <w:p w14:paraId="1E74DE02" w14:textId="77777777" w:rsidR="0094644B" w:rsidRPr="00FA3F57" w:rsidRDefault="0094644B" w:rsidP="00FB5086">
            <w:pPr>
              <w:jc w:val="right"/>
              <w:rPr>
                <w:i/>
                <w:iCs/>
                <w:sz w:val="18"/>
                <w:szCs w:val="18"/>
              </w:rPr>
            </w:pPr>
            <w:r w:rsidRPr="00FA3F57">
              <w:rPr>
                <w:i/>
                <w:iCs/>
                <w:sz w:val="18"/>
                <w:szCs w:val="18"/>
              </w:rPr>
              <w:t>0</w:t>
            </w:r>
          </w:p>
        </w:tc>
        <w:tc>
          <w:tcPr>
            <w:tcW w:w="936" w:type="pct"/>
            <w:vAlign w:val="center"/>
          </w:tcPr>
          <w:p w14:paraId="0475BB30" w14:textId="77777777" w:rsidR="0094644B" w:rsidRPr="00FA3F57" w:rsidRDefault="0094644B" w:rsidP="00FB5086">
            <w:pPr>
              <w:jc w:val="right"/>
              <w:rPr>
                <w:i/>
                <w:iCs/>
                <w:sz w:val="18"/>
                <w:szCs w:val="18"/>
              </w:rPr>
            </w:pPr>
            <w:r w:rsidRPr="00FA3F57">
              <w:rPr>
                <w:i/>
                <w:iCs/>
                <w:sz w:val="18"/>
                <w:szCs w:val="18"/>
              </w:rPr>
              <w:t xml:space="preserve">117 </w:t>
            </w:r>
            <w:proofErr w:type="spellStart"/>
            <w:r w:rsidRPr="00FA3F57">
              <w:rPr>
                <w:i/>
                <w:iCs/>
                <w:sz w:val="18"/>
                <w:szCs w:val="18"/>
              </w:rPr>
              <w:t>mn</w:t>
            </w:r>
            <w:proofErr w:type="spellEnd"/>
            <w:r w:rsidRPr="00FA3F57">
              <w:rPr>
                <w:i/>
                <w:iCs/>
                <w:sz w:val="18"/>
                <w:szCs w:val="18"/>
              </w:rPr>
              <w:t xml:space="preserve"> RSD</w:t>
            </w:r>
          </w:p>
          <w:p w14:paraId="339AC65A" w14:textId="77777777" w:rsidR="0094644B" w:rsidRPr="00FA3F57" w:rsidRDefault="0094644B" w:rsidP="00FB5086">
            <w:pPr>
              <w:jc w:val="right"/>
              <w:rPr>
                <w:i/>
                <w:iCs/>
                <w:sz w:val="18"/>
                <w:szCs w:val="18"/>
              </w:rPr>
            </w:pPr>
            <w:r w:rsidRPr="00FA3F57">
              <w:rPr>
                <w:i/>
                <w:iCs/>
                <w:sz w:val="18"/>
                <w:szCs w:val="18"/>
              </w:rPr>
              <w:t xml:space="preserve">1 </w:t>
            </w:r>
            <w:proofErr w:type="spellStart"/>
            <w:r w:rsidRPr="00FA3F57">
              <w:rPr>
                <w:i/>
                <w:iCs/>
                <w:sz w:val="18"/>
                <w:szCs w:val="18"/>
              </w:rPr>
              <w:t>mn</w:t>
            </w:r>
            <w:proofErr w:type="spellEnd"/>
            <w:r w:rsidRPr="00FA3F57">
              <w:rPr>
                <w:i/>
                <w:iCs/>
                <w:sz w:val="18"/>
                <w:szCs w:val="18"/>
              </w:rPr>
              <w:t xml:space="preserve"> EUR</w:t>
            </w:r>
          </w:p>
        </w:tc>
      </w:tr>
      <w:tr w:rsidR="0094644B" w:rsidRPr="00F07779" w14:paraId="5FED65B3" w14:textId="77777777" w:rsidTr="00FB5086">
        <w:trPr>
          <w:trHeight w:val="454"/>
        </w:trPr>
        <w:tc>
          <w:tcPr>
            <w:tcW w:w="1192" w:type="pct"/>
            <w:vMerge w:val="restart"/>
          </w:tcPr>
          <w:p w14:paraId="5EA5D364" w14:textId="77777777" w:rsidR="0094644B" w:rsidRPr="00FA3F57" w:rsidRDefault="0094644B" w:rsidP="00FB5086">
            <w:pPr>
              <w:spacing w:after="120"/>
              <w:rPr>
                <w:sz w:val="20"/>
                <w:szCs w:val="20"/>
              </w:rPr>
            </w:pPr>
            <w:r w:rsidRPr="00FA3F57">
              <w:rPr>
                <w:sz w:val="20"/>
                <w:szCs w:val="20"/>
              </w:rPr>
              <w:t>ЕЕ10 Implementation of energy audits and energy efficiency measures</w:t>
            </w:r>
          </w:p>
        </w:tc>
        <w:tc>
          <w:tcPr>
            <w:tcW w:w="513" w:type="pct"/>
            <w:vMerge w:val="restart"/>
          </w:tcPr>
          <w:p w14:paraId="1AAB7A79" w14:textId="77777777" w:rsidR="0094644B" w:rsidRPr="00FA3F57" w:rsidRDefault="0094644B" w:rsidP="00FB5086">
            <w:pPr>
              <w:spacing w:after="120"/>
              <w:jc w:val="center"/>
              <w:rPr>
                <w:sz w:val="20"/>
                <w:szCs w:val="20"/>
              </w:rPr>
            </w:pPr>
            <w:r w:rsidRPr="00FA3F57">
              <w:rPr>
                <w:sz w:val="20"/>
                <w:szCs w:val="20"/>
              </w:rPr>
              <w:t>Inv</w:t>
            </w:r>
          </w:p>
        </w:tc>
        <w:tc>
          <w:tcPr>
            <w:tcW w:w="488" w:type="pct"/>
            <w:vAlign w:val="center"/>
          </w:tcPr>
          <w:p w14:paraId="3F8630F3" w14:textId="77777777" w:rsidR="0094644B" w:rsidRPr="00FA3F57" w:rsidRDefault="0094644B" w:rsidP="00FB5086">
            <w:pPr>
              <w:jc w:val="center"/>
              <w:rPr>
                <w:sz w:val="20"/>
                <w:szCs w:val="20"/>
              </w:rPr>
            </w:pPr>
            <w:r w:rsidRPr="00FA3F57">
              <w:rPr>
                <w:sz w:val="20"/>
                <w:szCs w:val="20"/>
              </w:rPr>
              <w:t>2026</w:t>
            </w:r>
          </w:p>
        </w:tc>
        <w:tc>
          <w:tcPr>
            <w:tcW w:w="976" w:type="pct"/>
            <w:vAlign w:val="center"/>
          </w:tcPr>
          <w:p w14:paraId="1A10AE93" w14:textId="77777777" w:rsidR="0094644B" w:rsidRPr="00FA3F57" w:rsidRDefault="0094644B" w:rsidP="00FB5086">
            <w:pPr>
              <w:jc w:val="right"/>
              <w:rPr>
                <w:i/>
                <w:sz w:val="18"/>
                <w:szCs w:val="18"/>
              </w:rPr>
            </w:pPr>
            <w:r w:rsidRPr="00FA3F57">
              <w:rPr>
                <w:i/>
                <w:sz w:val="18"/>
                <w:szCs w:val="18"/>
              </w:rPr>
              <w:t xml:space="preserve">1,005 </w:t>
            </w:r>
            <w:proofErr w:type="spellStart"/>
            <w:r w:rsidRPr="00FA3F57">
              <w:rPr>
                <w:i/>
                <w:sz w:val="18"/>
                <w:szCs w:val="18"/>
              </w:rPr>
              <w:t>mn</w:t>
            </w:r>
            <w:proofErr w:type="spellEnd"/>
            <w:r w:rsidRPr="00FA3F57">
              <w:rPr>
                <w:i/>
                <w:sz w:val="18"/>
                <w:szCs w:val="18"/>
              </w:rPr>
              <w:t xml:space="preserve"> RSD</w:t>
            </w:r>
          </w:p>
          <w:p w14:paraId="0D05FE25" w14:textId="77777777" w:rsidR="0094644B" w:rsidRPr="00FA3F57" w:rsidRDefault="0094644B" w:rsidP="00FB5086">
            <w:pPr>
              <w:jc w:val="right"/>
              <w:rPr>
                <w:i/>
                <w:sz w:val="18"/>
                <w:szCs w:val="18"/>
              </w:rPr>
            </w:pPr>
            <w:r w:rsidRPr="00FA3F57">
              <w:rPr>
                <w:i/>
                <w:sz w:val="18"/>
                <w:szCs w:val="18"/>
              </w:rPr>
              <w:t xml:space="preserve">8.6 </w:t>
            </w:r>
            <w:proofErr w:type="spellStart"/>
            <w:r w:rsidRPr="00FA3F57">
              <w:rPr>
                <w:i/>
                <w:sz w:val="18"/>
                <w:szCs w:val="18"/>
              </w:rPr>
              <w:t>mn</w:t>
            </w:r>
            <w:proofErr w:type="spellEnd"/>
            <w:r w:rsidRPr="00FA3F57">
              <w:rPr>
                <w:i/>
                <w:sz w:val="18"/>
                <w:szCs w:val="18"/>
              </w:rPr>
              <w:t xml:space="preserve"> EUR</w:t>
            </w:r>
          </w:p>
        </w:tc>
        <w:tc>
          <w:tcPr>
            <w:tcW w:w="895" w:type="pct"/>
            <w:vAlign w:val="center"/>
          </w:tcPr>
          <w:p w14:paraId="39F38285" w14:textId="77777777" w:rsidR="0094644B" w:rsidRPr="00FA3F57" w:rsidRDefault="0094644B" w:rsidP="00FB5086">
            <w:pPr>
              <w:jc w:val="right"/>
              <w:rPr>
                <w:i/>
                <w:sz w:val="18"/>
                <w:szCs w:val="18"/>
              </w:rPr>
            </w:pPr>
            <w:r w:rsidRPr="00FA3F57">
              <w:rPr>
                <w:i/>
                <w:sz w:val="18"/>
                <w:szCs w:val="18"/>
              </w:rPr>
              <w:t>0</w:t>
            </w:r>
          </w:p>
        </w:tc>
        <w:tc>
          <w:tcPr>
            <w:tcW w:w="936" w:type="pct"/>
            <w:vAlign w:val="center"/>
          </w:tcPr>
          <w:p w14:paraId="4DE3012E" w14:textId="77777777" w:rsidR="0094644B" w:rsidRPr="00FA3F57" w:rsidRDefault="0094644B" w:rsidP="00FB5086">
            <w:pPr>
              <w:jc w:val="right"/>
              <w:rPr>
                <w:i/>
                <w:sz w:val="18"/>
                <w:szCs w:val="18"/>
              </w:rPr>
            </w:pPr>
            <w:r w:rsidRPr="00FA3F57">
              <w:rPr>
                <w:i/>
                <w:sz w:val="18"/>
                <w:szCs w:val="18"/>
              </w:rPr>
              <w:t xml:space="preserve">503 </w:t>
            </w:r>
            <w:proofErr w:type="spellStart"/>
            <w:r w:rsidRPr="00FA3F57">
              <w:rPr>
                <w:i/>
                <w:sz w:val="18"/>
                <w:szCs w:val="18"/>
              </w:rPr>
              <w:t>mn</w:t>
            </w:r>
            <w:proofErr w:type="spellEnd"/>
            <w:r w:rsidRPr="00FA3F57">
              <w:rPr>
                <w:i/>
                <w:sz w:val="18"/>
                <w:szCs w:val="18"/>
              </w:rPr>
              <w:t xml:space="preserve"> RSD</w:t>
            </w:r>
          </w:p>
          <w:p w14:paraId="18B12BE3" w14:textId="77777777" w:rsidR="0094644B" w:rsidRPr="00FA3F57" w:rsidRDefault="0094644B" w:rsidP="00FB5086">
            <w:pPr>
              <w:jc w:val="right"/>
              <w:rPr>
                <w:i/>
                <w:sz w:val="18"/>
                <w:szCs w:val="18"/>
              </w:rPr>
            </w:pPr>
            <w:r w:rsidRPr="00FA3F57">
              <w:rPr>
                <w:i/>
                <w:sz w:val="18"/>
                <w:szCs w:val="18"/>
              </w:rPr>
              <w:t xml:space="preserve">4.3 </w:t>
            </w:r>
            <w:proofErr w:type="spellStart"/>
            <w:r w:rsidRPr="00FA3F57">
              <w:rPr>
                <w:i/>
                <w:sz w:val="18"/>
                <w:szCs w:val="18"/>
              </w:rPr>
              <w:t>mn</w:t>
            </w:r>
            <w:proofErr w:type="spellEnd"/>
            <w:r w:rsidRPr="00FA3F57">
              <w:rPr>
                <w:i/>
                <w:sz w:val="18"/>
                <w:szCs w:val="18"/>
              </w:rPr>
              <w:t xml:space="preserve"> EUR</w:t>
            </w:r>
          </w:p>
        </w:tc>
      </w:tr>
      <w:tr w:rsidR="0094644B" w:rsidRPr="00F07779" w14:paraId="1472F41B" w14:textId="77777777" w:rsidTr="00FB5086">
        <w:trPr>
          <w:trHeight w:val="454"/>
        </w:trPr>
        <w:tc>
          <w:tcPr>
            <w:tcW w:w="1192" w:type="pct"/>
            <w:vMerge/>
          </w:tcPr>
          <w:p w14:paraId="316373BF" w14:textId="77777777" w:rsidR="0094644B" w:rsidRPr="00FA3F57" w:rsidRDefault="0094644B" w:rsidP="00FB5086">
            <w:pPr>
              <w:spacing w:after="120"/>
              <w:rPr>
                <w:sz w:val="20"/>
                <w:szCs w:val="20"/>
              </w:rPr>
            </w:pPr>
          </w:p>
        </w:tc>
        <w:tc>
          <w:tcPr>
            <w:tcW w:w="513" w:type="pct"/>
            <w:vMerge/>
          </w:tcPr>
          <w:p w14:paraId="4F5C398E" w14:textId="77777777" w:rsidR="0094644B" w:rsidRPr="00FA3F57" w:rsidRDefault="0094644B" w:rsidP="00FB5086">
            <w:pPr>
              <w:spacing w:after="120"/>
              <w:jc w:val="both"/>
              <w:rPr>
                <w:sz w:val="20"/>
                <w:szCs w:val="20"/>
              </w:rPr>
            </w:pPr>
          </w:p>
        </w:tc>
        <w:tc>
          <w:tcPr>
            <w:tcW w:w="488" w:type="pct"/>
            <w:vAlign w:val="center"/>
          </w:tcPr>
          <w:p w14:paraId="2018EE41" w14:textId="77777777" w:rsidR="0094644B" w:rsidRPr="00FA3F57" w:rsidRDefault="0094644B" w:rsidP="00FB5086">
            <w:pPr>
              <w:jc w:val="center"/>
              <w:rPr>
                <w:sz w:val="20"/>
                <w:szCs w:val="20"/>
              </w:rPr>
            </w:pPr>
            <w:r w:rsidRPr="00FA3F57">
              <w:rPr>
                <w:sz w:val="20"/>
                <w:szCs w:val="20"/>
              </w:rPr>
              <w:t>2027</w:t>
            </w:r>
          </w:p>
        </w:tc>
        <w:tc>
          <w:tcPr>
            <w:tcW w:w="976" w:type="pct"/>
            <w:vAlign w:val="center"/>
          </w:tcPr>
          <w:p w14:paraId="7778FC24" w14:textId="77777777" w:rsidR="0094644B" w:rsidRPr="00FA3F57" w:rsidRDefault="0094644B" w:rsidP="00FB5086">
            <w:pPr>
              <w:jc w:val="right"/>
              <w:rPr>
                <w:i/>
                <w:sz w:val="18"/>
                <w:szCs w:val="18"/>
              </w:rPr>
            </w:pPr>
            <w:r w:rsidRPr="00FA3F57">
              <w:rPr>
                <w:i/>
                <w:sz w:val="18"/>
                <w:szCs w:val="18"/>
              </w:rPr>
              <w:t xml:space="preserve">1,296 </w:t>
            </w:r>
            <w:proofErr w:type="spellStart"/>
            <w:r w:rsidRPr="00FA3F57">
              <w:rPr>
                <w:i/>
                <w:sz w:val="18"/>
                <w:szCs w:val="18"/>
              </w:rPr>
              <w:t>mn</w:t>
            </w:r>
            <w:proofErr w:type="spellEnd"/>
            <w:r w:rsidRPr="00FA3F57">
              <w:rPr>
                <w:i/>
                <w:sz w:val="18"/>
                <w:szCs w:val="18"/>
              </w:rPr>
              <w:t xml:space="preserve"> RSD</w:t>
            </w:r>
          </w:p>
          <w:p w14:paraId="776DEAAF" w14:textId="77777777" w:rsidR="0094644B" w:rsidRPr="00FA3F57" w:rsidRDefault="0094644B" w:rsidP="00FB5086">
            <w:pPr>
              <w:jc w:val="right"/>
              <w:rPr>
                <w:i/>
                <w:sz w:val="18"/>
                <w:szCs w:val="18"/>
              </w:rPr>
            </w:pPr>
            <w:r w:rsidRPr="00FA3F57">
              <w:rPr>
                <w:i/>
                <w:sz w:val="18"/>
                <w:szCs w:val="18"/>
              </w:rPr>
              <w:t xml:space="preserve">11.1 </w:t>
            </w:r>
            <w:proofErr w:type="spellStart"/>
            <w:r w:rsidRPr="00FA3F57">
              <w:rPr>
                <w:i/>
                <w:sz w:val="18"/>
                <w:szCs w:val="18"/>
              </w:rPr>
              <w:t>mn</w:t>
            </w:r>
            <w:proofErr w:type="spellEnd"/>
            <w:r w:rsidRPr="00FA3F57">
              <w:rPr>
                <w:i/>
                <w:sz w:val="18"/>
                <w:szCs w:val="18"/>
              </w:rPr>
              <w:t xml:space="preserve"> EUR</w:t>
            </w:r>
          </w:p>
        </w:tc>
        <w:tc>
          <w:tcPr>
            <w:tcW w:w="895" w:type="pct"/>
            <w:vAlign w:val="center"/>
          </w:tcPr>
          <w:p w14:paraId="4ED13448" w14:textId="77777777" w:rsidR="0094644B" w:rsidRPr="00FA3F57" w:rsidRDefault="0094644B" w:rsidP="00FB5086">
            <w:pPr>
              <w:jc w:val="right"/>
              <w:rPr>
                <w:i/>
                <w:sz w:val="18"/>
                <w:szCs w:val="18"/>
              </w:rPr>
            </w:pPr>
            <w:r w:rsidRPr="00FA3F57">
              <w:rPr>
                <w:i/>
                <w:sz w:val="18"/>
                <w:szCs w:val="18"/>
              </w:rPr>
              <w:t>0</w:t>
            </w:r>
          </w:p>
        </w:tc>
        <w:tc>
          <w:tcPr>
            <w:tcW w:w="936" w:type="pct"/>
            <w:vAlign w:val="center"/>
          </w:tcPr>
          <w:p w14:paraId="4ACF9FF9" w14:textId="77777777" w:rsidR="0094644B" w:rsidRPr="00FA3F57" w:rsidRDefault="0094644B" w:rsidP="00FB5086">
            <w:pPr>
              <w:jc w:val="right"/>
              <w:rPr>
                <w:i/>
                <w:sz w:val="18"/>
                <w:szCs w:val="18"/>
              </w:rPr>
            </w:pPr>
            <w:r w:rsidRPr="00FA3F57">
              <w:rPr>
                <w:i/>
                <w:sz w:val="18"/>
                <w:szCs w:val="18"/>
              </w:rPr>
              <w:t xml:space="preserve">749 </w:t>
            </w:r>
            <w:proofErr w:type="spellStart"/>
            <w:r w:rsidRPr="00FA3F57">
              <w:rPr>
                <w:i/>
                <w:sz w:val="18"/>
                <w:szCs w:val="18"/>
              </w:rPr>
              <w:t>mn</w:t>
            </w:r>
            <w:proofErr w:type="spellEnd"/>
            <w:r w:rsidRPr="00FA3F57">
              <w:rPr>
                <w:i/>
                <w:sz w:val="18"/>
                <w:szCs w:val="18"/>
              </w:rPr>
              <w:t xml:space="preserve"> RSD</w:t>
            </w:r>
          </w:p>
          <w:p w14:paraId="1A38E9ED" w14:textId="77777777" w:rsidR="0094644B" w:rsidRPr="00FA3F57" w:rsidRDefault="0094644B" w:rsidP="00FB5086">
            <w:pPr>
              <w:jc w:val="right"/>
              <w:rPr>
                <w:i/>
                <w:sz w:val="18"/>
                <w:szCs w:val="18"/>
              </w:rPr>
            </w:pPr>
            <w:r w:rsidRPr="00FA3F57">
              <w:rPr>
                <w:i/>
                <w:sz w:val="18"/>
                <w:szCs w:val="18"/>
              </w:rPr>
              <w:t xml:space="preserve">6.4 </w:t>
            </w:r>
            <w:proofErr w:type="spellStart"/>
            <w:r w:rsidRPr="00FA3F57">
              <w:rPr>
                <w:i/>
                <w:sz w:val="18"/>
                <w:szCs w:val="18"/>
              </w:rPr>
              <w:t>mn</w:t>
            </w:r>
            <w:proofErr w:type="spellEnd"/>
            <w:r w:rsidRPr="00FA3F57">
              <w:rPr>
                <w:i/>
                <w:sz w:val="18"/>
                <w:szCs w:val="18"/>
              </w:rPr>
              <w:t xml:space="preserve"> EUR</w:t>
            </w:r>
          </w:p>
        </w:tc>
      </w:tr>
      <w:tr w:rsidR="0094644B" w:rsidRPr="00F07779" w14:paraId="7C551DBB" w14:textId="77777777" w:rsidTr="00FB5086">
        <w:trPr>
          <w:trHeight w:val="454"/>
        </w:trPr>
        <w:tc>
          <w:tcPr>
            <w:tcW w:w="1192" w:type="pct"/>
            <w:vMerge/>
          </w:tcPr>
          <w:p w14:paraId="190B5C78" w14:textId="77777777" w:rsidR="0094644B" w:rsidRPr="00FA3F57" w:rsidRDefault="0094644B" w:rsidP="00FB5086">
            <w:pPr>
              <w:spacing w:after="120"/>
              <w:rPr>
                <w:sz w:val="20"/>
                <w:szCs w:val="20"/>
              </w:rPr>
            </w:pPr>
          </w:p>
        </w:tc>
        <w:tc>
          <w:tcPr>
            <w:tcW w:w="513" w:type="pct"/>
            <w:vMerge/>
          </w:tcPr>
          <w:p w14:paraId="63E724F5" w14:textId="77777777" w:rsidR="0094644B" w:rsidRPr="00FA3F57" w:rsidRDefault="0094644B" w:rsidP="00FB5086">
            <w:pPr>
              <w:spacing w:after="120"/>
              <w:jc w:val="both"/>
              <w:rPr>
                <w:sz w:val="20"/>
                <w:szCs w:val="20"/>
              </w:rPr>
            </w:pPr>
          </w:p>
        </w:tc>
        <w:tc>
          <w:tcPr>
            <w:tcW w:w="488" w:type="pct"/>
            <w:vAlign w:val="center"/>
          </w:tcPr>
          <w:p w14:paraId="3581C224" w14:textId="77777777" w:rsidR="0094644B" w:rsidRPr="00FA3F57" w:rsidRDefault="0094644B" w:rsidP="00FB5086">
            <w:pPr>
              <w:jc w:val="center"/>
              <w:rPr>
                <w:sz w:val="20"/>
                <w:szCs w:val="20"/>
              </w:rPr>
            </w:pPr>
            <w:r w:rsidRPr="00FA3F57">
              <w:rPr>
                <w:sz w:val="20"/>
                <w:szCs w:val="20"/>
              </w:rPr>
              <w:t>2028</w:t>
            </w:r>
          </w:p>
        </w:tc>
        <w:tc>
          <w:tcPr>
            <w:tcW w:w="976" w:type="pct"/>
            <w:vAlign w:val="center"/>
          </w:tcPr>
          <w:p w14:paraId="4E01B193" w14:textId="77777777" w:rsidR="0094644B" w:rsidRPr="00FA3F57" w:rsidRDefault="0094644B" w:rsidP="00FB5086">
            <w:pPr>
              <w:jc w:val="right"/>
              <w:rPr>
                <w:i/>
                <w:sz w:val="18"/>
                <w:szCs w:val="18"/>
              </w:rPr>
            </w:pPr>
            <w:r w:rsidRPr="00FA3F57">
              <w:rPr>
                <w:i/>
                <w:sz w:val="18"/>
                <w:szCs w:val="18"/>
              </w:rPr>
              <w:t xml:space="preserve">1,589 </w:t>
            </w:r>
            <w:proofErr w:type="spellStart"/>
            <w:r w:rsidRPr="00FA3F57">
              <w:rPr>
                <w:i/>
                <w:sz w:val="18"/>
                <w:szCs w:val="18"/>
              </w:rPr>
              <w:t>mn</w:t>
            </w:r>
            <w:proofErr w:type="spellEnd"/>
            <w:r w:rsidRPr="00FA3F57">
              <w:rPr>
                <w:i/>
                <w:sz w:val="18"/>
                <w:szCs w:val="18"/>
              </w:rPr>
              <w:t xml:space="preserve"> RSD</w:t>
            </w:r>
          </w:p>
          <w:p w14:paraId="32062DB8" w14:textId="77777777" w:rsidR="0094644B" w:rsidRPr="00FA3F57" w:rsidRDefault="0094644B" w:rsidP="00FB5086">
            <w:pPr>
              <w:jc w:val="right"/>
              <w:rPr>
                <w:i/>
                <w:sz w:val="18"/>
                <w:szCs w:val="18"/>
              </w:rPr>
            </w:pPr>
            <w:r w:rsidRPr="00FA3F57">
              <w:rPr>
                <w:i/>
                <w:sz w:val="18"/>
                <w:szCs w:val="18"/>
              </w:rPr>
              <w:t xml:space="preserve">13.5 </w:t>
            </w:r>
            <w:proofErr w:type="spellStart"/>
            <w:r w:rsidRPr="00FA3F57">
              <w:rPr>
                <w:i/>
                <w:sz w:val="18"/>
                <w:szCs w:val="18"/>
              </w:rPr>
              <w:t>mn</w:t>
            </w:r>
            <w:proofErr w:type="spellEnd"/>
            <w:r w:rsidRPr="00FA3F57">
              <w:rPr>
                <w:i/>
                <w:sz w:val="18"/>
                <w:szCs w:val="18"/>
              </w:rPr>
              <w:t xml:space="preserve"> EUR</w:t>
            </w:r>
          </w:p>
        </w:tc>
        <w:tc>
          <w:tcPr>
            <w:tcW w:w="895" w:type="pct"/>
            <w:vAlign w:val="center"/>
          </w:tcPr>
          <w:p w14:paraId="3214B31A" w14:textId="77777777" w:rsidR="0094644B" w:rsidRPr="00FA3F57" w:rsidRDefault="0094644B" w:rsidP="00FB5086">
            <w:pPr>
              <w:jc w:val="right"/>
              <w:rPr>
                <w:i/>
                <w:sz w:val="18"/>
                <w:szCs w:val="18"/>
              </w:rPr>
            </w:pPr>
            <w:r w:rsidRPr="00FA3F57">
              <w:rPr>
                <w:i/>
                <w:sz w:val="18"/>
                <w:szCs w:val="18"/>
              </w:rPr>
              <w:t>0</w:t>
            </w:r>
          </w:p>
        </w:tc>
        <w:tc>
          <w:tcPr>
            <w:tcW w:w="936" w:type="pct"/>
            <w:vAlign w:val="center"/>
          </w:tcPr>
          <w:p w14:paraId="5F27BC51" w14:textId="77777777" w:rsidR="0094644B" w:rsidRPr="00FA3F57" w:rsidRDefault="0094644B" w:rsidP="00FB5086">
            <w:pPr>
              <w:jc w:val="right"/>
              <w:rPr>
                <w:i/>
                <w:sz w:val="18"/>
                <w:szCs w:val="18"/>
              </w:rPr>
            </w:pPr>
            <w:r w:rsidRPr="00FA3F57">
              <w:rPr>
                <w:i/>
                <w:sz w:val="18"/>
                <w:szCs w:val="18"/>
              </w:rPr>
              <w:t xml:space="preserve">117 </w:t>
            </w:r>
            <w:proofErr w:type="spellStart"/>
            <w:r w:rsidRPr="00FA3F57">
              <w:rPr>
                <w:i/>
                <w:sz w:val="18"/>
                <w:szCs w:val="18"/>
              </w:rPr>
              <w:t>mn</w:t>
            </w:r>
            <w:proofErr w:type="spellEnd"/>
            <w:r w:rsidRPr="00FA3F57">
              <w:rPr>
                <w:i/>
                <w:sz w:val="18"/>
                <w:szCs w:val="18"/>
              </w:rPr>
              <w:t xml:space="preserve"> RSD</w:t>
            </w:r>
          </w:p>
          <w:p w14:paraId="12706165" w14:textId="77777777" w:rsidR="0094644B" w:rsidRPr="00FA3F57" w:rsidRDefault="0094644B" w:rsidP="00FB5086">
            <w:pPr>
              <w:jc w:val="right"/>
              <w:rPr>
                <w:i/>
                <w:sz w:val="18"/>
                <w:szCs w:val="18"/>
              </w:rPr>
            </w:pPr>
            <w:r w:rsidRPr="00FA3F57">
              <w:rPr>
                <w:i/>
                <w:sz w:val="18"/>
                <w:szCs w:val="18"/>
              </w:rPr>
              <w:t xml:space="preserve">1 </w:t>
            </w:r>
            <w:proofErr w:type="spellStart"/>
            <w:r w:rsidRPr="00FA3F57">
              <w:rPr>
                <w:i/>
                <w:sz w:val="18"/>
                <w:szCs w:val="18"/>
              </w:rPr>
              <w:t>mn</w:t>
            </w:r>
            <w:proofErr w:type="spellEnd"/>
            <w:r w:rsidRPr="00FA3F57">
              <w:rPr>
                <w:i/>
                <w:sz w:val="18"/>
                <w:szCs w:val="18"/>
              </w:rPr>
              <w:t xml:space="preserve"> EUR</w:t>
            </w:r>
          </w:p>
        </w:tc>
      </w:tr>
      <w:tr w:rsidR="0094644B" w:rsidRPr="00F07779" w14:paraId="665D85FF" w14:textId="77777777" w:rsidTr="00FB5086">
        <w:trPr>
          <w:trHeight w:val="454"/>
        </w:trPr>
        <w:tc>
          <w:tcPr>
            <w:tcW w:w="2193" w:type="pct"/>
            <w:gridSpan w:val="3"/>
            <w:vMerge w:val="restart"/>
            <w:vAlign w:val="center"/>
          </w:tcPr>
          <w:p w14:paraId="6862780E" w14:textId="77777777" w:rsidR="0094644B" w:rsidRPr="00FA3F57" w:rsidRDefault="0094644B" w:rsidP="00FB5086">
            <w:pPr>
              <w:jc w:val="right"/>
              <w:rPr>
                <w:sz w:val="20"/>
                <w:szCs w:val="20"/>
              </w:rPr>
            </w:pPr>
            <w:r w:rsidRPr="00FA3F57">
              <w:rPr>
                <w:sz w:val="20"/>
                <w:szCs w:val="20"/>
              </w:rPr>
              <w:t>In total</w:t>
            </w:r>
          </w:p>
        </w:tc>
        <w:tc>
          <w:tcPr>
            <w:tcW w:w="976" w:type="pct"/>
            <w:shd w:val="clear" w:color="auto" w:fill="D9D9D9" w:themeFill="background1" w:themeFillShade="D9"/>
            <w:vAlign w:val="center"/>
          </w:tcPr>
          <w:p w14:paraId="24A4AB4C" w14:textId="77777777" w:rsidR="0094644B" w:rsidRPr="00FA3F57" w:rsidRDefault="0094644B" w:rsidP="00FB5086">
            <w:pPr>
              <w:jc w:val="right"/>
              <w:rPr>
                <w:sz w:val="18"/>
                <w:szCs w:val="18"/>
              </w:rPr>
            </w:pPr>
            <w:r w:rsidRPr="00FA3F57">
              <w:rPr>
                <w:sz w:val="18"/>
                <w:szCs w:val="18"/>
              </w:rPr>
              <w:t xml:space="preserve">23,981 </w:t>
            </w:r>
            <w:proofErr w:type="spellStart"/>
            <w:r w:rsidRPr="00FA3F57">
              <w:rPr>
                <w:sz w:val="18"/>
                <w:szCs w:val="18"/>
              </w:rPr>
              <w:t>mn</w:t>
            </w:r>
            <w:proofErr w:type="spellEnd"/>
            <w:r w:rsidRPr="00FA3F57">
              <w:rPr>
                <w:sz w:val="18"/>
                <w:szCs w:val="18"/>
              </w:rPr>
              <w:t>, RSD</w:t>
            </w:r>
          </w:p>
          <w:p w14:paraId="5C4C3FE6" w14:textId="77777777" w:rsidR="0094644B" w:rsidRPr="00FA3F57" w:rsidRDefault="0094644B" w:rsidP="00FB5086">
            <w:pPr>
              <w:jc w:val="right"/>
              <w:rPr>
                <w:sz w:val="18"/>
                <w:szCs w:val="18"/>
              </w:rPr>
            </w:pPr>
            <w:r w:rsidRPr="00FA3F57">
              <w:rPr>
                <w:sz w:val="18"/>
                <w:szCs w:val="18"/>
              </w:rPr>
              <w:t xml:space="preserve">204.5 </w:t>
            </w:r>
            <w:proofErr w:type="spellStart"/>
            <w:r w:rsidRPr="00FA3F57">
              <w:rPr>
                <w:sz w:val="18"/>
                <w:szCs w:val="18"/>
              </w:rPr>
              <w:t>mn</w:t>
            </w:r>
            <w:proofErr w:type="spellEnd"/>
            <w:r w:rsidRPr="00FA3F57">
              <w:rPr>
                <w:sz w:val="18"/>
                <w:szCs w:val="18"/>
              </w:rPr>
              <w:t xml:space="preserve"> EUR</w:t>
            </w:r>
          </w:p>
        </w:tc>
        <w:tc>
          <w:tcPr>
            <w:tcW w:w="895" w:type="pct"/>
            <w:shd w:val="clear" w:color="auto" w:fill="D9D9D9" w:themeFill="background1" w:themeFillShade="D9"/>
            <w:vAlign w:val="center"/>
          </w:tcPr>
          <w:p w14:paraId="743C4AB8" w14:textId="77777777" w:rsidR="0094644B" w:rsidRPr="00FA3F57" w:rsidRDefault="0094644B" w:rsidP="00FB5086">
            <w:pPr>
              <w:jc w:val="right"/>
              <w:rPr>
                <w:sz w:val="18"/>
                <w:szCs w:val="18"/>
              </w:rPr>
            </w:pPr>
            <w:r w:rsidRPr="00FA3F57">
              <w:rPr>
                <w:sz w:val="18"/>
                <w:szCs w:val="18"/>
              </w:rPr>
              <w:t>0</w:t>
            </w:r>
          </w:p>
        </w:tc>
        <w:tc>
          <w:tcPr>
            <w:tcW w:w="936" w:type="pct"/>
            <w:shd w:val="clear" w:color="auto" w:fill="D9D9D9" w:themeFill="background1" w:themeFillShade="D9"/>
            <w:vAlign w:val="center"/>
          </w:tcPr>
          <w:p w14:paraId="480B71D3" w14:textId="77777777" w:rsidR="0094644B" w:rsidRPr="00FA3F57" w:rsidRDefault="0094644B" w:rsidP="00FB5086">
            <w:pPr>
              <w:jc w:val="right"/>
              <w:rPr>
                <w:sz w:val="18"/>
                <w:szCs w:val="18"/>
              </w:rPr>
            </w:pPr>
            <w:r w:rsidRPr="00FA3F57">
              <w:rPr>
                <w:sz w:val="18"/>
                <w:szCs w:val="18"/>
              </w:rPr>
              <w:t xml:space="preserve">9,816 </w:t>
            </w:r>
            <w:proofErr w:type="spellStart"/>
            <w:r w:rsidRPr="00FA3F57">
              <w:rPr>
                <w:sz w:val="18"/>
                <w:szCs w:val="18"/>
              </w:rPr>
              <w:t>mn</w:t>
            </w:r>
            <w:proofErr w:type="spellEnd"/>
            <w:r w:rsidRPr="00FA3F57">
              <w:rPr>
                <w:sz w:val="18"/>
                <w:szCs w:val="18"/>
              </w:rPr>
              <w:t xml:space="preserve"> RSD</w:t>
            </w:r>
          </w:p>
          <w:p w14:paraId="7A1A8497" w14:textId="77777777" w:rsidR="0094644B" w:rsidRPr="00FA3F57" w:rsidRDefault="0094644B" w:rsidP="00FB5086">
            <w:pPr>
              <w:jc w:val="right"/>
              <w:rPr>
                <w:sz w:val="18"/>
                <w:szCs w:val="18"/>
              </w:rPr>
            </w:pPr>
            <w:r w:rsidRPr="00FA3F57">
              <w:rPr>
                <w:sz w:val="18"/>
                <w:szCs w:val="18"/>
              </w:rPr>
              <w:t xml:space="preserve">83.7 </w:t>
            </w:r>
            <w:proofErr w:type="spellStart"/>
            <w:r w:rsidRPr="00FA3F57">
              <w:rPr>
                <w:sz w:val="18"/>
                <w:szCs w:val="18"/>
              </w:rPr>
              <w:t>mn</w:t>
            </w:r>
            <w:proofErr w:type="spellEnd"/>
            <w:r w:rsidRPr="00FA3F57">
              <w:rPr>
                <w:sz w:val="18"/>
                <w:szCs w:val="18"/>
              </w:rPr>
              <w:t xml:space="preserve"> EUR</w:t>
            </w:r>
          </w:p>
        </w:tc>
      </w:tr>
      <w:tr w:rsidR="0094644B" w:rsidRPr="00F07779" w14:paraId="15F7C368" w14:textId="77777777" w:rsidTr="00FB5086">
        <w:trPr>
          <w:trHeight w:val="454"/>
        </w:trPr>
        <w:tc>
          <w:tcPr>
            <w:tcW w:w="2193" w:type="pct"/>
            <w:gridSpan w:val="3"/>
            <w:vMerge/>
            <w:vAlign w:val="center"/>
          </w:tcPr>
          <w:p w14:paraId="2CEA6C44" w14:textId="77777777" w:rsidR="0094644B" w:rsidRPr="00FA3F57" w:rsidRDefault="0094644B" w:rsidP="00FB5086">
            <w:pPr>
              <w:jc w:val="right"/>
              <w:rPr>
                <w:sz w:val="20"/>
                <w:szCs w:val="20"/>
              </w:rPr>
            </w:pPr>
          </w:p>
        </w:tc>
        <w:tc>
          <w:tcPr>
            <w:tcW w:w="976" w:type="pct"/>
            <w:vAlign w:val="center"/>
          </w:tcPr>
          <w:p w14:paraId="3848445F" w14:textId="77777777" w:rsidR="0094644B" w:rsidRPr="00FA3F57" w:rsidRDefault="0094644B" w:rsidP="00FB5086">
            <w:pPr>
              <w:jc w:val="right"/>
              <w:rPr>
                <w:sz w:val="18"/>
                <w:szCs w:val="18"/>
              </w:rPr>
            </w:pPr>
            <w:r w:rsidRPr="00FA3F57">
              <w:rPr>
                <w:sz w:val="18"/>
                <w:szCs w:val="18"/>
              </w:rPr>
              <w:t xml:space="preserve">8,273 </w:t>
            </w:r>
            <w:proofErr w:type="spellStart"/>
            <w:r w:rsidRPr="00FA3F57">
              <w:rPr>
                <w:sz w:val="18"/>
                <w:szCs w:val="18"/>
              </w:rPr>
              <w:t>mn</w:t>
            </w:r>
            <w:proofErr w:type="spellEnd"/>
            <w:r w:rsidRPr="00FA3F57">
              <w:rPr>
                <w:sz w:val="18"/>
                <w:szCs w:val="18"/>
              </w:rPr>
              <w:t>, RSD</w:t>
            </w:r>
          </w:p>
          <w:p w14:paraId="4773B7EB" w14:textId="77777777" w:rsidR="0094644B" w:rsidRPr="00FA3F57" w:rsidRDefault="0094644B" w:rsidP="00FB5086">
            <w:pPr>
              <w:jc w:val="right"/>
              <w:rPr>
                <w:sz w:val="18"/>
                <w:szCs w:val="18"/>
              </w:rPr>
            </w:pPr>
            <w:r w:rsidRPr="00FA3F57">
              <w:rPr>
                <w:sz w:val="18"/>
                <w:szCs w:val="18"/>
              </w:rPr>
              <w:t xml:space="preserve">70.6 </w:t>
            </w:r>
            <w:proofErr w:type="spellStart"/>
            <w:r w:rsidRPr="00FA3F57">
              <w:rPr>
                <w:sz w:val="18"/>
                <w:szCs w:val="18"/>
              </w:rPr>
              <w:t>mn</w:t>
            </w:r>
            <w:proofErr w:type="spellEnd"/>
            <w:r w:rsidRPr="00FA3F57">
              <w:rPr>
                <w:sz w:val="18"/>
                <w:szCs w:val="18"/>
              </w:rPr>
              <w:t xml:space="preserve"> EUR</w:t>
            </w:r>
          </w:p>
        </w:tc>
        <w:tc>
          <w:tcPr>
            <w:tcW w:w="895" w:type="pct"/>
            <w:vAlign w:val="center"/>
          </w:tcPr>
          <w:p w14:paraId="3D63902F" w14:textId="77777777" w:rsidR="0094644B" w:rsidRPr="00FA3F57" w:rsidRDefault="0094644B" w:rsidP="00FB5086">
            <w:pPr>
              <w:jc w:val="right"/>
              <w:rPr>
                <w:sz w:val="18"/>
                <w:szCs w:val="18"/>
              </w:rPr>
            </w:pPr>
            <w:r w:rsidRPr="00FA3F57">
              <w:rPr>
                <w:sz w:val="18"/>
                <w:szCs w:val="18"/>
              </w:rPr>
              <w:t>0</w:t>
            </w:r>
          </w:p>
        </w:tc>
        <w:tc>
          <w:tcPr>
            <w:tcW w:w="936" w:type="pct"/>
            <w:vAlign w:val="center"/>
          </w:tcPr>
          <w:p w14:paraId="2F9F1E70" w14:textId="77777777" w:rsidR="0094644B" w:rsidRPr="00FA3F57" w:rsidRDefault="0094644B" w:rsidP="00FB5086">
            <w:pPr>
              <w:jc w:val="right"/>
              <w:rPr>
                <w:sz w:val="18"/>
                <w:szCs w:val="18"/>
              </w:rPr>
            </w:pPr>
            <w:r w:rsidRPr="00FA3F57">
              <w:rPr>
                <w:sz w:val="18"/>
                <w:szCs w:val="18"/>
              </w:rPr>
              <w:t xml:space="preserve">1,369 </w:t>
            </w:r>
            <w:proofErr w:type="spellStart"/>
            <w:r w:rsidRPr="00FA3F57">
              <w:rPr>
                <w:sz w:val="18"/>
                <w:szCs w:val="18"/>
              </w:rPr>
              <w:t>mn</w:t>
            </w:r>
            <w:proofErr w:type="spellEnd"/>
            <w:r w:rsidRPr="00FA3F57">
              <w:rPr>
                <w:sz w:val="18"/>
                <w:szCs w:val="18"/>
              </w:rPr>
              <w:t xml:space="preserve"> RSD</w:t>
            </w:r>
          </w:p>
          <w:p w14:paraId="065F6D7B" w14:textId="77777777" w:rsidR="0094644B" w:rsidRPr="00FA3F57" w:rsidRDefault="0094644B" w:rsidP="00FB5086">
            <w:pPr>
              <w:jc w:val="right"/>
              <w:rPr>
                <w:sz w:val="18"/>
                <w:szCs w:val="18"/>
              </w:rPr>
            </w:pPr>
            <w:r w:rsidRPr="00FA3F57">
              <w:rPr>
                <w:sz w:val="18"/>
                <w:szCs w:val="18"/>
              </w:rPr>
              <w:t xml:space="preserve">11.7 </w:t>
            </w:r>
            <w:proofErr w:type="spellStart"/>
            <w:r w:rsidRPr="00FA3F57">
              <w:rPr>
                <w:sz w:val="18"/>
                <w:szCs w:val="18"/>
              </w:rPr>
              <w:t>mn</w:t>
            </w:r>
            <w:proofErr w:type="spellEnd"/>
            <w:r w:rsidRPr="00FA3F57">
              <w:rPr>
                <w:sz w:val="18"/>
                <w:szCs w:val="18"/>
              </w:rPr>
              <w:t xml:space="preserve"> EUR</w:t>
            </w:r>
          </w:p>
        </w:tc>
      </w:tr>
      <w:tr w:rsidR="0094644B" w:rsidRPr="00F07779" w14:paraId="669E24C2" w14:textId="77777777" w:rsidTr="00FB5086">
        <w:trPr>
          <w:trHeight w:val="454"/>
        </w:trPr>
        <w:tc>
          <w:tcPr>
            <w:tcW w:w="2193" w:type="pct"/>
            <w:gridSpan w:val="3"/>
            <w:vMerge/>
            <w:vAlign w:val="center"/>
          </w:tcPr>
          <w:p w14:paraId="5D101757" w14:textId="77777777" w:rsidR="0094644B" w:rsidRPr="00FA3F57" w:rsidRDefault="0094644B" w:rsidP="00FB5086">
            <w:pPr>
              <w:jc w:val="right"/>
              <w:rPr>
                <w:sz w:val="20"/>
                <w:szCs w:val="20"/>
              </w:rPr>
            </w:pPr>
          </w:p>
        </w:tc>
        <w:tc>
          <w:tcPr>
            <w:tcW w:w="2807" w:type="pct"/>
            <w:gridSpan w:val="3"/>
            <w:shd w:val="clear" w:color="auto" w:fill="D9D9D9" w:themeFill="background1" w:themeFillShade="D9"/>
            <w:vAlign w:val="center"/>
          </w:tcPr>
          <w:p w14:paraId="4D5C450A" w14:textId="77777777" w:rsidR="0094644B" w:rsidRPr="00FA3F57" w:rsidRDefault="0094644B" w:rsidP="00FB5086">
            <w:pPr>
              <w:jc w:val="center"/>
              <w:rPr>
                <w:sz w:val="18"/>
                <w:szCs w:val="18"/>
              </w:rPr>
            </w:pPr>
            <w:r w:rsidRPr="00FA3F57">
              <w:rPr>
                <w:sz w:val="18"/>
                <w:szCs w:val="18"/>
              </w:rPr>
              <w:t xml:space="preserve">33,797 </w:t>
            </w:r>
            <w:proofErr w:type="spellStart"/>
            <w:r w:rsidRPr="00FA3F57">
              <w:rPr>
                <w:sz w:val="18"/>
                <w:szCs w:val="18"/>
              </w:rPr>
              <w:t>mn</w:t>
            </w:r>
            <w:proofErr w:type="spellEnd"/>
            <w:r w:rsidRPr="00FA3F57">
              <w:rPr>
                <w:sz w:val="18"/>
                <w:szCs w:val="18"/>
              </w:rPr>
              <w:t>, RSD</w:t>
            </w:r>
          </w:p>
          <w:p w14:paraId="67D161B4" w14:textId="77777777" w:rsidR="0094644B" w:rsidRPr="00FA3F57" w:rsidRDefault="0094644B" w:rsidP="00FB5086">
            <w:pPr>
              <w:jc w:val="center"/>
              <w:rPr>
                <w:sz w:val="18"/>
                <w:szCs w:val="18"/>
              </w:rPr>
            </w:pPr>
            <w:r w:rsidRPr="00FA3F57">
              <w:rPr>
                <w:sz w:val="18"/>
                <w:szCs w:val="18"/>
              </w:rPr>
              <w:t xml:space="preserve">288.2 </w:t>
            </w:r>
            <w:proofErr w:type="spellStart"/>
            <w:r w:rsidRPr="00FA3F57">
              <w:rPr>
                <w:sz w:val="18"/>
                <w:szCs w:val="18"/>
              </w:rPr>
              <w:t>mn</w:t>
            </w:r>
            <w:proofErr w:type="spellEnd"/>
            <w:r w:rsidRPr="00FA3F57">
              <w:rPr>
                <w:sz w:val="18"/>
                <w:szCs w:val="18"/>
              </w:rPr>
              <w:t xml:space="preserve"> EUR</w:t>
            </w:r>
          </w:p>
        </w:tc>
      </w:tr>
      <w:tr w:rsidR="0094644B" w:rsidRPr="00F07779" w14:paraId="44EDCEF8" w14:textId="77777777" w:rsidTr="00FB5086">
        <w:trPr>
          <w:trHeight w:val="454"/>
        </w:trPr>
        <w:tc>
          <w:tcPr>
            <w:tcW w:w="2193" w:type="pct"/>
            <w:gridSpan w:val="3"/>
            <w:vMerge/>
            <w:vAlign w:val="center"/>
          </w:tcPr>
          <w:p w14:paraId="5BF515AB" w14:textId="77777777" w:rsidR="0094644B" w:rsidRPr="00FA3F57" w:rsidRDefault="0094644B" w:rsidP="00FB5086">
            <w:pPr>
              <w:jc w:val="right"/>
              <w:rPr>
                <w:sz w:val="20"/>
                <w:szCs w:val="20"/>
              </w:rPr>
            </w:pPr>
          </w:p>
        </w:tc>
        <w:tc>
          <w:tcPr>
            <w:tcW w:w="2807" w:type="pct"/>
            <w:gridSpan w:val="3"/>
            <w:vAlign w:val="center"/>
          </w:tcPr>
          <w:p w14:paraId="644D303D" w14:textId="77777777" w:rsidR="0094644B" w:rsidRPr="00FA3F57" w:rsidRDefault="0094644B" w:rsidP="00FB5086">
            <w:pPr>
              <w:jc w:val="center"/>
              <w:rPr>
                <w:sz w:val="18"/>
                <w:szCs w:val="18"/>
              </w:rPr>
            </w:pPr>
            <w:r w:rsidRPr="00FA3F57">
              <w:rPr>
                <w:sz w:val="18"/>
                <w:szCs w:val="18"/>
              </w:rPr>
              <w:t xml:space="preserve">9,642 </w:t>
            </w:r>
            <w:proofErr w:type="spellStart"/>
            <w:r w:rsidRPr="00FA3F57">
              <w:rPr>
                <w:sz w:val="18"/>
                <w:szCs w:val="18"/>
              </w:rPr>
              <w:t>mn</w:t>
            </w:r>
            <w:proofErr w:type="spellEnd"/>
            <w:r w:rsidRPr="00FA3F57">
              <w:rPr>
                <w:sz w:val="18"/>
                <w:szCs w:val="18"/>
              </w:rPr>
              <w:t>, RSD</w:t>
            </w:r>
          </w:p>
          <w:p w14:paraId="00407C51" w14:textId="77777777" w:rsidR="0094644B" w:rsidRPr="00FA3F57" w:rsidRDefault="0094644B" w:rsidP="00FB5086">
            <w:pPr>
              <w:jc w:val="center"/>
              <w:rPr>
                <w:sz w:val="18"/>
                <w:szCs w:val="18"/>
              </w:rPr>
            </w:pPr>
            <w:r w:rsidRPr="00FA3F57">
              <w:rPr>
                <w:sz w:val="18"/>
                <w:szCs w:val="18"/>
              </w:rPr>
              <w:t xml:space="preserve">82.3 </w:t>
            </w:r>
            <w:proofErr w:type="spellStart"/>
            <w:r w:rsidRPr="00FA3F57">
              <w:rPr>
                <w:sz w:val="18"/>
                <w:szCs w:val="18"/>
              </w:rPr>
              <w:t>mn</w:t>
            </w:r>
            <w:proofErr w:type="spellEnd"/>
            <w:r w:rsidRPr="00FA3F57">
              <w:rPr>
                <w:sz w:val="18"/>
                <w:szCs w:val="18"/>
              </w:rPr>
              <w:t xml:space="preserve"> EUR</w:t>
            </w:r>
            <w:r w:rsidRPr="00FA3F57" w:rsidDel="00357B59">
              <w:rPr>
                <w:sz w:val="18"/>
                <w:szCs w:val="18"/>
              </w:rPr>
              <w:t xml:space="preserve"> </w:t>
            </w:r>
          </w:p>
        </w:tc>
      </w:tr>
    </w:tbl>
    <w:p w14:paraId="7229EBFD" w14:textId="77777777" w:rsidR="0094644B" w:rsidRPr="00F07779" w:rsidRDefault="0094644B" w:rsidP="0094644B">
      <w:pPr>
        <w:rPr>
          <w:sz w:val="20"/>
          <w:szCs w:val="20"/>
        </w:rPr>
      </w:pPr>
      <w:r w:rsidRPr="00F07779">
        <w:rPr>
          <w:sz w:val="20"/>
          <w:szCs w:val="20"/>
        </w:rPr>
        <w:t xml:space="preserve">* Inv-Investment, R-Regulatory, S – Supportive (Incentive), Inf-Informative, IG – Institutional/governance, F-Financial </w:t>
      </w:r>
    </w:p>
    <w:p w14:paraId="4D4F46B7" w14:textId="77777777" w:rsidR="0094644B" w:rsidRPr="00FA3F57" w:rsidRDefault="0094644B" w:rsidP="0094644B">
      <w:pPr>
        <w:spacing w:before="120"/>
        <w:jc w:val="both"/>
      </w:pPr>
    </w:p>
    <w:p w14:paraId="7558B36B" w14:textId="77777777" w:rsidR="0094644B" w:rsidRPr="00FA3F57" w:rsidRDefault="0094644B" w:rsidP="0094644B">
      <w:pPr>
        <w:jc w:val="both"/>
      </w:pPr>
      <w:r w:rsidRPr="00FA3F57">
        <w:t>Table 5.4.2 shows the adopted objective for the energy efficiency sector, measures to achieve it, indicators for the implementation monitoring, the indicator value in 2023, and projected values for 2026-2028. Tables 5.4.3-5.4.8 show the activities required for the implementation of each measure.</w:t>
      </w:r>
    </w:p>
    <w:p w14:paraId="66E80103" w14:textId="77777777" w:rsidR="0094644B" w:rsidRPr="00FA3F57" w:rsidRDefault="0094644B" w:rsidP="0094644B">
      <w:pPr>
        <w:jc w:val="both"/>
      </w:pPr>
    </w:p>
    <w:p w14:paraId="6D7BB4B7" w14:textId="77777777" w:rsidR="0094644B" w:rsidRPr="00FA3F57" w:rsidRDefault="0094644B" w:rsidP="0094644B">
      <w:pPr>
        <w:tabs>
          <w:tab w:val="left" w:pos="1418"/>
        </w:tabs>
        <w:ind w:left="1418" w:hanging="1418"/>
      </w:pPr>
      <w:r w:rsidRPr="00FA3F57">
        <w:t>Table 5.4.2:</w:t>
      </w:r>
      <w:r w:rsidRPr="00FA3F57">
        <w:tab/>
        <w:t>Objectives, measures, and indicators in the energy efficiency sector</w:t>
      </w:r>
    </w:p>
    <w:tbl>
      <w:tblPr>
        <w:tblStyle w:val="TableGrid1"/>
        <w:tblW w:w="8931" w:type="dxa"/>
        <w:tblLayout w:type="fixed"/>
        <w:tblLook w:val="04A0" w:firstRow="1" w:lastRow="0" w:firstColumn="1" w:lastColumn="0" w:noHBand="0" w:noVBand="1"/>
      </w:tblPr>
      <w:tblGrid>
        <w:gridCol w:w="1025"/>
        <w:gridCol w:w="1087"/>
        <w:gridCol w:w="6819"/>
      </w:tblGrid>
      <w:tr w:rsidR="0094644B" w:rsidRPr="00F07779" w14:paraId="28765A31" w14:textId="77777777" w:rsidTr="00FB5086">
        <w:tc>
          <w:tcPr>
            <w:tcW w:w="2112" w:type="dxa"/>
            <w:gridSpan w:val="2"/>
          </w:tcPr>
          <w:p w14:paraId="3DD0CE83" w14:textId="77777777" w:rsidR="0094644B" w:rsidRPr="00FA3F57" w:rsidRDefault="0094644B" w:rsidP="00FB5086">
            <w:pPr>
              <w:ind w:left="17" w:firstLine="0"/>
              <w:rPr>
                <w:rFonts w:eastAsia="Calibri"/>
                <w:b/>
                <w:bCs/>
                <w:color w:val="2F5496"/>
                <w:sz w:val="20"/>
                <w:szCs w:val="20"/>
                <w:lang w:val="en-US"/>
              </w:rPr>
            </w:pPr>
            <w:r w:rsidRPr="00FA3F57">
              <w:rPr>
                <w:rFonts w:eastAsia="Calibri"/>
                <w:b/>
                <w:bCs/>
                <w:color w:val="2F5496"/>
                <w:sz w:val="18"/>
                <w:szCs w:val="18"/>
                <w:lang w:val="en-US"/>
              </w:rPr>
              <w:t>Objectives</w:t>
            </w:r>
          </w:p>
        </w:tc>
        <w:tc>
          <w:tcPr>
            <w:tcW w:w="6819" w:type="dxa"/>
          </w:tcPr>
          <w:p w14:paraId="0E8F3F26" w14:textId="77777777" w:rsidR="0094644B" w:rsidRPr="00FA3F57" w:rsidRDefault="0094644B" w:rsidP="00FB5086">
            <w:pPr>
              <w:pStyle w:val="ListParagraph"/>
              <w:numPr>
                <w:ilvl w:val="0"/>
                <w:numId w:val="1"/>
              </w:numPr>
              <w:spacing w:before="120" w:after="60"/>
              <w:ind w:left="129" w:hanging="187"/>
              <w:rPr>
                <w:rFonts w:ascii="Times New Roman" w:eastAsia="Calibri" w:hAnsi="Times New Roman" w:cs="Times New Roman"/>
                <w:noProof w:val="0"/>
                <w:color w:val="2F5496"/>
                <w:sz w:val="20"/>
                <w:szCs w:val="20"/>
                <w:lang w:val="en-US"/>
              </w:rPr>
            </w:pPr>
            <w:r w:rsidRPr="00FA3F57">
              <w:rPr>
                <w:rFonts w:ascii="Times New Roman" w:eastAsia="Calibri" w:hAnsi="Times New Roman" w:cs="Times New Roman"/>
                <w:noProof w:val="0"/>
                <w:color w:val="2F5496"/>
                <w:sz w:val="20"/>
                <w:szCs w:val="20"/>
                <w:lang w:val="en-US"/>
              </w:rPr>
              <w:t>Improving energy efficiency in all energy consumption sectors</w:t>
            </w:r>
          </w:p>
        </w:tc>
      </w:tr>
      <w:tr w:rsidR="0094644B" w:rsidRPr="00F07779" w14:paraId="108BC579" w14:textId="77777777" w:rsidTr="00FB5086">
        <w:tc>
          <w:tcPr>
            <w:tcW w:w="2112" w:type="dxa"/>
            <w:gridSpan w:val="2"/>
          </w:tcPr>
          <w:p w14:paraId="5F6EC4EB" w14:textId="77777777" w:rsidR="0094644B" w:rsidRPr="00FA3F57" w:rsidRDefault="0094644B" w:rsidP="00FB5086">
            <w:pPr>
              <w:ind w:left="17" w:firstLine="0"/>
              <w:rPr>
                <w:rFonts w:eastAsia="Calibri"/>
                <w:b/>
                <w:bCs/>
                <w:color w:val="2F5496"/>
                <w:sz w:val="20"/>
                <w:szCs w:val="20"/>
                <w:lang w:val="en-US"/>
              </w:rPr>
            </w:pPr>
            <w:r w:rsidRPr="00F07779">
              <w:rPr>
                <w:rFonts w:eastAsia="Calibri"/>
                <w:b/>
                <w:bCs/>
                <w:color w:val="2F5496"/>
                <w:sz w:val="18"/>
                <w:szCs w:val="18"/>
              </w:rPr>
              <w:t>Measures</w:t>
            </w:r>
          </w:p>
        </w:tc>
        <w:tc>
          <w:tcPr>
            <w:tcW w:w="6819" w:type="dxa"/>
          </w:tcPr>
          <w:p w14:paraId="37855146" w14:textId="77777777" w:rsidR="0094644B" w:rsidRPr="00FA3F57" w:rsidRDefault="0094644B" w:rsidP="00FB5086">
            <w:pPr>
              <w:ind w:firstLine="130"/>
              <w:rPr>
                <w:rFonts w:eastAsia="Calibri"/>
                <w:color w:val="2F5496"/>
                <w:sz w:val="20"/>
                <w:szCs w:val="20"/>
                <w:lang w:val="en-US"/>
              </w:rPr>
            </w:pPr>
            <w:r w:rsidRPr="00FA3F57">
              <w:rPr>
                <w:rFonts w:eastAsia="Calibri"/>
                <w:color w:val="2F5496"/>
                <w:sz w:val="20"/>
                <w:szCs w:val="20"/>
                <w:lang w:val="en-US"/>
              </w:rPr>
              <w:t xml:space="preserve">ЕЕ1, ЕЕ2, ЕЕ3, ЕЕ4, ЕЕ5, ЕЕ6, ЕЕ7, ЕЕ8, ЕЕ9, ЕЕ10 </w:t>
            </w:r>
          </w:p>
        </w:tc>
      </w:tr>
      <w:tr w:rsidR="0094644B" w:rsidRPr="00F07779" w14:paraId="6B94C3EE" w14:textId="77777777" w:rsidTr="00FB5086">
        <w:tc>
          <w:tcPr>
            <w:tcW w:w="2112" w:type="dxa"/>
            <w:gridSpan w:val="2"/>
          </w:tcPr>
          <w:p w14:paraId="5D235AAB" w14:textId="77777777" w:rsidR="0094644B" w:rsidRPr="00FA3F57" w:rsidRDefault="0094644B" w:rsidP="00FB5086">
            <w:pPr>
              <w:ind w:left="17" w:firstLine="0"/>
              <w:rPr>
                <w:rFonts w:eastAsia="Calibri"/>
                <w:b/>
                <w:bCs/>
                <w:color w:val="2F5496"/>
                <w:sz w:val="20"/>
                <w:szCs w:val="20"/>
                <w:lang w:val="en-US"/>
              </w:rPr>
            </w:pPr>
            <w:r w:rsidRPr="00F07779">
              <w:rPr>
                <w:rFonts w:eastAsia="Calibri"/>
                <w:b/>
                <w:bCs/>
                <w:color w:val="2F5496"/>
                <w:sz w:val="18"/>
                <w:szCs w:val="18"/>
              </w:rPr>
              <w:t>Indicators</w:t>
            </w:r>
          </w:p>
        </w:tc>
        <w:tc>
          <w:tcPr>
            <w:tcW w:w="6819" w:type="dxa"/>
          </w:tcPr>
          <w:p w14:paraId="305A364D" w14:textId="77777777" w:rsidR="0094644B" w:rsidRPr="00FA3F57" w:rsidRDefault="0094644B" w:rsidP="00FB5086">
            <w:pPr>
              <w:ind w:firstLine="130"/>
              <w:rPr>
                <w:rFonts w:eastAsia="Calibri"/>
                <w:color w:val="2F5496"/>
                <w:sz w:val="20"/>
                <w:szCs w:val="20"/>
                <w:lang w:val="en-US"/>
              </w:rPr>
            </w:pPr>
            <w:r w:rsidRPr="00FA3F57">
              <w:rPr>
                <w:rFonts w:eastAsia="Calibri"/>
                <w:color w:val="2F5496"/>
                <w:sz w:val="20"/>
                <w:szCs w:val="20"/>
                <w:lang w:val="en-US"/>
              </w:rPr>
              <w:t>Primary energy consumption (per capita)</w:t>
            </w:r>
          </w:p>
          <w:p w14:paraId="0FE1FC32" w14:textId="77777777" w:rsidR="0094644B" w:rsidRPr="00FA3F57" w:rsidRDefault="0094644B" w:rsidP="00FB5086">
            <w:pPr>
              <w:ind w:firstLine="130"/>
              <w:rPr>
                <w:rFonts w:eastAsia="Calibri"/>
                <w:color w:val="2F5496"/>
                <w:sz w:val="20"/>
                <w:szCs w:val="20"/>
                <w:lang w:val="en-US"/>
              </w:rPr>
            </w:pPr>
            <w:r w:rsidRPr="00FA3F57">
              <w:rPr>
                <w:rFonts w:eastAsia="Calibri"/>
                <w:color w:val="2F5496"/>
                <w:sz w:val="20"/>
                <w:szCs w:val="20"/>
                <w:lang w:val="en-US"/>
              </w:rPr>
              <w:t>Final energy consumption (per capita)</w:t>
            </w:r>
          </w:p>
        </w:tc>
      </w:tr>
      <w:tr w:rsidR="0094644B" w:rsidRPr="00F07779" w14:paraId="3CE39C84" w14:textId="77777777" w:rsidTr="00FB5086">
        <w:tc>
          <w:tcPr>
            <w:tcW w:w="2112" w:type="dxa"/>
            <w:gridSpan w:val="2"/>
          </w:tcPr>
          <w:p w14:paraId="452D8363" w14:textId="77777777" w:rsidR="0094644B" w:rsidRPr="00FA3F57" w:rsidRDefault="0094644B" w:rsidP="00FB5086">
            <w:pPr>
              <w:ind w:left="17" w:firstLine="0"/>
              <w:rPr>
                <w:rFonts w:eastAsia="Calibri"/>
                <w:b/>
                <w:bCs/>
                <w:color w:val="2F5496"/>
                <w:sz w:val="20"/>
                <w:szCs w:val="20"/>
                <w:lang w:val="en-US"/>
              </w:rPr>
            </w:pPr>
            <w:r w:rsidRPr="00F07779">
              <w:rPr>
                <w:rFonts w:eastAsia="Calibri"/>
                <w:b/>
                <w:bCs/>
                <w:color w:val="2F5496"/>
                <w:sz w:val="18"/>
                <w:szCs w:val="18"/>
              </w:rPr>
              <w:t>Value</w:t>
            </w:r>
            <w:r w:rsidRPr="00FA3F57">
              <w:rPr>
                <w:rFonts w:eastAsia="Calibri"/>
                <w:b/>
                <w:bCs/>
                <w:color w:val="2F5496"/>
                <w:sz w:val="18"/>
                <w:szCs w:val="18"/>
                <w:lang w:val="en-US"/>
              </w:rPr>
              <w:t xml:space="preserve"> </w:t>
            </w:r>
            <w:r w:rsidRPr="00F07779">
              <w:rPr>
                <w:rFonts w:eastAsia="Calibri"/>
                <w:b/>
                <w:bCs/>
                <w:color w:val="2F5496"/>
                <w:sz w:val="18"/>
                <w:szCs w:val="18"/>
              </w:rPr>
              <w:t xml:space="preserve">in </w:t>
            </w:r>
            <w:r w:rsidRPr="00FA3F57">
              <w:rPr>
                <w:rFonts w:eastAsia="Calibri"/>
                <w:b/>
                <w:bCs/>
                <w:color w:val="2F5496"/>
                <w:sz w:val="18"/>
                <w:szCs w:val="18"/>
                <w:lang w:val="en-US"/>
              </w:rPr>
              <w:t>2023</w:t>
            </w:r>
            <w:r w:rsidRPr="00F07779">
              <w:rPr>
                <w:rFonts w:eastAsia="Calibri"/>
                <w:b/>
                <w:bCs/>
                <w:color w:val="2F5496"/>
                <w:sz w:val="18"/>
                <w:szCs w:val="18"/>
              </w:rPr>
              <w:t>.</w:t>
            </w:r>
          </w:p>
        </w:tc>
        <w:tc>
          <w:tcPr>
            <w:tcW w:w="6819" w:type="dxa"/>
            <w:vAlign w:val="center"/>
          </w:tcPr>
          <w:p w14:paraId="7E16459A" w14:textId="77777777" w:rsidR="0094644B" w:rsidRPr="00FA3F57" w:rsidRDefault="0094644B" w:rsidP="00FB5086">
            <w:pPr>
              <w:ind w:left="130" w:firstLine="0"/>
              <w:rPr>
                <w:rFonts w:eastAsia="Calibri"/>
                <w:color w:val="2F5496"/>
                <w:sz w:val="20"/>
                <w:szCs w:val="20"/>
                <w:lang w:val="en-US"/>
              </w:rPr>
            </w:pPr>
            <w:r w:rsidRPr="00FA3F57">
              <w:rPr>
                <w:rFonts w:eastAsia="Calibri"/>
                <w:color w:val="2F5496"/>
                <w:sz w:val="20"/>
                <w:szCs w:val="20"/>
                <w:lang w:val="en-US"/>
              </w:rPr>
              <w:t xml:space="preserve">Primary energy consumption: 15,411 thousand </w:t>
            </w:r>
            <w:proofErr w:type="gramStart"/>
            <w:r w:rsidRPr="00FA3F57">
              <w:rPr>
                <w:rFonts w:eastAsia="Calibri"/>
                <w:color w:val="2F5496"/>
                <w:sz w:val="20"/>
                <w:szCs w:val="20"/>
                <w:lang w:val="en-US"/>
              </w:rPr>
              <w:t>toe</w:t>
            </w:r>
            <w:proofErr w:type="gramEnd"/>
            <w:r w:rsidRPr="00FA3F57">
              <w:rPr>
                <w:rFonts w:eastAsia="Calibri"/>
                <w:color w:val="2F5496"/>
                <w:sz w:val="20"/>
                <w:szCs w:val="20"/>
                <w:lang w:val="en-US"/>
              </w:rPr>
              <w:t xml:space="preserve"> </w:t>
            </w:r>
            <w:r w:rsidRPr="00FA3F57">
              <w:rPr>
                <w:rFonts w:eastAsia="Calibri"/>
                <w:color w:val="2F5496"/>
                <w:sz w:val="20"/>
                <w:szCs w:val="20"/>
                <w:lang w:val="en-US"/>
              </w:rPr>
              <w:br/>
              <w:t xml:space="preserve">(2,326.83 kg </w:t>
            </w:r>
            <w:proofErr w:type="spellStart"/>
            <w:r w:rsidRPr="00FA3F57">
              <w:rPr>
                <w:rFonts w:eastAsia="Calibri"/>
                <w:color w:val="2F5496"/>
                <w:sz w:val="20"/>
                <w:szCs w:val="20"/>
                <w:lang w:val="en-US"/>
              </w:rPr>
              <w:t>en</w:t>
            </w:r>
            <w:proofErr w:type="spellEnd"/>
            <w:r w:rsidRPr="00FA3F57">
              <w:rPr>
                <w:rFonts w:eastAsia="Calibri"/>
                <w:color w:val="2F5496"/>
                <w:sz w:val="20"/>
                <w:szCs w:val="20"/>
                <w:lang w:val="en-US"/>
              </w:rPr>
              <w:t>/capita)</w:t>
            </w:r>
          </w:p>
          <w:p w14:paraId="37792094" w14:textId="77777777" w:rsidR="0094644B" w:rsidRPr="00FA3F57" w:rsidRDefault="0094644B" w:rsidP="00FB5086">
            <w:pPr>
              <w:ind w:left="130" w:firstLine="0"/>
              <w:rPr>
                <w:rFonts w:eastAsia="Calibri"/>
                <w:color w:val="2F5496"/>
                <w:sz w:val="20"/>
                <w:szCs w:val="20"/>
                <w:lang w:val="en-US"/>
              </w:rPr>
            </w:pPr>
            <w:r w:rsidRPr="00FA3F57">
              <w:rPr>
                <w:rFonts w:eastAsia="Calibri"/>
                <w:color w:val="2F5496"/>
                <w:sz w:val="20"/>
                <w:szCs w:val="20"/>
                <w:lang w:val="en-US"/>
              </w:rPr>
              <w:t xml:space="preserve">Final energy consumption for energy purposes: 9,303 thousand </w:t>
            </w:r>
            <w:proofErr w:type="gramStart"/>
            <w:r w:rsidRPr="00FA3F57">
              <w:rPr>
                <w:rFonts w:eastAsia="Calibri"/>
                <w:color w:val="2F5496"/>
                <w:sz w:val="20"/>
                <w:szCs w:val="20"/>
                <w:lang w:val="en-US"/>
              </w:rPr>
              <w:t>toe</w:t>
            </w:r>
            <w:proofErr w:type="gramEnd"/>
            <w:r w:rsidRPr="00FA3F57">
              <w:rPr>
                <w:rFonts w:eastAsia="Calibri"/>
                <w:color w:val="2F5496"/>
                <w:sz w:val="20"/>
                <w:szCs w:val="20"/>
                <w:lang w:val="en-US"/>
              </w:rPr>
              <w:br/>
              <w:t xml:space="preserve">(1,404.61 kg </w:t>
            </w:r>
            <w:proofErr w:type="spellStart"/>
            <w:r w:rsidRPr="00FA3F57">
              <w:rPr>
                <w:rFonts w:eastAsia="Calibri"/>
                <w:color w:val="2F5496"/>
                <w:sz w:val="20"/>
                <w:szCs w:val="20"/>
                <w:lang w:val="en-US"/>
              </w:rPr>
              <w:t>en</w:t>
            </w:r>
            <w:proofErr w:type="spellEnd"/>
            <w:r w:rsidRPr="00FA3F57">
              <w:rPr>
                <w:rFonts w:eastAsia="Calibri"/>
                <w:color w:val="2F5496"/>
                <w:sz w:val="20"/>
                <w:szCs w:val="20"/>
                <w:lang w:val="en-US"/>
              </w:rPr>
              <w:t>/capita)</w:t>
            </w:r>
          </w:p>
        </w:tc>
      </w:tr>
      <w:tr w:rsidR="0094644B" w:rsidRPr="00F07779" w14:paraId="59E161A2" w14:textId="77777777" w:rsidTr="00FB5086">
        <w:trPr>
          <w:trHeight w:val="1136"/>
        </w:trPr>
        <w:tc>
          <w:tcPr>
            <w:tcW w:w="1025" w:type="dxa"/>
            <w:vMerge w:val="restart"/>
            <w:textDirection w:val="btLr"/>
            <w:vAlign w:val="center"/>
          </w:tcPr>
          <w:p w14:paraId="02F84A20" w14:textId="77777777" w:rsidR="0094644B" w:rsidRPr="00FA3F57" w:rsidRDefault="0094644B" w:rsidP="00FB5086">
            <w:pPr>
              <w:ind w:firstLine="0"/>
              <w:rPr>
                <w:rFonts w:eastAsia="Calibri"/>
                <w:color w:val="2F5496"/>
                <w:sz w:val="20"/>
                <w:szCs w:val="20"/>
                <w:lang w:val="en-US"/>
              </w:rPr>
            </w:pPr>
            <w:r w:rsidRPr="00FA3F57">
              <w:rPr>
                <w:rFonts w:eastAsia="Calibri"/>
                <w:b/>
                <w:bCs/>
                <w:color w:val="2F5496"/>
                <w:sz w:val="20"/>
                <w:szCs w:val="20"/>
                <w:lang w:val="en-US"/>
              </w:rPr>
              <w:lastRenderedPageBreak/>
              <w:t>Projected value of the indicator</w:t>
            </w:r>
          </w:p>
        </w:tc>
        <w:tc>
          <w:tcPr>
            <w:tcW w:w="1087" w:type="dxa"/>
            <w:vAlign w:val="center"/>
          </w:tcPr>
          <w:p w14:paraId="0A405CC2" w14:textId="77777777" w:rsidR="0094644B" w:rsidRPr="00FA3F57" w:rsidRDefault="0094644B" w:rsidP="00FB5086">
            <w:pPr>
              <w:jc w:val="right"/>
              <w:rPr>
                <w:rFonts w:eastAsia="Calibri"/>
                <w:b/>
                <w:color w:val="2F5496"/>
                <w:sz w:val="20"/>
                <w:szCs w:val="20"/>
                <w:lang w:val="en-US"/>
              </w:rPr>
            </w:pPr>
            <w:r w:rsidRPr="00FA3F57">
              <w:rPr>
                <w:rFonts w:eastAsia="Calibri"/>
                <w:b/>
                <w:color w:val="2F5496"/>
                <w:sz w:val="20"/>
                <w:szCs w:val="20"/>
                <w:lang w:val="en-US"/>
              </w:rPr>
              <w:t>2026</w:t>
            </w:r>
          </w:p>
        </w:tc>
        <w:tc>
          <w:tcPr>
            <w:tcW w:w="6819" w:type="dxa"/>
            <w:vAlign w:val="center"/>
          </w:tcPr>
          <w:p w14:paraId="62333B9E" w14:textId="77777777" w:rsidR="0094644B" w:rsidRPr="00FA3F57" w:rsidRDefault="0094644B" w:rsidP="00FB5086">
            <w:pPr>
              <w:ind w:left="130" w:firstLine="0"/>
              <w:rPr>
                <w:rFonts w:eastAsia="Calibri"/>
                <w:color w:val="2F5496"/>
                <w:sz w:val="20"/>
                <w:szCs w:val="20"/>
                <w:lang w:val="en-US"/>
              </w:rPr>
            </w:pPr>
            <w:r w:rsidRPr="00FA3F57">
              <w:rPr>
                <w:rFonts w:eastAsia="Calibri"/>
                <w:color w:val="2F5496"/>
                <w:sz w:val="20"/>
                <w:szCs w:val="20"/>
                <w:lang w:val="en-US"/>
              </w:rPr>
              <w:t xml:space="preserve">Primary energy consumption: 15,088 thousand </w:t>
            </w:r>
            <w:proofErr w:type="gramStart"/>
            <w:r w:rsidRPr="00FA3F57">
              <w:rPr>
                <w:rFonts w:eastAsia="Calibri"/>
                <w:color w:val="2F5496"/>
                <w:sz w:val="20"/>
                <w:szCs w:val="20"/>
                <w:lang w:val="en-US"/>
              </w:rPr>
              <w:t>toe</w:t>
            </w:r>
            <w:proofErr w:type="gramEnd"/>
            <w:r w:rsidRPr="00FA3F57">
              <w:rPr>
                <w:rFonts w:eastAsia="Calibri"/>
                <w:color w:val="2F5496"/>
                <w:sz w:val="20"/>
                <w:szCs w:val="20"/>
                <w:lang w:val="en-US"/>
              </w:rPr>
              <w:t xml:space="preserve"> </w:t>
            </w:r>
            <w:r w:rsidRPr="00FA3F57">
              <w:rPr>
                <w:rFonts w:eastAsia="Calibri"/>
                <w:color w:val="2F5496"/>
                <w:sz w:val="20"/>
                <w:szCs w:val="20"/>
                <w:lang w:val="en-US"/>
              </w:rPr>
              <w:br/>
              <w:t xml:space="preserve">(2,327.41 kg </w:t>
            </w:r>
            <w:proofErr w:type="spellStart"/>
            <w:r w:rsidRPr="00FA3F57">
              <w:rPr>
                <w:rFonts w:eastAsia="Calibri"/>
                <w:color w:val="2F5496"/>
                <w:sz w:val="20"/>
                <w:szCs w:val="20"/>
                <w:lang w:val="en-US"/>
              </w:rPr>
              <w:t>en</w:t>
            </w:r>
            <w:proofErr w:type="spellEnd"/>
            <w:r w:rsidRPr="00FA3F57">
              <w:rPr>
                <w:rFonts w:eastAsia="Calibri"/>
                <w:color w:val="2F5496"/>
                <w:sz w:val="20"/>
                <w:szCs w:val="20"/>
                <w:lang w:val="en-US"/>
              </w:rPr>
              <w:t>/capita)</w:t>
            </w:r>
          </w:p>
          <w:p w14:paraId="6283159F" w14:textId="77777777" w:rsidR="0094644B" w:rsidRPr="00FA3F57" w:rsidRDefault="0094644B" w:rsidP="00FB5086">
            <w:pPr>
              <w:pStyle w:val="NormalWeb"/>
              <w:spacing w:before="0" w:beforeAutospacing="0" w:after="150" w:afterAutospacing="0"/>
              <w:ind w:left="130" w:firstLine="0"/>
              <w:rPr>
                <w:rFonts w:eastAsia="Calibri"/>
                <w:color w:val="2F5496"/>
                <w:sz w:val="20"/>
                <w:szCs w:val="20"/>
                <w:lang w:val="en-US"/>
              </w:rPr>
            </w:pPr>
            <w:r w:rsidRPr="00FA3F57">
              <w:rPr>
                <w:rFonts w:eastAsia="Calibri"/>
                <w:color w:val="2F5496"/>
                <w:sz w:val="20"/>
                <w:szCs w:val="20"/>
                <w:lang w:val="en-US"/>
              </w:rPr>
              <w:t xml:space="preserve">Final energy consumption for energy purposes: 9,335 thousand </w:t>
            </w:r>
            <w:proofErr w:type="gramStart"/>
            <w:r w:rsidRPr="00FA3F57">
              <w:rPr>
                <w:rFonts w:eastAsia="Calibri"/>
                <w:color w:val="2F5496"/>
                <w:sz w:val="20"/>
                <w:szCs w:val="20"/>
                <w:lang w:val="en-US"/>
              </w:rPr>
              <w:t>toe</w:t>
            </w:r>
            <w:proofErr w:type="gramEnd"/>
            <w:r w:rsidRPr="00FA3F57">
              <w:rPr>
                <w:rFonts w:eastAsia="Calibri"/>
                <w:color w:val="2F5496"/>
                <w:sz w:val="20"/>
                <w:szCs w:val="20"/>
                <w:lang w:val="en-US"/>
              </w:rPr>
              <w:br/>
              <w:t xml:space="preserve">(1,439.98 kg </w:t>
            </w:r>
            <w:proofErr w:type="spellStart"/>
            <w:r w:rsidRPr="00FA3F57">
              <w:rPr>
                <w:rFonts w:eastAsia="Calibri"/>
                <w:color w:val="2F5496"/>
                <w:sz w:val="20"/>
                <w:szCs w:val="20"/>
                <w:lang w:val="en-US"/>
              </w:rPr>
              <w:t>en</w:t>
            </w:r>
            <w:proofErr w:type="spellEnd"/>
            <w:r w:rsidRPr="00FA3F57">
              <w:rPr>
                <w:rFonts w:eastAsia="Calibri"/>
                <w:color w:val="2F5496"/>
                <w:sz w:val="20"/>
                <w:szCs w:val="20"/>
                <w:lang w:val="en-US"/>
              </w:rPr>
              <w:t>/capita)</w:t>
            </w:r>
          </w:p>
        </w:tc>
      </w:tr>
      <w:tr w:rsidR="0094644B" w:rsidRPr="00F07779" w14:paraId="64CD33CF" w14:textId="77777777" w:rsidTr="00FB5086">
        <w:trPr>
          <w:trHeight w:val="1180"/>
        </w:trPr>
        <w:tc>
          <w:tcPr>
            <w:tcW w:w="1025" w:type="dxa"/>
            <w:vMerge/>
          </w:tcPr>
          <w:p w14:paraId="366B5AC5" w14:textId="77777777" w:rsidR="0094644B" w:rsidRPr="00FA3F57" w:rsidRDefault="0094644B" w:rsidP="00FB5086">
            <w:pPr>
              <w:jc w:val="center"/>
              <w:rPr>
                <w:rFonts w:eastAsia="Calibri"/>
                <w:color w:val="2F5496"/>
                <w:sz w:val="20"/>
                <w:szCs w:val="20"/>
                <w:lang w:val="en-US"/>
              </w:rPr>
            </w:pPr>
          </w:p>
        </w:tc>
        <w:tc>
          <w:tcPr>
            <w:tcW w:w="1087" w:type="dxa"/>
            <w:vAlign w:val="center"/>
          </w:tcPr>
          <w:p w14:paraId="4F860604" w14:textId="77777777" w:rsidR="0094644B" w:rsidRPr="00FA3F57" w:rsidRDefault="0094644B" w:rsidP="00FB5086">
            <w:pPr>
              <w:jc w:val="right"/>
              <w:rPr>
                <w:rFonts w:eastAsia="Calibri"/>
                <w:b/>
                <w:color w:val="2F5496"/>
                <w:sz w:val="20"/>
                <w:szCs w:val="20"/>
                <w:lang w:val="en-US"/>
              </w:rPr>
            </w:pPr>
            <w:r w:rsidRPr="00FA3F57">
              <w:rPr>
                <w:rFonts w:eastAsia="Calibri"/>
                <w:b/>
                <w:color w:val="2F5496"/>
                <w:sz w:val="20"/>
                <w:szCs w:val="20"/>
                <w:lang w:val="en-US"/>
              </w:rPr>
              <w:t>2027</w:t>
            </w:r>
          </w:p>
        </w:tc>
        <w:tc>
          <w:tcPr>
            <w:tcW w:w="6819" w:type="dxa"/>
            <w:vAlign w:val="center"/>
          </w:tcPr>
          <w:p w14:paraId="63A1A81C" w14:textId="77777777" w:rsidR="0094644B" w:rsidRPr="00FA3F57" w:rsidRDefault="0094644B" w:rsidP="00FB5086">
            <w:pPr>
              <w:ind w:left="130" w:firstLine="0"/>
              <w:rPr>
                <w:rFonts w:eastAsia="Calibri"/>
                <w:color w:val="2F5496"/>
                <w:sz w:val="20"/>
                <w:szCs w:val="20"/>
                <w:lang w:val="en-US"/>
              </w:rPr>
            </w:pPr>
            <w:r w:rsidRPr="00FA3F57">
              <w:rPr>
                <w:rFonts w:eastAsia="Calibri"/>
                <w:color w:val="2F5496"/>
                <w:sz w:val="20"/>
                <w:szCs w:val="20"/>
                <w:lang w:val="en-US"/>
              </w:rPr>
              <w:t xml:space="preserve">Primary energy consumption: 15.112 thousand </w:t>
            </w:r>
            <w:proofErr w:type="gramStart"/>
            <w:r w:rsidRPr="00FA3F57">
              <w:rPr>
                <w:rFonts w:eastAsia="Calibri"/>
                <w:color w:val="2F5496"/>
                <w:sz w:val="20"/>
                <w:szCs w:val="20"/>
                <w:lang w:val="en-US"/>
              </w:rPr>
              <w:t>toe</w:t>
            </w:r>
            <w:proofErr w:type="gramEnd"/>
            <w:r w:rsidRPr="00FA3F57">
              <w:rPr>
                <w:rFonts w:eastAsia="Calibri"/>
                <w:color w:val="2F5496"/>
                <w:sz w:val="20"/>
                <w:szCs w:val="20"/>
                <w:lang w:val="en-US"/>
              </w:rPr>
              <w:br/>
              <w:t xml:space="preserve">(2.347,57 kg </w:t>
            </w:r>
            <w:proofErr w:type="spellStart"/>
            <w:r w:rsidRPr="00FA3F57">
              <w:rPr>
                <w:rFonts w:eastAsia="Calibri"/>
                <w:color w:val="2F5496"/>
                <w:sz w:val="20"/>
                <w:szCs w:val="20"/>
                <w:lang w:val="en-US"/>
              </w:rPr>
              <w:t>en</w:t>
            </w:r>
            <w:proofErr w:type="spellEnd"/>
            <w:r w:rsidRPr="00FA3F57">
              <w:rPr>
                <w:rFonts w:eastAsia="Calibri"/>
                <w:color w:val="2F5496"/>
                <w:sz w:val="20"/>
                <w:szCs w:val="20"/>
                <w:lang w:val="en-US"/>
              </w:rPr>
              <w:t>/capita)</w:t>
            </w:r>
          </w:p>
          <w:p w14:paraId="4BBB2026" w14:textId="77777777" w:rsidR="0094644B" w:rsidRPr="00FA3F57" w:rsidRDefault="0094644B" w:rsidP="00FB5086">
            <w:pPr>
              <w:pStyle w:val="NormalWeb"/>
              <w:spacing w:before="0" w:beforeAutospacing="0" w:after="150" w:afterAutospacing="0"/>
              <w:ind w:left="130" w:firstLine="0"/>
              <w:rPr>
                <w:rFonts w:eastAsia="Calibri"/>
                <w:color w:val="2F5496"/>
                <w:sz w:val="20"/>
                <w:szCs w:val="20"/>
                <w:lang w:val="en-US"/>
              </w:rPr>
            </w:pPr>
            <w:r w:rsidRPr="00FA3F57">
              <w:rPr>
                <w:rFonts w:eastAsia="Calibri"/>
                <w:color w:val="2F5496"/>
                <w:sz w:val="20"/>
                <w:szCs w:val="20"/>
                <w:lang w:val="en-US"/>
              </w:rPr>
              <w:t xml:space="preserve">Final energy consumption for energy purposes: 9.407 thousand </w:t>
            </w:r>
            <w:proofErr w:type="gramStart"/>
            <w:r w:rsidRPr="00FA3F57">
              <w:rPr>
                <w:rFonts w:eastAsia="Calibri"/>
                <w:color w:val="2F5496"/>
                <w:sz w:val="20"/>
                <w:szCs w:val="20"/>
                <w:lang w:val="en-US"/>
              </w:rPr>
              <w:t>toe</w:t>
            </w:r>
            <w:proofErr w:type="gramEnd"/>
            <w:r w:rsidRPr="00FA3F57">
              <w:rPr>
                <w:rFonts w:eastAsia="Calibri"/>
                <w:color w:val="2F5496"/>
                <w:sz w:val="20"/>
                <w:szCs w:val="20"/>
                <w:lang w:val="en-US"/>
              </w:rPr>
              <w:br/>
              <w:t xml:space="preserve">(1.461,33 kg </w:t>
            </w:r>
            <w:proofErr w:type="spellStart"/>
            <w:r w:rsidRPr="00FA3F57">
              <w:rPr>
                <w:rFonts w:eastAsia="Calibri"/>
                <w:color w:val="2F5496"/>
                <w:sz w:val="20"/>
                <w:szCs w:val="20"/>
                <w:lang w:val="en-US"/>
              </w:rPr>
              <w:t>en</w:t>
            </w:r>
            <w:proofErr w:type="spellEnd"/>
            <w:r w:rsidRPr="00FA3F57">
              <w:rPr>
                <w:rFonts w:eastAsia="Calibri"/>
                <w:color w:val="2F5496"/>
                <w:sz w:val="20"/>
                <w:szCs w:val="20"/>
                <w:lang w:val="en-US"/>
              </w:rPr>
              <w:t>/capita)</w:t>
            </w:r>
          </w:p>
        </w:tc>
      </w:tr>
      <w:tr w:rsidR="0094644B" w:rsidRPr="00F07779" w14:paraId="3E0B0590" w14:textId="77777777" w:rsidTr="00FB5086">
        <w:trPr>
          <w:trHeight w:val="1210"/>
        </w:trPr>
        <w:tc>
          <w:tcPr>
            <w:tcW w:w="1025" w:type="dxa"/>
            <w:vMerge/>
          </w:tcPr>
          <w:p w14:paraId="2F497C85" w14:textId="77777777" w:rsidR="0094644B" w:rsidRPr="00FA3F57" w:rsidRDefault="0094644B" w:rsidP="00FB5086">
            <w:pPr>
              <w:jc w:val="center"/>
              <w:rPr>
                <w:rFonts w:eastAsia="Calibri"/>
                <w:color w:val="2F5496"/>
                <w:sz w:val="20"/>
                <w:szCs w:val="20"/>
                <w:lang w:val="en-US"/>
              </w:rPr>
            </w:pPr>
          </w:p>
        </w:tc>
        <w:tc>
          <w:tcPr>
            <w:tcW w:w="1087" w:type="dxa"/>
            <w:vAlign w:val="center"/>
          </w:tcPr>
          <w:p w14:paraId="313AB882" w14:textId="77777777" w:rsidR="0094644B" w:rsidRPr="00FA3F57" w:rsidRDefault="0094644B" w:rsidP="00FB5086">
            <w:pPr>
              <w:jc w:val="right"/>
              <w:rPr>
                <w:rFonts w:eastAsia="Calibri"/>
                <w:b/>
                <w:color w:val="2F5496"/>
                <w:sz w:val="20"/>
                <w:szCs w:val="20"/>
                <w:lang w:val="en-US"/>
              </w:rPr>
            </w:pPr>
            <w:r w:rsidRPr="00FA3F57">
              <w:rPr>
                <w:rFonts w:eastAsia="Calibri"/>
                <w:b/>
                <w:color w:val="2F5496"/>
                <w:sz w:val="20"/>
                <w:szCs w:val="20"/>
                <w:lang w:val="en-US"/>
              </w:rPr>
              <w:t>2028</w:t>
            </w:r>
          </w:p>
        </w:tc>
        <w:tc>
          <w:tcPr>
            <w:tcW w:w="6819" w:type="dxa"/>
            <w:vAlign w:val="center"/>
          </w:tcPr>
          <w:p w14:paraId="34C523ED" w14:textId="77777777" w:rsidR="0094644B" w:rsidRPr="00FA3F57" w:rsidRDefault="0094644B" w:rsidP="00FB5086">
            <w:pPr>
              <w:ind w:left="130" w:firstLine="0"/>
              <w:rPr>
                <w:rFonts w:eastAsia="Calibri"/>
                <w:color w:val="2F5496"/>
                <w:sz w:val="20"/>
                <w:szCs w:val="20"/>
                <w:lang w:val="en-US"/>
              </w:rPr>
            </w:pPr>
            <w:r w:rsidRPr="00FA3F57">
              <w:rPr>
                <w:rFonts w:eastAsia="Calibri"/>
                <w:color w:val="2F5496"/>
                <w:sz w:val="20"/>
                <w:szCs w:val="20"/>
                <w:lang w:val="en-US"/>
              </w:rPr>
              <w:t xml:space="preserve">Primary energy consumption: 15.059 thousand </w:t>
            </w:r>
            <w:proofErr w:type="gramStart"/>
            <w:r w:rsidRPr="00FA3F57">
              <w:rPr>
                <w:rFonts w:eastAsia="Calibri"/>
                <w:color w:val="2F5496"/>
                <w:sz w:val="20"/>
                <w:szCs w:val="20"/>
                <w:lang w:val="en-US"/>
              </w:rPr>
              <w:t>toe</w:t>
            </w:r>
            <w:proofErr w:type="gramEnd"/>
            <w:r w:rsidRPr="00FA3F57">
              <w:rPr>
                <w:rFonts w:eastAsia="Calibri"/>
                <w:color w:val="2F5496"/>
                <w:sz w:val="20"/>
                <w:szCs w:val="20"/>
                <w:lang w:val="en-US"/>
              </w:rPr>
              <w:br/>
              <w:t xml:space="preserve">(2.356,67 kg </w:t>
            </w:r>
            <w:proofErr w:type="spellStart"/>
            <w:r w:rsidRPr="00FA3F57">
              <w:rPr>
                <w:rFonts w:eastAsia="Calibri"/>
                <w:color w:val="2F5496"/>
                <w:sz w:val="20"/>
                <w:szCs w:val="20"/>
                <w:lang w:val="en-US"/>
              </w:rPr>
              <w:t>en</w:t>
            </w:r>
            <w:proofErr w:type="spellEnd"/>
            <w:r w:rsidRPr="00FA3F57">
              <w:rPr>
                <w:rFonts w:eastAsia="Calibri"/>
                <w:color w:val="2F5496"/>
                <w:sz w:val="20"/>
                <w:szCs w:val="20"/>
                <w:lang w:val="en-US"/>
              </w:rPr>
              <w:t>/capita)</w:t>
            </w:r>
          </w:p>
          <w:p w14:paraId="0A0006A1" w14:textId="77777777" w:rsidR="0094644B" w:rsidRPr="00FA3F57" w:rsidRDefault="0094644B" w:rsidP="00FB5086">
            <w:pPr>
              <w:pStyle w:val="NormalWeb"/>
              <w:spacing w:before="0" w:beforeAutospacing="0" w:after="150" w:afterAutospacing="0"/>
              <w:ind w:left="130" w:firstLine="0"/>
              <w:rPr>
                <w:rFonts w:eastAsia="Calibri"/>
                <w:color w:val="2F5496"/>
                <w:sz w:val="20"/>
                <w:szCs w:val="20"/>
                <w:lang w:val="en-US"/>
              </w:rPr>
            </w:pPr>
            <w:r w:rsidRPr="00FA3F57">
              <w:rPr>
                <w:rFonts w:eastAsia="Calibri"/>
                <w:color w:val="2F5496"/>
                <w:sz w:val="20"/>
                <w:szCs w:val="20"/>
                <w:lang w:val="en-US"/>
              </w:rPr>
              <w:t xml:space="preserve">Final energy consumption for energy purposes: 9.493 thousand </w:t>
            </w:r>
            <w:proofErr w:type="gramStart"/>
            <w:r w:rsidRPr="00FA3F57">
              <w:rPr>
                <w:rFonts w:eastAsia="Calibri"/>
                <w:color w:val="2F5496"/>
                <w:sz w:val="20"/>
                <w:szCs w:val="20"/>
                <w:lang w:val="en-US"/>
              </w:rPr>
              <w:t>toe</w:t>
            </w:r>
            <w:proofErr w:type="gramEnd"/>
            <w:r w:rsidRPr="00FA3F57">
              <w:rPr>
                <w:rFonts w:eastAsia="Calibri"/>
                <w:color w:val="2F5496"/>
                <w:sz w:val="20"/>
                <w:szCs w:val="20"/>
                <w:lang w:val="en-US"/>
              </w:rPr>
              <w:br/>
              <w:t xml:space="preserve">(1.485,61 kg </w:t>
            </w:r>
            <w:proofErr w:type="spellStart"/>
            <w:r w:rsidRPr="00FA3F57">
              <w:rPr>
                <w:rFonts w:eastAsia="Calibri"/>
                <w:color w:val="2F5496"/>
                <w:sz w:val="20"/>
                <w:szCs w:val="20"/>
                <w:lang w:val="en-US"/>
              </w:rPr>
              <w:t>en</w:t>
            </w:r>
            <w:proofErr w:type="spellEnd"/>
            <w:r w:rsidRPr="00FA3F57">
              <w:rPr>
                <w:rFonts w:eastAsia="Calibri"/>
                <w:color w:val="2F5496"/>
                <w:sz w:val="20"/>
                <w:szCs w:val="20"/>
                <w:lang w:val="en-US"/>
              </w:rPr>
              <w:t>/capita)</w:t>
            </w:r>
          </w:p>
        </w:tc>
      </w:tr>
    </w:tbl>
    <w:p w14:paraId="47E12C32" w14:textId="77777777" w:rsidR="0094644B" w:rsidRPr="00FA3F57" w:rsidRDefault="0094644B" w:rsidP="0094644B"/>
    <w:p w14:paraId="24694D90" w14:textId="77777777" w:rsidR="0094644B" w:rsidRPr="00FA3F57" w:rsidRDefault="0094644B" w:rsidP="0094644B">
      <w:r w:rsidRPr="00FA3F57">
        <w:br w:type="page"/>
      </w:r>
    </w:p>
    <w:p w14:paraId="76D14727" w14:textId="77777777" w:rsidR="0094644B" w:rsidRPr="00FA3F57" w:rsidRDefault="0094644B" w:rsidP="0094644B">
      <w:pPr>
        <w:tabs>
          <w:tab w:val="left" w:pos="1276"/>
          <w:tab w:val="left" w:pos="1560"/>
        </w:tabs>
        <w:ind w:left="1440" w:hanging="1440"/>
      </w:pPr>
      <w:r w:rsidRPr="00FA3F57">
        <w:lastRenderedPageBreak/>
        <w:t>Table 5.4.3-1:</w:t>
      </w:r>
      <w:r w:rsidRPr="00FA3F57">
        <w:tab/>
        <w:t>Activity for the implementation of the measure EE1 - Activity ЕЕ1.1/9.1</w:t>
      </w:r>
    </w:p>
    <w:tbl>
      <w:tblPr>
        <w:tblStyle w:val="TableGrid"/>
        <w:tblW w:w="0" w:type="auto"/>
        <w:tblLook w:val="04A0" w:firstRow="1" w:lastRow="0" w:firstColumn="1" w:lastColumn="0" w:noHBand="0" w:noVBand="1"/>
      </w:tblPr>
      <w:tblGrid>
        <w:gridCol w:w="2973"/>
        <w:gridCol w:w="5669"/>
      </w:tblGrid>
      <w:tr w:rsidR="0094644B" w:rsidRPr="00F07779" w14:paraId="19B8D0A7" w14:textId="77777777" w:rsidTr="00FB5086">
        <w:tc>
          <w:tcPr>
            <w:tcW w:w="2973" w:type="dxa"/>
            <w:shd w:val="clear" w:color="auto" w:fill="D9D9D9" w:themeFill="background1" w:themeFillShade="D9"/>
          </w:tcPr>
          <w:p w14:paraId="55A3AC10" w14:textId="77777777" w:rsidR="0094644B" w:rsidRPr="00FA3F57" w:rsidRDefault="0094644B" w:rsidP="00FB5086">
            <w:pPr>
              <w:rPr>
                <w:sz w:val="20"/>
                <w:szCs w:val="20"/>
              </w:rPr>
            </w:pPr>
            <w:r w:rsidRPr="00FA3F57">
              <w:rPr>
                <w:sz w:val="20"/>
                <w:szCs w:val="20"/>
              </w:rPr>
              <w:t>Activity ЕЕ1.1/9.1</w:t>
            </w:r>
          </w:p>
        </w:tc>
        <w:tc>
          <w:tcPr>
            <w:tcW w:w="5669" w:type="dxa"/>
            <w:shd w:val="clear" w:color="auto" w:fill="D9D9D9" w:themeFill="background1" w:themeFillShade="D9"/>
          </w:tcPr>
          <w:p w14:paraId="030CB643" w14:textId="77777777" w:rsidR="0094644B" w:rsidRPr="00FA3F57" w:rsidRDefault="0094644B" w:rsidP="00FB5086">
            <w:pPr>
              <w:rPr>
                <w:sz w:val="20"/>
                <w:szCs w:val="20"/>
              </w:rPr>
            </w:pPr>
            <w:r w:rsidRPr="00FA3F57">
              <w:rPr>
                <w:sz w:val="20"/>
                <w:szCs w:val="20"/>
              </w:rPr>
              <w:t>Energy renovation of residential, multi-family buildings connected to the district heating system – Public ESCO Project</w:t>
            </w:r>
          </w:p>
        </w:tc>
      </w:tr>
      <w:tr w:rsidR="0094644B" w:rsidRPr="00F07779" w14:paraId="53CF98C4" w14:textId="77777777" w:rsidTr="00FB5086">
        <w:tc>
          <w:tcPr>
            <w:tcW w:w="2973" w:type="dxa"/>
          </w:tcPr>
          <w:p w14:paraId="622965DE" w14:textId="77777777" w:rsidR="0094644B" w:rsidRPr="00FA3F57" w:rsidRDefault="0094644B" w:rsidP="00FB5086">
            <w:pPr>
              <w:rPr>
                <w:sz w:val="20"/>
                <w:szCs w:val="20"/>
              </w:rPr>
            </w:pPr>
            <w:r w:rsidRPr="00FA3F57">
              <w:rPr>
                <w:sz w:val="20"/>
                <w:szCs w:val="20"/>
              </w:rPr>
              <w:t>Description</w:t>
            </w:r>
          </w:p>
        </w:tc>
        <w:tc>
          <w:tcPr>
            <w:tcW w:w="5669" w:type="dxa"/>
          </w:tcPr>
          <w:p w14:paraId="6935E643" w14:textId="77777777" w:rsidR="0094644B" w:rsidRPr="00FA3F57" w:rsidRDefault="0094644B" w:rsidP="00FB5086">
            <w:pPr>
              <w:rPr>
                <w:sz w:val="20"/>
                <w:szCs w:val="20"/>
              </w:rPr>
            </w:pPr>
            <w:r w:rsidRPr="00FA3F57">
              <w:rPr>
                <w:sz w:val="20"/>
                <w:szCs w:val="20"/>
              </w:rPr>
              <w:t xml:space="preserve">The project aims to improve energy efficiency in residential multi-family buildings connected to the district heating systems and transition to billing according to heat energy consumption. The EBRD plans to provide grant funds for the further development of the Project, preparation of energy efficiency reports and relevant studies, financing of construction supervision, support for the Project implementation, and investment grants in the amount of up to 20%. The Ministry of Mining and Energy (MoME) and the Ministry of Finance (MoF) have agreed that the Republic of Serbia (RS) will allocate 30% of the investment value to end users as a grant. The </w:t>
            </w:r>
            <w:proofErr w:type="gramStart"/>
            <w:r w:rsidRPr="00FA3F57">
              <w:rPr>
                <w:sz w:val="20"/>
                <w:szCs w:val="20"/>
              </w:rPr>
              <w:t>aforementioned ultimately</w:t>
            </w:r>
            <w:proofErr w:type="gramEnd"/>
            <w:r w:rsidRPr="00FA3F57">
              <w:rPr>
                <w:sz w:val="20"/>
                <w:szCs w:val="20"/>
              </w:rPr>
              <w:t xml:space="preserve"> provides a 50% investment grant for citizens/residential communities (20% EBRD and 30% RS), while 50% of citizens’ investment would be recovered through heating bills over a period that will ensure that the heating expenses of those citizens do not increase. It is expected that the implementation of energy efficiency measures will enable heating energy savings of more than 35 percent (with additional energy savings for cooling during the summer), or 81,000 MWh per year, as well as a reduction in carbon dioxide emissions of 20,000 tons of CO</w:t>
            </w:r>
            <w:r w:rsidRPr="00FA3F57">
              <w:rPr>
                <w:sz w:val="20"/>
                <w:szCs w:val="20"/>
                <w:vertAlign w:val="subscript"/>
              </w:rPr>
              <w:t>2</w:t>
            </w:r>
            <w:r w:rsidRPr="00FA3F57">
              <w:rPr>
                <w:sz w:val="20"/>
                <w:szCs w:val="20"/>
              </w:rPr>
              <w:t xml:space="preserve"> per year. In addition to reducing heating costs, the key goal of the project is to enable the transition to consumption-based billing for all consumers who currently pay for heating services at a flat rate.</w:t>
            </w:r>
          </w:p>
        </w:tc>
      </w:tr>
      <w:tr w:rsidR="0094644B" w:rsidRPr="00F07779" w14:paraId="70DDBEEC" w14:textId="77777777" w:rsidTr="00FB5086">
        <w:tc>
          <w:tcPr>
            <w:tcW w:w="2973" w:type="dxa"/>
          </w:tcPr>
          <w:p w14:paraId="5E247DC7" w14:textId="77777777" w:rsidR="0094644B" w:rsidRPr="00FA3F57" w:rsidRDefault="0094644B" w:rsidP="00FB5086">
            <w:pPr>
              <w:rPr>
                <w:sz w:val="20"/>
                <w:szCs w:val="20"/>
              </w:rPr>
            </w:pPr>
            <w:r w:rsidRPr="00FA3F57">
              <w:rPr>
                <w:sz w:val="20"/>
                <w:szCs w:val="20"/>
              </w:rPr>
              <w:t>Institutions responsible for the implementation of measures and activities</w:t>
            </w:r>
          </w:p>
        </w:tc>
        <w:tc>
          <w:tcPr>
            <w:tcW w:w="5669" w:type="dxa"/>
          </w:tcPr>
          <w:p w14:paraId="38FA2EAF" w14:textId="77777777" w:rsidR="0094644B" w:rsidRPr="00FA3F57" w:rsidRDefault="0094644B" w:rsidP="00FB5086">
            <w:pPr>
              <w:rPr>
                <w:sz w:val="20"/>
                <w:szCs w:val="20"/>
              </w:rPr>
            </w:pPr>
            <w:r w:rsidRPr="00FA3F57">
              <w:rPr>
                <w:sz w:val="20"/>
                <w:szCs w:val="20"/>
              </w:rPr>
              <w:t>MoME, LSGU, heating plants</w:t>
            </w:r>
          </w:p>
        </w:tc>
      </w:tr>
      <w:tr w:rsidR="0094644B" w:rsidRPr="00F07779" w14:paraId="7C84DE05" w14:textId="77777777" w:rsidTr="00FB5086">
        <w:tc>
          <w:tcPr>
            <w:tcW w:w="2973" w:type="dxa"/>
          </w:tcPr>
          <w:p w14:paraId="05F24B4A" w14:textId="77777777" w:rsidR="0094644B" w:rsidRPr="00FA3F57" w:rsidRDefault="0094644B" w:rsidP="00FB5086">
            <w:pPr>
              <w:rPr>
                <w:sz w:val="20"/>
                <w:szCs w:val="20"/>
              </w:rPr>
            </w:pPr>
            <w:r w:rsidRPr="00FA3F57">
              <w:rPr>
                <w:sz w:val="20"/>
                <w:szCs w:val="20"/>
              </w:rPr>
              <w:t>Institutions responsible for monitoring implementation and reporting on the realization</w:t>
            </w:r>
          </w:p>
        </w:tc>
        <w:tc>
          <w:tcPr>
            <w:tcW w:w="5669" w:type="dxa"/>
          </w:tcPr>
          <w:p w14:paraId="3B3F0A8F" w14:textId="77777777" w:rsidR="0094644B" w:rsidRPr="00FA3F57" w:rsidRDefault="0094644B" w:rsidP="00FB5086">
            <w:pPr>
              <w:rPr>
                <w:sz w:val="20"/>
                <w:szCs w:val="20"/>
              </w:rPr>
            </w:pPr>
            <w:r w:rsidRPr="00FA3F57">
              <w:rPr>
                <w:sz w:val="20"/>
                <w:szCs w:val="20"/>
              </w:rPr>
              <w:t>MoME, LSGU, heating plants</w:t>
            </w:r>
          </w:p>
        </w:tc>
      </w:tr>
      <w:tr w:rsidR="0094644B" w:rsidRPr="00F07779" w14:paraId="3F1F4C95" w14:textId="77777777" w:rsidTr="00FB5086">
        <w:tc>
          <w:tcPr>
            <w:tcW w:w="2973" w:type="dxa"/>
          </w:tcPr>
          <w:p w14:paraId="1046705D" w14:textId="77777777" w:rsidR="0094644B" w:rsidRPr="00FA3F57" w:rsidRDefault="0094644B" w:rsidP="00FB5086">
            <w:pPr>
              <w:rPr>
                <w:sz w:val="20"/>
                <w:szCs w:val="20"/>
              </w:rPr>
            </w:pPr>
            <w:r w:rsidRPr="00F07779">
              <w:rPr>
                <w:sz w:val="20"/>
                <w:szCs w:val="20"/>
              </w:rPr>
              <w:t>Deadline for implementation</w:t>
            </w:r>
          </w:p>
        </w:tc>
        <w:tc>
          <w:tcPr>
            <w:tcW w:w="5669" w:type="dxa"/>
          </w:tcPr>
          <w:p w14:paraId="79514DB7" w14:textId="77777777" w:rsidR="0094644B" w:rsidRPr="00FA3F57" w:rsidRDefault="0094644B" w:rsidP="00FB5086">
            <w:pPr>
              <w:rPr>
                <w:sz w:val="20"/>
                <w:szCs w:val="20"/>
              </w:rPr>
            </w:pPr>
            <w:r w:rsidRPr="00FA3F57">
              <w:rPr>
                <w:sz w:val="20"/>
                <w:szCs w:val="20"/>
              </w:rPr>
              <w:t>The start of the energy rehabilitation is expected at the beginning of 2026, with completion by the end of 2028. Dynamics of implementation of activities by year: it will be defined after the study is completed in 2025.</w:t>
            </w:r>
          </w:p>
        </w:tc>
      </w:tr>
      <w:tr w:rsidR="0094644B" w:rsidRPr="00F07779" w14:paraId="2A3A0E5C" w14:textId="77777777" w:rsidTr="00FB5086">
        <w:tc>
          <w:tcPr>
            <w:tcW w:w="2973" w:type="dxa"/>
          </w:tcPr>
          <w:p w14:paraId="2EC9C792" w14:textId="77777777" w:rsidR="0094644B" w:rsidRPr="00FA3F57" w:rsidRDefault="0094644B" w:rsidP="00FB5086">
            <w:pPr>
              <w:rPr>
                <w:sz w:val="20"/>
                <w:szCs w:val="20"/>
              </w:rPr>
            </w:pPr>
            <w:r w:rsidRPr="00FA3F57">
              <w:rPr>
                <w:sz w:val="20"/>
                <w:szCs w:val="20"/>
              </w:rPr>
              <w:t>Required funds and source of financing</w:t>
            </w:r>
          </w:p>
        </w:tc>
        <w:tc>
          <w:tcPr>
            <w:tcW w:w="5669" w:type="dxa"/>
          </w:tcPr>
          <w:p w14:paraId="0DFA04E8" w14:textId="77777777" w:rsidR="0094644B" w:rsidRPr="00FA3F57" w:rsidRDefault="0094644B" w:rsidP="00FB5086">
            <w:pPr>
              <w:rPr>
                <w:sz w:val="20"/>
                <w:szCs w:val="20"/>
              </w:rPr>
            </w:pPr>
            <w:r w:rsidRPr="00FA3F57">
              <w:rPr>
                <w:sz w:val="20"/>
                <w:szCs w:val="20"/>
              </w:rPr>
              <w:t>Estimated project value</w:t>
            </w:r>
            <w:r w:rsidRPr="00FA3F57" w:rsidDel="00773099">
              <w:rPr>
                <w:sz w:val="20"/>
                <w:szCs w:val="20"/>
              </w:rPr>
              <w:t xml:space="preserve"> </w:t>
            </w:r>
            <w:proofErr w:type="gramStart"/>
            <w:r w:rsidRPr="00FA3F57">
              <w:rPr>
                <w:sz w:val="20"/>
                <w:szCs w:val="20"/>
              </w:rPr>
              <w:t>( EUR</w:t>
            </w:r>
            <w:proofErr w:type="gramEnd"/>
            <w:r w:rsidRPr="00FA3F57">
              <w:rPr>
                <w:sz w:val="20"/>
                <w:szCs w:val="20"/>
              </w:rPr>
              <w:t>): 64,500,000</w:t>
            </w:r>
          </w:p>
          <w:p w14:paraId="4B9AFC17" w14:textId="77777777" w:rsidR="0094644B" w:rsidRPr="00FA3F57" w:rsidRDefault="0094644B" w:rsidP="00FB5086">
            <w:pPr>
              <w:rPr>
                <w:sz w:val="20"/>
                <w:szCs w:val="20"/>
              </w:rPr>
            </w:pPr>
            <w:r w:rsidRPr="00FA3F57">
              <w:rPr>
                <w:sz w:val="20"/>
                <w:szCs w:val="20"/>
              </w:rPr>
              <w:t>Loan/grant amount:</w:t>
            </w:r>
            <w:r w:rsidRPr="00FA3F57" w:rsidDel="00773099">
              <w:rPr>
                <w:sz w:val="20"/>
                <w:szCs w:val="20"/>
              </w:rPr>
              <w:t xml:space="preserve"> </w:t>
            </w:r>
            <w:r w:rsidRPr="00FA3F57">
              <w:rPr>
                <w:sz w:val="20"/>
                <w:szCs w:val="20"/>
              </w:rPr>
              <w:t>EBRD loan</w:t>
            </w:r>
            <w:r w:rsidRPr="00FA3F57" w:rsidDel="00773099">
              <w:rPr>
                <w:sz w:val="20"/>
                <w:szCs w:val="20"/>
              </w:rPr>
              <w:t xml:space="preserve"> </w:t>
            </w:r>
            <w:r w:rsidRPr="00FA3F57">
              <w:rPr>
                <w:sz w:val="20"/>
                <w:szCs w:val="20"/>
              </w:rPr>
              <w:t>50,000,000 EUR and a grant from the Swiss Confederation</w:t>
            </w:r>
            <w:r w:rsidRPr="00FA3F57" w:rsidDel="00773099">
              <w:rPr>
                <w:sz w:val="20"/>
                <w:szCs w:val="20"/>
              </w:rPr>
              <w:t xml:space="preserve"> </w:t>
            </w:r>
            <w:r w:rsidRPr="00FA3F57">
              <w:rPr>
                <w:sz w:val="20"/>
                <w:szCs w:val="20"/>
              </w:rPr>
              <w:t>(SECO) of 14,500,000 EUR)</w:t>
            </w:r>
          </w:p>
          <w:p w14:paraId="13C5E6F5" w14:textId="77777777" w:rsidR="0094644B" w:rsidRPr="00FA3F57" w:rsidRDefault="0094644B" w:rsidP="00FB5086">
            <w:pPr>
              <w:rPr>
                <w:sz w:val="20"/>
                <w:szCs w:val="20"/>
              </w:rPr>
            </w:pPr>
            <w:r w:rsidRPr="00FA3F57">
              <w:rPr>
                <w:sz w:val="20"/>
                <w:szCs w:val="20"/>
              </w:rPr>
              <w:t>The financing agreements are expected to be signed by the end of the third quarter of 2025.</w:t>
            </w:r>
          </w:p>
        </w:tc>
      </w:tr>
      <w:tr w:rsidR="0094644B" w:rsidRPr="00F07779" w14:paraId="47DBA936" w14:textId="77777777" w:rsidTr="00FB5086">
        <w:tc>
          <w:tcPr>
            <w:tcW w:w="2973" w:type="dxa"/>
          </w:tcPr>
          <w:p w14:paraId="1045B298" w14:textId="77777777" w:rsidR="0094644B" w:rsidRPr="00FA3F57" w:rsidRDefault="0094644B" w:rsidP="00FB5086">
            <w:pPr>
              <w:rPr>
                <w:sz w:val="20"/>
                <w:szCs w:val="20"/>
              </w:rPr>
            </w:pPr>
            <w:r w:rsidRPr="00FA3F57">
              <w:rPr>
                <w:sz w:val="20"/>
                <w:szCs w:val="20"/>
              </w:rPr>
              <w:t>Impact on EE, climate, and environmental protection</w:t>
            </w:r>
          </w:p>
        </w:tc>
        <w:tc>
          <w:tcPr>
            <w:tcW w:w="5669" w:type="dxa"/>
          </w:tcPr>
          <w:p w14:paraId="5CE13C85" w14:textId="77777777" w:rsidR="0094644B" w:rsidRPr="00FA3F57" w:rsidRDefault="0094644B" w:rsidP="00FB5086">
            <w:pPr>
              <w:rPr>
                <w:sz w:val="20"/>
                <w:szCs w:val="20"/>
              </w:rPr>
            </w:pPr>
            <w:r w:rsidRPr="00F07779">
              <w:rPr>
                <w:sz w:val="20"/>
                <w:szCs w:val="20"/>
              </w:rPr>
              <w:t xml:space="preserve">The project is expected to achieve a reduction of 81 GWh in annual primary energy consumption and a decrease of 20,000 tons of CO₂ emissions per year. </w:t>
            </w:r>
          </w:p>
        </w:tc>
      </w:tr>
    </w:tbl>
    <w:p w14:paraId="50F74FDD" w14:textId="77777777" w:rsidR="0094644B" w:rsidRPr="00FA3F57" w:rsidRDefault="0094644B" w:rsidP="0094644B">
      <w:pPr>
        <w:tabs>
          <w:tab w:val="left" w:pos="1560"/>
        </w:tabs>
      </w:pPr>
    </w:p>
    <w:p w14:paraId="3ABFA38F" w14:textId="77777777" w:rsidR="0094644B" w:rsidRPr="00FA3F57" w:rsidRDefault="0094644B" w:rsidP="0094644B">
      <w:pPr>
        <w:tabs>
          <w:tab w:val="left" w:pos="1560"/>
        </w:tabs>
      </w:pPr>
      <w:r w:rsidRPr="00FA3F57">
        <w:t>Table 5.4.3-2:</w:t>
      </w:r>
      <w:r w:rsidRPr="00FA3F57">
        <w:tab/>
        <w:t>Activity for the implementation of the measure EE1 - Activity ЕЕ1.2/9.2</w:t>
      </w:r>
    </w:p>
    <w:tbl>
      <w:tblPr>
        <w:tblStyle w:val="TableGrid"/>
        <w:tblW w:w="0" w:type="auto"/>
        <w:tblLook w:val="04A0" w:firstRow="1" w:lastRow="0" w:firstColumn="1" w:lastColumn="0" w:noHBand="0" w:noVBand="1"/>
      </w:tblPr>
      <w:tblGrid>
        <w:gridCol w:w="2973"/>
        <w:gridCol w:w="5669"/>
      </w:tblGrid>
      <w:tr w:rsidR="0094644B" w:rsidRPr="00F07779" w14:paraId="77E0EEBE" w14:textId="77777777" w:rsidTr="00FB5086">
        <w:tc>
          <w:tcPr>
            <w:tcW w:w="2973" w:type="dxa"/>
            <w:shd w:val="clear" w:color="auto" w:fill="D9D9D9" w:themeFill="background1" w:themeFillShade="D9"/>
          </w:tcPr>
          <w:p w14:paraId="64F2695B" w14:textId="77777777" w:rsidR="0094644B" w:rsidRPr="00FA3F57" w:rsidRDefault="0094644B" w:rsidP="00FB5086">
            <w:pPr>
              <w:rPr>
                <w:sz w:val="20"/>
                <w:szCs w:val="20"/>
              </w:rPr>
            </w:pPr>
            <w:r w:rsidRPr="00FA3F57">
              <w:rPr>
                <w:sz w:val="20"/>
                <w:szCs w:val="20"/>
              </w:rPr>
              <w:t>Activity ЕЕ1.2/9.2</w:t>
            </w:r>
          </w:p>
        </w:tc>
        <w:tc>
          <w:tcPr>
            <w:tcW w:w="5669" w:type="dxa"/>
            <w:shd w:val="clear" w:color="auto" w:fill="D9D9D9" w:themeFill="background1" w:themeFillShade="D9"/>
          </w:tcPr>
          <w:p w14:paraId="42C0C20B" w14:textId="77777777" w:rsidR="0094644B" w:rsidRPr="00FA3F57" w:rsidRDefault="0094644B" w:rsidP="00FB5086">
            <w:pPr>
              <w:rPr>
                <w:sz w:val="20"/>
                <w:szCs w:val="20"/>
              </w:rPr>
            </w:pPr>
            <w:r w:rsidRPr="00FA3F57">
              <w:rPr>
                <w:sz w:val="20"/>
                <w:szCs w:val="20"/>
              </w:rPr>
              <w:t>Clean energy and energy efficiency for citizens</w:t>
            </w:r>
          </w:p>
        </w:tc>
      </w:tr>
      <w:tr w:rsidR="0094644B" w:rsidRPr="00F07779" w14:paraId="7C0AAE82" w14:textId="77777777" w:rsidTr="00FB5086">
        <w:tc>
          <w:tcPr>
            <w:tcW w:w="2973" w:type="dxa"/>
          </w:tcPr>
          <w:p w14:paraId="0B33EB8F" w14:textId="77777777" w:rsidR="0094644B" w:rsidRPr="00FA3F57" w:rsidRDefault="0094644B" w:rsidP="00FB5086">
            <w:pPr>
              <w:rPr>
                <w:sz w:val="20"/>
                <w:szCs w:val="20"/>
              </w:rPr>
            </w:pPr>
            <w:r w:rsidRPr="00FA3F57">
              <w:rPr>
                <w:sz w:val="20"/>
                <w:szCs w:val="20"/>
              </w:rPr>
              <w:t>Description</w:t>
            </w:r>
          </w:p>
        </w:tc>
        <w:tc>
          <w:tcPr>
            <w:tcW w:w="5669" w:type="dxa"/>
          </w:tcPr>
          <w:p w14:paraId="61E07C3A" w14:textId="77777777" w:rsidR="0094644B" w:rsidRPr="00FA3F57" w:rsidRDefault="0094644B" w:rsidP="00FB5086">
            <w:pPr>
              <w:rPr>
                <w:sz w:val="20"/>
                <w:szCs w:val="20"/>
              </w:rPr>
            </w:pPr>
            <w:r w:rsidRPr="00F07779">
              <w:rPr>
                <w:sz w:val="20"/>
                <w:szCs w:val="20"/>
              </w:rPr>
              <w:t xml:space="preserve">The main activity is the implementation of public calls for local self-government units for the allocation of subsidies for the implementation of energy efficiency measures at the local level, support and monitoring of activity implementation at the local level, and monitoring of energy savings indicators. </w:t>
            </w:r>
            <w:r w:rsidRPr="00FA3F57">
              <w:rPr>
                <w:sz w:val="20"/>
                <w:szCs w:val="20"/>
              </w:rPr>
              <w:t>The implementation of the project contributes to energy savings through the implementation of energy renovation of households, which includes replacing windows, installing insulation on roofs and walls, as well as replacing heating systems with more efficient ones</w:t>
            </w:r>
            <w:r w:rsidRPr="00FA3F57" w:rsidDel="00E54F73">
              <w:rPr>
                <w:sz w:val="20"/>
                <w:szCs w:val="20"/>
              </w:rPr>
              <w:t xml:space="preserve"> </w:t>
            </w:r>
            <w:r w:rsidRPr="00FA3F57">
              <w:rPr>
                <w:sz w:val="20"/>
                <w:szCs w:val="20"/>
              </w:rPr>
              <w:t xml:space="preserve">(gas and pellet boilers as well as heat pumps), installation of solar collectors for heating sanitary hot water, as well as encouraging the production of electricity from renewable energy sources through subsidies for the construction of solar rooftop power plants with a maximum power of 10.8 kW. </w:t>
            </w:r>
          </w:p>
        </w:tc>
      </w:tr>
      <w:tr w:rsidR="0094644B" w:rsidRPr="00F07779" w14:paraId="653CC5E4" w14:textId="77777777" w:rsidTr="00FB5086">
        <w:tc>
          <w:tcPr>
            <w:tcW w:w="2973" w:type="dxa"/>
          </w:tcPr>
          <w:p w14:paraId="40D5B194" w14:textId="77777777" w:rsidR="0094644B" w:rsidRPr="00FA3F57" w:rsidRDefault="0094644B" w:rsidP="00FB5086">
            <w:pPr>
              <w:rPr>
                <w:sz w:val="20"/>
                <w:szCs w:val="20"/>
              </w:rPr>
            </w:pPr>
            <w:r w:rsidRPr="00FA3F57">
              <w:rPr>
                <w:sz w:val="20"/>
                <w:szCs w:val="20"/>
              </w:rPr>
              <w:lastRenderedPageBreak/>
              <w:t>Institutions responsible for the implementation of measures and activities</w:t>
            </w:r>
          </w:p>
        </w:tc>
        <w:tc>
          <w:tcPr>
            <w:tcW w:w="5669" w:type="dxa"/>
          </w:tcPr>
          <w:p w14:paraId="610A5A73" w14:textId="77777777" w:rsidR="0094644B" w:rsidRPr="00FA3F57" w:rsidRDefault="0094644B" w:rsidP="00FB5086">
            <w:pPr>
              <w:rPr>
                <w:sz w:val="20"/>
                <w:szCs w:val="20"/>
              </w:rPr>
            </w:pPr>
            <w:r w:rsidRPr="00FA3F57">
              <w:rPr>
                <w:sz w:val="20"/>
                <w:szCs w:val="20"/>
              </w:rPr>
              <w:t>The World Bank, Ministry of Mining and Energy, and local government units</w:t>
            </w:r>
          </w:p>
        </w:tc>
      </w:tr>
      <w:tr w:rsidR="0094644B" w:rsidRPr="00F07779" w14:paraId="6FAF5D05" w14:textId="77777777" w:rsidTr="00FB5086">
        <w:tc>
          <w:tcPr>
            <w:tcW w:w="2973" w:type="dxa"/>
          </w:tcPr>
          <w:p w14:paraId="6780AD0B" w14:textId="77777777" w:rsidR="0094644B" w:rsidRPr="00FA3F57" w:rsidRDefault="0094644B" w:rsidP="00FB5086">
            <w:pPr>
              <w:rPr>
                <w:sz w:val="20"/>
                <w:szCs w:val="20"/>
              </w:rPr>
            </w:pPr>
            <w:r w:rsidRPr="00FA3F57">
              <w:rPr>
                <w:sz w:val="20"/>
                <w:szCs w:val="20"/>
              </w:rPr>
              <w:t>Institutions responsible for monitoring implementation and reporting on the realization</w:t>
            </w:r>
          </w:p>
        </w:tc>
        <w:tc>
          <w:tcPr>
            <w:tcW w:w="5669" w:type="dxa"/>
          </w:tcPr>
          <w:p w14:paraId="4E7B6A71" w14:textId="77777777" w:rsidR="0094644B" w:rsidRPr="00FA3F57" w:rsidRDefault="0094644B" w:rsidP="00FB5086">
            <w:pPr>
              <w:rPr>
                <w:sz w:val="20"/>
                <w:szCs w:val="20"/>
              </w:rPr>
            </w:pPr>
            <w:r w:rsidRPr="00FA3F57">
              <w:rPr>
                <w:sz w:val="20"/>
                <w:szCs w:val="20"/>
              </w:rPr>
              <w:t>Ministry of Mining and Energy, LSGU</w:t>
            </w:r>
          </w:p>
        </w:tc>
      </w:tr>
      <w:tr w:rsidR="0094644B" w:rsidRPr="00F07779" w14:paraId="7F2BA31F" w14:textId="77777777" w:rsidTr="00FB5086">
        <w:tc>
          <w:tcPr>
            <w:tcW w:w="2973" w:type="dxa"/>
          </w:tcPr>
          <w:p w14:paraId="35907F34" w14:textId="77777777" w:rsidR="0094644B" w:rsidRPr="00FA3F57" w:rsidRDefault="0094644B" w:rsidP="00FB5086">
            <w:pPr>
              <w:rPr>
                <w:sz w:val="20"/>
                <w:szCs w:val="20"/>
              </w:rPr>
            </w:pPr>
            <w:r w:rsidRPr="00FA3F57">
              <w:rPr>
                <w:sz w:val="20"/>
                <w:szCs w:val="20"/>
              </w:rPr>
              <w:t>Deadline for implementation</w:t>
            </w:r>
          </w:p>
        </w:tc>
        <w:tc>
          <w:tcPr>
            <w:tcW w:w="5669" w:type="dxa"/>
          </w:tcPr>
          <w:p w14:paraId="036CC76F" w14:textId="77777777" w:rsidR="0094644B" w:rsidRPr="00FA3F57" w:rsidRDefault="0094644B" w:rsidP="00FB5086">
            <w:pPr>
              <w:rPr>
                <w:sz w:val="20"/>
                <w:szCs w:val="20"/>
              </w:rPr>
            </w:pPr>
            <w:r w:rsidRPr="00FA3F57">
              <w:rPr>
                <w:sz w:val="20"/>
                <w:szCs w:val="20"/>
              </w:rPr>
              <w:t>The project implementation period is from December 21, 2022, to November 2027. Implementation dynamics: one public call per year, up to 25,000 households per public call</w:t>
            </w:r>
          </w:p>
        </w:tc>
      </w:tr>
      <w:tr w:rsidR="0094644B" w:rsidRPr="00F07779" w14:paraId="020F2803" w14:textId="77777777" w:rsidTr="00FB5086">
        <w:tc>
          <w:tcPr>
            <w:tcW w:w="2973" w:type="dxa"/>
          </w:tcPr>
          <w:p w14:paraId="481DC623" w14:textId="77777777" w:rsidR="0094644B" w:rsidRPr="00FA3F57" w:rsidRDefault="0094644B" w:rsidP="00FB5086">
            <w:pPr>
              <w:rPr>
                <w:sz w:val="20"/>
                <w:szCs w:val="20"/>
              </w:rPr>
            </w:pPr>
            <w:r w:rsidRPr="00FA3F57">
              <w:rPr>
                <w:sz w:val="20"/>
                <w:szCs w:val="20"/>
              </w:rPr>
              <w:t>Required funds and source of financing</w:t>
            </w:r>
          </w:p>
        </w:tc>
        <w:tc>
          <w:tcPr>
            <w:tcW w:w="5669" w:type="dxa"/>
          </w:tcPr>
          <w:p w14:paraId="3946F984" w14:textId="77777777" w:rsidR="0094644B" w:rsidRPr="00FA3F57" w:rsidRDefault="0094644B" w:rsidP="00FB5086">
            <w:pPr>
              <w:rPr>
                <w:sz w:val="20"/>
                <w:szCs w:val="20"/>
              </w:rPr>
            </w:pPr>
            <w:r w:rsidRPr="00FA3F57">
              <w:rPr>
                <w:sz w:val="20"/>
                <w:szCs w:val="20"/>
              </w:rPr>
              <w:t>Estimated project value:</w:t>
            </w:r>
          </w:p>
          <w:p w14:paraId="72DF1DC2" w14:textId="77777777" w:rsidR="0094644B" w:rsidRPr="00FA3F57" w:rsidRDefault="0094644B" w:rsidP="00FB5086">
            <w:pPr>
              <w:rPr>
                <w:sz w:val="20"/>
                <w:szCs w:val="20"/>
              </w:rPr>
            </w:pPr>
            <w:r w:rsidRPr="00FA3F57">
              <w:rPr>
                <w:sz w:val="20"/>
                <w:szCs w:val="20"/>
              </w:rPr>
              <w:t xml:space="preserve">The estimated value of the project is approximately EUR 45 million grant (MoME 25%), LSGU should allocate EUR 45 million (25%) from their own budgets, while citizens participate with an amount </w:t>
            </w:r>
            <w:proofErr w:type="gramStart"/>
            <w:r w:rsidRPr="00FA3F57">
              <w:rPr>
                <w:sz w:val="20"/>
                <w:szCs w:val="20"/>
              </w:rPr>
              <w:t>of around</w:t>
            </w:r>
            <w:proofErr w:type="gramEnd"/>
            <w:r w:rsidRPr="00FA3F57">
              <w:rPr>
                <w:sz w:val="20"/>
                <w:szCs w:val="20"/>
              </w:rPr>
              <w:t xml:space="preserve"> EUR 90 million (50%), which amounts to a total of around EUR 180 million.</w:t>
            </w:r>
          </w:p>
          <w:p w14:paraId="74858F63" w14:textId="77777777" w:rsidR="0094644B" w:rsidRPr="00FA3F57" w:rsidRDefault="0094644B" w:rsidP="00FB5086">
            <w:pPr>
              <w:rPr>
                <w:sz w:val="20"/>
                <w:szCs w:val="20"/>
              </w:rPr>
            </w:pPr>
            <w:r w:rsidRPr="00FA3F57">
              <w:rPr>
                <w:sz w:val="20"/>
                <w:szCs w:val="20"/>
              </w:rPr>
              <w:t>Loan/grant amount:</w:t>
            </w:r>
          </w:p>
          <w:p w14:paraId="42DAC92B" w14:textId="77777777" w:rsidR="0094644B" w:rsidRPr="00FA3F57" w:rsidRDefault="0094644B" w:rsidP="00FB5086">
            <w:pPr>
              <w:rPr>
                <w:sz w:val="20"/>
                <w:szCs w:val="20"/>
              </w:rPr>
            </w:pPr>
            <w:r w:rsidRPr="00FA3F57">
              <w:rPr>
                <w:sz w:val="20"/>
                <w:szCs w:val="20"/>
              </w:rPr>
              <w:t>The loan/grant amount is EUR 44.9 million.</w:t>
            </w:r>
          </w:p>
          <w:p w14:paraId="5E64485E" w14:textId="77777777" w:rsidR="0094644B" w:rsidRPr="00F07779" w:rsidRDefault="0094644B" w:rsidP="00FB5086">
            <w:pPr>
              <w:rPr>
                <w:sz w:val="20"/>
                <w:szCs w:val="20"/>
              </w:rPr>
            </w:pPr>
            <w:r w:rsidRPr="00F07779">
              <w:rPr>
                <w:sz w:val="20"/>
                <w:szCs w:val="20"/>
              </w:rPr>
              <w:t>So far, five tranches have been disbursed, totaling EUR 14.8 million.</w:t>
            </w:r>
          </w:p>
          <w:p w14:paraId="48391E82" w14:textId="77777777" w:rsidR="0094644B" w:rsidRPr="00F07779" w:rsidRDefault="0094644B" w:rsidP="00FB5086">
            <w:pPr>
              <w:rPr>
                <w:sz w:val="20"/>
                <w:szCs w:val="20"/>
              </w:rPr>
            </w:pPr>
            <w:r w:rsidRPr="00F07779">
              <w:rPr>
                <w:sz w:val="20"/>
                <w:szCs w:val="20"/>
              </w:rPr>
              <w:t>The contracted obligations to be paid under the 2024 Agreements with LSGU amount to EUR 7.6 million, which is approximately RSD 900 million.</w:t>
            </w:r>
          </w:p>
          <w:p w14:paraId="52542B54" w14:textId="77777777" w:rsidR="0094644B" w:rsidRPr="00FA3F57" w:rsidRDefault="0094644B" w:rsidP="00FB5086">
            <w:pPr>
              <w:rPr>
                <w:sz w:val="20"/>
                <w:szCs w:val="20"/>
              </w:rPr>
            </w:pPr>
            <w:r w:rsidRPr="00F07779">
              <w:rPr>
                <w:sz w:val="20"/>
                <w:szCs w:val="20"/>
              </w:rPr>
              <w:t>In May 2025, a new public call for LSGU was completed, and the funds under the contracts for this new public call would amount to approximately RSD 1.5 billion, or around EUR 12 million.</w:t>
            </w:r>
          </w:p>
        </w:tc>
      </w:tr>
      <w:tr w:rsidR="0094644B" w:rsidRPr="00F07779" w14:paraId="06D4B5B1" w14:textId="77777777" w:rsidTr="00FB5086">
        <w:tc>
          <w:tcPr>
            <w:tcW w:w="2973" w:type="dxa"/>
          </w:tcPr>
          <w:p w14:paraId="1A7E9D2F" w14:textId="77777777" w:rsidR="0094644B" w:rsidRPr="00FA3F57" w:rsidRDefault="0094644B" w:rsidP="00FB5086">
            <w:pPr>
              <w:rPr>
                <w:sz w:val="20"/>
                <w:szCs w:val="20"/>
              </w:rPr>
            </w:pPr>
            <w:r w:rsidRPr="00FA3F57">
              <w:rPr>
                <w:sz w:val="20"/>
                <w:szCs w:val="20"/>
              </w:rPr>
              <w:t>Impact of the activity on the achievement of the objective</w:t>
            </w:r>
          </w:p>
        </w:tc>
        <w:tc>
          <w:tcPr>
            <w:tcW w:w="5669" w:type="dxa"/>
          </w:tcPr>
          <w:p w14:paraId="0660E05B" w14:textId="77777777" w:rsidR="0094644B" w:rsidRPr="00F07779" w:rsidRDefault="0094644B" w:rsidP="00FB5086">
            <w:pPr>
              <w:rPr>
                <w:sz w:val="20"/>
                <w:szCs w:val="20"/>
              </w:rPr>
            </w:pPr>
            <w:r w:rsidRPr="00F07779">
              <w:rPr>
                <w:sz w:val="20"/>
                <w:szCs w:val="20"/>
              </w:rPr>
              <w:t>Under the 2023 public call, the target of 10,000 households per year) was exceeded, reaching a total of 11,020.</w:t>
            </w:r>
          </w:p>
          <w:p w14:paraId="4D8BCA17" w14:textId="77777777" w:rsidR="0094644B" w:rsidRPr="00FA3F57" w:rsidRDefault="0094644B" w:rsidP="00FB5086">
            <w:pPr>
              <w:rPr>
                <w:sz w:val="20"/>
                <w:szCs w:val="20"/>
              </w:rPr>
            </w:pPr>
            <w:r w:rsidRPr="00FA3F57">
              <w:rPr>
                <w:sz w:val="20"/>
                <w:szCs w:val="20"/>
              </w:rPr>
              <w:t>Following a public call from 2024, implementation is underway; so far, data on achieved savings have been collected for over 1,000 households.</w:t>
            </w:r>
          </w:p>
        </w:tc>
      </w:tr>
      <w:tr w:rsidR="0094644B" w:rsidRPr="00F07779" w14:paraId="687206B1" w14:textId="77777777" w:rsidTr="00FB5086">
        <w:tc>
          <w:tcPr>
            <w:tcW w:w="2973" w:type="dxa"/>
          </w:tcPr>
          <w:p w14:paraId="294AF8E8" w14:textId="77777777" w:rsidR="0094644B" w:rsidRPr="00FA3F57" w:rsidRDefault="0094644B" w:rsidP="00FB5086">
            <w:pPr>
              <w:rPr>
                <w:sz w:val="20"/>
                <w:szCs w:val="20"/>
              </w:rPr>
            </w:pPr>
            <w:r w:rsidRPr="00FA3F57">
              <w:rPr>
                <w:sz w:val="20"/>
                <w:szCs w:val="20"/>
              </w:rPr>
              <w:t>Impact on EE, climate, and environmental protection</w:t>
            </w:r>
          </w:p>
        </w:tc>
        <w:tc>
          <w:tcPr>
            <w:tcW w:w="5669" w:type="dxa"/>
          </w:tcPr>
          <w:p w14:paraId="3C3B9933" w14:textId="77777777" w:rsidR="0094644B" w:rsidRPr="00FA3F57" w:rsidRDefault="0094644B" w:rsidP="00FB5086">
            <w:pPr>
              <w:rPr>
                <w:sz w:val="20"/>
                <w:szCs w:val="20"/>
              </w:rPr>
            </w:pPr>
            <w:r w:rsidRPr="00FA3F57">
              <w:rPr>
                <w:sz w:val="20"/>
                <w:szCs w:val="20"/>
              </w:rPr>
              <w:t>Annual savings of delivered energy</w:t>
            </w:r>
            <w:r w:rsidRPr="00FA3F57" w:rsidDel="003609F6">
              <w:rPr>
                <w:sz w:val="20"/>
                <w:szCs w:val="20"/>
              </w:rPr>
              <w:t xml:space="preserve"> </w:t>
            </w:r>
            <w:r w:rsidRPr="00FA3F57">
              <w:rPr>
                <w:sz w:val="20"/>
                <w:szCs w:val="20"/>
              </w:rPr>
              <w:t xml:space="preserve">(GWh/a) </w:t>
            </w:r>
            <w:r w:rsidRPr="00FA3F57">
              <w:rPr>
                <w:rStyle w:val="normaltextrun"/>
                <w:color w:val="000000"/>
                <w:sz w:val="20"/>
                <w:szCs w:val="20"/>
              </w:rPr>
              <w:t>195</w:t>
            </w:r>
          </w:p>
          <w:p w14:paraId="557106DA" w14:textId="77777777" w:rsidR="0094644B" w:rsidRPr="00FA3F57" w:rsidRDefault="0094644B" w:rsidP="00FB5086">
            <w:pPr>
              <w:rPr>
                <w:sz w:val="20"/>
                <w:szCs w:val="20"/>
              </w:rPr>
            </w:pPr>
            <w:r w:rsidRPr="00FA3F57">
              <w:rPr>
                <w:sz w:val="20"/>
                <w:szCs w:val="20"/>
              </w:rPr>
              <w:t>Total savings of delivered energy</w:t>
            </w:r>
          </w:p>
          <w:p w14:paraId="6C20C46A" w14:textId="77777777" w:rsidR="0094644B" w:rsidRPr="00FA3F57" w:rsidRDefault="0094644B" w:rsidP="00FB5086">
            <w:pPr>
              <w:rPr>
                <w:sz w:val="20"/>
                <w:szCs w:val="20"/>
              </w:rPr>
            </w:pPr>
            <w:r w:rsidRPr="00FA3F57">
              <w:rPr>
                <w:sz w:val="20"/>
                <w:szCs w:val="20"/>
              </w:rPr>
              <w:t xml:space="preserve">(GWh) </w:t>
            </w:r>
            <w:r w:rsidRPr="00FA3F57">
              <w:rPr>
                <w:color w:val="000000"/>
                <w:sz w:val="20"/>
                <w:szCs w:val="20"/>
              </w:rPr>
              <w:t>2,931</w:t>
            </w:r>
          </w:p>
          <w:p w14:paraId="401C13F0" w14:textId="77777777" w:rsidR="0094644B" w:rsidRPr="00FA3F57" w:rsidRDefault="0094644B" w:rsidP="00FB5086">
            <w:pPr>
              <w:rPr>
                <w:sz w:val="20"/>
                <w:szCs w:val="20"/>
              </w:rPr>
            </w:pPr>
            <w:r w:rsidRPr="00FA3F57">
              <w:rPr>
                <w:sz w:val="20"/>
                <w:szCs w:val="20"/>
              </w:rPr>
              <w:t>Annual savings of primary energy</w:t>
            </w:r>
          </w:p>
          <w:p w14:paraId="1035BABA" w14:textId="77777777" w:rsidR="0094644B" w:rsidRPr="00FA3F57" w:rsidRDefault="0094644B" w:rsidP="00FB5086">
            <w:pPr>
              <w:rPr>
                <w:sz w:val="20"/>
                <w:szCs w:val="20"/>
              </w:rPr>
            </w:pPr>
            <w:r w:rsidRPr="00FA3F57">
              <w:rPr>
                <w:sz w:val="20"/>
                <w:szCs w:val="20"/>
              </w:rPr>
              <w:t>(GWh/a) 232</w:t>
            </w:r>
          </w:p>
          <w:p w14:paraId="7849318E" w14:textId="77777777" w:rsidR="0094644B" w:rsidRPr="00FA3F57" w:rsidRDefault="0094644B" w:rsidP="00FB5086">
            <w:pPr>
              <w:rPr>
                <w:sz w:val="20"/>
                <w:szCs w:val="20"/>
              </w:rPr>
            </w:pPr>
            <w:r w:rsidRPr="00FA3F57">
              <w:rPr>
                <w:sz w:val="20"/>
                <w:szCs w:val="20"/>
              </w:rPr>
              <w:t>Total savings of primary energy (GWh) 3,487</w:t>
            </w:r>
          </w:p>
          <w:p w14:paraId="2AFF196F" w14:textId="77777777" w:rsidR="0094644B" w:rsidRPr="00FA3F57" w:rsidRDefault="0094644B" w:rsidP="00FB5086">
            <w:pPr>
              <w:rPr>
                <w:sz w:val="20"/>
                <w:szCs w:val="20"/>
              </w:rPr>
            </w:pPr>
            <w:r w:rsidRPr="00FA3F57">
              <w:rPr>
                <w:sz w:val="20"/>
                <w:szCs w:val="20"/>
              </w:rPr>
              <w:t>Energy produced from renewable sources (GWh/a) 14</w:t>
            </w:r>
          </w:p>
          <w:p w14:paraId="177F931D" w14:textId="77777777" w:rsidR="0094644B" w:rsidRPr="00FA3F57" w:rsidRDefault="0094644B" w:rsidP="00FB5086">
            <w:pPr>
              <w:rPr>
                <w:sz w:val="20"/>
                <w:szCs w:val="20"/>
              </w:rPr>
            </w:pPr>
            <w:r w:rsidRPr="00FA3F57">
              <w:rPr>
                <w:sz w:val="20"/>
                <w:szCs w:val="20"/>
              </w:rPr>
              <w:t>Installed capacity of renewable energy sources (MW) 15</w:t>
            </w:r>
          </w:p>
          <w:p w14:paraId="143B8692" w14:textId="77777777" w:rsidR="0094644B" w:rsidRPr="00FA3F57" w:rsidRDefault="0094644B" w:rsidP="00FB5086">
            <w:pPr>
              <w:rPr>
                <w:sz w:val="20"/>
                <w:szCs w:val="20"/>
              </w:rPr>
            </w:pPr>
            <w:r w:rsidRPr="00FA3F57">
              <w:rPr>
                <w:sz w:val="20"/>
                <w:szCs w:val="20"/>
              </w:rPr>
              <w:t>Annual reduction of CO</w:t>
            </w:r>
            <w:r w:rsidRPr="00FA3F57">
              <w:rPr>
                <w:sz w:val="20"/>
                <w:szCs w:val="20"/>
                <w:vertAlign w:val="subscript"/>
              </w:rPr>
              <w:t>2</w:t>
            </w:r>
            <w:r w:rsidRPr="00FA3F57">
              <w:rPr>
                <w:sz w:val="20"/>
                <w:szCs w:val="20"/>
              </w:rPr>
              <w:t xml:space="preserve"> emissions (t/a) 37,723</w:t>
            </w:r>
          </w:p>
          <w:p w14:paraId="4AA64A02" w14:textId="77777777" w:rsidR="0094644B" w:rsidRPr="00FA3F57" w:rsidRDefault="0094644B" w:rsidP="00FB5086">
            <w:pPr>
              <w:rPr>
                <w:sz w:val="20"/>
                <w:szCs w:val="20"/>
              </w:rPr>
            </w:pPr>
            <w:r w:rsidRPr="00FA3F57">
              <w:rPr>
                <w:sz w:val="20"/>
                <w:szCs w:val="20"/>
              </w:rPr>
              <w:t>Total reduction of CO</w:t>
            </w:r>
            <w:r w:rsidRPr="00FA3F57">
              <w:rPr>
                <w:sz w:val="20"/>
                <w:szCs w:val="20"/>
                <w:vertAlign w:val="subscript"/>
              </w:rPr>
              <w:t>2</w:t>
            </w:r>
            <w:r w:rsidRPr="00FA3F57">
              <w:rPr>
                <w:sz w:val="20"/>
                <w:szCs w:val="20"/>
              </w:rPr>
              <w:t xml:space="preserve"> emissions (t) 565,855</w:t>
            </w:r>
          </w:p>
        </w:tc>
      </w:tr>
    </w:tbl>
    <w:p w14:paraId="79779794" w14:textId="77777777" w:rsidR="0094644B" w:rsidRPr="00FA3F57" w:rsidRDefault="0094644B" w:rsidP="0094644B">
      <w:pPr>
        <w:tabs>
          <w:tab w:val="left" w:pos="1560"/>
        </w:tabs>
      </w:pPr>
    </w:p>
    <w:p w14:paraId="7BFEFC74" w14:textId="77777777" w:rsidR="0094644B" w:rsidRPr="00FA3F57" w:rsidRDefault="0094644B" w:rsidP="0094644B">
      <w:pPr>
        <w:tabs>
          <w:tab w:val="left" w:pos="1560"/>
        </w:tabs>
      </w:pPr>
      <w:r w:rsidRPr="00FA3F57">
        <w:t>Table 5.4.3-3:</w:t>
      </w:r>
      <w:r w:rsidRPr="00FA3F57">
        <w:tab/>
        <w:t xml:space="preserve">Activity for the implementation of </w:t>
      </w:r>
      <w:proofErr w:type="gramStart"/>
      <w:r w:rsidRPr="00FA3F57">
        <w:t>the measure</w:t>
      </w:r>
      <w:proofErr w:type="gramEnd"/>
      <w:r w:rsidRPr="00FA3F57">
        <w:t xml:space="preserve"> EE1 - Activity </w:t>
      </w:r>
      <w:proofErr w:type="gramStart"/>
      <w:r w:rsidRPr="00FA3F57">
        <w:t>ЕЕ1.3</w:t>
      </w:r>
      <w:proofErr w:type="gramEnd"/>
      <w:r w:rsidRPr="00FA3F57">
        <w:t>/9.3</w:t>
      </w:r>
    </w:p>
    <w:tbl>
      <w:tblPr>
        <w:tblStyle w:val="TableGrid"/>
        <w:tblW w:w="0" w:type="auto"/>
        <w:tblLook w:val="04A0" w:firstRow="1" w:lastRow="0" w:firstColumn="1" w:lastColumn="0" w:noHBand="0" w:noVBand="1"/>
      </w:tblPr>
      <w:tblGrid>
        <w:gridCol w:w="2973"/>
        <w:gridCol w:w="5669"/>
      </w:tblGrid>
      <w:tr w:rsidR="0094644B" w:rsidRPr="00F07779" w14:paraId="5ECCB674" w14:textId="77777777" w:rsidTr="00FB5086">
        <w:tc>
          <w:tcPr>
            <w:tcW w:w="2973" w:type="dxa"/>
            <w:shd w:val="clear" w:color="auto" w:fill="D9D9D9" w:themeFill="background1" w:themeFillShade="D9"/>
          </w:tcPr>
          <w:p w14:paraId="0027D95E" w14:textId="77777777" w:rsidR="0094644B" w:rsidRPr="00FA3F57" w:rsidRDefault="0094644B" w:rsidP="00FB5086">
            <w:pPr>
              <w:rPr>
                <w:sz w:val="20"/>
                <w:szCs w:val="20"/>
              </w:rPr>
            </w:pPr>
            <w:r w:rsidRPr="00FA3F57">
              <w:rPr>
                <w:sz w:val="20"/>
                <w:szCs w:val="20"/>
              </w:rPr>
              <w:t>Activity ЕЕ1.3/9.3</w:t>
            </w:r>
          </w:p>
        </w:tc>
        <w:tc>
          <w:tcPr>
            <w:tcW w:w="5669" w:type="dxa"/>
            <w:shd w:val="clear" w:color="auto" w:fill="D9D9D9" w:themeFill="background1" w:themeFillShade="D9"/>
          </w:tcPr>
          <w:p w14:paraId="13CA9BEE" w14:textId="77777777" w:rsidR="0094644B" w:rsidRPr="00FA3F57" w:rsidRDefault="0094644B" w:rsidP="00FB5086">
            <w:pPr>
              <w:rPr>
                <w:sz w:val="20"/>
                <w:szCs w:val="20"/>
              </w:rPr>
            </w:pPr>
            <w:r w:rsidRPr="00FA3F57">
              <w:rPr>
                <w:sz w:val="20"/>
                <w:szCs w:val="20"/>
              </w:rPr>
              <w:t>Low-carbon plants Phase 2</w:t>
            </w:r>
          </w:p>
        </w:tc>
      </w:tr>
      <w:tr w:rsidR="0094644B" w:rsidRPr="00F07779" w14:paraId="1D326E9E" w14:textId="77777777" w:rsidTr="00FB5086">
        <w:tc>
          <w:tcPr>
            <w:tcW w:w="2973" w:type="dxa"/>
          </w:tcPr>
          <w:p w14:paraId="6E8062CD" w14:textId="77777777" w:rsidR="0094644B" w:rsidRPr="00FA3F57" w:rsidRDefault="0094644B" w:rsidP="00FB5086">
            <w:pPr>
              <w:rPr>
                <w:sz w:val="20"/>
                <w:szCs w:val="20"/>
              </w:rPr>
            </w:pPr>
            <w:r w:rsidRPr="00FA3F57">
              <w:rPr>
                <w:sz w:val="20"/>
                <w:szCs w:val="20"/>
              </w:rPr>
              <w:t>Description</w:t>
            </w:r>
          </w:p>
        </w:tc>
        <w:tc>
          <w:tcPr>
            <w:tcW w:w="5669" w:type="dxa"/>
          </w:tcPr>
          <w:p w14:paraId="4E5B3CA5" w14:textId="77777777" w:rsidR="0094644B" w:rsidRPr="00FA3F57" w:rsidRDefault="0094644B" w:rsidP="00FB5086">
            <w:pPr>
              <w:rPr>
                <w:sz w:val="20"/>
                <w:szCs w:val="20"/>
              </w:rPr>
            </w:pPr>
            <w:r w:rsidRPr="00FA3F57">
              <w:rPr>
                <w:sz w:val="20"/>
                <w:szCs w:val="20"/>
              </w:rPr>
              <w:t>The German Development Bank (KfW), in cooperation with partner institutions, has provided funds to support decarbonization and the improvement of energy efficiency in the Republic of Serbia. The goal of the project is to enable better access to financing for energy efficiency (EE) measures and renewable energy sources (RES) for businesses (small and medium-sized enterprises), households, and municipalities. These investments are expected to reduce energy consumption as well as greenhouse gas emissions, thereby contributing to the fight against climate change.</w:t>
            </w:r>
          </w:p>
        </w:tc>
      </w:tr>
      <w:tr w:rsidR="0094644B" w:rsidRPr="00F07779" w14:paraId="21DB62A8" w14:textId="77777777" w:rsidTr="00FB5086">
        <w:tc>
          <w:tcPr>
            <w:tcW w:w="2973" w:type="dxa"/>
          </w:tcPr>
          <w:p w14:paraId="32CA73B9" w14:textId="77777777" w:rsidR="0094644B" w:rsidRPr="00FA3F57" w:rsidRDefault="0094644B" w:rsidP="00FB5086">
            <w:pPr>
              <w:rPr>
                <w:sz w:val="20"/>
                <w:szCs w:val="20"/>
              </w:rPr>
            </w:pPr>
            <w:r w:rsidRPr="00FA3F57">
              <w:rPr>
                <w:sz w:val="20"/>
                <w:szCs w:val="20"/>
              </w:rPr>
              <w:t>Institutions responsible for the implementation of measures and activities</w:t>
            </w:r>
          </w:p>
        </w:tc>
        <w:tc>
          <w:tcPr>
            <w:tcW w:w="5669" w:type="dxa"/>
          </w:tcPr>
          <w:p w14:paraId="1BC64F42" w14:textId="77777777" w:rsidR="0094644B" w:rsidRPr="00FA3F57" w:rsidRDefault="0094644B" w:rsidP="00FB5086">
            <w:pPr>
              <w:rPr>
                <w:sz w:val="20"/>
                <w:szCs w:val="20"/>
              </w:rPr>
            </w:pPr>
            <w:r w:rsidRPr="00FA3F57">
              <w:rPr>
                <w:sz w:val="20"/>
                <w:szCs w:val="20"/>
              </w:rPr>
              <w:t>МOMЕ, Technical consultant on the project, KfW</w:t>
            </w:r>
          </w:p>
        </w:tc>
      </w:tr>
      <w:tr w:rsidR="0094644B" w:rsidRPr="00F07779" w14:paraId="4885815C" w14:textId="77777777" w:rsidTr="00FB5086">
        <w:tc>
          <w:tcPr>
            <w:tcW w:w="2973" w:type="dxa"/>
          </w:tcPr>
          <w:p w14:paraId="78648C09" w14:textId="77777777" w:rsidR="0094644B" w:rsidRPr="00FA3F57" w:rsidRDefault="0094644B" w:rsidP="00FB5086">
            <w:pPr>
              <w:rPr>
                <w:sz w:val="20"/>
                <w:szCs w:val="20"/>
              </w:rPr>
            </w:pPr>
            <w:r w:rsidRPr="00FA3F57">
              <w:rPr>
                <w:sz w:val="20"/>
                <w:szCs w:val="20"/>
              </w:rPr>
              <w:t>Institutions responsible for monitoring implementation and reporting on the realization</w:t>
            </w:r>
          </w:p>
        </w:tc>
        <w:tc>
          <w:tcPr>
            <w:tcW w:w="5669" w:type="dxa"/>
          </w:tcPr>
          <w:p w14:paraId="445D40A3" w14:textId="77777777" w:rsidR="0094644B" w:rsidRPr="00FA3F57" w:rsidRDefault="0094644B" w:rsidP="00FB5086">
            <w:pPr>
              <w:rPr>
                <w:sz w:val="20"/>
                <w:szCs w:val="20"/>
              </w:rPr>
            </w:pPr>
            <w:r w:rsidRPr="00FA3F57">
              <w:rPr>
                <w:sz w:val="20"/>
                <w:szCs w:val="20"/>
              </w:rPr>
              <w:t>МOMЕ, Technical consultant on the project, KfW</w:t>
            </w:r>
          </w:p>
        </w:tc>
      </w:tr>
      <w:tr w:rsidR="0094644B" w:rsidRPr="00F07779" w14:paraId="102DFF77" w14:textId="77777777" w:rsidTr="00FB5086">
        <w:tc>
          <w:tcPr>
            <w:tcW w:w="2973" w:type="dxa"/>
          </w:tcPr>
          <w:p w14:paraId="44C07F96" w14:textId="77777777" w:rsidR="0094644B" w:rsidRPr="00FA3F57" w:rsidRDefault="0094644B" w:rsidP="00FB5086">
            <w:pPr>
              <w:rPr>
                <w:sz w:val="20"/>
                <w:szCs w:val="20"/>
              </w:rPr>
            </w:pPr>
            <w:r w:rsidRPr="00FA3F57">
              <w:rPr>
                <w:sz w:val="20"/>
                <w:szCs w:val="20"/>
              </w:rPr>
              <w:t>Deadline for implementation</w:t>
            </w:r>
          </w:p>
        </w:tc>
        <w:tc>
          <w:tcPr>
            <w:tcW w:w="5669" w:type="dxa"/>
          </w:tcPr>
          <w:p w14:paraId="27EB7D2D" w14:textId="77777777" w:rsidR="0094644B" w:rsidRPr="00FA3F57" w:rsidRDefault="0094644B" w:rsidP="00FB5086">
            <w:pPr>
              <w:rPr>
                <w:sz w:val="20"/>
                <w:szCs w:val="20"/>
              </w:rPr>
            </w:pPr>
            <w:r w:rsidRPr="00FA3F57">
              <w:rPr>
                <w:sz w:val="20"/>
                <w:szCs w:val="20"/>
              </w:rPr>
              <w:t>Deadline for implementation: (December) 2024 – (December) 2027</w:t>
            </w:r>
          </w:p>
        </w:tc>
      </w:tr>
      <w:tr w:rsidR="0094644B" w:rsidRPr="00F07779" w14:paraId="06B58CE1" w14:textId="77777777" w:rsidTr="00FB5086">
        <w:tc>
          <w:tcPr>
            <w:tcW w:w="2973" w:type="dxa"/>
          </w:tcPr>
          <w:p w14:paraId="4FAE4315" w14:textId="77777777" w:rsidR="0094644B" w:rsidRPr="00FA3F57" w:rsidRDefault="0094644B" w:rsidP="00FB5086">
            <w:pPr>
              <w:rPr>
                <w:sz w:val="20"/>
                <w:szCs w:val="20"/>
              </w:rPr>
            </w:pPr>
            <w:r w:rsidRPr="00FA3F57">
              <w:rPr>
                <w:sz w:val="20"/>
                <w:szCs w:val="20"/>
              </w:rPr>
              <w:t>Required funds and source of financing</w:t>
            </w:r>
          </w:p>
        </w:tc>
        <w:tc>
          <w:tcPr>
            <w:tcW w:w="5669" w:type="dxa"/>
          </w:tcPr>
          <w:p w14:paraId="6B506813" w14:textId="77777777" w:rsidR="0094644B" w:rsidRPr="00FA3F57" w:rsidRDefault="0094644B" w:rsidP="00FB5086">
            <w:pPr>
              <w:rPr>
                <w:sz w:val="20"/>
                <w:szCs w:val="20"/>
              </w:rPr>
            </w:pPr>
            <w:r w:rsidRPr="00FA3F57">
              <w:rPr>
                <w:sz w:val="20"/>
                <w:szCs w:val="20"/>
              </w:rPr>
              <w:t xml:space="preserve">The total value of the project is EUR 50 million, provided by the German Development Bank (KfW), and is intended to be allocated among three partner institutions. UniCredit Bank is the first </w:t>
            </w:r>
            <w:r w:rsidRPr="00FA3F57">
              <w:rPr>
                <w:sz w:val="20"/>
                <w:szCs w:val="20"/>
              </w:rPr>
              <w:lastRenderedPageBreak/>
              <w:t>signatory, with a contract valued at EUR 7 million. The grant amounts to 7.142% for each investment. The grant amount is determined at the level of the partner institution and may therefore vary for other signatories of the agreement.</w:t>
            </w:r>
          </w:p>
        </w:tc>
      </w:tr>
      <w:tr w:rsidR="0094644B" w:rsidRPr="00F07779" w14:paraId="5EA14C45" w14:textId="77777777" w:rsidTr="00FB5086">
        <w:tc>
          <w:tcPr>
            <w:tcW w:w="2973" w:type="dxa"/>
          </w:tcPr>
          <w:p w14:paraId="7DEA3D78" w14:textId="77777777" w:rsidR="0094644B" w:rsidRPr="00FA3F57" w:rsidRDefault="0094644B" w:rsidP="00FB5086">
            <w:pPr>
              <w:rPr>
                <w:sz w:val="20"/>
                <w:szCs w:val="20"/>
              </w:rPr>
            </w:pPr>
            <w:r w:rsidRPr="00FA3F57">
              <w:rPr>
                <w:sz w:val="20"/>
                <w:szCs w:val="20"/>
              </w:rPr>
              <w:lastRenderedPageBreak/>
              <w:t>Impact of the activity on the achievement of the objective</w:t>
            </w:r>
          </w:p>
        </w:tc>
        <w:tc>
          <w:tcPr>
            <w:tcW w:w="5669" w:type="dxa"/>
          </w:tcPr>
          <w:p w14:paraId="1E452B78" w14:textId="77777777" w:rsidR="0094644B" w:rsidRPr="00FA3F57" w:rsidRDefault="0094644B" w:rsidP="00FB5086">
            <w:pPr>
              <w:rPr>
                <w:sz w:val="20"/>
                <w:szCs w:val="20"/>
              </w:rPr>
            </w:pPr>
            <w:r w:rsidRPr="00FA3F57">
              <w:rPr>
                <w:sz w:val="20"/>
                <w:szCs w:val="20"/>
              </w:rPr>
              <w:t>Activity contributes to the</w:t>
            </w:r>
            <w:r w:rsidRPr="00F07779">
              <w:rPr>
                <w:sz w:val="20"/>
                <w:szCs w:val="20"/>
              </w:rPr>
              <w:t xml:space="preserve"> objective.</w:t>
            </w:r>
          </w:p>
        </w:tc>
      </w:tr>
      <w:tr w:rsidR="0094644B" w:rsidRPr="00F07779" w14:paraId="16004D2A" w14:textId="77777777" w:rsidTr="00FB5086">
        <w:tc>
          <w:tcPr>
            <w:tcW w:w="2973" w:type="dxa"/>
          </w:tcPr>
          <w:p w14:paraId="6CF7DD50" w14:textId="77777777" w:rsidR="0094644B" w:rsidRPr="00FA3F57" w:rsidRDefault="0094644B" w:rsidP="00FB5086">
            <w:pPr>
              <w:rPr>
                <w:sz w:val="20"/>
                <w:szCs w:val="20"/>
              </w:rPr>
            </w:pPr>
            <w:r w:rsidRPr="00FA3F57">
              <w:rPr>
                <w:sz w:val="20"/>
                <w:szCs w:val="20"/>
              </w:rPr>
              <w:t>Impact on EE, climate, and environmental protection</w:t>
            </w:r>
          </w:p>
        </w:tc>
        <w:tc>
          <w:tcPr>
            <w:tcW w:w="5669" w:type="dxa"/>
          </w:tcPr>
          <w:p w14:paraId="7BF235A1" w14:textId="77777777" w:rsidR="0094644B" w:rsidRPr="00FA3F57" w:rsidRDefault="0094644B" w:rsidP="00FB5086">
            <w:pPr>
              <w:rPr>
                <w:sz w:val="20"/>
                <w:szCs w:val="20"/>
              </w:rPr>
            </w:pPr>
            <w:r w:rsidRPr="00FA3F57">
              <w:rPr>
                <w:sz w:val="20"/>
                <w:szCs w:val="20"/>
              </w:rPr>
              <w:t xml:space="preserve">Energy savings during phase 1 of the Low-carbon facilities project amounted to approximately 36,000 MWh per year, while greenhouse gas emission reductions totaled 20,500 tons annually. As both phases have been provided with the same amount of funding (EUR 50 million), similar levels of savings can be expected. The project does not support investments with a high negative impact or risks to the environment and </w:t>
            </w:r>
            <w:proofErr w:type="gramStart"/>
            <w:r w:rsidRPr="00FA3F57">
              <w:rPr>
                <w:sz w:val="20"/>
                <w:szCs w:val="20"/>
              </w:rPr>
              <w:t>society, and</w:t>
            </w:r>
            <w:proofErr w:type="gramEnd"/>
            <w:r w:rsidRPr="00FA3F57">
              <w:rPr>
                <w:sz w:val="20"/>
                <w:szCs w:val="20"/>
              </w:rPr>
              <w:t xml:space="preserve"> seeks to contribute positively to environmental protection. By implementing more efficient industrial facilities, a significant contribution is expected toward decarbonization and the objectives set out in the Integrated National Energy and Climate Plan (INECP).</w:t>
            </w:r>
          </w:p>
        </w:tc>
      </w:tr>
    </w:tbl>
    <w:p w14:paraId="249CF87C" w14:textId="77777777" w:rsidR="0094644B" w:rsidRPr="00FA3F57" w:rsidRDefault="0094644B" w:rsidP="0094644B">
      <w:pPr>
        <w:tabs>
          <w:tab w:val="left" w:pos="1560"/>
        </w:tabs>
      </w:pPr>
    </w:p>
    <w:p w14:paraId="34F577AD" w14:textId="77777777" w:rsidR="0094644B" w:rsidRPr="00FA3F57" w:rsidRDefault="0094644B" w:rsidP="0094644B">
      <w:pPr>
        <w:tabs>
          <w:tab w:val="left" w:pos="1560"/>
        </w:tabs>
      </w:pPr>
      <w:r w:rsidRPr="00FA3F57">
        <w:t>Table 5.4.3-4:</w:t>
      </w:r>
      <w:r w:rsidRPr="00FA3F57">
        <w:tab/>
        <w:t>Activity for the implementation of the measure EE1 - Activity EЕ1.4/9.4/10.1</w:t>
      </w:r>
    </w:p>
    <w:tbl>
      <w:tblPr>
        <w:tblStyle w:val="TableGrid"/>
        <w:tblW w:w="0" w:type="auto"/>
        <w:tblLook w:val="04A0" w:firstRow="1" w:lastRow="0" w:firstColumn="1" w:lastColumn="0" w:noHBand="0" w:noVBand="1"/>
      </w:tblPr>
      <w:tblGrid>
        <w:gridCol w:w="2973"/>
        <w:gridCol w:w="5669"/>
      </w:tblGrid>
      <w:tr w:rsidR="0094644B" w:rsidRPr="00F07779" w14:paraId="63EF9CDF" w14:textId="77777777" w:rsidTr="00FB5086">
        <w:tc>
          <w:tcPr>
            <w:tcW w:w="2973" w:type="dxa"/>
            <w:shd w:val="clear" w:color="auto" w:fill="D9D9D9" w:themeFill="background1" w:themeFillShade="D9"/>
          </w:tcPr>
          <w:p w14:paraId="47FCFE64" w14:textId="77777777" w:rsidR="0094644B" w:rsidRPr="00FA3F57" w:rsidRDefault="0094644B" w:rsidP="00FB5086">
            <w:pPr>
              <w:rPr>
                <w:sz w:val="20"/>
                <w:szCs w:val="20"/>
              </w:rPr>
            </w:pPr>
            <w:r w:rsidRPr="00FA3F57">
              <w:rPr>
                <w:sz w:val="20"/>
                <w:szCs w:val="20"/>
              </w:rPr>
              <w:t>Activity ЕЕ1.4/9.4/10.1</w:t>
            </w:r>
          </w:p>
        </w:tc>
        <w:tc>
          <w:tcPr>
            <w:tcW w:w="5669" w:type="dxa"/>
            <w:shd w:val="clear" w:color="auto" w:fill="D9D9D9" w:themeFill="background1" w:themeFillShade="D9"/>
          </w:tcPr>
          <w:p w14:paraId="4FB8144D" w14:textId="77777777" w:rsidR="0094644B" w:rsidRPr="00FA3F57" w:rsidRDefault="0094644B" w:rsidP="00FB5086">
            <w:pPr>
              <w:rPr>
                <w:sz w:val="20"/>
                <w:szCs w:val="20"/>
              </w:rPr>
            </w:pPr>
            <w:r w:rsidRPr="00FA3F57">
              <w:rPr>
                <w:sz w:val="20"/>
                <w:szCs w:val="20"/>
              </w:rPr>
              <w:t>National program for the energy renovation of public buildings in local self-government units and city municipalities 2024</w:t>
            </w:r>
          </w:p>
        </w:tc>
      </w:tr>
      <w:tr w:rsidR="0094644B" w:rsidRPr="00F07779" w14:paraId="33E04522" w14:textId="77777777" w:rsidTr="00FB5086">
        <w:tc>
          <w:tcPr>
            <w:tcW w:w="2973" w:type="dxa"/>
          </w:tcPr>
          <w:p w14:paraId="7A61FB1D" w14:textId="77777777" w:rsidR="0094644B" w:rsidRPr="00FA3F57" w:rsidRDefault="0094644B" w:rsidP="00FB5086">
            <w:pPr>
              <w:rPr>
                <w:sz w:val="20"/>
                <w:szCs w:val="20"/>
              </w:rPr>
            </w:pPr>
            <w:r w:rsidRPr="00FA3F57">
              <w:rPr>
                <w:sz w:val="20"/>
                <w:szCs w:val="20"/>
              </w:rPr>
              <w:t>Description</w:t>
            </w:r>
          </w:p>
        </w:tc>
        <w:tc>
          <w:tcPr>
            <w:tcW w:w="5669" w:type="dxa"/>
          </w:tcPr>
          <w:p w14:paraId="1BEB7B27" w14:textId="77777777" w:rsidR="0094644B" w:rsidRPr="00FA3F57" w:rsidRDefault="0094644B" w:rsidP="00FB5086">
            <w:pPr>
              <w:rPr>
                <w:sz w:val="20"/>
                <w:szCs w:val="20"/>
              </w:rPr>
            </w:pPr>
            <w:r w:rsidRPr="00FA3F57">
              <w:rPr>
                <w:sz w:val="20"/>
                <w:szCs w:val="20"/>
              </w:rPr>
              <w:t>The public call in 2024 covered 15 schools (13 primary and 2 secondary), 6 administrative buildings (municipal buildings), 5 kindergartens, 3 faculty buildings, 3 buildings and facilities for communal activities, 2 Cultural Center facilities, 1 indoor swimming pool in Obrenovac, 1 health center, 1 library, 1 tourist area, 1 children's resort and 3 public lighting projects throughout Serbia. Measures financed under the program include a combination of building envelope improvements (replacement of facade joinery, installation of thermal insulation on exterior walls, roofs, attics, etc.) and enhancements of thermal-technical systems (replacement of existing boilers with more efficient ones—using biomass or gas—or installation of new boilers, replacement or installation of new piping networks and heating units, etc.).</w:t>
            </w:r>
          </w:p>
        </w:tc>
      </w:tr>
      <w:tr w:rsidR="0094644B" w:rsidRPr="00F07779" w14:paraId="671A2535" w14:textId="77777777" w:rsidTr="00FB5086">
        <w:tc>
          <w:tcPr>
            <w:tcW w:w="2973" w:type="dxa"/>
          </w:tcPr>
          <w:p w14:paraId="3DC90B82" w14:textId="77777777" w:rsidR="0094644B" w:rsidRPr="00FA3F57" w:rsidRDefault="0094644B" w:rsidP="00FB5086">
            <w:pPr>
              <w:rPr>
                <w:sz w:val="20"/>
                <w:szCs w:val="20"/>
              </w:rPr>
            </w:pPr>
            <w:r w:rsidRPr="00FA3F57">
              <w:rPr>
                <w:sz w:val="20"/>
                <w:szCs w:val="20"/>
              </w:rPr>
              <w:t>Institutions responsible for the implementation of measures and activities</w:t>
            </w:r>
          </w:p>
        </w:tc>
        <w:tc>
          <w:tcPr>
            <w:tcW w:w="5669" w:type="dxa"/>
          </w:tcPr>
          <w:p w14:paraId="64CB521E" w14:textId="77777777" w:rsidR="0094644B" w:rsidRPr="00FA3F57" w:rsidRDefault="0094644B" w:rsidP="00FB5086">
            <w:pPr>
              <w:rPr>
                <w:sz w:val="20"/>
                <w:szCs w:val="20"/>
              </w:rPr>
            </w:pPr>
            <w:r w:rsidRPr="00FA3F57">
              <w:rPr>
                <w:sz w:val="20"/>
                <w:szCs w:val="20"/>
              </w:rPr>
              <w:t>Directorate for EE, LSGU</w:t>
            </w:r>
          </w:p>
        </w:tc>
      </w:tr>
      <w:tr w:rsidR="0094644B" w:rsidRPr="00F07779" w14:paraId="2F70E822" w14:textId="77777777" w:rsidTr="00FB5086">
        <w:tc>
          <w:tcPr>
            <w:tcW w:w="2973" w:type="dxa"/>
          </w:tcPr>
          <w:p w14:paraId="71125A10" w14:textId="77777777" w:rsidR="0094644B" w:rsidRPr="00FA3F57" w:rsidRDefault="0094644B" w:rsidP="00FB5086">
            <w:pPr>
              <w:rPr>
                <w:sz w:val="20"/>
                <w:szCs w:val="20"/>
              </w:rPr>
            </w:pPr>
            <w:r w:rsidRPr="00FA3F57">
              <w:rPr>
                <w:sz w:val="20"/>
                <w:szCs w:val="20"/>
              </w:rPr>
              <w:t>Institutions responsible for monitoring implementation and reporting on the realization</w:t>
            </w:r>
          </w:p>
        </w:tc>
        <w:tc>
          <w:tcPr>
            <w:tcW w:w="5669" w:type="dxa"/>
          </w:tcPr>
          <w:p w14:paraId="681602A8" w14:textId="77777777" w:rsidR="0094644B" w:rsidRPr="00FA3F57" w:rsidRDefault="0094644B" w:rsidP="00FB5086">
            <w:pPr>
              <w:rPr>
                <w:sz w:val="20"/>
                <w:szCs w:val="20"/>
              </w:rPr>
            </w:pPr>
            <w:r w:rsidRPr="00FA3F57">
              <w:rPr>
                <w:sz w:val="20"/>
                <w:szCs w:val="20"/>
              </w:rPr>
              <w:t>Directorate for EE, LSGU</w:t>
            </w:r>
          </w:p>
        </w:tc>
      </w:tr>
      <w:tr w:rsidR="0094644B" w:rsidRPr="00F07779" w14:paraId="06106236" w14:textId="77777777" w:rsidTr="00FB5086">
        <w:tc>
          <w:tcPr>
            <w:tcW w:w="2973" w:type="dxa"/>
          </w:tcPr>
          <w:p w14:paraId="198638EB" w14:textId="77777777" w:rsidR="0094644B" w:rsidRPr="00FA3F57" w:rsidRDefault="0094644B" w:rsidP="00FB5086">
            <w:pPr>
              <w:rPr>
                <w:sz w:val="20"/>
                <w:szCs w:val="20"/>
              </w:rPr>
            </w:pPr>
            <w:r w:rsidRPr="00FA3F57">
              <w:rPr>
                <w:sz w:val="20"/>
                <w:szCs w:val="20"/>
              </w:rPr>
              <w:t>Deadline for implementation</w:t>
            </w:r>
          </w:p>
        </w:tc>
        <w:tc>
          <w:tcPr>
            <w:tcW w:w="5669" w:type="dxa"/>
          </w:tcPr>
          <w:p w14:paraId="4D425DAC" w14:textId="77777777" w:rsidR="0094644B" w:rsidRPr="00FA3F57" w:rsidRDefault="0094644B" w:rsidP="00FB5086">
            <w:pPr>
              <w:rPr>
                <w:sz w:val="20"/>
                <w:szCs w:val="20"/>
              </w:rPr>
            </w:pPr>
            <w:r w:rsidRPr="00FA3F57">
              <w:rPr>
                <w:sz w:val="20"/>
                <w:szCs w:val="20"/>
              </w:rPr>
              <w:t xml:space="preserve">The deadline for completion of works under this </w:t>
            </w:r>
            <w:proofErr w:type="gramStart"/>
            <w:r w:rsidRPr="00FA3F57">
              <w:rPr>
                <w:sz w:val="20"/>
                <w:szCs w:val="20"/>
              </w:rPr>
              <w:t>Public</w:t>
            </w:r>
            <w:proofErr w:type="gramEnd"/>
            <w:r w:rsidRPr="00FA3F57">
              <w:rPr>
                <w:sz w:val="20"/>
                <w:szCs w:val="20"/>
              </w:rPr>
              <w:t xml:space="preserve"> call, according to the concluded contracts with LSGU, is July 31, 2025.</w:t>
            </w:r>
          </w:p>
        </w:tc>
      </w:tr>
      <w:tr w:rsidR="0094644B" w:rsidRPr="00F07779" w14:paraId="40DF5EF5" w14:textId="77777777" w:rsidTr="00FB5086">
        <w:tc>
          <w:tcPr>
            <w:tcW w:w="2973" w:type="dxa"/>
          </w:tcPr>
          <w:p w14:paraId="3D94531C" w14:textId="77777777" w:rsidR="0094644B" w:rsidRPr="00FA3F57" w:rsidRDefault="0094644B" w:rsidP="00FB5086">
            <w:pPr>
              <w:rPr>
                <w:sz w:val="20"/>
                <w:szCs w:val="20"/>
              </w:rPr>
            </w:pPr>
            <w:r w:rsidRPr="00FA3F57">
              <w:rPr>
                <w:sz w:val="20"/>
                <w:szCs w:val="20"/>
              </w:rPr>
              <w:t>Required funds and source of financing</w:t>
            </w:r>
          </w:p>
        </w:tc>
        <w:tc>
          <w:tcPr>
            <w:tcW w:w="5669" w:type="dxa"/>
          </w:tcPr>
          <w:p w14:paraId="7E453A6D" w14:textId="77777777" w:rsidR="0094644B" w:rsidRPr="00FA3F57" w:rsidRDefault="0094644B" w:rsidP="00FB5086">
            <w:pPr>
              <w:rPr>
                <w:sz w:val="20"/>
                <w:szCs w:val="20"/>
              </w:rPr>
            </w:pPr>
            <w:r w:rsidRPr="00FA3F57">
              <w:rPr>
                <w:sz w:val="20"/>
                <w:szCs w:val="20"/>
              </w:rPr>
              <w:t>The total value of the project according to signed contracts with 42 LSGU is 1,288,867,597.06 dinars (Directorate: 799,996,943.60 dinars (62.06%), LSGU: 488,870,653.46 dinars (37.94%).</w:t>
            </w:r>
          </w:p>
        </w:tc>
      </w:tr>
      <w:tr w:rsidR="0094644B" w:rsidRPr="00F07779" w14:paraId="36B2DC92" w14:textId="77777777" w:rsidTr="00FB5086">
        <w:tc>
          <w:tcPr>
            <w:tcW w:w="2973" w:type="dxa"/>
          </w:tcPr>
          <w:p w14:paraId="544AC47B" w14:textId="77777777" w:rsidR="0094644B" w:rsidRPr="00FA3F57" w:rsidRDefault="0094644B" w:rsidP="00FB5086">
            <w:pPr>
              <w:rPr>
                <w:sz w:val="20"/>
                <w:szCs w:val="20"/>
              </w:rPr>
            </w:pPr>
            <w:r w:rsidRPr="00FA3F57">
              <w:rPr>
                <w:sz w:val="20"/>
                <w:szCs w:val="20"/>
              </w:rPr>
              <w:t>Implementation indicator</w:t>
            </w:r>
          </w:p>
        </w:tc>
        <w:tc>
          <w:tcPr>
            <w:tcW w:w="5669" w:type="dxa"/>
          </w:tcPr>
          <w:p w14:paraId="5360769A" w14:textId="77777777" w:rsidR="0094644B" w:rsidRPr="00FA3F57" w:rsidRDefault="0094644B" w:rsidP="00FB5086">
            <w:pPr>
              <w:rPr>
                <w:sz w:val="20"/>
                <w:szCs w:val="20"/>
              </w:rPr>
            </w:pPr>
            <w:r w:rsidRPr="00FA3F57">
              <w:rPr>
                <w:sz w:val="20"/>
                <w:szCs w:val="20"/>
              </w:rPr>
              <w:t>LGSUs are required to regularly submit monthly progress reports on the project implementation to the Directorate throughout the project duration, and upon completion, they must provide a final (financial and narrative) report. Field visits by employees from the Directorate.</w:t>
            </w:r>
          </w:p>
        </w:tc>
      </w:tr>
      <w:tr w:rsidR="0094644B" w:rsidRPr="00F07779" w14:paraId="5C516BF2" w14:textId="77777777" w:rsidTr="00FB5086">
        <w:tc>
          <w:tcPr>
            <w:tcW w:w="2973" w:type="dxa"/>
          </w:tcPr>
          <w:p w14:paraId="06C492BA" w14:textId="77777777" w:rsidR="0094644B" w:rsidRPr="00FA3F57" w:rsidRDefault="0094644B" w:rsidP="00FB5086">
            <w:pPr>
              <w:rPr>
                <w:sz w:val="20"/>
                <w:szCs w:val="20"/>
              </w:rPr>
            </w:pPr>
            <w:r w:rsidRPr="00FA3F57">
              <w:rPr>
                <w:sz w:val="20"/>
                <w:szCs w:val="20"/>
              </w:rPr>
              <w:t>Impact of the activity on the achievement of the objective</w:t>
            </w:r>
          </w:p>
        </w:tc>
        <w:tc>
          <w:tcPr>
            <w:tcW w:w="5669" w:type="dxa"/>
          </w:tcPr>
          <w:p w14:paraId="3E3D9A33" w14:textId="77777777" w:rsidR="0094644B" w:rsidRPr="00FA3F57" w:rsidRDefault="0094644B" w:rsidP="00FB5086">
            <w:pPr>
              <w:rPr>
                <w:sz w:val="20"/>
                <w:szCs w:val="20"/>
              </w:rPr>
            </w:pPr>
            <w:r w:rsidRPr="00FA3F57">
              <w:rPr>
                <w:sz w:val="20"/>
                <w:szCs w:val="20"/>
              </w:rPr>
              <w:t>The primary goal of the project is to improve energy efficiency in public buildings while reducing energy costs and CO</w:t>
            </w:r>
            <w:r w:rsidRPr="00FA3F57">
              <w:rPr>
                <w:sz w:val="20"/>
                <w:szCs w:val="20"/>
                <w:vertAlign w:val="subscript"/>
              </w:rPr>
              <w:t>2</w:t>
            </w:r>
            <w:r w:rsidRPr="00FA3F57">
              <w:rPr>
                <w:sz w:val="20"/>
                <w:szCs w:val="20"/>
              </w:rPr>
              <w:t xml:space="preserve"> emissions.</w:t>
            </w:r>
          </w:p>
        </w:tc>
      </w:tr>
      <w:tr w:rsidR="0094644B" w:rsidRPr="00F07779" w14:paraId="0671617A" w14:textId="77777777" w:rsidTr="00FB5086">
        <w:tc>
          <w:tcPr>
            <w:tcW w:w="2973" w:type="dxa"/>
          </w:tcPr>
          <w:p w14:paraId="3AA6FF73" w14:textId="77777777" w:rsidR="0094644B" w:rsidRPr="00FA3F57" w:rsidRDefault="0094644B" w:rsidP="00FB5086">
            <w:pPr>
              <w:rPr>
                <w:sz w:val="20"/>
                <w:szCs w:val="20"/>
              </w:rPr>
            </w:pPr>
            <w:r w:rsidRPr="00FA3F57">
              <w:rPr>
                <w:sz w:val="20"/>
                <w:szCs w:val="20"/>
              </w:rPr>
              <w:t>Impact on EE, climate, and environmental protection</w:t>
            </w:r>
          </w:p>
        </w:tc>
        <w:tc>
          <w:tcPr>
            <w:tcW w:w="5669" w:type="dxa"/>
          </w:tcPr>
          <w:p w14:paraId="33A2C521" w14:textId="77777777" w:rsidR="0094644B" w:rsidRPr="00FA3F57" w:rsidRDefault="0094644B" w:rsidP="00FB5086">
            <w:pPr>
              <w:rPr>
                <w:sz w:val="20"/>
                <w:szCs w:val="20"/>
              </w:rPr>
            </w:pPr>
            <w:r w:rsidRPr="00FA3F57">
              <w:rPr>
                <w:sz w:val="20"/>
                <w:szCs w:val="20"/>
              </w:rPr>
              <w:t>The implementation of this project is expected to save approximately 9 million kWh annually (rough estimate), with a reduction of around 5,500 tons of CO</w:t>
            </w:r>
            <w:r w:rsidRPr="00FA3F57">
              <w:rPr>
                <w:sz w:val="20"/>
                <w:szCs w:val="20"/>
                <w:vertAlign w:val="subscript"/>
              </w:rPr>
              <w:t>2</w:t>
            </w:r>
            <w:r w:rsidRPr="00FA3F57">
              <w:rPr>
                <w:sz w:val="20"/>
                <w:szCs w:val="20"/>
              </w:rPr>
              <w:t xml:space="preserve"> emissions per year.</w:t>
            </w:r>
          </w:p>
        </w:tc>
      </w:tr>
    </w:tbl>
    <w:p w14:paraId="46B53AAB" w14:textId="77777777" w:rsidR="0094644B" w:rsidRPr="00FA3F57" w:rsidRDefault="0094644B" w:rsidP="0094644B">
      <w:pPr>
        <w:tabs>
          <w:tab w:val="left" w:pos="1560"/>
        </w:tabs>
      </w:pPr>
    </w:p>
    <w:p w14:paraId="3198988D" w14:textId="77777777" w:rsidR="0094644B" w:rsidRPr="00FA3F57" w:rsidRDefault="0094644B" w:rsidP="0094644B">
      <w:pPr>
        <w:keepNext/>
        <w:tabs>
          <w:tab w:val="left" w:pos="1560"/>
        </w:tabs>
      </w:pPr>
      <w:r w:rsidRPr="00FA3F57">
        <w:lastRenderedPageBreak/>
        <w:t>Table 5.4.3-5:</w:t>
      </w:r>
      <w:r w:rsidRPr="00FA3F57">
        <w:tab/>
        <w:t>Activity for the implementation of the measure EE1 - Activity ЕЕ1.5/9.5</w:t>
      </w:r>
    </w:p>
    <w:tbl>
      <w:tblPr>
        <w:tblStyle w:val="TableGrid"/>
        <w:tblW w:w="0" w:type="auto"/>
        <w:tblLook w:val="04A0" w:firstRow="1" w:lastRow="0" w:firstColumn="1" w:lastColumn="0" w:noHBand="0" w:noVBand="1"/>
      </w:tblPr>
      <w:tblGrid>
        <w:gridCol w:w="2973"/>
        <w:gridCol w:w="5669"/>
      </w:tblGrid>
      <w:tr w:rsidR="0094644B" w:rsidRPr="00F07779" w14:paraId="0956C979" w14:textId="77777777" w:rsidTr="00FB5086">
        <w:tc>
          <w:tcPr>
            <w:tcW w:w="2973" w:type="dxa"/>
            <w:shd w:val="clear" w:color="auto" w:fill="D9D9D9" w:themeFill="background1" w:themeFillShade="D9"/>
          </w:tcPr>
          <w:p w14:paraId="46211850" w14:textId="77777777" w:rsidR="0094644B" w:rsidRPr="00FA3F57" w:rsidRDefault="0094644B" w:rsidP="00FB5086">
            <w:pPr>
              <w:keepNext/>
              <w:rPr>
                <w:sz w:val="20"/>
                <w:szCs w:val="20"/>
              </w:rPr>
            </w:pPr>
            <w:r w:rsidRPr="00FA3F57">
              <w:rPr>
                <w:sz w:val="20"/>
                <w:szCs w:val="20"/>
              </w:rPr>
              <w:t>Activity ЕЕ1.5/9.5</w:t>
            </w:r>
          </w:p>
        </w:tc>
        <w:tc>
          <w:tcPr>
            <w:tcW w:w="5669" w:type="dxa"/>
            <w:shd w:val="clear" w:color="auto" w:fill="D9D9D9" w:themeFill="background1" w:themeFillShade="D9"/>
          </w:tcPr>
          <w:p w14:paraId="7EAE8CA6" w14:textId="77777777" w:rsidR="0094644B" w:rsidRPr="00FA3F57" w:rsidRDefault="0094644B" w:rsidP="00FB5086">
            <w:pPr>
              <w:keepNext/>
              <w:rPr>
                <w:sz w:val="20"/>
                <w:szCs w:val="20"/>
              </w:rPr>
            </w:pPr>
            <w:r w:rsidRPr="00FA3F57">
              <w:rPr>
                <w:sz w:val="20"/>
                <w:szCs w:val="20"/>
              </w:rPr>
              <w:t>National program for the installation of solar panels and associated equipment for electricity generation for own use in public buildings within local self-government units, as well as city municipalities, 2024</w:t>
            </w:r>
          </w:p>
        </w:tc>
      </w:tr>
      <w:tr w:rsidR="0094644B" w:rsidRPr="00F07779" w14:paraId="79DCAD37" w14:textId="77777777" w:rsidTr="00FB5086">
        <w:tc>
          <w:tcPr>
            <w:tcW w:w="2973" w:type="dxa"/>
          </w:tcPr>
          <w:p w14:paraId="617BE286" w14:textId="77777777" w:rsidR="0094644B" w:rsidRPr="00FA3F57" w:rsidRDefault="0094644B" w:rsidP="00FB5086">
            <w:pPr>
              <w:rPr>
                <w:sz w:val="20"/>
                <w:szCs w:val="20"/>
              </w:rPr>
            </w:pPr>
            <w:r w:rsidRPr="00FA3F57">
              <w:rPr>
                <w:sz w:val="20"/>
                <w:szCs w:val="20"/>
              </w:rPr>
              <w:t>Description</w:t>
            </w:r>
          </w:p>
        </w:tc>
        <w:tc>
          <w:tcPr>
            <w:tcW w:w="5669" w:type="dxa"/>
          </w:tcPr>
          <w:p w14:paraId="68AE1807" w14:textId="77777777" w:rsidR="0094644B" w:rsidRPr="00FA3F57" w:rsidRDefault="0094644B" w:rsidP="00FB5086">
            <w:pPr>
              <w:rPr>
                <w:sz w:val="20"/>
                <w:szCs w:val="20"/>
              </w:rPr>
            </w:pPr>
            <w:r w:rsidRPr="00FA3F57">
              <w:rPr>
                <w:sz w:val="20"/>
                <w:szCs w:val="20"/>
              </w:rPr>
              <w:t xml:space="preserve">The Directorate for Financing and Promotion of Energy Efficiency, an entity within the Ministry of Mining and Energy, annually issues a </w:t>
            </w:r>
            <w:proofErr w:type="gramStart"/>
            <w:r w:rsidRPr="00FA3F57">
              <w:rPr>
                <w:sz w:val="20"/>
                <w:szCs w:val="20"/>
              </w:rPr>
              <w:t>Public</w:t>
            </w:r>
            <w:proofErr w:type="gramEnd"/>
            <w:r w:rsidRPr="00FA3F57">
              <w:rPr>
                <w:sz w:val="20"/>
                <w:szCs w:val="20"/>
              </w:rPr>
              <w:t xml:space="preserve"> call for the allocation of funds to finance projects involving the installation of solar panels and related equipment for the self-generation of electricity in public buildings within local self-government units and city municipalities. Through the 2024 Public call, funding was awarded to 11 primary schools, 4 kindergartens or preschool institutions, 4 sports halls, 4 utility company facilities, 3 administrative buildings, 2 sports swimming pool complexes, 1 building of the Center for Social Work in Leskovac, and 1 building of the Nature Center.</w:t>
            </w:r>
          </w:p>
        </w:tc>
      </w:tr>
      <w:tr w:rsidR="0094644B" w:rsidRPr="00F07779" w14:paraId="4304EBA9" w14:textId="77777777" w:rsidTr="00FB5086">
        <w:tc>
          <w:tcPr>
            <w:tcW w:w="2973" w:type="dxa"/>
          </w:tcPr>
          <w:p w14:paraId="21EE0DAB" w14:textId="77777777" w:rsidR="0094644B" w:rsidRPr="00FA3F57" w:rsidRDefault="0094644B" w:rsidP="00FB5086">
            <w:pPr>
              <w:rPr>
                <w:sz w:val="20"/>
                <w:szCs w:val="20"/>
              </w:rPr>
            </w:pPr>
            <w:r w:rsidRPr="00FA3F57">
              <w:rPr>
                <w:sz w:val="20"/>
                <w:szCs w:val="20"/>
              </w:rPr>
              <w:t>Institutions responsible for the implementation of measures and activities</w:t>
            </w:r>
          </w:p>
        </w:tc>
        <w:tc>
          <w:tcPr>
            <w:tcW w:w="5669" w:type="dxa"/>
          </w:tcPr>
          <w:p w14:paraId="448F282C" w14:textId="77777777" w:rsidR="0094644B" w:rsidRPr="00FA3F57" w:rsidRDefault="0094644B" w:rsidP="00FB5086">
            <w:pPr>
              <w:rPr>
                <w:sz w:val="20"/>
                <w:szCs w:val="20"/>
              </w:rPr>
            </w:pPr>
            <w:r w:rsidRPr="00FA3F57">
              <w:rPr>
                <w:sz w:val="20"/>
                <w:szCs w:val="20"/>
              </w:rPr>
              <w:t>Directorate for EE, LSGUs</w:t>
            </w:r>
          </w:p>
        </w:tc>
      </w:tr>
      <w:tr w:rsidR="0094644B" w:rsidRPr="00F07779" w14:paraId="6604BE65" w14:textId="77777777" w:rsidTr="00FB5086">
        <w:tc>
          <w:tcPr>
            <w:tcW w:w="2973" w:type="dxa"/>
          </w:tcPr>
          <w:p w14:paraId="2ED19DC5" w14:textId="77777777" w:rsidR="0094644B" w:rsidRPr="00FA3F57" w:rsidRDefault="0094644B" w:rsidP="00FB5086">
            <w:pPr>
              <w:rPr>
                <w:sz w:val="20"/>
                <w:szCs w:val="20"/>
              </w:rPr>
            </w:pPr>
            <w:r w:rsidRPr="00FA3F57">
              <w:rPr>
                <w:sz w:val="20"/>
                <w:szCs w:val="20"/>
              </w:rPr>
              <w:t>Institutions responsible for monitoring implementation and reporting on the realization</w:t>
            </w:r>
          </w:p>
        </w:tc>
        <w:tc>
          <w:tcPr>
            <w:tcW w:w="5669" w:type="dxa"/>
          </w:tcPr>
          <w:p w14:paraId="3A9E4D35" w14:textId="77777777" w:rsidR="0094644B" w:rsidRPr="00FA3F57" w:rsidRDefault="0094644B" w:rsidP="00FB5086">
            <w:pPr>
              <w:rPr>
                <w:sz w:val="20"/>
                <w:szCs w:val="20"/>
              </w:rPr>
            </w:pPr>
            <w:r w:rsidRPr="00FA3F57">
              <w:rPr>
                <w:sz w:val="20"/>
                <w:szCs w:val="20"/>
              </w:rPr>
              <w:t>Directorate for EE, LSGUs</w:t>
            </w:r>
          </w:p>
        </w:tc>
      </w:tr>
      <w:tr w:rsidR="0094644B" w:rsidRPr="00F07779" w14:paraId="529800A8" w14:textId="77777777" w:rsidTr="00FB5086">
        <w:tc>
          <w:tcPr>
            <w:tcW w:w="2973" w:type="dxa"/>
          </w:tcPr>
          <w:p w14:paraId="5F092838" w14:textId="77777777" w:rsidR="0094644B" w:rsidRPr="00FA3F57" w:rsidRDefault="0094644B" w:rsidP="00FB5086">
            <w:pPr>
              <w:rPr>
                <w:sz w:val="20"/>
                <w:szCs w:val="20"/>
              </w:rPr>
            </w:pPr>
            <w:r w:rsidRPr="00FA3F57">
              <w:rPr>
                <w:sz w:val="20"/>
                <w:szCs w:val="20"/>
              </w:rPr>
              <w:t>Deadline for implementation</w:t>
            </w:r>
          </w:p>
        </w:tc>
        <w:tc>
          <w:tcPr>
            <w:tcW w:w="5669" w:type="dxa"/>
          </w:tcPr>
          <w:p w14:paraId="7D58CC06" w14:textId="77777777" w:rsidR="0094644B" w:rsidRPr="00FA3F57" w:rsidRDefault="0094644B" w:rsidP="00FB5086">
            <w:pPr>
              <w:rPr>
                <w:sz w:val="20"/>
                <w:szCs w:val="20"/>
              </w:rPr>
            </w:pPr>
            <w:r w:rsidRPr="00FA3F57">
              <w:rPr>
                <w:sz w:val="20"/>
                <w:szCs w:val="20"/>
              </w:rPr>
              <w:t xml:space="preserve">The deadline for completion of </w:t>
            </w:r>
            <w:proofErr w:type="gramStart"/>
            <w:r w:rsidRPr="00FA3F57">
              <w:rPr>
                <w:sz w:val="20"/>
                <w:szCs w:val="20"/>
              </w:rPr>
              <w:t>works</w:t>
            </w:r>
            <w:proofErr w:type="gramEnd"/>
            <w:r w:rsidRPr="00FA3F57">
              <w:rPr>
                <w:sz w:val="20"/>
                <w:szCs w:val="20"/>
              </w:rPr>
              <w:t xml:space="preserve"> under this </w:t>
            </w:r>
            <w:proofErr w:type="gramStart"/>
            <w:r w:rsidRPr="00FA3F57">
              <w:rPr>
                <w:sz w:val="20"/>
                <w:szCs w:val="20"/>
              </w:rPr>
              <w:t>Public</w:t>
            </w:r>
            <w:proofErr w:type="gramEnd"/>
            <w:r w:rsidRPr="00FA3F57">
              <w:rPr>
                <w:sz w:val="20"/>
                <w:szCs w:val="20"/>
              </w:rPr>
              <w:t xml:space="preserve"> call, according to the concluded contracts with LSGUs, is December 2025.</w:t>
            </w:r>
          </w:p>
        </w:tc>
      </w:tr>
      <w:tr w:rsidR="0094644B" w:rsidRPr="00F07779" w14:paraId="77ECA2D9" w14:textId="77777777" w:rsidTr="00FB5086">
        <w:tc>
          <w:tcPr>
            <w:tcW w:w="2973" w:type="dxa"/>
          </w:tcPr>
          <w:p w14:paraId="2C5E1E40" w14:textId="77777777" w:rsidR="0094644B" w:rsidRPr="00FA3F57" w:rsidRDefault="0094644B" w:rsidP="00FB5086">
            <w:pPr>
              <w:rPr>
                <w:sz w:val="20"/>
                <w:szCs w:val="20"/>
              </w:rPr>
            </w:pPr>
            <w:r w:rsidRPr="00FA3F57">
              <w:rPr>
                <w:sz w:val="20"/>
                <w:szCs w:val="20"/>
              </w:rPr>
              <w:t>Required funds and source of financing</w:t>
            </w:r>
          </w:p>
        </w:tc>
        <w:tc>
          <w:tcPr>
            <w:tcW w:w="5669" w:type="dxa"/>
          </w:tcPr>
          <w:p w14:paraId="31BB4256" w14:textId="77777777" w:rsidR="0094644B" w:rsidRPr="00FA3F57" w:rsidRDefault="0094644B" w:rsidP="00FB5086">
            <w:pPr>
              <w:rPr>
                <w:sz w:val="20"/>
                <w:szCs w:val="20"/>
              </w:rPr>
            </w:pPr>
            <w:r w:rsidRPr="00FA3F57">
              <w:rPr>
                <w:sz w:val="20"/>
                <w:szCs w:val="20"/>
              </w:rPr>
              <w:t>The total value of the project according to signed contracts with 30 LSGUs is 195,309,301.55 dinars (Directorate: 168,013,534.64 dinars (86%), LSGUs: 27,295,767.00 dinars (14%).</w:t>
            </w:r>
          </w:p>
        </w:tc>
      </w:tr>
      <w:tr w:rsidR="0094644B" w:rsidRPr="00F07779" w14:paraId="04A7A044" w14:textId="77777777" w:rsidTr="00FB5086">
        <w:tc>
          <w:tcPr>
            <w:tcW w:w="2973" w:type="dxa"/>
          </w:tcPr>
          <w:p w14:paraId="4C305538" w14:textId="77777777" w:rsidR="0094644B" w:rsidRPr="00FA3F57" w:rsidRDefault="0094644B" w:rsidP="00FB5086">
            <w:pPr>
              <w:rPr>
                <w:sz w:val="20"/>
                <w:szCs w:val="20"/>
              </w:rPr>
            </w:pPr>
            <w:r w:rsidRPr="00FA3F57">
              <w:rPr>
                <w:sz w:val="20"/>
                <w:szCs w:val="20"/>
              </w:rPr>
              <w:t>Implementation indicator</w:t>
            </w:r>
          </w:p>
        </w:tc>
        <w:tc>
          <w:tcPr>
            <w:tcW w:w="5669" w:type="dxa"/>
          </w:tcPr>
          <w:p w14:paraId="75421EE1" w14:textId="77777777" w:rsidR="0094644B" w:rsidRPr="00FA3F57" w:rsidRDefault="0094644B" w:rsidP="00FB5086">
            <w:pPr>
              <w:rPr>
                <w:sz w:val="20"/>
                <w:szCs w:val="20"/>
              </w:rPr>
            </w:pPr>
            <w:r w:rsidRPr="00FA3F57">
              <w:rPr>
                <w:sz w:val="20"/>
                <w:szCs w:val="20"/>
              </w:rPr>
              <w:t>LGSUs are required to regularly submit monthly progress reports on the project implementation to the Directorate throughout the project duration, and upon completion, they must provide a final (financial and narrative) report.</w:t>
            </w:r>
          </w:p>
        </w:tc>
      </w:tr>
      <w:tr w:rsidR="0094644B" w:rsidRPr="00F07779" w14:paraId="1D452360" w14:textId="77777777" w:rsidTr="00FB5086">
        <w:tc>
          <w:tcPr>
            <w:tcW w:w="2973" w:type="dxa"/>
          </w:tcPr>
          <w:p w14:paraId="2DBC145D" w14:textId="77777777" w:rsidR="0094644B" w:rsidRPr="00FA3F57" w:rsidRDefault="0094644B" w:rsidP="00FB5086">
            <w:pPr>
              <w:rPr>
                <w:sz w:val="20"/>
                <w:szCs w:val="20"/>
              </w:rPr>
            </w:pPr>
            <w:r w:rsidRPr="00FA3F57">
              <w:rPr>
                <w:sz w:val="20"/>
                <w:szCs w:val="20"/>
              </w:rPr>
              <w:t>Impact of the activity on the achievement of the objective</w:t>
            </w:r>
          </w:p>
        </w:tc>
        <w:tc>
          <w:tcPr>
            <w:tcW w:w="5669" w:type="dxa"/>
          </w:tcPr>
          <w:p w14:paraId="23660E73" w14:textId="77777777" w:rsidR="0094644B" w:rsidRPr="00FA3F57" w:rsidRDefault="0094644B" w:rsidP="00FB5086">
            <w:pPr>
              <w:rPr>
                <w:sz w:val="20"/>
                <w:szCs w:val="20"/>
              </w:rPr>
            </w:pPr>
            <w:r w:rsidRPr="00FA3F57">
              <w:rPr>
                <w:sz w:val="20"/>
                <w:szCs w:val="20"/>
              </w:rPr>
              <w:t>The implementation of the project will contribute to improving the security of energy supply and reducing the impact of the energy sector on the environment and climate change. Field visits by employees from the Directorate.</w:t>
            </w:r>
          </w:p>
        </w:tc>
      </w:tr>
    </w:tbl>
    <w:p w14:paraId="006AEC4D" w14:textId="77777777" w:rsidR="0094644B" w:rsidRPr="00FA3F57" w:rsidRDefault="0094644B" w:rsidP="0094644B"/>
    <w:p w14:paraId="20F7F1F5" w14:textId="77777777" w:rsidR="0094644B" w:rsidRPr="00FA3F57" w:rsidRDefault="0094644B" w:rsidP="0094644B">
      <w:pPr>
        <w:keepNext/>
        <w:tabs>
          <w:tab w:val="left" w:pos="1560"/>
        </w:tabs>
      </w:pPr>
      <w:r w:rsidRPr="00FA3F57">
        <w:t>Table 5.4.3-6:</w:t>
      </w:r>
      <w:r w:rsidRPr="00FA3F57">
        <w:tab/>
        <w:t>Activity for the implementation of the measure EE1 - Activity ЕЕ1.6/9.6/10.2</w:t>
      </w:r>
    </w:p>
    <w:tbl>
      <w:tblPr>
        <w:tblStyle w:val="TableGrid"/>
        <w:tblW w:w="0" w:type="auto"/>
        <w:tblLook w:val="04A0" w:firstRow="1" w:lastRow="0" w:firstColumn="1" w:lastColumn="0" w:noHBand="0" w:noVBand="1"/>
      </w:tblPr>
      <w:tblGrid>
        <w:gridCol w:w="2973"/>
        <w:gridCol w:w="5669"/>
      </w:tblGrid>
      <w:tr w:rsidR="0094644B" w:rsidRPr="00F07779" w14:paraId="6B99DAC1" w14:textId="77777777" w:rsidTr="00FB5086">
        <w:tc>
          <w:tcPr>
            <w:tcW w:w="2973" w:type="dxa"/>
            <w:shd w:val="clear" w:color="auto" w:fill="D9D9D9" w:themeFill="background1" w:themeFillShade="D9"/>
          </w:tcPr>
          <w:p w14:paraId="630A0F62" w14:textId="77777777" w:rsidR="0094644B" w:rsidRPr="00FA3F57" w:rsidRDefault="0094644B" w:rsidP="00FB5086">
            <w:pPr>
              <w:keepNext/>
              <w:rPr>
                <w:sz w:val="20"/>
                <w:szCs w:val="20"/>
              </w:rPr>
            </w:pPr>
            <w:r w:rsidRPr="00FA3F57">
              <w:rPr>
                <w:sz w:val="20"/>
                <w:szCs w:val="20"/>
              </w:rPr>
              <w:t>Activity ЕЕ1.6/9.6/10.2</w:t>
            </w:r>
          </w:p>
        </w:tc>
        <w:tc>
          <w:tcPr>
            <w:tcW w:w="5669" w:type="dxa"/>
            <w:shd w:val="clear" w:color="auto" w:fill="D9D9D9" w:themeFill="background1" w:themeFillShade="D9"/>
          </w:tcPr>
          <w:p w14:paraId="13FCFD9B" w14:textId="77777777" w:rsidR="0094644B" w:rsidRPr="00FA3F57" w:rsidRDefault="0094644B" w:rsidP="00FB5086">
            <w:pPr>
              <w:rPr>
                <w:sz w:val="20"/>
                <w:szCs w:val="20"/>
              </w:rPr>
            </w:pPr>
            <w:r w:rsidRPr="00FA3F57">
              <w:rPr>
                <w:sz w:val="20"/>
                <w:szCs w:val="20"/>
              </w:rPr>
              <w:t>National program for energy renovation of public buildings in local government units, as well as city municipalities, in 2025-2028</w:t>
            </w:r>
          </w:p>
        </w:tc>
      </w:tr>
      <w:tr w:rsidR="0094644B" w:rsidRPr="00F07779" w14:paraId="4275F025" w14:textId="77777777" w:rsidTr="00FB5086">
        <w:tc>
          <w:tcPr>
            <w:tcW w:w="2973" w:type="dxa"/>
          </w:tcPr>
          <w:p w14:paraId="086A07D7" w14:textId="77777777" w:rsidR="0094644B" w:rsidRPr="00FA3F57" w:rsidRDefault="0094644B" w:rsidP="00FB5086">
            <w:pPr>
              <w:rPr>
                <w:sz w:val="20"/>
                <w:szCs w:val="20"/>
              </w:rPr>
            </w:pPr>
            <w:r w:rsidRPr="00FA3F57">
              <w:rPr>
                <w:sz w:val="20"/>
                <w:szCs w:val="20"/>
              </w:rPr>
              <w:t>Description</w:t>
            </w:r>
          </w:p>
        </w:tc>
        <w:tc>
          <w:tcPr>
            <w:tcW w:w="5669" w:type="dxa"/>
          </w:tcPr>
          <w:p w14:paraId="66BB81F8" w14:textId="77777777" w:rsidR="0094644B" w:rsidRPr="00FA3F57" w:rsidRDefault="0094644B" w:rsidP="00FB5086">
            <w:pPr>
              <w:rPr>
                <w:sz w:val="20"/>
                <w:szCs w:val="20"/>
              </w:rPr>
            </w:pPr>
            <w:r w:rsidRPr="00FA3F57">
              <w:rPr>
                <w:sz w:val="20"/>
                <w:szCs w:val="20"/>
              </w:rPr>
              <w:t>Measures financed under the project include a combination of thermal envelope improvements (replacement of facade joinery, installation of thermal insulation on external walls, roofs, attics, etc.) and enhancements of thermal-technical systems (replacement of existing boilers with more efficient ones—biomass or gas—or installation of new boilers, replacement or installation of new piping networks and heating devices, installation of circulation pumps and thermostatic valves, installation of heat pumps, replacement or installation of new efficient air conditioning or ventilation systems, equipment for remote control and automatic regulation of thermal-technical systems, replacement or installation of new central hot water preparation systems), installation of solar panels and associated equipment for electricity generation, etc. he Directorate's participation amounts to 70% of the total project value, while the LGSU contribute 30%. LGSUs could receive 100% of the incentive funds.</w:t>
            </w:r>
          </w:p>
        </w:tc>
      </w:tr>
      <w:tr w:rsidR="0094644B" w:rsidRPr="00F07779" w14:paraId="70B5F16D" w14:textId="77777777" w:rsidTr="00FB5086">
        <w:tc>
          <w:tcPr>
            <w:tcW w:w="2973" w:type="dxa"/>
          </w:tcPr>
          <w:p w14:paraId="418A883E" w14:textId="77777777" w:rsidR="0094644B" w:rsidRPr="00FA3F57" w:rsidRDefault="0094644B" w:rsidP="00FB5086">
            <w:pPr>
              <w:rPr>
                <w:sz w:val="20"/>
                <w:szCs w:val="20"/>
              </w:rPr>
            </w:pPr>
            <w:r w:rsidRPr="00FA3F57">
              <w:rPr>
                <w:sz w:val="20"/>
                <w:szCs w:val="20"/>
              </w:rPr>
              <w:t>Institutions responsible for the implementation of measures and activities</w:t>
            </w:r>
          </w:p>
        </w:tc>
        <w:tc>
          <w:tcPr>
            <w:tcW w:w="5669" w:type="dxa"/>
          </w:tcPr>
          <w:p w14:paraId="7A999354" w14:textId="77777777" w:rsidR="0094644B" w:rsidRPr="00FA3F57" w:rsidRDefault="0094644B" w:rsidP="00FB5086">
            <w:pPr>
              <w:rPr>
                <w:sz w:val="20"/>
                <w:szCs w:val="20"/>
              </w:rPr>
            </w:pPr>
            <w:r w:rsidRPr="00FA3F57">
              <w:rPr>
                <w:sz w:val="20"/>
                <w:szCs w:val="20"/>
              </w:rPr>
              <w:t>Directorate for EE, LSGUs</w:t>
            </w:r>
          </w:p>
        </w:tc>
      </w:tr>
      <w:tr w:rsidR="0094644B" w:rsidRPr="00F07779" w14:paraId="4800D8B4" w14:textId="77777777" w:rsidTr="00FB5086">
        <w:tc>
          <w:tcPr>
            <w:tcW w:w="2973" w:type="dxa"/>
          </w:tcPr>
          <w:p w14:paraId="0EFBE2CE" w14:textId="77777777" w:rsidR="0094644B" w:rsidRPr="00FA3F57" w:rsidRDefault="0094644B" w:rsidP="00FB5086">
            <w:pPr>
              <w:rPr>
                <w:sz w:val="20"/>
                <w:szCs w:val="20"/>
              </w:rPr>
            </w:pPr>
            <w:r w:rsidRPr="00FA3F57">
              <w:rPr>
                <w:sz w:val="20"/>
                <w:szCs w:val="20"/>
              </w:rPr>
              <w:lastRenderedPageBreak/>
              <w:t>Institutions responsible for monitoring implementation and reporting on the realization</w:t>
            </w:r>
          </w:p>
        </w:tc>
        <w:tc>
          <w:tcPr>
            <w:tcW w:w="5669" w:type="dxa"/>
          </w:tcPr>
          <w:p w14:paraId="7038A438" w14:textId="77777777" w:rsidR="0094644B" w:rsidRPr="00FA3F57" w:rsidRDefault="0094644B" w:rsidP="00FB5086">
            <w:pPr>
              <w:rPr>
                <w:sz w:val="20"/>
                <w:szCs w:val="20"/>
              </w:rPr>
            </w:pPr>
            <w:r w:rsidRPr="00FA3F57">
              <w:rPr>
                <w:sz w:val="20"/>
                <w:szCs w:val="20"/>
              </w:rPr>
              <w:t>Directorate for EE, LSGU</w:t>
            </w:r>
          </w:p>
        </w:tc>
      </w:tr>
      <w:tr w:rsidR="0094644B" w:rsidRPr="00F07779" w14:paraId="4E9F23F1" w14:textId="77777777" w:rsidTr="00FB5086">
        <w:tc>
          <w:tcPr>
            <w:tcW w:w="2973" w:type="dxa"/>
          </w:tcPr>
          <w:p w14:paraId="63863BA5" w14:textId="77777777" w:rsidR="0094644B" w:rsidRPr="00FA3F57" w:rsidRDefault="0094644B" w:rsidP="00FB5086">
            <w:pPr>
              <w:rPr>
                <w:sz w:val="20"/>
                <w:szCs w:val="20"/>
              </w:rPr>
            </w:pPr>
            <w:r w:rsidRPr="00FA3F57">
              <w:rPr>
                <w:sz w:val="20"/>
                <w:szCs w:val="20"/>
              </w:rPr>
              <w:t>Deadline for implementation</w:t>
            </w:r>
          </w:p>
        </w:tc>
        <w:tc>
          <w:tcPr>
            <w:tcW w:w="5669" w:type="dxa"/>
          </w:tcPr>
          <w:p w14:paraId="2FAB0302" w14:textId="77777777" w:rsidR="0094644B" w:rsidRPr="00FA3F57" w:rsidRDefault="0094644B" w:rsidP="00FB5086">
            <w:pPr>
              <w:rPr>
                <w:sz w:val="20"/>
                <w:szCs w:val="20"/>
              </w:rPr>
            </w:pPr>
            <w:r w:rsidRPr="00FA3F57">
              <w:rPr>
                <w:sz w:val="20"/>
                <w:szCs w:val="20"/>
              </w:rPr>
              <w:t>The deadline for completion of work under this program is one year from the date of conclusion of the contract.</w:t>
            </w:r>
          </w:p>
        </w:tc>
      </w:tr>
      <w:tr w:rsidR="0094644B" w:rsidRPr="00F07779" w14:paraId="69F29215" w14:textId="77777777" w:rsidTr="00FB5086">
        <w:tc>
          <w:tcPr>
            <w:tcW w:w="2973" w:type="dxa"/>
          </w:tcPr>
          <w:p w14:paraId="4A32A194" w14:textId="77777777" w:rsidR="0094644B" w:rsidRPr="00FA3F57" w:rsidRDefault="0094644B" w:rsidP="00FB5086">
            <w:pPr>
              <w:rPr>
                <w:sz w:val="20"/>
                <w:szCs w:val="20"/>
              </w:rPr>
            </w:pPr>
            <w:r w:rsidRPr="00FA3F57">
              <w:rPr>
                <w:sz w:val="20"/>
                <w:szCs w:val="20"/>
              </w:rPr>
              <w:t>Required funds and source of financing</w:t>
            </w:r>
          </w:p>
        </w:tc>
        <w:tc>
          <w:tcPr>
            <w:tcW w:w="5669" w:type="dxa"/>
          </w:tcPr>
          <w:p w14:paraId="136D7A1E" w14:textId="77777777" w:rsidR="0094644B" w:rsidRPr="00FA3F57" w:rsidRDefault="0094644B" w:rsidP="00FB5086">
            <w:pPr>
              <w:rPr>
                <w:sz w:val="20"/>
                <w:szCs w:val="20"/>
              </w:rPr>
            </w:pPr>
            <w:r w:rsidRPr="00FA3F57">
              <w:rPr>
                <w:sz w:val="20"/>
                <w:szCs w:val="20"/>
              </w:rPr>
              <w:t>Budget of the Republic of Serbia</w:t>
            </w:r>
          </w:p>
        </w:tc>
      </w:tr>
      <w:tr w:rsidR="0094644B" w:rsidRPr="00F07779" w14:paraId="56022695" w14:textId="77777777" w:rsidTr="00FB5086">
        <w:tc>
          <w:tcPr>
            <w:tcW w:w="2973" w:type="dxa"/>
          </w:tcPr>
          <w:p w14:paraId="19DB30E2" w14:textId="77777777" w:rsidR="0094644B" w:rsidRPr="00FA3F57" w:rsidRDefault="0094644B" w:rsidP="00FB5086">
            <w:pPr>
              <w:rPr>
                <w:sz w:val="20"/>
                <w:szCs w:val="20"/>
              </w:rPr>
            </w:pPr>
            <w:r w:rsidRPr="00FA3F57">
              <w:rPr>
                <w:sz w:val="20"/>
                <w:szCs w:val="20"/>
              </w:rPr>
              <w:t>Implementation indicator</w:t>
            </w:r>
          </w:p>
        </w:tc>
        <w:tc>
          <w:tcPr>
            <w:tcW w:w="5669" w:type="dxa"/>
          </w:tcPr>
          <w:p w14:paraId="08EF0E3E" w14:textId="77777777" w:rsidR="0094644B" w:rsidRPr="00FA3F57" w:rsidRDefault="0094644B" w:rsidP="00FB5086">
            <w:pPr>
              <w:rPr>
                <w:sz w:val="20"/>
                <w:szCs w:val="20"/>
              </w:rPr>
            </w:pPr>
            <w:r w:rsidRPr="00FA3F57">
              <w:rPr>
                <w:sz w:val="20"/>
                <w:szCs w:val="20"/>
              </w:rPr>
              <w:t>LGSUs are required to regularly submit monthly progress reports on the project implementation to the Directorate throughout the project duration, and upon completion, they must provide a final (financial and narrative) report. Site visits by employees from the Directorate.</w:t>
            </w:r>
          </w:p>
        </w:tc>
      </w:tr>
      <w:tr w:rsidR="0094644B" w:rsidRPr="00F07779" w14:paraId="51C551E3" w14:textId="77777777" w:rsidTr="00FB5086">
        <w:tc>
          <w:tcPr>
            <w:tcW w:w="2973" w:type="dxa"/>
          </w:tcPr>
          <w:p w14:paraId="2B8EF59A" w14:textId="77777777" w:rsidR="0094644B" w:rsidRPr="00FA3F57" w:rsidRDefault="0094644B" w:rsidP="00FB5086">
            <w:pPr>
              <w:rPr>
                <w:sz w:val="20"/>
                <w:szCs w:val="20"/>
              </w:rPr>
            </w:pPr>
            <w:r w:rsidRPr="00FA3F57">
              <w:rPr>
                <w:sz w:val="20"/>
                <w:szCs w:val="20"/>
              </w:rPr>
              <w:t>Impact of the activity on the achievement of the objective</w:t>
            </w:r>
          </w:p>
        </w:tc>
        <w:tc>
          <w:tcPr>
            <w:tcW w:w="5669" w:type="dxa"/>
          </w:tcPr>
          <w:p w14:paraId="2670D5C3" w14:textId="77777777" w:rsidR="0094644B" w:rsidRPr="00FA3F57" w:rsidRDefault="0094644B" w:rsidP="00FB5086">
            <w:pPr>
              <w:rPr>
                <w:sz w:val="20"/>
                <w:szCs w:val="20"/>
              </w:rPr>
            </w:pPr>
            <w:r w:rsidRPr="00FA3F57">
              <w:rPr>
                <w:sz w:val="20"/>
                <w:szCs w:val="20"/>
              </w:rPr>
              <w:t>The main goal of the project is to improve energy efficiency in public buildings while reducing energy costs and CO</w:t>
            </w:r>
            <w:r w:rsidRPr="00FA3F57">
              <w:rPr>
                <w:sz w:val="20"/>
                <w:szCs w:val="20"/>
                <w:vertAlign w:val="subscript"/>
              </w:rPr>
              <w:t>2</w:t>
            </w:r>
            <w:r w:rsidRPr="00FA3F57">
              <w:rPr>
                <w:sz w:val="20"/>
                <w:szCs w:val="20"/>
              </w:rPr>
              <w:t xml:space="preserve"> emissions.</w:t>
            </w:r>
          </w:p>
        </w:tc>
      </w:tr>
      <w:tr w:rsidR="0094644B" w:rsidRPr="00F07779" w14:paraId="6261228D" w14:textId="77777777" w:rsidTr="00FB5086">
        <w:tc>
          <w:tcPr>
            <w:tcW w:w="2973" w:type="dxa"/>
          </w:tcPr>
          <w:p w14:paraId="19E34636" w14:textId="77777777" w:rsidR="0094644B" w:rsidRPr="00FA3F57" w:rsidRDefault="0094644B" w:rsidP="00FB5086">
            <w:pPr>
              <w:rPr>
                <w:sz w:val="20"/>
                <w:szCs w:val="20"/>
              </w:rPr>
            </w:pPr>
            <w:r w:rsidRPr="00FA3F57">
              <w:rPr>
                <w:sz w:val="20"/>
                <w:szCs w:val="20"/>
              </w:rPr>
              <w:t>Impact on EE, climate, and environmental protection</w:t>
            </w:r>
          </w:p>
        </w:tc>
        <w:tc>
          <w:tcPr>
            <w:tcW w:w="5669" w:type="dxa"/>
          </w:tcPr>
          <w:p w14:paraId="3F0949CD" w14:textId="77777777" w:rsidR="0094644B" w:rsidRPr="00FA3F57" w:rsidRDefault="0094644B" w:rsidP="00FB5086">
            <w:pPr>
              <w:rPr>
                <w:sz w:val="20"/>
                <w:szCs w:val="20"/>
              </w:rPr>
            </w:pPr>
            <w:r w:rsidRPr="00FA3F57">
              <w:rPr>
                <w:sz w:val="20"/>
                <w:szCs w:val="20"/>
              </w:rPr>
              <w:t>Positive</w:t>
            </w:r>
          </w:p>
        </w:tc>
      </w:tr>
    </w:tbl>
    <w:p w14:paraId="43775656" w14:textId="77777777" w:rsidR="0094644B" w:rsidRPr="00FA3F57" w:rsidRDefault="0094644B" w:rsidP="0094644B">
      <w:pPr>
        <w:tabs>
          <w:tab w:val="left" w:pos="284"/>
        </w:tabs>
      </w:pPr>
    </w:p>
    <w:p w14:paraId="5437F649" w14:textId="77777777" w:rsidR="0094644B" w:rsidRPr="00FA3F57" w:rsidRDefault="0094644B" w:rsidP="0094644B">
      <w:pPr>
        <w:tabs>
          <w:tab w:val="left" w:pos="1276"/>
          <w:tab w:val="left" w:pos="1560"/>
        </w:tabs>
        <w:ind w:left="1440" w:hanging="1440"/>
      </w:pPr>
      <w:r w:rsidRPr="00FA3F57">
        <w:t>Table 5.4.3-7:</w:t>
      </w:r>
      <w:r w:rsidRPr="00FA3F57">
        <w:tab/>
        <w:t>Activity for the implementation of the measure EE1 - Activity ЕЕ1.7/9.7/10</w:t>
      </w:r>
    </w:p>
    <w:tbl>
      <w:tblPr>
        <w:tblStyle w:val="TableGrid"/>
        <w:tblW w:w="0" w:type="auto"/>
        <w:tblLook w:val="04A0" w:firstRow="1" w:lastRow="0" w:firstColumn="1" w:lastColumn="0" w:noHBand="0" w:noVBand="1"/>
      </w:tblPr>
      <w:tblGrid>
        <w:gridCol w:w="2973"/>
        <w:gridCol w:w="5669"/>
      </w:tblGrid>
      <w:tr w:rsidR="0094644B" w:rsidRPr="00F07779" w14:paraId="52A87E09" w14:textId="77777777" w:rsidTr="00FB5086">
        <w:tc>
          <w:tcPr>
            <w:tcW w:w="2973" w:type="dxa"/>
            <w:shd w:val="clear" w:color="auto" w:fill="D9D9D9" w:themeFill="background1" w:themeFillShade="D9"/>
          </w:tcPr>
          <w:p w14:paraId="01F02E95" w14:textId="77777777" w:rsidR="0094644B" w:rsidRPr="00FA3F57" w:rsidRDefault="0094644B" w:rsidP="00FB5086">
            <w:pPr>
              <w:rPr>
                <w:sz w:val="20"/>
                <w:szCs w:val="20"/>
              </w:rPr>
            </w:pPr>
            <w:r w:rsidRPr="00FA3F57">
              <w:rPr>
                <w:sz w:val="20"/>
                <w:szCs w:val="20"/>
              </w:rPr>
              <w:t>Activity ЕЕ1.7/9.7/10.3</w:t>
            </w:r>
          </w:p>
        </w:tc>
        <w:tc>
          <w:tcPr>
            <w:tcW w:w="5669" w:type="dxa"/>
            <w:shd w:val="clear" w:color="auto" w:fill="D9D9D9" w:themeFill="background1" w:themeFillShade="D9"/>
          </w:tcPr>
          <w:p w14:paraId="7637B85B" w14:textId="77777777" w:rsidR="0094644B" w:rsidRPr="00FA3F57" w:rsidRDefault="0094644B" w:rsidP="00FB5086">
            <w:pPr>
              <w:rPr>
                <w:sz w:val="20"/>
                <w:szCs w:val="20"/>
              </w:rPr>
            </w:pPr>
            <w:r w:rsidRPr="00FA3F57">
              <w:rPr>
                <w:sz w:val="20"/>
                <w:szCs w:val="20"/>
              </w:rPr>
              <w:t>Energy efficiency in public buildings and renewable energy sources in the district heating sector (“Greening the public sector”) – Rehabilitation of the Military Medical Academy</w:t>
            </w:r>
          </w:p>
        </w:tc>
      </w:tr>
      <w:tr w:rsidR="0094644B" w:rsidRPr="00F07779" w14:paraId="6A8724A1" w14:textId="77777777" w:rsidTr="00FB5086">
        <w:tc>
          <w:tcPr>
            <w:tcW w:w="2973" w:type="dxa"/>
          </w:tcPr>
          <w:p w14:paraId="24F7FD4E" w14:textId="77777777" w:rsidR="0094644B" w:rsidRPr="00FA3F57" w:rsidRDefault="0094644B" w:rsidP="00FB5086">
            <w:pPr>
              <w:rPr>
                <w:sz w:val="20"/>
                <w:szCs w:val="20"/>
              </w:rPr>
            </w:pPr>
            <w:r w:rsidRPr="00FA3F57">
              <w:rPr>
                <w:sz w:val="20"/>
                <w:szCs w:val="20"/>
              </w:rPr>
              <w:t>Description</w:t>
            </w:r>
          </w:p>
        </w:tc>
        <w:tc>
          <w:tcPr>
            <w:tcW w:w="5669" w:type="dxa"/>
          </w:tcPr>
          <w:p w14:paraId="58BD719A" w14:textId="77777777" w:rsidR="0094644B" w:rsidRPr="00FA3F57" w:rsidRDefault="0094644B" w:rsidP="00FB5086">
            <w:pPr>
              <w:rPr>
                <w:sz w:val="20"/>
                <w:szCs w:val="20"/>
              </w:rPr>
            </w:pPr>
            <w:r w:rsidRPr="00FA3F57">
              <w:rPr>
                <w:sz w:val="20"/>
                <w:szCs w:val="20"/>
              </w:rPr>
              <w:t xml:space="preserve">At the meeting of the Project implementation unit, representatives of the Military Medical Academy (Serbian </w:t>
            </w:r>
            <w:proofErr w:type="spellStart"/>
            <w:r w:rsidRPr="00F07779">
              <w:rPr>
                <w:i/>
                <w:iCs/>
                <w:sz w:val="20"/>
                <w:szCs w:val="20"/>
              </w:rPr>
              <w:t>Vojnomedicinska</w:t>
            </w:r>
            <w:proofErr w:type="spellEnd"/>
            <w:r w:rsidRPr="00F07779">
              <w:rPr>
                <w:i/>
                <w:iCs/>
                <w:sz w:val="20"/>
                <w:szCs w:val="20"/>
              </w:rPr>
              <w:t xml:space="preserve"> </w:t>
            </w:r>
            <w:proofErr w:type="spellStart"/>
            <w:r w:rsidRPr="00F07779">
              <w:rPr>
                <w:i/>
                <w:iCs/>
                <w:sz w:val="20"/>
                <w:szCs w:val="20"/>
              </w:rPr>
              <w:t>akademija</w:t>
            </w:r>
            <w:proofErr w:type="spellEnd"/>
            <w:r w:rsidRPr="00F07779">
              <w:rPr>
                <w:sz w:val="20"/>
                <w:szCs w:val="20"/>
              </w:rPr>
              <w:t>, acronym VMA</w:t>
            </w:r>
            <w:r w:rsidRPr="00FA3F57">
              <w:rPr>
                <w:sz w:val="20"/>
                <w:szCs w:val="20"/>
              </w:rPr>
              <w:t>), the MoD, and the MoME agreed and adopted the proposed measures as well as the general strategy for the approach to design and implementation, which processes will be carried out simultaneously between the following phases</w:t>
            </w:r>
            <w:r w:rsidRPr="00FA3F57">
              <w:rPr>
                <w:rFonts w:asciiTheme="minorHAnsi" w:eastAsiaTheme="minorHAnsi" w:hAnsiTheme="minorHAnsi" w:cstheme="minorBidi"/>
                <w:kern w:val="2"/>
                <w:sz w:val="20"/>
                <w:szCs w:val="20"/>
                <w:lang w:eastAsia="en-US"/>
                <w14:ligatures w14:val="standardContextual"/>
              </w:rPr>
              <w:t>:</w:t>
            </w:r>
          </w:p>
          <w:p w14:paraId="76BBF9BB" w14:textId="77777777" w:rsidR="0094644B" w:rsidRPr="00FA3F57" w:rsidRDefault="0094644B" w:rsidP="00FB5086">
            <w:pPr>
              <w:pStyle w:val="ListParagraph"/>
              <w:numPr>
                <w:ilvl w:val="0"/>
                <w:numId w:val="10"/>
              </w:numPr>
              <w:spacing w:before="120" w:after="60"/>
              <w:ind w:left="181" w:hanging="181"/>
              <w:rPr>
                <w:rFonts w:ascii="Times New Roman" w:eastAsia="Times New Roman" w:hAnsi="Times New Roman" w:cs="Times New Roman"/>
                <w:noProof w:val="0"/>
                <w:kern w:val="0"/>
                <w:sz w:val="20"/>
                <w:szCs w:val="20"/>
                <w:lang w:eastAsia="en-GB"/>
                <w14:ligatures w14:val="none"/>
              </w:rPr>
            </w:pPr>
            <w:r w:rsidRPr="00FA3F57">
              <w:rPr>
                <w:rFonts w:ascii="Times New Roman" w:eastAsia="Times New Roman" w:hAnsi="Times New Roman" w:cs="Times New Roman"/>
                <w:noProof w:val="0"/>
                <w:kern w:val="0"/>
                <w:sz w:val="20"/>
                <w:szCs w:val="20"/>
                <w:lang w:eastAsia="en-GB"/>
                <w14:ligatures w14:val="none"/>
              </w:rPr>
              <w:t xml:space="preserve">First phase: Quick </w:t>
            </w:r>
            <w:proofErr w:type="gramStart"/>
            <w:r w:rsidRPr="00FA3F57">
              <w:rPr>
                <w:rFonts w:ascii="Times New Roman" w:eastAsia="Times New Roman" w:hAnsi="Times New Roman" w:cs="Times New Roman"/>
                <w:noProof w:val="0"/>
                <w:kern w:val="0"/>
                <w:sz w:val="20"/>
                <w:szCs w:val="20"/>
                <w:lang w:eastAsia="en-GB"/>
                <w14:ligatures w14:val="none"/>
              </w:rPr>
              <w:t>measures;</w:t>
            </w:r>
            <w:proofErr w:type="gramEnd"/>
          </w:p>
          <w:p w14:paraId="24688481" w14:textId="77777777" w:rsidR="0094644B" w:rsidRPr="00FA3F57" w:rsidRDefault="0094644B" w:rsidP="00FB5086">
            <w:pPr>
              <w:pStyle w:val="ListParagraph"/>
              <w:numPr>
                <w:ilvl w:val="0"/>
                <w:numId w:val="10"/>
              </w:numPr>
              <w:spacing w:before="120" w:after="60"/>
              <w:ind w:left="181" w:hanging="181"/>
              <w:rPr>
                <w:rFonts w:ascii="Times New Roman" w:eastAsia="Times New Roman" w:hAnsi="Times New Roman" w:cs="Times New Roman"/>
                <w:noProof w:val="0"/>
                <w:kern w:val="0"/>
                <w:sz w:val="20"/>
                <w:szCs w:val="20"/>
                <w:lang w:eastAsia="en-GB"/>
                <w14:ligatures w14:val="none"/>
              </w:rPr>
            </w:pPr>
            <w:r w:rsidRPr="00FA3F57">
              <w:rPr>
                <w:rFonts w:ascii="Times New Roman" w:eastAsia="Times New Roman" w:hAnsi="Times New Roman" w:cs="Times New Roman"/>
                <w:noProof w:val="0"/>
                <w:kern w:val="0"/>
                <w:sz w:val="20"/>
                <w:szCs w:val="20"/>
                <w:lang w:eastAsia="en-GB"/>
                <w14:ligatures w14:val="none"/>
              </w:rPr>
              <w:t>Second phase: High part of the building (Tower from 6th to 15th floor</w:t>
            </w:r>
            <w:proofErr w:type="gramStart"/>
            <w:r w:rsidRPr="00FA3F57">
              <w:rPr>
                <w:rFonts w:ascii="Times New Roman" w:eastAsia="Times New Roman" w:hAnsi="Times New Roman" w:cs="Times New Roman"/>
                <w:noProof w:val="0"/>
                <w:kern w:val="0"/>
                <w:sz w:val="20"/>
                <w:szCs w:val="20"/>
                <w:lang w:eastAsia="en-GB"/>
                <w14:ligatures w14:val="none"/>
              </w:rPr>
              <w:t>);</w:t>
            </w:r>
            <w:proofErr w:type="gramEnd"/>
          </w:p>
          <w:p w14:paraId="58B00F38" w14:textId="77777777" w:rsidR="0094644B" w:rsidRPr="00FA3F57" w:rsidRDefault="0094644B" w:rsidP="00FB5086">
            <w:pPr>
              <w:pStyle w:val="ListParagraph"/>
              <w:numPr>
                <w:ilvl w:val="0"/>
                <w:numId w:val="10"/>
              </w:numPr>
              <w:spacing w:before="120" w:after="60"/>
              <w:ind w:left="181" w:hanging="181"/>
              <w:rPr>
                <w:rFonts w:ascii="Times New Roman" w:eastAsia="Times New Roman" w:hAnsi="Times New Roman" w:cs="Times New Roman"/>
                <w:noProof w:val="0"/>
                <w:kern w:val="0"/>
                <w:sz w:val="20"/>
                <w:szCs w:val="20"/>
                <w:lang w:eastAsia="en-GB"/>
                <w14:ligatures w14:val="none"/>
              </w:rPr>
            </w:pPr>
            <w:r w:rsidRPr="00FA3F57">
              <w:rPr>
                <w:rFonts w:ascii="Times New Roman" w:eastAsia="Times New Roman" w:hAnsi="Times New Roman" w:cs="Times New Roman"/>
                <w:noProof w:val="0"/>
                <w:kern w:val="0"/>
                <w:sz w:val="20"/>
                <w:szCs w:val="20"/>
                <w:lang w:eastAsia="en-GB"/>
                <w14:ligatures w14:val="none"/>
              </w:rPr>
              <w:t>Third phase: The rest of the building.</w:t>
            </w:r>
          </w:p>
          <w:p w14:paraId="7544C6AF" w14:textId="77777777" w:rsidR="0094644B" w:rsidRPr="00FA3F57" w:rsidRDefault="0094644B" w:rsidP="00FB5086">
            <w:pPr>
              <w:rPr>
                <w:sz w:val="20"/>
                <w:szCs w:val="20"/>
              </w:rPr>
            </w:pPr>
            <w:r w:rsidRPr="00FA3F57">
              <w:rPr>
                <w:sz w:val="20"/>
                <w:szCs w:val="20"/>
              </w:rPr>
              <w:t xml:space="preserve">The proposed set of measures, along with indicative deadlines for design and phased implementation, was submitted to the consultant as </w:t>
            </w:r>
            <w:proofErr w:type="gramStart"/>
            <w:r w:rsidRPr="00FA3F57">
              <w:rPr>
                <w:sz w:val="20"/>
                <w:szCs w:val="20"/>
              </w:rPr>
              <w:t>an instruction</w:t>
            </w:r>
            <w:proofErr w:type="gramEnd"/>
            <w:r w:rsidRPr="00FA3F57">
              <w:rPr>
                <w:sz w:val="20"/>
                <w:szCs w:val="20"/>
              </w:rPr>
              <w:t xml:space="preserve"> for project implementation, taking into consideration the project’s limitations. Based on this instruction, the Consultant is obliged to finalize the Project Implementation Plan (including the Design Terms of Reference) as the basis for the commencement of design.</w:t>
            </w:r>
          </w:p>
        </w:tc>
      </w:tr>
      <w:tr w:rsidR="0094644B" w:rsidRPr="00F07779" w14:paraId="02AABBDE" w14:textId="77777777" w:rsidTr="00FB5086">
        <w:tc>
          <w:tcPr>
            <w:tcW w:w="2973" w:type="dxa"/>
          </w:tcPr>
          <w:p w14:paraId="5D951478" w14:textId="77777777" w:rsidR="0094644B" w:rsidRPr="00FA3F57" w:rsidRDefault="0094644B" w:rsidP="00FB5086">
            <w:pPr>
              <w:rPr>
                <w:sz w:val="20"/>
                <w:szCs w:val="20"/>
              </w:rPr>
            </w:pPr>
            <w:r w:rsidRPr="00FA3F57">
              <w:rPr>
                <w:sz w:val="20"/>
                <w:szCs w:val="20"/>
              </w:rPr>
              <w:t>Implementation phase</w:t>
            </w:r>
          </w:p>
        </w:tc>
        <w:tc>
          <w:tcPr>
            <w:tcW w:w="5669" w:type="dxa"/>
          </w:tcPr>
          <w:p w14:paraId="3B3F3395" w14:textId="77777777" w:rsidR="0094644B" w:rsidRPr="00FA3F57" w:rsidRDefault="0094644B" w:rsidP="00FB5086">
            <w:pPr>
              <w:rPr>
                <w:sz w:val="20"/>
                <w:szCs w:val="20"/>
              </w:rPr>
            </w:pPr>
            <w:r w:rsidRPr="00FA3F57">
              <w:rPr>
                <w:sz w:val="20"/>
                <w:szCs w:val="20"/>
              </w:rPr>
              <w:t>The finalization of the project concept is underway. The start of design for the first phase is expected in the second quarter of 2025.</w:t>
            </w:r>
          </w:p>
        </w:tc>
      </w:tr>
      <w:tr w:rsidR="0094644B" w:rsidRPr="00F07779" w14:paraId="38B96E1A" w14:textId="77777777" w:rsidTr="00FB5086">
        <w:tc>
          <w:tcPr>
            <w:tcW w:w="2973" w:type="dxa"/>
          </w:tcPr>
          <w:p w14:paraId="6AF5D3DE" w14:textId="77777777" w:rsidR="0094644B" w:rsidRPr="00FA3F57" w:rsidRDefault="0094644B" w:rsidP="00FB5086">
            <w:pPr>
              <w:rPr>
                <w:sz w:val="20"/>
                <w:szCs w:val="20"/>
              </w:rPr>
            </w:pPr>
            <w:r w:rsidRPr="00FA3F57">
              <w:rPr>
                <w:sz w:val="20"/>
                <w:szCs w:val="20"/>
              </w:rPr>
              <w:t>Institutions responsible for the implementation of measures and activities</w:t>
            </w:r>
          </w:p>
        </w:tc>
        <w:tc>
          <w:tcPr>
            <w:tcW w:w="5669" w:type="dxa"/>
          </w:tcPr>
          <w:p w14:paraId="73CDC988" w14:textId="77777777" w:rsidR="0094644B" w:rsidRPr="00FA3F57" w:rsidRDefault="0094644B" w:rsidP="00FB5086">
            <w:pPr>
              <w:rPr>
                <w:sz w:val="20"/>
                <w:szCs w:val="20"/>
              </w:rPr>
            </w:pPr>
            <w:proofErr w:type="spellStart"/>
            <w:r w:rsidRPr="00FA3F57">
              <w:rPr>
                <w:sz w:val="20"/>
                <w:szCs w:val="20"/>
              </w:rPr>
              <w:t>МoMЕ</w:t>
            </w:r>
            <w:proofErr w:type="spellEnd"/>
          </w:p>
        </w:tc>
      </w:tr>
      <w:tr w:rsidR="0094644B" w:rsidRPr="00F07779" w14:paraId="649FDAD0" w14:textId="77777777" w:rsidTr="00FB5086">
        <w:tc>
          <w:tcPr>
            <w:tcW w:w="2973" w:type="dxa"/>
          </w:tcPr>
          <w:p w14:paraId="3CC1B37D" w14:textId="77777777" w:rsidR="0094644B" w:rsidRPr="00FA3F57" w:rsidRDefault="0094644B" w:rsidP="00FB5086">
            <w:pPr>
              <w:rPr>
                <w:sz w:val="20"/>
                <w:szCs w:val="20"/>
              </w:rPr>
            </w:pPr>
            <w:r w:rsidRPr="00FA3F57">
              <w:rPr>
                <w:sz w:val="20"/>
                <w:szCs w:val="20"/>
              </w:rPr>
              <w:t>Institutions responsible for monitoring implementation and reporting on the realization</w:t>
            </w:r>
          </w:p>
        </w:tc>
        <w:tc>
          <w:tcPr>
            <w:tcW w:w="5669" w:type="dxa"/>
          </w:tcPr>
          <w:p w14:paraId="6E0F864B" w14:textId="77777777" w:rsidR="0094644B" w:rsidRPr="00FA3F57" w:rsidRDefault="0094644B" w:rsidP="00FB5086">
            <w:pPr>
              <w:rPr>
                <w:sz w:val="20"/>
                <w:szCs w:val="20"/>
              </w:rPr>
            </w:pPr>
            <w:proofErr w:type="spellStart"/>
            <w:r w:rsidRPr="00FA3F57">
              <w:rPr>
                <w:sz w:val="20"/>
                <w:szCs w:val="20"/>
              </w:rPr>
              <w:t>МoMЕ</w:t>
            </w:r>
            <w:proofErr w:type="spellEnd"/>
          </w:p>
        </w:tc>
      </w:tr>
      <w:tr w:rsidR="0094644B" w:rsidRPr="00F07779" w14:paraId="432089B9" w14:textId="77777777" w:rsidTr="00FB5086">
        <w:tc>
          <w:tcPr>
            <w:tcW w:w="2973" w:type="dxa"/>
          </w:tcPr>
          <w:p w14:paraId="639A493C" w14:textId="77777777" w:rsidR="0094644B" w:rsidRPr="00FA3F57" w:rsidRDefault="0094644B" w:rsidP="00FB5086">
            <w:pPr>
              <w:rPr>
                <w:sz w:val="20"/>
                <w:szCs w:val="20"/>
              </w:rPr>
            </w:pPr>
            <w:r w:rsidRPr="00FA3F57">
              <w:rPr>
                <w:sz w:val="20"/>
                <w:szCs w:val="20"/>
              </w:rPr>
              <w:t>Deadline for implementation</w:t>
            </w:r>
          </w:p>
        </w:tc>
        <w:tc>
          <w:tcPr>
            <w:tcW w:w="5669" w:type="dxa"/>
          </w:tcPr>
          <w:p w14:paraId="30F85D50" w14:textId="77777777" w:rsidR="0094644B" w:rsidRPr="00FA3F57" w:rsidRDefault="0094644B" w:rsidP="00FB5086">
            <w:pPr>
              <w:rPr>
                <w:sz w:val="20"/>
                <w:szCs w:val="20"/>
              </w:rPr>
            </w:pPr>
            <w:r w:rsidRPr="00FA3F57">
              <w:rPr>
                <w:sz w:val="20"/>
                <w:szCs w:val="20"/>
              </w:rPr>
              <w:t xml:space="preserve">According to the decision of the Project Implementation Unit, works on the first phase are expected to begin in early 2026, and completion is expected </w:t>
            </w:r>
            <w:proofErr w:type="gramStart"/>
            <w:r w:rsidRPr="00FA3F57">
              <w:rPr>
                <w:sz w:val="20"/>
                <w:szCs w:val="20"/>
              </w:rPr>
              <w:t>by</w:t>
            </w:r>
            <w:proofErr w:type="gramEnd"/>
            <w:r w:rsidRPr="00FA3F57">
              <w:rPr>
                <w:sz w:val="20"/>
                <w:szCs w:val="20"/>
              </w:rPr>
              <w:t xml:space="preserve"> the end of 2027. Work on the second phase is expected to begin in early 2027, with completion expected in mid-2028. The dynamics of the third phase will largely depend on the implementation of the previous two, which, from today's planning perspective, is expected in 2029-2031.</w:t>
            </w:r>
          </w:p>
        </w:tc>
      </w:tr>
      <w:tr w:rsidR="0094644B" w:rsidRPr="00F07779" w14:paraId="71E51717" w14:textId="77777777" w:rsidTr="00FB5086">
        <w:tc>
          <w:tcPr>
            <w:tcW w:w="2973" w:type="dxa"/>
          </w:tcPr>
          <w:p w14:paraId="525058DF" w14:textId="77777777" w:rsidR="0094644B" w:rsidRPr="00FA3F57" w:rsidRDefault="0094644B" w:rsidP="00FB5086">
            <w:pPr>
              <w:rPr>
                <w:sz w:val="20"/>
                <w:szCs w:val="20"/>
              </w:rPr>
            </w:pPr>
            <w:r w:rsidRPr="00FA3F57">
              <w:rPr>
                <w:sz w:val="20"/>
                <w:szCs w:val="20"/>
              </w:rPr>
              <w:t>Required funds and source of financing</w:t>
            </w:r>
          </w:p>
        </w:tc>
        <w:tc>
          <w:tcPr>
            <w:tcW w:w="5669" w:type="dxa"/>
          </w:tcPr>
          <w:p w14:paraId="6F6E349B" w14:textId="77777777" w:rsidR="0094644B" w:rsidRPr="00FA3F57" w:rsidRDefault="0094644B" w:rsidP="00FB5086">
            <w:pPr>
              <w:rPr>
                <w:sz w:val="20"/>
                <w:szCs w:val="20"/>
              </w:rPr>
            </w:pPr>
            <w:r w:rsidRPr="00F07779">
              <w:rPr>
                <w:sz w:val="20"/>
                <w:szCs w:val="20"/>
              </w:rPr>
              <w:t>The Ministry of Mining and Energy signed a loan agreement with the German development bank KfW of EUR 50,000,000 in December 2020, and in March 2021, a WBIF grant agreement for EUR 5,000,000 was signed for consultancy and expert services, along with a Special Agreement that further explains the implementation of both financial agreements (the Loan Agreement and the Grant Agreement).</w:t>
            </w:r>
          </w:p>
        </w:tc>
      </w:tr>
      <w:tr w:rsidR="0094644B" w:rsidRPr="00F07779" w14:paraId="1B8EA053" w14:textId="77777777" w:rsidTr="00FB5086">
        <w:tc>
          <w:tcPr>
            <w:tcW w:w="2973" w:type="dxa"/>
          </w:tcPr>
          <w:p w14:paraId="7CB3C610" w14:textId="77777777" w:rsidR="0094644B" w:rsidRPr="00FA3F57" w:rsidRDefault="0094644B" w:rsidP="00FB5086">
            <w:pPr>
              <w:rPr>
                <w:sz w:val="20"/>
                <w:szCs w:val="20"/>
              </w:rPr>
            </w:pPr>
            <w:r w:rsidRPr="00FA3F57">
              <w:rPr>
                <w:sz w:val="20"/>
                <w:szCs w:val="20"/>
              </w:rPr>
              <w:lastRenderedPageBreak/>
              <w:t>Implementation indicator</w:t>
            </w:r>
          </w:p>
        </w:tc>
        <w:tc>
          <w:tcPr>
            <w:tcW w:w="5669" w:type="dxa"/>
          </w:tcPr>
          <w:p w14:paraId="17C245A2" w14:textId="77777777" w:rsidR="0094644B" w:rsidRPr="00FA3F57" w:rsidRDefault="0094644B" w:rsidP="00FB5086">
            <w:pPr>
              <w:spacing w:before="20"/>
              <w:rPr>
                <w:sz w:val="20"/>
                <w:szCs w:val="20"/>
              </w:rPr>
            </w:pPr>
            <w:r w:rsidRPr="00FA3F57">
              <w:rPr>
                <w:sz w:val="20"/>
                <w:szCs w:val="20"/>
              </w:rPr>
              <w:t>Indicator 1: Energy renovation of the VMA leads to savings in annual energy consumption</w:t>
            </w:r>
          </w:p>
          <w:p w14:paraId="12F60809" w14:textId="77777777" w:rsidR="0094644B" w:rsidRPr="00FA3F57" w:rsidRDefault="0094644B" w:rsidP="00FB5086">
            <w:pPr>
              <w:spacing w:before="20"/>
              <w:rPr>
                <w:sz w:val="20"/>
                <w:szCs w:val="20"/>
              </w:rPr>
            </w:pPr>
            <w:r w:rsidRPr="00FA3F57">
              <w:rPr>
                <w:sz w:val="20"/>
                <w:szCs w:val="20"/>
              </w:rPr>
              <w:t>Initial value</w:t>
            </w:r>
            <w:r w:rsidRPr="00FA3F57" w:rsidDel="00934652">
              <w:rPr>
                <w:sz w:val="20"/>
                <w:szCs w:val="20"/>
              </w:rPr>
              <w:t xml:space="preserve"> </w:t>
            </w:r>
            <w:r w:rsidRPr="00FA3F57">
              <w:rPr>
                <w:sz w:val="20"/>
                <w:szCs w:val="20"/>
              </w:rPr>
              <w:t>(based on demand and consumption): 115,320,000 kWh/year (consumption calculation)</w:t>
            </w:r>
          </w:p>
          <w:p w14:paraId="039EECE2" w14:textId="77777777" w:rsidR="0094644B" w:rsidRPr="00FA3F57" w:rsidRDefault="0094644B" w:rsidP="00FB5086">
            <w:pPr>
              <w:spacing w:before="20"/>
              <w:rPr>
                <w:sz w:val="20"/>
                <w:szCs w:val="20"/>
              </w:rPr>
            </w:pPr>
            <w:r w:rsidRPr="00FA3F57">
              <w:rPr>
                <w:sz w:val="20"/>
                <w:szCs w:val="20"/>
              </w:rPr>
              <w:t xml:space="preserve">Target: 66,335,000 kWh/year (reduction of at least 35%) </w:t>
            </w:r>
          </w:p>
          <w:p w14:paraId="02F242A4" w14:textId="77777777" w:rsidR="0094644B" w:rsidRPr="00FA3F57" w:rsidRDefault="0094644B" w:rsidP="00FB5086">
            <w:pPr>
              <w:spacing w:before="20"/>
              <w:rPr>
                <w:sz w:val="20"/>
                <w:szCs w:val="20"/>
              </w:rPr>
            </w:pPr>
            <w:r w:rsidRPr="00FA3F57">
              <w:rPr>
                <w:sz w:val="20"/>
                <w:szCs w:val="20"/>
              </w:rPr>
              <w:t>Indicator 2: Installed capacity of renewable energy sources</w:t>
            </w:r>
          </w:p>
          <w:p w14:paraId="22F34B52" w14:textId="77777777" w:rsidR="0094644B" w:rsidRPr="00FA3F57" w:rsidRDefault="0094644B" w:rsidP="00FB5086">
            <w:pPr>
              <w:spacing w:before="20"/>
              <w:rPr>
                <w:sz w:val="20"/>
                <w:szCs w:val="20"/>
              </w:rPr>
            </w:pPr>
            <w:r w:rsidRPr="00FA3F57">
              <w:rPr>
                <w:sz w:val="20"/>
                <w:szCs w:val="20"/>
              </w:rPr>
              <w:t>Initial value: 0</w:t>
            </w:r>
          </w:p>
          <w:p w14:paraId="6A9D560A" w14:textId="77777777" w:rsidR="0094644B" w:rsidRPr="00FA3F57" w:rsidRDefault="0094644B" w:rsidP="00FB5086">
            <w:pPr>
              <w:spacing w:before="20"/>
              <w:rPr>
                <w:sz w:val="20"/>
                <w:szCs w:val="20"/>
              </w:rPr>
            </w:pPr>
            <w:r w:rsidRPr="00FA3F57">
              <w:rPr>
                <w:sz w:val="20"/>
                <w:szCs w:val="20"/>
              </w:rPr>
              <w:t>Target: 200 kW</w:t>
            </w:r>
          </w:p>
          <w:p w14:paraId="30FAB8E4" w14:textId="77777777" w:rsidR="0094644B" w:rsidRPr="00FA3F57" w:rsidRDefault="0094644B" w:rsidP="00FB5086">
            <w:pPr>
              <w:spacing w:before="20"/>
              <w:rPr>
                <w:sz w:val="20"/>
                <w:szCs w:val="20"/>
              </w:rPr>
            </w:pPr>
            <w:r w:rsidRPr="00FA3F57">
              <w:rPr>
                <w:sz w:val="20"/>
                <w:szCs w:val="20"/>
              </w:rPr>
              <w:t>Indicator 3: Reduction of annual greenhouse gas emissions (CO</w:t>
            </w:r>
            <w:r w:rsidRPr="00FA3F57">
              <w:rPr>
                <w:sz w:val="20"/>
                <w:szCs w:val="20"/>
                <w:vertAlign w:val="subscript"/>
              </w:rPr>
              <w:t>2</w:t>
            </w:r>
            <w:r w:rsidRPr="00FA3F57">
              <w:rPr>
                <w:sz w:val="20"/>
                <w:szCs w:val="20"/>
              </w:rPr>
              <w:t xml:space="preserve"> equivalent) in VMA</w:t>
            </w:r>
          </w:p>
          <w:p w14:paraId="1D93D4F4" w14:textId="77777777" w:rsidR="0094644B" w:rsidRPr="00FA3F57" w:rsidRDefault="0094644B" w:rsidP="00FB5086">
            <w:pPr>
              <w:spacing w:before="20"/>
              <w:rPr>
                <w:sz w:val="20"/>
                <w:szCs w:val="20"/>
              </w:rPr>
            </w:pPr>
            <w:r w:rsidRPr="00FA3F57">
              <w:rPr>
                <w:sz w:val="20"/>
                <w:szCs w:val="20"/>
              </w:rPr>
              <w:t>Initial value: 48,073 t CO</w:t>
            </w:r>
            <w:r w:rsidRPr="00FA3F57">
              <w:rPr>
                <w:sz w:val="20"/>
                <w:szCs w:val="20"/>
                <w:vertAlign w:val="subscript"/>
              </w:rPr>
              <w:t>2</w:t>
            </w:r>
            <w:r w:rsidRPr="00FA3F57">
              <w:rPr>
                <w:sz w:val="20"/>
                <w:szCs w:val="20"/>
              </w:rPr>
              <w:t>e /year</w:t>
            </w:r>
          </w:p>
          <w:p w14:paraId="4B5D4B1D" w14:textId="77777777" w:rsidR="0094644B" w:rsidRPr="00FA3F57" w:rsidRDefault="0094644B" w:rsidP="00FB5086">
            <w:pPr>
              <w:spacing w:before="20"/>
              <w:rPr>
                <w:sz w:val="20"/>
                <w:szCs w:val="20"/>
              </w:rPr>
            </w:pPr>
            <w:r w:rsidRPr="00FA3F57">
              <w:rPr>
                <w:sz w:val="20"/>
                <w:szCs w:val="20"/>
              </w:rPr>
              <w:t>Target: 30,066 CO2e /year</w:t>
            </w:r>
          </w:p>
          <w:p w14:paraId="55177365" w14:textId="77777777" w:rsidR="0094644B" w:rsidRPr="00FA3F57" w:rsidRDefault="0094644B" w:rsidP="00FB5086">
            <w:pPr>
              <w:spacing w:before="20"/>
              <w:rPr>
                <w:sz w:val="20"/>
                <w:szCs w:val="20"/>
              </w:rPr>
            </w:pPr>
            <w:r w:rsidRPr="00FA3F57">
              <w:rPr>
                <w:sz w:val="20"/>
                <w:szCs w:val="20"/>
              </w:rPr>
              <w:t>Indicator 4: population that benefits from the Project</w:t>
            </w:r>
          </w:p>
          <w:p w14:paraId="7FB2DE0D" w14:textId="77777777" w:rsidR="0094644B" w:rsidRPr="00FA3F57" w:rsidRDefault="0094644B" w:rsidP="00FB5086">
            <w:pPr>
              <w:spacing w:before="20"/>
              <w:rPr>
                <w:sz w:val="20"/>
                <w:szCs w:val="20"/>
              </w:rPr>
            </w:pPr>
            <w:r w:rsidRPr="00FA3F57">
              <w:rPr>
                <w:sz w:val="20"/>
                <w:szCs w:val="20"/>
              </w:rPr>
              <w:t>Initial value: about 458,000 patients</w:t>
            </w:r>
          </w:p>
          <w:p w14:paraId="0BFD9C4D" w14:textId="77777777" w:rsidR="0094644B" w:rsidRPr="00FA3F57" w:rsidRDefault="0094644B" w:rsidP="00FB5086">
            <w:pPr>
              <w:spacing w:before="20"/>
              <w:rPr>
                <w:sz w:val="20"/>
                <w:szCs w:val="20"/>
              </w:rPr>
            </w:pPr>
            <w:r w:rsidRPr="00FA3F57">
              <w:rPr>
                <w:sz w:val="20"/>
                <w:szCs w:val="20"/>
              </w:rPr>
              <w:t>Target: about 550,000 patients (an increase of about 20%)</w:t>
            </w:r>
          </w:p>
          <w:p w14:paraId="1B61E7F4" w14:textId="77777777" w:rsidR="0094644B" w:rsidRPr="00FA3F57" w:rsidRDefault="0094644B" w:rsidP="00FB5086">
            <w:pPr>
              <w:spacing w:before="20"/>
              <w:rPr>
                <w:sz w:val="20"/>
                <w:szCs w:val="20"/>
              </w:rPr>
            </w:pPr>
            <w:r w:rsidRPr="00FA3F57">
              <w:rPr>
                <w:sz w:val="20"/>
                <w:szCs w:val="20"/>
              </w:rPr>
              <w:t>Indicator 5: The lifespan of the VMA buildings has been extended by 30 years after the completion of the works.</w:t>
            </w:r>
          </w:p>
          <w:p w14:paraId="160C350A" w14:textId="77777777" w:rsidR="0094644B" w:rsidRPr="00FA3F57" w:rsidRDefault="0094644B" w:rsidP="00FB5086">
            <w:pPr>
              <w:spacing w:before="20"/>
              <w:rPr>
                <w:sz w:val="20"/>
                <w:szCs w:val="20"/>
              </w:rPr>
            </w:pPr>
            <w:r w:rsidRPr="00FA3F57">
              <w:rPr>
                <w:sz w:val="20"/>
                <w:szCs w:val="20"/>
              </w:rPr>
              <w:t>Initial value: 0</w:t>
            </w:r>
          </w:p>
          <w:p w14:paraId="6D5B795A" w14:textId="77777777" w:rsidR="0094644B" w:rsidRPr="00FA3F57" w:rsidRDefault="0094644B" w:rsidP="00FB5086">
            <w:pPr>
              <w:spacing w:before="20"/>
              <w:rPr>
                <w:sz w:val="20"/>
                <w:szCs w:val="20"/>
              </w:rPr>
            </w:pPr>
            <w:r w:rsidRPr="00FA3F57">
              <w:rPr>
                <w:sz w:val="20"/>
                <w:szCs w:val="20"/>
              </w:rPr>
              <w:t>Target: 30 years</w:t>
            </w:r>
          </w:p>
          <w:p w14:paraId="694B5ECA" w14:textId="77777777" w:rsidR="0094644B" w:rsidRPr="00FA3F57" w:rsidRDefault="0094644B" w:rsidP="00FB5086">
            <w:pPr>
              <w:spacing w:before="20"/>
              <w:rPr>
                <w:sz w:val="20"/>
                <w:szCs w:val="20"/>
              </w:rPr>
            </w:pPr>
            <w:r w:rsidRPr="00FA3F57">
              <w:rPr>
                <w:sz w:val="20"/>
                <w:szCs w:val="20"/>
              </w:rPr>
              <w:t xml:space="preserve">Indicator 6: Conditions in the hospital have improved after the completion of the </w:t>
            </w:r>
            <w:proofErr w:type="spellStart"/>
            <w:proofErr w:type="gramStart"/>
            <w:r w:rsidRPr="00FA3F57">
              <w:rPr>
                <w:sz w:val="20"/>
                <w:szCs w:val="20"/>
              </w:rPr>
              <w:t>work.Initial</w:t>
            </w:r>
            <w:proofErr w:type="spellEnd"/>
            <w:proofErr w:type="gramEnd"/>
            <w:r w:rsidRPr="00FA3F57">
              <w:rPr>
                <w:sz w:val="20"/>
                <w:szCs w:val="20"/>
              </w:rPr>
              <w:t xml:space="preserve"> value: not yet determined</w:t>
            </w:r>
          </w:p>
          <w:p w14:paraId="0B805735" w14:textId="77777777" w:rsidR="0094644B" w:rsidRPr="00FA3F57" w:rsidRDefault="0094644B" w:rsidP="00FB5086">
            <w:pPr>
              <w:spacing w:before="20"/>
              <w:rPr>
                <w:sz w:val="20"/>
                <w:szCs w:val="20"/>
              </w:rPr>
            </w:pPr>
            <w:r w:rsidRPr="00FA3F57">
              <w:rPr>
                <w:sz w:val="20"/>
                <w:szCs w:val="20"/>
              </w:rPr>
              <w:t xml:space="preserve">Target: </w:t>
            </w:r>
            <w:r w:rsidRPr="00F07779">
              <w:rPr>
                <w:sz w:val="20"/>
                <w:szCs w:val="20"/>
              </w:rPr>
              <w:t>80% of respondents reported being satisfied with hospital care and working conditions, and Serbian/European hospital standards are applied in 100% of the rehabilitated environments.</w:t>
            </w:r>
          </w:p>
          <w:p w14:paraId="559E4E57" w14:textId="77777777" w:rsidR="0094644B" w:rsidRPr="00FA3F57" w:rsidRDefault="0094644B" w:rsidP="00FB5086">
            <w:pPr>
              <w:spacing w:before="20"/>
              <w:rPr>
                <w:sz w:val="20"/>
                <w:szCs w:val="20"/>
              </w:rPr>
            </w:pPr>
            <w:r w:rsidRPr="00FA3F57">
              <w:rPr>
                <w:sz w:val="20"/>
                <w:szCs w:val="20"/>
              </w:rPr>
              <w:t>Indicator 7: Increase in the average occupancy rate of VMA hospitals</w:t>
            </w:r>
          </w:p>
          <w:p w14:paraId="35304163" w14:textId="77777777" w:rsidR="0094644B" w:rsidRPr="00FA3F57" w:rsidRDefault="0094644B" w:rsidP="00FB5086">
            <w:pPr>
              <w:spacing w:before="20"/>
              <w:rPr>
                <w:sz w:val="20"/>
                <w:szCs w:val="20"/>
              </w:rPr>
            </w:pPr>
            <w:r w:rsidRPr="00FA3F57">
              <w:rPr>
                <w:sz w:val="20"/>
                <w:szCs w:val="20"/>
              </w:rPr>
              <w:t>Initial value: about 72%</w:t>
            </w:r>
          </w:p>
          <w:p w14:paraId="17494E61" w14:textId="77777777" w:rsidR="0094644B" w:rsidRPr="00FA3F57" w:rsidRDefault="0094644B" w:rsidP="00FB5086">
            <w:pPr>
              <w:spacing w:before="20"/>
              <w:rPr>
                <w:sz w:val="20"/>
                <w:szCs w:val="20"/>
              </w:rPr>
            </w:pPr>
            <w:r w:rsidRPr="00FA3F57">
              <w:rPr>
                <w:sz w:val="20"/>
                <w:szCs w:val="20"/>
              </w:rPr>
              <w:t>Target: about 85% (increase of 13 percent)</w:t>
            </w:r>
          </w:p>
          <w:p w14:paraId="7250A9CA" w14:textId="77777777" w:rsidR="0094644B" w:rsidRPr="00FA3F57" w:rsidRDefault="0094644B" w:rsidP="00FB5086">
            <w:pPr>
              <w:rPr>
                <w:sz w:val="20"/>
                <w:szCs w:val="20"/>
              </w:rPr>
            </w:pPr>
            <w:r w:rsidRPr="00F07779">
              <w:rPr>
                <w:sz w:val="20"/>
                <w:szCs w:val="20"/>
              </w:rPr>
              <w:t>Measurement of the project's goal fulfillment through the specified indicators will only be possible from 2028, when the expected completion of the first phase of works is scheduled.</w:t>
            </w:r>
          </w:p>
        </w:tc>
      </w:tr>
      <w:tr w:rsidR="0094644B" w:rsidRPr="00F07779" w14:paraId="0F93A889" w14:textId="77777777" w:rsidTr="00FB5086">
        <w:tc>
          <w:tcPr>
            <w:tcW w:w="2973" w:type="dxa"/>
          </w:tcPr>
          <w:p w14:paraId="49A94008" w14:textId="77777777" w:rsidR="0094644B" w:rsidRPr="00FA3F57" w:rsidRDefault="0094644B" w:rsidP="00FB5086">
            <w:pPr>
              <w:rPr>
                <w:sz w:val="20"/>
                <w:szCs w:val="20"/>
              </w:rPr>
            </w:pPr>
            <w:r w:rsidRPr="00FA3F57">
              <w:rPr>
                <w:sz w:val="20"/>
                <w:szCs w:val="20"/>
              </w:rPr>
              <w:t>Impact of the activity on the achievement of the objective</w:t>
            </w:r>
          </w:p>
        </w:tc>
        <w:tc>
          <w:tcPr>
            <w:tcW w:w="5669" w:type="dxa"/>
          </w:tcPr>
          <w:p w14:paraId="7D0A4F5D" w14:textId="77777777" w:rsidR="0094644B" w:rsidRPr="00FA3F57" w:rsidRDefault="0094644B" w:rsidP="00FB5086">
            <w:pPr>
              <w:rPr>
                <w:sz w:val="20"/>
                <w:szCs w:val="20"/>
              </w:rPr>
            </w:pPr>
            <w:r w:rsidRPr="00FA3F57">
              <w:rPr>
                <w:sz w:val="20"/>
                <w:szCs w:val="20"/>
              </w:rPr>
              <w:t>The energy renovation of the VMA leads to savings in annual energy consumption of 66,335,000 kWh/year (a reduction of at least 35%).</w:t>
            </w:r>
          </w:p>
        </w:tc>
      </w:tr>
      <w:tr w:rsidR="0094644B" w:rsidRPr="00F07779" w14:paraId="425ABBD5" w14:textId="77777777" w:rsidTr="00FB5086">
        <w:tc>
          <w:tcPr>
            <w:tcW w:w="2973" w:type="dxa"/>
          </w:tcPr>
          <w:p w14:paraId="2EB54C17" w14:textId="77777777" w:rsidR="0094644B" w:rsidRPr="00FA3F57" w:rsidRDefault="0094644B" w:rsidP="00FB5086">
            <w:pPr>
              <w:rPr>
                <w:sz w:val="20"/>
                <w:szCs w:val="20"/>
              </w:rPr>
            </w:pPr>
            <w:r w:rsidRPr="00FA3F57">
              <w:rPr>
                <w:sz w:val="20"/>
                <w:szCs w:val="20"/>
              </w:rPr>
              <w:t>Impact on EE, climate, and environmental protection</w:t>
            </w:r>
          </w:p>
        </w:tc>
        <w:tc>
          <w:tcPr>
            <w:tcW w:w="5669" w:type="dxa"/>
          </w:tcPr>
          <w:p w14:paraId="7C34CA4B" w14:textId="77777777" w:rsidR="0094644B" w:rsidRPr="00FA3F57" w:rsidRDefault="0094644B" w:rsidP="00FB5086">
            <w:pPr>
              <w:rPr>
                <w:sz w:val="20"/>
                <w:szCs w:val="20"/>
              </w:rPr>
            </w:pPr>
            <w:r w:rsidRPr="00FA3F57">
              <w:rPr>
                <w:sz w:val="20"/>
                <w:szCs w:val="20"/>
              </w:rPr>
              <w:t xml:space="preserve">Annual reduction in greenhouse gas emissions </w:t>
            </w:r>
          </w:p>
          <w:p w14:paraId="1041AB71" w14:textId="77777777" w:rsidR="0094644B" w:rsidRPr="00FA3F57" w:rsidRDefault="0094644B" w:rsidP="00FB5086">
            <w:pPr>
              <w:rPr>
                <w:sz w:val="20"/>
                <w:szCs w:val="20"/>
              </w:rPr>
            </w:pPr>
            <w:r w:rsidRPr="00FA3F57">
              <w:rPr>
                <w:sz w:val="20"/>
                <w:szCs w:val="20"/>
              </w:rPr>
              <w:t>30,066 CO2e /year.</w:t>
            </w:r>
          </w:p>
        </w:tc>
      </w:tr>
    </w:tbl>
    <w:p w14:paraId="2DE4B38C" w14:textId="77777777" w:rsidR="0094644B" w:rsidRPr="00FA3F57" w:rsidRDefault="0094644B" w:rsidP="0094644B">
      <w:pPr>
        <w:tabs>
          <w:tab w:val="left" w:pos="284"/>
        </w:tabs>
      </w:pPr>
    </w:p>
    <w:p w14:paraId="39C8BB2E" w14:textId="77777777" w:rsidR="0094644B" w:rsidRPr="00FA3F57" w:rsidRDefault="0094644B" w:rsidP="0094644B">
      <w:pPr>
        <w:tabs>
          <w:tab w:val="left" w:pos="1276"/>
          <w:tab w:val="left" w:pos="1560"/>
        </w:tabs>
        <w:ind w:left="1440" w:hanging="1440"/>
      </w:pPr>
      <w:r w:rsidRPr="00FA3F57">
        <w:t>Table 5.4.3-8:</w:t>
      </w:r>
      <w:r w:rsidRPr="00FA3F57">
        <w:tab/>
        <w:t>Activity for the implementation of the measure EE1 - Activity ЕЕ1.8/9.8/10.4</w:t>
      </w:r>
    </w:p>
    <w:tbl>
      <w:tblPr>
        <w:tblStyle w:val="TableGrid"/>
        <w:tblW w:w="0" w:type="auto"/>
        <w:tblLook w:val="04A0" w:firstRow="1" w:lastRow="0" w:firstColumn="1" w:lastColumn="0" w:noHBand="0" w:noVBand="1"/>
      </w:tblPr>
      <w:tblGrid>
        <w:gridCol w:w="2973"/>
        <w:gridCol w:w="5669"/>
      </w:tblGrid>
      <w:tr w:rsidR="0094644B" w:rsidRPr="00F07779" w14:paraId="43E66619" w14:textId="77777777" w:rsidTr="00FB5086">
        <w:tc>
          <w:tcPr>
            <w:tcW w:w="2973" w:type="dxa"/>
            <w:shd w:val="clear" w:color="auto" w:fill="D9D9D9" w:themeFill="background1" w:themeFillShade="D9"/>
          </w:tcPr>
          <w:p w14:paraId="64C1ABD3" w14:textId="77777777" w:rsidR="0094644B" w:rsidRPr="00FA3F57" w:rsidRDefault="0094644B" w:rsidP="00FB5086">
            <w:pPr>
              <w:rPr>
                <w:sz w:val="20"/>
                <w:szCs w:val="20"/>
              </w:rPr>
            </w:pPr>
            <w:r w:rsidRPr="00FA3F57">
              <w:rPr>
                <w:sz w:val="20"/>
                <w:szCs w:val="20"/>
              </w:rPr>
              <w:t>Activity ЕЕ1.8/9.8/10.4</w:t>
            </w:r>
          </w:p>
        </w:tc>
        <w:tc>
          <w:tcPr>
            <w:tcW w:w="5669" w:type="dxa"/>
            <w:shd w:val="clear" w:color="auto" w:fill="D9D9D9" w:themeFill="background1" w:themeFillShade="D9"/>
          </w:tcPr>
          <w:p w14:paraId="74E9AEDE" w14:textId="77777777" w:rsidR="0094644B" w:rsidRPr="00FA3F57" w:rsidRDefault="0094644B" w:rsidP="00FB5086">
            <w:pPr>
              <w:rPr>
                <w:sz w:val="20"/>
                <w:szCs w:val="20"/>
              </w:rPr>
            </w:pPr>
            <w:r w:rsidRPr="00F07779">
              <w:rPr>
                <w:sz w:val="20"/>
                <w:szCs w:val="20"/>
              </w:rPr>
              <w:t xml:space="preserve">Energy efficiency in central government buildings </w:t>
            </w:r>
          </w:p>
        </w:tc>
      </w:tr>
      <w:tr w:rsidR="0094644B" w:rsidRPr="00F07779" w14:paraId="7E4FFD9F" w14:textId="77777777" w:rsidTr="00FB5086">
        <w:tc>
          <w:tcPr>
            <w:tcW w:w="2973" w:type="dxa"/>
          </w:tcPr>
          <w:p w14:paraId="78E792D6" w14:textId="77777777" w:rsidR="0094644B" w:rsidRPr="00FA3F57" w:rsidRDefault="0094644B" w:rsidP="00FB5086">
            <w:pPr>
              <w:rPr>
                <w:sz w:val="20"/>
                <w:szCs w:val="20"/>
              </w:rPr>
            </w:pPr>
            <w:r w:rsidRPr="00FA3F57">
              <w:rPr>
                <w:sz w:val="20"/>
                <w:szCs w:val="20"/>
              </w:rPr>
              <w:t>Description</w:t>
            </w:r>
          </w:p>
        </w:tc>
        <w:tc>
          <w:tcPr>
            <w:tcW w:w="5669" w:type="dxa"/>
          </w:tcPr>
          <w:p w14:paraId="66F92010" w14:textId="77777777" w:rsidR="0094644B" w:rsidRPr="00FA3F57" w:rsidRDefault="0094644B" w:rsidP="00FB5086">
            <w:r w:rsidRPr="00F07779">
              <w:rPr>
                <w:sz w:val="20"/>
                <w:szCs w:val="20"/>
              </w:rPr>
              <w:t>The Ministry of Mining and Energy has launched the project 'Energy Efficiency in Central Government Buildings (EECG Project)' aimed at implementing energy rehabilitation of central government buildings. The EECG Project includes improving the energy efficiency of 26 out of a total of 56 central government buildings (CGB). In these central government buildings, energy renovation will be carried out through the reconstruction of the thermal envelope (replacement of joinery and installation of insulation), reconstruction of the heating system, reconstruction of the cooling and ventilation system in buildings where it exists, as well as the installation of energy-efficient interior lighting, which will achieve energy savings in these buildings of about 30%.</w:t>
            </w:r>
          </w:p>
        </w:tc>
      </w:tr>
      <w:tr w:rsidR="0094644B" w:rsidRPr="00F07779" w14:paraId="065F22B7" w14:textId="77777777" w:rsidTr="00FB5086">
        <w:tc>
          <w:tcPr>
            <w:tcW w:w="2973" w:type="dxa"/>
          </w:tcPr>
          <w:p w14:paraId="5DC1A79C" w14:textId="77777777" w:rsidR="0094644B" w:rsidRPr="00FA3F57" w:rsidRDefault="0094644B" w:rsidP="00FB5086">
            <w:pPr>
              <w:rPr>
                <w:sz w:val="20"/>
                <w:szCs w:val="20"/>
              </w:rPr>
            </w:pPr>
            <w:r w:rsidRPr="00FA3F57">
              <w:rPr>
                <w:sz w:val="20"/>
                <w:szCs w:val="20"/>
              </w:rPr>
              <w:t>Institutions responsible for the implementation of measures and activities</w:t>
            </w:r>
          </w:p>
        </w:tc>
        <w:tc>
          <w:tcPr>
            <w:tcW w:w="5669" w:type="dxa"/>
          </w:tcPr>
          <w:p w14:paraId="6947E668" w14:textId="77777777" w:rsidR="0094644B" w:rsidRPr="00FA3F57" w:rsidRDefault="0094644B" w:rsidP="00FB5086">
            <w:pPr>
              <w:rPr>
                <w:sz w:val="20"/>
                <w:szCs w:val="20"/>
              </w:rPr>
            </w:pPr>
            <w:r w:rsidRPr="00F07779">
              <w:rPr>
                <w:sz w:val="20"/>
                <w:szCs w:val="20"/>
              </w:rPr>
              <w:t xml:space="preserve">The Ministry of Mining and Energy of the Republic of Serbia (MoME), in partnership with the Development Bank of the Council of Europe and in close cooperation with the United Nations Development </w:t>
            </w:r>
            <w:proofErr w:type="spellStart"/>
            <w:r w:rsidRPr="00F07779">
              <w:rPr>
                <w:sz w:val="20"/>
                <w:szCs w:val="20"/>
              </w:rPr>
              <w:t>Programme</w:t>
            </w:r>
            <w:proofErr w:type="spellEnd"/>
            <w:r w:rsidRPr="00F07779">
              <w:rPr>
                <w:sz w:val="20"/>
                <w:szCs w:val="20"/>
              </w:rPr>
              <w:t xml:space="preserve"> (UNDP) as well as the Directorate for Joint Affairs of Republic Authorities (DJARA), is implementing the project "Energy Efficiency in Central Government Buildings (EECG)" and the renovation of CGB.</w:t>
            </w:r>
          </w:p>
        </w:tc>
      </w:tr>
      <w:tr w:rsidR="0094644B" w:rsidRPr="00F07779" w14:paraId="0AC87C14" w14:textId="77777777" w:rsidTr="00FB5086">
        <w:tc>
          <w:tcPr>
            <w:tcW w:w="2973" w:type="dxa"/>
          </w:tcPr>
          <w:p w14:paraId="0AC36E6C" w14:textId="77777777" w:rsidR="0094644B" w:rsidRPr="00FA3F57" w:rsidRDefault="0094644B" w:rsidP="00FB5086">
            <w:pPr>
              <w:rPr>
                <w:sz w:val="20"/>
                <w:szCs w:val="20"/>
              </w:rPr>
            </w:pPr>
            <w:r w:rsidRPr="00FA3F57">
              <w:rPr>
                <w:sz w:val="20"/>
                <w:szCs w:val="20"/>
              </w:rPr>
              <w:lastRenderedPageBreak/>
              <w:t>Institutions responsible for monitoring implementation and reporting on the realization</w:t>
            </w:r>
          </w:p>
        </w:tc>
        <w:tc>
          <w:tcPr>
            <w:tcW w:w="5669" w:type="dxa"/>
          </w:tcPr>
          <w:p w14:paraId="066FD199" w14:textId="77777777" w:rsidR="0094644B" w:rsidRPr="00FA3F57" w:rsidRDefault="0094644B" w:rsidP="00FB5086">
            <w:pPr>
              <w:rPr>
                <w:sz w:val="20"/>
                <w:szCs w:val="20"/>
              </w:rPr>
            </w:pPr>
            <w:r w:rsidRPr="00F07779">
              <w:rPr>
                <w:sz w:val="20"/>
                <w:szCs w:val="20"/>
              </w:rPr>
              <w:t>UNDP and MoME</w:t>
            </w:r>
          </w:p>
        </w:tc>
      </w:tr>
      <w:tr w:rsidR="0094644B" w:rsidRPr="00F07779" w14:paraId="6DE5893A" w14:textId="77777777" w:rsidTr="00FB5086">
        <w:tc>
          <w:tcPr>
            <w:tcW w:w="2973" w:type="dxa"/>
          </w:tcPr>
          <w:p w14:paraId="484CC629" w14:textId="77777777" w:rsidR="0094644B" w:rsidRPr="00FA3F57" w:rsidRDefault="0094644B" w:rsidP="00FB5086">
            <w:pPr>
              <w:rPr>
                <w:sz w:val="20"/>
                <w:szCs w:val="20"/>
              </w:rPr>
            </w:pPr>
            <w:r w:rsidRPr="00FA3F57">
              <w:rPr>
                <w:sz w:val="20"/>
                <w:szCs w:val="20"/>
              </w:rPr>
              <w:t>Deadline for implementation</w:t>
            </w:r>
          </w:p>
        </w:tc>
        <w:tc>
          <w:tcPr>
            <w:tcW w:w="5669" w:type="dxa"/>
          </w:tcPr>
          <w:p w14:paraId="445AE3E4" w14:textId="77777777" w:rsidR="0094644B" w:rsidRPr="00FA3F57" w:rsidRDefault="0094644B" w:rsidP="00FB5086">
            <w:pPr>
              <w:rPr>
                <w:sz w:val="20"/>
                <w:szCs w:val="20"/>
              </w:rPr>
            </w:pPr>
            <w:r w:rsidRPr="00FA3F57">
              <w:rPr>
                <w:sz w:val="20"/>
                <w:szCs w:val="20"/>
              </w:rPr>
              <w:t xml:space="preserve">Project </w:t>
            </w:r>
            <w:proofErr w:type="gramStart"/>
            <w:r w:rsidRPr="00FA3F57">
              <w:rPr>
                <w:sz w:val="20"/>
                <w:szCs w:val="20"/>
              </w:rPr>
              <w:t>implementation</w:t>
            </w:r>
            <w:proofErr w:type="gramEnd"/>
            <w:r w:rsidRPr="00FA3F57">
              <w:rPr>
                <w:sz w:val="20"/>
                <w:szCs w:val="20"/>
              </w:rPr>
              <w:t xml:space="preserve"> start: 2022Completion of project implementation: 2028</w:t>
            </w:r>
          </w:p>
        </w:tc>
      </w:tr>
      <w:tr w:rsidR="0094644B" w:rsidRPr="00F07779" w14:paraId="61AF3DE2" w14:textId="77777777" w:rsidTr="00FB5086">
        <w:tc>
          <w:tcPr>
            <w:tcW w:w="2973" w:type="dxa"/>
          </w:tcPr>
          <w:p w14:paraId="19CE6963" w14:textId="77777777" w:rsidR="0094644B" w:rsidRPr="00FA3F57" w:rsidRDefault="0094644B" w:rsidP="00FB5086">
            <w:pPr>
              <w:rPr>
                <w:sz w:val="20"/>
                <w:szCs w:val="20"/>
              </w:rPr>
            </w:pPr>
            <w:r w:rsidRPr="00FA3F57">
              <w:rPr>
                <w:sz w:val="20"/>
                <w:szCs w:val="20"/>
              </w:rPr>
              <w:t>Required funds and source of financing</w:t>
            </w:r>
          </w:p>
        </w:tc>
        <w:tc>
          <w:tcPr>
            <w:tcW w:w="5669" w:type="dxa"/>
          </w:tcPr>
          <w:p w14:paraId="1EADC36C" w14:textId="77777777" w:rsidR="0094644B" w:rsidRPr="00F07779" w:rsidRDefault="0094644B" w:rsidP="00FB5086">
            <w:pPr>
              <w:rPr>
                <w:sz w:val="20"/>
                <w:szCs w:val="20"/>
              </w:rPr>
            </w:pPr>
            <w:r w:rsidRPr="00FA3F57">
              <w:rPr>
                <w:sz w:val="20"/>
                <w:szCs w:val="20"/>
              </w:rPr>
              <w:t>During 2024, the Ministry's internal capacities estimated that the value of the project would be approximately EUR 80,000,000.00.</w:t>
            </w:r>
          </w:p>
          <w:p w14:paraId="0B2ED284" w14:textId="77777777" w:rsidR="0094644B" w:rsidRPr="00FA3F57" w:rsidRDefault="0094644B" w:rsidP="0094644B">
            <w:pPr>
              <w:pStyle w:val="ListParagraph"/>
              <w:numPr>
                <w:ilvl w:val="0"/>
                <w:numId w:val="42"/>
              </w:numPr>
              <w:ind w:left="178" w:hanging="178"/>
              <w:rPr>
                <w:noProof w:val="0"/>
                <w:sz w:val="20"/>
                <w:szCs w:val="20"/>
              </w:rPr>
            </w:pPr>
            <w:r w:rsidRPr="00FA3F57">
              <w:rPr>
                <w:rFonts w:ascii="Times New Roman" w:hAnsi="Times New Roman" w:cs="Times New Roman"/>
                <w:noProof w:val="0"/>
                <w:sz w:val="20"/>
                <w:szCs w:val="20"/>
              </w:rPr>
              <w:t xml:space="preserve">Framework Loan Agreement between the Council of Europe Development Bank (CEB) and the Republic of Serbia, of EUR </w:t>
            </w:r>
            <w:proofErr w:type="gramStart"/>
            <w:r w:rsidRPr="00FA3F57">
              <w:rPr>
                <w:rFonts w:ascii="Times New Roman" w:hAnsi="Times New Roman" w:cs="Times New Roman"/>
                <w:noProof w:val="0"/>
                <w:sz w:val="20"/>
                <w:szCs w:val="20"/>
              </w:rPr>
              <w:t>40,000,000.00;</w:t>
            </w:r>
            <w:proofErr w:type="gramEnd"/>
          </w:p>
          <w:p w14:paraId="1E4EC1FC" w14:textId="77777777" w:rsidR="0094644B" w:rsidRPr="00FA3F57" w:rsidRDefault="0094644B" w:rsidP="0094644B">
            <w:pPr>
              <w:pStyle w:val="ListParagraph"/>
              <w:numPr>
                <w:ilvl w:val="0"/>
                <w:numId w:val="42"/>
              </w:numPr>
              <w:ind w:left="178" w:hanging="178"/>
              <w:rPr>
                <w:noProof w:val="0"/>
                <w:sz w:val="20"/>
                <w:szCs w:val="20"/>
              </w:rPr>
            </w:pPr>
            <w:r w:rsidRPr="00FA3F57">
              <w:rPr>
                <w:rFonts w:ascii="Times New Roman" w:hAnsi="Times New Roman" w:cs="Times New Roman"/>
                <w:noProof w:val="0"/>
                <w:sz w:val="20"/>
                <w:szCs w:val="20"/>
              </w:rPr>
              <w:t>Agreement on a donation from the Western Balkans Investment Framework (</w:t>
            </w:r>
            <w:proofErr w:type="spellStart"/>
            <w:r w:rsidRPr="00FA3F57">
              <w:rPr>
                <w:rFonts w:ascii="Times New Roman" w:hAnsi="Times New Roman" w:cs="Times New Roman"/>
                <w:noProof w:val="0"/>
                <w:sz w:val="20"/>
                <w:szCs w:val="20"/>
              </w:rPr>
              <w:t>WBiF</w:t>
            </w:r>
            <w:proofErr w:type="spellEnd"/>
            <w:r w:rsidRPr="00FA3F57">
              <w:rPr>
                <w:rFonts w:ascii="Times New Roman" w:hAnsi="Times New Roman" w:cs="Times New Roman"/>
                <w:noProof w:val="0"/>
                <w:sz w:val="20"/>
                <w:szCs w:val="20"/>
              </w:rPr>
              <w:t xml:space="preserve">) funds (EUR 300,000.00), which have been </w:t>
            </w:r>
            <w:proofErr w:type="gramStart"/>
            <w:r w:rsidRPr="00FA3F57">
              <w:rPr>
                <w:rFonts w:ascii="Times New Roman" w:hAnsi="Times New Roman" w:cs="Times New Roman"/>
                <w:noProof w:val="0"/>
                <w:sz w:val="20"/>
                <w:szCs w:val="20"/>
              </w:rPr>
              <w:t>used;</w:t>
            </w:r>
            <w:proofErr w:type="gramEnd"/>
          </w:p>
          <w:p w14:paraId="4E74A495" w14:textId="77777777" w:rsidR="0094644B" w:rsidRPr="00FA3F57" w:rsidRDefault="0094644B" w:rsidP="0094644B">
            <w:pPr>
              <w:pStyle w:val="ListParagraph"/>
              <w:numPr>
                <w:ilvl w:val="0"/>
                <w:numId w:val="42"/>
              </w:numPr>
              <w:ind w:left="178" w:hanging="178"/>
              <w:rPr>
                <w:noProof w:val="0"/>
                <w:sz w:val="20"/>
                <w:szCs w:val="20"/>
              </w:rPr>
            </w:pPr>
            <w:r w:rsidRPr="00FA3F57">
              <w:rPr>
                <w:rFonts w:ascii="Times New Roman" w:hAnsi="Times New Roman" w:cs="Times New Roman"/>
                <w:noProof w:val="0"/>
                <w:sz w:val="20"/>
                <w:szCs w:val="20"/>
              </w:rPr>
              <w:t xml:space="preserve">Donation Agreement from the funds of the Slovak Inclusive Growth Account (SIGA) (EUR 400,000.00) and the Spanish Social Cohesion Account (SCA) (EUR 200,000.00), which have been </w:t>
            </w:r>
            <w:proofErr w:type="gramStart"/>
            <w:r w:rsidRPr="00FA3F57">
              <w:rPr>
                <w:rFonts w:ascii="Times New Roman" w:hAnsi="Times New Roman" w:cs="Times New Roman"/>
                <w:noProof w:val="0"/>
                <w:sz w:val="20"/>
                <w:szCs w:val="20"/>
              </w:rPr>
              <w:t>used;</w:t>
            </w:r>
            <w:proofErr w:type="gramEnd"/>
          </w:p>
          <w:p w14:paraId="6BDABF45" w14:textId="77777777" w:rsidR="0094644B" w:rsidRPr="00FA3F57" w:rsidRDefault="0094644B" w:rsidP="0094644B">
            <w:pPr>
              <w:pStyle w:val="ListParagraph"/>
              <w:numPr>
                <w:ilvl w:val="0"/>
                <w:numId w:val="42"/>
              </w:numPr>
              <w:ind w:left="178" w:hanging="178"/>
              <w:rPr>
                <w:noProof w:val="0"/>
                <w:sz w:val="20"/>
                <w:szCs w:val="20"/>
              </w:rPr>
            </w:pPr>
            <w:r w:rsidRPr="00FA3F57">
              <w:rPr>
                <w:rFonts w:ascii="Times New Roman" w:hAnsi="Times New Roman" w:cs="Times New Roman"/>
                <w:noProof w:val="0"/>
                <w:sz w:val="20"/>
                <w:szCs w:val="20"/>
              </w:rPr>
              <w:t>UNDP has provided a grant of USD 120,000.00.</w:t>
            </w:r>
          </w:p>
          <w:p w14:paraId="41E89D6C" w14:textId="77777777" w:rsidR="0094644B" w:rsidRPr="00F07779" w:rsidRDefault="0094644B" w:rsidP="00FB5086">
            <w:pPr>
              <w:rPr>
                <w:sz w:val="20"/>
                <w:szCs w:val="20"/>
              </w:rPr>
            </w:pPr>
            <w:r w:rsidRPr="00FA3F57">
              <w:rPr>
                <w:sz w:val="20"/>
                <w:szCs w:val="20"/>
              </w:rPr>
              <w:t>The total loan amount is EUR 40,000,000.00, with the obligation of the Republic of Serbia to provide 10% of the loan amount from its budget.</w:t>
            </w:r>
          </w:p>
          <w:p w14:paraId="13EC0CAE" w14:textId="77777777" w:rsidR="0094644B" w:rsidRPr="00FA3F57" w:rsidRDefault="0094644B" w:rsidP="00FB5086">
            <w:pPr>
              <w:rPr>
                <w:sz w:val="20"/>
                <w:szCs w:val="20"/>
              </w:rPr>
            </w:pPr>
            <w:r w:rsidRPr="00FA3F57">
              <w:rPr>
                <w:sz w:val="20"/>
                <w:szCs w:val="20"/>
              </w:rPr>
              <w:t>The total grant amount is EUR 1,020,000.00.</w:t>
            </w:r>
          </w:p>
        </w:tc>
      </w:tr>
      <w:tr w:rsidR="0094644B" w:rsidRPr="00F07779" w14:paraId="15F822A5" w14:textId="77777777" w:rsidTr="00FB5086">
        <w:tc>
          <w:tcPr>
            <w:tcW w:w="2973" w:type="dxa"/>
          </w:tcPr>
          <w:p w14:paraId="1AE5FCAB" w14:textId="77777777" w:rsidR="0094644B" w:rsidRPr="00FA3F57" w:rsidRDefault="0094644B" w:rsidP="00FB5086">
            <w:pPr>
              <w:rPr>
                <w:sz w:val="20"/>
                <w:szCs w:val="20"/>
              </w:rPr>
            </w:pPr>
            <w:r w:rsidRPr="00FA3F57">
              <w:rPr>
                <w:sz w:val="20"/>
                <w:szCs w:val="20"/>
              </w:rPr>
              <w:t>Implementation indicator</w:t>
            </w:r>
          </w:p>
        </w:tc>
        <w:tc>
          <w:tcPr>
            <w:tcW w:w="5669" w:type="dxa"/>
          </w:tcPr>
          <w:p w14:paraId="041ADF60" w14:textId="77777777" w:rsidR="0094644B" w:rsidRPr="00FA3F57" w:rsidRDefault="0094644B" w:rsidP="00FB5086">
            <w:pPr>
              <w:rPr>
                <w:sz w:val="20"/>
                <w:szCs w:val="20"/>
              </w:rPr>
            </w:pPr>
            <w:r w:rsidRPr="00FA3F57">
              <w:rPr>
                <w:sz w:val="20"/>
                <w:szCs w:val="20"/>
              </w:rPr>
              <w:t>Number of renovated central government buildings, m² renovated.</w:t>
            </w:r>
          </w:p>
        </w:tc>
      </w:tr>
      <w:tr w:rsidR="0094644B" w:rsidRPr="00F07779" w14:paraId="4DF8E393" w14:textId="77777777" w:rsidTr="00FB5086">
        <w:tc>
          <w:tcPr>
            <w:tcW w:w="2973" w:type="dxa"/>
          </w:tcPr>
          <w:p w14:paraId="6B55D354" w14:textId="77777777" w:rsidR="0094644B" w:rsidRPr="00FA3F57" w:rsidRDefault="0094644B" w:rsidP="00FB5086">
            <w:pPr>
              <w:rPr>
                <w:sz w:val="20"/>
                <w:szCs w:val="20"/>
              </w:rPr>
            </w:pPr>
            <w:r w:rsidRPr="00FA3F57">
              <w:rPr>
                <w:sz w:val="20"/>
                <w:szCs w:val="20"/>
              </w:rPr>
              <w:t>Impact of the activity on the achievement of the objective</w:t>
            </w:r>
          </w:p>
        </w:tc>
        <w:tc>
          <w:tcPr>
            <w:tcW w:w="5669" w:type="dxa"/>
          </w:tcPr>
          <w:p w14:paraId="569930FB" w14:textId="77777777" w:rsidR="0094644B" w:rsidRPr="00FA3F57" w:rsidRDefault="0094644B" w:rsidP="00FB5086">
            <w:pPr>
              <w:rPr>
                <w:sz w:val="20"/>
                <w:szCs w:val="20"/>
              </w:rPr>
            </w:pPr>
            <w:r w:rsidRPr="00FA3F57">
              <w:rPr>
                <w:sz w:val="20"/>
                <w:szCs w:val="20"/>
              </w:rPr>
              <w:t>Activity contributes to the</w:t>
            </w:r>
            <w:r w:rsidRPr="00F07779">
              <w:rPr>
                <w:sz w:val="20"/>
                <w:szCs w:val="20"/>
              </w:rPr>
              <w:t xml:space="preserve"> objective.</w:t>
            </w:r>
          </w:p>
        </w:tc>
      </w:tr>
      <w:tr w:rsidR="0094644B" w:rsidRPr="00F07779" w14:paraId="6AC20563" w14:textId="77777777" w:rsidTr="00FB5086">
        <w:tc>
          <w:tcPr>
            <w:tcW w:w="2973" w:type="dxa"/>
          </w:tcPr>
          <w:p w14:paraId="603F68CD" w14:textId="77777777" w:rsidR="0094644B" w:rsidRPr="00FA3F57" w:rsidRDefault="0094644B" w:rsidP="00FB5086">
            <w:pPr>
              <w:rPr>
                <w:sz w:val="20"/>
                <w:szCs w:val="20"/>
              </w:rPr>
            </w:pPr>
            <w:r w:rsidRPr="00FA3F57">
              <w:rPr>
                <w:sz w:val="20"/>
                <w:szCs w:val="20"/>
              </w:rPr>
              <w:t>Impact on EE, climate, and environmental protection</w:t>
            </w:r>
          </w:p>
        </w:tc>
        <w:tc>
          <w:tcPr>
            <w:tcW w:w="5669" w:type="dxa"/>
            <w:vAlign w:val="center"/>
          </w:tcPr>
          <w:p w14:paraId="7BA4579C" w14:textId="77777777" w:rsidR="0094644B" w:rsidRPr="00FA3F57" w:rsidRDefault="0094644B" w:rsidP="00FB5086">
            <w:pPr>
              <w:rPr>
                <w:sz w:val="20"/>
                <w:szCs w:val="20"/>
              </w:rPr>
            </w:pPr>
            <w:r w:rsidRPr="00FA3F57">
              <w:rPr>
                <w:sz w:val="20"/>
                <w:szCs w:val="20"/>
              </w:rPr>
              <w:t>At the level of the entire project, annual energy savings of 22 GWh are expected, with an annual reduction in CO</w:t>
            </w:r>
            <w:r w:rsidRPr="00FA3F57">
              <w:rPr>
                <w:sz w:val="20"/>
                <w:szCs w:val="20"/>
                <w:vertAlign w:val="subscript"/>
              </w:rPr>
              <w:t>2</w:t>
            </w:r>
            <w:r w:rsidRPr="00FA3F57">
              <w:rPr>
                <w:sz w:val="20"/>
                <w:szCs w:val="20"/>
              </w:rPr>
              <w:t xml:space="preserve"> emissions of 7,350 tons.</w:t>
            </w:r>
          </w:p>
        </w:tc>
      </w:tr>
    </w:tbl>
    <w:p w14:paraId="3055A1C6" w14:textId="77777777" w:rsidR="0094644B" w:rsidRPr="00FA3F57" w:rsidRDefault="0094644B" w:rsidP="0094644B">
      <w:pPr>
        <w:tabs>
          <w:tab w:val="left" w:pos="284"/>
        </w:tabs>
      </w:pPr>
    </w:p>
    <w:p w14:paraId="602BF79A" w14:textId="77777777" w:rsidR="0094644B" w:rsidRPr="00FA3F57" w:rsidRDefault="0094644B" w:rsidP="0094644B">
      <w:pPr>
        <w:keepNext/>
        <w:tabs>
          <w:tab w:val="left" w:pos="1560"/>
        </w:tabs>
      </w:pPr>
      <w:r w:rsidRPr="00FA3F57">
        <w:t>Table 5.4.3-9:</w:t>
      </w:r>
      <w:r w:rsidRPr="00FA3F57">
        <w:tab/>
        <w:t>Activity for the implementation of the measure EE1 - Activity ЕЕ1.9/9.9/10.5</w:t>
      </w:r>
    </w:p>
    <w:tbl>
      <w:tblPr>
        <w:tblStyle w:val="TableGrid"/>
        <w:tblW w:w="0" w:type="auto"/>
        <w:tblLook w:val="04A0" w:firstRow="1" w:lastRow="0" w:firstColumn="1" w:lastColumn="0" w:noHBand="0" w:noVBand="1"/>
      </w:tblPr>
      <w:tblGrid>
        <w:gridCol w:w="2933"/>
        <w:gridCol w:w="5782"/>
      </w:tblGrid>
      <w:tr w:rsidR="0094644B" w:rsidRPr="00F07779" w14:paraId="3227833D" w14:textId="77777777" w:rsidTr="00FB5086">
        <w:tc>
          <w:tcPr>
            <w:tcW w:w="2933" w:type="dxa"/>
            <w:shd w:val="clear" w:color="auto" w:fill="D9D9D9" w:themeFill="background1" w:themeFillShade="D9"/>
          </w:tcPr>
          <w:p w14:paraId="11C6C483" w14:textId="77777777" w:rsidR="0094644B" w:rsidRPr="00FA3F57" w:rsidRDefault="0094644B" w:rsidP="00FB5086">
            <w:pPr>
              <w:keepNext/>
              <w:rPr>
                <w:sz w:val="20"/>
                <w:szCs w:val="20"/>
              </w:rPr>
            </w:pPr>
            <w:r w:rsidRPr="00FA3F57">
              <w:rPr>
                <w:sz w:val="20"/>
                <w:szCs w:val="20"/>
              </w:rPr>
              <w:t>Activity ЕЕ1.9/9.9/10.5</w:t>
            </w:r>
          </w:p>
        </w:tc>
        <w:tc>
          <w:tcPr>
            <w:tcW w:w="5782" w:type="dxa"/>
            <w:shd w:val="clear" w:color="auto" w:fill="D9D9D9" w:themeFill="background1" w:themeFillShade="D9"/>
          </w:tcPr>
          <w:p w14:paraId="116D88D8" w14:textId="77777777" w:rsidR="0094644B" w:rsidRPr="00FA3F57" w:rsidRDefault="0094644B" w:rsidP="00FB5086">
            <w:pPr>
              <w:keepNext/>
              <w:rPr>
                <w:sz w:val="20"/>
                <w:szCs w:val="20"/>
              </w:rPr>
            </w:pPr>
            <w:r w:rsidRPr="00FA3F57">
              <w:rPr>
                <w:sz w:val="20"/>
                <w:szCs w:val="20"/>
              </w:rPr>
              <w:t xml:space="preserve">Thermal rehabilitation of facilities – Institute of Sport and Sports Medicine of the Republic of Serbia (SRC </w:t>
            </w:r>
            <w:proofErr w:type="spellStart"/>
            <w:r w:rsidRPr="00FA3F57">
              <w:rPr>
                <w:sz w:val="20"/>
                <w:szCs w:val="20"/>
              </w:rPr>
              <w:t>Košutnjak</w:t>
            </w:r>
            <w:proofErr w:type="spellEnd"/>
            <w:r w:rsidRPr="00FA3F57">
              <w:rPr>
                <w:sz w:val="20"/>
                <w:szCs w:val="20"/>
              </w:rPr>
              <w:t>)</w:t>
            </w:r>
          </w:p>
        </w:tc>
      </w:tr>
      <w:tr w:rsidR="0094644B" w:rsidRPr="00F07779" w14:paraId="1BA48679" w14:textId="77777777" w:rsidTr="00FB5086">
        <w:tc>
          <w:tcPr>
            <w:tcW w:w="2933" w:type="dxa"/>
          </w:tcPr>
          <w:p w14:paraId="30E27A8D" w14:textId="77777777" w:rsidR="0094644B" w:rsidRPr="00FA3F57" w:rsidRDefault="0094644B" w:rsidP="00FB5086">
            <w:pPr>
              <w:rPr>
                <w:sz w:val="20"/>
                <w:szCs w:val="20"/>
              </w:rPr>
            </w:pPr>
            <w:r w:rsidRPr="00FA3F57">
              <w:rPr>
                <w:sz w:val="20"/>
                <w:szCs w:val="20"/>
              </w:rPr>
              <w:t>Description</w:t>
            </w:r>
          </w:p>
        </w:tc>
        <w:tc>
          <w:tcPr>
            <w:tcW w:w="5782" w:type="dxa"/>
            <w:vAlign w:val="center"/>
          </w:tcPr>
          <w:p w14:paraId="7B844052" w14:textId="77777777" w:rsidR="0094644B" w:rsidRPr="00FA3F57" w:rsidRDefault="0094644B" w:rsidP="00FB5086">
            <w:pPr>
              <w:rPr>
                <w:sz w:val="20"/>
                <w:szCs w:val="20"/>
              </w:rPr>
            </w:pPr>
            <w:r w:rsidRPr="00FA3F57">
              <w:rPr>
                <w:sz w:val="20"/>
                <w:szCs w:val="20"/>
              </w:rPr>
              <w:t xml:space="preserve">The SRC </w:t>
            </w:r>
            <w:proofErr w:type="spellStart"/>
            <w:r w:rsidRPr="00FA3F57">
              <w:rPr>
                <w:sz w:val="20"/>
                <w:szCs w:val="20"/>
              </w:rPr>
              <w:t>Košutnjak</w:t>
            </w:r>
            <w:proofErr w:type="spellEnd"/>
            <w:r w:rsidRPr="00FA3F57">
              <w:rPr>
                <w:sz w:val="20"/>
                <w:szCs w:val="20"/>
              </w:rPr>
              <w:t xml:space="preserve"> building shows a clear lack of thermal insulation, especially in critical areas such as facade walls, ceilings, and slabs above basement rooms. This lack of proper insulation leads to significant energy inefficiency, resulting in higher heating and cooling needs, increased utility costs, and reduced user comfort. These problems highlight the need for urgent intervention to improve the building's thermal performance and bring it into line with modern energy efficiency standards.</w:t>
            </w:r>
          </w:p>
        </w:tc>
      </w:tr>
      <w:tr w:rsidR="0094644B" w:rsidRPr="00F07779" w14:paraId="7589A407" w14:textId="77777777" w:rsidTr="00FB5086">
        <w:tc>
          <w:tcPr>
            <w:tcW w:w="2933" w:type="dxa"/>
          </w:tcPr>
          <w:p w14:paraId="11C78D07" w14:textId="77777777" w:rsidR="0094644B" w:rsidRPr="00FA3F57" w:rsidRDefault="0094644B" w:rsidP="00FB5086">
            <w:pPr>
              <w:rPr>
                <w:sz w:val="20"/>
                <w:szCs w:val="20"/>
              </w:rPr>
            </w:pPr>
            <w:r w:rsidRPr="00FA3F57">
              <w:rPr>
                <w:sz w:val="20"/>
                <w:szCs w:val="20"/>
              </w:rPr>
              <w:t>Institutions responsible for the implementation of measures and activities</w:t>
            </w:r>
          </w:p>
        </w:tc>
        <w:tc>
          <w:tcPr>
            <w:tcW w:w="5782" w:type="dxa"/>
          </w:tcPr>
          <w:p w14:paraId="2F79FA72" w14:textId="77777777" w:rsidR="0094644B" w:rsidRPr="00FA3F57" w:rsidRDefault="0094644B" w:rsidP="00FB5086">
            <w:pPr>
              <w:rPr>
                <w:sz w:val="20"/>
                <w:szCs w:val="20"/>
              </w:rPr>
            </w:pPr>
            <w:r w:rsidRPr="00FA3F57">
              <w:rPr>
                <w:sz w:val="20"/>
                <w:szCs w:val="20"/>
              </w:rPr>
              <w:t xml:space="preserve">МMЕ, Ministry of Youth and Sports, Ministry of Finance – CFCA, SRC </w:t>
            </w:r>
            <w:proofErr w:type="spellStart"/>
            <w:r w:rsidRPr="00FA3F57">
              <w:rPr>
                <w:sz w:val="20"/>
                <w:szCs w:val="20"/>
              </w:rPr>
              <w:t>Košutnjak</w:t>
            </w:r>
            <w:proofErr w:type="spellEnd"/>
          </w:p>
        </w:tc>
      </w:tr>
      <w:tr w:rsidR="0094644B" w:rsidRPr="00F07779" w14:paraId="0F299ACB" w14:textId="77777777" w:rsidTr="00FB5086">
        <w:tc>
          <w:tcPr>
            <w:tcW w:w="2933" w:type="dxa"/>
          </w:tcPr>
          <w:p w14:paraId="3C669EB9" w14:textId="77777777" w:rsidR="0094644B" w:rsidRPr="00FA3F57" w:rsidRDefault="0094644B" w:rsidP="00FB5086">
            <w:pPr>
              <w:rPr>
                <w:sz w:val="20"/>
                <w:szCs w:val="20"/>
              </w:rPr>
            </w:pPr>
            <w:r w:rsidRPr="00FA3F57">
              <w:rPr>
                <w:sz w:val="20"/>
                <w:szCs w:val="20"/>
              </w:rPr>
              <w:t>Institutions responsible for monitoring implementation and reporting on the realization</w:t>
            </w:r>
          </w:p>
        </w:tc>
        <w:tc>
          <w:tcPr>
            <w:tcW w:w="5782" w:type="dxa"/>
          </w:tcPr>
          <w:p w14:paraId="47E3F48D" w14:textId="77777777" w:rsidR="0094644B" w:rsidRPr="00FA3F57" w:rsidRDefault="0094644B" w:rsidP="00FB5086">
            <w:pPr>
              <w:rPr>
                <w:sz w:val="20"/>
                <w:szCs w:val="20"/>
              </w:rPr>
            </w:pPr>
            <w:r w:rsidRPr="00FA3F57">
              <w:rPr>
                <w:sz w:val="20"/>
                <w:szCs w:val="20"/>
              </w:rPr>
              <w:t xml:space="preserve">SRC </w:t>
            </w:r>
            <w:proofErr w:type="spellStart"/>
            <w:r w:rsidRPr="00FA3F57">
              <w:rPr>
                <w:sz w:val="20"/>
                <w:szCs w:val="20"/>
              </w:rPr>
              <w:t>Košutnjak</w:t>
            </w:r>
            <w:proofErr w:type="spellEnd"/>
            <w:r w:rsidRPr="00FA3F57">
              <w:rPr>
                <w:sz w:val="20"/>
                <w:szCs w:val="20"/>
              </w:rPr>
              <w:t xml:space="preserve">, Ministry of Youth and Sports, </w:t>
            </w:r>
            <w:r w:rsidRPr="00F07779">
              <w:rPr>
                <w:sz w:val="20"/>
                <w:szCs w:val="20"/>
              </w:rPr>
              <w:t>Ministry of Finance – CFCA</w:t>
            </w:r>
            <w:r w:rsidRPr="00FA3F57">
              <w:rPr>
                <w:sz w:val="20"/>
                <w:szCs w:val="20"/>
              </w:rPr>
              <w:t>, МMЕ</w:t>
            </w:r>
          </w:p>
        </w:tc>
      </w:tr>
      <w:tr w:rsidR="0094644B" w:rsidRPr="00F07779" w14:paraId="4473FB5B" w14:textId="77777777" w:rsidTr="00FB5086">
        <w:tc>
          <w:tcPr>
            <w:tcW w:w="2933" w:type="dxa"/>
          </w:tcPr>
          <w:p w14:paraId="4A2421DB" w14:textId="77777777" w:rsidR="0094644B" w:rsidRPr="00FA3F57" w:rsidRDefault="0094644B" w:rsidP="00FB5086">
            <w:pPr>
              <w:rPr>
                <w:sz w:val="20"/>
                <w:szCs w:val="20"/>
              </w:rPr>
            </w:pPr>
            <w:r w:rsidRPr="00FA3F57">
              <w:rPr>
                <w:sz w:val="20"/>
                <w:szCs w:val="20"/>
              </w:rPr>
              <w:t>Deadline for implementation</w:t>
            </w:r>
          </w:p>
        </w:tc>
        <w:tc>
          <w:tcPr>
            <w:tcW w:w="5782" w:type="dxa"/>
          </w:tcPr>
          <w:p w14:paraId="6733ACAB" w14:textId="77777777" w:rsidR="0094644B" w:rsidRPr="00FA3F57" w:rsidRDefault="0094644B" w:rsidP="00FB5086">
            <w:pPr>
              <w:rPr>
                <w:sz w:val="20"/>
                <w:szCs w:val="20"/>
              </w:rPr>
            </w:pPr>
            <w:r w:rsidRPr="00F07779">
              <w:rPr>
                <w:sz w:val="20"/>
                <w:szCs w:val="20"/>
              </w:rPr>
              <w:t xml:space="preserve">The start of implementation is scheduled for the end of </w:t>
            </w:r>
            <w:proofErr w:type="gramStart"/>
            <w:r w:rsidRPr="00F07779">
              <w:rPr>
                <w:sz w:val="20"/>
                <w:szCs w:val="20"/>
              </w:rPr>
              <w:t>2026..</w:t>
            </w:r>
            <w:proofErr w:type="gramEnd"/>
            <w:r w:rsidRPr="00F07779">
              <w:rPr>
                <w:sz w:val="20"/>
                <w:szCs w:val="20"/>
              </w:rPr>
              <w:t xml:space="preserve"> </w:t>
            </w:r>
            <w:r w:rsidRPr="00FA3F57">
              <w:rPr>
                <w:sz w:val="20"/>
                <w:szCs w:val="20"/>
              </w:rPr>
              <w:t>The entire project cycle is estimated to last up to 30 months. This includes all phases of procurement, planning, design, and execution of works.</w:t>
            </w:r>
          </w:p>
        </w:tc>
      </w:tr>
      <w:tr w:rsidR="0094644B" w:rsidRPr="00F07779" w14:paraId="73D1C800" w14:textId="77777777" w:rsidTr="00FB5086">
        <w:tc>
          <w:tcPr>
            <w:tcW w:w="2933" w:type="dxa"/>
          </w:tcPr>
          <w:p w14:paraId="307EA6BB" w14:textId="77777777" w:rsidR="0094644B" w:rsidRPr="00FA3F57" w:rsidRDefault="0094644B" w:rsidP="00FB5086">
            <w:pPr>
              <w:rPr>
                <w:sz w:val="20"/>
                <w:szCs w:val="20"/>
              </w:rPr>
            </w:pPr>
            <w:r w:rsidRPr="00FA3F57">
              <w:rPr>
                <w:sz w:val="20"/>
                <w:szCs w:val="20"/>
              </w:rPr>
              <w:t>Required funds and source of financing</w:t>
            </w:r>
          </w:p>
        </w:tc>
        <w:tc>
          <w:tcPr>
            <w:tcW w:w="5782" w:type="dxa"/>
            <w:vAlign w:val="center"/>
          </w:tcPr>
          <w:p w14:paraId="05CF1127" w14:textId="77777777" w:rsidR="0094644B" w:rsidRPr="00FA3F57" w:rsidRDefault="0094644B" w:rsidP="00FB5086">
            <w:pPr>
              <w:rPr>
                <w:sz w:val="20"/>
                <w:szCs w:val="20"/>
              </w:rPr>
            </w:pPr>
            <w:r w:rsidRPr="00F07779">
              <w:rPr>
                <w:sz w:val="20"/>
                <w:szCs w:val="20"/>
              </w:rPr>
              <w:t xml:space="preserve">The estimated investment value of the project is EUR 4,724,500 (EU: EUR 3,402,000; RS: EUR 1,322,500). </w:t>
            </w:r>
            <w:r w:rsidRPr="00FA3F57">
              <w:rPr>
                <w:sz w:val="20"/>
                <w:szCs w:val="20"/>
              </w:rPr>
              <w:t xml:space="preserve">The implementation is within the framework of the Operational </w:t>
            </w:r>
            <w:proofErr w:type="spellStart"/>
            <w:r w:rsidRPr="00FA3F57">
              <w:rPr>
                <w:sz w:val="20"/>
                <w:szCs w:val="20"/>
              </w:rPr>
              <w:t>Programme</w:t>
            </w:r>
            <w:proofErr w:type="spellEnd"/>
            <w:r w:rsidRPr="00FA3F57">
              <w:rPr>
                <w:sz w:val="20"/>
                <w:szCs w:val="20"/>
              </w:rPr>
              <w:t xml:space="preserve"> for Window 3 - IPA 2024-2027.</w:t>
            </w:r>
          </w:p>
        </w:tc>
      </w:tr>
      <w:tr w:rsidR="0094644B" w:rsidRPr="00F07779" w14:paraId="01A4D844" w14:textId="77777777" w:rsidTr="00FB5086">
        <w:tc>
          <w:tcPr>
            <w:tcW w:w="2933" w:type="dxa"/>
          </w:tcPr>
          <w:p w14:paraId="51F2A91A" w14:textId="77777777" w:rsidR="0094644B" w:rsidRPr="00FA3F57" w:rsidRDefault="0094644B" w:rsidP="00FB5086">
            <w:pPr>
              <w:rPr>
                <w:sz w:val="20"/>
                <w:szCs w:val="20"/>
              </w:rPr>
            </w:pPr>
            <w:r w:rsidRPr="00FA3F57">
              <w:rPr>
                <w:sz w:val="20"/>
                <w:szCs w:val="20"/>
              </w:rPr>
              <w:t>Implementation indicator</w:t>
            </w:r>
          </w:p>
        </w:tc>
        <w:tc>
          <w:tcPr>
            <w:tcW w:w="5782" w:type="dxa"/>
            <w:vAlign w:val="center"/>
          </w:tcPr>
          <w:p w14:paraId="654E2315" w14:textId="77777777" w:rsidR="0094644B" w:rsidRPr="00FA3F57" w:rsidRDefault="0094644B" w:rsidP="00FB5086">
            <w:pPr>
              <w:rPr>
                <w:sz w:val="20"/>
                <w:szCs w:val="20"/>
              </w:rPr>
            </w:pPr>
            <w:r w:rsidRPr="00FA3F57">
              <w:rPr>
                <w:sz w:val="20"/>
                <w:szCs w:val="20"/>
              </w:rPr>
              <w:t>The energy renovation of the SRC "</w:t>
            </w:r>
            <w:proofErr w:type="spellStart"/>
            <w:r w:rsidRPr="00FA3F57">
              <w:rPr>
                <w:sz w:val="20"/>
                <w:szCs w:val="20"/>
              </w:rPr>
              <w:t>Košutnjak</w:t>
            </w:r>
            <w:proofErr w:type="spellEnd"/>
            <w:r w:rsidRPr="00FA3F57">
              <w:rPr>
                <w:sz w:val="20"/>
                <w:szCs w:val="20"/>
              </w:rPr>
              <w:t xml:space="preserve">" leads to savings in annual energy consumption and utility </w:t>
            </w:r>
            <w:proofErr w:type="gramStart"/>
            <w:r w:rsidRPr="00FA3F57">
              <w:rPr>
                <w:sz w:val="20"/>
                <w:szCs w:val="20"/>
              </w:rPr>
              <w:t>costs, and</w:t>
            </w:r>
            <w:proofErr w:type="gramEnd"/>
            <w:r w:rsidRPr="00FA3F57">
              <w:rPr>
                <w:sz w:val="20"/>
                <w:szCs w:val="20"/>
              </w:rPr>
              <w:t xml:space="preserve"> increases the comfort of users of the center's premises.</w:t>
            </w:r>
          </w:p>
        </w:tc>
      </w:tr>
      <w:tr w:rsidR="0094644B" w:rsidRPr="00F07779" w14:paraId="614BE2E4" w14:textId="77777777" w:rsidTr="00FB5086">
        <w:tc>
          <w:tcPr>
            <w:tcW w:w="2933" w:type="dxa"/>
          </w:tcPr>
          <w:p w14:paraId="2C0950F1" w14:textId="77777777" w:rsidR="0094644B" w:rsidRPr="00FA3F57" w:rsidRDefault="0094644B" w:rsidP="00FB5086">
            <w:pPr>
              <w:rPr>
                <w:sz w:val="20"/>
                <w:szCs w:val="20"/>
              </w:rPr>
            </w:pPr>
            <w:r w:rsidRPr="00FA3F57">
              <w:rPr>
                <w:sz w:val="20"/>
                <w:szCs w:val="20"/>
              </w:rPr>
              <w:t>Impact of the activity on the achievement of the objective</w:t>
            </w:r>
          </w:p>
        </w:tc>
        <w:tc>
          <w:tcPr>
            <w:tcW w:w="5782" w:type="dxa"/>
            <w:vAlign w:val="center"/>
          </w:tcPr>
          <w:p w14:paraId="7C72F5C8" w14:textId="77777777" w:rsidR="0094644B" w:rsidRPr="00FA3F57" w:rsidRDefault="0094644B" w:rsidP="00FB5086">
            <w:pPr>
              <w:rPr>
                <w:sz w:val="20"/>
                <w:szCs w:val="20"/>
              </w:rPr>
            </w:pPr>
            <w:r w:rsidRPr="00FA3F57">
              <w:rPr>
                <w:sz w:val="20"/>
                <w:szCs w:val="20"/>
              </w:rPr>
              <w:t>Energy-efficient buildings use less energy for heating, cooling, and lighting, thereby reducing reliance on imported fossil fuels.</w:t>
            </w:r>
            <w:r w:rsidRPr="00F07779">
              <w:t xml:space="preserve"> </w:t>
            </w:r>
            <w:r w:rsidRPr="00FA3F57">
              <w:rPr>
                <w:sz w:val="20"/>
                <w:szCs w:val="20"/>
              </w:rPr>
              <w:lastRenderedPageBreak/>
              <w:t>Reducing energy consumption contributes to Serbia's energy independence and increases resilience to energy price fluctuations.</w:t>
            </w:r>
          </w:p>
        </w:tc>
      </w:tr>
      <w:tr w:rsidR="0094644B" w:rsidRPr="00F07779" w14:paraId="4ABC9596" w14:textId="77777777" w:rsidTr="00FB5086">
        <w:tc>
          <w:tcPr>
            <w:tcW w:w="2933" w:type="dxa"/>
          </w:tcPr>
          <w:p w14:paraId="374C3658" w14:textId="77777777" w:rsidR="0094644B" w:rsidRPr="00FA3F57" w:rsidRDefault="0094644B" w:rsidP="00FB5086">
            <w:pPr>
              <w:rPr>
                <w:sz w:val="20"/>
                <w:szCs w:val="20"/>
              </w:rPr>
            </w:pPr>
            <w:r w:rsidRPr="00FA3F57">
              <w:rPr>
                <w:sz w:val="20"/>
                <w:szCs w:val="20"/>
              </w:rPr>
              <w:lastRenderedPageBreak/>
              <w:t>Impact on EE, climate, and environmental protection</w:t>
            </w:r>
          </w:p>
        </w:tc>
        <w:tc>
          <w:tcPr>
            <w:tcW w:w="5782" w:type="dxa"/>
            <w:vAlign w:val="center"/>
          </w:tcPr>
          <w:p w14:paraId="01CDAEEE" w14:textId="77777777" w:rsidR="0094644B" w:rsidRPr="00FA3F57" w:rsidRDefault="0094644B" w:rsidP="00FB5086">
            <w:pPr>
              <w:rPr>
                <w:sz w:val="20"/>
                <w:szCs w:val="20"/>
              </w:rPr>
            </w:pPr>
            <w:r w:rsidRPr="00FA3F57">
              <w:rPr>
                <w:sz w:val="20"/>
                <w:szCs w:val="20"/>
              </w:rPr>
              <w:t xml:space="preserve">Improving the energy efficiency of public buildings typically includes upgrading insulation, windows, and doors, as well as installing energy-efficient lighting and HVAC systems. These measures significantly reduce energy consumption and greenhouse gas (GHG) emissions. In the case of SRC </w:t>
            </w:r>
            <w:proofErr w:type="spellStart"/>
            <w:r w:rsidRPr="00FA3F57">
              <w:rPr>
                <w:sz w:val="20"/>
                <w:szCs w:val="20"/>
              </w:rPr>
              <w:t>Košutnjak</w:t>
            </w:r>
            <w:proofErr w:type="spellEnd"/>
            <w:r w:rsidRPr="00FA3F57">
              <w:rPr>
                <w:sz w:val="20"/>
                <w:szCs w:val="20"/>
              </w:rPr>
              <w:t xml:space="preserve">, improving the efficiency of the central heating and cooling system does not require replacing the existing heat source, but requires upgrading the installations and increasing the efficiency of the gas heat generator. During the renovation phase, primary environmental concerns include managing construction waste, minimizing air and noise pollution, and ensuring sustainable procurement of materials. </w:t>
            </w:r>
          </w:p>
        </w:tc>
      </w:tr>
    </w:tbl>
    <w:p w14:paraId="3FC36D04" w14:textId="77777777" w:rsidR="0094644B" w:rsidRPr="00FA3F57" w:rsidRDefault="0094644B" w:rsidP="0094644B">
      <w:pPr>
        <w:tabs>
          <w:tab w:val="left" w:pos="284"/>
        </w:tabs>
      </w:pPr>
    </w:p>
    <w:p w14:paraId="473A14E9" w14:textId="77777777" w:rsidR="0094644B" w:rsidRPr="00FA3F57" w:rsidRDefault="0094644B" w:rsidP="0094644B">
      <w:pPr>
        <w:keepNext/>
        <w:tabs>
          <w:tab w:val="left" w:pos="1701"/>
        </w:tabs>
      </w:pPr>
      <w:r w:rsidRPr="00FA3F57">
        <w:t>Table 5.4.3-10:</w:t>
      </w:r>
      <w:r w:rsidRPr="00FA3F57">
        <w:tab/>
        <w:t xml:space="preserve">Activity for the implementation of </w:t>
      </w:r>
      <w:proofErr w:type="gramStart"/>
      <w:r w:rsidRPr="00FA3F57">
        <w:t>the measure</w:t>
      </w:r>
      <w:proofErr w:type="gramEnd"/>
      <w:r w:rsidRPr="00FA3F57">
        <w:t xml:space="preserve"> EE1 - Activity ЕЕ1.10/9.10/10.6</w:t>
      </w:r>
    </w:p>
    <w:tbl>
      <w:tblPr>
        <w:tblStyle w:val="TableGrid"/>
        <w:tblW w:w="0" w:type="auto"/>
        <w:tblLook w:val="04A0" w:firstRow="1" w:lastRow="0" w:firstColumn="1" w:lastColumn="0" w:noHBand="0" w:noVBand="1"/>
      </w:tblPr>
      <w:tblGrid>
        <w:gridCol w:w="2933"/>
        <w:gridCol w:w="5782"/>
      </w:tblGrid>
      <w:tr w:rsidR="0094644B" w:rsidRPr="00F07779" w14:paraId="35031862" w14:textId="77777777" w:rsidTr="00FB5086">
        <w:tc>
          <w:tcPr>
            <w:tcW w:w="2933" w:type="dxa"/>
            <w:shd w:val="clear" w:color="auto" w:fill="D9D9D9" w:themeFill="background1" w:themeFillShade="D9"/>
          </w:tcPr>
          <w:p w14:paraId="1A40FC0C" w14:textId="77777777" w:rsidR="0094644B" w:rsidRPr="00FA3F57" w:rsidRDefault="0094644B" w:rsidP="00FB5086">
            <w:pPr>
              <w:keepNext/>
              <w:tabs>
                <w:tab w:val="left" w:pos="1581"/>
              </w:tabs>
              <w:rPr>
                <w:sz w:val="20"/>
                <w:szCs w:val="20"/>
              </w:rPr>
            </w:pPr>
            <w:r w:rsidRPr="00FA3F57">
              <w:rPr>
                <w:sz w:val="20"/>
                <w:szCs w:val="20"/>
              </w:rPr>
              <w:t>Activity ЕЕ1.10/9.10/10.6</w:t>
            </w:r>
          </w:p>
        </w:tc>
        <w:tc>
          <w:tcPr>
            <w:tcW w:w="5782" w:type="dxa"/>
            <w:shd w:val="clear" w:color="auto" w:fill="D9D9D9" w:themeFill="background1" w:themeFillShade="D9"/>
          </w:tcPr>
          <w:p w14:paraId="4A122430" w14:textId="77777777" w:rsidR="0094644B" w:rsidRPr="00FA3F57" w:rsidRDefault="0094644B" w:rsidP="00FB5086">
            <w:pPr>
              <w:keepNext/>
              <w:rPr>
                <w:sz w:val="20"/>
                <w:szCs w:val="20"/>
              </w:rPr>
            </w:pPr>
            <w:r w:rsidRPr="00FA3F57">
              <w:rPr>
                <w:sz w:val="20"/>
                <w:szCs w:val="20"/>
              </w:rPr>
              <w:t>Thermal rehabilitation of facilities – Serbian Ministry of Internal Affairs Building – Novi Sad</w:t>
            </w:r>
          </w:p>
        </w:tc>
      </w:tr>
      <w:tr w:rsidR="0094644B" w:rsidRPr="00F07779" w14:paraId="7C0902B6" w14:textId="77777777" w:rsidTr="00FB5086">
        <w:tc>
          <w:tcPr>
            <w:tcW w:w="2933" w:type="dxa"/>
          </w:tcPr>
          <w:p w14:paraId="52CB445D" w14:textId="77777777" w:rsidR="0094644B" w:rsidRPr="00FA3F57" w:rsidRDefault="0094644B" w:rsidP="00FB5086">
            <w:pPr>
              <w:rPr>
                <w:sz w:val="20"/>
                <w:szCs w:val="20"/>
              </w:rPr>
            </w:pPr>
            <w:r w:rsidRPr="00FA3F57">
              <w:rPr>
                <w:sz w:val="20"/>
                <w:szCs w:val="20"/>
              </w:rPr>
              <w:t>Description</w:t>
            </w:r>
          </w:p>
        </w:tc>
        <w:tc>
          <w:tcPr>
            <w:tcW w:w="5782" w:type="dxa"/>
            <w:vAlign w:val="center"/>
          </w:tcPr>
          <w:p w14:paraId="5B0A78AD" w14:textId="77777777" w:rsidR="0094644B" w:rsidRPr="00F07779" w:rsidRDefault="0094644B" w:rsidP="00FB5086">
            <w:pPr>
              <w:rPr>
                <w:sz w:val="20"/>
                <w:szCs w:val="20"/>
              </w:rPr>
            </w:pPr>
            <w:r w:rsidRPr="00F07779">
              <w:rPr>
                <w:sz w:val="20"/>
                <w:szCs w:val="20"/>
              </w:rPr>
              <w:t xml:space="preserve">The project aims to significantly improve the energy performance of public buildings, particularly focusing on the facilities of the </w:t>
            </w:r>
            <w:proofErr w:type="spellStart"/>
            <w:r w:rsidRPr="00F07779">
              <w:rPr>
                <w:sz w:val="20"/>
                <w:szCs w:val="20"/>
              </w:rPr>
              <w:t>MoI</w:t>
            </w:r>
            <w:proofErr w:type="spellEnd"/>
            <w:r w:rsidRPr="00F07779">
              <w:rPr>
                <w:sz w:val="20"/>
                <w:szCs w:val="20"/>
              </w:rPr>
              <w:t xml:space="preserve"> in Novi Sad. The improvements are expected to increase the net area of ​​public buildings with improved energy performance, which will be facilitated by the assistance provided. Achievements in energy efficiency will be quantified by an upgrade to energy class "C" or at least two energy classes, as confirmed by Energy Performance Certificates (EPC) in accordance with national standards defined by Directive 2010/31/EU. The focus will be on the least energy-efficient buildings, where significant energy savings can be achieved, thereby contributing to a substantial reduction in greenhouse gas (GHG) emissions. This targeted approach ensures that energy efficiency upgrades will not only promote environmental sustainability but also deliver tangible economic benefits by reducing operational costs and improving the overall functionality of public sector assets.</w:t>
            </w:r>
          </w:p>
          <w:p w14:paraId="3BC47D55" w14:textId="77777777" w:rsidR="0094644B" w:rsidRPr="00FA3F57" w:rsidRDefault="0094644B" w:rsidP="00FB5086">
            <w:pPr>
              <w:rPr>
                <w:sz w:val="20"/>
                <w:szCs w:val="20"/>
              </w:rPr>
            </w:pPr>
          </w:p>
        </w:tc>
      </w:tr>
      <w:tr w:rsidR="0094644B" w:rsidRPr="00F07779" w14:paraId="32BC420C" w14:textId="77777777" w:rsidTr="00FB5086">
        <w:tc>
          <w:tcPr>
            <w:tcW w:w="2933" w:type="dxa"/>
          </w:tcPr>
          <w:p w14:paraId="00BA0259" w14:textId="77777777" w:rsidR="0094644B" w:rsidRPr="00FA3F57" w:rsidRDefault="0094644B" w:rsidP="00FB5086">
            <w:pPr>
              <w:rPr>
                <w:sz w:val="20"/>
                <w:szCs w:val="20"/>
              </w:rPr>
            </w:pPr>
            <w:r w:rsidRPr="00FA3F57">
              <w:rPr>
                <w:sz w:val="20"/>
                <w:szCs w:val="20"/>
              </w:rPr>
              <w:t>Institutions responsible for the implementation of measures and activities</w:t>
            </w:r>
          </w:p>
        </w:tc>
        <w:tc>
          <w:tcPr>
            <w:tcW w:w="5782" w:type="dxa"/>
          </w:tcPr>
          <w:p w14:paraId="7AF8B81E" w14:textId="77777777" w:rsidR="0094644B" w:rsidRPr="00FA3F57" w:rsidRDefault="0094644B" w:rsidP="00FB5086">
            <w:pPr>
              <w:rPr>
                <w:sz w:val="20"/>
                <w:szCs w:val="20"/>
              </w:rPr>
            </w:pPr>
            <w:r w:rsidRPr="00FA3F57">
              <w:rPr>
                <w:sz w:val="20"/>
                <w:szCs w:val="20"/>
              </w:rPr>
              <w:t xml:space="preserve">МMЕ, </w:t>
            </w:r>
            <w:proofErr w:type="spellStart"/>
            <w:r w:rsidRPr="00FA3F57">
              <w:rPr>
                <w:sz w:val="20"/>
                <w:szCs w:val="20"/>
              </w:rPr>
              <w:t>МoI</w:t>
            </w:r>
            <w:proofErr w:type="spellEnd"/>
            <w:r w:rsidRPr="00FA3F57">
              <w:rPr>
                <w:sz w:val="20"/>
                <w:szCs w:val="20"/>
              </w:rPr>
              <w:t xml:space="preserve"> of Serbia, </w:t>
            </w:r>
            <w:r w:rsidRPr="00F07779">
              <w:rPr>
                <w:sz w:val="20"/>
                <w:szCs w:val="20"/>
              </w:rPr>
              <w:t>Ministry of Finance – CFCA</w:t>
            </w:r>
            <w:r w:rsidRPr="00FA3F57">
              <w:rPr>
                <w:sz w:val="20"/>
                <w:szCs w:val="20"/>
              </w:rPr>
              <w:t>, City of Novi Sad</w:t>
            </w:r>
          </w:p>
        </w:tc>
      </w:tr>
      <w:tr w:rsidR="0094644B" w:rsidRPr="00F07779" w14:paraId="31ECE972" w14:textId="77777777" w:rsidTr="00FB5086">
        <w:tc>
          <w:tcPr>
            <w:tcW w:w="2933" w:type="dxa"/>
          </w:tcPr>
          <w:p w14:paraId="7B3EA1FE" w14:textId="77777777" w:rsidR="0094644B" w:rsidRPr="00FA3F57" w:rsidRDefault="0094644B" w:rsidP="00FB5086">
            <w:pPr>
              <w:rPr>
                <w:sz w:val="20"/>
                <w:szCs w:val="20"/>
              </w:rPr>
            </w:pPr>
            <w:r w:rsidRPr="00FA3F57">
              <w:rPr>
                <w:sz w:val="20"/>
                <w:szCs w:val="20"/>
              </w:rPr>
              <w:t>Institutions responsible for monitoring implementation and reporting on the realization</w:t>
            </w:r>
          </w:p>
        </w:tc>
        <w:tc>
          <w:tcPr>
            <w:tcW w:w="5782" w:type="dxa"/>
          </w:tcPr>
          <w:p w14:paraId="2CD99319" w14:textId="77777777" w:rsidR="0094644B" w:rsidRPr="00FA3F57" w:rsidRDefault="0094644B" w:rsidP="00FB5086">
            <w:pPr>
              <w:rPr>
                <w:sz w:val="20"/>
                <w:szCs w:val="20"/>
              </w:rPr>
            </w:pPr>
            <w:r w:rsidRPr="00FA3F57">
              <w:rPr>
                <w:sz w:val="20"/>
                <w:szCs w:val="20"/>
              </w:rPr>
              <w:t xml:space="preserve">Property Administration of the City of Novi Sad, </w:t>
            </w:r>
            <w:proofErr w:type="spellStart"/>
            <w:r w:rsidRPr="00FA3F57">
              <w:rPr>
                <w:sz w:val="20"/>
                <w:szCs w:val="20"/>
              </w:rPr>
              <w:t>МoI</w:t>
            </w:r>
            <w:proofErr w:type="spellEnd"/>
            <w:r w:rsidRPr="00FA3F57">
              <w:rPr>
                <w:sz w:val="20"/>
                <w:szCs w:val="20"/>
              </w:rPr>
              <w:t xml:space="preserve"> of Serbia, </w:t>
            </w:r>
            <w:r w:rsidRPr="00F07779">
              <w:rPr>
                <w:sz w:val="20"/>
                <w:szCs w:val="20"/>
              </w:rPr>
              <w:t>Ministry of Finance – CFCA</w:t>
            </w:r>
            <w:r w:rsidRPr="00FA3F57">
              <w:rPr>
                <w:sz w:val="20"/>
                <w:szCs w:val="20"/>
              </w:rPr>
              <w:t>, MoME.</w:t>
            </w:r>
          </w:p>
        </w:tc>
      </w:tr>
      <w:tr w:rsidR="0094644B" w:rsidRPr="00F07779" w14:paraId="19D49E62" w14:textId="77777777" w:rsidTr="00FB5086">
        <w:tc>
          <w:tcPr>
            <w:tcW w:w="2933" w:type="dxa"/>
          </w:tcPr>
          <w:p w14:paraId="68C47934" w14:textId="77777777" w:rsidR="0094644B" w:rsidRPr="00FA3F57" w:rsidRDefault="0094644B" w:rsidP="00FB5086">
            <w:pPr>
              <w:rPr>
                <w:sz w:val="20"/>
                <w:szCs w:val="20"/>
              </w:rPr>
            </w:pPr>
            <w:r w:rsidRPr="00FA3F57">
              <w:rPr>
                <w:sz w:val="20"/>
                <w:szCs w:val="20"/>
              </w:rPr>
              <w:t>Deadline for implementation</w:t>
            </w:r>
          </w:p>
        </w:tc>
        <w:tc>
          <w:tcPr>
            <w:tcW w:w="5782" w:type="dxa"/>
          </w:tcPr>
          <w:p w14:paraId="546AA1F9" w14:textId="77777777" w:rsidR="0094644B" w:rsidRPr="00FA3F57" w:rsidRDefault="0094644B" w:rsidP="00FB5086">
            <w:pPr>
              <w:rPr>
                <w:sz w:val="20"/>
                <w:szCs w:val="20"/>
              </w:rPr>
            </w:pPr>
            <w:r w:rsidRPr="00F07779">
              <w:rPr>
                <w:sz w:val="20"/>
                <w:szCs w:val="20"/>
              </w:rPr>
              <w:t xml:space="preserve">The start of implementation is scheduled for the end of 2026. </w:t>
            </w:r>
            <w:r w:rsidRPr="00FA3F57">
              <w:rPr>
                <w:sz w:val="20"/>
                <w:szCs w:val="20"/>
              </w:rPr>
              <w:t>The entire project cycle is estimated to last up to 24 months. This includes all phases of procurement, planning, design, and execution of works.</w:t>
            </w:r>
          </w:p>
        </w:tc>
      </w:tr>
      <w:tr w:rsidR="0094644B" w:rsidRPr="00F07779" w14:paraId="60FC5AD5" w14:textId="77777777" w:rsidTr="00FB5086">
        <w:tc>
          <w:tcPr>
            <w:tcW w:w="2933" w:type="dxa"/>
          </w:tcPr>
          <w:p w14:paraId="0CCCCFAD" w14:textId="77777777" w:rsidR="0094644B" w:rsidRPr="00FA3F57" w:rsidRDefault="0094644B" w:rsidP="00FB5086">
            <w:pPr>
              <w:rPr>
                <w:sz w:val="20"/>
                <w:szCs w:val="20"/>
              </w:rPr>
            </w:pPr>
            <w:r w:rsidRPr="00FA3F57">
              <w:rPr>
                <w:sz w:val="20"/>
                <w:szCs w:val="20"/>
              </w:rPr>
              <w:t>Required funds and source of financing</w:t>
            </w:r>
          </w:p>
        </w:tc>
        <w:tc>
          <w:tcPr>
            <w:tcW w:w="5782" w:type="dxa"/>
            <w:vAlign w:val="center"/>
          </w:tcPr>
          <w:p w14:paraId="2847CA8F" w14:textId="77777777" w:rsidR="0094644B" w:rsidRPr="00F07779" w:rsidRDefault="0094644B" w:rsidP="00FB5086">
            <w:pPr>
              <w:rPr>
                <w:sz w:val="20"/>
                <w:szCs w:val="20"/>
              </w:rPr>
            </w:pPr>
            <w:r w:rsidRPr="00F07779">
              <w:rPr>
                <w:sz w:val="20"/>
                <w:szCs w:val="20"/>
              </w:rPr>
              <w:t>The estimated investment value of the project is EUR 5,017,000 (EU: EUR 3,752,000; RS: EUR 1,265,000).</w:t>
            </w:r>
          </w:p>
          <w:p w14:paraId="653297F4" w14:textId="77777777" w:rsidR="0094644B" w:rsidRPr="00FA3F57" w:rsidRDefault="0094644B" w:rsidP="00FB5086">
            <w:pPr>
              <w:rPr>
                <w:sz w:val="20"/>
                <w:szCs w:val="20"/>
              </w:rPr>
            </w:pPr>
            <w:r w:rsidRPr="00FA3F57">
              <w:rPr>
                <w:sz w:val="20"/>
                <w:szCs w:val="20"/>
              </w:rPr>
              <w:t>The implementation is within the framework of the Operational Program for Window 3 - IPA 2024-2027.</w:t>
            </w:r>
          </w:p>
        </w:tc>
      </w:tr>
      <w:tr w:rsidR="0094644B" w:rsidRPr="00F07779" w14:paraId="05B8F8CB" w14:textId="77777777" w:rsidTr="00FB5086">
        <w:tc>
          <w:tcPr>
            <w:tcW w:w="2933" w:type="dxa"/>
          </w:tcPr>
          <w:p w14:paraId="4C358C7F" w14:textId="77777777" w:rsidR="0094644B" w:rsidRPr="00FA3F57" w:rsidRDefault="0094644B" w:rsidP="00FB5086">
            <w:pPr>
              <w:rPr>
                <w:sz w:val="20"/>
                <w:szCs w:val="20"/>
              </w:rPr>
            </w:pPr>
            <w:r w:rsidRPr="00FA3F57">
              <w:rPr>
                <w:sz w:val="20"/>
                <w:szCs w:val="20"/>
              </w:rPr>
              <w:t>Implementation indicator</w:t>
            </w:r>
          </w:p>
        </w:tc>
        <w:tc>
          <w:tcPr>
            <w:tcW w:w="5782" w:type="dxa"/>
            <w:vAlign w:val="center"/>
          </w:tcPr>
          <w:p w14:paraId="3D5BCC4A" w14:textId="77777777" w:rsidR="0094644B" w:rsidRPr="00FA3F57" w:rsidRDefault="0094644B" w:rsidP="00FB5086">
            <w:pPr>
              <w:rPr>
                <w:sz w:val="20"/>
                <w:szCs w:val="20"/>
              </w:rPr>
            </w:pPr>
            <w:r w:rsidRPr="00F07779">
              <w:rPr>
                <w:sz w:val="20"/>
                <w:szCs w:val="20"/>
              </w:rPr>
              <w:t xml:space="preserve">The energy rehabilitation of the </w:t>
            </w:r>
            <w:proofErr w:type="spellStart"/>
            <w:r w:rsidRPr="00F07779">
              <w:rPr>
                <w:sz w:val="20"/>
                <w:szCs w:val="20"/>
              </w:rPr>
              <w:t>MoI</w:t>
            </w:r>
            <w:proofErr w:type="spellEnd"/>
            <w:r w:rsidRPr="00F07779">
              <w:rPr>
                <w:sz w:val="20"/>
                <w:szCs w:val="20"/>
              </w:rPr>
              <w:t xml:space="preserve"> buildings in Novi Sad leads to savings in annual energy consumption and utility costs, while increasing the comfort of the users of the center's premises.</w:t>
            </w:r>
          </w:p>
        </w:tc>
      </w:tr>
      <w:tr w:rsidR="0094644B" w:rsidRPr="00F07779" w14:paraId="3FEAAD47" w14:textId="77777777" w:rsidTr="00FB5086">
        <w:tc>
          <w:tcPr>
            <w:tcW w:w="2933" w:type="dxa"/>
          </w:tcPr>
          <w:p w14:paraId="242D4948" w14:textId="77777777" w:rsidR="0094644B" w:rsidRPr="00FA3F57" w:rsidRDefault="0094644B" w:rsidP="00FB5086">
            <w:pPr>
              <w:rPr>
                <w:sz w:val="20"/>
                <w:szCs w:val="20"/>
              </w:rPr>
            </w:pPr>
            <w:r w:rsidRPr="00FA3F57">
              <w:rPr>
                <w:sz w:val="20"/>
                <w:szCs w:val="20"/>
              </w:rPr>
              <w:t>Impact of the activity on the achievement of the objective</w:t>
            </w:r>
          </w:p>
        </w:tc>
        <w:tc>
          <w:tcPr>
            <w:tcW w:w="5782" w:type="dxa"/>
            <w:vAlign w:val="center"/>
          </w:tcPr>
          <w:p w14:paraId="78611835" w14:textId="77777777" w:rsidR="0094644B" w:rsidRPr="00FA3F57" w:rsidRDefault="0094644B" w:rsidP="00FB5086">
            <w:pPr>
              <w:rPr>
                <w:sz w:val="20"/>
                <w:szCs w:val="20"/>
              </w:rPr>
            </w:pPr>
            <w:r w:rsidRPr="00FA3F57">
              <w:rPr>
                <w:sz w:val="20"/>
                <w:szCs w:val="20"/>
              </w:rPr>
              <w:t>Energy-efficient buildings use less energy for heating, cooling, and lighting, thereby reducing reliance on imported fossil fuels.</w:t>
            </w:r>
            <w:r w:rsidRPr="00F07779">
              <w:t xml:space="preserve"> </w:t>
            </w:r>
            <w:r w:rsidRPr="00FA3F57">
              <w:rPr>
                <w:sz w:val="20"/>
                <w:szCs w:val="20"/>
              </w:rPr>
              <w:t>Reducing energy consumption contributes to Serbia's energy independence and increases resilience to energy price fluctuations.</w:t>
            </w:r>
          </w:p>
        </w:tc>
      </w:tr>
      <w:tr w:rsidR="0094644B" w:rsidRPr="00F07779" w14:paraId="1655C103" w14:textId="77777777" w:rsidTr="00FB5086">
        <w:tc>
          <w:tcPr>
            <w:tcW w:w="2933" w:type="dxa"/>
          </w:tcPr>
          <w:p w14:paraId="290658BB" w14:textId="77777777" w:rsidR="0094644B" w:rsidRPr="00FA3F57" w:rsidRDefault="0094644B" w:rsidP="00FB5086">
            <w:pPr>
              <w:rPr>
                <w:sz w:val="20"/>
                <w:szCs w:val="20"/>
              </w:rPr>
            </w:pPr>
            <w:r w:rsidRPr="00FA3F57">
              <w:rPr>
                <w:sz w:val="20"/>
                <w:szCs w:val="20"/>
              </w:rPr>
              <w:t>Impact on EE, climate, and environmental protection</w:t>
            </w:r>
          </w:p>
        </w:tc>
        <w:tc>
          <w:tcPr>
            <w:tcW w:w="5782" w:type="dxa"/>
            <w:vAlign w:val="center"/>
          </w:tcPr>
          <w:p w14:paraId="7386D2E6" w14:textId="77777777" w:rsidR="0094644B" w:rsidRPr="00FA3F57" w:rsidRDefault="0094644B" w:rsidP="00FB5086">
            <w:pPr>
              <w:rPr>
                <w:sz w:val="20"/>
                <w:szCs w:val="20"/>
              </w:rPr>
            </w:pPr>
            <w:r w:rsidRPr="00FA3F57">
              <w:rPr>
                <w:sz w:val="20"/>
                <w:szCs w:val="20"/>
              </w:rPr>
              <w:t>Reducing pollutants in the air</w:t>
            </w:r>
            <w:r w:rsidRPr="00FA3F57" w:rsidDel="00406379">
              <w:rPr>
                <w:sz w:val="20"/>
                <w:szCs w:val="20"/>
              </w:rPr>
              <w:t xml:space="preserve"> </w:t>
            </w:r>
            <w:r w:rsidRPr="00FA3F57">
              <w:rPr>
                <w:sz w:val="20"/>
                <w:szCs w:val="20"/>
              </w:rPr>
              <w:t>(as well as GHG emissions) through the renovation of public buildings to make them more energy efficient, the improvement of energy efficiency policies and measures that promote eco-design, and the replacement of other energy-related products in buildings with more efficient and less polluting ones.</w:t>
            </w:r>
          </w:p>
        </w:tc>
      </w:tr>
    </w:tbl>
    <w:p w14:paraId="72DA4284" w14:textId="77777777" w:rsidR="0094644B" w:rsidRPr="00FA3F57" w:rsidRDefault="0094644B" w:rsidP="0094644B">
      <w:pPr>
        <w:tabs>
          <w:tab w:val="left" w:pos="284"/>
        </w:tabs>
      </w:pPr>
    </w:p>
    <w:p w14:paraId="3A36A529" w14:textId="77777777" w:rsidR="0094644B" w:rsidRPr="00FA3F57" w:rsidRDefault="0094644B" w:rsidP="0094644B">
      <w:pPr>
        <w:keepNext/>
        <w:tabs>
          <w:tab w:val="left" w:pos="1701"/>
        </w:tabs>
      </w:pPr>
      <w:r w:rsidRPr="00FA3F57">
        <w:t>Table 5.4.3-11:</w:t>
      </w:r>
      <w:r w:rsidRPr="00FA3F57">
        <w:tab/>
        <w:t>Activity for the implementation of the measure EE1 - Activity ЕЕ1.11/9.11</w:t>
      </w:r>
    </w:p>
    <w:tbl>
      <w:tblPr>
        <w:tblStyle w:val="TableGrid"/>
        <w:tblW w:w="0" w:type="auto"/>
        <w:tblLook w:val="04A0" w:firstRow="1" w:lastRow="0" w:firstColumn="1" w:lastColumn="0" w:noHBand="0" w:noVBand="1"/>
      </w:tblPr>
      <w:tblGrid>
        <w:gridCol w:w="2933"/>
        <w:gridCol w:w="5782"/>
      </w:tblGrid>
      <w:tr w:rsidR="0094644B" w:rsidRPr="00F07779" w14:paraId="2B8907EA" w14:textId="77777777" w:rsidTr="00FB5086">
        <w:tc>
          <w:tcPr>
            <w:tcW w:w="2933" w:type="dxa"/>
            <w:shd w:val="clear" w:color="auto" w:fill="D9D9D9" w:themeFill="background1" w:themeFillShade="D9"/>
          </w:tcPr>
          <w:p w14:paraId="5D6ADC40" w14:textId="77777777" w:rsidR="0094644B" w:rsidRPr="00FA3F57" w:rsidRDefault="0094644B" w:rsidP="00FB5086">
            <w:pPr>
              <w:keepNext/>
              <w:rPr>
                <w:sz w:val="20"/>
                <w:szCs w:val="20"/>
              </w:rPr>
            </w:pPr>
            <w:r w:rsidRPr="00FA3F57">
              <w:rPr>
                <w:sz w:val="20"/>
                <w:szCs w:val="20"/>
              </w:rPr>
              <w:t>Activity ЕЕ1.11/9.11</w:t>
            </w:r>
          </w:p>
        </w:tc>
        <w:tc>
          <w:tcPr>
            <w:tcW w:w="5782" w:type="dxa"/>
            <w:shd w:val="clear" w:color="auto" w:fill="D9D9D9" w:themeFill="background1" w:themeFillShade="D9"/>
          </w:tcPr>
          <w:p w14:paraId="67907297" w14:textId="77777777" w:rsidR="0094644B" w:rsidRPr="00FA3F57" w:rsidRDefault="0094644B" w:rsidP="00FB5086">
            <w:pPr>
              <w:keepNext/>
              <w:rPr>
                <w:sz w:val="20"/>
                <w:szCs w:val="20"/>
              </w:rPr>
            </w:pPr>
            <w:r w:rsidRPr="00FA3F57">
              <w:rPr>
                <w:sz w:val="20"/>
                <w:szCs w:val="20"/>
              </w:rPr>
              <w:t>IPARD III Program for the Republic of Serbia in 2021 – 2027</w:t>
            </w:r>
          </w:p>
        </w:tc>
      </w:tr>
      <w:tr w:rsidR="0094644B" w:rsidRPr="00F07779" w14:paraId="07560261" w14:textId="77777777" w:rsidTr="00FB5086">
        <w:tc>
          <w:tcPr>
            <w:tcW w:w="2933" w:type="dxa"/>
          </w:tcPr>
          <w:p w14:paraId="4301558E" w14:textId="77777777" w:rsidR="0094644B" w:rsidRPr="00FA3F57" w:rsidRDefault="0094644B" w:rsidP="00FB5086">
            <w:pPr>
              <w:rPr>
                <w:sz w:val="20"/>
                <w:szCs w:val="20"/>
              </w:rPr>
            </w:pPr>
            <w:r w:rsidRPr="00FA3F57">
              <w:rPr>
                <w:sz w:val="20"/>
                <w:szCs w:val="20"/>
              </w:rPr>
              <w:t>Activity (measure from INECP)</w:t>
            </w:r>
          </w:p>
        </w:tc>
        <w:tc>
          <w:tcPr>
            <w:tcW w:w="5782" w:type="dxa"/>
            <w:vAlign w:val="center"/>
          </w:tcPr>
          <w:p w14:paraId="253BEF3F" w14:textId="77777777" w:rsidR="0094644B" w:rsidRPr="00FA3F57" w:rsidRDefault="0094644B" w:rsidP="00FB5086">
            <w:pPr>
              <w:rPr>
                <w:sz w:val="20"/>
                <w:szCs w:val="20"/>
              </w:rPr>
            </w:pPr>
            <w:r w:rsidRPr="00FA3F57">
              <w:rPr>
                <w:sz w:val="20"/>
                <w:szCs w:val="20"/>
              </w:rPr>
              <w:t xml:space="preserve">PM_ЕЕ24, </w:t>
            </w:r>
            <w:r w:rsidRPr="00F07779">
              <w:rPr>
                <w:sz w:val="20"/>
                <w:szCs w:val="20"/>
              </w:rPr>
              <w:t>Support schemes for the promotion of energy efficiency in the agricultural sector</w:t>
            </w:r>
          </w:p>
        </w:tc>
      </w:tr>
      <w:tr w:rsidR="0094644B" w:rsidRPr="00F07779" w14:paraId="4694C639" w14:textId="77777777" w:rsidTr="00FB5086">
        <w:tc>
          <w:tcPr>
            <w:tcW w:w="2933" w:type="dxa"/>
          </w:tcPr>
          <w:p w14:paraId="09A60973" w14:textId="77777777" w:rsidR="0094644B" w:rsidRPr="00FA3F57" w:rsidRDefault="0094644B" w:rsidP="00FB5086">
            <w:pPr>
              <w:rPr>
                <w:sz w:val="20"/>
                <w:szCs w:val="20"/>
              </w:rPr>
            </w:pPr>
            <w:r w:rsidRPr="00FA3F57">
              <w:rPr>
                <w:sz w:val="20"/>
                <w:szCs w:val="20"/>
              </w:rPr>
              <w:t>Description</w:t>
            </w:r>
          </w:p>
        </w:tc>
        <w:tc>
          <w:tcPr>
            <w:tcW w:w="5782" w:type="dxa"/>
            <w:vAlign w:val="center"/>
          </w:tcPr>
          <w:p w14:paraId="41C53BD2" w14:textId="77777777" w:rsidR="0094644B" w:rsidRPr="00FA3F57" w:rsidRDefault="0094644B" w:rsidP="00FB5086">
            <w:pPr>
              <w:rPr>
                <w:sz w:val="20"/>
                <w:szCs w:val="20"/>
              </w:rPr>
            </w:pPr>
            <w:r w:rsidRPr="00FA3F57">
              <w:rPr>
                <w:sz w:val="20"/>
                <w:szCs w:val="20"/>
              </w:rPr>
              <w:t>Implementation of the IPARD III program measures aimed at supporting investments in renewable energy sources.</w:t>
            </w:r>
          </w:p>
        </w:tc>
      </w:tr>
      <w:tr w:rsidR="0094644B" w:rsidRPr="00F07779" w14:paraId="086F1709" w14:textId="77777777" w:rsidTr="00FB5086">
        <w:tc>
          <w:tcPr>
            <w:tcW w:w="2933" w:type="dxa"/>
          </w:tcPr>
          <w:p w14:paraId="548557DD" w14:textId="77777777" w:rsidR="0094644B" w:rsidRPr="00FA3F57" w:rsidRDefault="0094644B" w:rsidP="00FB5086">
            <w:pPr>
              <w:rPr>
                <w:sz w:val="20"/>
                <w:szCs w:val="20"/>
              </w:rPr>
            </w:pPr>
            <w:r w:rsidRPr="00FA3F57">
              <w:rPr>
                <w:sz w:val="20"/>
                <w:szCs w:val="20"/>
              </w:rPr>
              <w:t>Institutions responsible for the implementation of measures and activities</w:t>
            </w:r>
          </w:p>
        </w:tc>
        <w:tc>
          <w:tcPr>
            <w:tcW w:w="5782" w:type="dxa"/>
            <w:vAlign w:val="center"/>
          </w:tcPr>
          <w:p w14:paraId="1A88AD5A" w14:textId="77777777" w:rsidR="0094644B" w:rsidRPr="00FA3F57" w:rsidRDefault="0094644B" w:rsidP="00FB5086">
            <w:pPr>
              <w:rPr>
                <w:sz w:val="20"/>
                <w:szCs w:val="20"/>
              </w:rPr>
            </w:pPr>
            <w:r w:rsidRPr="00F07779">
              <w:rPr>
                <w:sz w:val="20"/>
                <w:szCs w:val="20"/>
              </w:rPr>
              <w:t>Ministry of Agriculture, Forestry and Water Management of the Republic of Serbia</w:t>
            </w:r>
          </w:p>
        </w:tc>
      </w:tr>
      <w:tr w:rsidR="0094644B" w:rsidRPr="00F07779" w14:paraId="40ECBEF9" w14:textId="77777777" w:rsidTr="00FB5086">
        <w:tc>
          <w:tcPr>
            <w:tcW w:w="2933" w:type="dxa"/>
          </w:tcPr>
          <w:p w14:paraId="28D376BC" w14:textId="77777777" w:rsidR="0094644B" w:rsidRPr="00FA3F57" w:rsidRDefault="0094644B" w:rsidP="00FB5086">
            <w:pPr>
              <w:rPr>
                <w:sz w:val="20"/>
                <w:szCs w:val="20"/>
              </w:rPr>
            </w:pPr>
            <w:r w:rsidRPr="00FA3F57">
              <w:rPr>
                <w:sz w:val="20"/>
                <w:szCs w:val="20"/>
              </w:rPr>
              <w:t>Institutions responsible for monitoring implementation and reporting on the realization</w:t>
            </w:r>
          </w:p>
        </w:tc>
        <w:tc>
          <w:tcPr>
            <w:tcW w:w="5782" w:type="dxa"/>
            <w:vAlign w:val="center"/>
          </w:tcPr>
          <w:p w14:paraId="537EC231" w14:textId="77777777" w:rsidR="0094644B" w:rsidRPr="00FA3F57" w:rsidRDefault="0094644B" w:rsidP="00FB5086">
            <w:pPr>
              <w:rPr>
                <w:sz w:val="20"/>
                <w:szCs w:val="20"/>
              </w:rPr>
            </w:pPr>
            <w:r w:rsidRPr="00F07779">
              <w:rPr>
                <w:sz w:val="20"/>
                <w:szCs w:val="20"/>
              </w:rPr>
              <w:t>Ministry of Agriculture, Forestry and Water Management of the Republic of Serbia</w:t>
            </w:r>
            <w:r w:rsidRPr="00FA3F57" w:rsidDel="009A0E97">
              <w:rPr>
                <w:sz w:val="20"/>
                <w:szCs w:val="20"/>
              </w:rPr>
              <w:t xml:space="preserve"> </w:t>
            </w:r>
            <w:r w:rsidRPr="00FA3F57">
              <w:rPr>
                <w:sz w:val="20"/>
                <w:szCs w:val="20"/>
              </w:rPr>
              <w:t>(Department for IPARD Program Management and Agricultural Payments Administration)</w:t>
            </w:r>
          </w:p>
        </w:tc>
      </w:tr>
      <w:tr w:rsidR="0094644B" w:rsidRPr="00F07779" w14:paraId="0B107984" w14:textId="77777777" w:rsidTr="00FB5086">
        <w:tc>
          <w:tcPr>
            <w:tcW w:w="2933" w:type="dxa"/>
          </w:tcPr>
          <w:p w14:paraId="556722E2" w14:textId="77777777" w:rsidR="0094644B" w:rsidRPr="00FA3F57" w:rsidRDefault="0094644B" w:rsidP="00FB5086">
            <w:pPr>
              <w:rPr>
                <w:sz w:val="20"/>
                <w:szCs w:val="20"/>
              </w:rPr>
            </w:pPr>
            <w:r w:rsidRPr="00FA3F57">
              <w:rPr>
                <w:sz w:val="20"/>
                <w:szCs w:val="20"/>
              </w:rPr>
              <w:t>Deadline for implementation</w:t>
            </w:r>
            <w:r w:rsidRPr="00FA3F57" w:rsidDel="00400537">
              <w:rPr>
                <w:sz w:val="20"/>
                <w:szCs w:val="20"/>
              </w:rPr>
              <w:t xml:space="preserve"> </w:t>
            </w:r>
            <w:r w:rsidRPr="00FA3F57">
              <w:rPr>
                <w:sz w:val="20"/>
                <w:szCs w:val="20"/>
              </w:rPr>
              <w:t>(Start/planned completion and dynamics of implementation by year)</w:t>
            </w:r>
          </w:p>
        </w:tc>
        <w:tc>
          <w:tcPr>
            <w:tcW w:w="5782" w:type="dxa"/>
            <w:vAlign w:val="center"/>
          </w:tcPr>
          <w:p w14:paraId="70B21C6E" w14:textId="77777777" w:rsidR="0094644B" w:rsidRPr="00FA3F57" w:rsidRDefault="0094644B" w:rsidP="00FB5086">
            <w:pPr>
              <w:rPr>
                <w:sz w:val="20"/>
                <w:szCs w:val="20"/>
              </w:rPr>
            </w:pPr>
            <w:r w:rsidRPr="00FA3F57">
              <w:rPr>
                <w:sz w:val="20"/>
                <w:szCs w:val="20"/>
              </w:rPr>
              <w:t>Deadline for implementation:</w:t>
            </w:r>
            <w:r w:rsidRPr="00FA3F57" w:rsidDel="00400537">
              <w:rPr>
                <w:sz w:val="20"/>
                <w:szCs w:val="20"/>
              </w:rPr>
              <w:t xml:space="preserve"> </w:t>
            </w:r>
            <w:r w:rsidRPr="00FA3F57">
              <w:rPr>
                <w:sz w:val="20"/>
                <w:szCs w:val="20"/>
              </w:rPr>
              <w:t>2025 – 2030</w:t>
            </w:r>
          </w:p>
          <w:p w14:paraId="7BF98A1D" w14:textId="77777777" w:rsidR="0094644B" w:rsidRPr="00FA3F57" w:rsidRDefault="0094644B" w:rsidP="00FB5086">
            <w:pPr>
              <w:rPr>
                <w:sz w:val="20"/>
                <w:szCs w:val="20"/>
              </w:rPr>
            </w:pPr>
          </w:p>
          <w:p w14:paraId="2F3478F1" w14:textId="77777777" w:rsidR="0094644B" w:rsidRPr="00FA3F57" w:rsidRDefault="0094644B" w:rsidP="00FB5086">
            <w:pPr>
              <w:rPr>
                <w:sz w:val="20"/>
                <w:szCs w:val="20"/>
              </w:rPr>
            </w:pPr>
            <w:r w:rsidRPr="00FA3F57">
              <w:rPr>
                <w:sz w:val="20"/>
                <w:szCs w:val="20"/>
              </w:rPr>
              <w:t>The dynamics of publishing public calls are determined for each calendar year.</w:t>
            </w:r>
          </w:p>
        </w:tc>
      </w:tr>
      <w:tr w:rsidR="0094644B" w:rsidRPr="00F07779" w14:paraId="19E6AD59" w14:textId="77777777" w:rsidTr="00FB5086">
        <w:tc>
          <w:tcPr>
            <w:tcW w:w="2933" w:type="dxa"/>
          </w:tcPr>
          <w:p w14:paraId="121266C4" w14:textId="77777777" w:rsidR="0094644B" w:rsidRPr="00FA3F57" w:rsidRDefault="0094644B" w:rsidP="00FB5086">
            <w:pPr>
              <w:rPr>
                <w:sz w:val="20"/>
                <w:szCs w:val="20"/>
              </w:rPr>
            </w:pPr>
            <w:r w:rsidRPr="00FA3F57">
              <w:rPr>
                <w:sz w:val="20"/>
                <w:szCs w:val="20"/>
              </w:rPr>
              <w:t>Required funds and source of financing</w:t>
            </w:r>
            <w:r w:rsidRPr="00FA3F57" w:rsidDel="0084100E">
              <w:rPr>
                <w:sz w:val="20"/>
                <w:szCs w:val="20"/>
              </w:rPr>
              <w:t xml:space="preserve"> </w:t>
            </w:r>
            <w:r w:rsidRPr="00FA3F57">
              <w:rPr>
                <w:sz w:val="20"/>
                <w:szCs w:val="20"/>
              </w:rPr>
              <w:t>(Estimated project value: Loan/grant amount/status of signed financing agreements)</w:t>
            </w:r>
          </w:p>
        </w:tc>
        <w:tc>
          <w:tcPr>
            <w:tcW w:w="5782" w:type="dxa"/>
            <w:vAlign w:val="center"/>
          </w:tcPr>
          <w:p w14:paraId="66FD2E50" w14:textId="77777777" w:rsidR="0094644B" w:rsidRPr="00FA3F57" w:rsidRDefault="0094644B" w:rsidP="00FB5086">
            <w:pPr>
              <w:rPr>
                <w:sz w:val="20"/>
                <w:szCs w:val="20"/>
              </w:rPr>
            </w:pPr>
            <w:r w:rsidRPr="00F07779">
              <w:rPr>
                <w:sz w:val="20"/>
                <w:szCs w:val="20"/>
              </w:rPr>
              <w:t>The EU contributions within the IPARD III program amount to EUR 288 million, while including national contributions and beneficiary contributions, the total funds of the IPARD III program exceed EUR 580 million.</w:t>
            </w:r>
          </w:p>
        </w:tc>
      </w:tr>
      <w:tr w:rsidR="0094644B" w:rsidRPr="00F07779" w14:paraId="003B1BEA" w14:textId="77777777" w:rsidTr="00FB5086">
        <w:tc>
          <w:tcPr>
            <w:tcW w:w="2933" w:type="dxa"/>
          </w:tcPr>
          <w:p w14:paraId="4194F398" w14:textId="77777777" w:rsidR="0094644B" w:rsidRPr="00FA3F57" w:rsidRDefault="0094644B" w:rsidP="00FB5086">
            <w:pPr>
              <w:rPr>
                <w:sz w:val="20"/>
                <w:szCs w:val="20"/>
              </w:rPr>
            </w:pPr>
            <w:r w:rsidRPr="00FA3F57">
              <w:rPr>
                <w:sz w:val="20"/>
                <w:szCs w:val="20"/>
              </w:rPr>
              <w:t>Implementation indicator</w:t>
            </w:r>
          </w:p>
        </w:tc>
        <w:tc>
          <w:tcPr>
            <w:tcW w:w="5782" w:type="dxa"/>
            <w:vAlign w:val="center"/>
          </w:tcPr>
          <w:p w14:paraId="0A51D3E8" w14:textId="77777777" w:rsidR="0094644B" w:rsidRPr="00FA3F57" w:rsidRDefault="0094644B" w:rsidP="00FB5086">
            <w:pPr>
              <w:rPr>
                <w:sz w:val="20"/>
                <w:szCs w:val="20"/>
              </w:rPr>
            </w:pPr>
            <w:r w:rsidRPr="00F07779">
              <w:rPr>
                <w:sz w:val="20"/>
                <w:szCs w:val="20"/>
              </w:rPr>
              <w:t>110 supported projects related to renewable energy sources through various support measures defined by the IPARD program</w:t>
            </w:r>
          </w:p>
        </w:tc>
      </w:tr>
      <w:tr w:rsidR="0094644B" w:rsidRPr="00F07779" w14:paraId="7BEE8C24" w14:textId="77777777" w:rsidTr="00FB5086">
        <w:tc>
          <w:tcPr>
            <w:tcW w:w="2933" w:type="dxa"/>
          </w:tcPr>
          <w:p w14:paraId="76AA8F0F" w14:textId="77777777" w:rsidR="0094644B" w:rsidRPr="00FA3F57" w:rsidRDefault="0094644B" w:rsidP="00FB5086">
            <w:pPr>
              <w:rPr>
                <w:sz w:val="20"/>
                <w:szCs w:val="20"/>
              </w:rPr>
            </w:pPr>
            <w:r w:rsidRPr="00FA3F57">
              <w:rPr>
                <w:sz w:val="20"/>
                <w:szCs w:val="20"/>
              </w:rPr>
              <w:t>Impact of the activity on the achievement of the objective</w:t>
            </w:r>
          </w:p>
        </w:tc>
        <w:tc>
          <w:tcPr>
            <w:tcW w:w="5782" w:type="dxa"/>
            <w:vAlign w:val="center"/>
          </w:tcPr>
          <w:p w14:paraId="083F355B" w14:textId="77777777" w:rsidR="0094644B" w:rsidRPr="00FA3F57" w:rsidRDefault="0094644B" w:rsidP="00FB5086">
            <w:pPr>
              <w:rPr>
                <w:sz w:val="20"/>
                <w:szCs w:val="20"/>
              </w:rPr>
            </w:pPr>
            <w:r w:rsidRPr="00FA3F57">
              <w:rPr>
                <w:sz w:val="20"/>
                <w:szCs w:val="20"/>
              </w:rPr>
              <w:t xml:space="preserve">One of the objectives of the implementation of the IPARD III program is to contribute to climate change mitigation and to promote sustainable management of natural resources. </w:t>
            </w:r>
            <w:r w:rsidRPr="00F07779">
              <w:rPr>
                <w:sz w:val="20"/>
                <w:szCs w:val="20"/>
              </w:rPr>
              <w:t>The IPARD III program measures encourage investments in renewable energy sources, which will contribute to achieving the objectives in the agriculture sector within the framework of INECP.</w:t>
            </w:r>
          </w:p>
        </w:tc>
      </w:tr>
      <w:tr w:rsidR="0094644B" w:rsidRPr="00F07779" w14:paraId="04DA5A33" w14:textId="77777777" w:rsidTr="00FB5086">
        <w:tc>
          <w:tcPr>
            <w:tcW w:w="2933" w:type="dxa"/>
          </w:tcPr>
          <w:p w14:paraId="0983481A" w14:textId="77777777" w:rsidR="0094644B" w:rsidRPr="00FA3F57" w:rsidRDefault="0094644B" w:rsidP="00FB5086">
            <w:pPr>
              <w:rPr>
                <w:sz w:val="20"/>
                <w:szCs w:val="20"/>
              </w:rPr>
            </w:pPr>
            <w:r w:rsidRPr="00FA3F57">
              <w:rPr>
                <w:sz w:val="20"/>
                <w:szCs w:val="20"/>
              </w:rPr>
              <w:t>Impact on EE, climate, and environmental protection</w:t>
            </w:r>
          </w:p>
        </w:tc>
        <w:tc>
          <w:tcPr>
            <w:tcW w:w="5782" w:type="dxa"/>
            <w:vAlign w:val="center"/>
          </w:tcPr>
          <w:p w14:paraId="0C71CD36" w14:textId="77777777" w:rsidR="0094644B" w:rsidRPr="00FA3F57" w:rsidRDefault="0094644B" w:rsidP="00FB5086">
            <w:pPr>
              <w:rPr>
                <w:sz w:val="20"/>
                <w:szCs w:val="20"/>
              </w:rPr>
            </w:pPr>
            <w:r w:rsidRPr="00FA3F57">
              <w:rPr>
                <w:sz w:val="20"/>
                <w:szCs w:val="20"/>
              </w:rPr>
              <w:t>All investments supported within the IPARD program, as well as all farms that have obtained the right to IPARD support, must comply with environmental protection requirements in accordance with the following regulation:</w:t>
            </w:r>
            <w:r w:rsidRPr="00F07779">
              <w:rPr>
                <w:sz w:val="20"/>
                <w:szCs w:val="20"/>
              </w:rPr>
              <w:t xml:space="preserve"> </w:t>
            </w:r>
            <w:hyperlink r:id="rId17" w:history="1">
              <w:r w:rsidRPr="00FA3F57">
                <w:rPr>
                  <w:rStyle w:val="Hyperlink"/>
                  <w:sz w:val="20"/>
                  <w:szCs w:val="20"/>
                </w:rPr>
                <w:t>https://pravno-informacioni-sistem.rs/eli/rep/sgrs/ministarstva/pravilnik/2019/26/2/reg</w:t>
              </w:r>
            </w:hyperlink>
          </w:p>
        </w:tc>
      </w:tr>
    </w:tbl>
    <w:p w14:paraId="47C3183D" w14:textId="77777777" w:rsidR="0094644B" w:rsidRPr="00FA3F57" w:rsidRDefault="0094644B" w:rsidP="0094644B">
      <w:pPr>
        <w:tabs>
          <w:tab w:val="left" w:pos="284"/>
        </w:tabs>
      </w:pPr>
    </w:p>
    <w:p w14:paraId="2285C177" w14:textId="77777777" w:rsidR="0094644B" w:rsidRPr="00FA3F57" w:rsidRDefault="0094644B" w:rsidP="0094644B">
      <w:pPr>
        <w:keepNext/>
        <w:tabs>
          <w:tab w:val="left" w:pos="1701"/>
        </w:tabs>
      </w:pPr>
      <w:r w:rsidRPr="00FA3F57">
        <w:t>Table 5.4.3-12:</w:t>
      </w:r>
      <w:r w:rsidRPr="00FA3F57">
        <w:tab/>
        <w:t>Activity for the implementation of the measure EE1 - Activity ЕЕ1.12/9.12</w:t>
      </w:r>
    </w:p>
    <w:tbl>
      <w:tblPr>
        <w:tblStyle w:val="TableGrid"/>
        <w:tblW w:w="0" w:type="auto"/>
        <w:tblLook w:val="04A0" w:firstRow="1" w:lastRow="0" w:firstColumn="1" w:lastColumn="0" w:noHBand="0" w:noVBand="1"/>
      </w:tblPr>
      <w:tblGrid>
        <w:gridCol w:w="2933"/>
        <w:gridCol w:w="5782"/>
      </w:tblGrid>
      <w:tr w:rsidR="0094644B" w:rsidRPr="00F07779" w14:paraId="7395B89F" w14:textId="77777777" w:rsidTr="00FB5086">
        <w:tc>
          <w:tcPr>
            <w:tcW w:w="2933" w:type="dxa"/>
            <w:shd w:val="clear" w:color="auto" w:fill="D9D9D9" w:themeFill="background1" w:themeFillShade="D9"/>
          </w:tcPr>
          <w:p w14:paraId="005BBBE4" w14:textId="77777777" w:rsidR="0094644B" w:rsidRPr="00FA3F57" w:rsidRDefault="0094644B" w:rsidP="00FB5086">
            <w:pPr>
              <w:keepNext/>
              <w:rPr>
                <w:sz w:val="20"/>
                <w:szCs w:val="20"/>
              </w:rPr>
            </w:pPr>
            <w:r w:rsidRPr="00FA3F57">
              <w:rPr>
                <w:sz w:val="20"/>
                <w:szCs w:val="20"/>
              </w:rPr>
              <w:t>Activity ЕЕ1.12/9.12</w:t>
            </w:r>
          </w:p>
        </w:tc>
        <w:tc>
          <w:tcPr>
            <w:tcW w:w="5782" w:type="dxa"/>
            <w:shd w:val="clear" w:color="auto" w:fill="D9D9D9" w:themeFill="background1" w:themeFillShade="D9"/>
            <w:vAlign w:val="center"/>
          </w:tcPr>
          <w:p w14:paraId="5A43BC25" w14:textId="77777777" w:rsidR="0094644B" w:rsidRPr="00FA3F57" w:rsidRDefault="0094644B" w:rsidP="00FB5086">
            <w:pPr>
              <w:rPr>
                <w:sz w:val="20"/>
                <w:szCs w:val="20"/>
              </w:rPr>
            </w:pPr>
            <w:r w:rsidRPr="00F07779">
              <w:rPr>
                <w:sz w:val="20"/>
                <w:szCs w:val="20"/>
              </w:rPr>
              <w:t>Increasing energy efficiency in public buildings</w:t>
            </w:r>
          </w:p>
        </w:tc>
      </w:tr>
      <w:tr w:rsidR="0094644B" w:rsidRPr="00F07779" w14:paraId="00F810E4" w14:textId="77777777" w:rsidTr="00FB5086">
        <w:tc>
          <w:tcPr>
            <w:tcW w:w="2933" w:type="dxa"/>
          </w:tcPr>
          <w:p w14:paraId="51D8AA8A" w14:textId="77777777" w:rsidR="0094644B" w:rsidRPr="00FA3F57" w:rsidRDefault="0094644B" w:rsidP="00FB5086">
            <w:pPr>
              <w:rPr>
                <w:sz w:val="20"/>
                <w:szCs w:val="20"/>
              </w:rPr>
            </w:pPr>
            <w:r w:rsidRPr="00FA3F57">
              <w:rPr>
                <w:sz w:val="20"/>
                <w:szCs w:val="20"/>
              </w:rPr>
              <w:t>Project name</w:t>
            </w:r>
          </w:p>
        </w:tc>
        <w:tc>
          <w:tcPr>
            <w:tcW w:w="5782" w:type="dxa"/>
          </w:tcPr>
          <w:p w14:paraId="001356DD" w14:textId="77777777" w:rsidR="0094644B" w:rsidRPr="00FA3F57" w:rsidRDefault="0094644B" w:rsidP="00FB5086">
            <w:pPr>
              <w:rPr>
                <w:sz w:val="20"/>
                <w:szCs w:val="20"/>
              </w:rPr>
            </w:pPr>
            <w:r w:rsidRPr="00F07779">
              <w:rPr>
                <w:sz w:val="20"/>
                <w:szCs w:val="20"/>
              </w:rPr>
              <w:t>Project for improving the energy efficiency of public buildings in the Autonomous Province of Vojvodina</w:t>
            </w:r>
          </w:p>
        </w:tc>
      </w:tr>
      <w:tr w:rsidR="0094644B" w:rsidRPr="00F07779" w14:paraId="7C936A65" w14:textId="77777777" w:rsidTr="00FB5086">
        <w:tc>
          <w:tcPr>
            <w:tcW w:w="2933" w:type="dxa"/>
          </w:tcPr>
          <w:p w14:paraId="47AC9B93" w14:textId="77777777" w:rsidR="0094644B" w:rsidRPr="00FA3F57" w:rsidRDefault="0094644B" w:rsidP="00FB5086">
            <w:pPr>
              <w:rPr>
                <w:sz w:val="20"/>
                <w:szCs w:val="20"/>
              </w:rPr>
            </w:pPr>
            <w:r w:rsidRPr="00FA3F57">
              <w:rPr>
                <w:sz w:val="20"/>
                <w:szCs w:val="20"/>
              </w:rPr>
              <w:t>Activity (measure from INECP)</w:t>
            </w:r>
          </w:p>
        </w:tc>
        <w:tc>
          <w:tcPr>
            <w:tcW w:w="5782" w:type="dxa"/>
          </w:tcPr>
          <w:p w14:paraId="43D925FE" w14:textId="77777777" w:rsidR="0094644B" w:rsidRPr="00FA3F57" w:rsidRDefault="0094644B" w:rsidP="00FB5086">
            <w:pPr>
              <w:rPr>
                <w:sz w:val="20"/>
                <w:szCs w:val="20"/>
              </w:rPr>
            </w:pPr>
            <w:r w:rsidRPr="00FA3F57">
              <w:rPr>
                <w:sz w:val="20"/>
                <w:szCs w:val="20"/>
              </w:rPr>
              <w:t>PM_ЕЕ2-</w:t>
            </w:r>
            <w:r w:rsidRPr="00F07779">
              <w:rPr>
                <w:sz w:val="20"/>
                <w:szCs w:val="20"/>
              </w:rPr>
              <w:t>Financial support for the energy renovation of public buildings</w:t>
            </w:r>
          </w:p>
        </w:tc>
      </w:tr>
      <w:tr w:rsidR="0094644B" w:rsidRPr="00F07779" w14:paraId="6D22CF6D" w14:textId="77777777" w:rsidTr="00FB5086">
        <w:tc>
          <w:tcPr>
            <w:tcW w:w="2933" w:type="dxa"/>
            <w:vAlign w:val="center"/>
          </w:tcPr>
          <w:p w14:paraId="3E659ED3" w14:textId="77777777" w:rsidR="0094644B" w:rsidRPr="00FA3F57" w:rsidRDefault="0094644B" w:rsidP="00FB5086">
            <w:pPr>
              <w:rPr>
                <w:sz w:val="20"/>
                <w:szCs w:val="20"/>
              </w:rPr>
            </w:pPr>
            <w:r w:rsidRPr="00FA3F57">
              <w:rPr>
                <w:sz w:val="20"/>
                <w:szCs w:val="20"/>
              </w:rPr>
              <w:t>Description</w:t>
            </w:r>
          </w:p>
        </w:tc>
        <w:tc>
          <w:tcPr>
            <w:tcW w:w="5782" w:type="dxa"/>
          </w:tcPr>
          <w:p w14:paraId="5B8AE17D" w14:textId="77777777" w:rsidR="0094644B" w:rsidRPr="00F07779" w:rsidRDefault="0094644B" w:rsidP="00FB5086">
            <w:pPr>
              <w:rPr>
                <w:sz w:val="20"/>
                <w:szCs w:val="20"/>
              </w:rPr>
            </w:pPr>
            <w:r w:rsidRPr="00F07779">
              <w:rPr>
                <w:sz w:val="20"/>
                <w:szCs w:val="20"/>
              </w:rPr>
              <w:t>The project envisions energy rehabilitation and renovation of public buildings in the Autonomous Province of Vojvodina, including administrative buildings, as well as buildings of educational, healthcare, cultural, and sports institutions.</w:t>
            </w:r>
          </w:p>
          <w:p w14:paraId="79F95445" w14:textId="77777777" w:rsidR="0094644B" w:rsidRPr="00FA3F57" w:rsidRDefault="0094644B" w:rsidP="00FB5086">
            <w:pPr>
              <w:rPr>
                <w:sz w:val="20"/>
                <w:szCs w:val="20"/>
              </w:rPr>
            </w:pPr>
            <w:r w:rsidRPr="00F07779">
              <w:rPr>
                <w:sz w:val="20"/>
                <w:szCs w:val="20"/>
              </w:rPr>
              <w:t>The Provincial Government, through the Provincial Secretariat for Energy, Construction, and Transport, is implementing the Project for Improving the Energy Efficiency of Public Buildings in the Autonomous Province of Vojvodina, with financial support from the European Bank for Reconstruction and Development (EBRD), the European Union, the Western Balkans Investment Framework (WBIF-REEP), and the Swedish International Development Cooperation Agency (SIDA).</w:t>
            </w:r>
            <w:r w:rsidRPr="00F07779">
              <w:t xml:space="preserve"> </w:t>
            </w:r>
            <w:r w:rsidRPr="00F07779">
              <w:rPr>
                <w:sz w:val="20"/>
                <w:szCs w:val="20"/>
              </w:rPr>
              <w:t>The first phase of the project foresees the renovation of 31 buildings. The number of buildings to undergo energy rehabilitation in the second phase has not yet been determined.</w:t>
            </w:r>
          </w:p>
        </w:tc>
      </w:tr>
      <w:tr w:rsidR="0094644B" w:rsidRPr="00F07779" w14:paraId="0E3835C0" w14:textId="77777777" w:rsidTr="00FB5086">
        <w:tc>
          <w:tcPr>
            <w:tcW w:w="2933" w:type="dxa"/>
            <w:vAlign w:val="center"/>
          </w:tcPr>
          <w:p w14:paraId="6B7C8C3F" w14:textId="77777777" w:rsidR="0094644B" w:rsidRPr="00FA3F57" w:rsidRDefault="0094644B" w:rsidP="00FB5086">
            <w:pPr>
              <w:rPr>
                <w:sz w:val="20"/>
                <w:szCs w:val="20"/>
              </w:rPr>
            </w:pPr>
            <w:r w:rsidRPr="00FA3F57">
              <w:rPr>
                <w:sz w:val="20"/>
                <w:szCs w:val="20"/>
              </w:rPr>
              <w:t>Institutions responsible for the implementation of measures and activities</w:t>
            </w:r>
          </w:p>
        </w:tc>
        <w:tc>
          <w:tcPr>
            <w:tcW w:w="5782" w:type="dxa"/>
            <w:vAlign w:val="center"/>
          </w:tcPr>
          <w:p w14:paraId="241D2C46" w14:textId="77777777" w:rsidR="0094644B" w:rsidRPr="00FA3F57" w:rsidRDefault="0094644B" w:rsidP="00FB5086">
            <w:pPr>
              <w:rPr>
                <w:sz w:val="20"/>
                <w:szCs w:val="20"/>
              </w:rPr>
            </w:pPr>
            <w:r w:rsidRPr="00F07779">
              <w:rPr>
                <w:sz w:val="20"/>
                <w:szCs w:val="20"/>
              </w:rPr>
              <w:t>Provincial Secretariat for Energy, Construction, and Transport</w:t>
            </w:r>
          </w:p>
        </w:tc>
      </w:tr>
      <w:tr w:rsidR="0094644B" w:rsidRPr="00F07779" w14:paraId="68C0540E" w14:textId="77777777" w:rsidTr="00FB5086">
        <w:tc>
          <w:tcPr>
            <w:tcW w:w="2933" w:type="dxa"/>
            <w:vAlign w:val="center"/>
          </w:tcPr>
          <w:p w14:paraId="1D72C2B2" w14:textId="77777777" w:rsidR="0094644B" w:rsidRPr="00FA3F57" w:rsidRDefault="0094644B" w:rsidP="00FB5086">
            <w:pPr>
              <w:rPr>
                <w:sz w:val="20"/>
                <w:szCs w:val="20"/>
              </w:rPr>
            </w:pPr>
            <w:r w:rsidRPr="00FA3F57">
              <w:rPr>
                <w:sz w:val="20"/>
                <w:szCs w:val="20"/>
              </w:rPr>
              <w:lastRenderedPageBreak/>
              <w:t>Institutions responsible for monitoring implementation and reporting on the realization</w:t>
            </w:r>
          </w:p>
        </w:tc>
        <w:tc>
          <w:tcPr>
            <w:tcW w:w="5782" w:type="dxa"/>
            <w:vAlign w:val="center"/>
          </w:tcPr>
          <w:p w14:paraId="56A3E621" w14:textId="77777777" w:rsidR="0094644B" w:rsidRPr="00FA3F57" w:rsidRDefault="0094644B" w:rsidP="00FB5086">
            <w:pPr>
              <w:rPr>
                <w:sz w:val="20"/>
                <w:szCs w:val="20"/>
              </w:rPr>
            </w:pPr>
            <w:r w:rsidRPr="00F07779">
              <w:rPr>
                <w:sz w:val="20"/>
                <w:szCs w:val="20"/>
              </w:rPr>
              <w:t>Provincial Secretariat for Energy, Construction, and Transport</w:t>
            </w:r>
          </w:p>
        </w:tc>
      </w:tr>
      <w:tr w:rsidR="0094644B" w:rsidRPr="00F07779" w14:paraId="0FA1295E" w14:textId="77777777" w:rsidTr="00FB5086">
        <w:tc>
          <w:tcPr>
            <w:tcW w:w="2933" w:type="dxa"/>
            <w:vAlign w:val="center"/>
          </w:tcPr>
          <w:p w14:paraId="356595A6" w14:textId="77777777" w:rsidR="0094644B" w:rsidRPr="00FA3F57" w:rsidRDefault="0094644B" w:rsidP="00FB5086">
            <w:pPr>
              <w:rPr>
                <w:sz w:val="20"/>
                <w:szCs w:val="20"/>
              </w:rPr>
            </w:pPr>
            <w:r w:rsidRPr="00FA3F57">
              <w:rPr>
                <w:sz w:val="20"/>
                <w:szCs w:val="20"/>
              </w:rPr>
              <w:t>Deadline for implementation</w:t>
            </w:r>
            <w:r w:rsidRPr="00FA3F57" w:rsidDel="00400537">
              <w:rPr>
                <w:sz w:val="20"/>
                <w:szCs w:val="20"/>
              </w:rPr>
              <w:t xml:space="preserve"> </w:t>
            </w:r>
            <w:r w:rsidRPr="00FA3F57">
              <w:rPr>
                <w:sz w:val="20"/>
                <w:szCs w:val="20"/>
              </w:rPr>
              <w:t>(Start/planned completion and dynamics of implementation by year)</w:t>
            </w:r>
          </w:p>
        </w:tc>
        <w:tc>
          <w:tcPr>
            <w:tcW w:w="5782" w:type="dxa"/>
            <w:vAlign w:val="center"/>
          </w:tcPr>
          <w:p w14:paraId="152ABEC0" w14:textId="77777777" w:rsidR="0094644B" w:rsidRPr="00FA3F57" w:rsidRDefault="0094644B" w:rsidP="00FB5086">
            <w:pPr>
              <w:rPr>
                <w:sz w:val="20"/>
                <w:szCs w:val="20"/>
              </w:rPr>
            </w:pPr>
            <w:r w:rsidRPr="00FA3F57">
              <w:rPr>
                <w:sz w:val="20"/>
                <w:szCs w:val="20"/>
              </w:rPr>
              <w:t>Project start: December 23, 2022</w:t>
            </w:r>
          </w:p>
          <w:p w14:paraId="23E47D21" w14:textId="77777777" w:rsidR="0094644B" w:rsidRPr="00FA3F57" w:rsidRDefault="0094644B" w:rsidP="00FB5086">
            <w:pPr>
              <w:rPr>
                <w:sz w:val="20"/>
                <w:szCs w:val="20"/>
              </w:rPr>
            </w:pPr>
            <w:r w:rsidRPr="00FA3F57">
              <w:rPr>
                <w:sz w:val="20"/>
                <w:szCs w:val="20"/>
              </w:rPr>
              <w:t>Project completion: December 31, 2026</w:t>
            </w:r>
          </w:p>
        </w:tc>
      </w:tr>
      <w:tr w:rsidR="0094644B" w:rsidRPr="00F07779" w14:paraId="30F1D9D7" w14:textId="77777777" w:rsidTr="00FB5086">
        <w:tc>
          <w:tcPr>
            <w:tcW w:w="2933" w:type="dxa"/>
            <w:vAlign w:val="center"/>
          </w:tcPr>
          <w:p w14:paraId="34BCAE7A" w14:textId="77777777" w:rsidR="0094644B" w:rsidRPr="00FA3F57" w:rsidRDefault="0094644B" w:rsidP="00FB5086">
            <w:pPr>
              <w:rPr>
                <w:sz w:val="20"/>
                <w:szCs w:val="20"/>
              </w:rPr>
            </w:pPr>
            <w:r w:rsidRPr="00FA3F57">
              <w:rPr>
                <w:sz w:val="20"/>
                <w:szCs w:val="20"/>
              </w:rPr>
              <w:t>Required funds and source of financing</w:t>
            </w:r>
            <w:r w:rsidRPr="00FA3F57" w:rsidDel="0084100E">
              <w:rPr>
                <w:sz w:val="20"/>
                <w:szCs w:val="20"/>
              </w:rPr>
              <w:t xml:space="preserve"> </w:t>
            </w:r>
            <w:r w:rsidRPr="00FA3F57">
              <w:rPr>
                <w:sz w:val="20"/>
                <w:szCs w:val="20"/>
              </w:rPr>
              <w:t>(Estimated project value: Loan/grant amount/status of signed financing agreements)</w:t>
            </w:r>
          </w:p>
        </w:tc>
        <w:tc>
          <w:tcPr>
            <w:tcW w:w="5782" w:type="dxa"/>
            <w:vAlign w:val="center"/>
          </w:tcPr>
          <w:p w14:paraId="457E420E" w14:textId="77777777" w:rsidR="0094644B" w:rsidRPr="00F07779" w:rsidRDefault="0094644B" w:rsidP="00FB5086">
            <w:pPr>
              <w:rPr>
                <w:sz w:val="20"/>
                <w:szCs w:val="20"/>
              </w:rPr>
            </w:pPr>
            <w:r w:rsidRPr="00F07779">
              <w:rPr>
                <w:sz w:val="20"/>
                <w:szCs w:val="20"/>
              </w:rPr>
              <w:t xml:space="preserve">The Provincial Government is implementing the project with the support of the EBRD, through the Provincial Secretariat for Energy, Construction, and Transport. The basic information is as follows: Estimated project value: </w:t>
            </w:r>
          </w:p>
          <w:p w14:paraId="17B8F4B8" w14:textId="77777777" w:rsidR="0094644B" w:rsidRPr="00FA3F57" w:rsidRDefault="0094644B" w:rsidP="0094644B">
            <w:pPr>
              <w:pStyle w:val="ListParagraph"/>
              <w:numPr>
                <w:ilvl w:val="0"/>
                <w:numId w:val="43"/>
              </w:numPr>
              <w:ind w:left="221" w:hanging="221"/>
              <w:rPr>
                <w:rFonts w:ascii="Times New Roman" w:hAnsi="Times New Roman" w:cs="Times New Roman"/>
                <w:noProof w:val="0"/>
                <w:sz w:val="20"/>
                <w:szCs w:val="20"/>
              </w:rPr>
            </w:pPr>
            <w:r w:rsidRPr="00FA3F57">
              <w:rPr>
                <w:rFonts w:ascii="Times New Roman" w:hAnsi="Times New Roman" w:cs="Times New Roman"/>
                <w:noProof w:val="0"/>
                <w:sz w:val="20"/>
                <w:szCs w:val="20"/>
              </w:rPr>
              <w:t>€15,900,000.00, of which up to €14 million is planned for the investment itself.</w:t>
            </w:r>
          </w:p>
          <w:p w14:paraId="2D910452" w14:textId="77777777" w:rsidR="0094644B" w:rsidRPr="00FA3F57" w:rsidRDefault="0094644B" w:rsidP="0094644B">
            <w:pPr>
              <w:pStyle w:val="ListParagraph"/>
              <w:numPr>
                <w:ilvl w:val="0"/>
                <w:numId w:val="43"/>
              </w:numPr>
              <w:ind w:left="221" w:hanging="221"/>
              <w:rPr>
                <w:rFonts w:ascii="Times New Roman" w:hAnsi="Times New Roman" w:cs="Times New Roman"/>
                <w:noProof w:val="0"/>
                <w:sz w:val="20"/>
                <w:szCs w:val="20"/>
              </w:rPr>
            </w:pPr>
            <w:r w:rsidRPr="00FA3F57">
              <w:rPr>
                <w:rFonts w:ascii="Times New Roman" w:hAnsi="Times New Roman" w:cs="Times New Roman"/>
                <w:noProof w:val="0"/>
                <w:sz w:val="20"/>
                <w:szCs w:val="20"/>
              </w:rPr>
              <w:t>Loan amount secured from the European Bank for Reconstruction and Development (EBRD): up to €12,000,000.00; The loan agreement was signed on December 22, 2022.</w:t>
            </w:r>
          </w:p>
          <w:p w14:paraId="2F5F9096" w14:textId="77777777" w:rsidR="0094644B" w:rsidRPr="00FA3F57" w:rsidRDefault="0094644B" w:rsidP="0094644B">
            <w:pPr>
              <w:pStyle w:val="ListParagraph"/>
              <w:numPr>
                <w:ilvl w:val="0"/>
                <w:numId w:val="43"/>
              </w:numPr>
              <w:ind w:left="221" w:hanging="221"/>
              <w:rPr>
                <w:rFonts w:ascii="Times New Roman" w:hAnsi="Times New Roman" w:cs="Times New Roman"/>
                <w:noProof w:val="0"/>
                <w:sz w:val="20"/>
                <w:szCs w:val="20"/>
              </w:rPr>
            </w:pPr>
            <w:r w:rsidRPr="00FA3F57">
              <w:rPr>
                <w:rFonts w:ascii="Times New Roman" w:hAnsi="Times New Roman" w:cs="Times New Roman"/>
                <w:noProof w:val="0"/>
                <w:sz w:val="20"/>
                <w:szCs w:val="20"/>
              </w:rPr>
              <w:t>The total amount of investment grants provided by the EBRD: up to €2,000,000.00; two grant agreements have been signed, each up to €1,000,000.00, one signed on December 23, 2022, and the other on October 30, 2024.</w:t>
            </w:r>
          </w:p>
          <w:p w14:paraId="003A9952" w14:textId="77777777" w:rsidR="0094644B" w:rsidRPr="00FA3F57" w:rsidRDefault="0094644B" w:rsidP="0094644B">
            <w:pPr>
              <w:pStyle w:val="ListParagraph"/>
              <w:numPr>
                <w:ilvl w:val="0"/>
                <w:numId w:val="43"/>
              </w:numPr>
              <w:ind w:left="221" w:hanging="221"/>
              <w:rPr>
                <w:rFonts w:ascii="Times New Roman" w:hAnsi="Times New Roman" w:cs="Times New Roman"/>
                <w:noProof w:val="0"/>
                <w:sz w:val="20"/>
                <w:szCs w:val="20"/>
              </w:rPr>
            </w:pPr>
            <w:r w:rsidRPr="00FA3F57">
              <w:rPr>
                <w:rFonts w:ascii="Times New Roman" w:hAnsi="Times New Roman" w:cs="Times New Roman"/>
                <w:noProof w:val="0"/>
                <w:sz w:val="20"/>
                <w:szCs w:val="20"/>
              </w:rPr>
              <w:t xml:space="preserve">The amount of the grant for financing supervision of works, provided by the EBRD from the European Western Balkans Joint Fund – Regional Energy Efficiency </w:t>
            </w:r>
            <w:proofErr w:type="spellStart"/>
            <w:r w:rsidRPr="00FA3F57">
              <w:rPr>
                <w:rFonts w:ascii="Times New Roman" w:hAnsi="Times New Roman" w:cs="Times New Roman"/>
                <w:noProof w:val="0"/>
                <w:sz w:val="20"/>
                <w:szCs w:val="20"/>
              </w:rPr>
              <w:t>Programme</w:t>
            </w:r>
            <w:proofErr w:type="spellEnd"/>
            <w:r w:rsidRPr="00FA3F57">
              <w:rPr>
                <w:rFonts w:ascii="Times New Roman" w:hAnsi="Times New Roman" w:cs="Times New Roman"/>
                <w:noProof w:val="0"/>
                <w:sz w:val="20"/>
                <w:szCs w:val="20"/>
              </w:rPr>
              <w:t xml:space="preserve"> for Western Balkans (REEP), up to €700,000.00; the contract has not been signed yet, a draft contract has been prepared, and funding is currently being secured.</w:t>
            </w:r>
          </w:p>
          <w:p w14:paraId="6318958F" w14:textId="77777777" w:rsidR="0094644B" w:rsidRPr="00FA3F57" w:rsidRDefault="0094644B" w:rsidP="00FB5086">
            <w:pPr>
              <w:rPr>
                <w:sz w:val="20"/>
                <w:szCs w:val="20"/>
              </w:rPr>
            </w:pPr>
            <w:r w:rsidRPr="00F07779">
              <w:rPr>
                <w:sz w:val="20"/>
                <w:szCs w:val="20"/>
              </w:rPr>
              <w:t xml:space="preserve">Within the mentioned project, funds totaling €14,700,000.00 will be allocated to the </w:t>
            </w:r>
            <w:proofErr w:type="gramStart"/>
            <w:r w:rsidRPr="00F07779">
              <w:rPr>
                <w:sz w:val="20"/>
                <w:szCs w:val="20"/>
              </w:rPr>
              <w:t>Province</w:t>
            </w:r>
            <w:proofErr w:type="gramEnd"/>
            <w:r w:rsidRPr="00F07779">
              <w:rPr>
                <w:sz w:val="20"/>
                <w:szCs w:val="20"/>
              </w:rPr>
              <w:t xml:space="preserve"> from loans, investment grants, and grants for financing supervision of works. In addition to the </w:t>
            </w:r>
            <w:proofErr w:type="gramStart"/>
            <w:r w:rsidRPr="00F07779">
              <w:rPr>
                <w:sz w:val="20"/>
                <w:szCs w:val="20"/>
              </w:rPr>
              <w:t>aforementioned funds</w:t>
            </w:r>
            <w:proofErr w:type="gramEnd"/>
            <w:r w:rsidRPr="00F07779">
              <w:rPr>
                <w:sz w:val="20"/>
                <w:szCs w:val="20"/>
              </w:rPr>
              <w:t>, which will be deposited into the accounts of the AP of Vojvodina, the EBRD has also provided for the implementation of the project:</w:t>
            </w:r>
          </w:p>
          <w:p w14:paraId="412E86B0" w14:textId="77777777" w:rsidR="0094644B" w:rsidRPr="00FA3F57" w:rsidRDefault="0094644B" w:rsidP="00FB5086">
            <w:pPr>
              <w:pStyle w:val="ListParagraph"/>
              <w:numPr>
                <w:ilvl w:val="0"/>
                <w:numId w:val="30"/>
              </w:numPr>
              <w:ind w:left="217" w:hanging="142"/>
              <w:rPr>
                <w:noProof w:val="0"/>
                <w:sz w:val="20"/>
                <w:szCs w:val="20"/>
              </w:rPr>
            </w:pPr>
            <w:r w:rsidRPr="00FA3F57">
              <w:rPr>
                <w:rFonts w:ascii="Times New Roman" w:hAnsi="Times New Roman" w:cs="Times New Roman"/>
                <w:noProof w:val="0"/>
                <w:sz w:val="20"/>
                <w:szCs w:val="20"/>
              </w:rPr>
              <w:t>a grant for financing the preliminary energy audit and Environmental &amp; Social Due Diligence (ESDD) in the amount of €150,000.00 (a grant from REEP), as well as financing for consultants engaged by the Bank for project implementation in the amount of €1,050,000.00 (a REEP grant of up to €650,000.00 and a grant from the Swedish International Development Cooperation Agency (SIDA) of €400,000.00); the funds have been secured and contracts for these purposes have been signed by the EBRD</w:t>
            </w:r>
          </w:p>
        </w:tc>
      </w:tr>
      <w:tr w:rsidR="0094644B" w:rsidRPr="00F07779" w14:paraId="3F8CF4C6" w14:textId="77777777" w:rsidTr="00FB5086">
        <w:tc>
          <w:tcPr>
            <w:tcW w:w="2933" w:type="dxa"/>
            <w:vAlign w:val="center"/>
          </w:tcPr>
          <w:p w14:paraId="493EE705" w14:textId="77777777" w:rsidR="0094644B" w:rsidRPr="00FA3F57" w:rsidRDefault="0094644B" w:rsidP="00FB5086">
            <w:pPr>
              <w:rPr>
                <w:sz w:val="20"/>
                <w:szCs w:val="20"/>
              </w:rPr>
            </w:pPr>
            <w:r w:rsidRPr="00FA3F57">
              <w:rPr>
                <w:sz w:val="20"/>
                <w:szCs w:val="20"/>
              </w:rPr>
              <w:t>Implementation indicator</w:t>
            </w:r>
          </w:p>
        </w:tc>
        <w:tc>
          <w:tcPr>
            <w:tcW w:w="5782" w:type="dxa"/>
            <w:vAlign w:val="center"/>
          </w:tcPr>
          <w:p w14:paraId="0D318376" w14:textId="77777777" w:rsidR="0094644B" w:rsidRPr="00FA3F57" w:rsidRDefault="0094644B" w:rsidP="00FB5086">
            <w:pPr>
              <w:rPr>
                <w:sz w:val="20"/>
                <w:szCs w:val="20"/>
              </w:rPr>
            </w:pPr>
            <w:r w:rsidRPr="00FA3F57">
              <w:rPr>
                <w:sz w:val="20"/>
                <w:szCs w:val="20"/>
              </w:rPr>
              <w:t>Number of renovated buildings</w:t>
            </w:r>
          </w:p>
        </w:tc>
      </w:tr>
      <w:tr w:rsidR="0094644B" w:rsidRPr="00F07779" w14:paraId="1113BDF4" w14:textId="77777777" w:rsidTr="00FB5086">
        <w:tc>
          <w:tcPr>
            <w:tcW w:w="2933" w:type="dxa"/>
            <w:vAlign w:val="center"/>
          </w:tcPr>
          <w:p w14:paraId="1D971E88" w14:textId="77777777" w:rsidR="0094644B" w:rsidRPr="00FA3F57" w:rsidRDefault="0094644B" w:rsidP="00FB5086">
            <w:pPr>
              <w:rPr>
                <w:sz w:val="20"/>
                <w:szCs w:val="20"/>
              </w:rPr>
            </w:pPr>
            <w:r w:rsidRPr="00FA3F57">
              <w:rPr>
                <w:sz w:val="20"/>
                <w:szCs w:val="20"/>
              </w:rPr>
              <w:t>Impact of the activity on the achievement of the objective</w:t>
            </w:r>
          </w:p>
        </w:tc>
        <w:tc>
          <w:tcPr>
            <w:tcW w:w="5782" w:type="dxa"/>
            <w:vAlign w:val="center"/>
          </w:tcPr>
          <w:p w14:paraId="497B0FA3" w14:textId="77777777" w:rsidR="0094644B" w:rsidRPr="00FA3F57" w:rsidRDefault="0094644B" w:rsidP="00FB5086">
            <w:pPr>
              <w:rPr>
                <w:sz w:val="20"/>
                <w:szCs w:val="20"/>
              </w:rPr>
            </w:pPr>
            <w:r w:rsidRPr="00FA3F57">
              <w:rPr>
                <w:sz w:val="20"/>
                <w:szCs w:val="20"/>
              </w:rPr>
              <w:t>Energy savings, reduction of CO</w:t>
            </w:r>
            <w:r w:rsidRPr="00FA3F57">
              <w:rPr>
                <w:sz w:val="20"/>
                <w:szCs w:val="20"/>
                <w:vertAlign w:val="subscript"/>
              </w:rPr>
              <w:t>2</w:t>
            </w:r>
            <w:r w:rsidRPr="00FA3F57">
              <w:rPr>
                <w:sz w:val="20"/>
                <w:szCs w:val="20"/>
              </w:rPr>
              <w:t xml:space="preserve"> emissions, use of renewable energy sources (solar power plants), as well as financial effects - reduction of energy bills, which are paid from the budget</w:t>
            </w:r>
          </w:p>
        </w:tc>
      </w:tr>
      <w:tr w:rsidR="0094644B" w:rsidRPr="00F07779" w14:paraId="41F5186B" w14:textId="77777777" w:rsidTr="00FB5086">
        <w:tc>
          <w:tcPr>
            <w:tcW w:w="2933" w:type="dxa"/>
            <w:vAlign w:val="center"/>
          </w:tcPr>
          <w:p w14:paraId="3D6AF609" w14:textId="77777777" w:rsidR="0094644B" w:rsidRPr="00FA3F57" w:rsidRDefault="0094644B" w:rsidP="00FB5086">
            <w:pPr>
              <w:rPr>
                <w:sz w:val="20"/>
                <w:szCs w:val="20"/>
              </w:rPr>
            </w:pPr>
            <w:r w:rsidRPr="00FA3F57">
              <w:rPr>
                <w:sz w:val="20"/>
                <w:szCs w:val="20"/>
              </w:rPr>
              <w:t>Impact on EE, climate, and environmental protection</w:t>
            </w:r>
          </w:p>
        </w:tc>
        <w:tc>
          <w:tcPr>
            <w:tcW w:w="5782" w:type="dxa"/>
            <w:vAlign w:val="center"/>
          </w:tcPr>
          <w:p w14:paraId="4B6D7A2E" w14:textId="77777777" w:rsidR="0094644B" w:rsidRPr="00FA3F57" w:rsidRDefault="0094644B" w:rsidP="00FB5086">
            <w:pPr>
              <w:rPr>
                <w:sz w:val="20"/>
                <w:szCs w:val="20"/>
              </w:rPr>
            </w:pPr>
            <w:r w:rsidRPr="00FA3F57">
              <w:rPr>
                <w:sz w:val="20"/>
                <w:szCs w:val="20"/>
              </w:rPr>
              <w:t>The investment is expected to result in significant reductions in energy consumption for heating and lighting of buildings, as well as a decrease in CO</w:t>
            </w:r>
            <w:r w:rsidRPr="00FA3F57">
              <w:rPr>
                <w:sz w:val="20"/>
                <w:szCs w:val="20"/>
                <w:vertAlign w:val="subscript"/>
              </w:rPr>
              <w:t>2</w:t>
            </w:r>
            <w:r w:rsidRPr="00FA3F57">
              <w:rPr>
                <w:sz w:val="20"/>
                <w:szCs w:val="20"/>
              </w:rPr>
              <w:t xml:space="preserve"> emissions. </w:t>
            </w:r>
            <w:r w:rsidRPr="00F07779">
              <w:rPr>
                <w:sz w:val="20"/>
                <w:szCs w:val="20"/>
              </w:rPr>
              <w:t xml:space="preserve">Additional benefits include improved heating and cooling quality, thereby enhancing comfort for users of these public buildings, as well as significant savings in the budget of the Provincial Government. The renovated buildings will also be visually improved, as most of the buildings are planned to have window and door replacements as well as new </w:t>
            </w:r>
            <w:proofErr w:type="gramStart"/>
            <w:r w:rsidRPr="00F07779">
              <w:rPr>
                <w:sz w:val="20"/>
                <w:szCs w:val="20"/>
              </w:rPr>
              <w:t>façades</w:t>
            </w:r>
            <w:proofErr w:type="gramEnd"/>
            <w:r w:rsidRPr="00F07779">
              <w:rPr>
                <w:sz w:val="20"/>
                <w:szCs w:val="20"/>
              </w:rPr>
              <w:t xml:space="preserve"> installed during the </w:t>
            </w:r>
            <w:proofErr w:type="gramStart"/>
            <w:r w:rsidRPr="00F07779">
              <w:rPr>
                <w:sz w:val="20"/>
                <w:szCs w:val="20"/>
              </w:rPr>
              <w:t>insulation</w:t>
            </w:r>
            <w:proofErr w:type="gramEnd"/>
            <w:r w:rsidRPr="00F07779">
              <w:rPr>
                <w:sz w:val="20"/>
                <w:szCs w:val="20"/>
              </w:rPr>
              <w:t xml:space="preserve"> of the external building envelope.</w:t>
            </w:r>
          </w:p>
        </w:tc>
      </w:tr>
    </w:tbl>
    <w:p w14:paraId="72B69550" w14:textId="77777777" w:rsidR="0094644B" w:rsidRPr="00FA3F57" w:rsidRDefault="0094644B" w:rsidP="0094644B">
      <w:pPr>
        <w:tabs>
          <w:tab w:val="left" w:pos="284"/>
        </w:tabs>
      </w:pPr>
    </w:p>
    <w:p w14:paraId="618B1319" w14:textId="77777777" w:rsidR="0094644B" w:rsidRPr="00FA3F57" w:rsidRDefault="0094644B" w:rsidP="0094644B">
      <w:pPr>
        <w:keepNext/>
        <w:tabs>
          <w:tab w:val="left" w:pos="1560"/>
        </w:tabs>
      </w:pPr>
      <w:r w:rsidRPr="00FA3F57">
        <w:t>Table 5.4.3-13:</w:t>
      </w:r>
      <w:r w:rsidRPr="00FA3F57">
        <w:tab/>
        <w:t>Activity for the implementation of the measure EE1 - Activity ЕЕ1.13/9.13</w:t>
      </w:r>
    </w:p>
    <w:tbl>
      <w:tblPr>
        <w:tblStyle w:val="TableGrid"/>
        <w:tblW w:w="0" w:type="auto"/>
        <w:tblLook w:val="04A0" w:firstRow="1" w:lastRow="0" w:firstColumn="1" w:lastColumn="0" w:noHBand="0" w:noVBand="1"/>
      </w:tblPr>
      <w:tblGrid>
        <w:gridCol w:w="2933"/>
        <w:gridCol w:w="5782"/>
      </w:tblGrid>
      <w:tr w:rsidR="0094644B" w:rsidRPr="00F07779" w14:paraId="00B81880" w14:textId="77777777" w:rsidTr="00FB5086">
        <w:tc>
          <w:tcPr>
            <w:tcW w:w="2933" w:type="dxa"/>
            <w:shd w:val="clear" w:color="auto" w:fill="D9D9D9" w:themeFill="background1" w:themeFillShade="D9"/>
          </w:tcPr>
          <w:p w14:paraId="2F689BCC" w14:textId="77777777" w:rsidR="0094644B" w:rsidRPr="00FA3F57" w:rsidRDefault="0094644B" w:rsidP="00FB5086">
            <w:pPr>
              <w:keepNext/>
              <w:rPr>
                <w:sz w:val="20"/>
                <w:szCs w:val="20"/>
              </w:rPr>
            </w:pPr>
            <w:r w:rsidRPr="00FA3F57">
              <w:rPr>
                <w:sz w:val="20"/>
                <w:szCs w:val="20"/>
              </w:rPr>
              <w:t>Activity ЕЕ1.13/9.13</w:t>
            </w:r>
          </w:p>
        </w:tc>
        <w:tc>
          <w:tcPr>
            <w:tcW w:w="5782" w:type="dxa"/>
            <w:shd w:val="clear" w:color="auto" w:fill="D9D9D9" w:themeFill="background1" w:themeFillShade="D9"/>
            <w:vAlign w:val="center"/>
          </w:tcPr>
          <w:p w14:paraId="5B2DA24C" w14:textId="77777777" w:rsidR="0094644B" w:rsidRPr="00FA3F57" w:rsidRDefault="0094644B" w:rsidP="00FB5086">
            <w:pPr>
              <w:rPr>
                <w:sz w:val="20"/>
                <w:szCs w:val="20"/>
              </w:rPr>
            </w:pPr>
            <w:r w:rsidRPr="00F07779">
              <w:rPr>
                <w:sz w:val="20"/>
                <w:szCs w:val="20"/>
              </w:rPr>
              <w:t>Increasing energy efficiency in public-use buildings</w:t>
            </w:r>
          </w:p>
        </w:tc>
      </w:tr>
      <w:tr w:rsidR="0094644B" w:rsidRPr="00F07779" w14:paraId="120CF731" w14:textId="77777777" w:rsidTr="00FB5086">
        <w:tc>
          <w:tcPr>
            <w:tcW w:w="2933" w:type="dxa"/>
          </w:tcPr>
          <w:p w14:paraId="3190A6A4" w14:textId="77777777" w:rsidR="0094644B" w:rsidRPr="00FA3F57" w:rsidRDefault="0094644B" w:rsidP="00FB5086">
            <w:pPr>
              <w:rPr>
                <w:sz w:val="20"/>
                <w:szCs w:val="20"/>
              </w:rPr>
            </w:pPr>
            <w:r w:rsidRPr="00FA3F57">
              <w:rPr>
                <w:sz w:val="20"/>
                <w:szCs w:val="20"/>
              </w:rPr>
              <w:t>Project name</w:t>
            </w:r>
          </w:p>
        </w:tc>
        <w:tc>
          <w:tcPr>
            <w:tcW w:w="5782" w:type="dxa"/>
            <w:vAlign w:val="center"/>
          </w:tcPr>
          <w:p w14:paraId="1555A7A4" w14:textId="77777777" w:rsidR="0094644B" w:rsidRPr="00FA3F57" w:rsidRDefault="0094644B" w:rsidP="00FB5086">
            <w:pPr>
              <w:rPr>
                <w:sz w:val="20"/>
                <w:szCs w:val="20"/>
              </w:rPr>
            </w:pPr>
            <w:r w:rsidRPr="00F07779">
              <w:rPr>
                <w:sz w:val="20"/>
                <w:szCs w:val="20"/>
              </w:rPr>
              <w:t>Increasing energy efficiency in public-use buildings</w:t>
            </w:r>
          </w:p>
        </w:tc>
      </w:tr>
      <w:tr w:rsidR="0094644B" w:rsidRPr="00F07779" w14:paraId="18FE5BC4" w14:textId="77777777" w:rsidTr="00FB5086">
        <w:tc>
          <w:tcPr>
            <w:tcW w:w="2933" w:type="dxa"/>
          </w:tcPr>
          <w:p w14:paraId="1673BBE7" w14:textId="77777777" w:rsidR="0094644B" w:rsidRPr="00FA3F57" w:rsidRDefault="0094644B" w:rsidP="00FB5086">
            <w:pPr>
              <w:rPr>
                <w:sz w:val="20"/>
                <w:szCs w:val="20"/>
              </w:rPr>
            </w:pPr>
            <w:r w:rsidRPr="00FA3F57">
              <w:rPr>
                <w:sz w:val="20"/>
                <w:szCs w:val="20"/>
              </w:rPr>
              <w:t>Activity (measure from INECP)</w:t>
            </w:r>
          </w:p>
        </w:tc>
        <w:tc>
          <w:tcPr>
            <w:tcW w:w="5782" w:type="dxa"/>
            <w:vAlign w:val="center"/>
          </w:tcPr>
          <w:p w14:paraId="70FC4560" w14:textId="77777777" w:rsidR="0094644B" w:rsidRPr="00FA3F57" w:rsidRDefault="0094644B" w:rsidP="00FB5086">
            <w:pPr>
              <w:rPr>
                <w:sz w:val="20"/>
                <w:szCs w:val="20"/>
              </w:rPr>
            </w:pPr>
            <w:r w:rsidRPr="00FA3F57">
              <w:rPr>
                <w:sz w:val="20"/>
                <w:szCs w:val="20"/>
              </w:rPr>
              <w:t>SM_ЕЕ2-</w:t>
            </w:r>
            <w:r w:rsidRPr="00F07779">
              <w:t xml:space="preserve"> </w:t>
            </w:r>
            <w:r w:rsidRPr="00F07779">
              <w:rPr>
                <w:sz w:val="20"/>
                <w:szCs w:val="20"/>
              </w:rPr>
              <w:t>Financial support for energy rehabilitation of public buildings</w:t>
            </w:r>
          </w:p>
        </w:tc>
      </w:tr>
      <w:tr w:rsidR="0094644B" w:rsidRPr="00F07779" w14:paraId="33569818" w14:textId="77777777" w:rsidTr="00FB5086">
        <w:tc>
          <w:tcPr>
            <w:tcW w:w="2933" w:type="dxa"/>
            <w:vAlign w:val="center"/>
          </w:tcPr>
          <w:p w14:paraId="71132F03" w14:textId="77777777" w:rsidR="0094644B" w:rsidRPr="00FA3F57" w:rsidRDefault="0094644B" w:rsidP="00FB5086">
            <w:pPr>
              <w:rPr>
                <w:sz w:val="20"/>
                <w:szCs w:val="20"/>
              </w:rPr>
            </w:pPr>
            <w:r w:rsidRPr="00FA3F57">
              <w:rPr>
                <w:sz w:val="20"/>
                <w:szCs w:val="20"/>
              </w:rPr>
              <w:t xml:space="preserve">Description (short description </w:t>
            </w:r>
            <w:proofErr w:type="gramStart"/>
            <w:r w:rsidRPr="00FA3F57">
              <w:rPr>
                <w:sz w:val="20"/>
                <w:szCs w:val="20"/>
              </w:rPr>
              <w:t>with</w:t>
            </w:r>
            <w:proofErr w:type="gramEnd"/>
            <w:r w:rsidRPr="00FA3F57">
              <w:rPr>
                <w:sz w:val="20"/>
                <w:szCs w:val="20"/>
              </w:rPr>
              <w:t xml:space="preserve"> main activities)</w:t>
            </w:r>
          </w:p>
        </w:tc>
        <w:tc>
          <w:tcPr>
            <w:tcW w:w="5782" w:type="dxa"/>
            <w:vAlign w:val="center"/>
          </w:tcPr>
          <w:p w14:paraId="07FF8ADE" w14:textId="77777777" w:rsidR="0094644B" w:rsidRPr="00FA3F57" w:rsidRDefault="0094644B" w:rsidP="00FB5086">
            <w:pPr>
              <w:rPr>
                <w:sz w:val="20"/>
                <w:szCs w:val="20"/>
              </w:rPr>
            </w:pPr>
            <w:r w:rsidRPr="00F07779">
              <w:rPr>
                <w:sz w:val="20"/>
                <w:szCs w:val="20"/>
              </w:rPr>
              <w:t xml:space="preserve">The Provincial Secretariat for Energy, Construction, and Transport is implementing improvements in the energy efficiency of public-use </w:t>
            </w:r>
            <w:r w:rsidRPr="00F07779">
              <w:rPr>
                <w:sz w:val="20"/>
                <w:szCs w:val="20"/>
              </w:rPr>
              <w:lastRenderedPageBreak/>
              <w:t>buildings in the Autonomous Province of Vojvodina, in previous years as a project, and starting from 2025 as a program activity, by awarding non-refundable incentive funds for: reducing electricity consumption for public and interior lighting; improving the energy performance of buildings (through insulation of the building envelope and replacement of exterior joinery – doors and windows), and reducing energy consumption for heating and domestic hot water preparation by installing high-efficiency boilers.</w:t>
            </w:r>
          </w:p>
          <w:p w14:paraId="717F1507" w14:textId="77777777" w:rsidR="0094644B" w:rsidRPr="00FA3F57" w:rsidRDefault="0094644B" w:rsidP="00FB5086">
            <w:pPr>
              <w:rPr>
                <w:sz w:val="20"/>
                <w:szCs w:val="20"/>
              </w:rPr>
            </w:pPr>
          </w:p>
        </w:tc>
      </w:tr>
      <w:tr w:rsidR="0094644B" w:rsidRPr="00F07779" w14:paraId="5A6F2183" w14:textId="77777777" w:rsidTr="00FB5086">
        <w:tc>
          <w:tcPr>
            <w:tcW w:w="2933" w:type="dxa"/>
            <w:vAlign w:val="center"/>
          </w:tcPr>
          <w:p w14:paraId="1C158F96" w14:textId="77777777" w:rsidR="0094644B" w:rsidRPr="00FA3F57" w:rsidRDefault="0094644B" w:rsidP="00FB5086">
            <w:pPr>
              <w:rPr>
                <w:sz w:val="20"/>
                <w:szCs w:val="20"/>
              </w:rPr>
            </w:pPr>
            <w:r w:rsidRPr="00FA3F57">
              <w:rPr>
                <w:sz w:val="20"/>
                <w:szCs w:val="20"/>
              </w:rPr>
              <w:lastRenderedPageBreak/>
              <w:t>Institutions responsible for the implementation of measures and activities</w:t>
            </w:r>
          </w:p>
        </w:tc>
        <w:tc>
          <w:tcPr>
            <w:tcW w:w="5782" w:type="dxa"/>
            <w:vAlign w:val="center"/>
          </w:tcPr>
          <w:p w14:paraId="0232302F" w14:textId="77777777" w:rsidR="0094644B" w:rsidRPr="00FA3F57" w:rsidRDefault="0094644B" w:rsidP="00FB5086">
            <w:pPr>
              <w:rPr>
                <w:sz w:val="20"/>
                <w:szCs w:val="20"/>
              </w:rPr>
            </w:pPr>
            <w:r w:rsidRPr="00F07779">
              <w:rPr>
                <w:sz w:val="20"/>
                <w:szCs w:val="20"/>
              </w:rPr>
              <w:t>Provincial Secretariat for Energy, Construction, and Transport</w:t>
            </w:r>
          </w:p>
        </w:tc>
      </w:tr>
      <w:tr w:rsidR="0094644B" w:rsidRPr="00F07779" w14:paraId="36824185" w14:textId="77777777" w:rsidTr="00FB5086">
        <w:tc>
          <w:tcPr>
            <w:tcW w:w="2933" w:type="dxa"/>
            <w:vAlign w:val="center"/>
          </w:tcPr>
          <w:p w14:paraId="74657F66" w14:textId="77777777" w:rsidR="0094644B" w:rsidRPr="00FA3F57" w:rsidRDefault="0094644B" w:rsidP="00FB5086">
            <w:pPr>
              <w:rPr>
                <w:sz w:val="20"/>
                <w:szCs w:val="20"/>
              </w:rPr>
            </w:pPr>
            <w:r w:rsidRPr="00FA3F57">
              <w:rPr>
                <w:sz w:val="20"/>
                <w:szCs w:val="20"/>
              </w:rPr>
              <w:t>Institutions responsible for monitoring implementation and reporting on the realization</w:t>
            </w:r>
          </w:p>
        </w:tc>
        <w:tc>
          <w:tcPr>
            <w:tcW w:w="5782" w:type="dxa"/>
            <w:vAlign w:val="center"/>
          </w:tcPr>
          <w:p w14:paraId="74D5509B" w14:textId="77777777" w:rsidR="0094644B" w:rsidRPr="00FA3F57" w:rsidRDefault="0094644B" w:rsidP="00FB5086">
            <w:pPr>
              <w:rPr>
                <w:sz w:val="20"/>
                <w:szCs w:val="20"/>
              </w:rPr>
            </w:pPr>
            <w:r w:rsidRPr="00F07779">
              <w:rPr>
                <w:sz w:val="20"/>
                <w:szCs w:val="20"/>
              </w:rPr>
              <w:t>Provincial Secretariat for Energy, Construction, and Transport</w:t>
            </w:r>
          </w:p>
        </w:tc>
      </w:tr>
      <w:tr w:rsidR="0094644B" w:rsidRPr="00F07779" w14:paraId="2168D9B8" w14:textId="77777777" w:rsidTr="00FB5086">
        <w:tc>
          <w:tcPr>
            <w:tcW w:w="2933" w:type="dxa"/>
            <w:vAlign w:val="center"/>
          </w:tcPr>
          <w:p w14:paraId="3E1864DB" w14:textId="77777777" w:rsidR="0094644B" w:rsidRPr="00FA3F57" w:rsidRDefault="0094644B" w:rsidP="00FB5086">
            <w:pPr>
              <w:rPr>
                <w:sz w:val="20"/>
                <w:szCs w:val="20"/>
              </w:rPr>
            </w:pPr>
            <w:r w:rsidRPr="00FA3F57">
              <w:rPr>
                <w:sz w:val="20"/>
                <w:szCs w:val="20"/>
              </w:rPr>
              <w:t>Deadline for implementation</w:t>
            </w:r>
            <w:r w:rsidRPr="00FA3F57" w:rsidDel="00400537">
              <w:rPr>
                <w:sz w:val="20"/>
                <w:szCs w:val="20"/>
              </w:rPr>
              <w:t xml:space="preserve"> </w:t>
            </w:r>
            <w:r w:rsidRPr="00FA3F57">
              <w:rPr>
                <w:sz w:val="20"/>
                <w:szCs w:val="20"/>
              </w:rPr>
              <w:t>(Start/planned completion and dynamics of implementation by year)</w:t>
            </w:r>
          </w:p>
        </w:tc>
        <w:tc>
          <w:tcPr>
            <w:tcW w:w="5782" w:type="dxa"/>
            <w:vAlign w:val="center"/>
          </w:tcPr>
          <w:p w14:paraId="48E201B8" w14:textId="77777777" w:rsidR="0094644B" w:rsidRPr="00FA3F57" w:rsidRDefault="0094644B" w:rsidP="00FB5086">
            <w:pPr>
              <w:rPr>
                <w:sz w:val="20"/>
                <w:szCs w:val="20"/>
              </w:rPr>
            </w:pPr>
            <w:r w:rsidRPr="00FA3F57">
              <w:rPr>
                <w:sz w:val="20"/>
                <w:szCs w:val="20"/>
              </w:rPr>
              <w:t>Start of program activity as a regular annual activity: 2025Note: it is planned to carry out regular implementation of the program activity in the coming years, as well as in 2028.</w:t>
            </w:r>
          </w:p>
        </w:tc>
      </w:tr>
      <w:tr w:rsidR="0094644B" w:rsidRPr="00F07779" w14:paraId="0FDA688A" w14:textId="77777777" w:rsidTr="00FB5086">
        <w:tc>
          <w:tcPr>
            <w:tcW w:w="2933" w:type="dxa"/>
            <w:vAlign w:val="center"/>
          </w:tcPr>
          <w:p w14:paraId="4E753492" w14:textId="77777777" w:rsidR="0094644B" w:rsidRPr="00FA3F57" w:rsidRDefault="0094644B" w:rsidP="00FB5086">
            <w:pPr>
              <w:rPr>
                <w:sz w:val="20"/>
                <w:szCs w:val="20"/>
              </w:rPr>
            </w:pPr>
            <w:r w:rsidRPr="00FA3F57">
              <w:rPr>
                <w:sz w:val="20"/>
                <w:szCs w:val="20"/>
              </w:rPr>
              <w:t>Required funds and source of financing</w:t>
            </w:r>
            <w:r w:rsidRPr="00FA3F57" w:rsidDel="0084100E">
              <w:rPr>
                <w:sz w:val="20"/>
                <w:szCs w:val="20"/>
              </w:rPr>
              <w:t xml:space="preserve"> </w:t>
            </w:r>
            <w:r w:rsidRPr="00FA3F57">
              <w:rPr>
                <w:sz w:val="20"/>
                <w:szCs w:val="20"/>
              </w:rPr>
              <w:t>(Estimated project value: Loan/grant amount/status of signed financing agreements)</w:t>
            </w:r>
          </w:p>
        </w:tc>
        <w:tc>
          <w:tcPr>
            <w:tcW w:w="5782" w:type="dxa"/>
            <w:vAlign w:val="center"/>
          </w:tcPr>
          <w:p w14:paraId="016E9EE2" w14:textId="77777777" w:rsidR="0094644B" w:rsidRPr="00F07779" w:rsidRDefault="0094644B" w:rsidP="00FB5086">
            <w:pPr>
              <w:rPr>
                <w:sz w:val="20"/>
                <w:szCs w:val="20"/>
              </w:rPr>
            </w:pPr>
            <w:r w:rsidRPr="00F07779">
              <w:rPr>
                <w:sz w:val="20"/>
                <w:szCs w:val="20"/>
              </w:rPr>
              <w:t>In the Financial Plan of the Provincial Secretariat for Energy, Construction, and Transport for 2025, an amount of 60,000,000.00 dinars is planned, which will be allocated to beneficiaries through a public tender.</w:t>
            </w:r>
          </w:p>
          <w:p w14:paraId="0BD1EF6A" w14:textId="77777777" w:rsidR="0094644B" w:rsidRPr="00FA3F57" w:rsidRDefault="0094644B" w:rsidP="00FB5086">
            <w:pPr>
              <w:rPr>
                <w:sz w:val="20"/>
                <w:szCs w:val="20"/>
              </w:rPr>
            </w:pPr>
            <w:r w:rsidRPr="00F07779">
              <w:rPr>
                <w:sz w:val="20"/>
                <w:szCs w:val="20"/>
              </w:rPr>
              <w:t>The amount for the following years is not yet known.</w:t>
            </w:r>
            <w:r w:rsidRPr="00FA3F57">
              <w:rPr>
                <w:sz w:val="20"/>
                <w:szCs w:val="20"/>
              </w:rPr>
              <w:t xml:space="preserve"> </w:t>
            </w:r>
          </w:p>
        </w:tc>
      </w:tr>
      <w:tr w:rsidR="0094644B" w:rsidRPr="00F07779" w14:paraId="2A98C590" w14:textId="77777777" w:rsidTr="00FB5086">
        <w:tc>
          <w:tcPr>
            <w:tcW w:w="2933" w:type="dxa"/>
            <w:vAlign w:val="center"/>
          </w:tcPr>
          <w:p w14:paraId="48E9297F" w14:textId="77777777" w:rsidR="0094644B" w:rsidRPr="00FA3F57" w:rsidRDefault="0094644B" w:rsidP="00FB5086">
            <w:pPr>
              <w:rPr>
                <w:sz w:val="20"/>
                <w:szCs w:val="20"/>
              </w:rPr>
            </w:pPr>
            <w:r w:rsidRPr="00FA3F57">
              <w:rPr>
                <w:sz w:val="20"/>
                <w:szCs w:val="20"/>
              </w:rPr>
              <w:t>Implementation indicator</w:t>
            </w:r>
          </w:p>
        </w:tc>
        <w:tc>
          <w:tcPr>
            <w:tcW w:w="5782" w:type="dxa"/>
            <w:vAlign w:val="center"/>
          </w:tcPr>
          <w:p w14:paraId="33E9C78A" w14:textId="77777777" w:rsidR="0094644B" w:rsidRPr="00FA3F57" w:rsidRDefault="0094644B" w:rsidP="00FB5086">
            <w:pPr>
              <w:rPr>
                <w:sz w:val="20"/>
                <w:szCs w:val="20"/>
              </w:rPr>
            </w:pPr>
            <w:r w:rsidRPr="00FA3F57">
              <w:rPr>
                <w:sz w:val="20"/>
                <w:szCs w:val="20"/>
              </w:rPr>
              <w:t>Number of rehabilitated facilities and measures applied to individual facilities</w:t>
            </w:r>
          </w:p>
        </w:tc>
      </w:tr>
      <w:tr w:rsidR="0094644B" w:rsidRPr="00F07779" w14:paraId="50DACE2B" w14:textId="77777777" w:rsidTr="00FB5086">
        <w:tc>
          <w:tcPr>
            <w:tcW w:w="2933" w:type="dxa"/>
            <w:vAlign w:val="center"/>
          </w:tcPr>
          <w:p w14:paraId="41DFE347" w14:textId="77777777" w:rsidR="0094644B" w:rsidRPr="00FA3F57" w:rsidRDefault="0094644B" w:rsidP="00FB5086">
            <w:pPr>
              <w:rPr>
                <w:sz w:val="20"/>
                <w:szCs w:val="20"/>
              </w:rPr>
            </w:pPr>
            <w:r w:rsidRPr="00FA3F57">
              <w:rPr>
                <w:sz w:val="20"/>
                <w:szCs w:val="20"/>
              </w:rPr>
              <w:t>Impact of the activity on the achievement of the objective</w:t>
            </w:r>
          </w:p>
        </w:tc>
        <w:tc>
          <w:tcPr>
            <w:tcW w:w="5782" w:type="dxa"/>
            <w:vAlign w:val="center"/>
          </w:tcPr>
          <w:p w14:paraId="451EFCF3" w14:textId="77777777" w:rsidR="0094644B" w:rsidRPr="00FA3F57" w:rsidRDefault="0094644B" w:rsidP="00FB5086">
            <w:pPr>
              <w:rPr>
                <w:sz w:val="20"/>
                <w:szCs w:val="20"/>
              </w:rPr>
            </w:pPr>
            <w:r w:rsidRPr="00FA3F57">
              <w:rPr>
                <w:sz w:val="20"/>
                <w:szCs w:val="20"/>
              </w:rPr>
              <w:t>Energy savings, reduction of CO₂ emissions, use of renewable energy sources (solar power plants), as well as financial effects - reduction of energy bills, which are paid from the budget</w:t>
            </w:r>
          </w:p>
        </w:tc>
      </w:tr>
      <w:tr w:rsidR="0094644B" w:rsidRPr="00F07779" w14:paraId="780496FC" w14:textId="77777777" w:rsidTr="00FB5086">
        <w:tc>
          <w:tcPr>
            <w:tcW w:w="2933" w:type="dxa"/>
            <w:vAlign w:val="center"/>
          </w:tcPr>
          <w:p w14:paraId="752423EE" w14:textId="77777777" w:rsidR="0094644B" w:rsidRPr="00FA3F57" w:rsidRDefault="0094644B" w:rsidP="00FB5086">
            <w:pPr>
              <w:rPr>
                <w:sz w:val="20"/>
                <w:szCs w:val="20"/>
              </w:rPr>
            </w:pPr>
            <w:r w:rsidRPr="00FA3F57">
              <w:rPr>
                <w:sz w:val="20"/>
                <w:szCs w:val="20"/>
              </w:rPr>
              <w:t>Impact on EE, climate, and environmental protection</w:t>
            </w:r>
          </w:p>
        </w:tc>
        <w:tc>
          <w:tcPr>
            <w:tcW w:w="5782" w:type="dxa"/>
            <w:vAlign w:val="center"/>
          </w:tcPr>
          <w:p w14:paraId="06835946" w14:textId="77777777" w:rsidR="0094644B" w:rsidRPr="00FA3F57" w:rsidRDefault="0094644B" w:rsidP="00FB5086">
            <w:pPr>
              <w:rPr>
                <w:sz w:val="20"/>
                <w:szCs w:val="20"/>
              </w:rPr>
            </w:pPr>
            <w:r w:rsidRPr="00FA3F57">
              <w:rPr>
                <w:sz w:val="20"/>
                <w:szCs w:val="20"/>
              </w:rPr>
              <w:t xml:space="preserve">The investment is expected to result in significant reductions in energy consumption for heating and lighting of buildings, as well as a decrease in CO₂ emissions. </w:t>
            </w:r>
            <w:r w:rsidRPr="00F07779">
              <w:rPr>
                <w:sz w:val="20"/>
                <w:szCs w:val="20"/>
              </w:rPr>
              <w:t xml:space="preserve">Additional benefits include improved heating and cooling quality, thereby enhancing comfort for users of these public buildings, as well as significant savings in the budget of the Provincial Government. The renovated buildings will also be visually improved, as most of the buildings are planned to have window and door replacements as well as new </w:t>
            </w:r>
            <w:proofErr w:type="gramStart"/>
            <w:r w:rsidRPr="00F07779">
              <w:rPr>
                <w:sz w:val="20"/>
                <w:szCs w:val="20"/>
              </w:rPr>
              <w:t>façades</w:t>
            </w:r>
            <w:proofErr w:type="gramEnd"/>
            <w:r w:rsidRPr="00F07779">
              <w:rPr>
                <w:sz w:val="20"/>
                <w:szCs w:val="20"/>
              </w:rPr>
              <w:t xml:space="preserve"> installed during the </w:t>
            </w:r>
            <w:proofErr w:type="gramStart"/>
            <w:r w:rsidRPr="00F07779">
              <w:rPr>
                <w:sz w:val="20"/>
                <w:szCs w:val="20"/>
              </w:rPr>
              <w:t>insulation</w:t>
            </w:r>
            <w:proofErr w:type="gramEnd"/>
            <w:r w:rsidRPr="00F07779">
              <w:rPr>
                <w:sz w:val="20"/>
                <w:szCs w:val="20"/>
              </w:rPr>
              <w:t xml:space="preserve"> of the external building envelope.</w:t>
            </w:r>
          </w:p>
        </w:tc>
      </w:tr>
      <w:tr w:rsidR="0094644B" w:rsidRPr="00F07779" w14:paraId="393E83DC" w14:textId="77777777" w:rsidTr="00FB5086">
        <w:tc>
          <w:tcPr>
            <w:tcW w:w="2933" w:type="dxa"/>
            <w:vAlign w:val="center"/>
          </w:tcPr>
          <w:p w14:paraId="63214977" w14:textId="77777777" w:rsidR="0094644B" w:rsidRPr="00FA3F57" w:rsidRDefault="0094644B" w:rsidP="00FB5086">
            <w:pPr>
              <w:rPr>
                <w:sz w:val="20"/>
                <w:szCs w:val="20"/>
              </w:rPr>
            </w:pPr>
            <w:r w:rsidRPr="00FA3F57">
              <w:rPr>
                <w:sz w:val="20"/>
                <w:szCs w:val="20"/>
              </w:rPr>
              <w:t>Regulations to be adopted/amended</w:t>
            </w:r>
          </w:p>
        </w:tc>
        <w:tc>
          <w:tcPr>
            <w:tcW w:w="5782" w:type="dxa"/>
            <w:vAlign w:val="center"/>
          </w:tcPr>
          <w:p w14:paraId="0F0C4741" w14:textId="77777777" w:rsidR="0094644B" w:rsidRPr="00F07779" w:rsidRDefault="0094644B" w:rsidP="00FB5086">
            <w:pPr>
              <w:rPr>
                <w:sz w:val="20"/>
                <w:szCs w:val="20"/>
              </w:rPr>
            </w:pPr>
            <w:r w:rsidRPr="00F07779">
              <w:rPr>
                <w:sz w:val="20"/>
                <w:szCs w:val="20"/>
              </w:rPr>
              <w:t>To secure additional funds for increasing the energy efficiency of publicly significant buildings and to enable the AP of Vojvodina to apply for the public call issued by the Ministry of Mining and Energy for the allocation of funds for the implementation of energy efficiency measures in publicly significant buildings, based on the agreement between the Government of the Republic of Serbia and the Provincial Government at their joint session, it is necessary, in addition to adapting the text of the public call, to also adjust:</w:t>
            </w:r>
          </w:p>
          <w:p w14:paraId="6516471A" w14:textId="77777777" w:rsidR="0094644B" w:rsidRPr="00FA3F57" w:rsidRDefault="0094644B" w:rsidP="0094644B">
            <w:pPr>
              <w:pStyle w:val="ListParagraph"/>
              <w:numPr>
                <w:ilvl w:val="0"/>
                <w:numId w:val="44"/>
              </w:numPr>
              <w:ind w:left="215" w:hanging="215"/>
              <w:rPr>
                <w:rFonts w:ascii="Times New Roman" w:hAnsi="Times New Roman" w:cs="Times New Roman"/>
                <w:noProof w:val="0"/>
                <w:sz w:val="20"/>
                <w:szCs w:val="20"/>
              </w:rPr>
            </w:pPr>
            <w:r w:rsidRPr="00FA3F57">
              <w:rPr>
                <w:rFonts w:ascii="Times New Roman" w:hAnsi="Times New Roman" w:cs="Times New Roman"/>
                <w:noProof w:val="0"/>
                <w:sz w:val="20"/>
                <w:szCs w:val="20"/>
              </w:rPr>
              <w:t>Rulebook on Detailed Conditions for the Distribution and Use of Funds for the Implementation of Energy Efficiency Measures ("Official Gazette of the Republic of Serbia", No. 12/2022 and 48/2024)</w:t>
            </w:r>
          </w:p>
          <w:p w14:paraId="22B29D05" w14:textId="77777777" w:rsidR="0094644B" w:rsidRPr="00FA3F57" w:rsidRDefault="0094644B" w:rsidP="00FB5086">
            <w:pPr>
              <w:pStyle w:val="ListParagraph"/>
              <w:numPr>
                <w:ilvl w:val="0"/>
                <w:numId w:val="18"/>
              </w:numPr>
              <w:ind w:left="215" w:hanging="215"/>
              <w:rPr>
                <w:noProof w:val="0"/>
                <w:sz w:val="20"/>
                <w:szCs w:val="20"/>
              </w:rPr>
            </w:pPr>
            <w:r w:rsidRPr="00FA3F57">
              <w:rPr>
                <w:rFonts w:ascii="Times New Roman" w:hAnsi="Times New Roman" w:cs="Times New Roman"/>
                <w:noProof w:val="0"/>
                <w:sz w:val="20"/>
                <w:szCs w:val="20"/>
              </w:rPr>
              <w:t>Regulation on the Establishment of the Program for Financing Activities and Measures for Improving Energy Efficiency in 2024 (“Official Gazette of the Republic of Serbia”, No. 52/2024, 83/2024 and 97/2024).</w:t>
            </w:r>
          </w:p>
        </w:tc>
      </w:tr>
    </w:tbl>
    <w:p w14:paraId="2E556DDC" w14:textId="77777777" w:rsidR="0094644B" w:rsidRPr="00FA3F57" w:rsidRDefault="0094644B" w:rsidP="0094644B">
      <w:pPr>
        <w:tabs>
          <w:tab w:val="left" w:pos="284"/>
        </w:tabs>
      </w:pPr>
    </w:p>
    <w:p w14:paraId="1E6449B8" w14:textId="77777777" w:rsidR="0094644B" w:rsidRPr="00FA3F57" w:rsidRDefault="0094644B" w:rsidP="0094644B">
      <w:pPr>
        <w:keepNext/>
        <w:tabs>
          <w:tab w:val="left" w:pos="1276"/>
        </w:tabs>
        <w:ind w:left="1440" w:hanging="1440"/>
      </w:pPr>
      <w:r w:rsidRPr="00FA3F57">
        <w:t>Table 5.4.7:</w:t>
      </w:r>
      <w:r w:rsidRPr="00FA3F57">
        <w:tab/>
        <w:t xml:space="preserve">Other activities for the implementation of </w:t>
      </w:r>
      <w:proofErr w:type="gramStart"/>
      <w:r w:rsidRPr="00FA3F57">
        <w:t>the measure</w:t>
      </w:r>
      <w:proofErr w:type="gramEnd"/>
      <w:r w:rsidRPr="00FA3F57">
        <w:t xml:space="preserve"> EE1</w:t>
      </w:r>
    </w:p>
    <w:tbl>
      <w:tblPr>
        <w:tblStyle w:val="TableGrid"/>
        <w:tblW w:w="8642" w:type="dxa"/>
        <w:tblLook w:val="04A0" w:firstRow="1" w:lastRow="0" w:firstColumn="1" w:lastColumn="0" w:noHBand="0" w:noVBand="1"/>
      </w:tblPr>
      <w:tblGrid>
        <w:gridCol w:w="2973"/>
        <w:gridCol w:w="5669"/>
      </w:tblGrid>
      <w:tr w:rsidR="0094644B" w:rsidRPr="00F07779" w14:paraId="55CE7FFD" w14:textId="77777777" w:rsidTr="00FB5086">
        <w:tc>
          <w:tcPr>
            <w:tcW w:w="2973" w:type="dxa"/>
            <w:shd w:val="clear" w:color="auto" w:fill="D9D9D9" w:themeFill="background1" w:themeFillShade="D9"/>
          </w:tcPr>
          <w:p w14:paraId="086CE58C" w14:textId="77777777" w:rsidR="0094644B" w:rsidRPr="00FA3F57" w:rsidRDefault="0094644B" w:rsidP="00FB5086">
            <w:pPr>
              <w:keepNext/>
              <w:rPr>
                <w:sz w:val="20"/>
                <w:szCs w:val="20"/>
              </w:rPr>
            </w:pPr>
            <w:r w:rsidRPr="00FA3F57">
              <w:rPr>
                <w:sz w:val="20"/>
                <w:szCs w:val="20"/>
              </w:rPr>
              <w:t>Activity EE1.14/9.14/Т1.10</w:t>
            </w:r>
            <w:r w:rsidRPr="00FA3F57">
              <w:rPr>
                <w:rStyle w:val="FootnoteReference"/>
                <w:sz w:val="20"/>
                <w:szCs w:val="20"/>
              </w:rPr>
              <w:footnoteReference w:id="27"/>
            </w:r>
          </w:p>
        </w:tc>
        <w:tc>
          <w:tcPr>
            <w:tcW w:w="5669" w:type="dxa"/>
            <w:shd w:val="clear" w:color="auto" w:fill="D9D9D9" w:themeFill="background1" w:themeFillShade="D9"/>
          </w:tcPr>
          <w:p w14:paraId="54AEED32" w14:textId="77777777" w:rsidR="0094644B" w:rsidRPr="00FA3F57" w:rsidRDefault="0094644B" w:rsidP="00FB5086">
            <w:pPr>
              <w:keepNext/>
              <w:rPr>
                <w:sz w:val="20"/>
                <w:szCs w:val="20"/>
              </w:rPr>
            </w:pPr>
            <w:r w:rsidRPr="00FA3F57">
              <w:rPr>
                <w:sz w:val="20"/>
                <w:szCs w:val="20"/>
              </w:rPr>
              <w:t>Rehabilitation of district heating systems in Serbia KFW – Phase V</w:t>
            </w:r>
          </w:p>
        </w:tc>
      </w:tr>
      <w:tr w:rsidR="0094644B" w:rsidRPr="00F07779" w14:paraId="0EEFE140" w14:textId="77777777" w:rsidTr="00FB5086">
        <w:tc>
          <w:tcPr>
            <w:tcW w:w="2973" w:type="dxa"/>
            <w:shd w:val="clear" w:color="auto" w:fill="D9D9D9" w:themeFill="background1" w:themeFillShade="D9"/>
          </w:tcPr>
          <w:p w14:paraId="6E10EB2B" w14:textId="77777777" w:rsidR="0094644B" w:rsidRPr="00FA3F57" w:rsidRDefault="0094644B" w:rsidP="00FB5086">
            <w:pPr>
              <w:rPr>
                <w:sz w:val="20"/>
                <w:szCs w:val="20"/>
              </w:rPr>
            </w:pPr>
            <w:r w:rsidRPr="00FA3F57">
              <w:rPr>
                <w:sz w:val="20"/>
                <w:szCs w:val="20"/>
              </w:rPr>
              <w:t>Activity EE1.15/9.15/T2.1</w:t>
            </w:r>
            <w:r w:rsidRPr="00FA3F57">
              <w:rPr>
                <w:rStyle w:val="FootnoteReference"/>
                <w:sz w:val="20"/>
                <w:szCs w:val="20"/>
              </w:rPr>
              <w:footnoteReference w:id="28"/>
            </w:r>
          </w:p>
        </w:tc>
        <w:tc>
          <w:tcPr>
            <w:tcW w:w="5669" w:type="dxa"/>
            <w:shd w:val="clear" w:color="auto" w:fill="D9D9D9" w:themeFill="background1" w:themeFillShade="D9"/>
          </w:tcPr>
          <w:p w14:paraId="1A1ABDCB" w14:textId="77777777" w:rsidR="0094644B" w:rsidRPr="00FA3F57" w:rsidRDefault="0094644B" w:rsidP="00FB5086">
            <w:pPr>
              <w:rPr>
                <w:sz w:val="20"/>
                <w:szCs w:val="20"/>
              </w:rPr>
            </w:pPr>
            <w:r w:rsidRPr="00FA3F57">
              <w:rPr>
                <w:sz w:val="20"/>
                <w:szCs w:val="20"/>
              </w:rPr>
              <w:t xml:space="preserve">Integration of renewable energy from solar thermal sources and heat pumps into the district heating system in Novi Sad </w:t>
            </w:r>
          </w:p>
        </w:tc>
      </w:tr>
      <w:tr w:rsidR="0094644B" w:rsidRPr="00F07779" w14:paraId="75D4506F" w14:textId="77777777" w:rsidTr="00FB5086">
        <w:tc>
          <w:tcPr>
            <w:tcW w:w="2973" w:type="dxa"/>
            <w:shd w:val="clear" w:color="auto" w:fill="D9D9D9" w:themeFill="background1" w:themeFillShade="D9"/>
          </w:tcPr>
          <w:p w14:paraId="23A11930" w14:textId="77777777" w:rsidR="0094644B" w:rsidRPr="00FA3F57" w:rsidRDefault="0094644B" w:rsidP="00FB5086">
            <w:pPr>
              <w:rPr>
                <w:sz w:val="20"/>
                <w:szCs w:val="20"/>
              </w:rPr>
            </w:pPr>
            <w:r w:rsidRPr="00FA3F57">
              <w:rPr>
                <w:sz w:val="20"/>
                <w:szCs w:val="20"/>
              </w:rPr>
              <w:lastRenderedPageBreak/>
              <w:t>Activity EE1.16/9.16/Т2.2</w:t>
            </w:r>
            <w:r w:rsidRPr="00FA3F57">
              <w:rPr>
                <w:rStyle w:val="FootnoteReference"/>
                <w:sz w:val="20"/>
                <w:szCs w:val="20"/>
              </w:rPr>
              <w:footnoteReference w:id="29"/>
            </w:r>
          </w:p>
        </w:tc>
        <w:tc>
          <w:tcPr>
            <w:tcW w:w="5669" w:type="dxa"/>
            <w:shd w:val="clear" w:color="auto" w:fill="D9D9D9" w:themeFill="background1" w:themeFillShade="D9"/>
          </w:tcPr>
          <w:p w14:paraId="764FFE1B" w14:textId="77777777" w:rsidR="0094644B" w:rsidRPr="00FA3F57" w:rsidRDefault="0094644B" w:rsidP="00FB5086">
            <w:pPr>
              <w:rPr>
                <w:sz w:val="20"/>
                <w:szCs w:val="20"/>
              </w:rPr>
            </w:pPr>
            <w:r w:rsidRPr="00FA3F57">
              <w:rPr>
                <w:sz w:val="20"/>
                <w:szCs w:val="20"/>
              </w:rPr>
              <w:t>Renewable energy sources in district heating systems in Serbia – phase I</w:t>
            </w:r>
          </w:p>
        </w:tc>
      </w:tr>
      <w:tr w:rsidR="0094644B" w:rsidRPr="00F07779" w14:paraId="572B4D20" w14:textId="77777777" w:rsidTr="00FB5086">
        <w:tc>
          <w:tcPr>
            <w:tcW w:w="2973" w:type="dxa"/>
            <w:shd w:val="clear" w:color="auto" w:fill="D9D9D9" w:themeFill="background1" w:themeFillShade="D9"/>
          </w:tcPr>
          <w:p w14:paraId="6D1EB1A0" w14:textId="77777777" w:rsidR="0094644B" w:rsidRPr="00FA3F57" w:rsidRDefault="0094644B" w:rsidP="00FB5086">
            <w:pPr>
              <w:rPr>
                <w:sz w:val="20"/>
                <w:szCs w:val="20"/>
              </w:rPr>
            </w:pPr>
            <w:r w:rsidRPr="00FA3F57">
              <w:rPr>
                <w:sz w:val="20"/>
                <w:szCs w:val="20"/>
              </w:rPr>
              <w:t>Activity EE1.17/9.17/Т2.4/</w:t>
            </w:r>
            <w:r w:rsidRPr="00FA3F57">
              <w:rPr>
                <w:rStyle w:val="FootnoteReference"/>
                <w:sz w:val="20"/>
                <w:szCs w:val="20"/>
              </w:rPr>
              <w:footnoteReference w:id="30"/>
            </w:r>
          </w:p>
        </w:tc>
        <w:tc>
          <w:tcPr>
            <w:tcW w:w="5669" w:type="dxa"/>
            <w:shd w:val="clear" w:color="auto" w:fill="D9D9D9" w:themeFill="background1" w:themeFillShade="D9"/>
          </w:tcPr>
          <w:p w14:paraId="4D913857" w14:textId="77777777" w:rsidR="0094644B" w:rsidRPr="00FA3F57" w:rsidRDefault="0094644B" w:rsidP="00FB5086">
            <w:pPr>
              <w:rPr>
                <w:sz w:val="20"/>
                <w:szCs w:val="20"/>
              </w:rPr>
            </w:pPr>
            <w:r w:rsidRPr="00FA3F57">
              <w:rPr>
                <w:sz w:val="20"/>
                <w:szCs w:val="20"/>
              </w:rPr>
              <w:t>Biomass market development in the Republic of Serbia</w:t>
            </w:r>
          </w:p>
        </w:tc>
      </w:tr>
      <w:tr w:rsidR="0094644B" w:rsidRPr="00F07779" w14:paraId="31C664AE" w14:textId="77777777" w:rsidTr="00FB5086">
        <w:tc>
          <w:tcPr>
            <w:tcW w:w="2973" w:type="dxa"/>
            <w:shd w:val="clear" w:color="auto" w:fill="D9D9D9" w:themeFill="background1" w:themeFillShade="D9"/>
          </w:tcPr>
          <w:p w14:paraId="333AB791" w14:textId="77777777" w:rsidR="0094644B" w:rsidRPr="00FA3F57" w:rsidRDefault="0094644B" w:rsidP="00FB5086">
            <w:pPr>
              <w:ind w:right="-112"/>
              <w:rPr>
                <w:sz w:val="20"/>
                <w:szCs w:val="20"/>
              </w:rPr>
            </w:pPr>
            <w:r w:rsidRPr="00FA3F57">
              <w:rPr>
                <w:sz w:val="20"/>
                <w:szCs w:val="20"/>
              </w:rPr>
              <w:t>Activity EE1.18/9.18/Т2.5</w:t>
            </w:r>
            <w:r w:rsidRPr="00FA3F57">
              <w:rPr>
                <w:rStyle w:val="FootnoteReference"/>
                <w:sz w:val="20"/>
                <w:szCs w:val="20"/>
              </w:rPr>
              <w:footnoteReference w:id="31"/>
            </w:r>
          </w:p>
        </w:tc>
        <w:tc>
          <w:tcPr>
            <w:tcW w:w="5669" w:type="dxa"/>
            <w:shd w:val="clear" w:color="auto" w:fill="D9D9D9" w:themeFill="background1" w:themeFillShade="D9"/>
          </w:tcPr>
          <w:p w14:paraId="6EA10193" w14:textId="77777777" w:rsidR="0094644B" w:rsidRPr="00FA3F57" w:rsidRDefault="0094644B" w:rsidP="00FB5086">
            <w:pPr>
              <w:rPr>
                <w:sz w:val="20"/>
                <w:szCs w:val="20"/>
              </w:rPr>
            </w:pPr>
            <w:r w:rsidRPr="00FA3F57">
              <w:rPr>
                <w:sz w:val="20"/>
                <w:szCs w:val="20"/>
              </w:rPr>
              <w:t>Decarbonization of district heating (DDH)</w:t>
            </w:r>
          </w:p>
        </w:tc>
      </w:tr>
    </w:tbl>
    <w:p w14:paraId="23113FDA" w14:textId="77777777" w:rsidR="0094644B" w:rsidRPr="00FA3F57" w:rsidRDefault="0094644B" w:rsidP="0094644B">
      <w:pPr>
        <w:tabs>
          <w:tab w:val="left" w:pos="284"/>
        </w:tabs>
      </w:pPr>
    </w:p>
    <w:p w14:paraId="67CB6376" w14:textId="77777777" w:rsidR="0094644B" w:rsidRPr="00FA3F57" w:rsidRDefault="0094644B" w:rsidP="0094644B">
      <w:pPr>
        <w:tabs>
          <w:tab w:val="left" w:pos="1276"/>
          <w:tab w:val="left" w:pos="1560"/>
        </w:tabs>
        <w:ind w:left="1440" w:hanging="1440"/>
      </w:pPr>
      <w:r w:rsidRPr="00FA3F57">
        <w:t>Table 5.4.6-1:</w:t>
      </w:r>
      <w:r w:rsidRPr="00FA3F57">
        <w:tab/>
        <w:t>Activity for the implementation of the measure ЕЕ6 – Activity ЕЕ6.1</w:t>
      </w:r>
      <w:r w:rsidRPr="00F07779">
        <w:t>/9.1</w:t>
      </w:r>
      <w:r w:rsidRPr="00FA3F57">
        <w:t>9</w:t>
      </w:r>
      <w:r w:rsidRPr="00F07779">
        <w:t>/10.</w:t>
      </w:r>
      <w:r w:rsidRPr="00FA3F57">
        <w:t>7</w:t>
      </w:r>
    </w:p>
    <w:tbl>
      <w:tblPr>
        <w:tblStyle w:val="TableGrid"/>
        <w:tblW w:w="0" w:type="auto"/>
        <w:tblLook w:val="04A0" w:firstRow="1" w:lastRow="0" w:firstColumn="1" w:lastColumn="0" w:noHBand="0" w:noVBand="1"/>
      </w:tblPr>
      <w:tblGrid>
        <w:gridCol w:w="2973"/>
        <w:gridCol w:w="5669"/>
      </w:tblGrid>
      <w:tr w:rsidR="0094644B" w:rsidRPr="00F07779" w14:paraId="28A92F69" w14:textId="77777777" w:rsidTr="00FB5086">
        <w:tc>
          <w:tcPr>
            <w:tcW w:w="2973" w:type="dxa"/>
            <w:shd w:val="clear" w:color="auto" w:fill="D9D9D9" w:themeFill="background1" w:themeFillShade="D9"/>
          </w:tcPr>
          <w:p w14:paraId="00B39AD6" w14:textId="77777777" w:rsidR="0094644B" w:rsidRPr="00FA3F57" w:rsidRDefault="0094644B" w:rsidP="00FB5086">
            <w:pPr>
              <w:rPr>
                <w:sz w:val="20"/>
                <w:szCs w:val="20"/>
              </w:rPr>
            </w:pPr>
            <w:r w:rsidRPr="00FA3F57">
              <w:rPr>
                <w:sz w:val="20"/>
                <w:szCs w:val="20"/>
              </w:rPr>
              <w:t>Activity ЕЕ6.1</w:t>
            </w:r>
            <w:r w:rsidRPr="00F07779">
              <w:rPr>
                <w:sz w:val="20"/>
                <w:szCs w:val="20"/>
              </w:rPr>
              <w:t>/9.1</w:t>
            </w:r>
            <w:r w:rsidRPr="00FA3F57">
              <w:rPr>
                <w:sz w:val="20"/>
                <w:szCs w:val="20"/>
              </w:rPr>
              <w:t>9</w:t>
            </w:r>
            <w:r w:rsidRPr="00F07779">
              <w:rPr>
                <w:sz w:val="20"/>
                <w:szCs w:val="20"/>
              </w:rPr>
              <w:t>/10.</w:t>
            </w:r>
            <w:r w:rsidRPr="00FA3F57">
              <w:rPr>
                <w:sz w:val="20"/>
                <w:szCs w:val="20"/>
              </w:rPr>
              <w:t>7</w:t>
            </w:r>
          </w:p>
        </w:tc>
        <w:tc>
          <w:tcPr>
            <w:tcW w:w="5669" w:type="dxa"/>
            <w:shd w:val="clear" w:color="auto" w:fill="D9D9D9" w:themeFill="background1" w:themeFillShade="D9"/>
          </w:tcPr>
          <w:p w14:paraId="0547A59D" w14:textId="77777777" w:rsidR="0094644B" w:rsidRPr="00FA3F57" w:rsidRDefault="0094644B" w:rsidP="00FB5086">
            <w:pPr>
              <w:rPr>
                <w:sz w:val="20"/>
                <w:szCs w:val="20"/>
              </w:rPr>
            </w:pPr>
            <w:r w:rsidRPr="00FA3F57">
              <w:rPr>
                <w:sz w:val="20"/>
                <w:szCs w:val="20"/>
              </w:rPr>
              <w:t>Improving the energy management system to increase investments in energy efficiency of public buildings in Serbia</w:t>
            </w:r>
          </w:p>
        </w:tc>
      </w:tr>
      <w:tr w:rsidR="0094644B" w:rsidRPr="00F07779" w14:paraId="5F77CA06" w14:textId="77777777" w:rsidTr="00FB5086">
        <w:tc>
          <w:tcPr>
            <w:tcW w:w="2973" w:type="dxa"/>
          </w:tcPr>
          <w:p w14:paraId="7D8C9708" w14:textId="77777777" w:rsidR="0094644B" w:rsidRPr="00FA3F57" w:rsidRDefault="0094644B" w:rsidP="00FB5086">
            <w:pPr>
              <w:rPr>
                <w:sz w:val="20"/>
                <w:szCs w:val="20"/>
              </w:rPr>
            </w:pPr>
            <w:r w:rsidRPr="00FA3F57">
              <w:rPr>
                <w:sz w:val="20"/>
                <w:szCs w:val="20"/>
              </w:rPr>
              <w:t>Description</w:t>
            </w:r>
          </w:p>
        </w:tc>
        <w:tc>
          <w:tcPr>
            <w:tcW w:w="5669" w:type="dxa"/>
          </w:tcPr>
          <w:p w14:paraId="158AFE30" w14:textId="77777777" w:rsidR="0094644B" w:rsidRPr="00FA3F57" w:rsidRDefault="0094644B" w:rsidP="00FB5086">
            <w:pPr>
              <w:rPr>
                <w:sz w:val="20"/>
                <w:szCs w:val="20"/>
              </w:rPr>
            </w:pPr>
            <w:r w:rsidRPr="00F07779">
              <w:rPr>
                <w:sz w:val="20"/>
                <w:szCs w:val="20"/>
              </w:rPr>
              <w:t>The objective of this project is to reduce greenhouse gas emissions through improving energy efficiency and promoting the use of renewable energy sources in public-use buildings, with a special emphasis on state-owned buildings. The project is implemented through the following activities:</w:t>
            </w:r>
          </w:p>
          <w:p w14:paraId="10464571" w14:textId="77777777" w:rsidR="0094644B" w:rsidRPr="00FA3F57" w:rsidRDefault="0094644B" w:rsidP="00FB5086">
            <w:pPr>
              <w:rPr>
                <w:sz w:val="20"/>
                <w:szCs w:val="20"/>
              </w:rPr>
            </w:pPr>
            <w:r w:rsidRPr="00FA3F57">
              <w:rPr>
                <w:sz w:val="20"/>
                <w:szCs w:val="20"/>
              </w:rPr>
              <w:t>Activity 1: Incentive policy framework and capacity building for energy audit and energy management</w:t>
            </w:r>
          </w:p>
          <w:p w14:paraId="72E2B6E5" w14:textId="77777777" w:rsidR="0094644B" w:rsidRPr="00FA3F57" w:rsidRDefault="0094644B" w:rsidP="00FB5086">
            <w:pPr>
              <w:rPr>
                <w:sz w:val="20"/>
                <w:szCs w:val="20"/>
              </w:rPr>
            </w:pPr>
            <w:r w:rsidRPr="00FA3F57">
              <w:rPr>
                <w:sz w:val="20"/>
                <w:szCs w:val="20"/>
              </w:rPr>
              <w:t>Activity 2: Encouraging investments in increasing EE and RES in buildings</w:t>
            </w:r>
          </w:p>
          <w:p w14:paraId="7E8F6DE4" w14:textId="77777777" w:rsidR="0094644B" w:rsidRPr="00FA3F57" w:rsidRDefault="0094644B" w:rsidP="00FB5086">
            <w:pPr>
              <w:rPr>
                <w:sz w:val="20"/>
                <w:szCs w:val="20"/>
              </w:rPr>
            </w:pPr>
            <w:r w:rsidRPr="00FA3F57">
              <w:rPr>
                <w:sz w:val="20"/>
                <w:szCs w:val="20"/>
              </w:rPr>
              <w:t>Activity 3: Monitoring, evaluation, and information to increase investment volume</w:t>
            </w:r>
          </w:p>
        </w:tc>
      </w:tr>
      <w:tr w:rsidR="0094644B" w:rsidRPr="00F07779" w14:paraId="2D61C9DF" w14:textId="77777777" w:rsidTr="00FB5086">
        <w:tc>
          <w:tcPr>
            <w:tcW w:w="2973" w:type="dxa"/>
          </w:tcPr>
          <w:p w14:paraId="118E2E4F" w14:textId="77777777" w:rsidR="0094644B" w:rsidRPr="00FA3F57" w:rsidRDefault="0094644B" w:rsidP="00FB5086">
            <w:pPr>
              <w:rPr>
                <w:sz w:val="20"/>
                <w:szCs w:val="20"/>
              </w:rPr>
            </w:pPr>
            <w:r w:rsidRPr="00FA3F57">
              <w:rPr>
                <w:sz w:val="20"/>
                <w:szCs w:val="20"/>
              </w:rPr>
              <w:t>Institutions responsible for the implementation of measures and activities</w:t>
            </w:r>
          </w:p>
        </w:tc>
        <w:tc>
          <w:tcPr>
            <w:tcW w:w="5669" w:type="dxa"/>
          </w:tcPr>
          <w:p w14:paraId="16935648" w14:textId="77777777" w:rsidR="0094644B" w:rsidRPr="00FA3F57" w:rsidRDefault="0094644B" w:rsidP="00FB5086">
            <w:pPr>
              <w:rPr>
                <w:sz w:val="20"/>
                <w:szCs w:val="20"/>
              </w:rPr>
            </w:pPr>
            <w:r w:rsidRPr="00FA3F57">
              <w:rPr>
                <w:sz w:val="20"/>
                <w:szCs w:val="20"/>
              </w:rPr>
              <w:t>МMЕ, Faculty of Mechanical Engineering</w:t>
            </w:r>
          </w:p>
        </w:tc>
      </w:tr>
      <w:tr w:rsidR="0094644B" w:rsidRPr="00F07779" w14:paraId="44D5FC4A" w14:textId="77777777" w:rsidTr="00FB5086">
        <w:tc>
          <w:tcPr>
            <w:tcW w:w="2973" w:type="dxa"/>
          </w:tcPr>
          <w:p w14:paraId="1B8A2EF4" w14:textId="77777777" w:rsidR="0094644B" w:rsidRPr="00FA3F57" w:rsidRDefault="0094644B" w:rsidP="00FB5086">
            <w:pPr>
              <w:rPr>
                <w:sz w:val="20"/>
                <w:szCs w:val="20"/>
              </w:rPr>
            </w:pPr>
            <w:r w:rsidRPr="00FA3F57">
              <w:rPr>
                <w:sz w:val="20"/>
                <w:szCs w:val="20"/>
              </w:rPr>
              <w:t>Institutions responsible for monitoring implementation and reporting on the realization</w:t>
            </w:r>
          </w:p>
        </w:tc>
        <w:tc>
          <w:tcPr>
            <w:tcW w:w="5669" w:type="dxa"/>
          </w:tcPr>
          <w:p w14:paraId="1F38104C" w14:textId="77777777" w:rsidR="0094644B" w:rsidRPr="00FA3F57" w:rsidRDefault="0094644B" w:rsidP="00FB5086">
            <w:pPr>
              <w:rPr>
                <w:sz w:val="20"/>
                <w:szCs w:val="20"/>
              </w:rPr>
            </w:pPr>
            <w:r w:rsidRPr="00FA3F57">
              <w:rPr>
                <w:sz w:val="20"/>
                <w:szCs w:val="20"/>
              </w:rPr>
              <w:t>МMЕ, Faculty of Mechanical Engineering</w:t>
            </w:r>
          </w:p>
        </w:tc>
      </w:tr>
      <w:tr w:rsidR="0094644B" w:rsidRPr="00F07779" w14:paraId="2173F3B3" w14:textId="77777777" w:rsidTr="00FB5086">
        <w:tc>
          <w:tcPr>
            <w:tcW w:w="2973" w:type="dxa"/>
          </w:tcPr>
          <w:p w14:paraId="603C8410" w14:textId="77777777" w:rsidR="0094644B" w:rsidRPr="00FA3F57" w:rsidRDefault="0094644B" w:rsidP="00FB5086">
            <w:pPr>
              <w:rPr>
                <w:sz w:val="20"/>
                <w:szCs w:val="20"/>
              </w:rPr>
            </w:pPr>
            <w:r w:rsidRPr="00FA3F57">
              <w:rPr>
                <w:sz w:val="20"/>
                <w:szCs w:val="20"/>
              </w:rPr>
              <w:t>Deadline for implementation</w:t>
            </w:r>
          </w:p>
        </w:tc>
        <w:tc>
          <w:tcPr>
            <w:tcW w:w="5669" w:type="dxa"/>
          </w:tcPr>
          <w:p w14:paraId="0CA34A35" w14:textId="77777777" w:rsidR="0094644B" w:rsidRPr="00FA3F57" w:rsidRDefault="0094644B" w:rsidP="00FB5086">
            <w:pPr>
              <w:rPr>
                <w:sz w:val="20"/>
                <w:szCs w:val="20"/>
              </w:rPr>
            </w:pPr>
            <w:r w:rsidRPr="00FA3F57">
              <w:rPr>
                <w:sz w:val="20"/>
                <w:szCs w:val="20"/>
              </w:rPr>
              <w:t xml:space="preserve">Start of implementation: March 9, 2022 </w:t>
            </w:r>
          </w:p>
          <w:p w14:paraId="6F629869" w14:textId="77777777" w:rsidR="0094644B" w:rsidRPr="00FA3F57" w:rsidRDefault="0094644B" w:rsidP="00FB5086">
            <w:pPr>
              <w:rPr>
                <w:sz w:val="20"/>
                <w:szCs w:val="20"/>
              </w:rPr>
            </w:pPr>
            <w:r w:rsidRPr="00FA3F57">
              <w:rPr>
                <w:sz w:val="20"/>
                <w:szCs w:val="20"/>
              </w:rPr>
              <w:t>Completion of implementation: November 30, 2026</w:t>
            </w:r>
          </w:p>
          <w:p w14:paraId="347DE716" w14:textId="77777777" w:rsidR="0094644B" w:rsidRPr="00FA3F57" w:rsidRDefault="0094644B" w:rsidP="00FB5086">
            <w:pPr>
              <w:rPr>
                <w:sz w:val="20"/>
                <w:szCs w:val="20"/>
              </w:rPr>
            </w:pPr>
            <w:r w:rsidRPr="00FA3F57">
              <w:rPr>
                <w:sz w:val="20"/>
                <w:szCs w:val="20"/>
              </w:rPr>
              <w:t>2022: Activity 1, Activity 2, Activity 3</w:t>
            </w:r>
          </w:p>
          <w:p w14:paraId="5D17030B" w14:textId="77777777" w:rsidR="0094644B" w:rsidRPr="00FA3F57" w:rsidRDefault="0094644B" w:rsidP="00FB5086">
            <w:pPr>
              <w:rPr>
                <w:sz w:val="20"/>
                <w:szCs w:val="20"/>
              </w:rPr>
            </w:pPr>
            <w:r w:rsidRPr="00FA3F57">
              <w:rPr>
                <w:sz w:val="20"/>
                <w:szCs w:val="20"/>
              </w:rPr>
              <w:t>2023: Activity 1, Activity 2, Activity 3</w:t>
            </w:r>
          </w:p>
          <w:p w14:paraId="56DCA4D8" w14:textId="77777777" w:rsidR="0094644B" w:rsidRPr="00FA3F57" w:rsidRDefault="0094644B" w:rsidP="00FB5086">
            <w:pPr>
              <w:rPr>
                <w:sz w:val="20"/>
                <w:szCs w:val="20"/>
              </w:rPr>
            </w:pPr>
            <w:r w:rsidRPr="00FA3F57">
              <w:rPr>
                <w:sz w:val="20"/>
                <w:szCs w:val="20"/>
              </w:rPr>
              <w:t>2024: Activity 1, Activity 2, Activity 3</w:t>
            </w:r>
          </w:p>
          <w:p w14:paraId="69ACE93A" w14:textId="77777777" w:rsidR="0094644B" w:rsidRPr="00FA3F57" w:rsidRDefault="0094644B" w:rsidP="00FB5086">
            <w:pPr>
              <w:rPr>
                <w:sz w:val="20"/>
                <w:szCs w:val="20"/>
              </w:rPr>
            </w:pPr>
            <w:r w:rsidRPr="00FA3F57">
              <w:rPr>
                <w:sz w:val="20"/>
                <w:szCs w:val="20"/>
              </w:rPr>
              <w:t>2025: Activity 1, Activity 2, Activity 3</w:t>
            </w:r>
          </w:p>
          <w:p w14:paraId="297C5274" w14:textId="77777777" w:rsidR="0094644B" w:rsidRPr="00FA3F57" w:rsidRDefault="0094644B" w:rsidP="00FB5086">
            <w:pPr>
              <w:rPr>
                <w:sz w:val="20"/>
                <w:szCs w:val="20"/>
              </w:rPr>
            </w:pPr>
            <w:r w:rsidRPr="00FA3F57">
              <w:rPr>
                <w:sz w:val="20"/>
                <w:szCs w:val="20"/>
              </w:rPr>
              <w:t>2026: Activity 1, Activity 2, Activity 3</w:t>
            </w:r>
          </w:p>
        </w:tc>
      </w:tr>
      <w:tr w:rsidR="0094644B" w:rsidRPr="00F07779" w14:paraId="42927718" w14:textId="77777777" w:rsidTr="00FB5086">
        <w:tc>
          <w:tcPr>
            <w:tcW w:w="2973" w:type="dxa"/>
          </w:tcPr>
          <w:p w14:paraId="7858DF68" w14:textId="77777777" w:rsidR="0094644B" w:rsidRPr="00FA3F57" w:rsidRDefault="0094644B" w:rsidP="00FB5086">
            <w:pPr>
              <w:rPr>
                <w:sz w:val="20"/>
                <w:szCs w:val="20"/>
              </w:rPr>
            </w:pPr>
            <w:r w:rsidRPr="00FA3F57">
              <w:rPr>
                <w:sz w:val="20"/>
                <w:szCs w:val="20"/>
              </w:rPr>
              <w:t>Required funds and source of financing</w:t>
            </w:r>
          </w:p>
        </w:tc>
        <w:tc>
          <w:tcPr>
            <w:tcW w:w="5669" w:type="dxa"/>
          </w:tcPr>
          <w:p w14:paraId="047FA0A1" w14:textId="77777777" w:rsidR="0094644B" w:rsidRPr="00F07779" w:rsidRDefault="0094644B" w:rsidP="00FB5086">
            <w:pPr>
              <w:rPr>
                <w:sz w:val="20"/>
                <w:szCs w:val="20"/>
              </w:rPr>
            </w:pPr>
            <w:r w:rsidRPr="00F07779">
              <w:rPr>
                <w:sz w:val="20"/>
                <w:szCs w:val="20"/>
              </w:rPr>
              <w:t>Estimated value: USD 1,505,000.00</w:t>
            </w:r>
          </w:p>
          <w:p w14:paraId="2F42001B" w14:textId="77777777" w:rsidR="0094644B" w:rsidRPr="00F07779" w:rsidRDefault="0094644B" w:rsidP="00FB5086">
            <w:pPr>
              <w:rPr>
                <w:sz w:val="20"/>
                <w:szCs w:val="20"/>
              </w:rPr>
            </w:pPr>
            <w:r w:rsidRPr="00F07779">
              <w:rPr>
                <w:sz w:val="20"/>
                <w:szCs w:val="20"/>
              </w:rPr>
              <w:t>Grant amount: USD 1,505,000.00</w:t>
            </w:r>
          </w:p>
          <w:p w14:paraId="120AC774" w14:textId="77777777" w:rsidR="0094644B" w:rsidRPr="00FA3F57" w:rsidRDefault="0094644B" w:rsidP="00FB5086">
            <w:pPr>
              <w:rPr>
                <w:sz w:val="20"/>
                <w:szCs w:val="20"/>
              </w:rPr>
            </w:pPr>
            <w:r w:rsidRPr="00F07779">
              <w:rPr>
                <w:sz w:val="20"/>
                <w:szCs w:val="20"/>
              </w:rPr>
              <w:t>Signed financing agreement: Improvement of the energy management system to increase investments in energy efficiency of public buildings in Serbia.</w:t>
            </w:r>
          </w:p>
        </w:tc>
      </w:tr>
      <w:tr w:rsidR="0094644B" w:rsidRPr="00F07779" w14:paraId="662C8B84" w14:textId="77777777" w:rsidTr="00FB5086">
        <w:tc>
          <w:tcPr>
            <w:tcW w:w="2973" w:type="dxa"/>
          </w:tcPr>
          <w:p w14:paraId="07EFB847" w14:textId="77777777" w:rsidR="0094644B" w:rsidRPr="00FA3F57" w:rsidRDefault="0094644B" w:rsidP="00FB5086">
            <w:pPr>
              <w:rPr>
                <w:sz w:val="20"/>
                <w:szCs w:val="20"/>
              </w:rPr>
            </w:pPr>
            <w:r w:rsidRPr="00FA3F57">
              <w:rPr>
                <w:sz w:val="20"/>
                <w:szCs w:val="20"/>
              </w:rPr>
              <w:t>Implementation indicator</w:t>
            </w:r>
          </w:p>
        </w:tc>
        <w:tc>
          <w:tcPr>
            <w:tcW w:w="5669" w:type="dxa"/>
          </w:tcPr>
          <w:p w14:paraId="127D2621" w14:textId="77777777" w:rsidR="0094644B" w:rsidRPr="00FA3F57" w:rsidRDefault="0094644B" w:rsidP="00FB5086">
            <w:pPr>
              <w:rPr>
                <w:sz w:val="20"/>
                <w:szCs w:val="20"/>
              </w:rPr>
            </w:pPr>
            <w:r w:rsidRPr="00F07779">
              <w:rPr>
                <w:sz w:val="20"/>
                <w:szCs w:val="20"/>
              </w:rPr>
              <w:t>The cumulative number of state-owned buildings included in the energy management system.</w:t>
            </w:r>
          </w:p>
        </w:tc>
      </w:tr>
      <w:tr w:rsidR="0094644B" w:rsidRPr="00F07779" w14:paraId="71060602" w14:textId="77777777" w:rsidTr="00FB5086">
        <w:tc>
          <w:tcPr>
            <w:tcW w:w="2973" w:type="dxa"/>
          </w:tcPr>
          <w:p w14:paraId="55F12463" w14:textId="77777777" w:rsidR="0094644B" w:rsidRPr="00FA3F57" w:rsidRDefault="0094644B" w:rsidP="00FB5086">
            <w:pPr>
              <w:rPr>
                <w:sz w:val="20"/>
                <w:szCs w:val="20"/>
              </w:rPr>
            </w:pPr>
            <w:r w:rsidRPr="00FA3F57">
              <w:rPr>
                <w:sz w:val="20"/>
                <w:szCs w:val="20"/>
              </w:rPr>
              <w:t>Impact of the activity on the achievement of the objective</w:t>
            </w:r>
          </w:p>
        </w:tc>
        <w:tc>
          <w:tcPr>
            <w:tcW w:w="5669" w:type="dxa"/>
          </w:tcPr>
          <w:p w14:paraId="1F0DD736" w14:textId="77777777" w:rsidR="0094644B" w:rsidRPr="00FA3F57" w:rsidRDefault="0094644B" w:rsidP="00FB5086">
            <w:pPr>
              <w:rPr>
                <w:sz w:val="20"/>
                <w:szCs w:val="20"/>
              </w:rPr>
            </w:pPr>
            <w:r w:rsidRPr="00FA3F57">
              <w:rPr>
                <w:sz w:val="20"/>
                <w:szCs w:val="20"/>
              </w:rPr>
              <w:t>Activity contributes to the objective.</w:t>
            </w:r>
          </w:p>
        </w:tc>
      </w:tr>
      <w:tr w:rsidR="0094644B" w:rsidRPr="00F07779" w14:paraId="4B46EF5E" w14:textId="77777777" w:rsidTr="00FB5086">
        <w:tc>
          <w:tcPr>
            <w:tcW w:w="2973" w:type="dxa"/>
          </w:tcPr>
          <w:p w14:paraId="0F21814D" w14:textId="77777777" w:rsidR="0094644B" w:rsidRPr="00FA3F57" w:rsidRDefault="0094644B" w:rsidP="00FB5086">
            <w:pPr>
              <w:rPr>
                <w:sz w:val="20"/>
                <w:szCs w:val="20"/>
              </w:rPr>
            </w:pPr>
            <w:r w:rsidRPr="00FA3F57">
              <w:rPr>
                <w:sz w:val="20"/>
                <w:szCs w:val="20"/>
              </w:rPr>
              <w:t>Impact on EE, climate, and environmental protection</w:t>
            </w:r>
          </w:p>
        </w:tc>
        <w:tc>
          <w:tcPr>
            <w:tcW w:w="5669" w:type="dxa"/>
          </w:tcPr>
          <w:p w14:paraId="136A2325" w14:textId="77777777" w:rsidR="0094644B" w:rsidRPr="00F07779" w:rsidRDefault="0094644B" w:rsidP="00FB5086">
            <w:pPr>
              <w:rPr>
                <w:sz w:val="20"/>
                <w:szCs w:val="20"/>
              </w:rPr>
            </w:pPr>
            <w:r w:rsidRPr="00FA3F57">
              <w:rPr>
                <w:sz w:val="20"/>
                <w:szCs w:val="20"/>
              </w:rPr>
              <w:t>1. a</w:t>
            </w:r>
            <w:r w:rsidRPr="00F07779">
              <w:rPr>
                <w:sz w:val="20"/>
                <w:szCs w:val="20"/>
              </w:rPr>
              <w:t>voided direct and indirect GHG emissions over the lifecycle (metric tons of CO</w:t>
            </w:r>
            <w:r w:rsidRPr="00F07779">
              <w:rPr>
                <w:sz w:val="20"/>
                <w:szCs w:val="20"/>
                <w:vertAlign w:val="subscript"/>
              </w:rPr>
              <w:t>2</w:t>
            </w:r>
            <w:r w:rsidRPr="00F07779">
              <w:rPr>
                <w:sz w:val="20"/>
                <w:szCs w:val="20"/>
              </w:rPr>
              <w:t>e).</w:t>
            </w:r>
          </w:p>
          <w:p w14:paraId="69D2F072" w14:textId="77777777" w:rsidR="0094644B" w:rsidRPr="00FA3F57" w:rsidRDefault="0094644B" w:rsidP="00FB5086">
            <w:pPr>
              <w:rPr>
                <w:sz w:val="20"/>
                <w:szCs w:val="20"/>
              </w:rPr>
            </w:pPr>
            <w:r w:rsidRPr="00FA3F57">
              <w:rPr>
                <w:sz w:val="20"/>
                <w:szCs w:val="20"/>
              </w:rPr>
              <w:t>Direct: 146,000 Indirect: 300,000</w:t>
            </w:r>
          </w:p>
          <w:p w14:paraId="5C5F337B" w14:textId="77777777" w:rsidR="0094644B" w:rsidRPr="00FA3F57" w:rsidRDefault="0094644B" w:rsidP="00FB5086">
            <w:pPr>
              <w:rPr>
                <w:sz w:val="20"/>
                <w:szCs w:val="20"/>
              </w:rPr>
            </w:pPr>
            <w:r w:rsidRPr="00FA3F57">
              <w:rPr>
                <w:sz w:val="20"/>
                <w:szCs w:val="20"/>
              </w:rPr>
              <w:t xml:space="preserve">2. </w:t>
            </w:r>
            <w:r w:rsidRPr="00F07779">
              <w:rPr>
                <w:sz w:val="20"/>
                <w:szCs w:val="20"/>
              </w:rPr>
              <w:t>Energy savings of 2,340 TJ</w:t>
            </w:r>
          </w:p>
        </w:tc>
      </w:tr>
    </w:tbl>
    <w:p w14:paraId="7B59C262" w14:textId="77777777" w:rsidR="0094644B" w:rsidRPr="00FA3F57" w:rsidRDefault="0094644B" w:rsidP="0094644B">
      <w:pPr>
        <w:tabs>
          <w:tab w:val="left" w:pos="1276"/>
        </w:tabs>
        <w:ind w:left="1440" w:hanging="1440"/>
      </w:pPr>
    </w:p>
    <w:p w14:paraId="3D83369E" w14:textId="77777777" w:rsidR="0094644B" w:rsidRPr="00FA3F57" w:rsidRDefault="0094644B" w:rsidP="0094644B">
      <w:pPr>
        <w:keepNext/>
        <w:tabs>
          <w:tab w:val="left" w:pos="1276"/>
        </w:tabs>
        <w:ind w:left="1440" w:hanging="1440"/>
      </w:pPr>
      <w:r w:rsidRPr="00FA3F57">
        <w:t>Table 5.4.7:</w:t>
      </w:r>
      <w:r w:rsidRPr="00FA3F57">
        <w:tab/>
      </w:r>
      <w:r w:rsidRPr="00F07779">
        <w:t xml:space="preserve">Activity for the implementation of </w:t>
      </w:r>
      <w:proofErr w:type="gramStart"/>
      <w:r w:rsidRPr="00F07779">
        <w:t>the measure</w:t>
      </w:r>
      <w:proofErr w:type="gramEnd"/>
      <w:r w:rsidRPr="00FA3F57">
        <w:t xml:space="preserve"> EE9</w:t>
      </w:r>
    </w:p>
    <w:tbl>
      <w:tblPr>
        <w:tblStyle w:val="TableGrid"/>
        <w:tblW w:w="0" w:type="auto"/>
        <w:tblLook w:val="04A0" w:firstRow="1" w:lastRow="0" w:firstColumn="1" w:lastColumn="0" w:noHBand="0" w:noVBand="1"/>
      </w:tblPr>
      <w:tblGrid>
        <w:gridCol w:w="8642"/>
      </w:tblGrid>
      <w:tr w:rsidR="0094644B" w:rsidRPr="00F07779" w14:paraId="576DF0A9" w14:textId="77777777" w:rsidTr="00FB5086">
        <w:tc>
          <w:tcPr>
            <w:tcW w:w="8642" w:type="dxa"/>
            <w:shd w:val="clear" w:color="auto" w:fill="D9D9D9" w:themeFill="background1" w:themeFillShade="D9"/>
          </w:tcPr>
          <w:p w14:paraId="6DD31F8A" w14:textId="77777777" w:rsidR="0094644B" w:rsidRPr="00FA3F57" w:rsidRDefault="0094644B" w:rsidP="00FB5086">
            <w:pPr>
              <w:rPr>
                <w:sz w:val="20"/>
                <w:szCs w:val="20"/>
              </w:rPr>
            </w:pPr>
            <w:r w:rsidRPr="00FA3F57">
              <w:rPr>
                <w:sz w:val="20"/>
                <w:szCs w:val="20"/>
              </w:rPr>
              <w:t>All activities that have been previously mentioned and described in measures ЕЕ1 and ЕЕ6.</w:t>
            </w:r>
          </w:p>
        </w:tc>
      </w:tr>
    </w:tbl>
    <w:p w14:paraId="2FB6633B" w14:textId="77777777" w:rsidR="0094644B" w:rsidRPr="00FA3F57" w:rsidRDefault="0094644B" w:rsidP="0094644B">
      <w:pPr>
        <w:tabs>
          <w:tab w:val="left" w:pos="1276"/>
        </w:tabs>
        <w:ind w:left="1440" w:hanging="1440"/>
      </w:pPr>
    </w:p>
    <w:p w14:paraId="03098E20" w14:textId="77777777" w:rsidR="0094644B" w:rsidRPr="00FA3F57" w:rsidRDefault="0094644B" w:rsidP="0094644B">
      <w:pPr>
        <w:keepNext/>
        <w:tabs>
          <w:tab w:val="left" w:pos="1276"/>
          <w:tab w:val="left" w:pos="1560"/>
        </w:tabs>
        <w:ind w:left="1440" w:hanging="1440"/>
      </w:pPr>
      <w:r w:rsidRPr="00FA3F57">
        <w:t>Table 5.4.8-1:</w:t>
      </w:r>
      <w:r w:rsidRPr="00FA3F57">
        <w:tab/>
        <w:t xml:space="preserve">Activity for the implementation of </w:t>
      </w:r>
      <w:proofErr w:type="gramStart"/>
      <w:r w:rsidRPr="00FA3F57">
        <w:t>the measure</w:t>
      </w:r>
      <w:proofErr w:type="gramEnd"/>
      <w:r w:rsidRPr="00FA3F57">
        <w:t xml:space="preserve"> EE10</w:t>
      </w:r>
    </w:p>
    <w:tbl>
      <w:tblPr>
        <w:tblStyle w:val="TableGrid"/>
        <w:tblW w:w="8642" w:type="dxa"/>
        <w:tblLook w:val="04A0" w:firstRow="1" w:lastRow="0" w:firstColumn="1" w:lastColumn="0" w:noHBand="0" w:noVBand="1"/>
      </w:tblPr>
      <w:tblGrid>
        <w:gridCol w:w="2973"/>
        <w:gridCol w:w="5669"/>
      </w:tblGrid>
      <w:tr w:rsidR="0094644B" w:rsidRPr="00F07779" w14:paraId="6B7CF534" w14:textId="77777777" w:rsidTr="00FB5086">
        <w:tc>
          <w:tcPr>
            <w:tcW w:w="2973" w:type="dxa"/>
            <w:shd w:val="clear" w:color="auto" w:fill="D9D9D9" w:themeFill="background1" w:themeFillShade="D9"/>
          </w:tcPr>
          <w:p w14:paraId="209E243D" w14:textId="77777777" w:rsidR="0094644B" w:rsidRPr="00FA3F57" w:rsidRDefault="0094644B" w:rsidP="00FB5086">
            <w:pPr>
              <w:rPr>
                <w:sz w:val="20"/>
                <w:szCs w:val="20"/>
              </w:rPr>
            </w:pPr>
            <w:bookmarkStart w:id="14" w:name="_Hlk207202617"/>
            <w:r w:rsidRPr="00FA3F57">
              <w:rPr>
                <w:sz w:val="20"/>
                <w:szCs w:val="20"/>
              </w:rPr>
              <w:t>Activity EE1.4/9.4/10.1</w:t>
            </w:r>
            <w:r w:rsidRPr="00FA3F57">
              <w:rPr>
                <w:rStyle w:val="FootnoteReference"/>
                <w:sz w:val="20"/>
                <w:szCs w:val="20"/>
              </w:rPr>
              <w:footnoteReference w:id="32"/>
            </w:r>
          </w:p>
        </w:tc>
        <w:tc>
          <w:tcPr>
            <w:tcW w:w="5669" w:type="dxa"/>
            <w:shd w:val="clear" w:color="auto" w:fill="D9D9D9" w:themeFill="background1" w:themeFillShade="D9"/>
          </w:tcPr>
          <w:p w14:paraId="6DE0FDFE" w14:textId="77777777" w:rsidR="0094644B" w:rsidRPr="00FA3F57" w:rsidRDefault="0094644B" w:rsidP="00FB5086">
            <w:pPr>
              <w:rPr>
                <w:sz w:val="20"/>
                <w:szCs w:val="20"/>
              </w:rPr>
            </w:pPr>
            <w:r w:rsidRPr="00FA3F57">
              <w:rPr>
                <w:sz w:val="20"/>
                <w:szCs w:val="20"/>
              </w:rPr>
              <w:t>National program for the energy renovation of public buildings in local self-government units and city municipalities 2024</w:t>
            </w:r>
          </w:p>
        </w:tc>
      </w:tr>
      <w:tr w:rsidR="0094644B" w:rsidRPr="00F07779" w14:paraId="0AA54315" w14:textId="77777777" w:rsidTr="00FB5086">
        <w:tc>
          <w:tcPr>
            <w:tcW w:w="2973" w:type="dxa"/>
            <w:shd w:val="clear" w:color="auto" w:fill="D9D9D9" w:themeFill="background1" w:themeFillShade="D9"/>
          </w:tcPr>
          <w:p w14:paraId="33D7B684" w14:textId="77777777" w:rsidR="0094644B" w:rsidRPr="00FA3F57" w:rsidRDefault="0094644B" w:rsidP="00FB5086">
            <w:pPr>
              <w:rPr>
                <w:sz w:val="20"/>
                <w:szCs w:val="20"/>
              </w:rPr>
            </w:pPr>
            <w:r w:rsidRPr="00FA3F57">
              <w:rPr>
                <w:sz w:val="20"/>
                <w:szCs w:val="20"/>
              </w:rPr>
              <w:t>Activity EE1.6/9.6/10.2</w:t>
            </w:r>
            <w:r w:rsidRPr="00FA3F57">
              <w:rPr>
                <w:rStyle w:val="FootnoteReference"/>
                <w:sz w:val="20"/>
                <w:szCs w:val="20"/>
              </w:rPr>
              <w:footnoteReference w:id="33"/>
            </w:r>
          </w:p>
        </w:tc>
        <w:tc>
          <w:tcPr>
            <w:tcW w:w="5669" w:type="dxa"/>
            <w:shd w:val="clear" w:color="auto" w:fill="D9D9D9" w:themeFill="background1" w:themeFillShade="D9"/>
          </w:tcPr>
          <w:p w14:paraId="7581ABB5" w14:textId="77777777" w:rsidR="0094644B" w:rsidRPr="00FA3F57" w:rsidRDefault="0094644B" w:rsidP="00FB5086">
            <w:pPr>
              <w:rPr>
                <w:sz w:val="20"/>
                <w:szCs w:val="20"/>
              </w:rPr>
            </w:pPr>
            <w:r w:rsidRPr="00FA3F57">
              <w:rPr>
                <w:sz w:val="20"/>
                <w:szCs w:val="20"/>
              </w:rPr>
              <w:t>National program for energy renovation of public buildings in local government units, as well as city municipalities, in 2025-2028</w:t>
            </w:r>
          </w:p>
        </w:tc>
      </w:tr>
      <w:tr w:rsidR="0094644B" w:rsidRPr="00F07779" w14:paraId="1677ED53" w14:textId="77777777" w:rsidTr="00FB5086">
        <w:tc>
          <w:tcPr>
            <w:tcW w:w="2973" w:type="dxa"/>
            <w:shd w:val="clear" w:color="auto" w:fill="D9D9D9" w:themeFill="background1" w:themeFillShade="D9"/>
          </w:tcPr>
          <w:p w14:paraId="010B27B8" w14:textId="77777777" w:rsidR="0094644B" w:rsidRPr="00FA3F57" w:rsidRDefault="0094644B" w:rsidP="00FB5086">
            <w:pPr>
              <w:rPr>
                <w:sz w:val="20"/>
                <w:szCs w:val="20"/>
              </w:rPr>
            </w:pPr>
            <w:r w:rsidRPr="00FA3F57">
              <w:rPr>
                <w:sz w:val="20"/>
                <w:szCs w:val="20"/>
              </w:rPr>
              <w:lastRenderedPageBreak/>
              <w:t>Activity EE1.7/9.7/10.3</w:t>
            </w:r>
            <w:r w:rsidRPr="00FA3F57">
              <w:rPr>
                <w:rStyle w:val="FootnoteReference"/>
                <w:sz w:val="20"/>
                <w:szCs w:val="20"/>
              </w:rPr>
              <w:footnoteReference w:id="34"/>
            </w:r>
          </w:p>
        </w:tc>
        <w:tc>
          <w:tcPr>
            <w:tcW w:w="5669" w:type="dxa"/>
            <w:shd w:val="clear" w:color="auto" w:fill="D9D9D9" w:themeFill="background1" w:themeFillShade="D9"/>
          </w:tcPr>
          <w:p w14:paraId="23FF5BF8" w14:textId="77777777" w:rsidR="0094644B" w:rsidRPr="00FA3F57" w:rsidRDefault="0094644B" w:rsidP="00FB5086">
            <w:pPr>
              <w:rPr>
                <w:sz w:val="20"/>
                <w:szCs w:val="20"/>
              </w:rPr>
            </w:pPr>
            <w:r w:rsidRPr="00FA3F57">
              <w:rPr>
                <w:sz w:val="20"/>
                <w:szCs w:val="20"/>
              </w:rPr>
              <w:t>Energy efficiency in public buildings and renewable energy sources in the district heating sector (“Greening the public sector”) – Rehabilitation of the Military Medical Academy</w:t>
            </w:r>
          </w:p>
        </w:tc>
      </w:tr>
      <w:tr w:rsidR="0094644B" w:rsidRPr="00F07779" w14:paraId="0BE08AB3" w14:textId="77777777" w:rsidTr="00FB5086">
        <w:tc>
          <w:tcPr>
            <w:tcW w:w="2973" w:type="dxa"/>
            <w:shd w:val="clear" w:color="auto" w:fill="D9D9D9" w:themeFill="background1" w:themeFillShade="D9"/>
          </w:tcPr>
          <w:p w14:paraId="11D838EC" w14:textId="77777777" w:rsidR="0094644B" w:rsidRPr="00FA3F57" w:rsidRDefault="0094644B" w:rsidP="00FB5086">
            <w:pPr>
              <w:rPr>
                <w:sz w:val="20"/>
                <w:szCs w:val="20"/>
              </w:rPr>
            </w:pPr>
            <w:r w:rsidRPr="00FA3F57">
              <w:rPr>
                <w:sz w:val="20"/>
                <w:szCs w:val="20"/>
              </w:rPr>
              <w:t>Activity ЕЕ1.8/9.8/10.4</w:t>
            </w:r>
            <w:r w:rsidRPr="00FA3F57">
              <w:rPr>
                <w:rStyle w:val="FootnoteReference"/>
                <w:sz w:val="20"/>
                <w:szCs w:val="20"/>
              </w:rPr>
              <w:footnoteReference w:id="35"/>
            </w:r>
          </w:p>
        </w:tc>
        <w:tc>
          <w:tcPr>
            <w:tcW w:w="5669" w:type="dxa"/>
            <w:shd w:val="clear" w:color="auto" w:fill="D9D9D9" w:themeFill="background1" w:themeFillShade="D9"/>
          </w:tcPr>
          <w:p w14:paraId="2F0C7490" w14:textId="77777777" w:rsidR="0094644B" w:rsidRPr="00FA3F57" w:rsidRDefault="0094644B" w:rsidP="00FB5086">
            <w:pPr>
              <w:rPr>
                <w:sz w:val="20"/>
                <w:szCs w:val="20"/>
              </w:rPr>
            </w:pPr>
            <w:r w:rsidRPr="00FA3F57">
              <w:rPr>
                <w:sz w:val="20"/>
                <w:szCs w:val="20"/>
              </w:rPr>
              <w:t>Energy efficiency in central government buildings</w:t>
            </w:r>
          </w:p>
        </w:tc>
      </w:tr>
      <w:tr w:rsidR="0094644B" w:rsidRPr="00F07779" w14:paraId="45BA6226" w14:textId="77777777" w:rsidTr="00FB5086">
        <w:tc>
          <w:tcPr>
            <w:tcW w:w="2973" w:type="dxa"/>
            <w:shd w:val="clear" w:color="auto" w:fill="D9D9D9" w:themeFill="background1" w:themeFillShade="D9"/>
          </w:tcPr>
          <w:p w14:paraId="4035B0B5" w14:textId="77777777" w:rsidR="0094644B" w:rsidRPr="00FA3F57" w:rsidRDefault="0094644B" w:rsidP="00FB5086">
            <w:pPr>
              <w:rPr>
                <w:sz w:val="20"/>
                <w:szCs w:val="20"/>
              </w:rPr>
            </w:pPr>
            <w:r w:rsidRPr="00FA3F57">
              <w:rPr>
                <w:sz w:val="20"/>
                <w:szCs w:val="20"/>
              </w:rPr>
              <w:t>Activity EE1.9/9.9/10.5</w:t>
            </w:r>
            <w:r w:rsidRPr="00FA3F57">
              <w:rPr>
                <w:rStyle w:val="FootnoteReference"/>
                <w:sz w:val="20"/>
                <w:szCs w:val="20"/>
              </w:rPr>
              <w:footnoteReference w:id="36"/>
            </w:r>
          </w:p>
        </w:tc>
        <w:tc>
          <w:tcPr>
            <w:tcW w:w="5669" w:type="dxa"/>
            <w:shd w:val="clear" w:color="auto" w:fill="D9D9D9" w:themeFill="background1" w:themeFillShade="D9"/>
          </w:tcPr>
          <w:p w14:paraId="66C8F05F" w14:textId="77777777" w:rsidR="0094644B" w:rsidRPr="00FA3F57" w:rsidRDefault="0094644B" w:rsidP="00FB5086">
            <w:pPr>
              <w:rPr>
                <w:sz w:val="20"/>
                <w:szCs w:val="20"/>
              </w:rPr>
            </w:pPr>
            <w:r w:rsidRPr="00FA3F57">
              <w:rPr>
                <w:sz w:val="20"/>
                <w:szCs w:val="20"/>
              </w:rPr>
              <w:t xml:space="preserve">Thermal rehabilitation of facilities – Institute of Sport and Sports Medicine of the Republic of Serbia (SRC </w:t>
            </w:r>
            <w:proofErr w:type="spellStart"/>
            <w:r w:rsidRPr="00FA3F57">
              <w:rPr>
                <w:sz w:val="20"/>
                <w:szCs w:val="20"/>
              </w:rPr>
              <w:t>Košutnjak</w:t>
            </w:r>
            <w:proofErr w:type="spellEnd"/>
            <w:r w:rsidRPr="00FA3F57">
              <w:rPr>
                <w:sz w:val="20"/>
                <w:szCs w:val="20"/>
              </w:rPr>
              <w:t>)</w:t>
            </w:r>
          </w:p>
        </w:tc>
      </w:tr>
      <w:tr w:rsidR="0094644B" w:rsidRPr="00F07779" w14:paraId="358D2696" w14:textId="77777777" w:rsidTr="00FB5086">
        <w:tc>
          <w:tcPr>
            <w:tcW w:w="2973" w:type="dxa"/>
            <w:shd w:val="clear" w:color="auto" w:fill="D9D9D9" w:themeFill="background1" w:themeFillShade="D9"/>
          </w:tcPr>
          <w:p w14:paraId="1A542C64" w14:textId="77777777" w:rsidR="0094644B" w:rsidRPr="00FA3F57" w:rsidRDefault="0094644B" w:rsidP="00FB5086">
            <w:pPr>
              <w:rPr>
                <w:sz w:val="20"/>
                <w:szCs w:val="20"/>
              </w:rPr>
            </w:pPr>
            <w:r w:rsidRPr="00FA3F57">
              <w:rPr>
                <w:sz w:val="20"/>
                <w:szCs w:val="20"/>
              </w:rPr>
              <w:t>Activity EE1.10/9.10/10.6</w:t>
            </w:r>
            <w:r w:rsidRPr="00FA3F57">
              <w:rPr>
                <w:rStyle w:val="FootnoteReference"/>
                <w:sz w:val="20"/>
                <w:szCs w:val="20"/>
              </w:rPr>
              <w:footnoteReference w:id="37"/>
            </w:r>
          </w:p>
        </w:tc>
        <w:tc>
          <w:tcPr>
            <w:tcW w:w="5669" w:type="dxa"/>
            <w:shd w:val="clear" w:color="auto" w:fill="D9D9D9" w:themeFill="background1" w:themeFillShade="D9"/>
          </w:tcPr>
          <w:p w14:paraId="2A37B0FA" w14:textId="77777777" w:rsidR="0094644B" w:rsidRPr="00FA3F57" w:rsidRDefault="0094644B" w:rsidP="00FB5086">
            <w:pPr>
              <w:rPr>
                <w:sz w:val="20"/>
                <w:szCs w:val="20"/>
              </w:rPr>
            </w:pPr>
            <w:r w:rsidRPr="00FA3F57">
              <w:rPr>
                <w:sz w:val="20"/>
                <w:szCs w:val="20"/>
              </w:rPr>
              <w:t>Thermal rehabilitation of facilities – Serbian Ministry of Internal Affairs Building – Novi Sad</w:t>
            </w:r>
          </w:p>
        </w:tc>
      </w:tr>
      <w:tr w:rsidR="0094644B" w:rsidRPr="00F07779" w14:paraId="78018056" w14:textId="77777777" w:rsidTr="00FB5086">
        <w:tc>
          <w:tcPr>
            <w:tcW w:w="2973" w:type="dxa"/>
            <w:shd w:val="clear" w:color="auto" w:fill="D9D9D9" w:themeFill="background1" w:themeFillShade="D9"/>
          </w:tcPr>
          <w:p w14:paraId="030E1213" w14:textId="77777777" w:rsidR="0094644B" w:rsidRPr="00FA3F57" w:rsidRDefault="0094644B" w:rsidP="00FB5086">
            <w:pPr>
              <w:rPr>
                <w:sz w:val="20"/>
                <w:szCs w:val="20"/>
              </w:rPr>
            </w:pPr>
            <w:r w:rsidRPr="00FA3F57">
              <w:rPr>
                <w:sz w:val="20"/>
                <w:szCs w:val="20"/>
              </w:rPr>
              <w:t>Activity EE6.1/9.19/10.7</w:t>
            </w:r>
            <w:r w:rsidRPr="00FA3F57">
              <w:rPr>
                <w:rStyle w:val="FootnoteReference"/>
                <w:sz w:val="20"/>
                <w:szCs w:val="20"/>
              </w:rPr>
              <w:footnoteReference w:id="38"/>
            </w:r>
          </w:p>
        </w:tc>
        <w:tc>
          <w:tcPr>
            <w:tcW w:w="5669" w:type="dxa"/>
            <w:shd w:val="clear" w:color="auto" w:fill="D9D9D9" w:themeFill="background1" w:themeFillShade="D9"/>
          </w:tcPr>
          <w:p w14:paraId="4DD8249D" w14:textId="77777777" w:rsidR="0094644B" w:rsidRPr="00FA3F57" w:rsidRDefault="0094644B" w:rsidP="00FB5086">
            <w:pPr>
              <w:rPr>
                <w:sz w:val="20"/>
                <w:szCs w:val="20"/>
              </w:rPr>
            </w:pPr>
            <w:r w:rsidRPr="00FA3F57">
              <w:rPr>
                <w:sz w:val="20"/>
                <w:szCs w:val="20"/>
              </w:rPr>
              <w:t>Improving the energy management system to increase investments in energy efficiency of public buildings in Serbia</w:t>
            </w:r>
          </w:p>
        </w:tc>
      </w:tr>
      <w:bookmarkEnd w:id="14"/>
    </w:tbl>
    <w:p w14:paraId="6CA56A43" w14:textId="77777777" w:rsidR="0094644B" w:rsidRPr="00FA3F57" w:rsidRDefault="0094644B" w:rsidP="0094644B">
      <w:pPr>
        <w:jc w:val="both"/>
      </w:pPr>
    </w:p>
    <w:p w14:paraId="0098756D" w14:textId="77777777" w:rsidR="0094644B" w:rsidRPr="00F07779" w:rsidRDefault="0094644B" w:rsidP="00613D07"/>
    <w:p w14:paraId="0D57D7BC" w14:textId="7A54AD0E" w:rsidR="00E952FA" w:rsidRPr="00F07779" w:rsidRDefault="00555340" w:rsidP="00555340">
      <w:pPr>
        <w:pStyle w:val="Heading2"/>
        <w:ind w:left="820"/>
        <w:rPr>
          <w:rFonts w:ascii="Times New Roman" w:hAnsi="Times New Roman" w:cs="Times New Roman"/>
        </w:rPr>
      </w:pPr>
      <w:bookmarkStart w:id="15" w:name="_Toc199155512"/>
      <w:r w:rsidRPr="00F07779">
        <w:rPr>
          <w:rFonts w:ascii="Times New Roman" w:hAnsi="Times New Roman" w:cs="Times New Roman"/>
        </w:rPr>
        <w:t>5.5.</w:t>
      </w:r>
      <w:bookmarkEnd w:id="15"/>
      <w:r w:rsidR="00435778" w:rsidRPr="00F07779">
        <w:rPr>
          <w:rFonts w:ascii="Times New Roman" w:hAnsi="Times New Roman" w:cs="Times New Roman"/>
        </w:rPr>
        <w:t xml:space="preserve"> Natural gas sector</w:t>
      </w:r>
    </w:p>
    <w:p w14:paraId="3429E8DA" w14:textId="77777777" w:rsidR="00383264" w:rsidRPr="00F07779" w:rsidRDefault="00383264" w:rsidP="0062134E"/>
    <w:p w14:paraId="36015272" w14:textId="3554EE34" w:rsidR="00435778" w:rsidRPr="00F07779" w:rsidRDefault="00435778" w:rsidP="00435778">
      <w:pPr>
        <w:jc w:val="both"/>
      </w:pPr>
      <w:r w:rsidRPr="00F07779">
        <w:t>The strategic objectives in the natural gas sector are the secure supply of the market with the required quantities, diversification of sources and supply routes, and the development of the natural gas market.</w:t>
      </w:r>
    </w:p>
    <w:p w14:paraId="6BC4ACBD" w14:textId="77777777" w:rsidR="00435778" w:rsidRPr="00F07779" w:rsidRDefault="00435778" w:rsidP="00435778">
      <w:pPr>
        <w:jc w:val="both"/>
      </w:pPr>
    </w:p>
    <w:p w14:paraId="7323B9E1" w14:textId="77777777" w:rsidR="00435778" w:rsidRPr="00F07779" w:rsidRDefault="00435778" w:rsidP="00435778">
      <w:pPr>
        <w:jc w:val="both"/>
      </w:pPr>
      <w:r w:rsidRPr="00F07779">
        <w:t>With respect to the general objectives of energy sector development, the secure supply of the market with the required quantities and the diversification of gas sources and supply routes contribute to strengthening energy security, while the development of the natural gas market relates to enhancing the economic competitiveness of the energy sector.</w:t>
      </w:r>
    </w:p>
    <w:p w14:paraId="3C9EEA3E" w14:textId="77777777" w:rsidR="00435778" w:rsidRPr="00F07779" w:rsidRDefault="00435778" w:rsidP="00435778">
      <w:pPr>
        <w:jc w:val="both"/>
      </w:pPr>
    </w:p>
    <w:p w14:paraId="378D2FF4" w14:textId="77777777" w:rsidR="00435778" w:rsidRPr="00F07779" w:rsidRDefault="00435778" w:rsidP="00435778">
      <w:pPr>
        <w:jc w:val="both"/>
      </w:pPr>
      <w:r w:rsidRPr="00F07779">
        <w:t>The planned measures for the implementation of the strategic objectives, along with investment values and sources of financing, are presented in Table 5.5.1.</w:t>
      </w:r>
    </w:p>
    <w:p w14:paraId="3E757EE7" w14:textId="77777777" w:rsidR="00435778" w:rsidRPr="00F07779" w:rsidRDefault="00435778" w:rsidP="00435778">
      <w:pPr>
        <w:jc w:val="both"/>
      </w:pPr>
    </w:p>
    <w:p w14:paraId="3C9246E6" w14:textId="77777777" w:rsidR="00435778" w:rsidRPr="00F07779" w:rsidRDefault="00435778" w:rsidP="00435778">
      <w:pPr>
        <w:jc w:val="both"/>
      </w:pPr>
      <w:r w:rsidRPr="00F07779">
        <w:t>Table 5.5.1-a: Measures in the Natural Gas Sector and Corresponding Investment Values</w:t>
      </w:r>
    </w:p>
    <w:tbl>
      <w:tblPr>
        <w:tblStyle w:val="TableGrid"/>
        <w:tblW w:w="5000" w:type="pct"/>
        <w:tblLook w:val="04A0" w:firstRow="1" w:lastRow="0" w:firstColumn="1" w:lastColumn="0" w:noHBand="0" w:noVBand="1"/>
      </w:tblPr>
      <w:tblGrid>
        <w:gridCol w:w="2345"/>
        <w:gridCol w:w="770"/>
        <w:gridCol w:w="849"/>
        <w:gridCol w:w="1560"/>
        <w:gridCol w:w="23"/>
        <w:gridCol w:w="1537"/>
        <w:gridCol w:w="47"/>
        <w:gridCol w:w="1584"/>
      </w:tblGrid>
      <w:tr w:rsidR="00435778" w:rsidRPr="00F07779" w14:paraId="5C786B19" w14:textId="77777777" w:rsidTr="005E3573">
        <w:tc>
          <w:tcPr>
            <w:tcW w:w="1345" w:type="pct"/>
            <w:vMerge w:val="restart"/>
            <w:vAlign w:val="center"/>
          </w:tcPr>
          <w:p w14:paraId="52B6BD5F" w14:textId="77777777" w:rsidR="00435778" w:rsidRPr="00F07779" w:rsidRDefault="00435778" w:rsidP="005E3573">
            <w:pPr>
              <w:snapToGrid w:val="0"/>
              <w:jc w:val="center"/>
              <w:rPr>
                <w:sz w:val="20"/>
                <w:szCs w:val="20"/>
              </w:rPr>
            </w:pPr>
            <w:r w:rsidRPr="00F07779">
              <w:rPr>
                <w:sz w:val="20"/>
                <w:szCs w:val="20"/>
              </w:rPr>
              <w:t>Title</w:t>
            </w:r>
          </w:p>
        </w:tc>
        <w:tc>
          <w:tcPr>
            <w:tcW w:w="442" w:type="pct"/>
            <w:vMerge w:val="restart"/>
            <w:vAlign w:val="center"/>
          </w:tcPr>
          <w:p w14:paraId="478BBADB" w14:textId="77777777" w:rsidR="00435778" w:rsidRPr="00F07779" w:rsidRDefault="00435778" w:rsidP="005E3573">
            <w:pPr>
              <w:snapToGrid w:val="0"/>
              <w:jc w:val="center"/>
              <w:rPr>
                <w:sz w:val="20"/>
                <w:szCs w:val="20"/>
              </w:rPr>
            </w:pPr>
            <w:r w:rsidRPr="00F07779">
              <w:rPr>
                <w:sz w:val="20"/>
                <w:szCs w:val="20"/>
              </w:rPr>
              <w:t>Type*</w:t>
            </w:r>
          </w:p>
        </w:tc>
        <w:tc>
          <w:tcPr>
            <w:tcW w:w="3213" w:type="pct"/>
            <w:gridSpan w:val="6"/>
            <w:vAlign w:val="center"/>
          </w:tcPr>
          <w:p w14:paraId="568C3920" w14:textId="77777777" w:rsidR="00435778" w:rsidRPr="00F07779" w:rsidRDefault="00435778" w:rsidP="005E3573">
            <w:pPr>
              <w:snapToGrid w:val="0"/>
              <w:jc w:val="center"/>
              <w:rPr>
                <w:sz w:val="20"/>
                <w:szCs w:val="20"/>
              </w:rPr>
            </w:pPr>
            <w:r w:rsidRPr="00F07779">
              <w:rPr>
                <w:sz w:val="20"/>
                <w:szCs w:val="20"/>
              </w:rPr>
              <w:t>Corresponding Investment Values***</w:t>
            </w:r>
          </w:p>
        </w:tc>
      </w:tr>
      <w:tr w:rsidR="00435778" w:rsidRPr="00F07779" w14:paraId="75D24718" w14:textId="77777777" w:rsidTr="005E3573">
        <w:tc>
          <w:tcPr>
            <w:tcW w:w="1345" w:type="pct"/>
            <w:vMerge/>
            <w:vAlign w:val="center"/>
          </w:tcPr>
          <w:p w14:paraId="12B17C32" w14:textId="77777777" w:rsidR="00435778" w:rsidRPr="00F07779" w:rsidRDefault="00435778" w:rsidP="005E3573">
            <w:pPr>
              <w:snapToGrid w:val="0"/>
              <w:jc w:val="center"/>
              <w:rPr>
                <w:sz w:val="20"/>
                <w:szCs w:val="20"/>
              </w:rPr>
            </w:pPr>
          </w:p>
        </w:tc>
        <w:tc>
          <w:tcPr>
            <w:tcW w:w="442" w:type="pct"/>
            <w:vMerge/>
            <w:vAlign w:val="center"/>
          </w:tcPr>
          <w:p w14:paraId="3DF64309" w14:textId="77777777" w:rsidR="00435778" w:rsidRPr="00F07779" w:rsidRDefault="00435778" w:rsidP="005E3573">
            <w:pPr>
              <w:snapToGrid w:val="0"/>
              <w:jc w:val="center"/>
              <w:rPr>
                <w:sz w:val="20"/>
                <w:szCs w:val="20"/>
              </w:rPr>
            </w:pPr>
          </w:p>
        </w:tc>
        <w:tc>
          <w:tcPr>
            <w:tcW w:w="487" w:type="pct"/>
            <w:vAlign w:val="center"/>
          </w:tcPr>
          <w:p w14:paraId="2B7684F1" w14:textId="77777777" w:rsidR="00435778" w:rsidRPr="00F07779" w:rsidRDefault="00435778" w:rsidP="005E3573">
            <w:pPr>
              <w:snapToGrid w:val="0"/>
              <w:jc w:val="center"/>
              <w:rPr>
                <w:sz w:val="20"/>
                <w:szCs w:val="20"/>
              </w:rPr>
            </w:pPr>
            <w:r w:rsidRPr="00F07779">
              <w:rPr>
                <w:sz w:val="20"/>
                <w:szCs w:val="20"/>
              </w:rPr>
              <w:t>Year</w:t>
            </w:r>
          </w:p>
        </w:tc>
        <w:tc>
          <w:tcPr>
            <w:tcW w:w="895" w:type="pct"/>
            <w:vAlign w:val="center"/>
          </w:tcPr>
          <w:p w14:paraId="7CD6CEC4" w14:textId="77777777" w:rsidR="00435778" w:rsidRPr="00F07779" w:rsidRDefault="00435778" w:rsidP="005E3573">
            <w:pPr>
              <w:snapToGrid w:val="0"/>
              <w:jc w:val="center"/>
              <w:rPr>
                <w:sz w:val="20"/>
                <w:szCs w:val="20"/>
              </w:rPr>
            </w:pPr>
            <w:r w:rsidRPr="00F07779">
              <w:rPr>
                <w:sz w:val="20"/>
                <w:szCs w:val="20"/>
              </w:rPr>
              <w:t>RS Budget</w:t>
            </w:r>
          </w:p>
        </w:tc>
        <w:tc>
          <w:tcPr>
            <w:tcW w:w="895" w:type="pct"/>
            <w:gridSpan w:val="2"/>
            <w:vAlign w:val="center"/>
          </w:tcPr>
          <w:p w14:paraId="57C71E67" w14:textId="77777777" w:rsidR="00435778" w:rsidRPr="00F07779" w:rsidRDefault="00435778" w:rsidP="005E3573">
            <w:pPr>
              <w:snapToGrid w:val="0"/>
              <w:jc w:val="center"/>
              <w:rPr>
                <w:sz w:val="20"/>
                <w:szCs w:val="20"/>
              </w:rPr>
            </w:pPr>
            <w:r w:rsidRPr="00F07779">
              <w:rPr>
                <w:sz w:val="20"/>
                <w:szCs w:val="20"/>
              </w:rPr>
              <w:t>Own funds</w:t>
            </w:r>
          </w:p>
        </w:tc>
        <w:tc>
          <w:tcPr>
            <w:tcW w:w="936" w:type="pct"/>
            <w:gridSpan w:val="2"/>
            <w:vAlign w:val="center"/>
          </w:tcPr>
          <w:p w14:paraId="0CE63029" w14:textId="77777777" w:rsidR="00435778" w:rsidRPr="00F07779" w:rsidRDefault="00435778" w:rsidP="005E3573">
            <w:pPr>
              <w:snapToGrid w:val="0"/>
              <w:jc w:val="center"/>
              <w:rPr>
                <w:sz w:val="20"/>
                <w:szCs w:val="20"/>
              </w:rPr>
            </w:pPr>
            <w:r w:rsidRPr="00F07779">
              <w:rPr>
                <w:sz w:val="20"/>
                <w:szCs w:val="20"/>
              </w:rPr>
              <w:t>Other sources**</w:t>
            </w:r>
          </w:p>
        </w:tc>
      </w:tr>
      <w:tr w:rsidR="00435778" w:rsidRPr="00F07779" w14:paraId="7B4AEDC2" w14:textId="77777777" w:rsidTr="005E3573">
        <w:trPr>
          <w:trHeight w:val="826"/>
        </w:trPr>
        <w:tc>
          <w:tcPr>
            <w:tcW w:w="1345" w:type="pct"/>
            <w:vAlign w:val="center"/>
          </w:tcPr>
          <w:p w14:paraId="1EFE5862" w14:textId="77777777" w:rsidR="00435778" w:rsidRPr="00F07779" w:rsidRDefault="00435778" w:rsidP="005E3573">
            <w:pPr>
              <w:snapToGrid w:val="0"/>
              <w:jc w:val="center"/>
              <w:rPr>
                <w:sz w:val="20"/>
                <w:szCs w:val="20"/>
              </w:rPr>
            </w:pPr>
            <w:r w:rsidRPr="00F07779">
              <w:rPr>
                <w:sz w:val="20"/>
                <w:szCs w:val="20"/>
              </w:rPr>
              <w:t>G1 - Expansion of existing and construction of new storage facilities</w:t>
            </w:r>
          </w:p>
        </w:tc>
        <w:tc>
          <w:tcPr>
            <w:tcW w:w="442" w:type="pct"/>
            <w:vAlign w:val="center"/>
          </w:tcPr>
          <w:p w14:paraId="1E917A66" w14:textId="77777777" w:rsidR="00435778" w:rsidRPr="00F07779" w:rsidRDefault="00435778" w:rsidP="005E3573">
            <w:pPr>
              <w:snapToGrid w:val="0"/>
              <w:jc w:val="center"/>
              <w:rPr>
                <w:sz w:val="20"/>
                <w:szCs w:val="20"/>
              </w:rPr>
            </w:pPr>
            <w:r w:rsidRPr="00F07779">
              <w:rPr>
                <w:sz w:val="20"/>
                <w:szCs w:val="20"/>
              </w:rPr>
              <w:t>Inv</w:t>
            </w:r>
          </w:p>
        </w:tc>
        <w:tc>
          <w:tcPr>
            <w:tcW w:w="487" w:type="pct"/>
            <w:vAlign w:val="center"/>
          </w:tcPr>
          <w:p w14:paraId="4E1169E1" w14:textId="77777777" w:rsidR="00435778" w:rsidRPr="00F07779" w:rsidRDefault="00435778" w:rsidP="005E3573">
            <w:pPr>
              <w:snapToGrid w:val="0"/>
              <w:jc w:val="center"/>
              <w:rPr>
                <w:sz w:val="20"/>
                <w:szCs w:val="20"/>
              </w:rPr>
            </w:pPr>
            <w:r w:rsidRPr="00F07779">
              <w:rPr>
                <w:sz w:val="20"/>
                <w:szCs w:val="20"/>
              </w:rPr>
              <w:t>2026</w:t>
            </w:r>
          </w:p>
        </w:tc>
        <w:tc>
          <w:tcPr>
            <w:tcW w:w="895" w:type="pct"/>
            <w:tcMar>
              <w:left w:w="28" w:type="dxa"/>
              <w:right w:w="28" w:type="dxa"/>
            </w:tcMar>
            <w:vAlign w:val="center"/>
          </w:tcPr>
          <w:p w14:paraId="0D17B9E1" w14:textId="37542DD3" w:rsidR="00435778" w:rsidRPr="00F07779" w:rsidRDefault="00435778" w:rsidP="005E3573">
            <w:pPr>
              <w:jc w:val="center"/>
              <w:rPr>
                <w:sz w:val="20"/>
                <w:szCs w:val="20"/>
              </w:rPr>
            </w:pPr>
            <w:r w:rsidRPr="00F07779">
              <w:rPr>
                <w:sz w:val="20"/>
                <w:szCs w:val="20"/>
              </w:rPr>
              <w:t xml:space="preserve">145 </w:t>
            </w:r>
            <w:proofErr w:type="gramStart"/>
            <w:r w:rsidRPr="00F07779">
              <w:rPr>
                <w:sz w:val="20"/>
                <w:szCs w:val="20"/>
              </w:rPr>
              <w:t>mill</w:t>
            </w:r>
            <w:proofErr w:type="gramEnd"/>
            <w:r w:rsidR="007C5835" w:rsidRPr="00F07779">
              <w:rPr>
                <w:sz w:val="20"/>
                <w:szCs w:val="20"/>
              </w:rPr>
              <w:t>.</w:t>
            </w:r>
            <w:r w:rsidRPr="00F07779">
              <w:rPr>
                <w:sz w:val="20"/>
                <w:szCs w:val="20"/>
              </w:rPr>
              <w:t xml:space="preserve"> EUR</w:t>
            </w:r>
          </w:p>
          <w:p w14:paraId="624297BF" w14:textId="5BB117B5" w:rsidR="00435778" w:rsidRPr="00F07779" w:rsidRDefault="00435778" w:rsidP="005E3573">
            <w:pPr>
              <w:jc w:val="center"/>
              <w:rPr>
                <w:sz w:val="20"/>
                <w:szCs w:val="20"/>
              </w:rPr>
            </w:pPr>
            <w:r w:rsidRPr="00F07779">
              <w:rPr>
                <w:sz w:val="20"/>
                <w:szCs w:val="20"/>
              </w:rPr>
              <w:t>17</w:t>
            </w:r>
            <w:r w:rsidR="007C5835" w:rsidRPr="00F07779">
              <w:rPr>
                <w:sz w:val="20"/>
                <w:szCs w:val="20"/>
              </w:rPr>
              <w:t>,</w:t>
            </w:r>
            <w:r w:rsidRPr="00F07779">
              <w:rPr>
                <w:sz w:val="20"/>
                <w:szCs w:val="20"/>
              </w:rPr>
              <w:t xml:space="preserve">001 </w:t>
            </w:r>
            <w:proofErr w:type="gramStart"/>
            <w:r w:rsidRPr="00F07779">
              <w:rPr>
                <w:sz w:val="20"/>
                <w:szCs w:val="20"/>
              </w:rPr>
              <w:t>mill</w:t>
            </w:r>
            <w:proofErr w:type="gramEnd"/>
            <w:r w:rsidRPr="00F07779">
              <w:rPr>
                <w:sz w:val="20"/>
                <w:szCs w:val="20"/>
              </w:rPr>
              <w:t>.</w:t>
            </w:r>
            <w:r w:rsidR="0010715F" w:rsidRPr="00F07779">
              <w:rPr>
                <w:sz w:val="20"/>
                <w:szCs w:val="20"/>
              </w:rPr>
              <w:t xml:space="preserve"> </w:t>
            </w:r>
            <w:r w:rsidRPr="00F07779">
              <w:rPr>
                <w:sz w:val="20"/>
                <w:szCs w:val="20"/>
              </w:rPr>
              <w:t>RSD</w:t>
            </w:r>
          </w:p>
        </w:tc>
        <w:tc>
          <w:tcPr>
            <w:tcW w:w="895" w:type="pct"/>
            <w:gridSpan w:val="2"/>
            <w:tcMar>
              <w:left w:w="28" w:type="dxa"/>
              <w:right w:w="28" w:type="dxa"/>
            </w:tcMar>
            <w:vAlign w:val="center"/>
          </w:tcPr>
          <w:p w14:paraId="2FC45E44" w14:textId="77777777" w:rsidR="00435778" w:rsidRPr="00F07779" w:rsidRDefault="00435778" w:rsidP="005E3573">
            <w:pPr>
              <w:snapToGrid w:val="0"/>
              <w:jc w:val="center"/>
              <w:rPr>
                <w:sz w:val="20"/>
                <w:szCs w:val="20"/>
              </w:rPr>
            </w:pPr>
            <w:r w:rsidRPr="00F07779">
              <w:rPr>
                <w:sz w:val="20"/>
                <w:szCs w:val="20"/>
              </w:rPr>
              <w:t>-</w:t>
            </w:r>
          </w:p>
        </w:tc>
        <w:tc>
          <w:tcPr>
            <w:tcW w:w="936" w:type="pct"/>
            <w:gridSpan w:val="2"/>
            <w:tcMar>
              <w:left w:w="28" w:type="dxa"/>
              <w:right w:w="28" w:type="dxa"/>
            </w:tcMar>
            <w:vAlign w:val="center"/>
          </w:tcPr>
          <w:p w14:paraId="1B61356A" w14:textId="77777777" w:rsidR="00435778" w:rsidRPr="00F07779" w:rsidRDefault="00435778" w:rsidP="005E3573">
            <w:pPr>
              <w:snapToGrid w:val="0"/>
              <w:jc w:val="center"/>
              <w:rPr>
                <w:sz w:val="20"/>
                <w:szCs w:val="20"/>
              </w:rPr>
            </w:pPr>
            <w:r w:rsidRPr="00F07779">
              <w:rPr>
                <w:sz w:val="20"/>
                <w:szCs w:val="20"/>
              </w:rPr>
              <w:t>-</w:t>
            </w:r>
          </w:p>
        </w:tc>
      </w:tr>
      <w:tr w:rsidR="00435778" w:rsidRPr="00F07779" w14:paraId="1CD57284" w14:textId="77777777" w:rsidTr="005E3573">
        <w:trPr>
          <w:trHeight w:val="93"/>
        </w:trPr>
        <w:tc>
          <w:tcPr>
            <w:tcW w:w="1345" w:type="pct"/>
            <w:vMerge w:val="restart"/>
            <w:vAlign w:val="center"/>
          </w:tcPr>
          <w:p w14:paraId="04902BE8" w14:textId="0DAEA3B1" w:rsidR="00435778" w:rsidRPr="00F07779" w:rsidRDefault="00435778" w:rsidP="005E3573">
            <w:pPr>
              <w:snapToGrid w:val="0"/>
              <w:jc w:val="center"/>
              <w:rPr>
                <w:sz w:val="20"/>
                <w:szCs w:val="20"/>
              </w:rPr>
            </w:pPr>
            <w:r w:rsidRPr="00F07779">
              <w:rPr>
                <w:sz w:val="20"/>
                <w:szCs w:val="20"/>
              </w:rPr>
              <w:t xml:space="preserve">G2 - Interconnections with neighboring </w:t>
            </w:r>
            <w:r w:rsidR="008076AB" w:rsidRPr="00F07779">
              <w:rPr>
                <w:sz w:val="20"/>
                <w:szCs w:val="20"/>
              </w:rPr>
              <w:t>transport</w:t>
            </w:r>
            <w:r w:rsidR="00034449" w:rsidRPr="00F07779">
              <w:rPr>
                <w:sz w:val="20"/>
                <w:szCs w:val="20"/>
              </w:rPr>
              <w:t xml:space="preserve"> </w:t>
            </w:r>
            <w:r w:rsidRPr="00F07779">
              <w:rPr>
                <w:sz w:val="20"/>
                <w:szCs w:val="20"/>
              </w:rPr>
              <w:t>systems</w:t>
            </w:r>
          </w:p>
        </w:tc>
        <w:tc>
          <w:tcPr>
            <w:tcW w:w="442" w:type="pct"/>
            <w:vMerge w:val="restart"/>
            <w:vAlign w:val="center"/>
          </w:tcPr>
          <w:p w14:paraId="29F123A5" w14:textId="77777777" w:rsidR="00435778" w:rsidRPr="00F07779" w:rsidRDefault="00435778" w:rsidP="005E3573">
            <w:pPr>
              <w:snapToGrid w:val="0"/>
              <w:jc w:val="center"/>
              <w:rPr>
                <w:b/>
                <w:bCs/>
                <w:sz w:val="20"/>
                <w:szCs w:val="20"/>
              </w:rPr>
            </w:pPr>
            <w:r w:rsidRPr="00F07779">
              <w:rPr>
                <w:sz w:val="20"/>
                <w:szCs w:val="20"/>
              </w:rPr>
              <w:t>Inv</w:t>
            </w:r>
          </w:p>
        </w:tc>
        <w:tc>
          <w:tcPr>
            <w:tcW w:w="487" w:type="pct"/>
            <w:vAlign w:val="center"/>
          </w:tcPr>
          <w:p w14:paraId="22F14BE8" w14:textId="77777777" w:rsidR="00435778" w:rsidRPr="00F07779" w:rsidRDefault="00435778" w:rsidP="005E3573">
            <w:pPr>
              <w:snapToGrid w:val="0"/>
              <w:jc w:val="center"/>
              <w:rPr>
                <w:sz w:val="20"/>
                <w:szCs w:val="20"/>
              </w:rPr>
            </w:pPr>
            <w:r w:rsidRPr="00F07779">
              <w:rPr>
                <w:sz w:val="20"/>
                <w:szCs w:val="20"/>
              </w:rPr>
              <w:t>2026</w:t>
            </w:r>
          </w:p>
        </w:tc>
        <w:tc>
          <w:tcPr>
            <w:tcW w:w="895" w:type="pct"/>
            <w:vMerge w:val="restart"/>
            <w:tcMar>
              <w:left w:w="28" w:type="dxa"/>
              <w:right w:w="28" w:type="dxa"/>
            </w:tcMar>
            <w:vAlign w:val="center"/>
          </w:tcPr>
          <w:p w14:paraId="1DF9CA64" w14:textId="33E762E8" w:rsidR="00435778" w:rsidRPr="00F07779" w:rsidRDefault="00435778" w:rsidP="005E3573">
            <w:pPr>
              <w:snapToGrid w:val="0"/>
              <w:jc w:val="center"/>
              <w:rPr>
                <w:sz w:val="20"/>
                <w:szCs w:val="20"/>
              </w:rPr>
            </w:pPr>
            <w:r w:rsidRPr="00F07779">
              <w:rPr>
                <w:sz w:val="20"/>
                <w:szCs w:val="20"/>
              </w:rPr>
              <w:t xml:space="preserve">54 </w:t>
            </w:r>
            <w:r w:rsidR="007C5835" w:rsidRPr="00F07779">
              <w:rPr>
                <w:sz w:val="20"/>
                <w:szCs w:val="20"/>
              </w:rPr>
              <w:t>mil</w:t>
            </w:r>
            <w:r w:rsidRPr="00F07779">
              <w:rPr>
                <w:sz w:val="20"/>
                <w:szCs w:val="20"/>
              </w:rPr>
              <w:t>. EUR 6</w:t>
            </w:r>
            <w:r w:rsidR="007C5835" w:rsidRPr="00F07779">
              <w:rPr>
                <w:sz w:val="20"/>
                <w:szCs w:val="20"/>
              </w:rPr>
              <w:t>,</w:t>
            </w:r>
            <w:r w:rsidRPr="00F07779">
              <w:rPr>
                <w:sz w:val="20"/>
                <w:szCs w:val="20"/>
              </w:rPr>
              <w:t>331</w:t>
            </w:r>
            <w:r w:rsidR="007C5835" w:rsidRPr="00F07779">
              <w:rPr>
                <w:sz w:val="20"/>
                <w:szCs w:val="20"/>
              </w:rPr>
              <w:t>.</w:t>
            </w:r>
            <w:r w:rsidRPr="00F07779">
              <w:rPr>
                <w:sz w:val="20"/>
                <w:szCs w:val="20"/>
              </w:rPr>
              <w:t>5 mill.</w:t>
            </w:r>
            <w:r w:rsidR="0010715F" w:rsidRPr="00F07779">
              <w:rPr>
                <w:sz w:val="20"/>
                <w:szCs w:val="20"/>
              </w:rPr>
              <w:t xml:space="preserve"> </w:t>
            </w:r>
            <w:r w:rsidRPr="00F07779">
              <w:rPr>
                <w:sz w:val="20"/>
                <w:szCs w:val="20"/>
              </w:rPr>
              <w:t>RSD</w:t>
            </w:r>
          </w:p>
        </w:tc>
        <w:tc>
          <w:tcPr>
            <w:tcW w:w="895" w:type="pct"/>
            <w:gridSpan w:val="2"/>
            <w:vMerge w:val="restart"/>
            <w:tcMar>
              <w:left w:w="28" w:type="dxa"/>
              <w:right w:w="28" w:type="dxa"/>
            </w:tcMar>
            <w:vAlign w:val="center"/>
          </w:tcPr>
          <w:p w14:paraId="12D62045" w14:textId="77777777" w:rsidR="00435778" w:rsidRPr="00F07779" w:rsidRDefault="00435778" w:rsidP="005E3573">
            <w:pPr>
              <w:snapToGrid w:val="0"/>
              <w:jc w:val="center"/>
              <w:rPr>
                <w:sz w:val="20"/>
                <w:szCs w:val="20"/>
              </w:rPr>
            </w:pPr>
            <w:r w:rsidRPr="00F07779">
              <w:rPr>
                <w:sz w:val="20"/>
                <w:szCs w:val="20"/>
              </w:rPr>
              <w:t>-</w:t>
            </w:r>
          </w:p>
        </w:tc>
        <w:tc>
          <w:tcPr>
            <w:tcW w:w="936" w:type="pct"/>
            <w:gridSpan w:val="2"/>
            <w:vMerge w:val="restart"/>
            <w:tcMar>
              <w:left w:w="28" w:type="dxa"/>
              <w:right w:w="28" w:type="dxa"/>
            </w:tcMar>
            <w:vAlign w:val="center"/>
          </w:tcPr>
          <w:p w14:paraId="3BA0A48C" w14:textId="77777777" w:rsidR="00435778" w:rsidRPr="00F07779" w:rsidRDefault="00435778" w:rsidP="005E3573">
            <w:pPr>
              <w:snapToGrid w:val="0"/>
              <w:jc w:val="center"/>
              <w:rPr>
                <w:sz w:val="20"/>
                <w:szCs w:val="20"/>
              </w:rPr>
            </w:pPr>
            <w:r w:rsidRPr="00F07779">
              <w:rPr>
                <w:sz w:val="20"/>
                <w:szCs w:val="20"/>
              </w:rPr>
              <w:t>-</w:t>
            </w:r>
          </w:p>
        </w:tc>
      </w:tr>
      <w:tr w:rsidR="00435778" w:rsidRPr="00F07779" w14:paraId="5CD351F2" w14:textId="77777777" w:rsidTr="005E3573">
        <w:trPr>
          <w:trHeight w:val="92"/>
        </w:trPr>
        <w:tc>
          <w:tcPr>
            <w:tcW w:w="1345" w:type="pct"/>
            <w:vMerge/>
            <w:vAlign w:val="center"/>
          </w:tcPr>
          <w:p w14:paraId="4396FBC2" w14:textId="77777777" w:rsidR="00435778" w:rsidRPr="00F07779" w:rsidRDefault="00435778" w:rsidP="005E3573">
            <w:pPr>
              <w:snapToGrid w:val="0"/>
              <w:jc w:val="center"/>
              <w:rPr>
                <w:sz w:val="20"/>
                <w:szCs w:val="20"/>
              </w:rPr>
            </w:pPr>
          </w:p>
        </w:tc>
        <w:tc>
          <w:tcPr>
            <w:tcW w:w="442" w:type="pct"/>
            <w:vMerge/>
            <w:vAlign w:val="center"/>
          </w:tcPr>
          <w:p w14:paraId="12451819" w14:textId="77777777" w:rsidR="00435778" w:rsidRPr="00F07779" w:rsidRDefault="00435778" w:rsidP="005E3573">
            <w:pPr>
              <w:snapToGrid w:val="0"/>
              <w:jc w:val="center"/>
              <w:rPr>
                <w:sz w:val="20"/>
                <w:szCs w:val="20"/>
              </w:rPr>
            </w:pPr>
          </w:p>
        </w:tc>
        <w:tc>
          <w:tcPr>
            <w:tcW w:w="487" w:type="pct"/>
            <w:vAlign w:val="center"/>
          </w:tcPr>
          <w:p w14:paraId="7FBA29A8" w14:textId="77777777" w:rsidR="00435778" w:rsidRPr="00F07779" w:rsidRDefault="00435778" w:rsidP="005E3573">
            <w:pPr>
              <w:snapToGrid w:val="0"/>
              <w:jc w:val="center"/>
              <w:rPr>
                <w:sz w:val="20"/>
                <w:szCs w:val="20"/>
              </w:rPr>
            </w:pPr>
            <w:r w:rsidRPr="00F07779">
              <w:rPr>
                <w:sz w:val="20"/>
                <w:szCs w:val="20"/>
              </w:rPr>
              <w:t>2027</w:t>
            </w:r>
          </w:p>
        </w:tc>
        <w:tc>
          <w:tcPr>
            <w:tcW w:w="895" w:type="pct"/>
            <w:vMerge/>
            <w:tcMar>
              <w:left w:w="28" w:type="dxa"/>
              <w:right w:w="28" w:type="dxa"/>
            </w:tcMar>
            <w:vAlign w:val="center"/>
          </w:tcPr>
          <w:p w14:paraId="23DD032D" w14:textId="77777777" w:rsidR="00435778" w:rsidRPr="00F07779" w:rsidRDefault="00435778" w:rsidP="005E3573">
            <w:pPr>
              <w:snapToGrid w:val="0"/>
              <w:jc w:val="center"/>
              <w:rPr>
                <w:sz w:val="20"/>
                <w:szCs w:val="20"/>
              </w:rPr>
            </w:pPr>
          </w:p>
        </w:tc>
        <w:tc>
          <w:tcPr>
            <w:tcW w:w="895" w:type="pct"/>
            <w:gridSpan w:val="2"/>
            <w:vMerge/>
            <w:tcMar>
              <w:left w:w="28" w:type="dxa"/>
              <w:right w:w="28" w:type="dxa"/>
            </w:tcMar>
            <w:vAlign w:val="center"/>
          </w:tcPr>
          <w:p w14:paraId="70CF939C" w14:textId="77777777" w:rsidR="00435778" w:rsidRPr="00F07779" w:rsidRDefault="00435778" w:rsidP="005E3573">
            <w:pPr>
              <w:snapToGrid w:val="0"/>
              <w:jc w:val="center"/>
              <w:rPr>
                <w:sz w:val="20"/>
                <w:szCs w:val="20"/>
              </w:rPr>
            </w:pPr>
          </w:p>
        </w:tc>
        <w:tc>
          <w:tcPr>
            <w:tcW w:w="936" w:type="pct"/>
            <w:gridSpan w:val="2"/>
            <w:vMerge/>
            <w:tcMar>
              <w:left w:w="28" w:type="dxa"/>
              <w:right w:w="28" w:type="dxa"/>
            </w:tcMar>
            <w:vAlign w:val="center"/>
          </w:tcPr>
          <w:p w14:paraId="665EC5B3" w14:textId="77777777" w:rsidR="00435778" w:rsidRPr="00F07779" w:rsidRDefault="00435778" w:rsidP="005E3573">
            <w:pPr>
              <w:snapToGrid w:val="0"/>
              <w:jc w:val="center"/>
              <w:rPr>
                <w:sz w:val="20"/>
                <w:szCs w:val="20"/>
              </w:rPr>
            </w:pPr>
          </w:p>
        </w:tc>
      </w:tr>
      <w:tr w:rsidR="00435778" w:rsidRPr="00F07779" w14:paraId="38C4CA02" w14:textId="77777777" w:rsidTr="005E3573">
        <w:trPr>
          <w:trHeight w:val="92"/>
        </w:trPr>
        <w:tc>
          <w:tcPr>
            <w:tcW w:w="1345" w:type="pct"/>
            <w:vMerge/>
            <w:vAlign w:val="center"/>
          </w:tcPr>
          <w:p w14:paraId="31FB9CAA" w14:textId="77777777" w:rsidR="00435778" w:rsidRPr="00F07779" w:rsidRDefault="00435778" w:rsidP="005E3573">
            <w:pPr>
              <w:snapToGrid w:val="0"/>
              <w:jc w:val="center"/>
              <w:rPr>
                <w:sz w:val="20"/>
                <w:szCs w:val="20"/>
              </w:rPr>
            </w:pPr>
          </w:p>
        </w:tc>
        <w:tc>
          <w:tcPr>
            <w:tcW w:w="442" w:type="pct"/>
            <w:vMerge/>
            <w:vAlign w:val="center"/>
          </w:tcPr>
          <w:p w14:paraId="1CB5E0E1" w14:textId="77777777" w:rsidR="00435778" w:rsidRPr="00F07779" w:rsidRDefault="00435778" w:rsidP="005E3573">
            <w:pPr>
              <w:snapToGrid w:val="0"/>
              <w:jc w:val="center"/>
              <w:rPr>
                <w:sz w:val="20"/>
                <w:szCs w:val="20"/>
              </w:rPr>
            </w:pPr>
          </w:p>
        </w:tc>
        <w:tc>
          <w:tcPr>
            <w:tcW w:w="487" w:type="pct"/>
            <w:vAlign w:val="center"/>
          </w:tcPr>
          <w:p w14:paraId="0880D748" w14:textId="77777777" w:rsidR="00435778" w:rsidRPr="00F07779" w:rsidRDefault="00435778" w:rsidP="005E3573">
            <w:pPr>
              <w:snapToGrid w:val="0"/>
              <w:jc w:val="center"/>
              <w:rPr>
                <w:sz w:val="20"/>
                <w:szCs w:val="20"/>
              </w:rPr>
            </w:pPr>
            <w:r w:rsidRPr="00F07779">
              <w:rPr>
                <w:sz w:val="20"/>
                <w:szCs w:val="20"/>
              </w:rPr>
              <w:t>2028</w:t>
            </w:r>
          </w:p>
        </w:tc>
        <w:tc>
          <w:tcPr>
            <w:tcW w:w="895" w:type="pct"/>
            <w:vMerge/>
            <w:tcMar>
              <w:left w:w="28" w:type="dxa"/>
              <w:right w:w="28" w:type="dxa"/>
            </w:tcMar>
            <w:vAlign w:val="center"/>
          </w:tcPr>
          <w:p w14:paraId="51CF99D5" w14:textId="77777777" w:rsidR="00435778" w:rsidRPr="00F07779" w:rsidRDefault="00435778" w:rsidP="005E3573">
            <w:pPr>
              <w:snapToGrid w:val="0"/>
              <w:jc w:val="center"/>
              <w:rPr>
                <w:sz w:val="20"/>
                <w:szCs w:val="20"/>
              </w:rPr>
            </w:pPr>
          </w:p>
        </w:tc>
        <w:tc>
          <w:tcPr>
            <w:tcW w:w="895" w:type="pct"/>
            <w:gridSpan w:val="2"/>
            <w:vMerge/>
            <w:tcMar>
              <w:left w:w="28" w:type="dxa"/>
              <w:right w:w="28" w:type="dxa"/>
            </w:tcMar>
            <w:vAlign w:val="center"/>
          </w:tcPr>
          <w:p w14:paraId="244D4E75" w14:textId="77777777" w:rsidR="00435778" w:rsidRPr="00F07779" w:rsidRDefault="00435778" w:rsidP="005E3573">
            <w:pPr>
              <w:snapToGrid w:val="0"/>
              <w:jc w:val="center"/>
              <w:rPr>
                <w:sz w:val="20"/>
                <w:szCs w:val="20"/>
              </w:rPr>
            </w:pPr>
          </w:p>
        </w:tc>
        <w:tc>
          <w:tcPr>
            <w:tcW w:w="936" w:type="pct"/>
            <w:gridSpan w:val="2"/>
            <w:vMerge/>
            <w:tcMar>
              <w:left w:w="28" w:type="dxa"/>
              <w:right w:w="28" w:type="dxa"/>
            </w:tcMar>
            <w:vAlign w:val="center"/>
          </w:tcPr>
          <w:p w14:paraId="44C79C52" w14:textId="77777777" w:rsidR="00435778" w:rsidRPr="00F07779" w:rsidRDefault="00435778" w:rsidP="005E3573">
            <w:pPr>
              <w:snapToGrid w:val="0"/>
              <w:jc w:val="center"/>
              <w:rPr>
                <w:sz w:val="20"/>
                <w:szCs w:val="20"/>
              </w:rPr>
            </w:pPr>
          </w:p>
        </w:tc>
      </w:tr>
      <w:tr w:rsidR="00435778" w:rsidRPr="00F07779" w14:paraId="6A9E3A52" w14:textId="77777777" w:rsidTr="005E3573">
        <w:trPr>
          <w:trHeight w:val="710"/>
        </w:trPr>
        <w:tc>
          <w:tcPr>
            <w:tcW w:w="1345" w:type="pct"/>
            <w:vAlign w:val="center"/>
          </w:tcPr>
          <w:p w14:paraId="70868EDB" w14:textId="77777777" w:rsidR="00435778" w:rsidRPr="00F07779" w:rsidRDefault="00435778" w:rsidP="005E3573">
            <w:pPr>
              <w:snapToGrid w:val="0"/>
              <w:jc w:val="center"/>
              <w:rPr>
                <w:sz w:val="20"/>
                <w:szCs w:val="20"/>
              </w:rPr>
            </w:pPr>
            <w:r w:rsidRPr="00F07779">
              <w:rPr>
                <w:sz w:val="20"/>
                <w:szCs w:val="20"/>
              </w:rPr>
              <w:t>G3 – Preventive maintenance and rehabilitation of existing gas pipelines</w:t>
            </w:r>
          </w:p>
        </w:tc>
        <w:tc>
          <w:tcPr>
            <w:tcW w:w="442" w:type="pct"/>
            <w:vAlign w:val="center"/>
          </w:tcPr>
          <w:p w14:paraId="7523697B" w14:textId="77777777" w:rsidR="00435778" w:rsidRPr="00F07779" w:rsidRDefault="00435778" w:rsidP="005E3573">
            <w:pPr>
              <w:snapToGrid w:val="0"/>
              <w:jc w:val="center"/>
              <w:rPr>
                <w:sz w:val="20"/>
                <w:szCs w:val="20"/>
              </w:rPr>
            </w:pPr>
            <w:r w:rsidRPr="00F07779">
              <w:rPr>
                <w:sz w:val="20"/>
                <w:szCs w:val="20"/>
              </w:rPr>
              <w:t>Inv</w:t>
            </w:r>
          </w:p>
        </w:tc>
        <w:tc>
          <w:tcPr>
            <w:tcW w:w="487" w:type="pct"/>
            <w:vAlign w:val="center"/>
          </w:tcPr>
          <w:p w14:paraId="6A9292AF" w14:textId="77777777" w:rsidR="00435778" w:rsidRPr="00F07779" w:rsidRDefault="00435778" w:rsidP="005E3573">
            <w:pPr>
              <w:snapToGrid w:val="0"/>
              <w:jc w:val="center"/>
              <w:rPr>
                <w:sz w:val="20"/>
                <w:szCs w:val="20"/>
              </w:rPr>
            </w:pPr>
            <w:r w:rsidRPr="00F07779">
              <w:rPr>
                <w:sz w:val="20"/>
                <w:szCs w:val="20"/>
              </w:rPr>
              <w:t>2026</w:t>
            </w:r>
          </w:p>
        </w:tc>
        <w:tc>
          <w:tcPr>
            <w:tcW w:w="895" w:type="pct"/>
            <w:tcMar>
              <w:left w:w="28" w:type="dxa"/>
              <w:right w:w="28" w:type="dxa"/>
            </w:tcMar>
            <w:vAlign w:val="center"/>
          </w:tcPr>
          <w:p w14:paraId="14123F49" w14:textId="77777777" w:rsidR="00435778" w:rsidRPr="00F07779" w:rsidRDefault="00435778" w:rsidP="005E3573">
            <w:pPr>
              <w:snapToGrid w:val="0"/>
              <w:jc w:val="center"/>
              <w:rPr>
                <w:sz w:val="20"/>
                <w:szCs w:val="20"/>
              </w:rPr>
            </w:pPr>
            <w:r w:rsidRPr="00F07779">
              <w:rPr>
                <w:sz w:val="20"/>
                <w:szCs w:val="20"/>
              </w:rPr>
              <w:t>-</w:t>
            </w:r>
          </w:p>
        </w:tc>
        <w:tc>
          <w:tcPr>
            <w:tcW w:w="895" w:type="pct"/>
            <w:gridSpan w:val="2"/>
            <w:tcMar>
              <w:left w:w="28" w:type="dxa"/>
              <w:right w:w="28" w:type="dxa"/>
            </w:tcMar>
            <w:vAlign w:val="center"/>
          </w:tcPr>
          <w:p w14:paraId="1B1282BA" w14:textId="7297B6CB" w:rsidR="00435778" w:rsidRPr="00F07779" w:rsidRDefault="00742D66" w:rsidP="005E3573">
            <w:pPr>
              <w:snapToGrid w:val="0"/>
              <w:jc w:val="center"/>
              <w:rPr>
                <w:sz w:val="20"/>
                <w:szCs w:val="20"/>
              </w:rPr>
            </w:pPr>
            <w:r w:rsidRPr="00F07779">
              <w:rPr>
                <w:sz w:val="20"/>
                <w:szCs w:val="20"/>
              </w:rPr>
              <w:t>6.5</w:t>
            </w:r>
            <w:r w:rsidR="00435778" w:rsidRPr="00F07779">
              <w:rPr>
                <w:sz w:val="20"/>
                <w:szCs w:val="20"/>
              </w:rPr>
              <w:t xml:space="preserve"> mill. EUR </w:t>
            </w:r>
            <w:r w:rsidRPr="00F07779">
              <w:rPr>
                <w:sz w:val="20"/>
                <w:szCs w:val="20"/>
              </w:rPr>
              <w:t>762</w:t>
            </w:r>
            <w:r w:rsidR="007C5835" w:rsidRPr="00F07779">
              <w:rPr>
                <w:sz w:val="20"/>
                <w:szCs w:val="20"/>
              </w:rPr>
              <w:t>.</w:t>
            </w:r>
            <w:r w:rsidRPr="00F07779">
              <w:rPr>
                <w:sz w:val="20"/>
                <w:szCs w:val="20"/>
              </w:rPr>
              <w:t xml:space="preserve">12 </w:t>
            </w:r>
            <w:r w:rsidR="00435778" w:rsidRPr="00F07779">
              <w:rPr>
                <w:sz w:val="20"/>
                <w:szCs w:val="20"/>
              </w:rPr>
              <w:t>mill. RSD</w:t>
            </w:r>
          </w:p>
        </w:tc>
        <w:tc>
          <w:tcPr>
            <w:tcW w:w="936" w:type="pct"/>
            <w:gridSpan w:val="2"/>
            <w:tcMar>
              <w:left w:w="28" w:type="dxa"/>
              <w:right w:w="28" w:type="dxa"/>
            </w:tcMar>
            <w:vAlign w:val="center"/>
          </w:tcPr>
          <w:p w14:paraId="302DDDAE" w14:textId="1619E545" w:rsidR="00435778" w:rsidRPr="00F07779" w:rsidRDefault="00435778" w:rsidP="005E3573">
            <w:pPr>
              <w:snapToGrid w:val="0"/>
              <w:jc w:val="center"/>
              <w:rPr>
                <w:sz w:val="20"/>
                <w:szCs w:val="20"/>
              </w:rPr>
            </w:pPr>
            <w:r w:rsidRPr="00F07779">
              <w:rPr>
                <w:sz w:val="20"/>
                <w:szCs w:val="20"/>
              </w:rPr>
              <w:t>9 million EUR 1</w:t>
            </w:r>
            <w:r w:rsidR="007C5835" w:rsidRPr="00F07779">
              <w:rPr>
                <w:sz w:val="20"/>
                <w:szCs w:val="20"/>
              </w:rPr>
              <w:t>,</w:t>
            </w:r>
            <w:r w:rsidRPr="00F07779">
              <w:rPr>
                <w:sz w:val="20"/>
                <w:szCs w:val="20"/>
              </w:rPr>
              <w:t>055</w:t>
            </w:r>
            <w:r w:rsidR="007C5835" w:rsidRPr="00F07779">
              <w:rPr>
                <w:sz w:val="20"/>
                <w:szCs w:val="20"/>
              </w:rPr>
              <w:t>.</w:t>
            </w:r>
            <w:r w:rsidRPr="00F07779">
              <w:rPr>
                <w:sz w:val="20"/>
                <w:szCs w:val="20"/>
              </w:rPr>
              <w:t>25 mill. RSD</w:t>
            </w:r>
          </w:p>
        </w:tc>
      </w:tr>
      <w:tr w:rsidR="00435778" w:rsidRPr="00F07779" w14:paraId="49FABC72" w14:textId="77777777" w:rsidTr="005E3573">
        <w:trPr>
          <w:trHeight w:val="54"/>
        </w:trPr>
        <w:tc>
          <w:tcPr>
            <w:tcW w:w="1345" w:type="pct"/>
            <w:vMerge w:val="restart"/>
            <w:vAlign w:val="center"/>
          </w:tcPr>
          <w:p w14:paraId="53303B06" w14:textId="323A4BFD" w:rsidR="00435778" w:rsidRPr="00F07779" w:rsidRDefault="00435778" w:rsidP="005E3573">
            <w:pPr>
              <w:snapToGrid w:val="0"/>
              <w:jc w:val="center"/>
              <w:rPr>
                <w:sz w:val="20"/>
                <w:szCs w:val="20"/>
              </w:rPr>
            </w:pPr>
            <w:r w:rsidRPr="00F07779">
              <w:rPr>
                <w:sz w:val="20"/>
                <w:szCs w:val="20"/>
              </w:rPr>
              <w:t xml:space="preserve">G4 - Construction of </w:t>
            </w:r>
            <w:proofErr w:type="spellStart"/>
            <w:proofErr w:type="gramStart"/>
            <w:r w:rsidR="008076AB" w:rsidRPr="00F07779">
              <w:rPr>
                <w:sz w:val="20"/>
                <w:szCs w:val="20"/>
              </w:rPr>
              <w:t>transport</w:t>
            </w:r>
            <w:r w:rsidRPr="00F07779">
              <w:rPr>
                <w:sz w:val="20"/>
                <w:szCs w:val="20"/>
              </w:rPr>
              <w:t>and</w:t>
            </w:r>
            <w:proofErr w:type="spellEnd"/>
            <w:proofErr w:type="gramEnd"/>
            <w:r w:rsidRPr="00F07779">
              <w:rPr>
                <w:sz w:val="20"/>
                <w:szCs w:val="20"/>
              </w:rPr>
              <w:t xml:space="preserve"> distribution system</w:t>
            </w:r>
          </w:p>
        </w:tc>
        <w:tc>
          <w:tcPr>
            <w:tcW w:w="442" w:type="pct"/>
            <w:vMerge w:val="restart"/>
            <w:vAlign w:val="center"/>
          </w:tcPr>
          <w:p w14:paraId="7C5529D8" w14:textId="77777777" w:rsidR="00435778" w:rsidRPr="00F07779" w:rsidRDefault="00435778" w:rsidP="005E3573">
            <w:pPr>
              <w:snapToGrid w:val="0"/>
              <w:jc w:val="center"/>
              <w:rPr>
                <w:sz w:val="20"/>
                <w:szCs w:val="20"/>
              </w:rPr>
            </w:pPr>
            <w:r w:rsidRPr="00F07779">
              <w:rPr>
                <w:sz w:val="20"/>
                <w:szCs w:val="20"/>
              </w:rPr>
              <w:t>Inv</w:t>
            </w:r>
          </w:p>
        </w:tc>
        <w:tc>
          <w:tcPr>
            <w:tcW w:w="487" w:type="pct"/>
            <w:vAlign w:val="center"/>
          </w:tcPr>
          <w:p w14:paraId="6A334D69" w14:textId="77777777" w:rsidR="00435778" w:rsidRPr="00F07779" w:rsidRDefault="00435778" w:rsidP="005E3573">
            <w:pPr>
              <w:snapToGrid w:val="0"/>
              <w:jc w:val="center"/>
              <w:rPr>
                <w:sz w:val="20"/>
                <w:szCs w:val="20"/>
              </w:rPr>
            </w:pPr>
            <w:r w:rsidRPr="00F07779">
              <w:rPr>
                <w:sz w:val="20"/>
                <w:szCs w:val="20"/>
              </w:rPr>
              <w:t>2026</w:t>
            </w:r>
          </w:p>
        </w:tc>
        <w:tc>
          <w:tcPr>
            <w:tcW w:w="895" w:type="pct"/>
            <w:vMerge w:val="restart"/>
            <w:tcMar>
              <w:left w:w="28" w:type="dxa"/>
              <w:right w:w="28" w:type="dxa"/>
            </w:tcMar>
            <w:vAlign w:val="center"/>
          </w:tcPr>
          <w:p w14:paraId="4D2D9E6B" w14:textId="77777777" w:rsidR="00435778" w:rsidRPr="00F07779" w:rsidRDefault="00435778" w:rsidP="005E3573">
            <w:pPr>
              <w:snapToGrid w:val="0"/>
              <w:jc w:val="center"/>
              <w:rPr>
                <w:sz w:val="20"/>
                <w:szCs w:val="20"/>
              </w:rPr>
            </w:pPr>
            <w:r w:rsidRPr="00F07779">
              <w:rPr>
                <w:sz w:val="20"/>
                <w:szCs w:val="20"/>
              </w:rPr>
              <w:t>-</w:t>
            </w:r>
          </w:p>
        </w:tc>
        <w:tc>
          <w:tcPr>
            <w:tcW w:w="895" w:type="pct"/>
            <w:gridSpan w:val="2"/>
            <w:vMerge w:val="restart"/>
            <w:tcMar>
              <w:left w:w="28" w:type="dxa"/>
              <w:right w:w="28" w:type="dxa"/>
            </w:tcMar>
            <w:vAlign w:val="center"/>
          </w:tcPr>
          <w:p w14:paraId="6A235093" w14:textId="77777777" w:rsidR="00435778" w:rsidRPr="00F07779" w:rsidRDefault="00435778" w:rsidP="005E3573">
            <w:pPr>
              <w:snapToGrid w:val="0"/>
              <w:jc w:val="center"/>
              <w:rPr>
                <w:sz w:val="20"/>
                <w:szCs w:val="20"/>
              </w:rPr>
            </w:pPr>
            <w:r w:rsidRPr="00F07779">
              <w:rPr>
                <w:sz w:val="20"/>
                <w:szCs w:val="20"/>
              </w:rPr>
              <w:t>-</w:t>
            </w:r>
          </w:p>
        </w:tc>
        <w:tc>
          <w:tcPr>
            <w:tcW w:w="936" w:type="pct"/>
            <w:gridSpan w:val="2"/>
            <w:vMerge w:val="restart"/>
            <w:tcMar>
              <w:left w:w="28" w:type="dxa"/>
              <w:right w:w="28" w:type="dxa"/>
            </w:tcMar>
            <w:vAlign w:val="center"/>
          </w:tcPr>
          <w:p w14:paraId="67D71235" w14:textId="353EE8AE" w:rsidR="00435778" w:rsidRPr="00F07779" w:rsidRDefault="00435778" w:rsidP="005E3573">
            <w:pPr>
              <w:jc w:val="center"/>
              <w:rPr>
                <w:sz w:val="20"/>
                <w:szCs w:val="20"/>
              </w:rPr>
            </w:pPr>
            <w:r w:rsidRPr="00F07779">
              <w:rPr>
                <w:sz w:val="20"/>
                <w:szCs w:val="20"/>
              </w:rPr>
              <w:t>333</w:t>
            </w:r>
            <w:r w:rsidR="007C5835" w:rsidRPr="00F07779">
              <w:rPr>
                <w:sz w:val="20"/>
                <w:szCs w:val="20"/>
              </w:rPr>
              <w:t>.</w:t>
            </w:r>
            <w:r w:rsidRPr="00F07779">
              <w:rPr>
                <w:sz w:val="20"/>
                <w:szCs w:val="20"/>
              </w:rPr>
              <w:t>881 mill. EUR</w:t>
            </w:r>
          </w:p>
          <w:p w14:paraId="40E2704B" w14:textId="174682D0" w:rsidR="00435778" w:rsidRPr="00F07779" w:rsidRDefault="00435778" w:rsidP="005E3573">
            <w:pPr>
              <w:jc w:val="center"/>
              <w:rPr>
                <w:sz w:val="20"/>
                <w:szCs w:val="20"/>
              </w:rPr>
            </w:pPr>
            <w:r w:rsidRPr="00F07779">
              <w:rPr>
                <w:sz w:val="20"/>
                <w:szCs w:val="20"/>
              </w:rPr>
              <w:t>39</w:t>
            </w:r>
            <w:r w:rsidR="007C5835" w:rsidRPr="00F07779">
              <w:rPr>
                <w:sz w:val="20"/>
                <w:szCs w:val="20"/>
              </w:rPr>
              <w:t>,</w:t>
            </w:r>
            <w:r w:rsidRPr="00F07779">
              <w:rPr>
                <w:sz w:val="20"/>
                <w:szCs w:val="20"/>
              </w:rPr>
              <w:t xml:space="preserve">147 </w:t>
            </w:r>
            <w:proofErr w:type="gramStart"/>
            <w:r w:rsidRPr="00F07779">
              <w:rPr>
                <w:sz w:val="20"/>
                <w:szCs w:val="20"/>
              </w:rPr>
              <w:t>mill</w:t>
            </w:r>
            <w:proofErr w:type="gramEnd"/>
            <w:r w:rsidRPr="00F07779">
              <w:rPr>
                <w:sz w:val="20"/>
                <w:szCs w:val="20"/>
              </w:rPr>
              <w:t>. RSD</w:t>
            </w:r>
          </w:p>
        </w:tc>
      </w:tr>
      <w:tr w:rsidR="00435778" w:rsidRPr="00F07779" w14:paraId="2B86CB06" w14:textId="77777777" w:rsidTr="005E3573">
        <w:trPr>
          <w:trHeight w:val="54"/>
        </w:trPr>
        <w:tc>
          <w:tcPr>
            <w:tcW w:w="1345" w:type="pct"/>
            <w:vMerge/>
            <w:vAlign w:val="center"/>
          </w:tcPr>
          <w:p w14:paraId="331C3B08" w14:textId="77777777" w:rsidR="00435778" w:rsidRPr="00F07779" w:rsidRDefault="00435778" w:rsidP="005E3573">
            <w:pPr>
              <w:snapToGrid w:val="0"/>
              <w:jc w:val="center"/>
              <w:rPr>
                <w:sz w:val="20"/>
                <w:szCs w:val="20"/>
              </w:rPr>
            </w:pPr>
          </w:p>
        </w:tc>
        <w:tc>
          <w:tcPr>
            <w:tcW w:w="442" w:type="pct"/>
            <w:vMerge/>
            <w:vAlign w:val="center"/>
          </w:tcPr>
          <w:p w14:paraId="5D115EAC" w14:textId="77777777" w:rsidR="00435778" w:rsidRPr="00F07779" w:rsidRDefault="00435778" w:rsidP="005E3573">
            <w:pPr>
              <w:snapToGrid w:val="0"/>
              <w:jc w:val="center"/>
              <w:rPr>
                <w:sz w:val="20"/>
                <w:szCs w:val="20"/>
              </w:rPr>
            </w:pPr>
          </w:p>
        </w:tc>
        <w:tc>
          <w:tcPr>
            <w:tcW w:w="487" w:type="pct"/>
            <w:vAlign w:val="center"/>
          </w:tcPr>
          <w:p w14:paraId="7E69D23C" w14:textId="77777777" w:rsidR="00435778" w:rsidRPr="00F07779" w:rsidRDefault="00435778" w:rsidP="005E3573">
            <w:pPr>
              <w:snapToGrid w:val="0"/>
              <w:jc w:val="center"/>
              <w:rPr>
                <w:sz w:val="20"/>
                <w:szCs w:val="20"/>
              </w:rPr>
            </w:pPr>
            <w:r w:rsidRPr="00F07779">
              <w:rPr>
                <w:sz w:val="20"/>
                <w:szCs w:val="20"/>
              </w:rPr>
              <w:t>2027</w:t>
            </w:r>
          </w:p>
        </w:tc>
        <w:tc>
          <w:tcPr>
            <w:tcW w:w="895" w:type="pct"/>
            <w:vMerge/>
            <w:tcMar>
              <w:left w:w="28" w:type="dxa"/>
              <w:right w:w="28" w:type="dxa"/>
            </w:tcMar>
            <w:vAlign w:val="center"/>
          </w:tcPr>
          <w:p w14:paraId="3CB33B43" w14:textId="77777777" w:rsidR="00435778" w:rsidRPr="00F07779" w:rsidRDefault="00435778" w:rsidP="005E3573">
            <w:pPr>
              <w:snapToGrid w:val="0"/>
              <w:jc w:val="center"/>
              <w:rPr>
                <w:sz w:val="20"/>
                <w:szCs w:val="20"/>
              </w:rPr>
            </w:pPr>
          </w:p>
        </w:tc>
        <w:tc>
          <w:tcPr>
            <w:tcW w:w="895" w:type="pct"/>
            <w:gridSpan w:val="2"/>
            <w:vMerge/>
            <w:tcMar>
              <w:left w:w="28" w:type="dxa"/>
              <w:right w:w="28" w:type="dxa"/>
            </w:tcMar>
            <w:vAlign w:val="center"/>
          </w:tcPr>
          <w:p w14:paraId="42F54FBB" w14:textId="77777777" w:rsidR="00435778" w:rsidRPr="00F07779" w:rsidRDefault="00435778" w:rsidP="005E3573">
            <w:pPr>
              <w:snapToGrid w:val="0"/>
              <w:jc w:val="center"/>
              <w:rPr>
                <w:sz w:val="20"/>
                <w:szCs w:val="20"/>
              </w:rPr>
            </w:pPr>
          </w:p>
        </w:tc>
        <w:tc>
          <w:tcPr>
            <w:tcW w:w="936" w:type="pct"/>
            <w:gridSpan w:val="2"/>
            <w:vMerge/>
            <w:tcMar>
              <w:left w:w="28" w:type="dxa"/>
              <w:right w:w="28" w:type="dxa"/>
            </w:tcMar>
            <w:vAlign w:val="center"/>
          </w:tcPr>
          <w:p w14:paraId="5800A355" w14:textId="77777777" w:rsidR="00435778" w:rsidRPr="00F07779" w:rsidRDefault="00435778" w:rsidP="005E3573">
            <w:pPr>
              <w:snapToGrid w:val="0"/>
              <w:jc w:val="center"/>
              <w:rPr>
                <w:sz w:val="20"/>
                <w:szCs w:val="20"/>
              </w:rPr>
            </w:pPr>
          </w:p>
        </w:tc>
      </w:tr>
      <w:tr w:rsidR="00435778" w:rsidRPr="00F07779" w14:paraId="51E75BC9" w14:textId="77777777" w:rsidTr="005E3573">
        <w:trPr>
          <w:trHeight w:val="138"/>
        </w:trPr>
        <w:tc>
          <w:tcPr>
            <w:tcW w:w="1345" w:type="pct"/>
            <w:vMerge/>
            <w:vAlign w:val="center"/>
          </w:tcPr>
          <w:p w14:paraId="6D27622B" w14:textId="77777777" w:rsidR="00435778" w:rsidRPr="00F07779" w:rsidRDefault="00435778" w:rsidP="005E3573">
            <w:pPr>
              <w:snapToGrid w:val="0"/>
              <w:jc w:val="center"/>
              <w:rPr>
                <w:sz w:val="20"/>
                <w:szCs w:val="20"/>
              </w:rPr>
            </w:pPr>
          </w:p>
        </w:tc>
        <w:tc>
          <w:tcPr>
            <w:tcW w:w="442" w:type="pct"/>
            <w:vMerge/>
            <w:vAlign w:val="center"/>
          </w:tcPr>
          <w:p w14:paraId="1AEE0648" w14:textId="77777777" w:rsidR="00435778" w:rsidRPr="00F07779" w:rsidRDefault="00435778" w:rsidP="005E3573">
            <w:pPr>
              <w:snapToGrid w:val="0"/>
              <w:jc w:val="center"/>
              <w:rPr>
                <w:sz w:val="20"/>
                <w:szCs w:val="20"/>
              </w:rPr>
            </w:pPr>
          </w:p>
        </w:tc>
        <w:tc>
          <w:tcPr>
            <w:tcW w:w="487" w:type="pct"/>
            <w:vAlign w:val="center"/>
          </w:tcPr>
          <w:p w14:paraId="3873B8F8" w14:textId="77777777" w:rsidR="00435778" w:rsidRPr="00F07779" w:rsidRDefault="00435778" w:rsidP="005E3573">
            <w:pPr>
              <w:snapToGrid w:val="0"/>
              <w:jc w:val="center"/>
              <w:rPr>
                <w:sz w:val="20"/>
                <w:szCs w:val="20"/>
              </w:rPr>
            </w:pPr>
            <w:r w:rsidRPr="00F07779">
              <w:rPr>
                <w:sz w:val="20"/>
                <w:szCs w:val="20"/>
              </w:rPr>
              <w:t>2028</w:t>
            </w:r>
          </w:p>
        </w:tc>
        <w:tc>
          <w:tcPr>
            <w:tcW w:w="895" w:type="pct"/>
            <w:vMerge/>
            <w:tcMar>
              <w:left w:w="28" w:type="dxa"/>
              <w:right w:w="28" w:type="dxa"/>
            </w:tcMar>
            <w:vAlign w:val="center"/>
          </w:tcPr>
          <w:p w14:paraId="4A8BE081" w14:textId="77777777" w:rsidR="00435778" w:rsidRPr="00F07779" w:rsidRDefault="00435778" w:rsidP="005E3573">
            <w:pPr>
              <w:snapToGrid w:val="0"/>
              <w:jc w:val="center"/>
              <w:rPr>
                <w:sz w:val="20"/>
                <w:szCs w:val="20"/>
              </w:rPr>
            </w:pPr>
          </w:p>
        </w:tc>
        <w:tc>
          <w:tcPr>
            <w:tcW w:w="895" w:type="pct"/>
            <w:gridSpan w:val="2"/>
            <w:vMerge/>
            <w:tcMar>
              <w:left w:w="28" w:type="dxa"/>
              <w:right w:w="28" w:type="dxa"/>
            </w:tcMar>
            <w:vAlign w:val="center"/>
          </w:tcPr>
          <w:p w14:paraId="7330899B" w14:textId="77777777" w:rsidR="00435778" w:rsidRPr="00F07779" w:rsidRDefault="00435778" w:rsidP="005E3573">
            <w:pPr>
              <w:snapToGrid w:val="0"/>
              <w:jc w:val="center"/>
              <w:rPr>
                <w:sz w:val="20"/>
                <w:szCs w:val="20"/>
              </w:rPr>
            </w:pPr>
          </w:p>
        </w:tc>
        <w:tc>
          <w:tcPr>
            <w:tcW w:w="936" w:type="pct"/>
            <w:gridSpan w:val="2"/>
            <w:vMerge/>
            <w:tcMar>
              <w:left w:w="28" w:type="dxa"/>
              <w:right w:w="28" w:type="dxa"/>
            </w:tcMar>
            <w:vAlign w:val="center"/>
          </w:tcPr>
          <w:p w14:paraId="281BE9DC" w14:textId="77777777" w:rsidR="00435778" w:rsidRPr="00F07779" w:rsidRDefault="00435778" w:rsidP="005E3573">
            <w:pPr>
              <w:snapToGrid w:val="0"/>
              <w:jc w:val="center"/>
              <w:rPr>
                <w:sz w:val="20"/>
                <w:szCs w:val="20"/>
              </w:rPr>
            </w:pPr>
          </w:p>
        </w:tc>
      </w:tr>
      <w:tr w:rsidR="00435778" w:rsidRPr="00F07779" w14:paraId="0E07EC17" w14:textId="77777777" w:rsidTr="005E3573">
        <w:trPr>
          <w:trHeight w:val="757"/>
        </w:trPr>
        <w:tc>
          <w:tcPr>
            <w:tcW w:w="1345" w:type="pct"/>
            <w:vAlign w:val="center"/>
          </w:tcPr>
          <w:p w14:paraId="33B91712" w14:textId="77777777" w:rsidR="00435778" w:rsidRPr="00F07779" w:rsidRDefault="00435778" w:rsidP="005E3573">
            <w:pPr>
              <w:snapToGrid w:val="0"/>
              <w:jc w:val="center"/>
              <w:rPr>
                <w:sz w:val="20"/>
                <w:szCs w:val="20"/>
              </w:rPr>
            </w:pPr>
            <w:r w:rsidRPr="00F07779">
              <w:rPr>
                <w:sz w:val="20"/>
                <w:szCs w:val="20"/>
              </w:rPr>
              <w:t>G5 - Modernization of the metering system</w:t>
            </w:r>
          </w:p>
        </w:tc>
        <w:tc>
          <w:tcPr>
            <w:tcW w:w="442" w:type="pct"/>
            <w:vAlign w:val="center"/>
          </w:tcPr>
          <w:p w14:paraId="5EB6DA57" w14:textId="77777777" w:rsidR="00435778" w:rsidRPr="00F07779" w:rsidRDefault="00435778" w:rsidP="005E3573">
            <w:pPr>
              <w:snapToGrid w:val="0"/>
              <w:jc w:val="center"/>
              <w:rPr>
                <w:sz w:val="20"/>
                <w:szCs w:val="20"/>
              </w:rPr>
            </w:pPr>
            <w:r w:rsidRPr="00F07779">
              <w:rPr>
                <w:sz w:val="20"/>
                <w:szCs w:val="20"/>
              </w:rPr>
              <w:t>Inv</w:t>
            </w:r>
          </w:p>
        </w:tc>
        <w:tc>
          <w:tcPr>
            <w:tcW w:w="487" w:type="pct"/>
            <w:vAlign w:val="center"/>
          </w:tcPr>
          <w:p w14:paraId="27E31C6A" w14:textId="77777777" w:rsidR="00435778" w:rsidRPr="00F07779" w:rsidRDefault="00435778" w:rsidP="005E3573">
            <w:pPr>
              <w:adjustRightInd w:val="0"/>
              <w:snapToGrid w:val="0"/>
              <w:jc w:val="center"/>
              <w:rPr>
                <w:sz w:val="20"/>
                <w:szCs w:val="20"/>
              </w:rPr>
            </w:pPr>
            <w:r w:rsidRPr="00F07779">
              <w:rPr>
                <w:sz w:val="20"/>
                <w:szCs w:val="20"/>
              </w:rPr>
              <w:t>2026</w:t>
            </w:r>
          </w:p>
        </w:tc>
        <w:tc>
          <w:tcPr>
            <w:tcW w:w="895" w:type="pct"/>
            <w:tcMar>
              <w:left w:w="28" w:type="dxa"/>
              <w:right w:w="28" w:type="dxa"/>
            </w:tcMar>
            <w:vAlign w:val="center"/>
          </w:tcPr>
          <w:p w14:paraId="4EC5DC0F" w14:textId="77777777" w:rsidR="00435778" w:rsidRPr="00F07779" w:rsidRDefault="00435778" w:rsidP="005E3573">
            <w:pPr>
              <w:snapToGrid w:val="0"/>
              <w:jc w:val="center"/>
              <w:rPr>
                <w:sz w:val="20"/>
                <w:szCs w:val="20"/>
              </w:rPr>
            </w:pPr>
            <w:r w:rsidRPr="00F07779">
              <w:rPr>
                <w:sz w:val="20"/>
                <w:szCs w:val="20"/>
              </w:rPr>
              <w:t>-</w:t>
            </w:r>
          </w:p>
        </w:tc>
        <w:tc>
          <w:tcPr>
            <w:tcW w:w="895" w:type="pct"/>
            <w:gridSpan w:val="2"/>
            <w:tcMar>
              <w:left w:w="28" w:type="dxa"/>
              <w:right w:w="28" w:type="dxa"/>
            </w:tcMar>
            <w:vAlign w:val="center"/>
          </w:tcPr>
          <w:p w14:paraId="17980537" w14:textId="77777777" w:rsidR="00435778" w:rsidRPr="00F07779" w:rsidRDefault="00435778" w:rsidP="005E3573">
            <w:pPr>
              <w:snapToGrid w:val="0"/>
              <w:jc w:val="center"/>
              <w:rPr>
                <w:sz w:val="20"/>
                <w:szCs w:val="20"/>
              </w:rPr>
            </w:pPr>
            <w:r w:rsidRPr="00F07779">
              <w:rPr>
                <w:sz w:val="20"/>
                <w:szCs w:val="20"/>
              </w:rPr>
              <w:t>-</w:t>
            </w:r>
          </w:p>
        </w:tc>
        <w:tc>
          <w:tcPr>
            <w:tcW w:w="936" w:type="pct"/>
            <w:gridSpan w:val="2"/>
            <w:tcMar>
              <w:left w:w="28" w:type="dxa"/>
              <w:right w:w="28" w:type="dxa"/>
            </w:tcMar>
            <w:vAlign w:val="center"/>
          </w:tcPr>
          <w:p w14:paraId="3E0CD9AF" w14:textId="48520CF0" w:rsidR="00435778" w:rsidRPr="00F07779" w:rsidRDefault="00435778" w:rsidP="005E3573">
            <w:pPr>
              <w:jc w:val="center"/>
              <w:rPr>
                <w:sz w:val="20"/>
                <w:szCs w:val="20"/>
              </w:rPr>
            </w:pPr>
            <w:r w:rsidRPr="00F07779">
              <w:rPr>
                <w:sz w:val="20"/>
                <w:szCs w:val="20"/>
              </w:rPr>
              <w:t>58</w:t>
            </w:r>
            <w:r w:rsidR="007C5835" w:rsidRPr="00F07779">
              <w:rPr>
                <w:sz w:val="20"/>
                <w:szCs w:val="20"/>
              </w:rPr>
              <w:t>.</w:t>
            </w:r>
            <w:r w:rsidRPr="00F07779">
              <w:rPr>
                <w:sz w:val="20"/>
                <w:szCs w:val="20"/>
              </w:rPr>
              <w:t>5 mill. EUR 6</w:t>
            </w:r>
            <w:r w:rsidR="007C5835" w:rsidRPr="00F07779">
              <w:rPr>
                <w:sz w:val="20"/>
                <w:szCs w:val="20"/>
              </w:rPr>
              <w:t>,</w:t>
            </w:r>
            <w:r w:rsidRPr="00F07779">
              <w:rPr>
                <w:sz w:val="20"/>
                <w:szCs w:val="20"/>
              </w:rPr>
              <w:t>859 mill. RSD</w:t>
            </w:r>
          </w:p>
        </w:tc>
      </w:tr>
      <w:tr w:rsidR="00435778" w:rsidRPr="00F07779" w14:paraId="66FAC58D" w14:textId="77777777" w:rsidTr="005E3573">
        <w:trPr>
          <w:trHeight w:val="789"/>
        </w:trPr>
        <w:tc>
          <w:tcPr>
            <w:tcW w:w="1345" w:type="pct"/>
            <w:vAlign w:val="center"/>
          </w:tcPr>
          <w:p w14:paraId="60F8D5D7" w14:textId="77777777" w:rsidR="00435778" w:rsidRPr="00F07779" w:rsidRDefault="00435778" w:rsidP="005E3573">
            <w:pPr>
              <w:snapToGrid w:val="0"/>
              <w:jc w:val="center"/>
              <w:rPr>
                <w:sz w:val="20"/>
                <w:szCs w:val="20"/>
              </w:rPr>
            </w:pPr>
            <w:r w:rsidRPr="00F07779">
              <w:rPr>
                <w:sz w:val="20"/>
                <w:szCs w:val="20"/>
              </w:rPr>
              <w:t>G6 - Gas sector reform</w:t>
            </w:r>
          </w:p>
        </w:tc>
        <w:tc>
          <w:tcPr>
            <w:tcW w:w="442" w:type="pct"/>
            <w:vAlign w:val="center"/>
          </w:tcPr>
          <w:p w14:paraId="45308EBE" w14:textId="513FCF99" w:rsidR="00435778" w:rsidRPr="00F07779" w:rsidRDefault="00435778" w:rsidP="005E3573">
            <w:pPr>
              <w:snapToGrid w:val="0"/>
              <w:jc w:val="center"/>
              <w:rPr>
                <w:sz w:val="20"/>
                <w:szCs w:val="20"/>
              </w:rPr>
            </w:pPr>
            <w:r w:rsidRPr="00F07779">
              <w:rPr>
                <w:sz w:val="20"/>
                <w:szCs w:val="20"/>
              </w:rPr>
              <w:t>I</w:t>
            </w:r>
            <w:r w:rsidR="007C5835" w:rsidRPr="00F07779">
              <w:rPr>
                <w:sz w:val="20"/>
                <w:szCs w:val="20"/>
              </w:rPr>
              <w:t>G</w:t>
            </w:r>
          </w:p>
        </w:tc>
        <w:tc>
          <w:tcPr>
            <w:tcW w:w="487" w:type="pct"/>
            <w:vAlign w:val="center"/>
          </w:tcPr>
          <w:p w14:paraId="72E0EF9A" w14:textId="77777777" w:rsidR="00435778" w:rsidRPr="00F07779" w:rsidRDefault="00435778" w:rsidP="005E3573">
            <w:pPr>
              <w:snapToGrid w:val="0"/>
              <w:jc w:val="center"/>
              <w:rPr>
                <w:sz w:val="20"/>
                <w:szCs w:val="20"/>
              </w:rPr>
            </w:pPr>
            <w:r w:rsidRPr="00F07779">
              <w:rPr>
                <w:sz w:val="20"/>
                <w:szCs w:val="20"/>
              </w:rPr>
              <w:t>2026</w:t>
            </w:r>
          </w:p>
        </w:tc>
        <w:tc>
          <w:tcPr>
            <w:tcW w:w="2726" w:type="pct"/>
            <w:gridSpan w:val="5"/>
            <w:tcMar>
              <w:left w:w="28" w:type="dxa"/>
              <w:right w:w="28" w:type="dxa"/>
            </w:tcMar>
            <w:vAlign w:val="center"/>
          </w:tcPr>
          <w:p w14:paraId="3A54EC51" w14:textId="77777777" w:rsidR="00435778" w:rsidRPr="00F07779" w:rsidRDefault="00435778" w:rsidP="005E3573">
            <w:pPr>
              <w:jc w:val="center"/>
              <w:rPr>
                <w:sz w:val="20"/>
                <w:szCs w:val="20"/>
              </w:rPr>
            </w:pPr>
            <w:r w:rsidRPr="00F07779">
              <w:rPr>
                <w:sz w:val="20"/>
                <w:szCs w:val="20"/>
              </w:rPr>
              <w:t>Institutional managerial measure requiring no additional funding</w:t>
            </w:r>
          </w:p>
        </w:tc>
      </w:tr>
      <w:tr w:rsidR="00435778" w:rsidRPr="00F07779" w14:paraId="238FCE98" w14:textId="77777777" w:rsidTr="005E3573">
        <w:trPr>
          <w:trHeight w:val="131"/>
        </w:trPr>
        <w:tc>
          <w:tcPr>
            <w:tcW w:w="2274" w:type="pct"/>
            <w:gridSpan w:val="3"/>
            <w:vMerge w:val="restart"/>
            <w:vAlign w:val="center"/>
          </w:tcPr>
          <w:p w14:paraId="60DEC940" w14:textId="77777777" w:rsidR="00435778" w:rsidRPr="00F07779" w:rsidRDefault="00435778" w:rsidP="005E3573">
            <w:pPr>
              <w:snapToGrid w:val="0"/>
              <w:jc w:val="center"/>
              <w:rPr>
                <w:sz w:val="20"/>
                <w:szCs w:val="20"/>
              </w:rPr>
            </w:pPr>
            <w:r w:rsidRPr="00F07779">
              <w:rPr>
                <w:sz w:val="20"/>
                <w:szCs w:val="20"/>
              </w:rPr>
              <w:t>Total</w:t>
            </w:r>
          </w:p>
        </w:tc>
        <w:tc>
          <w:tcPr>
            <w:tcW w:w="908" w:type="pct"/>
            <w:gridSpan w:val="2"/>
            <w:tcMar>
              <w:left w:w="28" w:type="dxa"/>
              <w:right w:w="28" w:type="dxa"/>
            </w:tcMar>
            <w:vAlign w:val="center"/>
          </w:tcPr>
          <w:p w14:paraId="5DDB8779" w14:textId="77777777" w:rsidR="00435778" w:rsidRPr="00F07779" w:rsidRDefault="00435778" w:rsidP="005E3573">
            <w:pPr>
              <w:snapToGrid w:val="0"/>
              <w:jc w:val="center"/>
              <w:rPr>
                <w:sz w:val="20"/>
                <w:szCs w:val="20"/>
              </w:rPr>
            </w:pPr>
            <w:r w:rsidRPr="00F07779">
              <w:rPr>
                <w:sz w:val="20"/>
                <w:szCs w:val="20"/>
              </w:rPr>
              <w:t xml:space="preserve">199 </w:t>
            </w:r>
            <w:proofErr w:type="gramStart"/>
            <w:r w:rsidRPr="00F07779">
              <w:rPr>
                <w:sz w:val="20"/>
                <w:szCs w:val="20"/>
              </w:rPr>
              <w:t>mill</w:t>
            </w:r>
            <w:proofErr w:type="gramEnd"/>
            <w:r w:rsidRPr="00F07779">
              <w:rPr>
                <w:sz w:val="20"/>
                <w:szCs w:val="20"/>
              </w:rPr>
              <w:t>. EUR</w:t>
            </w:r>
          </w:p>
          <w:p w14:paraId="49E90406" w14:textId="2B9749A9" w:rsidR="00435778" w:rsidRPr="00F07779" w:rsidRDefault="00435778" w:rsidP="005E3573">
            <w:pPr>
              <w:snapToGrid w:val="0"/>
              <w:jc w:val="center"/>
              <w:rPr>
                <w:sz w:val="20"/>
                <w:szCs w:val="20"/>
              </w:rPr>
            </w:pPr>
            <w:r w:rsidRPr="00F07779">
              <w:rPr>
                <w:sz w:val="20"/>
                <w:szCs w:val="20"/>
              </w:rPr>
              <w:t>23</w:t>
            </w:r>
            <w:r w:rsidR="007C5835" w:rsidRPr="00F07779">
              <w:rPr>
                <w:sz w:val="20"/>
                <w:szCs w:val="20"/>
              </w:rPr>
              <w:t>,</w:t>
            </w:r>
            <w:r w:rsidRPr="00F07779">
              <w:rPr>
                <w:sz w:val="20"/>
                <w:szCs w:val="20"/>
              </w:rPr>
              <w:t>33</w:t>
            </w:r>
            <w:r w:rsidR="00742D66" w:rsidRPr="00F07779">
              <w:rPr>
                <w:sz w:val="20"/>
                <w:szCs w:val="20"/>
              </w:rPr>
              <w:t>2</w:t>
            </w:r>
            <w:r w:rsidR="007C5835" w:rsidRPr="00F07779">
              <w:rPr>
                <w:sz w:val="20"/>
                <w:szCs w:val="20"/>
              </w:rPr>
              <w:t>.</w:t>
            </w:r>
            <w:r w:rsidRPr="00F07779">
              <w:rPr>
                <w:sz w:val="20"/>
                <w:szCs w:val="20"/>
              </w:rPr>
              <w:t xml:space="preserve">5 </w:t>
            </w:r>
            <w:proofErr w:type="spellStart"/>
            <w:r w:rsidRPr="00F07779">
              <w:rPr>
                <w:sz w:val="20"/>
                <w:szCs w:val="20"/>
              </w:rPr>
              <w:t>mill.RSD</w:t>
            </w:r>
            <w:proofErr w:type="spellEnd"/>
          </w:p>
        </w:tc>
        <w:tc>
          <w:tcPr>
            <w:tcW w:w="909" w:type="pct"/>
            <w:gridSpan w:val="2"/>
            <w:tcMar>
              <w:left w:w="0" w:type="dxa"/>
              <w:right w:w="0" w:type="dxa"/>
            </w:tcMar>
            <w:vAlign w:val="center"/>
          </w:tcPr>
          <w:p w14:paraId="0B4C3692" w14:textId="1AAE0899" w:rsidR="00435778" w:rsidRPr="00F07779" w:rsidRDefault="00742D66" w:rsidP="005E3573">
            <w:pPr>
              <w:snapToGrid w:val="0"/>
              <w:jc w:val="center"/>
              <w:rPr>
                <w:sz w:val="20"/>
                <w:szCs w:val="20"/>
              </w:rPr>
            </w:pPr>
            <w:r w:rsidRPr="00F07779">
              <w:rPr>
                <w:sz w:val="20"/>
                <w:szCs w:val="20"/>
              </w:rPr>
              <w:t>6.5</w:t>
            </w:r>
            <w:r w:rsidR="00435778" w:rsidRPr="00F07779">
              <w:rPr>
                <w:sz w:val="20"/>
                <w:szCs w:val="20"/>
              </w:rPr>
              <w:t xml:space="preserve"> mill. EUR </w:t>
            </w:r>
            <w:r w:rsidRPr="00F07779">
              <w:rPr>
                <w:sz w:val="20"/>
                <w:szCs w:val="20"/>
              </w:rPr>
              <w:t>762.12</w:t>
            </w:r>
            <w:r w:rsidR="00435778" w:rsidRPr="00F07779">
              <w:rPr>
                <w:sz w:val="20"/>
                <w:szCs w:val="20"/>
              </w:rPr>
              <w:t xml:space="preserve"> mill. RSD</w:t>
            </w:r>
          </w:p>
        </w:tc>
        <w:tc>
          <w:tcPr>
            <w:tcW w:w="909" w:type="pct"/>
            <w:tcMar>
              <w:left w:w="0" w:type="dxa"/>
              <w:right w:w="0" w:type="dxa"/>
            </w:tcMar>
            <w:vAlign w:val="center"/>
          </w:tcPr>
          <w:p w14:paraId="05D63118" w14:textId="7EA2466C" w:rsidR="00435778" w:rsidRPr="00F07779" w:rsidRDefault="00435778" w:rsidP="005E3573">
            <w:pPr>
              <w:jc w:val="center"/>
              <w:rPr>
                <w:sz w:val="20"/>
                <w:szCs w:val="20"/>
              </w:rPr>
            </w:pPr>
            <w:r w:rsidRPr="00F07779">
              <w:rPr>
                <w:sz w:val="20"/>
                <w:szCs w:val="20"/>
              </w:rPr>
              <w:t>401</w:t>
            </w:r>
            <w:r w:rsidR="007C5835" w:rsidRPr="00F07779">
              <w:rPr>
                <w:sz w:val="20"/>
                <w:szCs w:val="20"/>
              </w:rPr>
              <w:t>.</w:t>
            </w:r>
            <w:r w:rsidRPr="00F07779">
              <w:rPr>
                <w:sz w:val="20"/>
                <w:szCs w:val="20"/>
              </w:rPr>
              <w:t>381 mill. EUR</w:t>
            </w:r>
          </w:p>
          <w:p w14:paraId="05262616" w14:textId="3E138B82" w:rsidR="00435778" w:rsidRPr="00F07779" w:rsidRDefault="00435778" w:rsidP="005E3573">
            <w:pPr>
              <w:snapToGrid w:val="0"/>
              <w:jc w:val="center"/>
              <w:rPr>
                <w:sz w:val="20"/>
                <w:szCs w:val="20"/>
              </w:rPr>
            </w:pPr>
            <w:r w:rsidRPr="00F07779">
              <w:rPr>
                <w:sz w:val="20"/>
                <w:szCs w:val="20"/>
              </w:rPr>
              <w:t>47</w:t>
            </w:r>
            <w:r w:rsidR="007C5835" w:rsidRPr="00F07779">
              <w:rPr>
                <w:sz w:val="20"/>
                <w:szCs w:val="20"/>
              </w:rPr>
              <w:t>,</w:t>
            </w:r>
            <w:r w:rsidRPr="00F07779">
              <w:rPr>
                <w:sz w:val="20"/>
                <w:szCs w:val="20"/>
              </w:rPr>
              <w:t xml:space="preserve">062 </w:t>
            </w:r>
            <w:proofErr w:type="gramStart"/>
            <w:r w:rsidRPr="00F07779">
              <w:rPr>
                <w:sz w:val="20"/>
                <w:szCs w:val="20"/>
              </w:rPr>
              <w:t>mill</w:t>
            </w:r>
            <w:proofErr w:type="gramEnd"/>
            <w:r w:rsidRPr="00F07779">
              <w:rPr>
                <w:sz w:val="20"/>
                <w:szCs w:val="20"/>
              </w:rPr>
              <w:t>. RSD</w:t>
            </w:r>
          </w:p>
        </w:tc>
      </w:tr>
      <w:tr w:rsidR="00435778" w:rsidRPr="00F07779" w14:paraId="12D2F434" w14:textId="77777777" w:rsidTr="005E3573">
        <w:trPr>
          <w:trHeight w:val="131"/>
        </w:trPr>
        <w:tc>
          <w:tcPr>
            <w:tcW w:w="2274" w:type="pct"/>
            <w:gridSpan w:val="3"/>
            <w:vMerge/>
            <w:vAlign w:val="center"/>
          </w:tcPr>
          <w:p w14:paraId="5EF56453" w14:textId="77777777" w:rsidR="00435778" w:rsidRPr="00F07779" w:rsidRDefault="00435778" w:rsidP="005E3573">
            <w:pPr>
              <w:snapToGrid w:val="0"/>
              <w:jc w:val="center"/>
              <w:rPr>
                <w:sz w:val="20"/>
                <w:szCs w:val="20"/>
              </w:rPr>
            </w:pPr>
          </w:p>
        </w:tc>
        <w:tc>
          <w:tcPr>
            <w:tcW w:w="2726" w:type="pct"/>
            <w:gridSpan w:val="5"/>
            <w:tcMar>
              <w:left w:w="28" w:type="dxa"/>
              <w:right w:w="28" w:type="dxa"/>
            </w:tcMar>
            <w:vAlign w:val="center"/>
          </w:tcPr>
          <w:p w14:paraId="0716AC75" w14:textId="26E31C97" w:rsidR="00435778" w:rsidRPr="00F07779" w:rsidRDefault="00435778" w:rsidP="005E3573">
            <w:pPr>
              <w:jc w:val="center"/>
              <w:rPr>
                <w:sz w:val="20"/>
                <w:szCs w:val="20"/>
              </w:rPr>
            </w:pPr>
            <w:r w:rsidRPr="00F07779">
              <w:rPr>
                <w:sz w:val="20"/>
                <w:szCs w:val="20"/>
              </w:rPr>
              <w:t>60</w:t>
            </w:r>
            <w:r w:rsidR="00742D66" w:rsidRPr="00F07779">
              <w:rPr>
                <w:sz w:val="20"/>
                <w:szCs w:val="20"/>
              </w:rPr>
              <w:t>6</w:t>
            </w:r>
            <w:r w:rsidR="007C5835" w:rsidRPr="00F07779">
              <w:rPr>
                <w:sz w:val="20"/>
                <w:szCs w:val="20"/>
              </w:rPr>
              <w:t>.</w:t>
            </w:r>
            <w:r w:rsidR="00742D66" w:rsidRPr="00F07779">
              <w:rPr>
                <w:sz w:val="20"/>
                <w:szCs w:val="20"/>
              </w:rPr>
              <w:t>8</w:t>
            </w:r>
            <w:r w:rsidRPr="00F07779">
              <w:rPr>
                <w:sz w:val="20"/>
                <w:szCs w:val="20"/>
              </w:rPr>
              <w:t xml:space="preserve"> mill. EUR</w:t>
            </w:r>
          </w:p>
          <w:p w14:paraId="0BE2B1FD" w14:textId="552B2C7E" w:rsidR="00435778" w:rsidRPr="00F07779" w:rsidRDefault="00435778" w:rsidP="005E3573">
            <w:pPr>
              <w:jc w:val="center"/>
              <w:rPr>
                <w:sz w:val="20"/>
                <w:szCs w:val="20"/>
              </w:rPr>
            </w:pPr>
            <w:r w:rsidRPr="00F07779">
              <w:rPr>
                <w:sz w:val="20"/>
                <w:szCs w:val="20"/>
              </w:rPr>
              <w:t>(7</w:t>
            </w:r>
            <w:r w:rsidR="00186DEF" w:rsidRPr="00F07779">
              <w:rPr>
                <w:sz w:val="20"/>
                <w:szCs w:val="20"/>
              </w:rPr>
              <w:t>1</w:t>
            </w:r>
            <w:r w:rsidR="007C5835" w:rsidRPr="00F07779">
              <w:rPr>
                <w:sz w:val="20"/>
                <w:szCs w:val="20"/>
              </w:rPr>
              <w:t>,</w:t>
            </w:r>
            <w:r w:rsidR="00186DEF" w:rsidRPr="00F07779">
              <w:rPr>
                <w:sz w:val="20"/>
                <w:szCs w:val="20"/>
              </w:rPr>
              <w:t>156</w:t>
            </w:r>
            <w:r w:rsidR="007C5835" w:rsidRPr="00F07779">
              <w:rPr>
                <w:sz w:val="20"/>
                <w:szCs w:val="20"/>
              </w:rPr>
              <w:t>.</w:t>
            </w:r>
            <w:r w:rsidR="00186DEF" w:rsidRPr="00F07779">
              <w:rPr>
                <w:sz w:val="20"/>
                <w:szCs w:val="20"/>
              </w:rPr>
              <w:t>80</w:t>
            </w:r>
            <w:r w:rsidRPr="00F07779">
              <w:rPr>
                <w:sz w:val="20"/>
                <w:szCs w:val="20"/>
              </w:rPr>
              <w:t xml:space="preserve"> mill. RSD)</w:t>
            </w:r>
          </w:p>
        </w:tc>
      </w:tr>
    </w:tbl>
    <w:p w14:paraId="41EF38B2" w14:textId="5623FDE5" w:rsidR="00435778" w:rsidRPr="00F07779" w:rsidRDefault="00435778" w:rsidP="00435778">
      <w:pPr>
        <w:jc w:val="both"/>
        <w:rPr>
          <w:sz w:val="16"/>
          <w:szCs w:val="16"/>
        </w:rPr>
      </w:pPr>
      <w:r w:rsidRPr="00F07779">
        <w:rPr>
          <w:sz w:val="16"/>
          <w:szCs w:val="16"/>
        </w:rPr>
        <w:lastRenderedPageBreak/>
        <w:t>* Inv – Investment, R – Regulatory, S – Supportive (Incentive), Inf – Informational, I</w:t>
      </w:r>
      <w:r w:rsidR="00EB1DF4" w:rsidRPr="00F07779">
        <w:rPr>
          <w:sz w:val="16"/>
          <w:szCs w:val="16"/>
        </w:rPr>
        <w:t>G</w:t>
      </w:r>
      <w:r w:rsidRPr="00F07779">
        <w:rPr>
          <w:sz w:val="16"/>
          <w:szCs w:val="16"/>
        </w:rPr>
        <w:t xml:space="preserve"> – </w:t>
      </w:r>
      <w:r w:rsidR="007C5835" w:rsidRPr="00F07779">
        <w:rPr>
          <w:sz w:val="16"/>
          <w:szCs w:val="16"/>
        </w:rPr>
        <w:t>Institutional/</w:t>
      </w:r>
      <w:r w:rsidR="007C5835" w:rsidRPr="00F07779">
        <w:t xml:space="preserve"> </w:t>
      </w:r>
      <w:r w:rsidR="007C5835" w:rsidRPr="00F07779">
        <w:rPr>
          <w:sz w:val="16"/>
          <w:szCs w:val="16"/>
        </w:rPr>
        <w:t>governance</w:t>
      </w:r>
      <w:r w:rsidRPr="00F07779">
        <w:rPr>
          <w:sz w:val="16"/>
          <w:szCs w:val="16"/>
        </w:rPr>
        <w:t>, F – Financial</w:t>
      </w:r>
    </w:p>
    <w:p w14:paraId="115EDB49" w14:textId="77777777" w:rsidR="00435778" w:rsidRPr="00F07779" w:rsidRDefault="00435778" w:rsidP="00435778">
      <w:pPr>
        <w:snapToGrid w:val="0"/>
        <w:jc w:val="both"/>
        <w:rPr>
          <w:sz w:val="16"/>
          <w:szCs w:val="16"/>
        </w:rPr>
      </w:pPr>
      <w:r w:rsidRPr="00F07779">
        <w:rPr>
          <w:sz w:val="16"/>
          <w:szCs w:val="16"/>
        </w:rPr>
        <w:t>** Loan funds</w:t>
      </w:r>
    </w:p>
    <w:p w14:paraId="7F0F3218" w14:textId="77777777" w:rsidR="00435778" w:rsidRPr="00F07779" w:rsidRDefault="00435778" w:rsidP="00435778">
      <w:pPr>
        <w:snapToGrid w:val="0"/>
        <w:jc w:val="both"/>
        <w:rPr>
          <w:sz w:val="16"/>
          <w:szCs w:val="16"/>
        </w:rPr>
      </w:pPr>
      <w:r w:rsidRPr="00F07779">
        <w:rPr>
          <w:sz w:val="16"/>
          <w:szCs w:val="16"/>
        </w:rPr>
        <w:t>*** The implementation schedule of specific projects and the plan for fund withdrawal will be defined subsequently</w:t>
      </w:r>
    </w:p>
    <w:p w14:paraId="0501B3DD" w14:textId="77777777" w:rsidR="00435778" w:rsidRPr="00F07779" w:rsidRDefault="00435778" w:rsidP="00435778"/>
    <w:p w14:paraId="2D5DE38D" w14:textId="77777777" w:rsidR="00435778" w:rsidRPr="00F07779" w:rsidRDefault="00435778" w:rsidP="00435778">
      <w:pPr>
        <w:jc w:val="both"/>
      </w:pPr>
      <w:r w:rsidRPr="00F07779">
        <w:t>Measures G1–G3 contribute to achieving the secure supply of the market with the required quantities of natural gas, with measure G2 also contributing to the diversification of sources and supply routes. The development of the natural gas market is achieved through the implementation of measures G4–G6.</w:t>
      </w:r>
    </w:p>
    <w:p w14:paraId="05EF6FE5" w14:textId="77777777" w:rsidR="00435778" w:rsidRPr="00F07779" w:rsidRDefault="00435778" w:rsidP="00435778">
      <w:pPr>
        <w:jc w:val="both"/>
      </w:pPr>
    </w:p>
    <w:p w14:paraId="4DA4453C" w14:textId="77777777" w:rsidR="00435778" w:rsidRPr="00F07779" w:rsidRDefault="00435778" w:rsidP="00435778">
      <w:pPr>
        <w:jc w:val="both"/>
      </w:pPr>
      <w:r w:rsidRPr="00F07779">
        <w:t>Measure G1 – Expansion of existing and construction of new storage facilities includes one activity:</w:t>
      </w:r>
    </w:p>
    <w:p w14:paraId="3200EC9C" w14:textId="77777777" w:rsidR="00435778" w:rsidRPr="00F07779" w:rsidRDefault="00435778" w:rsidP="00435778">
      <w:pPr>
        <w:jc w:val="both"/>
      </w:pPr>
      <w:r w:rsidRPr="00F07779">
        <w:t xml:space="preserve">G1.1: Expansion of the </w:t>
      </w:r>
      <w:proofErr w:type="spellStart"/>
      <w:r w:rsidRPr="00F07779">
        <w:t>Banatski</w:t>
      </w:r>
      <w:proofErr w:type="spellEnd"/>
      <w:r w:rsidRPr="00F07779">
        <w:t xml:space="preserve"> </w:t>
      </w:r>
      <w:proofErr w:type="spellStart"/>
      <w:r w:rsidRPr="00F07779">
        <w:t>Dvor</w:t>
      </w:r>
      <w:proofErr w:type="spellEnd"/>
      <w:r w:rsidRPr="00F07779">
        <w:t xml:space="preserve"> gas storage facility.</w:t>
      </w:r>
    </w:p>
    <w:p w14:paraId="6881E008" w14:textId="77777777" w:rsidR="00435778" w:rsidRPr="00F07779" w:rsidRDefault="00435778" w:rsidP="00435778">
      <w:pPr>
        <w:jc w:val="both"/>
      </w:pPr>
      <w:r w:rsidRPr="00F07779">
        <w:t>The investment value of this project is EUR 145 million. The contribution of this project, after its implementation, to the increase of supply security is reflected in an increase of the (N–1) infrastructure standard by an additional 28% (to 174%).</w:t>
      </w:r>
    </w:p>
    <w:p w14:paraId="597C780F" w14:textId="77777777" w:rsidR="00435778" w:rsidRPr="00F07779" w:rsidRDefault="00435778" w:rsidP="00435778">
      <w:pPr>
        <w:jc w:val="both"/>
      </w:pPr>
    </w:p>
    <w:p w14:paraId="1716B988" w14:textId="7FCA7246" w:rsidR="00435778" w:rsidRPr="00F07779" w:rsidRDefault="00435778" w:rsidP="00435778">
      <w:pPr>
        <w:jc w:val="both"/>
      </w:pPr>
      <w:r w:rsidRPr="00F07779">
        <w:t xml:space="preserve">Measure G2 – Interconnections with neighboring </w:t>
      </w:r>
      <w:r w:rsidR="008076AB" w:rsidRPr="00F07779">
        <w:t>transport</w:t>
      </w:r>
      <w:r w:rsidR="00034449" w:rsidRPr="00F07779">
        <w:t xml:space="preserve"> </w:t>
      </w:r>
      <w:r w:rsidRPr="00F07779">
        <w:t>systems includes two activities:</w:t>
      </w:r>
    </w:p>
    <w:p w14:paraId="5DD86754" w14:textId="77777777" w:rsidR="00435778" w:rsidRPr="00F07779" w:rsidRDefault="00435778" w:rsidP="00435778">
      <w:pPr>
        <w:jc w:val="both"/>
      </w:pPr>
      <w:r w:rsidRPr="00F07779">
        <w:t xml:space="preserve">G2.1: Gas interconnection project Republic of Serbia – Romania, </w:t>
      </w:r>
      <w:proofErr w:type="spellStart"/>
      <w:r w:rsidRPr="00F07779">
        <w:t>Mokrin</w:t>
      </w:r>
      <w:proofErr w:type="spellEnd"/>
      <w:r w:rsidRPr="00F07779">
        <w:t>–Arad pipeline (border with Romania)</w:t>
      </w:r>
    </w:p>
    <w:p w14:paraId="5200E1F3" w14:textId="7456CA91" w:rsidR="00435778" w:rsidRPr="00F07779" w:rsidRDefault="00435778" w:rsidP="002B06A3">
      <w:pPr>
        <w:jc w:val="both"/>
      </w:pPr>
      <w:r w:rsidRPr="00F07779">
        <w:t xml:space="preserve">G2.2: </w:t>
      </w:r>
      <w:r w:rsidR="002B06A3" w:rsidRPr="00F07779">
        <w:t xml:space="preserve">Gas Interconnection Republic of Serbia - Republic of North Macedonia (MG 14 GRČ </w:t>
      </w:r>
      <w:proofErr w:type="spellStart"/>
      <w:r w:rsidR="002B06A3" w:rsidRPr="00F07779">
        <w:t>Orljane</w:t>
      </w:r>
      <w:proofErr w:type="spellEnd"/>
      <w:r w:rsidR="002B06A3" w:rsidRPr="00F07779">
        <w:t>–Leskovac–Vranje–border with the Republic of North Macedonia – Section Vranje–border with North Macedonia)</w:t>
      </w:r>
    </w:p>
    <w:p w14:paraId="06E8F85B" w14:textId="77777777" w:rsidR="00435778" w:rsidRPr="00F07779" w:rsidRDefault="00435778" w:rsidP="00435778">
      <w:pPr>
        <w:jc w:val="both"/>
      </w:pPr>
      <w:r w:rsidRPr="00F07779">
        <w:t>The investment value of this measure is EUR 54 million. The contribution of this measure, after implementing the planned activities, to the increase of supply security is reflected in an increase of the (N–1) infrastructure standard by an additional 23%, while the contribution to the diversification of gas sources and supply routes is measured by a reduction of IDUPS to 3.257.</w:t>
      </w:r>
    </w:p>
    <w:p w14:paraId="328C5CB4" w14:textId="77777777" w:rsidR="00435778" w:rsidRPr="00F07779" w:rsidRDefault="00435778" w:rsidP="00435778">
      <w:pPr>
        <w:jc w:val="both"/>
      </w:pPr>
    </w:p>
    <w:p w14:paraId="4DCD2E38" w14:textId="50269CD6" w:rsidR="00435778" w:rsidRPr="00F07779" w:rsidRDefault="00435778" w:rsidP="00435778">
      <w:pPr>
        <w:jc w:val="both"/>
      </w:pPr>
      <w:r w:rsidRPr="00F07779">
        <w:t xml:space="preserve">Measure G3 – Preventive maintenance and rehabilitation of existing main gas pipelines include </w:t>
      </w:r>
      <w:r w:rsidR="002B06A3" w:rsidRPr="00F07779">
        <w:t xml:space="preserve">two </w:t>
      </w:r>
      <w:r w:rsidRPr="00F07779">
        <w:t>activit</w:t>
      </w:r>
      <w:r w:rsidR="002B06A3" w:rsidRPr="00F07779">
        <w:t>ies</w:t>
      </w:r>
      <w:r w:rsidRPr="00F07779">
        <w:t>:</w:t>
      </w:r>
    </w:p>
    <w:p w14:paraId="53730976" w14:textId="77777777" w:rsidR="00435778" w:rsidRPr="00F07779" w:rsidRDefault="00435778" w:rsidP="00435778">
      <w:pPr>
        <w:jc w:val="both"/>
      </w:pPr>
      <w:r w:rsidRPr="00F07779">
        <w:t>G3.1: Reconstruction of pipeline RG 01-10 (section over the Danube – Smederevo Bridge)</w:t>
      </w:r>
    </w:p>
    <w:p w14:paraId="7F3EDC04" w14:textId="7B21B47F" w:rsidR="00435778" w:rsidRPr="00F07779" w:rsidRDefault="002B06A3" w:rsidP="00435778">
      <w:pPr>
        <w:jc w:val="both"/>
      </w:pPr>
      <w:r w:rsidRPr="00F07779">
        <w:t xml:space="preserve">G3.2: Assessment of the condition of existing high-pressure main gas pipelines from </w:t>
      </w:r>
      <w:proofErr w:type="spellStart"/>
      <w:r w:rsidRPr="00F07779">
        <w:t>Horgoš</w:t>
      </w:r>
      <w:proofErr w:type="spellEnd"/>
      <w:r w:rsidRPr="00F07779">
        <w:t xml:space="preserve"> to </w:t>
      </w:r>
      <w:proofErr w:type="spellStart"/>
      <w:r w:rsidRPr="00F07779">
        <w:t>Niš</w:t>
      </w:r>
      <w:proofErr w:type="spellEnd"/>
    </w:p>
    <w:p w14:paraId="2749D473" w14:textId="77777777" w:rsidR="002B06A3" w:rsidRPr="00F07779" w:rsidRDefault="002B06A3" w:rsidP="00435778">
      <w:pPr>
        <w:jc w:val="both"/>
      </w:pPr>
    </w:p>
    <w:p w14:paraId="298B71BA" w14:textId="3BAC9E88" w:rsidR="00435778" w:rsidRPr="00F07779" w:rsidRDefault="00435778" w:rsidP="00435778">
      <w:pPr>
        <w:jc w:val="both"/>
      </w:pPr>
      <w:r w:rsidRPr="00F07779">
        <w:t xml:space="preserve">Measure G4 – Construction of </w:t>
      </w:r>
      <w:proofErr w:type="spellStart"/>
      <w:r w:rsidR="008076AB" w:rsidRPr="00F07779">
        <w:t>transport</w:t>
      </w:r>
      <w:r w:rsidRPr="00F07779">
        <w:t>and</w:t>
      </w:r>
      <w:proofErr w:type="spellEnd"/>
      <w:r w:rsidRPr="00F07779">
        <w:t xml:space="preserve"> distribution system includes six activities:</w:t>
      </w:r>
    </w:p>
    <w:p w14:paraId="6596B22D" w14:textId="745BA31E" w:rsidR="00435778" w:rsidRPr="00F07779" w:rsidRDefault="00435778" w:rsidP="00435778">
      <w:pPr>
        <w:jc w:val="both"/>
      </w:pPr>
      <w:r w:rsidRPr="00F07779">
        <w:t xml:space="preserve">G4.1: </w:t>
      </w:r>
      <w:r w:rsidR="002B06A3" w:rsidRPr="00F07779">
        <w:t xml:space="preserve">MG 14 GRČ </w:t>
      </w:r>
      <w:proofErr w:type="spellStart"/>
      <w:r w:rsidR="002B06A3" w:rsidRPr="00F07779">
        <w:t>Orljane</w:t>
      </w:r>
      <w:proofErr w:type="spellEnd"/>
      <w:r w:rsidR="002B06A3" w:rsidRPr="00F07779">
        <w:t xml:space="preserve">–Leskovac–Vranje–border with the Republic of North Macedonia – Section </w:t>
      </w:r>
      <w:proofErr w:type="spellStart"/>
      <w:r w:rsidR="002B06A3" w:rsidRPr="00F07779">
        <w:t>Orljane</w:t>
      </w:r>
      <w:proofErr w:type="spellEnd"/>
      <w:r w:rsidR="002B06A3" w:rsidRPr="00F07779">
        <w:t>–Leskovac–Vranje</w:t>
      </w:r>
    </w:p>
    <w:p w14:paraId="613E5EBC" w14:textId="77777777" w:rsidR="00435778" w:rsidRPr="00F07779" w:rsidRDefault="00435778" w:rsidP="00435778">
      <w:pPr>
        <w:jc w:val="both"/>
      </w:pPr>
      <w:r w:rsidRPr="00F07779">
        <w:t xml:space="preserve">G4.2: Main and distribution pipelines of eastern Serbia: </w:t>
      </w:r>
      <w:proofErr w:type="spellStart"/>
      <w:r w:rsidRPr="00F07779">
        <w:t>Paraćin</w:t>
      </w:r>
      <w:proofErr w:type="spellEnd"/>
      <w:r w:rsidRPr="00F07779">
        <w:t>–</w:t>
      </w:r>
      <w:proofErr w:type="spellStart"/>
      <w:r w:rsidRPr="00F07779">
        <w:t>Boljevac</w:t>
      </w:r>
      <w:proofErr w:type="spellEnd"/>
      <w:r w:rsidRPr="00F07779">
        <w:t>–</w:t>
      </w:r>
      <w:proofErr w:type="spellStart"/>
      <w:r w:rsidRPr="00F07779">
        <w:t>Rgotina</w:t>
      </w:r>
      <w:proofErr w:type="spellEnd"/>
      <w:r w:rsidRPr="00F07779">
        <w:t>–</w:t>
      </w:r>
      <w:proofErr w:type="spellStart"/>
      <w:r w:rsidRPr="00F07779">
        <w:t>Negotin</w:t>
      </w:r>
      <w:proofErr w:type="spellEnd"/>
      <w:r w:rsidRPr="00F07779">
        <w:t>–</w:t>
      </w:r>
      <w:proofErr w:type="spellStart"/>
      <w:r w:rsidRPr="00F07779">
        <w:t>Prahovo</w:t>
      </w:r>
      <w:proofErr w:type="spellEnd"/>
      <w:r w:rsidRPr="00F07779">
        <w:t xml:space="preserve"> with branches to </w:t>
      </w:r>
      <w:proofErr w:type="spellStart"/>
      <w:r w:rsidRPr="00F07779">
        <w:t>Bor</w:t>
      </w:r>
      <w:proofErr w:type="spellEnd"/>
      <w:r w:rsidRPr="00F07779">
        <w:t xml:space="preserve">, </w:t>
      </w:r>
      <w:proofErr w:type="spellStart"/>
      <w:r w:rsidRPr="00F07779">
        <w:t>Zaječar</w:t>
      </w:r>
      <w:proofErr w:type="spellEnd"/>
      <w:r w:rsidRPr="00F07779">
        <w:t xml:space="preserve">, and </w:t>
      </w:r>
      <w:proofErr w:type="spellStart"/>
      <w:r w:rsidRPr="00F07779">
        <w:t>Knjaževac</w:t>
      </w:r>
      <w:proofErr w:type="spellEnd"/>
    </w:p>
    <w:p w14:paraId="30C52BD6" w14:textId="77777777" w:rsidR="00435778" w:rsidRPr="00F07779" w:rsidRDefault="00435778" w:rsidP="00435778">
      <w:pPr>
        <w:jc w:val="both"/>
      </w:pPr>
      <w:r w:rsidRPr="00F07779">
        <w:t xml:space="preserve">G4.3: Gasification of the industrial zone in </w:t>
      </w:r>
      <w:proofErr w:type="spellStart"/>
      <w:r w:rsidRPr="00F07779">
        <w:t>Inđija</w:t>
      </w:r>
      <w:proofErr w:type="spellEnd"/>
    </w:p>
    <w:p w14:paraId="172F8CE8" w14:textId="77777777" w:rsidR="00435778" w:rsidRPr="00F07779" w:rsidRDefault="00435778" w:rsidP="00435778">
      <w:pPr>
        <w:jc w:val="both"/>
      </w:pPr>
      <w:r w:rsidRPr="00F07779">
        <w:t>G4.4: Distribution pipeline Zlatibor–</w:t>
      </w:r>
      <w:proofErr w:type="spellStart"/>
      <w:r w:rsidRPr="00F07779">
        <w:t>Prijepolje</w:t>
      </w:r>
      <w:proofErr w:type="spellEnd"/>
      <w:r w:rsidRPr="00F07779">
        <w:t xml:space="preserve">–Priboj–Nova </w:t>
      </w:r>
      <w:proofErr w:type="spellStart"/>
      <w:r w:rsidRPr="00F07779">
        <w:t>Varoš</w:t>
      </w:r>
      <w:proofErr w:type="spellEnd"/>
      <w:r w:rsidRPr="00F07779">
        <w:t xml:space="preserve"> and distribution pipeline </w:t>
      </w:r>
      <w:proofErr w:type="spellStart"/>
      <w:r w:rsidRPr="00F07779">
        <w:t>Glogovik</w:t>
      </w:r>
      <w:proofErr w:type="spellEnd"/>
      <w:r w:rsidRPr="00F07779">
        <w:t>–</w:t>
      </w:r>
      <w:proofErr w:type="spellStart"/>
      <w:r w:rsidRPr="00F07779">
        <w:t>Sjenica</w:t>
      </w:r>
      <w:proofErr w:type="spellEnd"/>
    </w:p>
    <w:p w14:paraId="163D63CB" w14:textId="77777777" w:rsidR="00435778" w:rsidRPr="00F07779" w:rsidRDefault="00435778" w:rsidP="00435778">
      <w:pPr>
        <w:jc w:val="both"/>
      </w:pPr>
      <w:r w:rsidRPr="00F07779">
        <w:t>G4.5: Distribution pipeline Belgrade–Valjevo–</w:t>
      </w:r>
      <w:proofErr w:type="spellStart"/>
      <w:r w:rsidRPr="00F07779">
        <w:t>Loznica</w:t>
      </w:r>
      <w:proofErr w:type="spellEnd"/>
    </w:p>
    <w:p w14:paraId="4C2A2F79" w14:textId="77777777" w:rsidR="00435778" w:rsidRPr="00F07779" w:rsidRDefault="00435778" w:rsidP="00435778">
      <w:pPr>
        <w:jc w:val="both"/>
      </w:pPr>
      <w:r w:rsidRPr="00F07779">
        <w:t xml:space="preserve">G4.6: Construction/expansion of distribution gas networks in </w:t>
      </w:r>
      <w:proofErr w:type="spellStart"/>
      <w:r w:rsidRPr="00F07779">
        <w:t>Niš</w:t>
      </w:r>
      <w:proofErr w:type="spellEnd"/>
      <w:r w:rsidRPr="00F07779">
        <w:t xml:space="preserve">, Leskovac, </w:t>
      </w:r>
      <w:proofErr w:type="spellStart"/>
      <w:r w:rsidRPr="00F07779">
        <w:t>Vlasotince</w:t>
      </w:r>
      <w:proofErr w:type="spellEnd"/>
      <w:r w:rsidRPr="00F07779">
        <w:t xml:space="preserve">, </w:t>
      </w:r>
      <w:proofErr w:type="spellStart"/>
      <w:r w:rsidRPr="00F07779">
        <w:t>Ražanj</w:t>
      </w:r>
      <w:proofErr w:type="spellEnd"/>
      <w:r w:rsidRPr="00F07779">
        <w:t xml:space="preserve">, </w:t>
      </w:r>
      <w:proofErr w:type="spellStart"/>
      <w:r w:rsidRPr="00F07779">
        <w:t>Aleksinac</w:t>
      </w:r>
      <w:proofErr w:type="spellEnd"/>
      <w:r w:rsidRPr="00F07779">
        <w:t xml:space="preserve">, Lučani, </w:t>
      </w:r>
      <w:proofErr w:type="spellStart"/>
      <w:r w:rsidRPr="00F07779">
        <w:t>Guča</w:t>
      </w:r>
      <w:proofErr w:type="spellEnd"/>
      <w:r w:rsidRPr="00F07779">
        <w:t xml:space="preserve">, and </w:t>
      </w:r>
      <w:proofErr w:type="spellStart"/>
      <w:r w:rsidRPr="00F07779">
        <w:t>Aleksandrovac</w:t>
      </w:r>
      <w:proofErr w:type="spellEnd"/>
    </w:p>
    <w:p w14:paraId="096C0ECD" w14:textId="77777777" w:rsidR="00435778" w:rsidRPr="00F07779" w:rsidRDefault="00435778" w:rsidP="00435778">
      <w:pPr>
        <w:jc w:val="both"/>
      </w:pPr>
    </w:p>
    <w:p w14:paraId="08CCC70D" w14:textId="3BDB3156" w:rsidR="00435778" w:rsidRPr="00F07779" w:rsidRDefault="00435778" w:rsidP="00435778">
      <w:pPr>
        <w:jc w:val="both"/>
      </w:pPr>
      <w:r w:rsidRPr="00F07779">
        <w:t xml:space="preserve">The total investment value of this measure is EUR 336.8 million. The contribution of this measure relates to the development of the natural gas market. Its implementation creates conditions for gasification of non-gasified areas in southern, eastern, and western Serbia, as well as increased gas usage for industrial consumers in </w:t>
      </w:r>
      <w:proofErr w:type="spellStart"/>
      <w:r w:rsidRPr="00F07779">
        <w:t>Inđija</w:t>
      </w:r>
      <w:proofErr w:type="spellEnd"/>
      <w:r w:rsidRPr="00F07779">
        <w:t xml:space="preserve"> and </w:t>
      </w:r>
      <w:proofErr w:type="spellStart"/>
      <w:r w:rsidRPr="00F07779">
        <w:t>Zrenjanin</w:t>
      </w:r>
      <w:proofErr w:type="spellEnd"/>
      <w:r w:rsidRPr="00F07779">
        <w:t>.</w:t>
      </w:r>
      <w:r w:rsidR="0010715F" w:rsidRPr="00F07779">
        <w:t xml:space="preserve"> </w:t>
      </w:r>
      <w:r w:rsidRPr="00F07779">
        <w:t xml:space="preserve">Activities within </w:t>
      </w:r>
      <w:r w:rsidR="0010715F" w:rsidRPr="00F07779">
        <w:t>m</w:t>
      </w:r>
      <w:r w:rsidRPr="00F07779">
        <w:t>easure G4 enable substitution of liquid and solid fuels in industry and for general consumption (households, commercial sector, etc.). Using natural gas instead of coal, fuel oil, or firewood has a positive effect on reducing local emissions (</w:t>
      </w:r>
      <w:proofErr w:type="spellStart"/>
      <w:r w:rsidRPr="00F07779">
        <w:t>SOx</w:t>
      </w:r>
      <w:proofErr w:type="spellEnd"/>
      <w:r w:rsidRPr="00F07779">
        <w:t xml:space="preserve">, NOx, particulate </w:t>
      </w:r>
      <w:r w:rsidRPr="00F07779">
        <w:lastRenderedPageBreak/>
        <w:t xml:space="preserve">matter) and ensures more efficient use of energy sources. Similar effects are observed on climate, due to the significantly lower CO2 emission factor compared to coal and liquid fuels. The quantification of this effect is specific to each case of substitution. In principle, sulfur oxides and particulate emissions are </w:t>
      </w:r>
      <w:proofErr w:type="gramStart"/>
      <w:r w:rsidRPr="00F07779">
        <w:t>completely eliminated</w:t>
      </w:r>
      <w:proofErr w:type="gramEnd"/>
      <w:r w:rsidRPr="00F07779">
        <w:t>, while nitrogen oxide emissions are reduced by 10% when substituting liquid fuels (fuel oil), 20% for coal, and 30% for firewood.</w:t>
      </w:r>
    </w:p>
    <w:p w14:paraId="32FCE596" w14:textId="77777777" w:rsidR="00435778" w:rsidRPr="00F07779" w:rsidRDefault="00435778" w:rsidP="00435778">
      <w:pPr>
        <w:jc w:val="both"/>
      </w:pPr>
    </w:p>
    <w:p w14:paraId="2B00773F" w14:textId="282E4507" w:rsidR="00435778" w:rsidRPr="00F07779" w:rsidRDefault="00435778" w:rsidP="00435778">
      <w:pPr>
        <w:jc w:val="both"/>
      </w:pPr>
      <w:r w:rsidRPr="00F07779">
        <w:t xml:space="preserve">Measure G5 – Modernization of the metering system includes </w:t>
      </w:r>
      <w:r w:rsidR="002B06A3" w:rsidRPr="00F07779">
        <w:t>three</w:t>
      </w:r>
      <w:r w:rsidRPr="00F07779">
        <w:t xml:space="preserve"> activit</w:t>
      </w:r>
      <w:r w:rsidR="002B06A3" w:rsidRPr="00F07779">
        <w:t>ies</w:t>
      </w:r>
      <w:r w:rsidRPr="00F07779">
        <w:t>:</w:t>
      </w:r>
    </w:p>
    <w:p w14:paraId="761EF9C7" w14:textId="2AFC710A" w:rsidR="002B06A3" w:rsidRPr="00F07779" w:rsidRDefault="00435778" w:rsidP="00435778">
      <w:pPr>
        <w:jc w:val="both"/>
      </w:pPr>
      <w:r w:rsidRPr="00F07779">
        <w:t xml:space="preserve">G5.1: Construction of transfer station in </w:t>
      </w:r>
      <w:proofErr w:type="spellStart"/>
      <w:r w:rsidRPr="00F07779">
        <w:t>Loznica</w:t>
      </w:r>
      <w:proofErr w:type="spellEnd"/>
      <w:r w:rsidR="002B06A3" w:rsidRPr="00F07779">
        <w:t>,</w:t>
      </w:r>
    </w:p>
    <w:p w14:paraId="67AE1938" w14:textId="7AB32C66" w:rsidR="002B06A3" w:rsidRPr="00F07779" w:rsidRDefault="002B06A3" w:rsidP="00435778">
      <w:pPr>
        <w:jc w:val="both"/>
      </w:pPr>
      <w:r w:rsidRPr="00F07779">
        <w:t xml:space="preserve">G5.2: Construction of transfer station in </w:t>
      </w:r>
      <w:proofErr w:type="spellStart"/>
      <w:r w:rsidR="00435778" w:rsidRPr="00F07779">
        <w:t>Horgoš</w:t>
      </w:r>
      <w:proofErr w:type="spellEnd"/>
      <w:r w:rsidR="00435778" w:rsidRPr="00F07779">
        <w:t xml:space="preserve">, and </w:t>
      </w:r>
    </w:p>
    <w:p w14:paraId="4BEB77DD" w14:textId="699E88CA" w:rsidR="00435778" w:rsidRPr="00F07779" w:rsidRDefault="002B06A3" w:rsidP="00435778">
      <w:pPr>
        <w:jc w:val="both"/>
      </w:pPr>
      <w:r w:rsidRPr="00F07779">
        <w:t xml:space="preserve">G5.3: Construction of transfer station in </w:t>
      </w:r>
      <w:r w:rsidR="00435778" w:rsidRPr="00F07779">
        <w:t xml:space="preserve">PSG </w:t>
      </w:r>
      <w:proofErr w:type="spellStart"/>
      <w:r w:rsidR="00435778" w:rsidRPr="00F07779">
        <w:t>Banatski</w:t>
      </w:r>
      <w:proofErr w:type="spellEnd"/>
      <w:r w:rsidR="00435778" w:rsidRPr="00F07779">
        <w:t xml:space="preserve"> </w:t>
      </w:r>
      <w:proofErr w:type="spellStart"/>
      <w:r w:rsidR="00435778" w:rsidRPr="00F07779">
        <w:t>Dvor</w:t>
      </w:r>
      <w:proofErr w:type="spellEnd"/>
    </w:p>
    <w:p w14:paraId="23623A2B" w14:textId="77777777" w:rsidR="00435778" w:rsidRPr="00F07779" w:rsidRDefault="00435778" w:rsidP="00435778">
      <w:pPr>
        <w:jc w:val="both"/>
      </w:pPr>
      <w:r w:rsidRPr="00F07779">
        <w:t>The total investment value of this measure is EUR 42 million. Its contribution relates to the development of the natural gas market. Accurate measurement of delivered and received quantities of natural gas is a prerequisite for market development.</w:t>
      </w:r>
    </w:p>
    <w:p w14:paraId="0A5E5825" w14:textId="77777777" w:rsidR="00435778" w:rsidRPr="00F07779" w:rsidRDefault="00435778" w:rsidP="00435778">
      <w:pPr>
        <w:jc w:val="both"/>
      </w:pPr>
    </w:p>
    <w:p w14:paraId="606832B8" w14:textId="77777777" w:rsidR="00435778" w:rsidRPr="00F07779" w:rsidRDefault="00435778" w:rsidP="00435778">
      <w:pPr>
        <w:jc w:val="both"/>
      </w:pPr>
      <w:r w:rsidRPr="00F07779">
        <w:t>Measure G6 – Gas sector reform includes one activity:</w:t>
      </w:r>
    </w:p>
    <w:p w14:paraId="186EAE4A" w14:textId="148ED162" w:rsidR="00435778" w:rsidRPr="00F07779" w:rsidRDefault="00435778" w:rsidP="00435778">
      <w:pPr>
        <w:jc w:val="both"/>
      </w:pPr>
      <w:r w:rsidRPr="00F07779">
        <w:t xml:space="preserve">G6.1: Licensing of </w:t>
      </w:r>
      <w:proofErr w:type="spellStart"/>
      <w:r w:rsidRPr="00F07779">
        <w:t>Transportgas</w:t>
      </w:r>
      <w:proofErr w:type="spellEnd"/>
      <w:r w:rsidRPr="00F07779">
        <w:t xml:space="preserve"> Serbia L</w:t>
      </w:r>
      <w:r w:rsidR="00034449" w:rsidRPr="00F07779">
        <w:t>LC</w:t>
      </w:r>
      <w:r w:rsidRPr="00F07779">
        <w:t xml:space="preserve"> to perform the energy activity of </w:t>
      </w:r>
      <w:r w:rsidR="0010715F" w:rsidRPr="00F07779">
        <w:t>transport</w:t>
      </w:r>
      <w:r w:rsidRPr="00F07779">
        <w:t xml:space="preserve"> and </w:t>
      </w:r>
      <w:r w:rsidR="0010715F" w:rsidRPr="00F07779">
        <w:t>m</w:t>
      </w:r>
      <w:r w:rsidRPr="00F07779">
        <w:t xml:space="preserve">anagement of the natural gas </w:t>
      </w:r>
      <w:r w:rsidR="008076AB" w:rsidRPr="00F07779">
        <w:t>transport</w:t>
      </w:r>
      <w:r w:rsidR="00034449" w:rsidRPr="00F07779">
        <w:t xml:space="preserve"> </w:t>
      </w:r>
      <w:r w:rsidRPr="00F07779">
        <w:t>system</w:t>
      </w:r>
    </w:p>
    <w:p w14:paraId="69210082" w14:textId="77777777" w:rsidR="00435778" w:rsidRPr="00F07779" w:rsidRDefault="00435778" w:rsidP="00435778">
      <w:pPr>
        <w:jc w:val="both"/>
      </w:pPr>
      <w:r w:rsidRPr="00F07779">
        <w:t xml:space="preserve">The license is an act establishing the fulfillment of conditions for performing energy activities prescribed by </w:t>
      </w:r>
      <w:proofErr w:type="gramStart"/>
      <w:r w:rsidRPr="00F07779">
        <w:t>the Energy</w:t>
      </w:r>
      <w:proofErr w:type="gramEnd"/>
      <w:r w:rsidRPr="00F07779">
        <w:t xml:space="preserve"> Law. The contribution of this measure relates to the development of the natural gas market.</w:t>
      </w:r>
    </w:p>
    <w:p w14:paraId="321D5AD6" w14:textId="77777777" w:rsidR="00435778" w:rsidRPr="00F07779" w:rsidRDefault="00435778" w:rsidP="00435778">
      <w:pPr>
        <w:jc w:val="both"/>
      </w:pPr>
    </w:p>
    <w:p w14:paraId="222C4C8C" w14:textId="4E4F71BE" w:rsidR="00435778" w:rsidRPr="00F07779" w:rsidRDefault="000B40DF" w:rsidP="00435778">
      <w:pPr>
        <w:jc w:val="both"/>
      </w:pPr>
      <w:r w:rsidRPr="00F07779">
        <w:t xml:space="preserve">For the natural gas sector, improvement of the regulatory framework is also of key importance. </w:t>
      </w:r>
      <w:r w:rsidR="00435778" w:rsidRPr="00F07779">
        <w:t xml:space="preserve">By adopting the sectoral law, provisions related to natural gas will be consolidated into a single law, allowing better oversight and regulation of the natural gas sector. </w:t>
      </w:r>
    </w:p>
    <w:p w14:paraId="18815FFE" w14:textId="77777777" w:rsidR="00435778" w:rsidRPr="00F07779" w:rsidRDefault="00435778" w:rsidP="00435778">
      <w:pPr>
        <w:jc w:val="both"/>
      </w:pPr>
    </w:p>
    <w:p w14:paraId="364C518A" w14:textId="77777777" w:rsidR="00435778" w:rsidRPr="00F07779" w:rsidRDefault="00435778" w:rsidP="00435778">
      <w:pPr>
        <w:jc w:val="both"/>
      </w:pPr>
      <w:r w:rsidRPr="00F07779">
        <w:t>Table 5.5.2 presents the link between the adopted development goals of the natural gas sector and the proposed measures to achieve these goals, the indicators for monitoring implementation, the indicator values in 2023, and the projected values for the period 2026–2028.</w:t>
      </w:r>
    </w:p>
    <w:p w14:paraId="28E0F2CD" w14:textId="77777777" w:rsidR="00435778" w:rsidRPr="00F07779" w:rsidRDefault="00435778" w:rsidP="00435778"/>
    <w:p w14:paraId="58CF69E1" w14:textId="77777777" w:rsidR="00435778" w:rsidRPr="00F07779" w:rsidRDefault="00435778" w:rsidP="00435778">
      <w:r w:rsidRPr="00F07779">
        <w:t>Table 5.5.2: Objectives and Monitoring Indicators in the Natural Gas Sector</w:t>
      </w:r>
    </w:p>
    <w:tbl>
      <w:tblPr>
        <w:tblStyle w:val="TableGrid1"/>
        <w:tblW w:w="0" w:type="auto"/>
        <w:tblLook w:val="04A0" w:firstRow="1" w:lastRow="0" w:firstColumn="1" w:lastColumn="0" w:noHBand="0" w:noVBand="1"/>
      </w:tblPr>
      <w:tblGrid>
        <w:gridCol w:w="1108"/>
        <w:gridCol w:w="666"/>
        <w:gridCol w:w="2333"/>
        <w:gridCol w:w="2063"/>
        <w:gridCol w:w="2525"/>
      </w:tblGrid>
      <w:tr w:rsidR="00435778" w:rsidRPr="00F07779" w14:paraId="30D88015" w14:textId="77777777" w:rsidTr="005E3573">
        <w:tc>
          <w:tcPr>
            <w:tcW w:w="1774" w:type="dxa"/>
            <w:gridSpan w:val="2"/>
            <w:hideMark/>
          </w:tcPr>
          <w:p w14:paraId="281DBA8D" w14:textId="77777777" w:rsidR="00435778" w:rsidRPr="00F07779" w:rsidRDefault="00435778" w:rsidP="005E3573">
            <w:pPr>
              <w:ind w:firstLine="0"/>
              <w:jc w:val="center"/>
              <w:rPr>
                <w:rFonts w:eastAsia="Calibri"/>
                <w:b/>
                <w:bCs/>
                <w:color w:val="2F5496" w:themeColor="accent1" w:themeShade="BF"/>
                <w:sz w:val="20"/>
                <w:szCs w:val="20"/>
                <w:lang w:val="en-US"/>
              </w:rPr>
            </w:pPr>
            <w:r w:rsidRPr="00F07779">
              <w:rPr>
                <w:color w:val="2F5496" w:themeColor="accent1" w:themeShade="BF"/>
                <w:sz w:val="20"/>
                <w:szCs w:val="20"/>
                <w:lang w:val="en-US"/>
              </w:rPr>
              <w:t>Objectives</w:t>
            </w:r>
          </w:p>
        </w:tc>
        <w:tc>
          <w:tcPr>
            <w:tcW w:w="2333" w:type="dxa"/>
            <w:hideMark/>
          </w:tcPr>
          <w:p w14:paraId="178A7696" w14:textId="77777777" w:rsidR="00435778" w:rsidRPr="00F07779" w:rsidRDefault="00435778" w:rsidP="005E3573">
            <w:pPr>
              <w:pStyle w:val="ListParagraph"/>
              <w:numPr>
                <w:ilvl w:val="0"/>
                <w:numId w:val="1"/>
              </w:numPr>
              <w:ind w:left="129" w:hanging="187"/>
              <w:jc w:val="center"/>
              <w:rPr>
                <w:rFonts w:ascii="Times New Roman" w:eastAsia="Calibri" w:hAnsi="Times New Roman" w:cs="Times New Roman"/>
                <w:noProof w:val="0"/>
                <w:color w:val="2F5496" w:themeColor="accent1" w:themeShade="BF"/>
                <w:sz w:val="20"/>
                <w:szCs w:val="20"/>
                <w:lang w:val="en-US"/>
              </w:rPr>
            </w:pPr>
            <w:r w:rsidRPr="00F07779">
              <w:rPr>
                <w:rFonts w:ascii="Times New Roman" w:hAnsi="Times New Roman" w:cs="Times New Roman"/>
                <w:noProof w:val="0"/>
                <w:color w:val="2F5496" w:themeColor="accent1" w:themeShade="BF"/>
                <w:sz w:val="20"/>
                <w:szCs w:val="20"/>
                <w:lang w:val="en-US"/>
              </w:rPr>
              <w:t>Secure supply of required quantities</w:t>
            </w:r>
          </w:p>
        </w:tc>
        <w:tc>
          <w:tcPr>
            <w:tcW w:w="2063" w:type="dxa"/>
          </w:tcPr>
          <w:p w14:paraId="35F41748" w14:textId="77777777" w:rsidR="00435778" w:rsidRPr="00F07779" w:rsidRDefault="00435778" w:rsidP="005E3573">
            <w:pPr>
              <w:pStyle w:val="ListParagraph"/>
              <w:numPr>
                <w:ilvl w:val="0"/>
                <w:numId w:val="1"/>
              </w:numPr>
              <w:ind w:left="129" w:hanging="187"/>
              <w:jc w:val="center"/>
              <w:rPr>
                <w:rFonts w:ascii="Times New Roman" w:eastAsia="Calibri" w:hAnsi="Times New Roman" w:cs="Times New Roman"/>
                <w:noProof w:val="0"/>
                <w:color w:val="2F5496" w:themeColor="accent1" w:themeShade="BF"/>
                <w:sz w:val="20"/>
                <w:szCs w:val="20"/>
                <w:lang w:val="en-US"/>
              </w:rPr>
            </w:pPr>
            <w:r w:rsidRPr="00F07779">
              <w:rPr>
                <w:rFonts w:ascii="Times New Roman" w:hAnsi="Times New Roman" w:cs="Times New Roman"/>
                <w:noProof w:val="0"/>
                <w:color w:val="2F5496" w:themeColor="accent1" w:themeShade="BF"/>
                <w:sz w:val="20"/>
                <w:szCs w:val="20"/>
                <w:lang w:val="en-US"/>
              </w:rPr>
              <w:t>Development of the natural gas market</w:t>
            </w:r>
          </w:p>
        </w:tc>
        <w:tc>
          <w:tcPr>
            <w:tcW w:w="2525" w:type="dxa"/>
          </w:tcPr>
          <w:p w14:paraId="702E073C" w14:textId="77777777" w:rsidR="00435778" w:rsidRPr="00F07779" w:rsidRDefault="00435778" w:rsidP="005E3573">
            <w:pPr>
              <w:pStyle w:val="ListParagraph"/>
              <w:numPr>
                <w:ilvl w:val="0"/>
                <w:numId w:val="1"/>
              </w:numPr>
              <w:ind w:left="129" w:hanging="187"/>
              <w:jc w:val="center"/>
              <w:rPr>
                <w:rFonts w:ascii="Times New Roman" w:eastAsia="Calibri" w:hAnsi="Times New Roman" w:cs="Times New Roman"/>
                <w:noProof w:val="0"/>
                <w:color w:val="2F5496" w:themeColor="accent1" w:themeShade="BF"/>
                <w:sz w:val="20"/>
                <w:szCs w:val="20"/>
                <w:lang w:val="en-US"/>
              </w:rPr>
            </w:pPr>
            <w:r w:rsidRPr="00F07779">
              <w:rPr>
                <w:rFonts w:ascii="Times New Roman" w:hAnsi="Times New Roman" w:cs="Times New Roman"/>
                <w:noProof w:val="0"/>
                <w:color w:val="2F5496" w:themeColor="accent1" w:themeShade="BF"/>
                <w:sz w:val="20"/>
                <w:szCs w:val="20"/>
                <w:lang w:val="en-US"/>
              </w:rPr>
              <w:t>Diversification of sources and supply routes</w:t>
            </w:r>
          </w:p>
        </w:tc>
      </w:tr>
      <w:tr w:rsidR="00435778" w:rsidRPr="00F07779" w14:paraId="6D728F62" w14:textId="77777777" w:rsidTr="005E3573">
        <w:tc>
          <w:tcPr>
            <w:tcW w:w="1774" w:type="dxa"/>
            <w:gridSpan w:val="2"/>
            <w:hideMark/>
          </w:tcPr>
          <w:p w14:paraId="7CB6860F" w14:textId="77777777" w:rsidR="00435778" w:rsidRPr="00F07779" w:rsidRDefault="00435778" w:rsidP="005E3573">
            <w:pPr>
              <w:ind w:firstLine="0"/>
              <w:jc w:val="center"/>
              <w:rPr>
                <w:rFonts w:eastAsia="Calibri"/>
                <w:b/>
                <w:bCs/>
                <w:color w:val="2F5496" w:themeColor="accent1" w:themeShade="BF"/>
                <w:sz w:val="20"/>
                <w:szCs w:val="20"/>
                <w:lang w:val="en-US"/>
              </w:rPr>
            </w:pPr>
            <w:r w:rsidRPr="00F07779">
              <w:rPr>
                <w:color w:val="2F5496" w:themeColor="accent1" w:themeShade="BF"/>
                <w:sz w:val="20"/>
                <w:szCs w:val="20"/>
                <w:lang w:val="en-US"/>
              </w:rPr>
              <w:t>Measures</w:t>
            </w:r>
          </w:p>
        </w:tc>
        <w:tc>
          <w:tcPr>
            <w:tcW w:w="2333" w:type="dxa"/>
            <w:hideMark/>
          </w:tcPr>
          <w:p w14:paraId="0141E4E4" w14:textId="77777777" w:rsidR="00435778" w:rsidRPr="00F07779" w:rsidRDefault="00435778" w:rsidP="005E3573">
            <w:pPr>
              <w:ind w:firstLine="0"/>
              <w:jc w:val="center"/>
              <w:rPr>
                <w:rFonts w:eastAsia="Calibri"/>
                <w:color w:val="2F5496" w:themeColor="accent1" w:themeShade="BF"/>
                <w:sz w:val="20"/>
                <w:szCs w:val="20"/>
                <w:lang w:val="en-US"/>
              </w:rPr>
            </w:pPr>
            <w:r w:rsidRPr="00F07779">
              <w:rPr>
                <w:color w:val="2F5496" w:themeColor="accent1" w:themeShade="BF"/>
                <w:sz w:val="20"/>
                <w:szCs w:val="20"/>
                <w:lang w:val="en-US"/>
              </w:rPr>
              <w:t>G1, G2, G3</w:t>
            </w:r>
          </w:p>
        </w:tc>
        <w:tc>
          <w:tcPr>
            <w:tcW w:w="2063" w:type="dxa"/>
            <w:hideMark/>
          </w:tcPr>
          <w:p w14:paraId="57F6A09F" w14:textId="77777777" w:rsidR="00435778" w:rsidRPr="00F07779" w:rsidRDefault="00435778" w:rsidP="005E3573">
            <w:pPr>
              <w:ind w:firstLine="0"/>
              <w:jc w:val="center"/>
              <w:rPr>
                <w:rFonts w:eastAsia="Calibri"/>
                <w:color w:val="2F5496" w:themeColor="accent1" w:themeShade="BF"/>
                <w:sz w:val="20"/>
                <w:szCs w:val="20"/>
                <w:lang w:val="en-US"/>
              </w:rPr>
            </w:pPr>
            <w:r w:rsidRPr="00F07779">
              <w:rPr>
                <w:color w:val="2F5496" w:themeColor="accent1" w:themeShade="BF"/>
                <w:sz w:val="20"/>
                <w:szCs w:val="20"/>
                <w:lang w:val="en-US"/>
              </w:rPr>
              <w:t>G4, G5, G6, G7</w:t>
            </w:r>
          </w:p>
        </w:tc>
        <w:tc>
          <w:tcPr>
            <w:tcW w:w="2525" w:type="dxa"/>
            <w:hideMark/>
          </w:tcPr>
          <w:p w14:paraId="2B7CCA88" w14:textId="77777777" w:rsidR="00435778" w:rsidRPr="00F07779" w:rsidRDefault="00435778" w:rsidP="005E3573">
            <w:pPr>
              <w:ind w:firstLine="0"/>
              <w:jc w:val="center"/>
              <w:rPr>
                <w:rFonts w:eastAsia="Calibri"/>
                <w:color w:val="2F5496" w:themeColor="accent1" w:themeShade="BF"/>
                <w:sz w:val="20"/>
                <w:szCs w:val="20"/>
                <w:lang w:val="en-US"/>
              </w:rPr>
            </w:pPr>
            <w:r w:rsidRPr="00F07779">
              <w:rPr>
                <w:color w:val="2F5496" w:themeColor="accent1" w:themeShade="BF"/>
                <w:sz w:val="20"/>
                <w:szCs w:val="20"/>
                <w:lang w:val="en-US"/>
              </w:rPr>
              <w:t>G2</w:t>
            </w:r>
          </w:p>
        </w:tc>
      </w:tr>
      <w:tr w:rsidR="00435778" w:rsidRPr="00F07779" w14:paraId="6D29C2D6" w14:textId="77777777" w:rsidTr="005E3573">
        <w:tc>
          <w:tcPr>
            <w:tcW w:w="1774" w:type="dxa"/>
            <w:gridSpan w:val="2"/>
            <w:vAlign w:val="center"/>
            <w:hideMark/>
          </w:tcPr>
          <w:p w14:paraId="5EF3837B" w14:textId="77777777" w:rsidR="00435778" w:rsidRPr="00F07779" w:rsidRDefault="00435778" w:rsidP="005E3573">
            <w:pPr>
              <w:ind w:firstLine="0"/>
              <w:jc w:val="center"/>
              <w:rPr>
                <w:rFonts w:eastAsia="Calibri"/>
                <w:b/>
                <w:bCs/>
                <w:color w:val="2F5496"/>
                <w:sz w:val="20"/>
                <w:szCs w:val="20"/>
                <w:lang w:val="en-US"/>
              </w:rPr>
            </w:pPr>
            <w:r w:rsidRPr="00F07779">
              <w:rPr>
                <w:rFonts w:eastAsia="Calibri"/>
                <w:b/>
                <w:bCs/>
                <w:color w:val="2F5496"/>
                <w:sz w:val="20"/>
                <w:szCs w:val="20"/>
                <w:lang w:val="en-US"/>
              </w:rPr>
              <w:t>Indicator</w:t>
            </w:r>
          </w:p>
        </w:tc>
        <w:tc>
          <w:tcPr>
            <w:tcW w:w="2333" w:type="dxa"/>
            <w:vAlign w:val="center"/>
            <w:hideMark/>
          </w:tcPr>
          <w:p w14:paraId="3F0800A4" w14:textId="77777777" w:rsidR="00435778" w:rsidRPr="00F07779" w:rsidRDefault="00435778" w:rsidP="005E3573">
            <w:pPr>
              <w:ind w:left="-58" w:firstLine="0"/>
              <w:jc w:val="center"/>
              <w:rPr>
                <w:rFonts w:eastAsia="Calibri"/>
                <w:color w:val="2F5496"/>
                <w:sz w:val="20"/>
                <w:szCs w:val="20"/>
                <w:lang w:val="en-US"/>
              </w:rPr>
            </w:pPr>
            <w:r w:rsidRPr="00F07779">
              <w:rPr>
                <w:rFonts w:eastAsia="Calibri"/>
                <w:color w:val="2F5496"/>
                <w:sz w:val="20"/>
                <w:szCs w:val="20"/>
                <w:lang w:val="en-US"/>
              </w:rPr>
              <w:t>(N-1) infrastructure standard</w:t>
            </w:r>
            <w:r w:rsidRPr="00F07779">
              <w:rPr>
                <w:rStyle w:val="FootnoteReference"/>
                <w:rFonts w:eastAsia="Calibri"/>
                <w:color w:val="2F5496"/>
                <w:sz w:val="20"/>
                <w:szCs w:val="20"/>
                <w:lang w:val="en-US"/>
              </w:rPr>
              <w:footnoteReference w:id="39"/>
            </w:r>
          </w:p>
        </w:tc>
        <w:tc>
          <w:tcPr>
            <w:tcW w:w="2063" w:type="dxa"/>
            <w:vAlign w:val="center"/>
            <w:hideMark/>
          </w:tcPr>
          <w:p w14:paraId="310D7031" w14:textId="77777777" w:rsidR="00435778" w:rsidRPr="00F07779" w:rsidRDefault="00435778" w:rsidP="005E3573">
            <w:pPr>
              <w:ind w:left="-58" w:firstLine="0"/>
              <w:jc w:val="center"/>
              <w:rPr>
                <w:rFonts w:eastAsia="Calibri"/>
                <w:color w:val="2F5496"/>
                <w:sz w:val="20"/>
                <w:szCs w:val="20"/>
                <w:lang w:val="en-US"/>
              </w:rPr>
            </w:pPr>
            <w:r w:rsidRPr="00F07779">
              <w:rPr>
                <w:rFonts w:eastAsia="Calibri"/>
                <w:color w:val="2F5496"/>
                <w:sz w:val="20"/>
                <w:szCs w:val="20"/>
                <w:lang w:val="en-US"/>
              </w:rPr>
              <w:t>Share of natural gas sales on the free market Total natural gas consumption</w:t>
            </w:r>
          </w:p>
        </w:tc>
        <w:tc>
          <w:tcPr>
            <w:tcW w:w="2525" w:type="dxa"/>
            <w:vAlign w:val="center"/>
            <w:hideMark/>
          </w:tcPr>
          <w:p w14:paraId="6B95CEC1" w14:textId="77777777" w:rsidR="00435778" w:rsidRPr="00F07779" w:rsidRDefault="00435778" w:rsidP="005E3573">
            <w:pPr>
              <w:ind w:left="-58" w:firstLine="0"/>
              <w:jc w:val="center"/>
              <w:rPr>
                <w:rFonts w:eastAsia="Calibri"/>
                <w:color w:val="2F5496"/>
                <w:sz w:val="20"/>
                <w:szCs w:val="20"/>
                <w:lang w:val="en-US"/>
              </w:rPr>
            </w:pPr>
            <w:r w:rsidRPr="00F07779">
              <w:rPr>
                <w:rFonts w:eastAsia="Calibri"/>
                <w:color w:val="2F5496"/>
                <w:sz w:val="20"/>
                <w:szCs w:val="20"/>
                <w:lang w:val="en-US"/>
              </w:rPr>
              <w:t>Import Sources Diversification Index (IDUPS)</w:t>
            </w:r>
            <w:r w:rsidRPr="00F07779">
              <w:rPr>
                <w:rStyle w:val="FootnoteReference"/>
                <w:rFonts w:eastAsia="Calibri"/>
                <w:color w:val="2F5496"/>
                <w:sz w:val="20"/>
                <w:szCs w:val="20"/>
                <w:lang w:val="en-US"/>
              </w:rPr>
              <w:footnoteReference w:id="40"/>
            </w:r>
          </w:p>
        </w:tc>
      </w:tr>
      <w:tr w:rsidR="00435778" w:rsidRPr="00F07779" w14:paraId="3569730B" w14:textId="77777777" w:rsidTr="005E3573">
        <w:trPr>
          <w:trHeight w:val="490"/>
        </w:trPr>
        <w:tc>
          <w:tcPr>
            <w:tcW w:w="1774" w:type="dxa"/>
            <w:gridSpan w:val="2"/>
            <w:vAlign w:val="center"/>
          </w:tcPr>
          <w:p w14:paraId="76248E57" w14:textId="77777777" w:rsidR="00435778" w:rsidRPr="00F07779" w:rsidRDefault="00435778" w:rsidP="005E3573">
            <w:pPr>
              <w:ind w:firstLine="0"/>
              <w:jc w:val="center"/>
              <w:rPr>
                <w:rFonts w:eastAsia="Calibri"/>
                <w:color w:val="2F5496"/>
                <w:sz w:val="20"/>
                <w:szCs w:val="20"/>
                <w:lang w:val="en-US"/>
              </w:rPr>
            </w:pPr>
            <w:r w:rsidRPr="00F07779">
              <w:rPr>
                <w:rFonts w:eastAsia="Calibri"/>
                <w:color w:val="2F5496"/>
                <w:sz w:val="20"/>
                <w:szCs w:val="20"/>
                <w:lang w:val="en-US"/>
              </w:rPr>
              <w:t>Value in 2023</w:t>
            </w:r>
          </w:p>
        </w:tc>
        <w:tc>
          <w:tcPr>
            <w:tcW w:w="2333" w:type="dxa"/>
            <w:vAlign w:val="center"/>
          </w:tcPr>
          <w:p w14:paraId="73759085" w14:textId="77777777" w:rsidR="00435778" w:rsidRPr="00F07779" w:rsidRDefault="00435778" w:rsidP="005E3573">
            <w:pPr>
              <w:pStyle w:val="NormalWeb"/>
              <w:spacing w:before="0" w:beforeAutospacing="0" w:after="150" w:afterAutospacing="0"/>
              <w:ind w:firstLine="0"/>
              <w:jc w:val="center"/>
              <w:rPr>
                <w:rFonts w:eastAsia="Calibri"/>
                <w:color w:val="2F5496"/>
                <w:sz w:val="20"/>
                <w:szCs w:val="20"/>
                <w:lang w:val="en-US"/>
              </w:rPr>
            </w:pPr>
            <w:r w:rsidRPr="00F07779">
              <w:rPr>
                <w:rFonts w:eastAsia="Calibri"/>
                <w:color w:val="2F5496"/>
                <w:sz w:val="20"/>
                <w:szCs w:val="20"/>
                <w:lang w:val="en-US"/>
              </w:rPr>
              <w:t>146%</w:t>
            </w:r>
            <w:r w:rsidRPr="00F07779">
              <w:rPr>
                <w:rStyle w:val="FootnoteReference"/>
                <w:rFonts w:eastAsia="Calibri"/>
                <w:color w:val="2F5496"/>
                <w:sz w:val="20"/>
                <w:szCs w:val="20"/>
                <w:lang w:val="en-US"/>
              </w:rPr>
              <w:footnoteReference w:id="41"/>
            </w:r>
          </w:p>
        </w:tc>
        <w:tc>
          <w:tcPr>
            <w:tcW w:w="2063" w:type="dxa"/>
            <w:vAlign w:val="center"/>
          </w:tcPr>
          <w:p w14:paraId="00363455" w14:textId="19992898" w:rsidR="00435778" w:rsidRPr="00F07779" w:rsidRDefault="00435778" w:rsidP="005E3573">
            <w:pPr>
              <w:pStyle w:val="NormalWeb"/>
              <w:spacing w:before="0" w:beforeAutospacing="0" w:after="150" w:afterAutospacing="0"/>
              <w:ind w:firstLine="0"/>
              <w:jc w:val="center"/>
              <w:rPr>
                <w:rFonts w:eastAsia="Calibri"/>
                <w:color w:val="2F5496"/>
                <w:sz w:val="20"/>
                <w:szCs w:val="20"/>
                <w:lang w:val="en-US"/>
              </w:rPr>
            </w:pPr>
            <w:r w:rsidRPr="00F07779">
              <w:rPr>
                <w:rFonts w:eastAsia="Calibri"/>
                <w:color w:val="2F5496"/>
                <w:sz w:val="20"/>
                <w:szCs w:val="20"/>
                <w:lang w:val="en-US"/>
              </w:rPr>
              <w:t>81</w:t>
            </w:r>
            <w:r w:rsidR="0010715F" w:rsidRPr="00F07779">
              <w:rPr>
                <w:rFonts w:eastAsia="Calibri"/>
                <w:color w:val="2F5496"/>
                <w:sz w:val="20"/>
                <w:szCs w:val="20"/>
                <w:lang w:val="en-US"/>
              </w:rPr>
              <w:t>.</w:t>
            </w:r>
            <w:r w:rsidRPr="00F07779">
              <w:rPr>
                <w:rFonts w:eastAsia="Calibri"/>
                <w:color w:val="2F5496"/>
                <w:sz w:val="20"/>
                <w:szCs w:val="20"/>
                <w:lang w:val="en-US"/>
              </w:rPr>
              <w:t>5%</w:t>
            </w:r>
            <w:r w:rsidRPr="00F07779">
              <w:rPr>
                <w:rStyle w:val="FootnoteReference"/>
                <w:rFonts w:eastAsia="Calibri"/>
                <w:color w:val="2F5496"/>
                <w:sz w:val="20"/>
                <w:szCs w:val="20"/>
                <w:lang w:val="en-US"/>
              </w:rPr>
              <w:footnoteReference w:id="42"/>
            </w:r>
            <w:r w:rsidRPr="00F07779">
              <w:rPr>
                <w:rFonts w:eastAsia="Calibri"/>
                <w:color w:val="2F5496"/>
                <w:sz w:val="20"/>
                <w:szCs w:val="20"/>
                <w:lang w:val="en-US"/>
              </w:rPr>
              <w:br/>
              <w:t>(2</w:t>
            </w:r>
            <w:r w:rsidR="0010715F" w:rsidRPr="00F07779">
              <w:rPr>
                <w:rFonts w:eastAsia="Calibri"/>
                <w:color w:val="2F5496"/>
                <w:sz w:val="20"/>
                <w:szCs w:val="20"/>
                <w:lang w:val="en-US"/>
              </w:rPr>
              <w:t>.</w:t>
            </w:r>
            <w:r w:rsidRPr="00F07779">
              <w:rPr>
                <w:rFonts w:eastAsia="Calibri"/>
                <w:color w:val="2F5496"/>
                <w:sz w:val="20"/>
                <w:szCs w:val="20"/>
                <w:lang w:val="en-US"/>
              </w:rPr>
              <w:t xml:space="preserve">83 </w:t>
            </w:r>
            <w:proofErr w:type="spellStart"/>
            <w:r w:rsidRPr="00F07779">
              <w:rPr>
                <w:rFonts w:eastAsia="Calibri"/>
                <w:color w:val="2F5496"/>
                <w:sz w:val="20"/>
                <w:szCs w:val="20"/>
                <w:lang w:val="en-US"/>
              </w:rPr>
              <w:t>bcm</w:t>
            </w:r>
            <w:proofErr w:type="spellEnd"/>
            <w:r w:rsidRPr="00F07779">
              <w:rPr>
                <w:rFonts w:eastAsia="Calibri"/>
                <w:color w:val="2F5496"/>
                <w:sz w:val="20"/>
                <w:szCs w:val="20"/>
                <w:lang w:val="en-US"/>
              </w:rPr>
              <w:t>)</w:t>
            </w:r>
          </w:p>
        </w:tc>
        <w:tc>
          <w:tcPr>
            <w:tcW w:w="2525" w:type="dxa"/>
            <w:vAlign w:val="center"/>
          </w:tcPr>
          <w:p w14:paraId="3A8257A7" w14:textId="7BAF083B" w:rsidR="00435778" w:rsidRPr="00F07779" w:rsidRDefault="00435778" w:rsidP="005E3573">
            <w:pPr>
              <w:pStyle w:val="NormalWeb"/>
              <w:spacing w:before="0" w:beforeAutospacing="0" w:after="150" w:afterAutospacing="0"/>
              <w:ind w:firstLine="0"/>
              <w:jc w:val="center"/>
              <w:rPr>
                <w:rFonts w:eastAsia="Calibri"/>
                <w:color w:val="2F5496"/>
                <w:sz w:val="20"/>
                <w:szCs w:val="20"/>
                <w:lang w:val="en-US"/>
              </w:rPr>
            </w:pPr>
            <w:r w:rsidRPr="00F07779">
              <w:rPr>
                <w:rFonts w:eastAsia="Calibri"/>
                <w:color w:val="2F5496"/>
                <w:sz w:val="20"/>
                <w:szCs w:val="20"/>
                <w:lang w:val="en-US"/>
              </w:rPr>
              <w:t>10</w:t>
            </w:r>
            <w:r w:rsidR="0010715F" w:rsidRPr="00F07779">
              <w:rPr>
                <w:rFonts w:eastAsia="Calibri"/>
                <w:color w:val="2F5496"/>
                <w:sz w:val="20"/>
                <w:szCs w:val="20"/>
                <w:lang w:val="en-US"/>
              </w:rPr>
              <w:t>,</w:t>
            </w:r>
            <w:r w:rsidRPr="00F07779">
              <w:rPr>
                <w:rFonts w:eastAsia="Calibri"/>
                <w:color w:val="2F5496"/>
                <w:sz w:val="20"/>
                <w:szCs w:val="20"/>
                <w:lang w:val="en-US"/>
              </w:rPr>
              <w:t>000</w:t>
            </w:r>
            <w:r w:rsidRPr="00F07779">
              <w:rPr>
                <w:rStyle w:val="FootnoteReference"/>
                <w:rFonts w:eastAsia="Calibri"/>
                <w:color w:val="2F5496"/>
                <w:sz w:val="20"/>
                <w:szCs w:val="20"/>
                <w:lang w:val="en-US"/>
              </w:rPr>
              <w:footnoteReference w:id="43"/>
            </w:r>
          </w:p>
        </w:tc>
      </w:tr>
      <w:tr w:rsidR="00435778" w:rsidRPr="00F07779" w14:paraId="5292D444" w14:textId="77777777" w:rsidTr="005E3573">
        <w:trPr>
          <w:trHeight w:val="569"/>
        </w:trPr>
        <w:tc>
          <w:tcPr>
            <w:tcW w:w="1108" w:type="dxa"/>
            <w:vMerge w:val="restart"/>
            <w:textDirection w:val="btLr"/>
            <w:vAlign w:val="center"/>
          </w:tcPr>
          <w:p w14:paraId="296F38E6" w14:textId="77777777" w:rsidR="00435778" w:rsidRPr="00F07779" w:rsidRDefault="00435778" w:rsidP="005E3573">
            <w:pPr>
              <w:ind w:right="113"/>
              <w:jc w:val="center"/>
              <w:rPr>
                <w:rFonts w:eastAsia="Calibri"/>
                <w:color w:val="2F5496"/>
                <w:sz w:val="20"/>
                <w:szCs w:val="20"/>
                <w:lang w:val="en-US"/>
              </w:rPr>
            </w:pPr>
            <w:r w:rsidRPr="00F07779">
              <w:rPr>
                <w:rFonts w:eastAsia="Calibri"/>
                <w:color w:val="2F5496"/>
                <w:sz w:val="20"/>
                <w:szCs w:val="20"/>
                <w:lang w:val="en-US"/>
              </w:rPr>
              <w:t>Projected indicator value</w:t>
            </w:r>
          </w:p>
        </w:tc>
        <w:tc>
          <w:tcPr>
            <w:tcW w:w="666" w:type="dxa"/>
            <w:vAlign w:val="center"/>
          </w:tcPr>
          <w:p w14:paraId="2AE6A978" w14:textId="77777777" w:rsidR="00435778" w:rsidRPr="00F07779" w:rsidRDefault="00435778" w:rsidP="005E3573">
            <w:pPr>
              <w:ind w:firstLine="0"/>
              <w:jc w:val="center"/>
              <w:rPr>
                <w:rFonts w:eastAsia="Calibri"/>
                <w:color w:val="2F5496"/>
                <w:sz w:val="20"/>
                <w:szCs w:val="20"/>
                <w:highlight w:val="yellow"/>
                <w:lang w:val="en-US"/>
              </w:rPr>
            </w:pPr>
            <w:r w:rsidRPr="00F07779">
              <w:rPr>
                <w:rFonts w:eastAsia="Calibri"/>
                <w:color w:val="2F5496"/>
                <w:sz w:val="20"/>
                <w:szCs w:val="20"/>
                <w:lang w:val="en-US"/>
              </w:rPr>
              <w:t>2026.</w:t>
            </w:r>
          </w:p>
        </w:tc>
        <w:tc>
          <w:tcPr>
            <w:tcW w:w="2333" w:type="dxa"/>
            <w:vAlign w:val="center"/>
          </w:tcPr>
          <w:p w14:paraId="6E00393B" w14:textId="77777777" w:rsidR="00435778" w:rsidRPr="00F07779" w:rsidRDefault="00435778" w:rsidP="005E3573">
            <w:pPr>
              <w:pStyle w:val="NormalWeb"/>
              <w:spacing w:before="0" w:after="150"/>
              <w:ind w:firstLine="0"/>
              <w:jc w:val="center"/>
              <w:rPr>
                <w:rFonts w:eastAsia="Calibri"/>
                <w:color w:val="2F5496"/>
                <w:sz w:val="20"/>
                <w:szCs w:val="20"/>
                <w:highlight w:val="yellow"/>
                <w:lang w:val="en-US"/>
              </w:rPr>
            </w:pPr>
            <w:r w:rsidRPr="00F07779">
              <w:rPr>
                <w:rFonts w:eastAsia="Calibri"/>
                <w:color w:val="2F5496"/>
                <w:sz w:val="20"/>
                <w:szCs w:val="20"/>
                <w:lang w:val="en-US"/>
              </w:rPr>
              <w:t>174%</w:t>
            </w:r>
          </w:p>
        </w:tc>
        <w:tc>
          <w:tcPr>
            <w:tcW w:w="2063" w:type="dxa"/>
            <w:vAlign w:val="center"/>
          </w:tcPr>
          <w:p w14:paraId="19A08811" w14:textId="5D60AD5A" w:rsidR="00435778" w:rsidRPr="00F07779" w:rsidRDefault="00435778" w:rsidP="005E3573">
            <w:pPr>
              <w:pStyle w:val="NormalWeb"/>
              <w:spacing w:before="0" w:after="150"/>
              <w:ind w:firstLine="0"/>
              <w:jc w:val="center"/>
              <w:rPr>
                <w:rFonts w:eastAsia="Calibri"/>
                <w:color w:val="2F5496"/>
                <w:sz w:val="20"/>
                <w:szCs w:val="20"/>
                <w:highlight w:val="yellow"/>
                <w:lang w:val="en-US"/>
              </w:rPr>
            </w:pPr>
            <w:r w:rsidRPr="00F07779">
              <w:rPr>
                <w:rFonts w:eastAsia="Calibri"/>
                <w:color w:val="2F5496"/>
                <w:sz w:val="20"/>
                <w:szCs w:val="20"/>
                <w:lang w:val="en-US"/>
              </w:rPr>
              <w:t>82</w:t>
            </w:r>
            <w:r w:rsidR="0010715F" w:rsidRPr="00F07779">
              <w:rPr>
                <w:rFonts w:eastAsia="Calibri"/>
                <w:color w:val="2F5496"/>
                <w:sz w:val="20"/>
                <w:szCs w:val="20"/>
                <w:lang w:val="en-US"/>
              </w:rPr>
              <w:t>.</w:t>
            </w:r>
            <w:r w:rsidRPr="00F07779">
              <w:rPr>
                <w:rFonts w:eastAsia="Calibri"/>
                <w:color w:val="2F5496"/>
                <w:sz w:val="20"/>
                <w:szCs w:val="20"/>
                <w:lang w:val="en-US"/>
              </w:rPr>
              <w:t>2%</w:t>
            </w:r>
            <w:r w:rsidRPr="00F07779">
              <w:rPr>
                <w:rFonts w:eastAsia="Calibri"/>
                <w:color w:val="2F5496"/>
                <w:sz w:val="20"/>
                <w:szCs w:val="20"/>
                <w:lang w:val="en-US"/>
              </w:rPr>
              <w:br/>
              <w:t>(3</w:t>
            </w:r>
            <w:r w:rsidR="0010715F" w:rsidRPr="00F07779">
              <w:rPr>
                <w:rFonts w:eastAsia="Calibri"/>
                <w:color w:val="2F5496"/>
                <w:sz w:val="20"/>
                <w:szCs w:val="20"/>
                <w:lang w:val="en-US"/>
              </w:rPr>
              <w:t>.</w:t>
            </w:r>
            <w:r w:rsidRPr="00F07779">
              <w:rPr>
                <w:rFonts w:eastAsia="Calibri"/>
                <w:color w:val="2F5496"/>
                <w:sz w:val="20"/>
                <w:szCs w:val="20"/>
                <w:lang w:val="en-US"/>
              </w:rPr>
              <w:t xml:space="preserve">1 </w:t>
            </w:r>
            <w:proofErr w:type="spellStart"/>
            <w:r w:rsidRPr="00F07779">
              <w:rPr>
                <w:rFonts w:eastAsia="Calibri"/>
                <w:color w:val="2F5496"/>
                <w:sz w:val="20"/>
                <w:szCs w:val="20"/>
                <w:lang w:val="en-US"/>
              </w:rPr>
              <w:t>bcm</w:t>
            </w:r>
            <w:proofErr w:type="spellEnd"/>
            <w:r w:rsidRPr="00F07779">
              <w:rPr>
                <w:rFonts w:eastAsia="Calibri"/>
                <w:color w:val="2F5496"/>
                <w:sz w:val="20"/>
                <w:szCs w:val="20"/>
                <w:lang w:val="en-US"/>
              </w:rPr>
              <w:t>)</w:t>
            </w:r>
          </w:p>
        </w:tc>
        <w:tc>
          <w:tcPr>
            <w:tcW w:w="2525" w:type="dxa"/>
            <w:vAlign w:val="center"/>
          </w:tcPr>
          <w:p w14:paraId="3E90C2ED" w14:textId="7D95BF0F" w:rsidR="00435778" w:rsidRPr="00F07779" w:rsidRDefault="00435778" w:rsidP="005E3573">
            <w:pPr>
              <w:pStyle w:val="NormalWeb"/>
              <w:spacing w:before="0" w:after="150"/>
              <w:ind w:firstLine="0"/>
              <w:jc w:val="center"/>
              <w:rPr>
                <w:rFonts w:eastAsia="Calibri"/>
                <w:color w:val="2F5496"/>
                <w:sz w:val="20"/>
                <w:szCs w:val="20"/>
                <w:highlight w:val="yellow"/>
                <w:lang w:val="en-US"/>
              </w:rPr>
            </w:pPr>
            <w:r w:rsidRPr="00F07779">
              <w:rPr>
                <w:rFonts w:eastAsia="Calibri"/>
                <w:color w:val="2F5496"/>
                <w:sz w:val="20"/>
                <w:szCs w:val="20"/>
                <w:lang w:val="en-US"/>
              </w:rPr>
              <w:t>10</w:t>
            </w:r>
            <w:r w:rsidR="0010715F" w:rsidRPr="00F07779">
              <w:rPr>
                <w:rFonts w:eastAsia="Calibri"/>
                <w:color w:val="2F5496"/>
                <w:sz w:val="20"/>
                <w:szCs w:val="20"/>
                <w:lang w:val="en-US"/>
              </w:rPr>
              <w:t>,</w:t>
            </w:r>
            <w:r w:rsidRPr="00F07779">
              <w:rPr>
                <w:rFonts w:eastAsia="Calibri"/>
                <w:color w:val="2F5496"/>
                <w:sz w:val="20"/>
                <w:szCs w:val="20"/>
                <w:lang w:val="en-US"/>
              </w:rPr>
              <w:t>000</w:t>
            </w:r>
          </w:p>
        </w:tc>
      </w:tr>
      <w:tr w:rsidR="00435778" w:rsidRPr="00F07779" w14:paraId="6C54571D" w14:textId="77777777" w:rsidTr="005E3573">
        <w:tc>
          <w:tcPr>
            <w:tcW w:w="1108" w:type="dxa"/>
            <w:vMerge/>
            <w:vAlign w:val="center"/>
          </w:tcPr>
          <w:p w14:paraId="65E60A32" w14:textId="77777777" w:rsidR="00435778" w:rsidRPr="00F07779" w:rsidRDefault="00435778" w:rsidP="005E3573">
            <w:pPr>
              <w:jc w:val="center"/>
              <w:rPr>
                <w:rFonts w:eastAsia="Calibri"/>
                <w:color w:val="2F5496"/>
                <w:sz w:val="20"/>
                <w:szCs w:val="20"/>
                <w:lang w:val="en-US"/>
              </w:rPr>
            </w:pPr>
          </w:p>
        </w:tc>
        <w:tc>
          <w:tcPr>
            <w:tcW w:w="666" w:type="dxa"/>
            <w:vAlign w:val="center"/>
          </w:tcPr>
          <w:p w14:paraId="452203AB" w14:textId="77777777" w:rsidR="00435778" w:rsidRPr="00F07779" w:rsidRDefault="00435778" w:rsidP="005E3573">
            <w:pPr>
              <w:ind w:firstLine="0"/>
              <w:jc w:val="center"/>
              <w:rPr>
                <w:rFonts w:eastAsia="Calibri"/>
                <w:color w:val="2F5496"/>
                <w:sz w:val="20"/>
                <w:szCs w:val="20"/>
                <w:lang w:val="en-US"/>
              </w:rPr>
            </w:pPr>
            <w:r w:rsidRPr="00F07779">
              <w:rPr>
                <w:rFonts w:eastAsia="Calibri"/>
                <w:color w:val="2F5496"/>
                <w:sz w:val="20"/>
                <w:szCs w:val="20"/>
                <w:lang w:val="en-US"/>
              </w:rPr>
              <w:t>2027.</w:t>
            </w:r>
          </w:p>
        </w:tc>
        <w:tc>
          <w:tcPr>
            <w:tcW w:w="2333" w:type="dxa"/>
            <w:vAlign w:val="center"/>
          </w:tcPr>
          <w:p w14:paraId="44F3995A" w14:textId="77777777" w:rsidR="00435778" w:rsidRPr="00F07779" w:rsidRDefault="00435778" w:rsidP="005E3573">
            <w:pPr>
              <w:pStyle w:val="NormalWeb"/>
              <w:spacing w:before="0" w:beforeAutospacing="0" w:after="150" w:afterAutospacing="0"/>
              <w:ind w:firstLine="0"/>
              <w:jc w:val="center"/>
              <w:rPr>
                <w:rFonts w:eastAsia="Calibri"/>
                <w:color w:val="2F5496"/>
                <w:sz w:val="20"/>
                <w:szCs w:val="20"/>
                <w:lang w:val="en-US"/>
              </w:rPr>
            </w:pPr>
            <w:r w:rsidRPr="00F07779">
              <w:rPr>
                <w:rFonts w:eastAsia="Calibri"/>
                <w:color w:val="2F5496"/>
                <w:sz w:val="20"/>
                <w:szCs w:val="20"/>
                <w:lang w:val="en-US"/>
              </w:rPr>
              <w:t>191%</w:t>
            </w:r>
          </w:p>
        </w:tc>
        <w:tc>
          <w:tcPr>
            <w:tcW w:w="2063" w:type="dxa"/>
            <w:vAlign w:val="center"/>
          </w:tcPr>
          <w:p w14:paraId="504EF08E" w14:textId="6EE7E051" w:rsidR="00435778" w:rsidRPr="00F07779" w:rsidRDefault="00435778" w:rsidP="005E3573">
            <w:pPr>
              <w:pStyle w:val="NormalWeb"/>
              <w:spacing w:before="0" w:beforeAutospacing="0" w:after="150" w:afterAutospacing="0"/>
              <w:ind w:firstLine="0"/>
              <w:jc w:val="center"/>
              <w:rPr>
                <w:rFonts w:eastAsia="Calibri"/>
                <w:color w:val="2F5496"/>
                <w:sz w:val="20"/>
                <w:szCs w:val="20"/>
                <w:lang w:val="en-US"/>
              </w:rPr>
            </w:pPr>
            <w:r w:rsidRPr="00F07779">
              <w:rPr>
                <w:rFonts w:eastAsia="Calibri"/>
                <w:color w:val="2F5496"/>
                <w:sz w:val="20"/>
                <w:szCs w:val="20"/>
                <w:lang w:val="en-US"/>
              </w:rPr>
              <w:t>82</w:t>
            </w:r>
            <w:r w:rsidR="0010715F" w:rsidRPr="00F07779">
              <w:rPr>
                <w:rFonts w:eastAsia="Calibri"/>
                <w:color w:val="2F5496"/>
                <w:sz w:val="20"/>
                <w:szCs w:val="20"/>
                <w:lang w:val="en-US"/>
              </w:rPr>
              <w:t>.</w:t>
            </w:r>
            <w:r w:rsidRPr="00F07779">
              <w:rPr>
                <w:rFonts w:eastAsia="Calibri"/>
                <w:color w:val="2F5496"/>
                <w:sz w:val="20"/>
                <w:szCs w:val="20"/>
                <w:lang w:val="en-US"/>
              </w:rPr>
              <w:t>4%</w:t>
            </w:r>
            <w:r w:rsidRPr="00F07779">
              <w:rPr>
                <w:rFonts w:eastAsia="Calibri"/>
                <w:color w:val="2F5496"/>
                <w:sz w:val="20"/>
                <w:szCs w:val="20"/>
                <w:lang w:val="en-US"/>
              </w:rPr>
              <w:br/>
              <w:t>(3</w:t>
            </w:r>
            <w:r w:rsidR="0010715F" w:rsidRPr="00F07779">
              <w:rPr>
                <w:rFonts w:eastAsia="Calibri"/>
                <w:color w:val="2F5496"/>
                <w:sz w:val="20"/>
                <w:szCs w:val="20"/>
                <w:lang w:val="en-US"/>
              </w:rPr>
              <w:t>.</w:t>
            </w:r>
            <w:r w:rsidRPr="00F07779">
              <w:rPr>
                <w:rFonts w:eastAsia="Calibri"/>
                <w:color w:val="2F5496"/>
                <w:sz w:val="20"/>
                <w:szCs w:val="20"/>
                <w:lang w:val="en-US"/>
              </w:rPr>
              <w:t xml:space="preserve">2 </w:t>
            </w:r>
            <w:proofErr w:type="spellStart"/>
            <w:r w:rsidRPr="00F07779">
              <w:rPr>
                <w:rFonts w:eastAsia="Calibri"/>
                <w:color w:val="2F5496"/>
                <w:sz w:val="20"/>
                <w:szCs w:val="20"/>
                <w:lang w:val="en-US"/>
              </w:rPr>
              <w:t>bcm</w:t>
            </w:r>
            <w:proofErr w:type="spellEnd"/>
            <w:r w:rsidRPr="00F07779">
              <w:rPr>
                <w:rFonts w:eastAsia="Calibri"/>
                <w:color w:val="2F5496"/>
                <w:sz w:val="20"/>
                <w:szCs w:val="20"/>
                <w:lang w:val="en-US"/>
              </w:rPr>
              <w:t>)</w:t>
            </w:r>
          </w:p>
        </w:tc>
        <w:tc>
          <w:tcPr>
            <w:tcW w:w="2525" w:type="dxa"/>
            <w:vAlign w:val="center"/>
          </w:tcPr>
          <w:p w14:paraId="7F6F4FC6" w14:textId="5BF05A61" w:rsidR="00435778" w:rsidRPr="00F07779" w:rsidRDefault="00435778" w:rsidP="005E3573">
            <w:pPr>
              <w:pStyle w:val="NormalWeb"/>
              <w:spacing w:before="0" w:beforeAutospacing="0" w:after="150" w:afterAutospacing="0"/>
              <w:ind w:firstLine="0"/>
              <w:jc w:val="center"/>
              <w:rPr>
                <w:rFonts w:eastAsia="Calibri"/>
                <w:color w:val="2F5496"/>
                <w:sz w:val="20"/>
                <w:szCs w:val="20"/>
                <w:lang w:val="en-US"/>
              </w:rPr>
            </w:pPr>
            <w:r w:rsidRPr="00F07779">
              <w:rPr>
                <w:rFonts w:eastAsia="Calibri"/>
                <w:color w:val="2F5496"/>
                <w:sz w:val="20"/>
                <w:szCs w:val="20"/>
                <w:lang w:val="en-US"/>
              </w:rPr>
              <w:t>4</w:t>
            </w:r>
            <w:r w:rsidR="0010715F" w:rsidRPr="00F07779">
              <w:rPr>
                <w:rFonts w:eastAsia="Calibri"/>
                <w:color w:val="2F5496"/>
                <w:sz w:val="20"/>
                <w:szCs w:val="20"/>
                <w:lang w:val="en-US"/>
              </w:rPr>
              <w:t>,</w:t>
            </w:r>
            <w:r w:rsidRPr="00F07779">
              <w:rPr>
                <w:rFonts w:eastAsia="Calibri"/>
                <w:color w:val="2F5496"/>
                <w:sz w:val="20"/>
                <w:szCs w:val="20"/>
                <w:lang w:val="en-US"/>
              </w:rPr>
              <w:t>203</w:t>
            </w:r>
          </w:p>
        </w:tc>
      </w:tr>
      <w:tr w:rsidR="00435778" w:rsidRPr="00F07779" w14:paraId="6A4C895A" w14:textId="77777777" w:rsidTr="005E3573">
        <w:tc>
          <w:tcPr>
            <w:tcW w:w="1108" w:type="dxa"/>
            <w:vMerge/>
            <w:vAlign w:val="center"/>
          </w:tcPr>
          <w:p w14:paraId="7A9EDADC" w14:textId="77777777" w:rsidR="00435778" w:rsidRPr="00F07779" w:rsidRDefault="00435778" w:rsidP="005E3573">
            <w:pPr>
              <w:jc w:val="center"/>
              <w:rPr>
                <w:rFonts w:eastAsia="Calibri"/>
                <w:color w:val="2F5496"/>
                <w:sz w:val="20"/>
                <w:szCs w:val="20"/>
                <w:lang w:val="en-US"/>
              </w:rPr>
            </w:pPr>
          </w:p>
        </w:tc>
        <w:tc>
          <w:tcPr>
            <w:tcW w:w="666" w:type="dxa"/>
            <w:vAlign w:val="center"/>
          </w:tcPr>
          <w:p w14:paraId="3B3F1658" w14:textId="77777777" w:rsidR="00435778" w:rsidRPr="00F07779" w:rsidRDefault="00435778" w:rsidP="005E3573">
            <w:pPr>
              <w:ind w:firstLine="0"/>
              <w:jc w:val="center"/>
              <w:rPr>
                <w:rFonts w:eastAsia="Calibri"/>
                <w:color w:val="2F5496"/>
                <w:sz w:val="20"/>
                <w:szCs w:val="20"/>
                <w:lang w:val="en-US"/>
              </w:rPr>
            </w:pPr>
            <w:r w:rsidRPr="00F07779">
              <w:rPr>
                <w:rFonts w:eastAsia="Calibri"/>
                <w:color w:val="2F5496"/>
                <w:sz w:val="20"/>
                <w:szCs w:val="20"/>
                <w:lang w:val="en-US"/>
              </w:rPr>
              <w:t>2028.</w:t>
            </w:r>
          </w:p>
        </w:tc>
        <w:tc>
          <w:tcPr>
            <w:tcW w:w="2333" w:type="dxa"/>
            <w:vAlign w:val="center"/>
          </w:tcPr>
          <w:p w14:paraId="7E490183" w14:textId="77777777" w:rsidR="00435778" w:rsidRPr="00F07779" w:rsidRDefault="00435778" w:rsidP="005E3573">
            <w:pPr>
              <w:pStyle w:val="NormalWeb"/>
              <w:spacing w:before="0" w:beforeAutospacing="0" w:after="150" w:afterAutospacing="0"/>
              <w:ind w:firstLine="0"/>
              <w:jc w:val="center"/>
              <w:rPr>
                <w:rFonts w:eastAsia="Calibri"/>
                <w:color w:val="2F5496"/>
                <w:sz w:val="20"/>
                <w:szCs w:val="20"/>
                <w:lang w:val="en-US"/>
              </w:rPr>
            </w:pPr>
            <w:r w:rsidRPr="00F07779">
              <w:rPr>
                <w:rFonts w:eastAsia="Calibri"/>
                <w:color w:val="2F5496"/>
                <w:sz w:val="20"/>
                <w:szCs w:val="20"/>
                <w:lang w:val="en-US"/>
              </w:rPr>
              <w:t>197%</w:t>
            </w:r>
          </w:p>
        </w:tc>
        <w:tc>
          <w:tcPr>
            <w:tcW w:w="2063" w:type="dxa"/>
            <w:vAlign w:val="center"/>
          </w:tcPr>
          <w:p w14:paraId="51CBECBC" w14:textId="4E8D7AB2" w:rsidR="00435778" w:rsidRPr="00F07779" w:rsidRDefault="00435778" w:rsidP="005E3573">
            <w:pPr>
              <w:pStyle w:val="NormalWeb"/>
              <w:spacing w:before="0" w:beforeAutospacing="0" w:after="150" w:afterAutospacing="0"/>
              <w:ind w:firstLine="0"/>
              <w:jc w:val="center"/>
              <w:rPr>
                <w:rFonts w:eastAsia="Calibri"/>
                <w:color w:val="2F5496"/>
                <w:sz w:val="20"/>
                <w:szCs w:val="20"/>
                <w:lang w:val="en-US"/>
              </w:rPr>
            </w:pPr>
            <w:r w:rsidRPr="00F07779">
              <w:rPr>
                <w:rFonts w:eastAsia="Calibri"/>
                <w:color w:val="2F5496"/>
                <w:sz w:val="20"/>
                <w:szCs w:val="20"/>
                <w:lang w:val="en-US"/>
              </w:rPr>
              <w:t>82</w:t>
            </w:r>
            <w:r w:rsidR="0010715F" w:rsidRPr="00F07779">
              <w:rPr>
                <w:rFonts w:eastAsia="Calibri"/>
                <w:color w:val="2F5496"/>
                <w:sz w:val="20"/>
                <w:szCs w:val="20"/>
                <w:lang w:val="en-US"/>
              </w:rPr>
              <w:t>.</w:t>
            </w:r>
            <w:r w:rsidRPr="00F07779">
              <w:rPr>
                <w:rFonts w:eastAsia="Calibri"/>
                <w:color w:val="2F5496"/>
                <w:sz w:val="20"/>
                <w:szCs w:val="20"/>
                <w:lang w:val="en-US"/>
              </w:rPr>
              <w:t>5%</w:t>
            </w:r>
            <w:r w:rsidRPr="00F07779">
              <w:rPr>
                <w:rFonts w:eastAsia="Calibri"/>
                <w:color w:val="2F5496"/>
                <w:sz w:val="20"/>
                <w:szCs w:val="20"/>
                <w:lang w:val="en-US"/>
              </w:rPr>
              <w:br/>
              <w:t>(3</w:t>
            </w:r>
            <w:r w:rsidR="0010715F" w:rsidRPr="00F07779">
              <w:rPr>
                <w:rFonts w:eastAsia="Calibri"/>
                <w:color w:val="2F5496"/>
                <w:sz w:val="20"/>
                <w:szCs w:val="20"/>
                <w:lang w:val="en-US"/>
              </w:rPr>
              <w:t>.</w:t>
            </w:r>
            <w:r w:rsidRPr="00F07779">
              <w:rPr>
                <w:rFonts w:eastAsia="Calibri"/>
                <w:color w:val="2F5496"/>
                <w:sz w:val="20"/>
                <w:szCs w:val="20"/>
                <w:lang w:val="en-US"/>
              </w:rPr>
              <w:t xml:space="preserve">263 </w:t>
            </w:r>
            <w:proofErr w:type="spellStart"/>
            <w:r w:rsidRPr="00F07779">
              <w:rPr>
                <w:rFonts w:eastAsia="Calibri"/>
                <w:color w:val="2F5496"/>
                <w:sz w:val="20"/>
                <w:szCs w:val="20"/>
                <w:lang w:val="en-US"/>
              </w:rPr>
              <w:t>bcm</w:t>
            </w:r>
            <w:proofErr w:type="spellEnd"/>
            <w:r w:rsidRPr="00F07779">
              <w:rPr>
                <w:rFonts w:eastAsia="Calibri"/>
                <w:color w:val="2F5496"/>
                <w:sz w:val="20"/>
                <w:szCs w:val="20"/>
                <w:lang w:val="en-US"/>
              </w:rPr>
              <w:t>)</w:t>
            </w:r>
          </w:p>
        </w:tc>
        <w:tc>
          <w:tcPr>
            <w:tcW w:w="2525" w:type="dxa"/>
            <w:vAlign w:val="center"/>
          </w:tcPr>
          <w:p w14:paraId="1745C2BD" w14:textId="4C537825" w:rsidR="00435778" w:rsidRPr="00F07779" w:rsidRDefault="00435778" w:rsidP="005E3573">
            <w:pPr>
              <w:pStyle w:val="NormalWeb"/>
              <w:spacing w:before="0" w:beforeAutospacing="0" w:after="150" w:afterAutospacing="0"/>
              <w:ind w:firstLine="0"/>
              <w:jc w:val="center"/>
              <w:rPr>
                <w:rFonts w:eastAsia="Calibri"/>
                <w:color w:val="2F5496"/>
                <w:sz w:val="20"/>
                <w:szCs w:val="20"/>
                <w:lang w:val="en-US"/>
              </w:rPr>
            </w:pPr>
            <w:r w:rsidRPr="00F07779">
              <w:rPr>
                <w:rFonts w:eastAsia="Calibri"/>
                <w:color w:val="2F5496"/>
                <w:sz w:val="20"/>
                <w:szCs w:val="20"/>
                <w:lang w:val="en-US"/>
              </w:rPr>
              <w:t>3</w:t>
            </w:r>
            <w:r w:rsidR="0010715F" w:rsidRPr="00F07779">
              <w:rPr>
                <w:rFonts w:eastAsia="Calibri"/>
                <w:color w:val="2F5496"/>
                <w:sz w:val="20"/>
                <w:szCs w:val="20"/>
                <w:lang w:val="en-US"/>
              </w:rPr>
              <w:t>,</w:t>
            </w:r>
            <w:r w:rsidRPr="00F07779">
              <w:rPr>
                <w:rFonts w:eastAsia="Calibri"/>
                <w:color w:val="2F5496"/>
                <w:sz w:val="20"/>
                <w:szCs w:val="20"/>
                <w:lang w:val="en-US"/>
              </w:rPr>
              <w:t>257</w:t>
            </w:r>
          </w:p>
        </w:tc>
      </w:tr>
    </w:tbl>
    <w:p w14:paraId="153E207C" w14:textId="77777777" w:rsidR="00435778" w:rsidRPr="00F07779" w:rsidRDefault="00435778" w:rsidP="00435778">
      <w:pPr>
        <w:jc w:val="both"/>
      </w:pPr>
    </w:p>
    <w:p w14:paraId="0B70DFE9" w14:textId="58CB6794" w:rsidR="00435778" w:rsidRPr="00F07779" w:rsidRDefault="00435778" w:rsidP="00435778">
      <w:pPr>
        <w:jc w:val="both"/>
      </w:pPr>
      <w:r w:rsidRPr="00F07779">
        <w:t xml:space="preserve">Detailed descriptions of the </w:t>
      </w:r>
      <w:r w:rsidR="0010715F" w:rsidRPr="00F07779">
        <w:t>proposed</w:t>
      </w:r>
      <w:r w:rsidRPr="00F07779">
        <w:t xml:space="preserve"> measures and activities are provided in Tables 5.5.3-5.5.</w:t>
      </w:r>
      <w:r w:rsidR="000B40DF" w:rsidRPr="00F07779">
        <w:t>7</w:t>
      </w:r>
      <w:r w:rsidRPr="00F07779">
        <w:t>.</w:t>
      </w:r>
    </w:p>
    <w:p w14:paraId="21944121" w14:textId="77777777" w:rsidR="00435778" w:rsidRPr="00F07779" w:rsidRDefault="00435778" w:rsidP="003113FE">
      <w:pPr>
        <w:jc w:val="both"/>
      </w:pPr>
    </w:p>
    <w:p w14:paraId="5C5DF183" w14:textId="77777777" w:rsidR="0010715F" w:rsidRPr="00F07779" w:rsidRDefault="0010715F" w:rsidP="0010715F">
      <w:r w:rsidRPr="00F07779">
        <w:t xml:space="preserve">Table 5.5.3: Activities for the implementation of </w:t>
      </w:r>
      <w:proofErr w:type="gramStart"/>
      <w:r w:rsidRPr="00F07779">
        <w:t>the measure</w:t>
      </w:r>
      <w:proofErr w:type="gramEnd"/>
      <w:r w:rsidRPr="00F07779">
        <w:t xml:space="preserve"> G1</w:t>
      </w:r>
    </w:p>
    <w:tbl>
      <w:tblPr>
        <w:tblStyle w:val="TableGrid"/>
        <w:tblW w:w="0" w:type="auto"/>
        <w:tblLook w:val="04A0" w:firstRow="1" w:lastRow="0" w:firstColumn="1" w:lastColumn="0" w:noHBand="0" w:noVBand="1"/>
      </w:tblPr>
      <w:tblGrid>
        <w:gridCol w:w="2973"/>
        <w:gridCol w:w="5669"/>
      </w:tblGrid>
      <w:tr w:rsidR="0010715F" w:rsidRPr="00F07779" w14:paraId="287E081D" w14:textId="77777777" w:rsidTr="005E3573">
        <w:tc>
          <w:tcPr>
            <w:tcW w:w="2973" w:type="dxa"/>
            <w:shd w:val="clear" w:color="auto" w:fill="D9D9D9" w:themeFill="background1" w:themeFillShade="D9"/>
          </w:tcPr>
          <w:p w14:paraId="1B071B03" w14:textId="77777777" w:rsidR="0010715F" w:rsidRPr="00F07779" w:rsidRDefault="0010715F" w:rsidP="005E3573">
            <w:pPr>
              <w:jc w:val="both"/>
              <w:rPr>
                <w:sz w:val="20"/>
                <w:szCs w:val="20"/>
              </w:rPr>
            </w:pPr>
            <w:r w:rsidRPr="00F07779">
              <w:rPr>
                <w:sz w:val="20"/>
                <w:szCs w:val="20"/>
              </w:rPr>
              <w:t>Activity G1.1</w:t>
            </w:r>
          </w:p>
        </w:tc>
        <w:tc>
          <w:tcPr>
            <w:tcW w:w="5669" w:type="dxa"/>
            <w:shd w:val="clear" w:color="auto" w:fill="D9D9D9" w:themeFill="background1" w:themeFillShade="D9"/>
          </w:tcPr>
          <w:p w14:paraId="03DBF621" w14:textId="7089D52A" w:rsidR="0010715F" w:rsidRPr="00F07779" w:rsidRDefault="0010715F" w:rsidP="0010715F">
            <w:pPr>
              <w:jc w:val="both"/>
              <w:rPr>
                <w:sz w:val="20"/>
                <w:szCs w:val="20"/>
              </w:rPr>
            </w:pPr>
            <w:r w:rsidRPr="00F07779">
              <w:rPr>
                <w:sz w:val="20"/>
                <w:szCs w:val="20"/>
              </w:rPr>
              <w:t xml:space="preserve">Expansion of the existing gas storage </w:t>
            </w:r>
            <w:proofErr w:type="spellStart"/>
            <w:r w:rsidRPr="00F07779">
              <w:rPr>
                <w:sz w:val="20"/>
                <w:szCs w:val="20"/>
              </w:rPr>
              <w:t>Banatski</w:t>
            </w:r>
            <w:proofErr w:type="spellEnd"/>
            <w:r w:rsidRPr="00F07779">
              <w:rPr>
                <w:sz w:val="20"/>
                <w:szCs w:val="20"/>
              </w:rPr>
              <w:t xml:space="preserve"> </w:t>
            </w:r>
            <w:proofErr w:type="spellStart"/>
            <w:r w:rsidRPr="00F07779">
              <w:rPr>
                <w:sz w:val="20"/>
                <w:szCs w:val="20"/>
              </w:rPr>
              <w:t>Dvor</w:t>
            </w:r>
            <w:proofErr w:type="spellEnd"/>
          </w:p>
        </w:tc>
      </w:tr>
      <w:tr w:rsidR="0010715F" w:rsidRPr="00F07779" w14:paraId="4EE8B17F" w14:textId="77777777" w:rsidTr="005E3573">
        <w:tc>
          <w:tcPr>
            <w:tcW w:w="2973" w:type="dxa"/>
          </w:tcPr>
          <w:p w14:paraId="0609F5E3" w14:textId="77777777" w:rsidR="0010715F" w:rsidRPr="00F07779" w:rsidRDefault="0010715F" w:rsidP="005E3573">
            <w:pPr>
              <w:jc w:val="both"/>
              <w:rPr>
                <w:sz w:val="20"/>
                <w:szCs w:val="20"/>
              </w:rPr>
            </w:pPr>
            <w:r w:rsidRPr="00F07779">
              <w:rPr>
                <w:sz w:val="20"/>
                <w:szCs w:val="20"/>
              </w:rPr>
              <w:t>Description</w:t>
            </w:r>
          </w:p>
        </w:tc>
        <w:tc>
          <w:tcPr>
            <w:tcW w:w="5669" w:type="dxa"/>
          </w:tcPr>
          <w:p w14:paraId="472AC587" w14:textId="77777777" w:rsidR="0010715F" w:rsidRPr="00F07779" w:rsidRDefault="0010715F" w:rsidP="005E3573">
            <w:pPr>
              <w:jc w:val="both"/>
              <w:rPr>
                <w:sz w:val="20"/>
                <w:szCs w:val="20"/>
              </w:rPr>
            </w:pPr>
            <w:r w:rsidRPr="00F07779">
              <w:rPr>
                <w:sz w:val="20"/>
                <w:szCs w:val="20"/>
              </w:rPr>
              <w:t xml:space="preserve">Expansion of the </w:t>
            </w:r>
            <w:proofErr w:type="spellStart"/>
            <w:r w:rsidRPr="00F07779">
              <w:rPr>
                <w:sz w:val="20"/>
                <w:szCs w:val="20"/>
              </w:rPr>
              <w:t>Banatski</w:t>
            </w:r>
            <w:proofErr w:type="spellEnd"/>
            <w:r w:rsidRPr="00F07779">
              <w:rPr>
                <w:sz w:val="20"/>
                <w:szCs w:val="20"/>
              </w:rPr>
              <w:t xml:space="preserve"> </w:t>
            </w:r>
            <w:proofErr w:type="spellStart"/>
            <w:r w:rsidRPr="00F07779">
              <w:rPr>
                <w:sz w:val="20"/>
                <w:szCs w:val="20"/>
              </w:rPr>
              <w:t>Dvor</w:t>
            </w:r>
            <w:proofErr w:type="spellEnd"/>
            <w:r w:rsidRPr="00F07779">
              <w:rPr>
                <w:sz w:val="20"/>
                <w:szCs w:val="20"/>
              </w:rPr>
              <w:t xml:space="preserve"> storage capacity from 350 million m³ to 750 million m³, with a maximum technical withdrawal capacity of 10 million Sm³/day (415,000 m³/h) and a maximum technical injection capacity of 5.8 million Sm³/day (242,000 m³/h). The expansion project was carried out as a supplementary mining project. A construction permit has been issued. Drilling of additional wells is currently underway. In 2026, procurement of compressors and other equipment is expected, followed by commissioning of the expanded storage facility.</w:t>
            </w:r>
          </w:p>
        </w:tc>
      </w:tr>
      <w:tr w:rsidR="0010715F" w:rsidRPr="00F07779" w14:paraId="72CB9871" w14:textId="77777777" w:rsidTr="005E3573">
        <w:tc>
          <w:tcPr>
            <w:tcW w:w="2973" w:type="dxa"/>
          </w:tcPr>
          <w:p w14:paraId="4FEE2CBA" w14:textId="77777777" w:rsidR="0010715F" w:rsidRPr="00F07779" w:rsidRDefault="0010715F" w:rsidP="005E3573">
            <w:pPr>
              <w:jc w:val="both"/>
              <w:rPr>
                <w:sz w:val="20"/>
                <w:szCs w:val="20"/>
              </w:rPr>
            </w:pPr>
            <w:r w:rsidRPr="00F07779">
              <w:rPr>
                <w:sz w:val="20"/>
                <w:szCs w:val="20"/>
              </w:rPr>
              <w:t>Institutions responsible for implementation of measures and activities</w:t>
            </w:r>
          </w:p>
        </w:tc>
        <w:tc>
          <w:tcPr>
            <w:tcW w:w="5669" w:type="dxa"/>
          </w:tcPr>
          <w:p w14:paraId="7F36C25E" w14:textId="3A3AEA23" w:rsidR="0010715F" w:rsidRPr="00F07779" w:rsidRDefault="0010715F" w:rsidP="005E3573">
            <w:pPr>
              <w:jc w:val="both"/>
              <w:rPr>
                <w:sz w:val="20"/>
                <w:szCs w:val="20"/>
              </w:rPr>
            </w:pPr>
            <w:r w:rsidRPr="00F07779">
              <w:rPr>
                <w:sz w:val="20"/>
                <w:szCs w:val="20"/>
              </w:rPr>
              <w:t xml:space="preserve">UGS </w:t>
            </w:r>
            <w:proofErr w:type="spellStart"/>
            <w:r w:rsidRPr="00F07779">
              <w:rPr>
                <w:sz w:val="20"/>
                <w:szCs w:val="20"/>
              </w:rPr>
              <w:t>Banatski</w:t>
            </w:r>
            <w:proofErr w:type="spellEnd"/>
            <w:r w:rsidRPr="00F07779">
              <w:rPr>
                <w:sz w:val="20"/>
                <w:szCs w:val="20"/>
              </w:rPr>
              <w:t xml:space="preserve"> </w:t>
            </w:r>
            <w:proofErr w:type="spellStart"/>
            <w:r w:rsidRPr="00F07779">
              <w:rPr>
                <w:sz w:val="20"/>
                <w:szCs w:val="20"/>
              </w:rPr>
              <w:t>Dvor</w:t>
            </w:r>
            <w:proofErr w:type="spellEnd"/>
          </w:p>
        </w:tc>
      </w:tr>
      <w:tr w:rsidR="0010715F" w:rsidRPr="00F07779" w14:paraId="21967D05" w14:textId="77777777" w:rsidTr="005E3573">
        <w:tc>
          <w:tcPr>
            <w:tcW w:w="2973" w:type="dxa"/>
          </w:tcPr>
          <w:p w14:paraId="07A4107B" w14:textId="77777777" w:rsidR="0010715F" w:rsidRPr="00F07779" w:rsidRDefault="0010715F" w:rsidP="005E3573">
            <w:pPr>
              <w:jc w:val="both"/>
              <w:rPr>
                <w:sz w:val="20"/>
                <w:szCs w:val="20"/>
              </w:rPr>
            </w:pPr>
            <w:r w:rsidRPr="00F07779">
              <w:rPr>
                <w:sz w:val="20"/>
                <w:szCs w:val="20"/>
              </w:rPr>
              <w:t>Institutions responsible for monitoring implementation and reporting on progress</w:t>
            </w:r>
          </w:p>
        </w:tc>
        <w:tc>
          <w:tcPr>
            <w:tcW w:w="5669" w:type="dxa"/>
          </w:tcPr>
          <w:p w14:paraId="3C18E1AD" w14:textId="01350EF2" w:rsidR="0010715F" w:rsidRPr="00F07779" w:rsidRDefault="0010715F" w:rsidP="005E3573">
            <w:pPr>
              <w:jc w:val="both"/>
              <w:rPr>
                <w:sz w:val="20"/>
                <w:szCs w:val="20"/>
              </w:rPr>
            </w:pPr>
            <w:r w:rsidRPr="00F07779">
              <w:rPr>
                <w:sz w:val="20"/>
                <w:szCs w:val="20"/>
              </w:rPr>
              <w:t>MoME</w:t>
            </w:r>
          </w:p>
        </w:tc>
      </w:tr>
      <w:tr w:rsidR="0010715F" w:rsidRPr="00F07779" w14:paraId="39876BFE" w14:textId="77777777" w:rsidTr="005E3573">
        <w:tc>
          <w:tcPr>
            <w:tcW w:w="2973" w:type="dxa"/>
          </w:tcPr>
          <w:p w14:paraId="2546F41F" w14:textId="77777777" w:rsidR="0010715F" w:rsidRPr="00F07779" w:rsidRDefault="0010715F" w:rsidP="005E3573">
            <w:pPr>
              <w:jc w:val="both"/>
              <w:rPr>
                <w:sz w:val="20"/>
                <w:szCs w:val="20"/>
              </w:rPr>
            </w:pPr>
            <w:r w:rsidRPr="00F07779">
              <w:rPr>
                <w:sz w:val="20"/>
                <w:szCs w:val="20"/>
              </w:rPr>
              <w:t>Implementation deadline / Timeline</w:t>
            </w:r>
          </w:p>
        </w:tc>
        <w:tc>
          <w:tcPr>
            <w:tcW w:w="5669" w:type="dxa"/>
          </w:tcPr>
          <w:p w14:paraId="2E1011CB" w14:textId="7BF61B68" w:rsidR="0010715F" w:rsidRPr="00F07779" w:rsidRDefault="0010715F" w:rsidP="005E3573">
            <w:pPr>
              <w:jc w:val="both"/>
              <w:rPr>
                <w:sz w:val="20"/>
                <w:szCs w:val="20"/>
              </w:rPr>
            </w:pPr>
            <w:r w:rsidRPr="00F07779">
              <w:rPr>
                <w:sz w:val="20"/>
                <w:szCs w:val="20"/>
              </w:rPr>
              <w:t>2026</w:t>
            </w:r>
            <w:r w:rsidR="00C41C74" w:rsidRPr="00F07779">
              <w:rPr>
                <w:sz w:val="20"/>
                <w:szCs w:val="20"/>
              </w:rPr>
              <w:t>.</w:t>
            </w:r>
          </w:p>
        </w:tc>
      </w:tr>
      <w:tr w:rsidR="0010715F" w:rsidRPr="00F07779" w14:paraId="7D792CAF" w14:textId="77777777" w:rsidTr="005E3573">
        <w:tc>
          <w:tcPr>
            <w:tcW w:w="2973" w:type="dxa"/>
          </w:tcPr>
          <w:p w14:paraId="1B46C18C" w14:textId="77777777" w:rsidR="0010715F" w:rsidRPr="00F07779" w:rsidRDefault="0010715F" w:rsidP="005E3573">
            <w:pPr>
              <w:jc w:val="both"/>
              <w:rPr>
                <w:sz w:val="20"/>
                <w:szCs w:val="20"/>
              </w:rPr>
            </w:pPr>
            <w:r w:rsidRPr="00F07779">
              <w:rPr>
                <w:sz w:val="20"/>
                <w:szCs w:val="20"/>
              </w:rPr>
              <w:t>Required funds and source of financing</w:t>
            </w:r>
          </w:p>
        </w:tc>
        <w:tc>
          <w:tcPr>
            <w:tcW w:w="5669" w:type="dxa"/>
          </w:tcPr>
          <w:p w14:paraId="047BDC46" w14:textId="77777777" w:rsidR="0010715F" w:rsidRPr="00F07779" w:rsidRDefault="0010715F" w:rsidP="005E3573">
            <w:pPr>
              <w:jc w:val="both"/>
              <w:rPr>
                <w:sz w:val="20"/>
                <w:szCs w:val="20"/>
              </w:rPr>
            </w:pPr>
            <w:r w:rsidRPr="00F07779">
              <w:rPr>
                <w:sz w:val="20"/>
                <w:szCs w:val="20"/>
              </w:rPr>
              <w:t xml:space="preserve">EUR 145 million (RSD 17,001 million) – </w:t>
            </w:r>
          </w:p>
          <w:p w14:paraId="1EBE16B0" w14:textId="77777777" w:rsidR="0010715F" w:rsidRPr="00F07779" w:rsidRDefault="0010715F" w:rsidP="005E3573">
            <w:pPr>
              <w:jc w:val="both"/>
              <w:rPr>
                <w:sz w:val="20"/>
                <w:szCs w:val="20"/>
              </w:rPr>
            </w:pPr>
            <w:r w:rsidRPr="00F07779">
              <w:rPr>
                <w:sz w:val="20"/>
                <w:szCs w:val="20"/>
              </w:rPr>
              <w:t xml:space="preserve">Loan / PUC </w:t>
            </w:r>
            <w:proofErr w:type="spellStart"/>
            <w:r w:rsidRPr="00F07779">
              <w:rPr>
                <w:sz w:val="20"/>
                <w:szCs w:val="20"/>
              </w:rPr>
              <w:t>Srbijagas</w:t>
            </w:r>
            <w:proofErr w:type="spellEnd"/>
            <w:r w:rsidRPr="00F07779">
              <w:rPr>
                <w:sz w:val="20"/>
                <w:szCs w:val="20"/>
              </w:rPr>
              <w:t xml:space="preserve"> / Budget</w:t>
            </w:r>
          </w:p>
        </w:tc>
      </w:tr>
      <w:tr w:rsidR="0010715F" w:rsidRPr="00F07779" w14:paraId="61AC3A55" w14:textId="77777777" w:rsidTr="005E3573">
        <w:tc>
          <w:tcPr>
            <w:tcW w:w="2973" w:type="dxa"/>
          </w:tcPr>
          <w:p w14:paraId="2CB4321B" w14:textId="77777777" w:rsidR="0010715F" w:rsidRPr="00F07779" w:rsidRDefault="0010715F" w:rsidP="005E3573">
            <w:pPr>
              <w:jc w:val="both"/>
              <w:rPr>
                <w:sz w:val="20"/>
                <w:szCs w:val="20"/>
              </w:rPr>
            </w:pPr>
            <w:r w:rsidRPr="00F07779">
              <w:rPr>
                <w:sz w:val="20"/>
                <w:szCs w:val="20"/>
              </w:rPr>
              <w:t>Implementation indicator / Performance indicator</w:t>
            </w:r>
          </w:p>
        </w:tc>
        <w:tc>
          <w:tcPr>
            <w:tcW w:w="5669" w:type="dxa"/>
          </w:tcPr>
          <w:p w14:paraId="17F30B74" w14:textId="77777777" w:rsidR="0010715F" w:rsidRPr="00F07779" w:rsidRDefault="0010715F" w:rsidP="005E3573">
            <w:pPr>
              <w:jc w:val="both"/>
              <w:rPr>
                <w:sz w:val="20"/>
                <w:szCs w:val="20"/>
              </w:rPr>
            </w:pPr>
            <w:r w:rsidRPr="00F07779">
              <w:rPr>
                <w:sz w:val="20"/>
                <w:szCs w:val="20"/>
              </w:rPr>
              <w:t>Implementation phase:</w:t>
            </w:r>
          </w:p>
          <w:p w14:paraId="620B2C38" w14:textId="77777777" w:rsidR="0010715F" w:rsidRPr="00F07779" w:rsidRDefault="0010715F" w:rsidP="005E3573">
            <w:pPr>
              <w:jc w:val="both"/>
              <w:rPr>
                <w:sz w:val="20"/>
                <w:szCs w:val="20"/>
              </w:rPr>
            </w:pPr>
            <w:r w:rsidRPr="00F07779">
              <w:rPr>
                <w:sz w:val="20"/>
                <w:szCs w:val="20"/>
              </w:rPr>
              <w:t>Construction, Commissioning</w:t>
            </w:r>
          </w:p>
        </w:tc>
      </w:tr>
      <w:tr w:rsidR="0010715F" w:rsidRPr="00F07779" w14:paraId="7BFA66CE" w14:textId="77777777" w:rsidTr="005E3573">
        <w:tc>
          <w:tcPr>
            <w:tcW w:w="2973" w:type="dxa"/>
          </w:tcPr>
          <w:p w14:paraId="2746AE7D" w14:textId="77777777" w:rsidR="0010715F" w:rsidRPr="00F07779" w:rsidRDefault="0010715F" w:rsidP="005E3573">
            <w:pPr>
              <w:jc w:val="both"/>
              <w:rPr>
                <w:sz w:val="20"/>
                <w:szCs w:val="20"/>
              </w:rPr>
            </w:pPr>
            <w:r w:rsidRPr="00F07779">
              <w:rPr>
                <w:sz w:val="20"/>
                <w:szCs w:val="20"/>
              </w:rPr>
              <w:t>Impact of activity implementation on achieving the objective</w:t>
            </w:r>
          </w:p>
        </w:tc>
        <w:tc>
          <w:tcPr>
            <w:tcW w:w="5669" w:type="dxa"/>
          </w:tcPr>
          <w:p w14:paraId="5DA0C28E" w14:textId="77777777" w:rsidR="0010715F" w:rsidRPr="00F07779" w:rsidRDefault="0010715F" w:rsidP="005E3573">
            <w:pPr>
              <w:jc w:val="both"/>
              <w:rPr>
                <w:sz w:val="20"/>
                <w:szCs w:val="20"/>
              </w:rPr>
            </w:pPr>
            <w:r w:rsidRPr="00F07779">
              <w:rPr>
                <w:sz w:val="20"/>
                <w:szCs w:val="20"/>
              </w:rPr>
              <w:t xml:space="preserve">Secure supply: </w:t>
            </w:r>
          </w:p>
          <w:p w14:paraId="7B54B6EC" w14:textId="77777777" w:rsidR="0010715F" w:rsidRPr="00F07779" w:rsidRDefault="0010715F" w:rsidP="005E3573">
            <w:pPr>
              <w:jc w:val="both"/>
              <w:rPr>
                <w:sz w:val="20"/>
                <w:szCs w:val="20"/>
              </w:rPr>
            </w:pPr>
            <w:r w:rsidRPr="00F07779">
              <w:rPr>
                <w:sz w:val="20"/>
                <w:szCs w:val="20"/>
              </w:rPr>
              <w:t>(N–1) infrastructure standard increased by an additional 28% (to 174%)</w:t>
            </w:r>
          </w:p>
        </w:tc>
      </w:tr>
      <w:tr w:rsidR="0010715F" w:rsidRPr="00F07779" w14:paraId="3A1689AC" w14:textId="77777777" w:rsidTr="00C0397A">
        <w:tc>
          <w:tcPr>
            <w:tcW w:w="2973" w:type="dxa"/>
          </w:tcPr>
          <w:p w14:paraId="5046DC67" w14:textId="77777777" w:rsidR="0010715F" w:rsidRPr="00F07779" w:rsidRDefault="0010715F" w:rsidP="00C0397A">
            <w:pPr>
              <w:rPr>
                <w:sz w:val="20"/>
                <w:szCs w:val="20"/>
              </w:rPr>
            </w:pPr>
            <w:r w:rsidRPr="00F07779">
              <w:rPr>
                <w:sz w:val="20"/>
                <w:szCs w:val="20"/>
              </w:rPr>
              <w:t>Impact on energy efficiency, climate, and environment</w:t>
            </w:r>
          </w:p>
        </w:tc>
        <w:tc>
          <w:tcPr>
            <w:tcW w:w="5669" w:type="dxa"/>
          </w:tcPr>
          <w:p w14:paraId="25EE17DF" w14:textId="75471B48" w:rsidR="0010715F" w:rsidRPr="00F07779" w:rsidRDefault="0010715F" w:rsidP="00C0397A">
            <w:pPr>
              <w:rPr>
                <w:sz w:val="20"/>
                <w:szCs w:val="20"/>
              </w:rPr>
            </w:pPr>
            <w:r w:rsidRPr="00F07779">
              <w:rPr>
                <w:sz w:val="20"/>
                <w:szCs w:val="20"/>
              </w:rPr>
              <w:t>Without direct impact on energy efficiency and the environment.</w:t>
            </w:r>
            <w:r w:rsidR="00C0397A" w:rsidRPr="00F07779">
              <w:rPr>
                <w:sz w:val="20"/>
                <w:szCs w:val="20"/>
              </w:rPr>
              <w:t xml:space="preserve"> </w:t>
            </w:r>
            <w:r w:rsidRPr="00F07779">
              <w:rPr>
                <w:sz w:val="20"/>
                <w:szCs w:val="20"/>
              </w:rPr>
              <w:t>Increase in fugitive methane emissions by 0.336 Gg per year.</w:t>
            </w:r>
            <w:r w:rsidRPr="00F07779">
              <w:rPr>
                <w:rStyle w:val="FootnoteReference"/>
                <w:sz w:val="20"/>
                <w:szCs w:val="20"/>
              </w:rPr>
              <w:t xml:space="preserve"> </w:t>
            </w:r>
            <w:r w:rsidRPr="00F07779">
              <w:rPr>
                <w:rStyle w:val="FootnoteReference"/>
                <w:sz w:val="20"/>
                <w:szCs w:val="20"/>
              </w:rPr>
              <w:footnoteReference w:id="44"/>
            </w:r>
          </w:p>
        </w:tc>
      </w:tr>
    </w:tbl>
    <w:p w14:paraId="0DAC6627" w14:textId="77777777" w:rsidR="0010715F" w:rsidRPr="00F07779" w:rsidRDefault="0010715F" w:rsidP="0010715F">
      <w:pPr>
        <w:jc w:val="both"/>
      </w:pPr>
    </w:p>
    <w:tbl>
      <w:tblPr>
        <w:tblStyle w:val="TableGrid"/>
        <w:tblW w:w="0" w:type="auto"/>
        <w:tblLook w:val="04A0" w:firstRow="1" w:lastRow="0" w:firstColumn="1" w:lastColumn="0" w:noHBand="0" w:noVBand="1"/>
      </w:tblPr>
      <w:tblGrid>
        <w:gridCol w:w="2972"/>
        <w:gridCol w:w="5743"/>
      </w:tblGrid>
      <w:tr w:rsidR="0010715F" w:rsidRPr="00F07779" w14:paraId="55648073" w14:textId="77777777" w:rsidTr="005E3573">
        <w:tc>
          <w:tcPr>
            <w:tcW w:w="2972" w:type="dxa"/>
            <w:shd w:val="clear" w:color="auto" w:fill="D9D9D9" w:themeFill="background1" w:themeFillShade="D9"/>
          </w:tcPr>
          <w:p w14:paraId="29D79167" w14:textId="77777777" w:rsidR="0010715F" w:rsidRPr="00F07779" w:rsidRDefault="0010715F" w:rsidP="005E3573">
            <w:pPr>
              <w:jc w:val="both"/>
              <w:rPr>
                <w:sz w:val="20"/>
                <w:szCs w:val="20"/>
              </w:rPr>
            </w:pPr>
            <w:r w:rsidRPr="00F07779">
              <w:rPr>
                <w:sz w:val="20"/>
                <w:szCs w:val="20"/>
              </w:rPr>
              <w:t>Total investment for Measure G1</w:t>
            </w:r>
          </w:p>
        </w:tc>
        <w:tc>
          <w:tcPr>
            <w:tcW w:w="5743" w:type="dxa"/>
            <w:shd w:val="clear" w:color="auto" w:fill="D9D9D9" w:themeFill="background1" w:themeFillShade="D9"/>
          </w:tcPr>
          <w:p w14:paraId="4DF1EED7" w14:textId="0E5185A4" w:rsidR="0010715F" w:rsidRPr="00F07779" w:rsidRDefault="0010715F" w:rsidP="005E3573">
            <w:pPr>
              <w:jc w:val="both"/>
              <w:rPr>
                <w:sz w:val="20"/>
                <w:szCs w:val="20"/>
              </w:rPr>
            </w:pPr>
            <w:r w:rsidRPr="00F07779">
              <w:rPr>
                <w:sz w:val="20"/>
                <w:szCs w:val="20"/>
              </w:rPr>
              <w:t>EUR 145 million (RSD 17</w:t>
            </w:r>
            <w:r w:rsidR="00D11B4C" w:rsidRPr="00F07779">
              <w:rPr>
                <w:sz w:val="20"/>
                <w:szCs w:val="20"/>
              </w:rPr>
              <w:t>,</w:t>
            </w:r>
            <w:r w:rsidRPr="00F07779">
              <w:rPr>
                <w:sz w:val="20"/>
                <w:szCs w:val="20"/>
              </w:rPr>
              <w:t xml:space="preserve">001 </w:t>
            </w:r>
            <w:proofErr w:type="gramStart"/>
            <w:r w:rsidRPr="00F07779">
              <w:rPr>
                <w:sz w:val="20"/>
                <w:szCs w:val="20"/>
              </w:rPr>
              <w:t>millions</w:t>
            </w:r>
            <w:proofErr w:type="gramEnd"/>
            <w:r w:rsidRPr="00F07779">
              <w:rPr>
                <w:sz w:val="20"/>
                <w:szCs w:val="20"/>
              </w:rPr>
              <w:t>)</w:t>
            </w:r>
          </w:p>
        </w:tc>
      </w:tr>
    </w:tbl>
    <w:p w14:paraId="0BA0AD86" w14:textId="77777777" w:rsidR="0010715F" w:rsidRPr="00F07779" w:rsidRDefault="0010715F" w:rsidP="0010715F">
      <w:pPr>
        <w:jc w:val="both"/>
      </w:pPr>
    </w:p>
    <w:p w14:paraId="2E2D96D1" w14:textId="77777777" w:rsidR="0010715F" w:rsidRPr="00F07779" w:rsidRDefault="0010715F" w:rsidP="0010715F">
      <w:pPr>
        <w:jc w:val="both"/>
      </w:pPr>
      <w:r w:rsidRPr="00F07779">
        <w:t>Table 5.5.4-1: Activities for the implementation of the measure G2 – Activity G2.1</w:t>
      </w:r>
    </w:p>
    <w:tbl>
      <w:tblPr>
        <w:tblStyle w:val="TableGrid"/>
        <w:tblW w:w="0" w:type="auto"/>
        <w:tblLook w:val="04A0" w:firstRow="1" w:lastRow="0" w:firstColumn="1" w:lastColumn="0" w:noHBand="0" w:noVBand="1"/>
      </w:tblPr>
      <w:tblGrid>
        <w:gridCol w:w="2972"/>
        <w:gridCol w:w="5743"/>
      </w:tblGrid>
      <w:tr w:rsidR="0010715F" w:rsidRPr="00F07779" w14:paraId="4FCD6566" w14:textId="77777777" w:rsidTr="005E3573">
        <w:tc>
          <w:tcPr>
            <w:tcW w:w="2972" w:type="dxa"/>
            <w:shd w:val="clear" w:color="auto" w:fill="D9D9D9" w:themeFill="background1" w:themeFillShade="D9"/>
          </w:tcPr>
          <w:p w14:paraId="25FF9F0D" w14:textId="77777777" w:rsidR="0010715F" w:rsidRPr="00F07779" w:rsidRDefault="0010715F" w:rsidP="005E3573">
            <w:pPr>
              <w:jc w:val="both"/>
              <w:rPr>
                <w:sz w:val="20"/>
                <w:szCs w:val="20"/>
              </w:rPr>
            </w:pPr>
            <w:r w:rsidRPr="00F07779">
              <w:rPr>
                <w:sz w:val="20"/>
                <w:szCs w:val="20"/>
              </w:rPr>
              <w:t>Activity G2.1</w:t>
            </w:r>
          </w:p>
        </w:tc>
        <w:tc>
          <w:tcPr>
            <w:tcW w:w="5743" w:type="dxa"/>
            <w:shd w:val="clear" w:color="auto" w:fill="D9D9D9" w:themeFill="background1" w:themeFillShade="D9"/>
          </w:tcPr>
          <w:p w14:paraId="5A85885E" w14:textId="77777777" w:rsidR="0010715F" w:rsidRPr="00F07779" w:rsidRDefault="0010715F" w:rsidP="005E3573">
            <w:pPr>
              <w:jc w:val="both"/>
              <w:rPr>
                <w:sz w:val="20"/>
                <w:szCs w:val="20"/>
              </w:rPr>
            </w:pPr>
            <w:r w:rsidRPr="00F07779">
              <w:rPr>
                <w:sz w:val="20"/>
                <w:szCs w:val="20"/>
              </w:rPr>
              <w:t xml:space="preserve">Gas interconnection project Republic of Serbia – Romania, </w:t>
            </w:r>
            <w:proofErr w:type="spellStart"/>
            <w:r w:rsidRPr="00F07779">
              <w:rPr>
                <w:sz w:val="20"/>
                <w:szCs w:val="20"/>
              </w:rPr>
              <w:t>Mokrin</w:t>
            </w:r>
            <w:proofErr w:type="spellEnd"/>
            <w:r w:rsidRPr="00F07779">
              <w:rPr>
                <w:sz w:val="20"/>
                <w:szCs w:val="20"/>
              </w:rPr>
              <w:t>–Arad pipeline (border with Romania)</w:t>
            </w:r>
          </w:p>
        </w:tc>
      </w:tr>
      <w:tr w:rsidR="0010715F" w:rsidRPr="00F07779" w14:paraId="3DF6864D" w14:textId="77777777" w:rsidTr="005E3573">
        <w:tc>
          <w:tcPr>
            <w:tcW w:w="2972" w:type="dxa"/>
          </w:tcPr>
          <w:p w14:paraId="15B7DF70" w14:textId="77777777" w:rsidR="0010715F" w:rsidRPr="00F07779" w:rsidRDefault="0010715F" w:rsidP="005E3573">
            <w:pPr>
              <w:jc w:val="both"/>
              <w:rPr>
                <w:sz w:val="20"/>
                <w:szCs w:val="20"/>
              </w:rPr>
            </w:pPr>
            <w:r w:rsidRPr="00F07779">
              <w:rPr>
                <w:sz w:val="20"/>
                <w:szCs w:val="20"/>
              </w:rPr>
              <w:t>Description</w:t>
            </w:r>
          </w:p>
        </w:tc>
        <w:tc>
          <w:tcPr>
            <w:tcW w:w="5743" w:type="dxa"/>
          </w:tcPr>
          <w:p w14:paraId="4A0375F2" w14:textId="46034A15" w:rsidR="0010715F" w:rsidRPr="00F07779" w:rsidRDefault="0010715F" w:rsidP="005E3573">
            <w:pPr>
              <w:jc w:val="both"/>
              <w:rPr>
                <w:sz w:val="20"/>
                <w:szCs w:val="20"/>
              </w:rPr>
            </w:pPr>
            <w:r w:rsidRPr="00F07779">
              <w:rPr>
                <w:sz w:val="20"/>
                <w:szCs w:val="20"/>
              </w:rPr>
              <w:t xml:space="preserve">The </w:t>
            </w:r>
            <w:r w:rsidR="008076AB" w:rsidRPr="00F07779">
              <w:rPr>
                <w:sz w:val="20"/>
                <w:szCs w:val="20"/>
              </w:rPr>
              <w:t>transport</w:t>
            </w:r>
            <w:r w:rsidR="00034449" w:rsidRPr="00F07779">
              <w:rPr>
                <w:sz w:val="20"/>
                <w:szCs w:val="20"/>
              </w:rPr>
              <w:t xml:space="preserve"> </w:t>
            </w:r>
            <w:r w:rsidRPr="00F07779">
              <w:rPr>
                <w:sz w:val="20"/>
                <w:szCs w:val="20"/>
              </w:rPr>
              <w:t xml:space="preserve">systems are connected by a DN600 pipeline with a nominal pressure of 63 bar. The length of the pipeline on Romanian territory is approximately 85 km, and on Serbian territory 13.1 km. The maximum annual capacity of the pipeline is 1,100 million Sm³ (maximum daily capacity 3 million Sm³). This increases supply security, system reliability (relieving the </w:t>
            </w:r>
            <w:proofErr w:type="spellStart"/>
            <w:r w:rsidRPr="00F07779">
              <w:rPr>
                <w:sz w:val="20"/>
                <w:szCs w:val="20"/>
              </w:rPr>
              <w:t>Horgoš</w:t>
            </w:r>
            <w:proofErr w:type="spellEnd"/>
            <w:r w:rsidRPr="00F07779">
              <w:rPr>
                <w:sz w:val="20"/>
                <w:szCs w:val="20"/>
              </w:rPr>
              <w:t>–</w:t>
            </w:r>
            <w:proofErr w:type="spellStart"/>
            <w:r w:rsidRPr="00F07779">
              <w:rPr>
                <w:sz w:val="20"/>
                <w:szCs w:val="20"/>
              </w:rPr>
              <w:t>Batajnica</w:t>
            </w:r>
            <w:proofErr w:type="spellEnd"/>
            <w:r w:rsidRPr="00F07779">
              <w:rPr>
                <w:sz w:val="20"/>
                <w:szCs w:val="20"/>
              </w:rPr>
              <w:t xml:space="preserve"> main route), and enables the procurement of Romanian natural gas or gas from the BRUA pipeline.</w:t>
            </w:r>
          </w:p>
          <w:p w14:paraId="01D0AFD7" w14:textId="1D6F0366" w:rsidR="0010715F" w:rsidRPr="00F07779" w:rsidRDefault="0010715F" w:rsidP="005E3573">
            <w:pPr>
              <w:jc w:val="both"/>
              <w:rPr>
                <w:strike/>
                <w:sz w:val="20"/>
                <w:szCs w:val="20"/>
              </w:rPr>
            </w:pPr>
            <w:r w:rsidRPr="00F07779">
              <w:rPr>
                <w:sz w:val="20"/>
                <w:szCs w:val="20"/>
              </w:rPr>
              <w:t xml:space="preserve">Additionally, on Serbian territory, it is necessary to construct a </w:t>
            </w:r>
            <w:proofErr w:type="gramStart"/>
            <w:r w:rsidRPr="00F07779">
              <w:rPr>
                <w:sz w:val="20"/>
                <w:szCs w:val="20"/>
              </w:rPr>
              <w:t>63 bar</w:t>
            </w:r>
            <w:proofErr w:type="gramEnd"/>
            <w:r w:rsidRPr="00F07779">
              <w:rPr>
                <w:sz w:val="20"/>
                <w:szCs w:val="20"/>
              </w:rPr>
              <w:t xml:space="preserve"> nominal pressure section 3.3 km long to connect with the future pipeline to </w:t>
            </w:r>
            <w:r w:rsidR="00C0397A" w:rsidRPr="00F07779">
              <w:rPr>
                <w:sz w:val="20"/>
                <w:szCs w:val="20"/>
              </w:rPr>
              <w:t>UGS</w:t>
            </w:r>
            <w:r w:rsidRPr="00F07779">
              <w:rPr>
                <w:sz w:val="20"/>
                <w:szCs w:val="20"/>
              </w:rPr>
              <w:t xml:space="preserve"> </w:t>
            </w:r>
            <w:proofErr w:type="spellStart"/>
            <w:r w:rsidRPr="00F07779">
              <w:rPr>
                <w:sz w:val="20"/>
                <w:szCs w:val="20"/>
              </w:rPr>
              <w:t>Banatski</w:t>
            </w:r>
            <w:proofErr w:type="spellEnd"/>
            <w:r w:rsidRPr="00F07779">
              <w:rPr>
                <w:sz w:val="20"/>
                <w:szCs w:val="20"/>
              </w:rPr>
              <w:t xml:space="preserve"> </w:t>
            </w:r>
            <w:proofErr w:type="spellStart"/>
            <w:r w:rsidRPr="00F07779">
              <w:rPr>
                <w:sz w:val="20"/>
                <w:szCs w:val="20"/>
              </w:rPr>
              <w:t>Dvor</w:t>
            </w:r>
            <w:proofErr w:type="spellEnd"/>
            <w:r w:rsidRPr="00F07779">
              <w:rPr>
                <w:sz w:val="20"/>
                <w:szCs w:val="20"/>
              </w:rPr>
              <w:t xml:space="preserve"> and Belgrade (</w:t>
            </w:r>
            <w:proofErr w:type="spellStart"/>
            <w:r w:rsidRPr="00F07779">
              <w:rPr>
                <w:sz w:val="20"/>
                <w:szCs w:val="20"/>
              </w:rPr>
              <w:t>Nakovo</w:t>
            </w:r>
            <w:proofErr w:type="spellEnd"/>
            <w:r w:rsidRPr="00F07779">
              <w:rPr>
                <w:sz w:val="20"/>
                <w:szCs w:val="20"/>
              </w:rPr>
              <w:t xml:space="preserve"> hub). At the </w:t>
            </w:r>
            <w:proofErr w:type="spellStart"/>
            <w:r w:rsidRPr="00F07779">
              <w:rPr>
                <w:sz w:val="20"/>
                <w:szCs w:val="20"/>
              </w:rPr>
              <w:t>Nakovo</w:t>
            </w:r>
            <w:proofErr w:type="spellEnd"/>
            <w:r w:rsidRPr="00F07779">
              <w:rPr>
                <w:sz w:val="20"/>
                <w:szCs w:val="20"/>
              </w:rPr>
              <w:t xml:space="preserve"> hub, the construction of a control metering station (MS</w:t>
            </w:r>
            <w:r w:rsidR="00C41C74" w:rsidRPr="00F07779">
              <w:rPr>
                <w:rStyle w:val="FootnoteReference"/>
                <w:sz w:val="20"/>
                <w:szCs w:val="20"/>
              </w:rPr>
              <w:footnoteReference w:id="45"/>
            </w:r>
            <w:r w:rsidRPr="00F07779">
              <w:rPr>
                <w:sz w:val="20"/>
                <w:szCs w:val="20"/>
              </w:rPr>
              <w:t xml:space="preserve">), the start of the section to </w:t>
            </w:r>
            <w:r w:rsidR="00C0397A" w:rsidRPr="00F07779">
              <w:rPr>
                <w:sz w:val="20"/>
                <w:szCs w:val="20"/>
              </w:rPr>
              <w:t>UGS</w:t>
            </w:r>
            <w:r w:rsidRPr="00F07779">
              <w:rPr>
                <w:sz w:val="20"/>
                <w:szCs w:val="20"/>
              </w:rPr>
              <w:t xml:space="preserve"> </w:t>
            </w:r>
            <w:proofErr w:type="spellStart"/>
            <w:r w:rsidRPr="00F07779">
              <w:rPr>
                <w:sz w:val="20"/>
                <w:szCs w:val="20"/>
              </w:rPr>
              <w:t>Banatski</w:t>
            </w:r>
            <w:proofErr w:type="spellEnd"/>
            <w:r w:rsidRPr="00F07779">
              <w:rPr>
                <w:sz w:val="20"/>
                <w:szCs w:val="20"/>
              </w:rPr>
              <w:t xml:space="preserve"> </w:t>
            </w:r>
            <w:proofErr w:type="spellStart"/>
            <w:r w:rsidRPr="00F07779">
              <w:rPr>
                <w:sz w:val="20"/>
                <w:szCs w:val="20"/>
              </w:rPr>
              <w:t>Dvor</w:t>
            </w:r>
            <w:proofErr w:type="spellEnd"/>
            <w:r w:rsidRPr="00F07779">
              <w:rPr>
                <w:sz w:val="20"/>
                <w:szCs w:val="20"/>
              </w:rPr>
              <w:t>, and the relocation of the beginning of the MG-03 pipeline, including a pigging station and metering/regulating station (MRS</w:t>
            </w:r>
            <w:r w:rsidR="00C41C74" w:rsidRPr="00F07779">
              <w:rPr>
                <w:rStyle w:val="FootnoteReference"/>
                <w:sz w:val="20"/>
                <w:szCs w:val="20"/>
              </w:rPr>
              <w:footnoteReference w:id="46"/>
            </w:r>
            <w:r w:rsidRPr="00F07779">
              <w:rPr>
                <w:sz w:val="20"/>
                <w:szCs w:val="20"/>
              </w:rPr>
              <w:t xml:space="preserve">), are planned. The section from </w:t>
            </w:r>
            <w:r w:rsidRPr="00F07779">
              <w:rPr>
                <w:sz w:val="20"/>
                <w:szCs w:val="20"/>
              </w:rPr>
              <w:lastRenderedPageBreak/>
              <w:t xml:space="preserve">the </w:t>
            </w:r>
            <w:proofErr w:type="spellStart"/>
            <w:r w:rsidRPr="00F07779">
              <w:rPr>
                <w:sz w:val="20"/>
                <w:szCs w:val="20"/>
              </w:rPr>
              <w:t>Nakovo</w:t>
            </w:r>
            <w:proofErr w:type="spellEnd"/>
            <w:r w:rsidRPr="00F07779">
              <w:rPr>
                <w:sz w:val="20"/>
                <w:szCs w:val="20"/>
              </w:rPr>
              <w:t xml:space="preserve"> hub to the connection with the existing MG-03 pipeline is 10.2 km long, DN600 in diameter, with a nominal pressure of 50 bar.</w:t>
            </w:r>
          </w:p>
        </w:tc>
      </w:tr>
      <w:tr w:rsidR="0010715F" w:rsidRPr="00F07779" w14:paraId="61C73CC8" w14:textId="77777777" w:rsidTr="005E3573">
        <w:tc>
          <w:tcPr>
            <w:tcW w:w="2972" w:type="dxa"/>
          </w:tcPr>
          <w:p w14:paraId="358AFE7C" w14:textId="77777777" w:rsidR="0010715F" w:rsidRPr="00F07779" w:rsidRDefault="0010715F" w:rsidP="005E3573">
            <w:pPr>
              <w:jc w:val="both"/>
              <w:rPr>
                <w:sz w:val="20"/>
                <w:szCs w:val="20"/>
              </w:rPr>
            </w:pPr>
            <w:r w:rsidRPr="00F07779">
              <w:rPr>
                <w:sz w:val="20"/>
                <w:szCs w:val="20"/>
              </w:rPr>
              <w:lastRenderedPageBreak/>
              <w:t>Institutions responsible for implementation of measures and activities</w:t>
            </w:r>
          </w:p>
        </w:tc>
        <w:tc>
          <w:tcPr>
            <w:tcW w:w="5743" w:type="dxa"/>
          </w:tcPr>
          <w:p w14:paraId="3051A29B" w14:textId="68809521" w:rsidR="0010715F" w:rsidRPr="00F07779" w:rsidRDefault="00D11B4C" w:rsidP="005E3573">
            <w:pPr>
              <w:jc w:val="both"/>
              <w:rPr>
                <w:sz w:val="20"/>
                <w:szCs w:val="20"/>
              </w:rPr>
            </w:pPr>
            <w:r w:rsidRPr="00F07779">
              <w:rPr>
                <w:sz w:val="20"/>
                <w:szCs w:val="20"/>
              </w:rPr>
              <w:t xml:space="preserve">Public Enterprise </w:t>
            </w:r>
            <w:proofErr w:type="spellStart"/>
            <w:r w:rsidR="0010715F" w:rsidRPr="00F07779">
              <w:rPr>
                <w:sz w:val="20"/>
                <w:szCs w:val="20"/>
              </w:rPr>
              <w:t>Srbijagas</w:t>
            </w:r>
            <w:proofErr w:type="spellEnd"/>
          </w:p>
          <w:p w14:paraId="46D7D9B1" w14:textId="2CB2E157" w:rsidR="0010715F" w:rsidRPr="00F07779" w:rsidRDefault="0010715F" w:rsidP="005E3573">
            <w:pPr>
              <w:jc w:val="both"/>
              <w:rPr>
                <w:sz w:val="20"/>
                <w:szCs w:val="20"/>
              </w:rPr>
            </w:pPr>
            <w:proofErr w:type="spellStart"/>
            <w:r w:rsidRPr="00F07779">
              <w:rPr>
                <w:sz w:val="20"/>
                <w:szCs w:val="20"/>
              </w:rPr>
              <w:t>Transportgas</w:t>
            </w:r>
            <w:proofErr w:type="spellEnd"/>
            <w:r w:rsidRPr="00F07779">
              <w:rPr>
                <w:sz w:val="20"/>
                <w:szCs w:val="20"/>
              </w:rPr>
              <w:t xml:space="preserve"> Serbia </w:t>
            </w:r>
            <w:r w:rsidR="00034449" w:rsidRPr="00F07779">
              <w:rPr>
                <w:sz w:val="20"/>
                <w:szCs w:val="20"/>
              </w:rPr>
              <w:t>LLC</w:t>
            </w:r>
            <w:r w:rsidRPr="00F07779">
              <w:rPr>
                <w:sz w:val="20"/>
                <w:szCs w:val="20"/>
              </w:rPr>
              <w:t>.</w:t>
            </w:r>
          </w:p>
        </w:tc>
      </w:tr>
      <w:tr w:rsidR="0010715F" w:rsidRPr="00F07779" w14:paraId="54EDFCE0" w14:textId="77777777" w:rsidTr="005E3573">
        <w:tc>
          <w:tcPr>
            <w:tcW w:w="2972" w:type="dxa"/>
          </w:tcPr>
          <w:p w14:paraId="3373AA8F" w14:textId="77777777" w:rsidR="0010715F" w:rsidRPr="00F07779" w:rsidRDefault="0010715F" w:rsidP="005E3573">
            <w:pPr>
              <w:jc w:val="both"/>
              <w:rPr>
                <w:sz w:val="20"/>
                <w:szCs w:val="20"/>
              </w:rPr>
            </w:pPr>
            <w:r w:rsidRPr="00F07779">
              <w:rPr>
                <w:sz w:val="20"/>
                <w:szCs w:val="20"/>
              </w:rPr>
              <w:t>Institutions responsible for monitoring implementation and reporting on progress</w:t>
            </w:r>
          </w:p>
        </w:tc>
        <w:tc>
          <w:tcPr>
            <w:tcW w:w="5743" w:type="dxa"/>
          </w:tcPr>
          <w:p w14:paraId="77630AFC" w14:textId="77777777" w:rsidR="0010715F" w:rsidRPr="00F07779" w:rsidRDefault="0010715F" w:rsidP="005E3573">
            <w:pPr>
              <w:jc w:val="both"/>
              <w:rPr>
                <w:sz w:val="20"/>
                <w:szCs w:val="20"/>
              </w:rPr>
            </w:pPr>
            <w:r w:rsidRPr="00F07779">
              <w:rPr>
                <w:sz w:val="20"/>
                <w:szCs w:val="20"/>
              </w:rPr>
              <w:t>- Ministry of Mining and Energy</w:t>
            </w:r>
          </w:p>
          <w:p w14:paraId="2DA959FD" w14:textId="77777777" w:rsidR="0010715F" w:rsidRPr="00F07779" w:rsidRDefault="0010715F" w:rsidP="005E3573">
            <w:pPr>
              <w:jc w:val="both"/>
              <w:rPr>
                <w:sz w:val="20"/>
                <w:szCs w:val="20"/>
              </w:rPr>
            </w:pPr>
            <w:r w:rsidRPr="00F07779">
              <w:rPr>
                <w:sz w:val="20"/>
                <w:szCs w:val="20"/>
              </w:rPr>
              <w:t>- Ministry of Construction, Transport and Infrastructure</w:t>
            </w:r>
          </w:p>
        </w:tc>
      </w:tr>
      <w:tr w:rsidR="0010715F" w:rsidRPr="00F07779" w14:paraId="1D852BEC" w14:textId="77777777" w:rsidTr="005E3573">
        <w:trPr>
          <w:trHeight w:val="566"/>
        </w:trPr>
        <w:tc>
          <w:tcPr>
            <w:tcW w:w="2972" w:type="dxa"/>
          </w:tcPr>
          <w:p w14:paraId="490AFF88" w14:textId="77777777" w:rsidR="0010715F" w:rsidRPr="00F07779" w:rsidRDefault="0010715F" w:rsidP="005E3573">
            <w:pPr>
              <w:jc w:val="both"/>
              <w:rPr>
                <w:sz w:val="20"/>
                <w:szCs w:val="20"/>
              </w:rPr>
            </w:pPr>
            <w:r w:rsidRPr="00F07779">
              <w:rPr>
                <w:sz w:val="20"/>
                <w:szCs w:val="20"/>
              </w:rPr>
              <w:t>Implementation deadline / Timeline</w:t>
            </w:r>
          </w:p>
        </w:tc>
        <w:tc>
          <w:tcPr>
            <w:tcW w:w="5743" w:type="dxa"/>
          </w:tcPr>
          <w:p w14:paraId="45F9DC4C" w14:textId="608AC4EF" w:rsidR="0010715F" w:rsidRPr="00F07779" w:rsidRDefault="0010715F" w:rsidP="005E3573">
            <w:pPr>
              <w:jc w:val="both"/>
              <w:rPr>
                <w:sz w:val="20"/>
                <w:szCs w:val="20"/>
              </w:rPr>
            </w:pPr>
            <w:r w:rsidRPr="00F07779">
              <w:rPr>
                <w:sz w:val="20"/>
                <w:szCs w:val="20"/>
              </w:rPr>
              <w:t>2027</w:t>
            </w:r>
            <w:r w:rsidR="00C41C74" w:rsidRPr="00F07779">
              <w:rPr>
                <w:sz w:val="20"/>
                <w:szCs w:val="20"/>
              </w:rPr>
              <w:t>.</w:t>
            </w:r>
          </w:p>
        </w:tc>
      </w:tr>
      <w:tr w:rsidR="0010715F" w:rsidRPr="00F07779" w14:paraId="306C6862" w14:textId="77777777" w:rsidTr="005E3573">
        <w:tc>
          <w:tcPr>
            <w:tcW w:w="2972" w:type="dxa"/>
          </w:tcPr>
          <w:p w14:paraId="18F2CE2F" w14:textId="77777777" w:rsidR="0010715F" w:rsidRPr="00F07779" w:rsidRDefault="0010715F" w:rsidP="005E3573">
            <w:pPr>
              <w:jc w:val="both"/>
              <w:rPr>
                <w:sz w:val="20"/>
                <w:szCs w:val="20"/>
              </w:rPr>
            </w:pPr>
            <w:r w:rsidRPr="00F07779">
              <w:rPr>
                <w:sz w:val="20"/>
                <w:szCs w:val="20"/>
              </w:rPr>
              <w:t>Required funds and source of financing</w:t>
            </w:r>
          </w:p>
        </w:tc>
        <w:tc>
          <w:tcPr>
            <w:tcW w:w="5743" w:type="dxa"/>
          </w:tcPr>
          <w:p w14:paraId="35DCA58F" w14:textId="77777777" w:rsidR="0010715F" w:rsidRPr="00F07779" w:rsidRDefault="0010715F" w:rsidP="005E3573">
            <w:pPr>
              <w:jc w:val="both"/>
              <w:rPr>
                <w:sz w:val="20"/>
                <w:szCs w:val="20"/>
              </w:rPr>
            </w:pPr>
            <w:r w:rsidRPr="00F07779">
              <w:rPr>
                <w:sz w:val="20"/>
                <w:szCs w:val="20"/>
              </w:rPr>
              <w:t>EUR 12 million (RSD 1,407 million)</w:t>
            </w:r>
          </w:p>
          <w:p w14:paraId="6CC83989" w14:textId="77777777" w:rsidR="0010715F" w:rsidRPr="00F07779" w:rsidRDefault="0010715F" w:rsidP="005E3573">
            <w:pPr>
              <w:jc w:val="both"/>
              <w:rPr>
                <w:sz w:val="20"/>
                <w:szCs w:val="20"/>
              </w:rPr>
            </w:pPr>
            <w:r w:rsidRPr="00F07779">
              <w:rPr>
                <w:sz w:val="20"/>
                <w:szCs w:val="20"/>
              </w:rPr>
              <w:t>Republic of Serbia Budget</w:t>
            </w:r>
          </w:p>
          <w:p w14:paraId="58542DC3" w14:textId="77777777" w:rsidR="0010715F" w:rsidRPr="00F07779" w:rsidRDefault="0010715F" w:rsidP="005E3573">
            <w:pPr>
              <w:jc w:val="both"/>
              <w:rPr>
                <w:sz w:val="20"/>
                <w:szCs w:val="20"/>
              </w:rPr>
            </w:pPr>
            <w:r w:rsidRPr="00F07779">
              <w:rPr>
                <w:sz w:val="20"/>
                <w:szCs w:val="20"/>
              </w:rPr>
              <w:t>The implementation schedule and the plan for fund disbursement will be defined later</w:t>
            </w:r>
          </w:p>
        </w:tc>
      </w:tr>
      <w:tr w:rsidR="0010715F" w:rsidRPr="00F07779" w14:paraId="41463584" w14:textId="77777777" w:rsidTr="005E3573">
        <w:tc>
          <w:tcPr>
            <w:tcW w:w="2972" w:type="dxa"/>
          </w:tcPr>
          <w:p w14:paraId="49ED4993" w14:textId="77777777" w:rsidR="0010715F" w:rsidRPr="00F07779" w:rsidRDefault="0010715F" w:rsidP="005E3573">
            <w:pPr>
              <w:jc w:val="both"/>
              <w:rPr>
                <w:sz w:val="20"/>
                <w:szCs w:val="20"/>
              </w:rPr>
            </w:pPr>
            <w:r w:rsidRPr="00F07779">
              <w:rPr>
                <w:sz w:val="20"/>
                <w:szCs w:val="20"/>
              </w:rPr>
              <w:t>Implementation indicator / Performance indicator</w:t>
            </w:r>
          </w:p>
        </w:tc>
        <w:tc>
          <w:tcPr>
            <w:tcW w:w="5743" w:type="dxa"/>
          </w:tcPr>
          <w:p w14:paraId="2F2C5B4E" w14:textId="77777777" w:rsidR="0010715F" w:rsidRPr="00F07779" w:rsidRDefault="0010715F" w:rsidP="005E3573">
            <w:pPr>
              <w:jc w:val="both"/>
              <w:rPr>
                <w:sz w:val="20"/>
                <w:szCs w:val="20"/>
              </w:rPr>
            </w:pPr>
            <w:r w:rsidRPr="00F07779">
              <w:rPr>
                <w:sz w:val="20"/>
                <w:szCs w:val="20"/>
              </w:rPr>
              <w:t>Implementation phase:</w:t>
            </w:r>
          </w:p>
          <w:p w14:paraId="53B77D13" w14:textId="77777777" w:rsidR="0010715F" w:rsidRPr="00F07779" w:rsidRDefault="0010715F" w:rsidP="005E3573">
            <w:pPr>
              <w:jc w:val="both"/>
              <w:rPr>
                <w:sz w:val="20"/>
                <w:szCs w:val="20"/>
              </w:rPr>
            </w:pPr>
            <w:r w:rsidRPr="00F07779">
              <w:rPr>
                <w:sz w:val="20"/>
                <w:szCs w:val="20"/>
              </w:rPr>
              <w:t>Spatial documentation, Conceptual design and location conditions, Approval of the Environmental Impact Assessment Study, Resolution of property-legal issues, Preliminary project and feasibility study, Energy permit, Design for construction permit and construction permit, Preparation of tender documentation, Detailed design, Construction, Commissioning</w:t>
            </w:r>
          </w:p>
        </w:tc>
      </w:tr>
      <w:tr w:rsidR="0010715F" w:rsidRPr="00F07779" w14:paraId="37CE52EF" w14:textId="77777777" w:rsidTr="005E3573">
        <w:tc>
          <w:tcPr>
            <w:tcW w:w="2972" w:type="dxa"/>
          </w:tcPr>
          <w:p w14:paraId="3D7FED35" w14:textId="77777777" w:rsidR="0010715F" w:rsidRPr="00F07779" w:rsidRDefault="0010715F" w:rsidP="005E3573">
            <w:pPr>
              <w:jc w:val="both"/>
              <w:rPr>
                <w:sz w:val="20"/>
                <w:szCs w:val="20"/>
              </w:rPr>
            </w:pPr>
            <w:r w:rsidRPr="00F07779">
              <w:rPr>
                <w:sz w:val="20"/>
                <w:szCs w:val="20"/>
              </w:rPr>
              <w:t>Impact of activity implementation on achieving the objective</w:t>
            </w:r>
          </w:p>
        </w:tc>
        <w:tc>
          <w:tcPr>
            <w:tcW w:w="5743" w:type="dxa"/>
          </w:tcPr>
          <w:p w14:paraId="6FBBE570" w14:textId="77777777" w:rsidR="0010715F" w:rsidRPr="00F07779" w:rsidRDefault="0010715F" w:rsidP="005E3573">
            <w:pPr>
              <w:jc w:val="both"/>
              <w:rPr>
                <w:sz w:val="20"/>
                <w:szCs w:val="20"/>
              </w:rPr>
            </w:pPr>
            <w:r w:rsidRPr="00F07779">
              <w:rPr>
                <w:sz w:val="20"/>
                <w:szCs w:val="20"/>
              </w:rPr>
              <w:t>Secure supply:</w:t>
            </w:r>
          </w:p>
          <w:p w14:paraId="165DFC11" w14:textId="77777777" w:rsidR="0010715F" w:rsidRPr="00F07779" w:rsidRDefault="0010715F" w:rsidP="005E3573">
            <w:pPr>
              <w:jc w:val="both"/>
              <w:rPr>
                <w:sz w:val="20"/>
                <w:szCs w:val="20"/>
              </w:rPr>
            </w:pPr>
            <w:r w:rsidRPr="00F07779">
              <w:rPr>
                <w:sz w:val="20"/>
                <w:szCs w:val="20"/>
              </w:rPr>
              <w:t>(N–1) infrastructure standard increased by an additional 17% (to 163%)</w:t>
            </w:r>
          </w:p>
          <w:p w14:paraId="2E9BCDC0" w14:textId="77777777" w:rsidR="0010715F" w:rsidRPr="00F07779" w:rsidRDefault="0010715F" w:rsidP="005E3573">
            <w:pPr>
              <w:jc w:val="both"/>
              <w:rPr>
                <w:sz w:val="20"/>
                <w:szCs w:val="20"/>
              </w:rPr>
            </w:pPr>
            <w:r w:rsidRPr="00F07779">
              <w:rPr>
                <w:sz w:val="20"/>
                <w:szCs w:val="20"/>
              </w:rPr>
              <w:t>Diversification of sources:</w:t>
            </w:r>
          </w:p>
          <w:p w14:paraId="2A3113B8" w14:textId="77777777" w:rsidR="0010715F" w:rsidRPr="00F07779" w:rsidRDefault="0010715F" w:rsidP="005E3573">
            <w:pPr>
              <w:jc w:val="both"/>
              <w:rPr>
                <w:sz w:val="20"/>
                <w:szCs w:val="20"/>
              </w:rPr>
            </w:pPr>
            <w:r w:rsidRPr="00F07779">
              <w:rPr>
                <w:sz w:val="20"/>
                <w:szCs w:val="20"/>
              </w:rPr>
              <w:t>IDUPS reduced by 58% (to 4,203 in 2027)</w:t>
            </w:r>
          </w:p>
        </w:tc>
      </w:tr>
      <w:tr w:rsidR="0010715F" w:rsidRPr="00F07779" w14:paraId="2689AB61" w14:textId="77777777" w:rsidTr="005E3573">
        <w:tc>
          <w:tcPr>
            <w:tcW w:w="2972" w:type="dxa"/>
          </w:tcPr>
          <w:p w14:paraId="0150738B" w14:textId="77777777" w:rsidR="0010715F" w:rsidRPr="00F07779" w:rsidRDefault="0010715F" w:rsidP="005E3573">
            <w:pPr>
              <w:jc w:val="both"/>
              <w:rPr>
                <w:sz w:val="20"/>
                <w:szCs w:val="20"/>
              </w:rPr>
            </w:pPr>
            <w:r w:rsidRPr="00F07779">
              <w:rPr>
                <w:sz w:val="20"/>
                <w:szCs w:val="20"/>
              </w:rPr>
              <w:t>Impact on energy efficiency, climate, and environment</w:t>
            </w:r>
          </w:p>
        </w:tc>
        <w:tc>
          <w:tcPr>
            <w:tcW w:w="5743" w:type="dxa"/>
          </w:tcPr>
          <w:p w14:paraId="066D5160" w14:textId="77777777" w:rsidR="0010715F" w:rsidRPr="00F07779" w:rsidRDefault="0010715F" w:rsidP="005E3573">
            <w:pPr>
              <w:jc w:val="both"/>
              <w:rPr>
                <w:sz w:val="20"/>
                <w:szCs w:val="20"/>
              </w:rPr>
            </w:pPr>
            <w:r w:rsidRPr="00F07779">
              <w:rPr>
                <w:sz w:val="20"/>
                <w:szCs w:val="20"/>
              </w:rPr>
              <w:t>Without direct impact on energy efficiency and the environment.</w:t>
            </w:r>
          </w:p>
          <w:p w14:paraId="2AD773FE" w14:textId="77777777" w:rsidR="0010715F" w:rsidRPr="00F07779" w:rsidRDefault="0010715F" w:rsidP="005E3573">
            <w:pPr>
              <w:jc w:val="both"/>
              <w:rPr>
                <w:sz w:val="20"/>
                <w:szCs w:val="20"/>
              </w:rPr>
            </w:pPr>
            <w:r w:rsidRPr="00F07779">
              <w:rPr>
                <w:sz w:val="20"/>
                <w:szCs w:val="20"/>
              </w:rPr>
              <w:t>Increase in fugitive methane emissions by 0.05 Gg per year</w:t>
            </w:r>
            <w:r w:rsidRPr="00F07779">
              <w:rPr>
                <w:rStyle w:val="FootnoteReference"/>
                <w:sz w:val="20"/>
                <w:szCs w:val="20"/>
              </w:rPr>
              <w:t xml:space="preserve"> </w:t>
            </w:r>
            <w:bookmarkStart w:id="16" w:name="_Ref209350029"/>
            <w:r w:rsidRPr="00F07779">
              <w:rPr>
                <w:rStyle w:val="FootnoteReference"/>
                <w:sz w:val="20"/>
                <w:szCs w:val="20"/>
              </w:rPr>
              <w:footnoteReference w:id="47"/>
            </w:r>
            <w:bookmarkEnd w:id="16"/>
          </w:p>
        </w:tc>
      </w:tr>
    </w:tbl>
    <w:p w14:paraId="0A806319" w14:textId="77777777" w:rsidR="0010715F" w:rsidRPr="00F07779" w:rsidRDefault="0010715F" w:rsidP="0010715F">
      <w:pPr>
        <w:jc w:val="both"/>
      </w:pPr>
    </w:p>
    <w:p w14:paraId="7A667069" w14:textId="77777777" w:rsidR="0010715F" w:rsidRPr="00F07779" w:rsidRDefault="0010715F" w:rsidP="0010715F">
      <w:pPr>
        <w:jc w:val="both"/>
      </w:pPr>
      <w:r w:rsidRPr="00F07779">
        <w:t>Table 5.5.4-2: Activities for the implementation of the measure G2 – Activity G2.2</w:t>
      </w:r>
    </w:p>
    <w:tbl>
      <w:tblPr>
        <w:tblStyle w:val="TableGrid"/>
        <w:tblW w:w="0" w:type="auto"/>
        <w:tblLook w:val="04A0" w:firstRow="1" w:lastRow="0" w:firstColumn="1" w:lastColumn="0" w:noHBand="0" w:noVBand="1"/>
      </w:tblPr>
      <w:tblGrid>
        <w:gridCol w:w="2972"/>
        <w:gridCol w:w="5743"/>
      </w:tblGrid>
      <w:tr w:rsidR="0010715F" w:rsidRPr="00F07779" w14:paraId="5F4A1DE1" w14:textId="77777777" w:rsidTr="005E3573">
        <w:tc>
          <w:tcPr>
            <w:tcW w:w="2972" w:type="dxa"/>
            <w:shd w:val="clear" w:color="auto" w:fill="D9D9D9" w:themeFill="background1" w:themeFillShade="D9"/>
          </w:tcPr>
          <w:p w14:paraId="46F368CA" w14:textId="77777777" w:rsidR="0010715F" w:rsidRPr="00F07779" w:rsidRDefault="0010715F" w:rsidP="005E3573">
            <w:pPr>
              <w:jc w:val="both"/>
              <w:rPr>
                <w:sz w:val="20"/>
                <w:szCs w:val="20"/>
              </w:rPr>
            </w:pPr>
            <w:r w:rsidRPr="00F07779">
              <w:rPr>
                <w:sz w:val="20"/>
                <w:szCs w:val="20"/>
              </w:rPr>
              <w:t>Activity G2.2</w:t>
            </w:r>
          </w:p>
        </w:tc>
        <w:tc>
          <w:tcPr>
            <w:tcW w:w="5743" w:type="dxa"/>
            <w:shd w:val="clear" w:color="auto" w:fill="D9D9D9" w:themeFill="background1" w:themeFillShade="D9"/>
          </w:tcPr>
          <w:p w14:paraId="0307DA30" w14:textId="5C04E4B7" w:rsidR="0010715F" w:rsidRPr="00F07779" w:rsidRDefault="0010715F" w:rsidP="005E3573">
            <w:pPr>
              <w:jc w:val="both"/>
              <w:rPr>
                <w:sz w:val="20"/>
                <w:szCs w:val="20"/>
              </w:rPr>
            </w:pPr>
            <w:r w:rsidRPr="00F07779">
              <w:rPr>
                <w:sz w:val="20"/>
                <w:szCs w:val="20"/>
              </w:rPr>
              <w:t>Gas interconnection project Republic of Serbia – Republic of North Macedonia</w:t>
            </w:r>
            <w:r w:rsidR="000B40DF" w:rsidRPr="00F07779">
              <w:rPr>
                <w:sz w:val="20"/>
                <w:szCs w:val="20"/>
              </w:rPr>
              <w:t xml:space="preserve"> (MG 14 GRČ </w:t>
            </w:r>
            <w:proofErr w:type="spellStart"/>
            <w:r w:rsidR="000B40DF" w:rsidRPr="00F07779">
              <w:rPr>
                <w:sz w:val="20"/>
                <w:szCs w:val="20"/>
              </w:rPr>
              <w:t>Orljane</w:t>
            </w:r>
            <w:proofErr w:type="spellEnd"/>
            <w:r w:rsidR="000B40DF" w:rsidRPr="00F07779">
              <w:rPr>
                <w:sz w:val="20"/>
                <w:szCs w:val="20"/>
              </w:rPr>
              <w:t>–Leskovac–Vranje–border with the Republic of North Macedonia – Section Vranje–border with North Macedonia)</w:t>
            </w:r>
          </w:p>
        </w:tc>
      </w:tr>
      <w:tr w:rsidR="0010715F" w:rsidRPr="00F07779" w14:paraId="35AB79BF" w14:textId="77777777" w:rsidTr="005E3573">
        <w:tc>
          <w:tcPr>
            <w:tcW w:w="2972" w:type="dxa"/>
          </w:tcPr>
          <w:p w14:paraId="396934A8" w14:textId="77777777" w:rsidR="0010715F" w:rsidRPr="00F07779" w:rsidRDefault="0010715F" w:rsidP="005E3573">
            <w:pPr>
              <w:jc w:val="both"/>
              <w:rPr>
                <w:sz w:val="20"/>
                <w:szCs w:val="20"/>
              </w:rPr>
            </w:pPr>
            <w:r w:rsidRPr="00F07779">
              <w:rPr>
                <w:sz w:val="20"/>
                <w:szCs w:val="20"/>
              </w:rPr>
              <w:t>Description</w:t>
            </w:r>
          </w:p>
        </w:tc>
        <w:tc>
          <w:tcPr>
            <w:tcW w:w="5743" w:type="dxa"/>
          </w:tcPr>
          <w:p w14:paraId="1415DB70" w14:textId="3EC62421" w:rsidR="0010715F" w:rsidRPr="00F07779" w:rsidRDefault="0010715F" w:rsidP="005E3573">
            <w:pPr>
              <w:jc w:val="both"/>
              <w:rPr>
                <w:sz w:val="20"/>
                <w:szCs w:val="20"/>
              </w:rPr>
            </w:pPr>
            <w:r w:rsidRPr="00F07779">
              <w:rPr>
                <w:sz w:val="20"/>
                <w:szCs w:val="20"/>
              </w:rPr>
              <w:t>Th</w:t>
            </w:r>
            <w:r w:rsidR="000B40DF" w:rsidRPr="00F07779">
              <w:rPr>
                <w:sz w:val="20"/>
                <w:szCs w:val="20"/>
              </w:rPr>
              <w:t>is</w:t>
            </w:r>
            <w:r w:rsidRPr="00F07779">
              <w:rPr>
                <w:sz w:val="20"/>
                <w:szCs w:val="20"/>
              </w:rPr>
              <w:t xml:space="preserve"> project would connect the gas </w:t>
            </w:r>
            <w:r w:rsidR="008076AB" w:rsidRPr="00F07779">
              <w:rPr>
                <w:sz w:val="20"/>
                <w:szCs w:val="20"/>
              </w:rPr>
              <w:t>transport</w:t>
            </w:r>
            <w:r w:rsidR="00034449" w:rsidRPr="00F07779">
              <w:rPr>
                <w:sz w:val="20"/>
                <w:szCs w:val="20"/>
              </w:rPr>
              <w:t xml:space="preserve"> </w:t>
            </w:r>
            <w:r w:rsidRPr="00F07779">
              <w:rPr>
                <w:sz w:val="20"/>
                <w:szCs w:val="20"/>
              </w:rPr>
              <w:t>systems of the Republic of Serbia and the Republic of North Macedonia. On the Serbian side, this would be implemented through the construction of a DN500mm pipeline from Vranje to the border with the Republic of North Macedonia, with a length of approximately 47 km.</w:t>
            </w:r>
            <w:r w:rsidR="000B40DF" w:rsidRPr="00F07779">
              <w:rPr>
                <w:sz w:val="20"/>
                <w:szCs w:val="20"/>
              </w:rPr>
              <w:t xml:space="preserve"> </w:t>
            </w:r>
          </w:p>
          <w:p w14:paraId="25901954" w14:textId="6C02D09D" w:rsidR="0010715F" w:rsidRPr="00F07779" w:rsidRDefault="000B40DF" w:rsidP="005E3573">
            <w:pPr>
              <w:jc w:val="both"/>
              <w:rPr>
                <w:sz w:val="20"/>
                <w:szCs w:val="20"/>
              </w:rPr>
            </w:pPr>
            <w:proofErr w:type="gramStart"/>
            <w:r w:rsidRPr="00F07779">
              <w:rPr>
                <w:sz w:val="20"/>
                <w:szCs w:val="20"/>
              </w:rPr>
              <w:t>In order to</w:t>
            </w:r>
            <w:proofErr w:type="gramEnd"/>
            <w:r w:rsidRPr="00F07779">
              <w:rPr>
                <w:sz w:val="20"/>
                <w:szCs w:val="20"/>
              </w:rPr>
              <w:t xml:space="preserve"> ensure the conditions for the construction of the Serbia–North Macedonia interconnector in terms of the required transmission capacity, it is necessary to work in a coordinated manner on Activity 4.1.</w:t>
            </w:r>
            <w:r w:rsidR="0010715F" w:rsidRPr="00F07779">
              <w:rPr>
                <w:sz w:val="20"/>
                <w:szCs w:val="20"/>
              </w:rPr>
              <w:t xml:space="preserve"> In line with the new development strategy of the European gas network, the pipeline should also enable hydrogen transport (“Hydrogen ready”).</w:t>
            </w:r>
          </w:p>
          <w:p w14:paraId="2428637D" w14:textId="77777777" w:rsidR="0010715F" w:rsidRPr="00F07779" w:rsidRDefault="0010715F" w:rsidP="005E3573">
            <w:pPr>
              <w:jc w:val="both"/>
              <w:rPr>
                <w:sz w:val="20"/>
                <w:szCs w:val="20"/>
              </w:rPr>
            </w:pPr>
            <w:r w:rsidRPr="00F07779">
              <w:rPr>
                <w:sz w:val="20"/>
                <w:szCs w:val="20"/>
              </w:rPr>
              <w:t>The technical capacity of the pipeline from the direction of North Macedonia is 1.04 million m³/day (380 million m³/year).</w:t>
            </w:r>
          </w:p>
          <w:p w14:paraId="3C7D8030" w14:textId="77777777" w:rsidR="0010715F" w:rsidRPr="00F07779" w:rsidRDefault="0010715F" w:rsidP="005E3573">
            <w:pPr>
              <w:jc w:val="both"/>
              <w:rPr>
                <w:sz w:val="20"/>
                <w:szCs w:val="20"/>
              </w:rPr>
            </w:pPr>
            <w:r w:rsidRPr="00F07779">
              <w:rPr>
                <w:sz w:val="20"/>
                <w:szCs w:val="20"/>
              </w:rPr>
              <w:t>Implementation of the project would enhance supply security, enable alternative supply routes for the Republic of Serbia, and increase opportunities for diversification of supply sources through connections with other national gas systems to the TAP and TANAP pipelines.</w:t>
            </w:r>
          </w:p>
        </w:tc>
      </w:tr>
      <w:tr w:rsidR="0010715F" w:rsidRPr="00F07779" w14:paraId="1BC5B852" w14:textId="77777777" w:rsidTr="005E3573">
        <w:tc>
          <w:tcPr>
            <w:tcW w:w="2972" w:type="dxa"/>
          </w:tcPr>
          <w:p w14:paraId="0E6A52BB" w14:textId="77777777" w:rsidR="0010715F" w:rsidRPr="00F07779" w:rsidRDefault="0010715F" w:rsidP="005E3573">
            <w:pPr>
              <w:jc w:val="both"/>
              <w:rPr>
                <w:sz w:val="20"/>
                <w:szCs w:val="20"/>
              </w:rPr>
            </w:pPr>
            <w:r w:rsidRPr="00F07779">
              <w:rPr>
                <w:sz w:val="20"/>
                <w:szCs w:val="20"/>
              </w:rPr>
              <w:t>Institutions responsible for implementation of measures and activities</w:t>
            </w:r>
          </w:p>
        </w:tc>
        <w:tc>
          <w:tcPr>
            <w:tcW w:w="5743" w:type="dxa"/>
          </w:tcPr>
          <w:p w14:paraId="1FF48835" w14:textId="77777777" w:rsidR="0010715F" w:rsidRPr="00F07779" w:rsidRDefault="0010715F" w:rsidP="005E3573">
            <w:pPr>
              <w:jc w:val="both"/>
              <w:rPr>
                <w:sz w:val="20"/>
                <w:szCs w:val="20"/>
              </w:rPr>
            </w:pPr>
            <w:r w:rsidRPr="00F07779">
              <w:rPr>
                <w:sz w:val="20"/>
                <w:szCs w:val="20"/>
              </w:rPr>
              <w:t xml:space="preserve">PUC </w:t>
            </w:r>
            <w:proofErr w:type="spellStart"/>
            <w:r w:rsidRPr="00F07779">
              <w:rPr>
                <w:sz w:val="20"/>
                <w:szCs w:val="20"/>
              </w:rPr>
              <w:t>Srbijagas</w:t>
            </w:r>
            <w:proofErr w:type="spellEnd"/>
          </w:p>
          <w:p w14:paraId="031A1C8B" w14:textId="05F8BB5A" w:rsidR="0010715F" w:rsidRPr="00F07779" w:rsidRDefault="0010715F" w:rsidP="005E3573">
            <w:pPr>
              <w:jc w:val="both"/>
              <w:rPr>
                <w:sz w:val="20"/>
                <w:szCs w:val="20"/>
              </w:rPr>
            </w:pPr>
            <w:proofErr w:type="spellStart"/>
            <w:r w:rsidRPr="00F07779">
              <w:rPr>
                <w:sz w:val="20"/>
                <w:szCs w:val="20"/>
              </w:rPr>
              <w:t>Transportgas</w:t>
            </w:r>
            <w:proofErr w:type="spellEnd"/>
            <w:r w:rsidRPr="00F07779">
              <w:rPr>
                <w:sz w:val="20"/>
                <w:szCs w:val="20"/>
              </w:rPr>
              <w:t xml:space="preserve"> Serbia L</w:t>
            </w:r>
            <w:r w:rsidR="00034449" w:rsidRPr="00F07779">
              <w:rPr>
                <w:sz w:val="20"/>
                <w:szCs w:val="20"/>
              </w:rPr>
              <w:t>LC</w:t>
            </w:r>
          </w:p>
        </w:tc>
      </w:tr>
      <w:tr w:rsidR="0010715F" w:rsidRPr="00F07779" w14:paraId="6AA733D1" w14:textId="77777777" w:rsidTr="005E3573">
        <w:tc>
          <w:tcPr>
            <w:tcW w:w="2972" w:type="dxa"/>
          </w:tcPr>
          <w:p w14:paraId="0B3CE1A2" w14:textId="77777777" w:rsidR="0010715F" w:rsidRPr="00F07779" w:rsidRDefault="0010715F" w:rsidP="005E3573">
            <w:pPr>
              <w:jc w:val="both"/>
              <w:rPr>
                <w:sz w:val="20"/>
                <w:szCs w:val="20"/>
              </w:rPr>
            </w:pPr>
            <w:r w:rsidRPr="00F07779">
              <w:rPr>
                <w:sz w:val="20"/>
                <w:szCs w:val="20"/>
              </w:rPr>
              <w:t>Institutions responsible for monitoring implementation and reporting on progress</w:t>
            </w:r>
          </w:p>
        </w:tc>
        <w:tc>
          <w:tcPr>
            <w:tcW w:w="5743" w:type="dxa"/>
          </w:tcPr>
          <w:p w14:paraId="39A8C50A" w14:textId="77777777" w:rsidR="0010715F" w:rsidRPr="00F07779" w:rsidRDefault="0010715F" w:rsidP="005E3573">
            <w:pPr>
              <w:jc w:val="both"/>
              <w:rPr>
                <w:sz w:val="20"/>
                <w:szCs w:val="20"/>
              </w:rPr>
            </w:pPr>
            <w:r w:rsidRPr="00F07779">
              <w:rPr>
                <w:sz w:val="20"/>
                <w:szCs w:val="20"/>
              </w:rPr>
              <w:t>- Ministry of Mining and Energy</w:t>
            </w:r>
          </w:p>
          <w:p w14:paraId="1A9BEB86" w14:textId="77777777" w:rsidR="0010715F" w:rsidRPr="00F07779" w:rsidRDefault="0010715F" w:rsidP="005E3573">
            <w:pPr>
              <w:jc w:val="both"/>
              <w:rPr>
                <w:sz w:val="20"/>
                <w:szCs w:val="20"/>
              </w:rPr>
            </w:pPr>
            <w:r w:rsidRPr="00F07779">
              <w:rPr>
                <w:sz w:val="20"/>
                <w:szCs w:val="20"/>
              </w:rPr>
              <w:t>- Ministry of Construction, Transport and Infrastructure</w:t>
            </w:r>
          </w:p>
        </w:tc>
      </w:tr>
      <w:tr w:rsidR="0010715F" w:rsidRPr="00F07779" w14:paraId="556131A6" w14:textId="77777777" w:rsidTr="005E3573">
        <w:tc>
          <w:tcPr>
            <w:tcW w:w="2972" w:type="dxa"/>
          </w:tcPr>
          <w:p w14:paraId="2B7BC559" w14:textId="77777777" w:rsidR="0010715F" w:rsidRPr="00F07779" w:rsidRDefault="0010715F" w:rsidP="005E3573">
            <w:pPr>
              <w:jc w:val="both"/>
              <w:rPr>
                <w:sz w:val="20"/>
                <w:szCs w:val="20"/>
              </w:rPr>
            </w:pPr>
            <w:r w:rsidRPr="00F07779">
              <w:rPr>
                <w:sz w:val="20"/>
                <w:szCs w:val="20"/>
              </w:rPr>
              <w:lastRenderedPageBreak/>
              <w:t>Implementation deadline / Timeline</w:t>
            </w:r>
          </w:p>
        </w:tc>
        <w:tc>
          <w:tcPr>
            <w:tcW w:w="5743" w:type="dxa"/>
          </w:tcPr>
          <w:p w14:paraId="464EBACD" w14:textId="1974B880" w:rsidR="0010715F" w:rsidRPr="00F07779" w:rsidRDefault="0010715F" w:rsidP="005E3573">
            <w:pPr>
              <w:jc w:val="both"/>
              <w:rPr>
                <w:sz w:val="20"/>
                <w:szCs w:val="20"/>
              </w:rPr>
            </w:pPr>
            <w:r w:rsidRPr="00F07779">
              <w:rPr>
                <w:sz w:val="20"/>
                <w:szCs w:val="20"/>
              </w:rPr>
              <w:t>2028</w:t>
            </w:r>
            <w:r w:rsidR="00D11B4C" w:rsidRPr="00F07779">
              <w:rPr>
                <w:sz w:val="20"/>
                <w:szCs w:val="20"/>
              </w:rPr>
              <w:t>.</w:t>
            </w:r>
          </w:p>
        </w:tc>
      </w:tr>
      <w:tr w:rsidR="0010715F" w:rsidRPr="00F07779" w14:paraId="7E5B0354" w14:textId="77777777" w:rsidTr="005E3573">
        <w:tc>
          <w:tcPr>
            <w:tcW w:w="2972" w:type="dxa"/>
          </w:tcPr>
          <w:p w14:paraId="0CBA8BB8" w14:textId="77777777" w:rsidR="0010715F" w:rsidRPr="00F07779" w:rsidRDefault="0010715F" w:rsidP="005E3573">
            <w:pPr>
              <w:jc w:val="both"/>
              <w:rPr>
                <w:sz w:val="20"/>
                <w:szCs w:val="20"/>
              </w:rPr>
            </w:pPr>
            <w:r w:rsidRPr="00F07779">
              <w:rPr>
                <w:sz w:val="20"/>
                <w:szCs w:val="20"/>
              </w:rPr>
              <w:t>Required funds and source of financing</w:t>
            </w:r>
          </w:p>
        </w:tc>
        <w:tc>
          <w:tcPr>
            <w:tcW w:w="5743" w:type="dxa"/>
          </w:tcPr>
          <w:p w14:paraId="6B8EC039" w14:textId="77777777" w:rsidR="0010715F" w:rsidRPr="00F07779" w:rsidRDefault="0010715F" w:rsidP="005E3573">
            <w:pPr>
              <w:jc w:val="both"/>
              <w:rPr>
                <w:sz w:val="20"/>
                <w:szCs w:val="20"/>
              </w:rPr>
            </w:pPr>
            <w:r w:rsidRPr="00F07779">
              <w:rPr>
                <w:sz w:val="20"/>
                <w:szCs w:val="20"/>
              </w:rPr>
              <w:t>EUR 42 million (RSD 4,924.5 million)</w:t>
            </w:r>
          </w:p>
          <w:p w14:paraId="5E713541" w14:textId="77777777" w:rsidR="0010715F" w:rsidRPr="00F07779" w:rsidRDefault="0010715F" w:rsidP="005E3573">
            <w:pPr>
              <w:jc w:val="both"/>
              <w:rPr>
                <w:sz w:val="20"/>
                <w:szCs w:val="20"/>
              </w:rPr>
            </w:pPr>
            <w:r w:rsidRPr="00F07779">
              <w:rPr>
                <w:sz w:val="20"/>
                <w:szCs w:val="20"/>
              </w:rPr>
              <w:t>Own funds / commercial bank loan with the guarantee of the Republic of Serbia</w:t>
            </w:r>
          </w:p>
          <w:p w14:paraId="3814E3D8" w14:textId="4309FB97" w:rsidR="0010715F" w:rsidRPr="00F07779" w:rsidRDefault="0010715F" w:rsidP="005E3573">
            <w:pPr>
              <w:jc w:val="both"/>
              <w:rPr>
                <w:sz w:val="20"/>
                <w:szCs w:val="20"/>
              </w:rPr>
            </w:pPr>
            <w:r w:rsidRPr="00F07779">
              <w:rPr>
                <w:sz w:val="20"/>
                <w:szCs w:val="20"/>
              </w:rPr>
              <w:t xml:space="preserve">Preparation of complete technical documentation for the Serbian side – </w:t>
            </w:r>
            <w:r w:rsidR="00D11B4C" w:rsidRPr="00F07779">
              <w:rPr>
                <w:sz w:val="20"/>
                <w:szCs w:val="20"/>
              </w:rPr>
              <w:t xml:space="preserve">Public Enterprise </w:t>
            </w:r>
            <w:proofErr w:type="spellStart"/>
            <w:r w:rsidRPr="00F07779">
              <w:rPr>
                <w:sz w:val="20"/>
                <w:szCs w:val="20"/>
              </w:rPr>
              <w:t>Srbijagas</w:t>
            </w:r>
            <w:proofErr w:type="spellEnd"/>
          </w:p>
          <w:p w14:paraId="14759828" w14:textId="77777777" w:rsidR="0010715F" w:rsidRPr="00F07779" w:rsidRDefault="0010715F" w:rsidP="005E3573">
            <w:pPr>
              <w:jc w:val="both"/>
              <w:rPr>
                <w:sz w:val="20"/>
                <w:szCs w:val="20"/>
              </w:rPr>
            </w:pPr>
            <w:r w:rsidRPr="00F07779">
              <w:rPr>
                <w:sz w:val="20"/>
                <w:szCs w:val="20"/>
              </w:rPr>
              <w:t>The implementation schedule and the fund withdrawal plan will be defined subsequently</w:t>
            </w:r>
          </w:p>
        </w:tc>
      </w:tr>
      <w:tr w:rsidR="0010715F" w:rsidRPr="00F07779" w14:paraId="0E50830E" w14:textId="77777777" w:rsidTr="005E3573">
        <w:tc>
          <w:tcPr>
            <w:tcW w:w="2972" w:type="dxa"/>
          </w:tcPr>
          <w:p w14:paraId="049BB4B1" w14:textId="77777777" w:rsidR="0010715F" w:rsidRPr="00F07779" w:rsidRDefault="0010715F" w:rsidP="005E3573">
            <w:pPr>
              <w:jc w:val="both"/>
              <w:rPr>
                <w:sz w:val="20"/>
                <w:szCs w:val="20"/>
              </w:rPr>
            </w:pPr>
            <w:r w:rsidRPr="00F07779">
              <w:rPr>
                <w:sz w:val="20"/>
                <w:szCs w:val="20"/>
              </w:rPr>
              <w:t>Implementation indicator / Performance indicator</w:t>
            </w:r>
          </w:p>
        </w:tc>
        <w:tc>
          <w:tcPr>
            <w:tcW w:w="5743" w:type="dxa"/>
          </w:tcPr>
          <w:p w14:paraId="646F917D" w14:textId="77777777" w:rsidR="0010715F" w:rsidRPr="00F07779" w:rsidRDefault="0010715F" w:rsidP="005E3573">
            <w:pPr>
              <w:jc w:val="both"/>
              <w:rPr>
                <w:sz w:val="20"/>
                <w:szCs w:val="20"/>
              </w:rPr>
            </w:pPr>
            <w:r w:rsidRPr="00F07779">
              <w:rPr>
                <w:sz w:val="20"/>
                <w:szCs w:val="20"/>
              </w:rPr>
              <w:t>Implementation phase:</w:t>
            </w:r>
          </w:p>
          <w:p w14:paraId="272D422D" w14:textId="77777777" w:rsidR="0010715F" w:rsidRPr="00F07779" w:rsidRDefault="0010715F" w:rsidP="005E3573">
            <w:pPr>
              <w:jc w:val="both"/>
              <w:rPr>
                <w:sz w:val="20"/>
                <w:szCs w:val="20"/>
              </w:rPr>
            </w:pPr>
            <w:r w:rsidRPr="00F07779">
              <w:rPr>
                <w:sz w:val="20"/>
                <w:szCs w:val="20"/>
              </w:rPr>
              <w:t>Conceptual design and location requirements, Approval of the Environmental Impact Assessment Study, Resolution of property-legal issues, Preliminary design and feasibility study, Energy permit, Design for construction permit and construction permit, Preparation of tender documentation, Detailed design, Construction, Commissioning</w:t>
            </w:r>
          </w:p>
        </w:tc>
      </w:tr>
      <w:tr w:rsidR="0010715F" w:rsidRPr="00F07779" w14:paraId="1D08AFBC" w14:textId="77777777" w:rsidTr="005E3573">
        <w:tc>
          <w:tcPr>
            <w:tcW w:w="2972" w:type="dxa"/>
          </w:tcPr>
          <w:p w14:paraId="41C0673C" w14:textId="77777777" w:rsidR="0010715F" w:rsidRPr="00F07779" w:rsidRDefault="0010715F" w:rsidP="005E3573">
            <w:pPr>
              <w:jc w:val="both"/>
              <w:rPr>
                <w:sz w:val="20"/>
                <w:szCs w:val="20"/>
              </w:rPr>
            </w:pPr>
            <w:r w:rsidRPr="00F07779">
              <w:rPr>
                <w:sz w:val="20"/>
                <w:szCs w:val="20"/>
              </w:rPr>
              <w:t>Impact of activity implementation on achieving the objective</w:t>
            </w:r>
          </w:p>
        </w:tc>
        <w:tc>
          <w:tcPr>
            <w:tcW w:w="5743" w:type="dxa"/>
          </w:tcPr>
          <w:p w14:paraId="0D4536A7" w14:textId="77777777" w:rsidR="0010715F" w:rsidRPr="00F07779" w:rsidRDefault="0010715F" w:rsidP="005E3573">
            <w:pPr>
              <w:jc w:val="both"/>
              <w:rPr>
                <w:sz w:val="20"/>
                <w:szCs w:val="20"/>
              </w:rPr>
            </w:pPr>
            <w:r w:rsidRPr="00F07779">
              <w:rPr>
                <w:sz w:val="20"/>
                <w:szCs w:val="20"/>
              </w:rPr>
              <w:t>Secure supply:</w:t>
            </w:r>
          </w:p>
          <w:p w14:paraId="334E4D94" w14:textId="77777777" w:rsidR="0010715F" w:rsidRPr="00F07779" w:rsidRDefault="0010715F" w:rsidP="005E3573">
            <w:pPr>
              <w:jc w:val="both"/>
              <w:rPr>
                <w:sz w:val="20"/>
                <w:szCs w:val="20"/>
              </w:rPr>
            </w:pPr>
            <w:r w:rsidRPr="00F07779">
              <w:rPr>
                <w:sz w:val="20"/>
                <w:szCs w:val="20"/>
              </w:rPr>
              <w:t>(N–1) infrastructure standard increased by an additional 6% (to 152%)</w:t>
            </w:r>
          </w:p>
          <w:p w14:paraId="5E030759" w14:textId="77777777" w:rsidR="0010715F" w:rsidRPr="00F07779" w:rsidRDefault="0010715F" w:rsidP="005E3573">
            <w:pPr>
              <w:jc w:val="both"/>
              <w:rPr>
                <w:sz w:val="20"/>
                <w:szCs w:val="20"/>
              </w:rPr>
            </w:pPr>
            <w:r w:rsidRPr="00F07779">
              <w:rPr>
                <w:sz w:val="20"/>
                <w:szCs w:val="20"/>
              </w:rPr>
              <w:t>Diversification of sources:</w:t>
            </w:r>
          </w:p>
          <w:p w14:paraId="353DC058" w14:textId="77777777" w:rsidR="0010715F" w:rsidRPr="00F07779" w:rsidRDefault="0010715F" w:rsidP="005E3573">
            <w:pPr>
              <w:jc w:val="both"/>
              <w:rPr>
                <w:sz w:val="20"/>
                <w:szCs w:val="20"/>
              </w:rPr>
            </w:pPr>
            <w:r w:rsidRPr="00F07779">
              <w:rPr>
                <w:sz w:val="20"/>
                <w:szCs w:val="20"/>
              </w:rPr>
              <w:t>IDUPS reduced by 38% (to 6,155)</w:t>
            </w:r>
          </w:p>
        </w:tc>
      </w:tr>
      <w:tr w:rsidR="0010715F" w:rsidRPr="00F07779" w14:paraId="52E2DE28" w14:textId="77777777" w:rsidTr="005E3573">
        <w:tc>
          <w:tcPr>
            <w:tcW w:w="2972" w:type="dxa"/>
          </w:tcPr>
          <w:p w14:paraId="714A88E0" w14:textId="77777777" w:rsidR="0010715F" w:rsidRPr="00F07779" w:rsidRDefault="0010715F" w:rsidP="005E3573">
            <w:pPr>
              <w:jc w:val="both"/>
              <w:rPr>
                <w:sz w:val="20"/>
                <w:szCs w:val="20"/>
              </w:rPr>
            </w:pPr>
            <w:r w:rsidRPr="00F07779">
              <w:rPr>
                <w:sz w:val="20"/>
                <w:szCs w:val="20"/>
              </w:rPr>
              <w:t>Impact on energy efficiency, climate, and environment</w:t>
            </w:r>
          </w:p>
        </w:tc>
        <w:tc>
          <w:tcPr>
            <w:tcW w:w="5743" w:type="dxa"/>
          </w:tcPr>
          <w:p w14:paraId="5371E173" w14:textId="77777777" w:rsidR="0010715F" w:rsidRPr="00F07779" w:rsidRDefault="0010715F" w:rsidP="005E3573">
            <w:pPr>
              <w:jc w:val="both"/>
              <w:rPr>
                <w:sz w:val="20"/>
                <w:szCs w:val="20"/>
              </w:rPr>
            </w:pPr>
            <w:r w:rsidRPr="00F07779">
              <w:rPr>
                <w:sz w:val="20"/>
                <w:szCs w:val="20"/>
              </w:rPr>
              <w:t>Without direct impact on energy efficiency and the environment.</w:t>
            </w:r>
            <w:r w:rsidRPr="00F07779">
              <w:rPr>
                <w:sz w:val="20"/>
                <w:szCs w:val="20"/>
              </w:rPr>
              <w:br/>
              <w:t>Increase in fugitive methane emissions by 0.15 Gg per year.</w:t>
            </w:r>
            <w:r w:rsidRPr="00F07779">
              <w:rPr>
                <w:sz w:val="20"/>
                <w:szCs w:val="20"/>
                <w:vertAlign w:val="superscript"/>
              </w:rPr>
              <w:t xml:space="preserve"> </w:t>
            </w:r>
            <w:r w:rsidRPr="00F07779">
              <w:rPr>
                <w:rStyle w:val="FootnoteReference"/>
                <w:sz w:val="20"/>
                <w:szCs w:val="20"/>
              </w:rPr>
              <w:footnoteReference w:id="48"/>
            </w:r>
          </w:p>
        </w:tc>
      </w:tr>
    </w:tbl>
    <w:p w14:paraId="64717527" w14:textId="77777777" w:rsidR="0010715F" w:rsidRPr="00F07779" w:rsidRDefault="0010715F" w:rsidP="0010715F">
      <w:pPr>
        <w:jc w:val="both"/>
      </w:pPr>
    </w:p>
    <w:tbl>
      <w:tblPr>
        <w:tblStyle w:val="TableGrid"/>
        <w:tblW w:w="0" w:type="auto"/>
        <w:tblLook w:val="04A0" w:firstRow="1" w:lastRow="0" w:firstColumn="1" w:lastColumn="0" w:noHBand="0" w:noVBand="1"/>
      </w:tblPr>
      <w:tblGrid>
        <w:gridCol w:w="2972"/>
        <w:gridCol w:w="5743"/>
      </w:tblGrid>
      <w:tr w:rsidR="0010715F" w:rsidRPr="00F07779" w14:paraId="7DC162A9" w14:textId="77777777" w:rsidTr="005E3573">
        <w:tc>
          <w:tcPr>
            <w:tcW w:w="2972" w:type="dxa"/>
            <w:shd w:val="clear" w:color="auto" w:fill="D9D9D9" w:themeFill="background1" w:themeFillShade="D9"/>
          </w:tcPr>
          <w:p w14:paraId="6FA84417" w14:textId="77777777" w:rsidR="0010715F" w:rsidRPr="00F07779" w:rsidRDefault="0010715F" w:rsidP="005E3573">
            <w:pPr>
              <w:jc w:val="both"/>
              <w:rPr>
                <w:sz w:val="20"/>
                <w:szCs w:val="20"/>
              </w:rPr>
            </w:pPr>
            <w:r w:rsidRPr="00F07779">
              <w:rPr>
                <w:sz w:val="20"/>
                <w:szCs w:val="20"/>
              </w:rPr>
              <w:t xml:space="preserve">Total investment </w:t>
            </w:r>
            <w:proofErr w:type="gramStart"/>
            <w:r w:rsidRPr="00F07779">
              <w:rPr>
                <w:sz w:val="20"/>
                <w:szCs w:val="20"/>
              </w:rPr>
              <w:t>for</w:t>
            </w:r>
            <w:proofErr w:type="gramEnd"/>
            <w:r w:rsidRPr="00F07779">
              <w:rPr>
                <w:sz w:val="20"/>
                <w:szCs w:val="20"/>
              </w:rPr>
              <w:t xml:space="preserve"> Measure G2</w:t>
            </w:r>
          </w:p>
        </w:tc>
        <w:tc>
          <w:tcPr>
            <w:tcW w:w="5743" w:type="dxa"/>
          </w:tcPr>
          <w:p w14:paraId="254907EA" w14:textId="7FED331C" w:rsidR="0010715F" w:rsidRPr="00F07779" w:rsidRDefault="0010715F" w:rsidP="005E3573">
            <w:pPr>
              <w:jc w:val="both"/>
              <w:rPr>
                <w:sz w:val="20"/>
                <w:szCs w:val="20"/>
              </w:rPr>
            </w:pPr>
            <w:r w:rsidRPr="00F07779">
              <w:rPr>
                <w:sz w:val="20"/>
                <w:szCs w:val="20"/>
              </w:rPr>
              <w:t>54 million EUR (6</w:t>
            </w:r>
            <w:r w:rsidR="00D11B4C" w:rsidRPr="00F07779">
              <w:rPr>
                <w:sz w:val="20"/>
                <w:szCs w:val="20"/>
              </w:rPr>
              <w:t>,</w:t>
            </w:r>
            <w:r w:rsidRPr="00F07779">
              <w:rPr>
                <w:sz w:val="20"/>
                <w:szCs w:val="20"/>
              </w:rPr>
              <w:t>331</w:t>
            </w:r>
            <w:r w:rsidR="00D11B4C" w:rsidRPr="00F07779">
              <w:rPr>
                <w:sz w:val="20"/>
                <w:szCs w:val="20"/>
              </w:rPr>
              <w:t>.</w:t>
            </w:r>
            <w:r w:rsidRPr="00F07779">
              <w:rPr>
                <w:sz w:val="20"/>
                <w:szCs w:val="20"/>
              </w:rPr>
              <w:t>5 million RSD)</w:t>
            </w:r>
          </w:p>
        </w:tc>
      </w:tr>
    </w:tbl>
    <w:p w14:paraId="7EF2F89C" w14:textId="77777777" w:rsidR="0010715F" w:rsidRPr="00F07779" w:rsidRDefault="0010715F" w:rsidP="0010715F">
      <w:pPr>
        <w:jc w:val="both"/>
      </w:pPr>
    </w:p>
    <w:p w14:paraId="4A386564" w14:textId="77777777" w:rsidR="0010715F" w:rsidRPr="00F07779" w:rsidRDefault="0010715F" w:rsidP="0010715F">
      <w:pPr>
        <w:jc w:val="both"/>
      </w:pPr>
      <w:r w:rsidRPr="00F07779">
        <w:t>Table 5.5.5-1: Activities for the implementation of the measure G3 – G3.1</w:t>
      </w:r>
    </w:p>
    <w:tbl>
      <w:tblPr>
        <w:tblStyle w:val="TableGrid"/>
        <w:tblW w:w="0" w:type="auto"/>
        <w:tblLook w:val="04A0" w:firstRow="1" w:lastRow="0" w:firstColumn="1" w:lastColumn="0" w:noHBand="0" w:noVBand="1"/>
      </w:tblPr>
      <w:tblGrid>
        <w:gridCol w:w="2972"/>
        <w:gridCol w:w="5743"/>
      </w:tblGrid>
      <w:tr w:rsidR="0010715F" w:rsidRPr="00F07779" w14:paraId="1D1B8D4D" w14:textId="77777777" w:rsidTr="005E3573">
        <w:tc>
          <w:tcPr>
            <w:tcW w:w="2972" w:type="dxa"/>
            <w:shd w:val="clear" w:color="auto" w:fill="D9D9D9" w:themeFill="background1" w:themeFillShade="D9"/>
          </w:tcPr>
          <w:p w14:paraId="70969CBE" w14:textId="77777777" w:rsidR="0010715F" w:rsidRPr="00F07779" w:rsidRDefault="0010715F" w:rsidP="005E3573">
            <w:pPr>
              <w:jc w:val="both"/>
              <w:rPr>
                <w:sz w:val="20"/>
                <w:szCs w:val="20"/>
              </w:rPr>
            </w:pPr>
            <w:r w:rsidRPr="00F07779">
              <w:rPr>
                <w:sz w:val="20"/>
                <w:szCs w:val="20"/>
              </w:rPr>
              <w:t>Activity G3.1</w:t>
            </w:r>
          </w:p>
        </w:tc>
        <w:tc>
          <w:tcPr>
            <w:tcW w:w="5743" w:type="dxa"/>
            <w:shd w:val="clear" w:color="auto" w:fill="D9D9D9" w:themeFill="background1" w:themeFillShade="D9"/>
          </w:tcPr>
          <w:p w14:paraId="5D08290C" w14:textId="77777777" w:rsidR="0010715F" w:rsidRPr="00F07779" w:rsidRDefault="0010715F" w:rsidP="005E3573">
            <w:pPr>
              <w:jc w:val="both"/>
              <w:rPr>
                <w:sz w:val="20"/>
                <w:szCs w:val="20"/>
              </w:rPr>
            </w:pPr>
            <w:r w:rsidRPr="00F07779">
              <w:rPr>
                <w:sz w:val="20"/>
                <w:szCs w:val="20"/>
              </w:rPr>
              <w:t>Reconstruction of the RG 01-10 gas pipeline (section across the Danube – Smederevo Bridge)</w:t>
            </w:r>
          </w:p>
        </w:tc>
      </w:tr>
      <w:tr w:rsidR="0010715F" w:rsidRPr="00F07779" w14:paraId="67D89146" w14:textId="77777777" w:rsidTr="005E3573">
        <w:tc>
          <w:tcPr>
            <w:tcW w:w="2972" w:type="dxa"/>
          </w:tcPr>
          <w:p w14:paraId="45087194" w14:textId="77777777" w:rsidR="0010715F" w:rsidRPr="00F07779" w:rsidRDefault="0010715F" w:rsidP="005E3573">
            <w:pPr>
              <w:jc w:val="both"/>
              <w:rPr>
                <w:sz w:val="20"/>
                <w:szCs w:val="20"/>
              </w:rPr>
            </w:pPr>
            <w:r w:rsidRPr="00F07779">
              <w:rPr>
                <w:sz w:val="20"/>
                <w:szCs w:val="20"/>
              </w:rPr>
              <w:t>Description</w:t>
            </w:r>
          </w:p>
        </w:tc>
        <w:tc>
          <w:tcPr>
            <w:tcW w:w="5743" w:type="dxa"/>
          </w:tcPr>
          <w:p w14:paraId="6FFA13DA" w14:textId="77777777" w:rsidR="0010715F" w:rsidRPr="00F07779" w:rsidRDefault="0010715F" w:rsidP="005E3573">
            <w:pPr>
              <w:jc w:val="both"/>
              <w:rPr>
                <w:sz w:val="20"/>
                <w:szCs w:val="20"/>
              </w:rPr>
            </w:pPr>
            <w:r w:rsidRPr="00F07779">
              <w:rPr>
                <w:sz w:val="20"/>
                <w:szCs w:val="20"/>
              </w:rPr>
              <w:t xml:space="preserve">The crossing of the RG-01-10 </w:t>
            </w:r>
            <w:proofErr w:type="spellStart"/>
            <w:r w:rsidRPr="00F07779">
              <w:rPr>
                <w:sz w:val="20"/>
                <w:szCs w:val="20"/>
              </w:rPr>
              <w:t>Pančevo</w:t>
            </w:r>
            <w:proofErr w:type="spellEnd"/>
            <w:r w:rsidRPr="00F07779">
              <w:rPr>
                <w:sz w:val="20"/>
                <w:szCs w:val="20"/>
              </w:rPr>
              <w:t>–Smederevo gas pipeline, DN300, with the Danube River was originally carried out via an above-ground pipe bridge, which has since collapsed. This project envisages relocating this section beneath the riverbed of the Danube and reconstructing the block stations located near the crossing. After commissioning the new section, the pipe bridge must be dismantled.</w:t>
            </w:r>
          </w:p>
        </w:tc>
      </w:tr>
      <w:tr w:rsidR="0010715F" w:rsidRPr="00F07779" w14:paraId="3763FF2E" w14:textId="77777777" w:rsidTr="005E3573">
        <w:tc>
          <w:tcPr>
            <w:tcW w:w="2972" w:type="dxa"/>
          </w:tcPr>
          <w:p w14:paraId="7A4A06AA" w14:textId="77777777" w:rsidR="0010715F" w:rsidRPr="00F07779" w:rsidRDefault="0010715F" w:rsidP="005E3573">
            <w:pPr>
              <w:jc w:val="both"/>
              <w:rPr>
                <w:sz w:val="20"/>
                <w:szCs w:val="20"/>
              </w:rPr>
            </w:pPr>
            <w:r w:rsidRPr="00F07779">
              <w:rPr>
                <w:sz w:val="20"/>
                <w:szCs w:val="20"/>
              </w:rPr>
              <w:t>Institutions responsible for implementation of measures and activities</w:t>
            </w:r>
          </w:p>
        </w:tc>
        <w:tc>
          <w:tcPr>
            <w:tcW w:w="5743" w:type="dxa"/>
          </w:tcPr>
          <w:p w14:paraId="04EE989B" w14:textId="49CEBCF8" w:rsidR="0010715F" w:rsidRPr="00F07779" w:rsidRDefault="0010715F" w:rsidP="005E3573">
            <w:pPr>
              <w:jc w:val="both"/>
              <w:rPr>
                <w:sz w:val="20"/>
                <w:szCs w:val="20"/>
              </w:rPr>
            </w:pPr>
            <w:r w:rsidRPr="00F07779">
              <w:rPr>
                <w:sz w:val="20"/>
                <w:szCs w:val="20"/>
              </w:rPr>
              <w:t>P</w:t>
            </w:r>
            <w:r w:rsidR="00D11B4C" w:rsidRPr="00F07779">
              <w:rPr>
                <w:sz w:val="20"/>
                <w:szCs w:val="20"/>
              </w:rPr>
              <w:t>ublic Enterprise</w:t>
            </w:r>
            <w:r w:rsidRPr="00F07779">
              <w:rPr>
                <w:sz w:val="20"/>
                <w:szCs w:val="20"/>
              </w:rPr>
              <w:t xml:space="preserve"> </w:t>
            </w:r>
            <w:proofErr w:type="spellStart"/>
            <w:r w:rsidRPr="00F07779">
              <w:rPr>
                <w:sz w:val="20"/>
                <w:szCs w:val="20"/>
              </w:rPr>
              <w:t>Srbijagas</w:t>
            </w:r>
            <w:proofErr w:type="spellEnd"/>
          </w:p>
          <w:p w14:paraId="506114B3" w14:textId="089996C5" w:rsidR="0010715F" w:rsidRPr="00F07779" w:rsidRDefault="0010715F" w:rsidP="005E3573">
            <w:pPr>
              <w:jc w:val="both"/>
              <w:rPr>
                <w:sz w:val="20"/>
                <w:szCs w:val="20"/>
              </w:rPr>
            </w:pPr>
            <w:proofErr w:type="spellStart"/>
            <w:r w:rsidRPr="00F07779">
              <w:rPr>
                <w:sz w:val="20"/>
                <w:szCs w:val="20"/>
              </w:rPr>
              <w:t>Transportgas</w:t>
            </w:r>
            <w:proofErr w:type="spellEnd"/>
            <w:r w:rsidRPr="00F07779">
              <w:rPr>
                <w:sz w:val="20"/>
                <w:szCs w:val="20"/>
              </w:rPr>
              <w:t xml:space="preserve"> Serbia L</w:t>
            </w:r>
            <w:r w:rsidR="00034449" w:rsidRPr="00F07779">
              <w:rPr>
                <w:sz w:val="20"/>
                <w:szCs w:val="20"/>
              </w:rPr>
              <w:t>LC</w:t>
            </w:r>
          </w:p>
        </w:tc>
      </w:tr>
      <w:tr w:rsidR="0010715F" w:rsidRPr="00F07779" w14:paraId="5B95F57E" w14:textId="77777777" w:rsidTr="005E3573">
        <w:tc>
          <w:tcPr>
            <w:tcW w:w="2972" w:type="dxa"/>
          </w:tcPr>
          <w:p w14:paraId="12414D9F" w14:textId="77777777" w:rsidR="0010715F" w:rsidRPr="00F07779" w:rsidRDefault="0010715F" w:rsidP="005E3573">
            <w:pPr>
              <w:jc w:val="both"/>
              <w:rPr>
                <w:sz w:val="20"/>
                <w:szCs w:val="20"/>
              </w:rPr>
            </w:pPr>
            <w:r w:rsidRPr="00F07779">
              <w:rPr>
                <w:sz w:val="20"/>
                <w:szCs w:val="20"/>
              </w:rPr>
              <w:t>Institutions responsible for monitoring implementation and reporting on progress</w:t>
            </w:r>
          </w:p>
        </w:tc>
        <w:tc>
          <w:tcPr>
            <w:tcW w:w="5743" w:type="dxa"/>
          </w:tcPr>
          <w:p w14:paraId="6E4B924B" w14:textId="77777777" w:rsidR="0010715F" w:rsidRPr="00F07779" w:rsidRDefault="0010715F" w:rsidP="005E3573">
            <w:pPr>
              <w:jc w:val="both"/>
              <w:rPr>
                <w:sz w:val="20"/>
                <w:szCs w:val="20"/>
              </w:rPr>
            </w:pPr>
            <w:r w:rsidRPr="00F07779">
              <w:rPr>
                <w:sz w:val="20"/>
                <w:szCs w:val="20"/>
              </w:rPr>
              <w:t>- Ministry of Mining and Energy</w:t>
            </w:r>
          </w:p>
          <w:p w14:paraId="643836AA" w14:textId="77777777" w:rsidR="0010715F" w:rsidRPr="00F07779" w:rsidRDefault="0010715F" w:rsidP="005E3573">
            <w:pPr>
              <w:jc w:val="both"/>
              <w:rPr>
                <w:sz w:val="20"/>
                <w:szCs w:val="20"/>
              </w:rPr>
            </w:pPr>
            <w:r w:rsidRPr="00F07779">
              <w:rPr>
                <w:sz w:val="20"/>
                <w:szCs w:val="20"/>
              </w:rPr>
              <w:t>- Ministry of Construction, Transport and Infrastructure</w:t>
            </w:r>
          </w:p>
        </w:tc>
      </w:tr>
      <w:tr w:rsidR="0010715F" w:rsidRPr="00F07779" w14:paraId="3D75C622" w14:textId="77777777" w:rsidTr="005E3573">
        <w:tc>
          <w:tcPr>
            <w:tcW w:w="2972" w:type="dxa"/>
          </w:tcPr>
          <w:p w14:paraId="22F7C588" w14:textId="77777777" w:rsidR="0010715F" w:rsidRPr="00F07779" w:rsidRDefault="0010715F" w:rsidP="005E3573">
            <w:pPr>
              <w:jc w:val="both"/>
              <w:rPr>
                <w:sz w:val="20"/>
                <w:szCs w:val="20"/>
              </w:rPr>
            </w:pPr>
            <w:r w:rsidRPr="00F07779">
              <w:rPr>
                <w:sz w:val="20"/>
                <w:szCs w:val="20"/>
              </w:rPr>
              <w:t>Implementation deadline / Timeline</w:t>
            </w:r>
          </w:p>
        </w:tc>
        <w:tc>
          <w:tcPr>
            <w:tcW w:w="5743" w:type="dxa"/>
          </w:tcPr>
          <w:p w14:paraId="1661B552" w14:textId="23548AB5" w:rsidR="0010715F" w:rsidRPr="00F07779" w:rsidRDefault="0010715F" w:rsidP="005E3573">
            <w:pPr>
              <w:jc w:val="both"/>
              <w:rPr>
                <w:sz w:val="20"/>
                <w:szCs w:val="20"/>
              </w:rPr>
            </w:pPr>
            <w:r w:rsidRPr="00F07779">
              <w:rPr>
                <w:sz w:val="20"/>
                <w:szCs w:val="20"/>
              </w:rPr>
              <w:t>2026</w:t>
            </w:r>
            <w:r w:rsidR="00D11B4C" w:rsidRPr="00F07779">
              <w:rPr>
                <w:sz w:val="20"/>
                <w:szCs w:val="20"/>
              </w:rPr>
              <w:t>.</w:t>
            </w:r>
          </w:p>
        </w:tc>
      </w:tr>
      <w:tr w:rsidR="0010715F" w:rsidRPr="00F07779" w14:paraId="03407B23" w14:textId="77777777" w:rsidTr="005E3573">
        <w:tc>
          <w:tcPr>
            <w:tcW w:w="2972" w:type="dxa"/>
          </w:tcPr>
          <w:p w14:paraId="6A3EDACB" w14:textId="77777777" w:rsidR="0010715F" w:rsidRPr="00F07779" w:rsidRDefault="0010715F" w:rsidP="005E3573">
            <w:pPr>
              <w:jc w:val="both"/>
              <w:rPr>
                <w:sz w:val="20"/>
                <w:szCs w:val="20"/>
              </w:rPr>
            </w:pPr>
            <w:r w:rsidRPr="00F07779">
              <w:rPr>
                <w:sz w:val="20"/>
                <w:szCs w:val="20"/>
              </w:rPr>
              <w:t>Required funds and source of financing</w:t>
            </w:r>
          </w:p>
        </w:tc>
        <w:tc>
          <w:tcPr>
            <w:tcW w:w="5743" w:type="dxa"/>
          </w:tcPr>
          <w:p w14:paraId="085C92CA" w14:textId="77777777" w:rsidR="0010715F" w:rsidRPr="00F07779" w:rsidRDefault="0010715F" w:rsidP="005E3573">
            <w:pPr>
              <w:jc w:val="both"/>
              <w:rPr>
                <w:sz w:val="20"/>
                <w:szCs w:val="20"/>
              </w:rPr>
            </w:pPr>
            <w:r w:rsidRPr="00F07779">
              <w:rPr>
                <w:sz w:val="20"/>
                <w:szCs w:val="20"/>
              </w:rPr>
              <w:t>EUR 9 million (RSD 1,055.25 million)</w:t>
            </w:r>
          </w:p>
          <w:p w14:paraId="6277F838" w14:textId="77777777" w:rsidR="0010715F" w:rsidRPr="00F07779" w:rsidRDefault="0010715F" w:rsidP="005E3573">
            <w:pPr>
              <w:jc w:val="both"/>
              <w:rPr>
                <w:sz w:val="20"/>
                <w:szCs w:val="20"/>
              </w:rPr>
            </w:pPr>
            <w:r w:rsidRPr="00F07779">
              <w:rPr>
                <w:sz w:val="20"/>
                <w:szCs w:val="20"/>
              </w:rPr>
              <w:t>Loans from domestic commercial banks</w:t>
            </w:r>
          </w:p>
          <w:p w14:paraId="2F7A55F6" w14:textId="77777777" w:rsidR="0010715F" w:rsidRPr="00F07779" w:rsidRDefault="0010715F" w:rsidP="005E3573">
            <w:pPr>
              <w:jc w:val="both"/>
              <w:rPr>
                <w:sz w:val="20"/>
                <w:szCs w:val="20"/>
              </w:rPr>
            </w:pPr>
            <w:r w:rsidRPr="00F07779">
              <w:rPr>
                <w:sz w:val="20"/>
                <w:szCs w:val="20"/>
              </w:rPr>
              <w:t>The implementation schedule and the fund withdrawal plan will be defined subsequently</w:t>
            </w:r>
          </w:p>
        </w:tc>
      </w:tr>
      <w:tr w:rsidR="0010715F" w:rsidRPr="00F07779" w14:paraId="5619F218" w14:textId="77777777" w:rsidTr="005E3573">
        <w:tc>
          <w:tcPr>
            <w:tcW w:w="2972" w:type="dxa"/>
          </w:tcPr>
          <w:p w14:paraId="5BC0AD1A" w14:textId="77777777" w:rsidR="0010715F" w:rsidRPr="00F07779" w:rsidRDefault="0010715F" w:rsidP="005E3573">
            <w:pPr>
              <w:jc w:val="both"/>
              <w:rPr>
                <w:sz w:val="20"/>
                <w:szCs w:val="20"/>
              </w:rPr>
            </w:pPr>
            <w:r w:rsidRPr="00F07779">
              <w:rPr>
                <w:sz w:val="20"/>
                <w:szCs w:val="20"/>
              </w:rPr>
              <w:t>Implementation indicator / Performance indicator</w:t>
            </w:r>
          </w:p>
        </w:tc>
        <w:tc>
          <w:tcPr>
            <w:tcW w:w="5743" w:type="dxa"/>
          </w:tcPr>
          <w:p w14:paraId="09BDB1EA" w14:textId="77777777" w:rsidR="0010715F" w:rsidRPr="00F07779" w:rsidRDefault="0010715F" w:rsidP="005E3573">
            <w:pPr>
              <w:jc w:val="both"/>
              <w:rPr>
                <w:sz w:val="20"/>
                <w:szCs w:val="20"/>
              </w:rPr>
            </w:pPr>
            <w:r w:rsidRPr="00F07779">
              <w:rPr>
                <w:sz w:val="20"/>
                <w:szCs w:val="20"/>
              </w:rPr>
              <w:t>Implementation phase:</w:t>
            </w:r>
          </w:p>
          <w:p w14:paraId="4D5F24F7" w14:textId="77777777" w:rsidR="0010715F" w:rsidRPr="00F07779" w:rsidRDefault="0010715F" w:rsidP="005E3573">
            <w:pPr>
              <w:jc w:val="both"/>
              <w:rPr>
                <w:sz w:val="20"/>
                <w:szCs w:val="20"/>
              </w:rPr>
            </w:pPr>
            <w:r w:rsidRPr="00F07779">
              <w:rPr>
                <w:sz w:val="20"/>
                <w:szCs w:val="20"/>
              </w:rPr>
              <w:t>Spatial documentation, Conceptual design and location requirements, Approval of the Environmental Impact Assessment Study, Resolution of property-legal issues, Preliminary design and feasibility study, Energy permit, Design for construction permit and construction permit, Preparation of tender documentation, Detailed design, Construction, Commissioning</w:t>
            </w:r>
          </w:p>
        </w:tc>
      </w:tr>
      <w:tr w:rsidR="0010715F" w:rsidRPr="00F07779" w14:paraId="355A287A" w14:textId="77777777" w:rsidTr="005E3573">
        <w:tc>
          <w:tcPr>
            <w:tcW w:w="2972" w:type="dxa"/>
          </w:tcPr>
          <w:p w14:paraId="3C695ECE" w14:textId="77777777" w:rsidR="0010715F" w:rsidRPr="00F07779" w:rsidRDefault="0010715F" w:rsidP="005E3573">
            <w:pPr>
              <w:jc w:val="both"/>
              <w:rPr>
                <w:sz w:val="20"/>
                <w:szCs w:val="20"/>
              </w:rPr>
            </w:pPr>
            <w:r w:rsidRPr="00F07779">
              <w:rPr>
                <w:sz w:val="20"/>
                <w:szCs w:val="20"/>
              </w:rPr>
              <w:t>Impact of activity implementation on achieving the objective</w:t>
            </w:r>
          </w:p>
        </w:tc>
        <w:tc>
          <w:tcPr>
            <w:tcW w:w="5743" w:type="dxa"/>
          </w:tcPr>
          <w:p w14:paraId="3166E7BE" w14:textId="77777777" w:rsidR="0010715F" w:rsidRPr="00F07779" w:rsidRDefault="0010715F" w:rsidP="005E3573">
            <w:pPr>
              <w:jc w:val="both"/>
              <w:rPr>
                <w:sz w:val="20"/>
                <w:szCs w:val="20"/>
              </w:rPr>
            </w:pPr>
            <w:r w:rsidRPr="00F07779">
              <w:rPr>
                <w:sz w:val="20"/>
                <w:szCs w:val="20"/>
              </w:rPr>
              <w:t>Secure supply:</w:t>
            </w:r>
          </w:p>
          <w:p w14:paraId="53D534DF" w14:textId="4AE890CE" w:rsidR="0010715F" w:rsidRPr="00F07779" w:rsidRDefault="0010715F" w:rsidP="005E3573">
            <w:pPr>
              <w:jc w:val="both"/>
              <w:rPr>
                <w:sz w:val="20"/>
                <w:szCs w:val="20"/>
              </w:rPr>
            </w:pPr>
            <w:r w:rsidRPr="00F07779">
              <w:rPr>
                <w:sz w:val="20"/>
                <w:szCs w:val="20"/>
              </w:rPr>
              <w:t xml:space="preserve">The indicator remains unchanged, but reliable operation of the </w:t>
            </w:r>
            <w:proofErr w:type="spellStart"/>
            <w:proofErr w:type="gramStart"/>
            <w:r w:rsidR="008076AB" w:rsidRPr="00F07779">
              <w:rPr>
                <w:sz w:val="20"/>
                <w:szCs w:val="20"/>
              </w:rPr>
              <w:t>transport</w:t>
            </w:r>
            <w:r w:rsidRPr="00F07779">
              <w:rPr>
                <w:sz w:val="20"/>
                <w:szCs w:val="20"/>
              </w:rPr>
              <w:t>and</w:t>
            </w:r>
            <w:proofErr w:type="spellEnd"/>
            <w:proofErr w:type="gramEnd"/>
            <w:r w:rsidRPr="00F07779">
              <w:rPr>
                <w:sz w:val="20"/>
                <w:szCs w:val="20"/>
              </w:rPr>
              <w:t xml:space="preserve"> distribution system is ensured.</w:t>
            </w:r>
          </w:p>
        </w:tc>
      </w:tr>
    </w:tbl>
    <w:p w14:paraId="5ECFA583" w14:textId="77777777" w:rsidR="0010715F" w:rsidRPr="00F07779" w:rsidRDefault="0010715F" w:rsidP="0010715F">
      <w:pPr>
        <w:jc w:val="both"/>
      </w:pPr>
    </w:p>
    <w:p w14:paraId="5B28C5A3" w14:textId="498FB111" w:rsidR="000B40DF" w:rsidRPr="00F07779" w:rsidRDefault="000B40DF" w:rsidP="0010715F">
      <w:pPr>
        <w:jc w:val="both"/>
      </w:pPr>
      <w:r w:rsidRPr="00F07779">
        <w:t>Table 5.5.5-2: Activities for the implementation of the measure G3 – G3.2</w:t>
      </w:r>
    </w:p>
    <w:tbl>
      <w:tblPr>
        <w:tblStyle w:val="TableGrid"/>
        <w:tblW w:w="0" w:type="auto"/>
        <w:tblLook w:val="04A0" w:firstRow="1" w:lastRow="0" w:firstColumn="1" w:lastColumn="0" w:noHBand="0" w:noVBand="1"/>
      </w:tblPr>
      <w:tblGrid>
        <w:gridCol w:w="2972"/>
        <w:gridCol w:w="5743"/>
      </w:tblGrid>
      <w:tr w:rsidR="000B40DF" w:rsidRPr="00F07779" w14:paraId="7EB0451B" w14:textId="77777777" w:rsidTr="004E7D55">
        <w:tc>
          <w:tcPr>
            <w:tcW w:w="2972" w:type="dxa"/>
            <w:shd w:val="clear" w:color="auto" w:fill="D9D9D9" w:themeFill="background1" w:themeFillShade="D9"/>
          </w:tcPr>
          <w:p w14:paraId="368BE935" w14:textId="4E96F9FF" w:rsidR="000B40DF" w:rsidRPr="00FA3F57" w:rsidRDefault="000B40DF" w:rsidP="000B40DF">
            <w:pPr>
              <w:jc w:val="both"/>
              <w:rPr>
                <w:sz w:val="20"/>
                <w:szCs w:val="20"/>
              </w:rPr>
            </w:pPr>
            <w:r w:rsidRPr="00FA3F57">
              <w:rPr>
                <w:sz w:val="20"/>
                <w:szCs w:val="20"/>
              </w:rPr>
              <w:lastRenderedPageBreak/>
              <w:t>Activity G3.</w:t>
            </w:r>
            <w:r w:rsidRPr="00F07779">
              <w:rPr>
                <w:sz w:val="20"/>
                <w:szCs w:val="20"/>
              </w:rPr>
              <w:t>2</w:t>
            </w:r>
          </w:p>
        </w:tc>
        <w:tc>
          <w:tcPr>
            <w:tcW w:w="5743" w:type="dxa"/>
            <w:shd w:val="clear" w:color="auto" w:fill="D9D9D9" w:themeFill="background1" w:themeFillShade="D9"/>
          </w:tcPr>
          <w:p w14:paraId="307E7737" w14:textId="27F410DC" w:rsidR="000B40DF" w:rsidRPr="00FA3F57" w:rsidRDefault="006D5BCB" w:rsidP="000B40DF">
            <w:pPr>
              <w:jc w:val="both"/>
              <w:rPr>
                <w:sz w:val="20"/>
                <w:szCs w:val="20"/>
              </w:rPr>
            </w:pPr>
            <w:r w:rsidRPr="00FA3F57">
              <w:rPr>
                <w:sz w:val="20"/>
                <w:szCs w:val="20"/>
              </w:rPr>
              <w:t xml:space="preserve">Assessment of the condition of existing high-pressure main gas pipelines from </w:t>
            </w:r>
            <w:proofErr w:type="spellStart"/>
            <w:r w:rsidRPr="00FA3F57">
              <w:rPr>
                <w:sz w:val="20"/>
                <w:szCs w:val="20"/>
              </w:rPr>
              <w:t>Horgoš</w:t>
            </w:r>
            <w:proofErr w:type="spellEnd"/>
            <w:r w:rsidRPr="00FA3F57">
              <w:rPr>
                <w:sz w:val="20"/>
                <w:szCs w:val="20"/>
              </w:rPr>
              <w:t xml:space="preserve"> to </w:t>
            </w:r>
            <w:proofErr w:type="spellStart"/>
            <w:r w:rsidRPr="00FA3F57">
              <w:rPr>
                <w:sz w:val="20"/>
                <w:szCs w:val="20"/>
              </w:rPr>
              <w:t>Niš</w:t>
            </w:r>
            <w:proofErr w:type="spellEnd"/>
          </w:p>
        </w:tc>
      </w:tr>
      <w:tr w:rsidR="000B40DF" w:rsidRPr="00F07779" w14:paraId="2426DF82" w14:textId="77777777" w:rsidTr="004E7D55">
        <w:tc>
          <w:tcPr>
            <w:tcW w:w="2972" w:type="dxa"/>
          </w:tcPr>
          <w:p w14:paraId="4B580BA1" w14:textId="4B1BAE7A" w:rsidR="000B40DF" w:rsidRPr="00FA3F57" w:rsidRDefault="000B40DF" w:rsidP="000B40DF">
            <w:pPr>
              <w:jc w:val="both"/>
              <w:rPr>
                <w:sz w:val="20"/>
                <w:szCs w:val="20"/>
              </w:rPr>
            </w:pPr>
            <w:r w:rsidRPr="00FA3F57">
              <w:rPr>
                <w:sz w:val="20"/>
                <w:szCs w:val="20"/>
              </w:rPr>
              <w:t>Description</w:t>
            </w:r>
          </w:p>
        </w:tc>
        <w:tc>
          <w:tcPr>
            <w:tcW w:w="5743" w:type="dxa"/>
          </w:tcPr>
          <w:p w14:paraId="312FCD31" w14:textId="4AE1A63D" w:rsidR="006D5BCB" w:rsidRPr="00FA3F57" w:rsidRDefault="006D5BCB" w:rsidP="006D5BCB">
            <w:pPr>
              <w:jc w:val="both"/>
              <w:rPr>
                <w:sz w:val="20"/>
                <w:szCs w:val="20"/>
              </w:rPr>
            </w:pPr>
            <w:r w:rsidRPr="00FA3F57">
              <w:rPr>
                <w:sz w:val="20"/>
                <w:szCs w:val="20"/>
              </w:rPr>
              <w:t xml:space="preserve">The assessment of the condition of existing high-pressure main gas pipelines from </w:t>
            </w:r>
            <w:proofErr w:type="spellStart"/>
            <w:r w:rsidRPr="00FA3F57">
              <w:rPr>
                <w:sz w:val="20"/>
                <w:szCs w:val="20"/>
              </w:rPr>
              <w:t>Horgoš</w:t>
            </w:r>
            <w:proofErr w:type="spellEnd"/>
            <w:r w:rsidRPr="00FA3F57">
              <w:rPr>
                <w:sz w:val="20"/>
                <w:szCs w:val="20"/>
              </w:rPr>
              <w:t xml:space="preserve"> to </w:t>
            </w:r>
            <w:proofErr w:type="spellStart"/>
            <w:r w:rsidRPr="00FA3F57">
              <w:rPr>
                <w:sz w:val="20"/>
                <w:szCs w:val="20"/>
              </w:rPr>
              <w:t>Niš</w:t>
            </w:r>
            <w:proofErr w:type="spellEnd"/>
            <w:r w:rsidRPr="00FA3F57">
              <w:rPr>
                <w:sz w:val="20"/>
                <w:szCs w:val="20"/>
              </w:rPr>
              <w:t xml:space="preserve"> will be carried out using an “intelligent pig” inspection method. This activity was planned under the </w:t>
            </w:r>
            <w:proofErr w:type="spellStart"/>
            <w:r w:rsidRPr="00FA3F57">
              <w:rPr>
                <w:sz w:val="20"/>
                <w:szCs w:val="20"/>
              </w:rPr>
              <w:t>Transportgas</w:t>
            </w:r>
            <w:proofErr w:type="spellEnd"/>
            <w:r w:rsidRPr="00FA3F57">
              <w:rPr>
                <w:sz w:val="20"/>
                <w:szCs w:val="20"/>
              </w:rPr>
              <w:t xml:space="preserve"> Serbia Investment Plan for the period 2022–</w:t>
            </w:r>
            <w:proofErr w:type="gramStart"/>
            <w:r w:rsidRPr="00FA3F57">
              <w:rPr>
                <w:sz w:val="20"/>
                <w:szCs w:val="20"/>
              </w:rPr>
              <w:t>2024, but</w:t>
            </w:r>
            <w:proofErr w:type="gramEnd"/>
            <w:r w:rsidRPr="00FA3F57">
              <w:rPr>
                <w:sz w:val="20"/>
                <w:szCs w:val="20"/>
              </w:rPr>
              <w:t xml:space="preserve"> was not implemented. Considering the age of the pipelines and the results of the previous intelligent pig inspection, it is necessary to implement this activity in 2026.</w:t>
            </w:r>
          </w:p>
          <w:p w14:paraId="4FDE7477" w14:textId="37080A22" w:rsidR="000B40DF" w:rsidRPr="00FA3F57" w:rsidRDefault="006D5BCB" w:rsidP="006D5BCB">
            <w:pPr>
              <w:jc w:val="both"/>
              <w:rPr>
                <w:sz w:val="20"/>
                <w:szCs w:val="20"/>
              </w:rPr>
            </w:pPr>
            <w:r w:rsidRPr="00FA3F57">
              <w:rPr>
                <w:sz w:val="20"/>
                <w:szCs w:val="20"/>
              </w:rPr>
              <w:t>The obtained inspection results will precisely determine the extent and location of pipeline damage, enabling fast and efficient repair. Based on these results, a techno-economic feasibility analysis will be conducted to assess whether rehabilitation of the existing pipelines or construction of new pipelines with adequate capacity would be more justified.</w:t>
            </w:r>
          </w:p>
        </w:tc>
      </w:tr>
      <w:tr w:rsidR="000B40DF" w:rsidRPr="00F07779" w14:paraId="53276C9D" w14:textId="77777777" w:rsidTr="004E7D55">
        <w:tc>
          <w:tcPr>
            <w:tcW w:w="2972" w:type="dxa"/>
          </w:tcPr>
          <w:p w14:paraId="025955BF" w14:textId="4E9D0EB2" w:rsidR="000B40DF" w:rsidRPr="00FA3F57" w:rsidRDefault="000B40DF" w:rsidP="000B40DF">
            <w:pPr>
              <w:jc w:val="both"/>
              <w:rPr>
                <w:sz w:val="20"/>
                <w:szCs w:val="20"/>
              </w:rPr>
            </w:pPr>
            <w:r w:rsidRPr="00FA3F57">
              <w:rPr>
                <w:sz w:val="20"/>
                <w:szCs w:val="20"/>
              </w:rPr>
              <w:t>Institutions responsible for implementation of measures and activities</w:t>
            </w:r>
          </w:p>
        </w:tc>
        <w:tc>
          <w:tcPr>
            <w:tcW w:w="5743" w:type="dxa"/>
          </w:tcPr>
          <w:p w14:paraId="383B39DC" w14:textId="11BDB5B5" w:rsidR="000B40DF" w:rsidRPr="00FA3F57" w:rsidRDefault="006D5BCB" w:rsidP="000B40DF">
            <w:pPr>
              <w:jc w:val="both"/>
              <w:rPr>
                <w:sz w:val="20"/>
                <w:szCs w:val="20"/>
              </w:rPr>
            </w:pPr>
            <w:r w:rsidRPr="00FA3F57">
              <w:rPr>
                <w:sz w:val="20"/>
                <w:szCs w:val="20"/>
              </w:rPr>
              <w:t xml:space="preserve">Public Enterprise </w:t>
            </w:r>
            <w:proofErr w:type="spellStart"/>
            <w:r w:rsidRPr="00FA3F57">
              <w:rPr>
                <w:sz w:val="20"/>
                <w:szCs w:val="20"/>
              </w:rPr>
              <w:t>Srbijagas</w:t>
            </w:r>
            <w:proofErr w:type="spellEnd"/>
          </w:p>
        </w:tc>
      </w:tr>
      <w:tr w:rsidR="000B40DF" w:rsidRPr="00F07779" w14:paraId="57F05B5E" w14:textId="77777777" w:rsidTr="004E7D55">
        <w:tc>
          <w:tcPr>
            <w:tcW w:w="2972" w:type="dxa"/>
          </w:tcPr>
          <w:p w14:paraId="2A7E9CA7" w14:textId="7592BA0F" w:rsidR="000B40DF" w:rsidRPr="00FA3F57" w:rsidRDefault="000B40DF" w:rsidP="000B40DF">
            <w:pPr>
              <w:jc w:val="both"/>
              <w:rPr>
                <w:sz w:val="20"/>
                <w:szCs w:val="20"/>
              </w:rPr>
            </w:pPr>
            <w:r w:rsidRPr="00FA3F57">
              <w:rPr>
                <w:sz w:val="20"/>
                <w:szCs w:val="20"/>
              </w:rPr>
              <w:t>Institutions responsible for monitoring implementation and reporting on progress</w:t>
            </w:r>
          </w:p>
        </w:tc>
        <w:tc>
          <w:tcPr>
            <w:tcW w:w="5743" w:type="dxa"/>
          </w:tcPr>
          <w:p w14:paraId="564C6F6F" w14:textId="5574A6C8" w:rsidR="000B40DF" w:rsidRPr="00FA3F57" w:rsidRDefault="000B40DF" w:rsidP="000B40DF">
            <w:pPr>
              <w:jc w:val="both"/>
              <w:rPr>
                <w:sz w:val="20"/>
                <w:szCs w:val="20"/>
              </w:rPr>
            </w:pPr>
            <w:r w:rsidRPr="00FA3F57">
              <w:rPr>
                <w:sz w:val="20"/>
                <w:szCs w:val="20"/>
              </w:rPr>
              <w:t xml:space="preserve">- </w:t>
            </w:r>
            <w:proofErr w:type="spellStart"/>
            <w:r w:rsidR="006D5BCB" w:rsidRPr="00FA3F57">
              <w:rPr>
                <w:sz w:val="20"/>
                <w:szCs w:val="20"/>
              </w:rPr>
              <w:t>Transportgas</w:t>
            </w:r>
            <w:proofErr w:type="spellEnd"/>
            <w:r w:rsidR="006D5BCB" w:rsidRPr="00FA3F57">
              <w:rPr>
                <w:sz w:val="20"/>
                <w:szCs w:val="20"/>
              </w:rPr>
              <w:t xml:space="preserve"> Serbia </w:t>
            </w:r>
            <w:r w:rsidR="00D11B4C" w:rsidRPr="00FA3F57">
              <w:rPr>
                <w:sz w:val="20"/>
                <w:szCs w:val="20"/>
              </w:rPr>
              <w:t>LLC</w:t>
            </w:r>
          </w:p>
          <w:p w14:paraId="4D5BDB14" w14:textId="15D81033" w:rsidR="000B40DF" w:rsidRPr="00FA3F57" w:rsidRDefault="000B40DF" w:rsidP="000B40DF">
            <w:pPr>
              <w:jc w:val="both"/>
              <w:rPr>
                <w:sz w:val="20"/>
                <w:szCs w:val="20"/>
              </w:rPr>
            </w:pPr>
            <w:r w:rsidRPr="00FA3F57">
              <w:rPr>
                <w:sz w:val="20"/>
                <w:szCs w:val="20"/>
              </w:rPr>
              <w:t xml:space="preserve">- </w:t>
            </w:r>
            <w:r w:rsidR="006D5BCB" w:rsidRPr="00FA3F57">
              <w:rPr>
                <w:sz w:val="20"/>
                <w:szCs w:val="20"/>
              </w:rPr>
              <w:t>Ministry of Mining and Energy</w:t>
            </w:r>
          </w:p>
        </w:tc>
      </w:tr>
      <w:tr w:rsidR="000B40DF" w:rsidRPr="00F07779" w14:paraId="40C819A8" w14:textId="77777777" w:rsidTr="004E7D55">
        <w:tc>
          <w:tcPr>
            <w:tcW w:w="2972" w:type="dxa"/>
          </w:tcPr>
          <w:p w14:paraId="3AEDFB77" w14:textId="18B2F1E8" w:rsidR="000B40DF" w:rsidRPr="00FA3F57" w:rsidRDefault="000B40DF" w:rsidP="000B40DF">
            <w:pPr>
              <w:jc w:val="both"/>
              <w:rPr>
                <w:sz w:val="20"/>
                <w:szCs w:val="20"/>
              </w:rPr>
            </w:pPr>
            <w:r w:rsidRPr="00FA3F57">
              <w:rPr>
                <w:sz w:val="20"/>
                <w:szCs w:val="20"/>
              </w:rPr>
              <w:t>Implementation deadline / Timeline</w:t>
            </w:r>
          </w:p>
        </w:tc>
        <w:tc>
          <w:tcPr>
            <w:tcW w:w="5743" w:type="dxa"/>
          </w:tcPr>
          <w:p w14:paraId="56D4E7A9" w14:textId="6EC678AD" w:rsidR="000B40DF" w:rsidRPr="00FA3F57" w:rsidRDefault="000B40DF" w:rsidP="000B40DF">
            <w:pPr>
              <w:jc w:val="both"/>
              <w:rPr>
                <w:sz w:val="20"/>
                <w:szCs w:val="20"/>
              </w:rPr>
            </w:pPr>
            <w:r w:rsidRPr="00FA3F57">
              <w:rPr>
                <w:sz w:val="20"/>
                <w:szCs w:val="20"/>
              </w:rPr>
              <w:t>2026</w:t>
            </w:r>
            <w:r w:rsidR="00D11B4C" w:rsidRPr="00FA3F57">
              <w:rPr>
                <w:sz w:val="20"/>
                <w:szCs w:val="20"/>
              </w:rPr>
              <w:t>.</w:t>
            </w:r>
          </w:p>
        </w:tc>
      </w:tr>
      <w:tr w:rsidR="000B40DF" w:rsidRPr="00F07779" w14:paraId="48E037B1" w14:textId="77777777" w:rsidTr="004E7D55">
        <w:tc>
          <w:tcPr>
            <w:tcW w:w="2972" w:type="dxa"/>
          </w:tcPr>
          <w:p w14:paraId="578D2503" w14:textId="57337000" w:rsidR="000B40DF" w:rsidRPr="00FA3F57" w:rsidRDefault="000B40DF" w:rsidP="000B40DF">
            <w:pPr>
              <w:jc w:val="both"/>
              <w:rPr>
                <w:sz w:val="20"/>
                <w:szCs w:val="20"/>
              </w:rPr>
            </w:pPr>
            <w:r w:rsidRPr="00FA3F57">
              <w:rPr>
                <w:sz w:val="20"/>
                <w:szCs w:val="20"/>
              </w:rPr>
              <w:t>Required funds and source of financing</w:t>
            </w:r>
          </w:p>
        </w:tc>
        <w:tc>
          <w:tcPr>
            <w:tcW w:w="5743" w:type="dxa"/>
          </w:tcPr>
          <w:p w14:paraId="5CD1BBE8" w14:textId="4C39CB72" w:rsidR="000B40DF" w:rsidRPr="00FA3F57" w:rsidRDefault="006D5BCB" w:rsidP="00FA3F57">
            <w:pPr>
              <w:rPr>
                <w:sz w:val="20"/>
                <w:szCs w:val="20"/>
              </w:rPr>
            </w:pPr>
            <w:r w:rsidRPr="00FA3F57">
              <w:rPr>
                <w:sz w:val="20"/>
                <w:szCs w:val="20"/>
              </w:rPr>
              <w:t>6.5 million EUR (762.12 million RSD)</w:t>
            </w:r>
            <w:r w:rsidR="000B40DF" w:rsidRPr="00FA3F57">
              <w:rPr>
                <w:sz w:val="20"/>
                <w:szCs w:val="20"/>
              </w:rPr>
              <w:br/>
            </w:r>
            <w:r w:rsidRPr="00FA3F57">
              <w:rPr>
                <w:sz w:val="20"/>
                <w:szCs w:val="20"/>
              </w:rPr>
              <w:t>Own funds</w:t>
            </w:r>
          </w:p>
          <w:p w14:paraId="7522889F" w14:textId="7C8D3585" w:rsidR="000B40DF" w:rsidRPr="00FA3F57" w:rsidRDefault="006D5BCB" w:rsidP="000B40DF">
            <w:pPr>
              <w:jc w:val="both"/>
              <w:rPr>
                <w:sz w:val="20"/>
                <w:szCs w:val="20"/>
              </w:rPr>
            </w:pPr>
            <w:r w:rsidRPr="00FA3F57">
              <w:rPr>
                <w:sz w:val="20"/>
                <w:szCs w:val="20"/>
              </w:rPr>
              <w:t>The implementation schedule and the fund withdrawal plan will be defined subsequently.</w:t>
            </w:r>
          </w:p>
        </w:tc>
      </w:tr>
      <w:tr w:rsidR="000B40DF" w:rsidRPr="00F07779" w14:paraId="06AE50BA" w14:textId="77777777" w:rsidTr="004E7D55">
        <w:tc>
          <w:tcPr>
            <w:tcW w:w="2972" w:type="dxa"/>
          </w:tcPr>
          <w:p w14:paraId="5CC56BEC" w14:textId="5965A02A" w:rsidR="000B40DF" w:rsidRPr="00FA3F57" w:rsidRDefault="000B40DF" w:rsidP="000B40DF">
            <w:pPr>
              <w:jc w:val="both"/>
              <w:rPr>
                <w:sz w:val="20"/>
                <w:szCs w:val="20"/>
              </w:rPr>
            </w:pPr>
            <w:r w:rsidRPr="00FA3F57">
              <w:rPr>
                <w:sz w:val="20"/>
                <w:szCs w:val="20"/>
              </w:rPr>
              <w:t>Implementation indicator / Performance indicator</w:t>
            </w:r>
          </w:p>
        </w:tc>
        <w:tc>
          <w:tcPr>
            <w:tcW w:w="5743" w:type="dxa"/>
          </w:tcPr>
          <w:p w14:paraId="1CCA28C9" w14:textId="2A44DE1D" w:rsidR="000B40DF" w:rsidRPr="00FA3F57" w:rsidRDefault="006D5BCB" w:rsidP="000B40DF">
            <w:pPr>
              <w:jc w:val="both"/>
              <w:rPr>
                <w:sz w:val="20"/>
                <w:szCs w:val="20"/>
              </w:rPr>
            </w:pPr>
            <w:r w:rsidRPr="00FA3F57">
              <w:rPr>
                <w:sz w:val="20"/>
                <w:szCs w:val="20"/>
              </w:rPr>
              <w:t>Implementation phase</w:t>
            </w:r>
            <w:r w:rsidR="000B40DF" w:rsidRPr="00FA3F57">
              <w:rPr>
                <w:sz w:val="20"/>
                <w:szCs w:val="20"/>
              </w:rPr>
              <w:t>:</w:t>
            </w:r>
          </w:p>
          <w:p w14:paraId="128B57A7" w14:textId="0A00E359" w:rsidR="000B40DF" w:rsidRPr="00FA3F57" w:rsidRDefault="006D5BCB" w:rsidP="000B40DF">
            <w:pPr>
              <w:jc w:val="both"/>
              <w:rPr>
                <w:sz w:val="20"/>
                <w:szCs w:val="20"/>
              </w:rPr>
            </w:pPr>
            <w:r w:rsidRPr="00FA3F57">
              <w:rPr>
                <w:sz w:val="20"/>
                <w:szCs w:val="20"/>
              </w:rPr>
              <w:t xml:space="preserve">Selection of </w:t>
            </w:r>
            <w:proofErr w:type="gramStart"/>
            <w:r w:rsidRPr="00FA3F57">
              <w:rPr>
                <w:sz w:val="20"/>
                <w:szCs w:val="20"/>
              </w:rPr>
              <w:t>contractor</w:t>
            </w:r>
            <w:proofErr w:type="gramEnd"/>
            <w:r w:rsidRPr="00FA3F57">
              <w:rPr>
                <w:sz w:val="20"/>
                <w:szCs w:val="20"/>
              </w:rPr>
              <w:t xml:space="preserve"> for testing</w:t>
            </w:r>
            <w:r w:rsidR="000B40DF" w:rsidRPr="00FA3F57">
              <w:rPr>
                <w:sz w:val="20"/>
                <w:szCs w:val="20"/>
              </w:rPr>
              <w:t xml:space="preserve">; </w:t>
            </w:r>
            <w:r w:rsidRPr="00FA3F57">
              <w:rPr>
                <w:sz w:val="20"/>
                <w:szCs w:val="20"/>
              </w:rPr>
              <w:t>Execution of inspection</w:t>
            </w:r>
            <w:r w:rsidR="000B40DF" w:rsidRPr="00FA3F57">
              <w:rPr>
                <w:sz w:val="20"/>
                <w:szCs w:val="20"/>
              </w:rPr>
              <w:t>;</w:t>
            </w:r>
            <w:r w:rsidRPr="00FA3F57">
              <w:rPr>
                <w:sz w:val="20"/>
                <w:szCs w:val="20"/>
              </w:rPr>
              <w:t xml:space="preserve"> Submission of inspection report</w:t>
            </w:r>
          </w:p>
        </w:tc>
      </w:tr>
      <w:tr w:rsidR="000B40DF" w:rsidRPr="00F07779" w14:paraId="5102515C" w14:textId="77777777" w:rsidTr="004E7D55">
        <w:tc>
          <w:tcPr>
            <w:tcW w:w="2972" w:type="dxa"/>
          </w:tcPr>
          <w:p w14:paraId="685BA5BE" w14:textId="5F932B95" w:rsidR="000B40DF" w:rsidRPr="00FA3F57" w:rsidRDefault="000B40DF" w:rsidP="000B40DF">
            <w:pPr>
              <w:jc w:val="both"/>
              <w:rPr>
                <w:sz w:val="20"/>
                <w:szCs w:val="20"/>
              </w:rPr>
            </w:pPr>
            <w:r w:rsidRPr="00FA3F57">
              <w:rPr>
                <w:sz w:val="20"/>
                <w:szCs w:val="20"/>
              </w:rPr>
              <w:t>Impact of activity implementation on achieving the objective</w:t>
            </w:r>
          </w:p>
        </w:tc>
        <w:tc>
          <w:tcPr>
            <w:tcW w:w="5743" w:type="dxa"/>
          </w:tcPr>
          <w:p w14:paraId="2BE704DD" w14:textId="77777777" w:rsidR="006D5BCB" w:rsidRPr="00FA3F57" w:rsidRDefault="006D5BCB" w:rsidP="000B40DF">
            <w:pPr>
              <w:jc w:val="both"/>
              <w:rPr>
                <w:sz w:val="20"/>
                <w:szCs w:val="20"/>
              </w:rPr>
            </w:pPr>
            <w:r w:rsidRPr="00FA3F57">
              <w:rPr>
                <w:sz w:val="20"/>
                <w:szCs w:val="20"/>
              </w:rPr>
              <w:t>Security of supply</w:t>
            </w:r>
            <w:r w:rsidR="000B40DF" w:rsidRPr="00FA3F57">
              <w:rPr>
                <w:sz w:val="20"/>
                <w:szCs w:val="20"/>
              </w:rPr>
              <w:t>:</w:t>
            </w:r>
            <w:r w:rsidRPr="00FA3F57">
              <w:rPr>
                <w:sz w:val="20"/>
                <w:szCs w:val="20"/>
              </w:rPr>
              <w:t xml:space="preserve"> </w:t>
            </w:r>
          </w:p>
          <w:p w14:paraId="1EF25061" w14:textId="2646B40E" w:rsidR="000B40DF" w:rsidRPr="00FA3F57" w:rsidRDefault="006D5BCB" w:rsidP="000B40DF">
            <w:pPr>
              <w:jc w:val="both"/>
              <w:rPr>
                <w:sz w:val="20"/>
                <w:szCs w:val="20"/>
              </w:rPr>
            </w:pPr>
            <w:r w:rsidRPr="00FA3F57">
              <w:rPr>
                <w:sz w:val="20"/>
                <w:szCs w:val="20"/>
              </w:rPr>
              <w:t>The indicator remains unchanged, but the activity ensures reliable operation of the gas transmission system</w:t>
            </w:r>
            <w:r w:rsidR="000B40DF" w:rsidRPr="00FA3F57">
              <w:rPr>
                <w:sz w:val="20"/>
                <w:szCs w:val="20"/>
              </w:rPr>
              <w:t>.</w:t>
            </w:r>
          </w:p>
        </w:tc>
      </w:tr>
    </w:tbl>
    <w:p w14:paraId="1AF2DD2F" w14:textId="77777777" w:rsidR="000B40DF" w:rsidRPr="00F07779" w:rsidRDefault="000B40DF" w:rsidP="0010715F">
      <w:pPr>
        <w:jc w:val="both"/>
      </w:pPr>
    </w:p>
    <w:tbl>
      <w:tblPr>
        <w:tblStyle w:val="TableGrid"/>
        <w:tblW w:w="0" w:type="auto"/>
        <w:tblLook w:val="04A0" w:firstRow="1" w:lastRow="0" w:firstColumn="1" w:lastColumn="0" w:noHBand="0" w:noVBand="1"/>
      </w:tblPr>
      <w:tblGrid>
        <w:gridCol w:w="2972"/>
        <w:gridCol w:w="5743"/>
      </w:tblGrid>
      <w:tr w:rsidR="0010715F" w:rsidRPr="00F07779" w14:paraId="4C7B29D4" w14:textId="77777777" w:rsidTr="005E3573">
        <w:tc>
          <w:tcPr>
            <w:tcW w:w="2972" w:type="dxa"/>
            <w:shd w:val="clear" w:color="auto" w:fill="D9D9D9" w:themeFill="background1" w:themeFillShade="D9"/>
          </w:tcPr>
          <w:p w14:paraId="5F0D8095" w14:textId="77777777" w:rsidR="0010715F" w:rsidRPr="00F07779" w:rsidRDefault="0010715F" w:rsidP="005E3573">
            <w:pPr>
              <w:jc w:val="both"/>
              <w:rPr>
                <w:sz w:val="20"/>
                <w:szCs w:val="20"/>
              </w:rPr>
            </w:pPr>
            <w:r w:rsidRPr="00F07779">
              <w:rPr>
                <w:sz w:val="20"/>
                <w:szCs w:val="20"/>
              </w:rPr>
              <w:t>Total investment for Measure G3</w:t>
            </w:r>
          </w:p>
        </w:tc>
        <w:tc>
          <w:tcPr>
            <w:tcW w:w="5743" w:type="dxa"/>
            <w:shd w:val="clear" w:color="auto" w:fill="D9D9D9" w:themeFill="background1" w:themeFillShade="D9"/>
          </w:tcPr>
          <w:p w14:paraId="240AC6D9" w14:textId="43D6B3DF" w:rsidR="0010715F" w:rsidRPr="00F07779" w:rsidRDefault="000B40DF" w:rsidP="005E3573">
            <w:pPr>
              <w:jc w:val="both"/>
              <w:rPr>
                <w:sz w:val="20"/>
                <w:szCs w:val="20"/>
              </w:rPr>
            </w:pPr>
            <w:r w:rsidRPr="00F07779">
              <w:rPr>
                <w:sz w:val="20"/>
                <w:szCs w:val="20"/>
              </w:rPr>
              <w:t xml:space="preserve">15.5 </w:t>
            </w:r>
            <w:r w:rsidR="0010715F" w:rsidRPr="00F07779">
              <w:rPr>
                <w:sz w:val="20"/>
                <w:szCs w:val="20"/>
              </w:rPr>
              <w:t>million EUR (1</w:t>
            </w:r>
            <w:r w:rsidRPr="00F07779">
              <w:rPr>
                <w:sz w:val="20"/>
                <w:szCs w:val="20"/>
              </w:rPr>
              <w:t>,817</w:t>
            </w:r>
            <w:r w:rsidR="0010715F" w:rsidRPr="00F07779">
              <w:rPr>
                <w:sz w:val="20"/>
                <w:szCs w:val="20"/>
              </w:rPr>
              <w:t xml:space="preserve"> million RSD)</w:t>
            </w:r>
          </w:p>
        </w:tc>
      </w:tr>
    </w:tbl>
    <w:p w14:paraId="2C00904B" w14:textId="77777777" w:rsidR="0010715F" w:rsidRPr="00F07779" w:rsidRDefault="0010715F" w:rsidP="0010715F">
      <w:pPr>
        <w:jc w:val="both"/>
      </w:pPr>
    </w:p>
    <w:p w14:paraId="2E2FE88A" w14:textId="77777777" w:rsidR="0010715F" w:rsidRPr="00F07779" w:rsidRDefault="0010715F" w:rsidP="0010715F">
      <w:pPr>
        <w:jc w:val="both"/>
      </w:pPr>
      <w:r w:rsidRPr="00F07779">
        <w:t>Table 5.5.6-1: Activities for the implementation of the measure G4 – G4.1</w:t>
      </w:r>
    </w:p>
    <w:tbl>
      <w:tblPr>
        <w:tblStyle w:val="TableGrid"/>
        <w:tblW w:w="0" w:type="auto"/>
        <w:tblLook w:val="04A0" w:firstRow="1" w:lastRow="0" w:firstColumn="1" w:lastColumn="0" w:noHBand="0" w:noVBand="1"/>
      </w:tblPr>
      <w:tblGrid>
        <w:gridCol w:w="2972"/>
        <w:gridCol w:w="5743"/>
      </w:tblGrid>
      <w:tr w:rsidR="0010715F" w:rsidRPr="00F07779" w14:paraId="13CA4635" w14:textId="77777777" w:rsidTr="005E3573">
        <w:tc>
          <w:tcPr>
            <w:tcW w:w="2972" w:type="dxa"/>
            <w:shd w:val="clear" w:color="auto" w:fill="D9D9D9" w:themeFill="background1" w:themeFillShade="D9"/>
          </w:tcPr>
          <w:p w14:paraId="7EF8B8E4" w14:textId="77777777" w:rsidR="0010715F" w:rsidRPr="00F07779" w:rsidRDefault="0010715F" w:rsidP="005E3573">
            <w:pPr>
              <w:jc w:val="both"/>
              <w:rPr>
                <w:sz w:val="20"/>
                <w:szCs w:val="20"/>
              </w:rPr>
            </w:pPr>
            <w:r w:rsidRPr="00F07779">
              <w:rPr>
                <w:sz w:val="20"/>
                <w:szCs w:val="20"/>
              </w:rPr>
              <w:t>Activity G4.1</w:t>
            </w:r>
          </w:p>
        </w:tc>
        <w:tc>
          <w:tcPr>
            <w:tcW w:w="5743" w:type="dxa"/>
            <w:shd w:val="clear" w:color="auto" w:fill="D9D9D9" w:themeFill="background1" w:themeFillShade="D9"/>
          </w:tcPr>
          <w:p w14:paraId="26D9FCF7" w14:textId="1EBF4E1A" w:rsidR="0010715F" w:rsidRPr="00F07779" w:rsidRDefault="006D5BCB" w:rsidP="005E3573">
            <w:pPr>
              <w:jc w:val="both"/>
              <w:rPr>
                <w:sz w:val="20"/>
                <w:szCs w:val="20"/>
              </w:rPr>
            </w:pPr>
            <w:r w:rsidRPr="00F07779">
              <w:rPr>
                <w:sz w:val="20"/>
                <w:szCs w:val="20"/>
              </w:rPr>
              <w:t xml:space="preserve">MG 14 GRČ </w:t>
            </w:r>
            <w:proofErr w:type="spellStart"/>
            <w:r w:rsidRPr="00F07779">
              <w:rPr>
                <w:sz w:val="20"/>
                <w:szCs w:val="20"/>
              </w:rPr>
              <w:t>Orljane</w:t>
            </w:r>
            <w:proofErr w:type="spellEnd"/>
            <w:r w:rsidRPr="00F07779">
              <w:rPr>
                <w:sz w:val="20"/>
                <w:szCs w:val="20"/>
              </w:rPr>
              <w:t xml:space="preserve">–Leskovac–Vranje–border with the Republic of North Macedonia – Section </w:t>
            </w:r>
            <w:proofErr w:type="spellStart"/>
            <w:r w:rsidRPr="00F07779">
              <w:rPr>
                <w:sz w:val="20"/>
                <w:szCs w:val="20"/>
              </w:rPr>
              <w:t>Orljane</w:t>
            </w:r>
            <w:proofErr w:type="spellEnd"/>
            <w:r w:rsidRPr="00F07779">
              <w:rPr>
                <w:sz w:val="20"/>
                <w:szCs w:val="20"/>
              </w:rPr>
              <w:t>–Leskovac–Vranje</w:t>
            </w:r>
          </w:p>
        </w:tc>
      </w:tr>
      <w:tr w:rsidR="0010715F" w:rsidRPr="00F07779" w14:paraId="223D7BC0" w14:textId="77777777" w:rsidTr="005E3573">
        <w:tc>
          <w:tcPr>
            <w:tcW w:w="2972" w:type="dxa"/>
          </w:tcPr>
          <w:p w14:paraId="51F414C0" w14:textId="77777777" w:rsidR="0010715F" w:rsidRPr="00F07779" w:rsidRDefault="0010715F" w:rsidP="005E3573">
            <w:pPr>
              <w:jc w:val="both"/>
              <w:rPr>
                <w:sz w:val="20"/>
                <w:szCs w:val="20"/>
              </w:rPr>
            </w:pPr>
            <w:r w:rsidRPr="00F07779">
              <w:rPr>
                <w:sz w:val="20"/>
                <w:szCs w:val="20"/>
              </w:rPr>
              <w:t>Description</w:t>
            </w:r>
          </w:p>
        </w:tc>
        <w:tc>
          <w:tcPr>
            <w:tcW w:w="5743" w:type="dxa"/>
          </w:tcPr>
          <w:p w14:paraId="1BCCFE1E" w14:textId="2C23F7FD" w:rsidR="0010715F" w:rsidRPr="00F07779" w:rsidRDefault="0010715F" w:rsidP="005E3573">
            <w:pPr>
              <w:jc w:val="both"/>
              <w:rPr>
                <w:sz w:val="20"/>
                <w:szCs w:val="20"/>
              </w:rPr>
            </w:pPr>
            <w:r w:rsidRPr="00F07779">
              <w:rPr>
                <w:sz w:val="20"/>
                <w:szCs w:val="20"/>
              </w:rPr>
              <w:t xml:space="preserve">The completion of the </w:t>
            </w:r>
            <w:proofErr w:type="spellStart"/>
            <w:r w:rsidR="006D5BCB" w:rsidRPr="00F07779">
              <w:rPr>
                <w:sz w:val="20"/>
                <w:szCs w:val="20"/>
              </w:rPr>
              <w:t>Orljane</w:t>
            </w:r>
            <w:proofErr w:type="spellEnd"/>
            <w:r w:rsidR="006D5BCB" w:rsidRPr="00F07779">
              <w:rPr>
                <w:sz w:val="20"/>
                <w:szCs w:val="20"/>
              </w:rPr>
              <w:t>-</w:t>
            </w:r>
            <w:r w:rsidRPr="00F07779">
              <w:rPr>
                <w:sz w:val="20"/>
                <w:szCs w:val="20"/>
              </w:rPr>
              <w:t>Leskovac–Vranje</w:t>
            </w:r>
            <w:r w:rsidR="009D3D50" w:rsidRPr="00F07779">
              <w:rPr>
                <w:sz w:val="20"/>
                <w:szCs w:val="20"/>
              </w:rPr>
              <w:t xml:space="preserve"> </w:t>
            </w:r>
            <w:r w:rsidR="008076AB" w:rsidRPr="00F07779">
              <w:rPr>
                <w:sz w:val="20"/>
                <w:szCs w:val="20"/>
              </w:rPr>
              <w:t>transport</w:t>
            </w:r>
            <w:r w:rsidR="00603F1D" w:rsidRPr="00F07779">
              <w:rPr>
                <w:sz w:val="20"/>
                <w:szCs w:val="20"/>
              </w:rPr>
              <w:t xml:space="preserve"> </w:t>
            </w:r>
            <w:r w:rsidRPr="00F07779">
              <w:rPr>
                <w:sz w:val="20"/>
                <w:szCs w:val="20"/>
              </w:rPr>
              <w:t>gas pipeline</w:t>
            </w:r>
            <w:r w:rsidR="009D3D50" w:rsidRPr="00F07779">
              <w:rPr>
                <w:sz w:val="20"/>
                <w:szCs w:val="20"/>
              </w:rPr>
              <w:t xml:space="preserve">, with a diameter of </w:t>
            </w:r>
            <w:r w:rsidR="009D3D50" w:rsidRPr="00FA3F57">
              <w:rPr>
                <w:sz w:val="20"/>
                <w:szCs w:val="20"/>
              </w:rPr>
              <w:t>DN500</w:t>
            </w:r>
            <w:r w:rsidRPr="00F07779">
              <w:rPr>
                <w:sz w:val="20"/>
                <w:szCs w:val="20"/>
              </w:rPr>
              <w:t>, along with the associated main metering and regulation stations, will create conditions for the construction of distribution gas pipelines in all settlements and the connection of industrial, communal, and individual consumers to the distribution system. Using natural gas as a fuel will significantly relieve the electricity generation capacities.</w:t>
            </w:r>
          </w:p>
        </w:tc>
      </w:tr>
      <w:tr w:rsidR="0010715F" w:rsidRPr="00F07779" w14:paraId="363810AE" w14:textId="77777777" w:rsidTr="005E3573">
        <w:tc>
          <w:tcPr>
            <w:tcW w:w="2972" w:type="dxa"/>
          </w:tcPr>
          <w:p w14:paraId="2BC126BB" w14:textId="77777777" w:rsidR="0010715F" w:rsidRPr="00F07779" w:rsidRDefault="0010715F" w:rsidP="005E3573">
            <w:pPr>
              <w:jc w:val="both"/>
              <w:rPr>
                <w:sz w:val="20"/>
                <w:szCs w:val="20"/>
              </w:rPr>
            </w:pPr>
            <w:r w:rsidRPr="00F07779">
              <w:rPr>
                <w:sz w:val="20"/>
                <w:szCs w:val="20"/>
              </w:rPr>
              <w:t>Institutions responsible for implementation of measures and activities</w:t>
            </w:r>
          </w:p>
        </w:tc>
        <w:tc>
          <w:tcPr>
            <w:tcW w:w="5743" w:type="dxa"/>
          </w:tcPr>
          <w:p w14:paraId="2BF78D55" w14:textId="77777777" w:rsidR="0010715F" w:rsidRPr="00F07779" w:rsidRDefault="0010715F" w:rsidP="005E3573">
            <w:pPr>
              <w:jc w:val="both"/>
              <w:rPr>
                <w:sz w:val="20"/>
                <w:szCs w:val="20"/>
              </w:rPr>
            </w:pPr>
            <w:r w:rsidRPr="00F07779">
              <w:rPr>
                <w:sz w:val="20"/>
                <w:szCs w:val="20"/>
              </w:rPr>
              <w:t xml:space="preserve">PUC </w:t>
            </w:r>
            <w:proofErr w:type="spellStart"/>
            <w:r w:rsidRPr="00F07779">
              <w:rPr>
                <w:sz w:val="20"/>
                <w:szCs w:val="20"/>
              </w:rPr>
              <w:t>Srbijagas</w:t>
            </w:r>
            <w:proofErr w:type="spellEnd"/>
          </w:p>
          <w:p w14:paraId="52F5AE99" w14:textId="77777777" w:rsidR="0010715F" w:rsidRPr="00F07779" w:rsidRDefault="0010715F" w:rsidP="005E3573">
            <w:pPr>
              <w:jc w:val="both"/>
              <w:rPr>
                <w:sz w:val="20"/>
                <w:szCs w:val="20"/>
              </w:rPr>
            </w:pPr>
          </w:p>
        </w:tc>
      </w:tr>
      <w:tr w:rsidR="0010715F" w:rsidRPr="00F07779" w14:paraId="15F8DDB4" w14:textId="77777777" w:rsidTr="005E3573">
        <w:tc>
          <w:tcPr>
            <w:tcW w:w="2972" w:type="dxa"/>
          </w:tcPr>
          <w:p w14:paraId="1FE4A8AC" w14:textId="77777777" w:rsidR="0010715F" w:rsidRPr="00F07779" w:rsidRDefault="0010715F" w:rsidP="005E3573">
            <w:pPr>
              <w:jc w:val="both"/>
              <w:rPr>
                <w:sz w:val="20"/>
                <w:szCs w:val="20"/>
              </w:rPr>
            </w:pPr>
            <w:r w:rsidRPr="00F07779">
              <w:rPr>
                <w:sz w:val="20"/>
                <w:szCs w:val="20"/>
              </w:rPr>
              <w:t>Institutions responsible for monitoring implementation and reporting on progress</w:t>
            </w:r>
          </w:p>
        </w:tc>
        <w:tc>
          <w:tcPr>
            <w:tcW w:w="5743" w:type="dxa"/>
          </w:tcPr>
          <w:p w14:paraId="22279093" w14:textId="77777777" w:rsidR="0010715F" w:rsidRPr="00F07779" w:rsidRDefault="0010715F" w:rsidP="005E3573">
            <w:pPr>
              <w:jc w:val="both"/>
              <w:rPr>
                <w:sz w:val="20"/>
                <w:szCs w:val="20"/>
              </w:rPr>
            </w:pPr>
            <w:r w:rsidRPr="00F07779">
              <w:rPr>
                <w:sz w:val="20"/>
                <w:szCs w:val="20"/>
              </w:rPr>
              <w:t>- Ministry of Mining and Energy</w:t>
            </w:r>
          </w:p>
          <w:p w14:paraId="62E212D2" w14:textId="77777777" w:rsidR="0010715F" w:rsidRPr="00F07779" w:rsidRDefault="0010715F" w:rsidP="005E3573">
            <w:pPr>
              <w:jc w:val="both"/>
              <w:rPr>
                <w:sz w:val="20"/>
                <w:szCs w:val="20"/>
              </w:rPr>
            </w:pPr>
            <w:r w:rsidRPr="00F07779">
              <w:rPr>
                <w:sz w:val="20"/>
                <w:szCs w:val="20"/>
              </w:rPr>
              <w:t>- Ministry of Construction, Transport and Infrastructure</w:t>
            </w:r>
          </w:p>
        </w:tc>
      </w:tr>
      <w:tr w:rsidR="0010715F" w:rsidRPr="00F07779" w14:paraId="7078E480" w14:textId="77777777" w:rsidTr="005E3573">
        <w:tc>
          <w:tcPr>
            <w:tcW w:w="2972" w:type="dxa"/>
          </w:tcPr>
          <w:p w14:paraId="075E0CF3" w14:textId="77777777" w:rsidR="0010715F" w:rsidRPr="00F07779" w:rsidRDefault="0010715F" w:rsidP="005E3573">
            <w:pPr>
              <w:jc w:val="both"/>
              <w:rPr>
                <w:sz w:val="20"/>
                <w:szCs w:val="20"/>
              </w:rPr>
            </w:pPr>
            <w:r w:rsidRPr="00F07779">
              <w:rPr>
                <w:sz w:val="20"/>
                <w:szCs w:val="20"/>
              </w:rPr>
              <w:t>Implementation deadline / Timeline</w:t>
            </w:r>
          </w:p>
        </w:tc>
        <w:tc>
          <w:tcPr>
            <w:tcW w:w="5743" w:type="dxa"/>
          </w:tcPr>
          <w:p w14:paraId="3E236F7D" w14:textId="64620DA1" w:rsidR="0010715F" w:rsidRPr="00F07779" w:rsidRDefault="0010715F" w:rsidP="005E3573">
            <w:pPr>
              <w:jc w:val="both"/>
              <w:rPr>
                <w:sz w:val="20"/>
                <w:szCs w:val="20"/>
              </w:rPr>
            </w:pPr>
            <w:r w:rsidRPr="00F07779">
              <w:rPr>
                <w:sz w:val="20"/>
                <w:szCs w:val="20"/>
              </w:rPr>
              <w:t>2028</w:t>
            </w:r>
            <w:r w:rsidR="00AF2F1D" w:rsidRPr="00F07779">
              <w:rPr>
                <w:sz w:val="20"/>
                <w:szCs w:val="20"/>
              </w:rPr>
              <w:t>.</w:t>
            </w:r>
          </w:p>
        </w:tc>
      </w:tr>
      <w:tr w:rsidR="0010715F" w:rsidRPr="00F07779" w14:paraId="45D41AB6" w14:textId="77777777" w:rsidTr="005E3573">
        <w:tc>
          <w:tcPr>
            <w:tcW w:w="2972" w:type="dxa"/>
          </w:tcPr>
          <w:p w14:paraId="68E2F763" w14:textId="77777777" w:rsidR="0010715F" w:rsidRPr="00F07779" w:rsidRDefault="0010715F" w:rsidP="005E3573">
            <w:pPr>
              <w:jc w:val="both"/>
              <w:rPr>
                <w:sz w:val="20"/>
                <w:szCs w:val="20"/>
              </w:rPr>
            </w:pPr>
            <w:r w:rsidRPr="00F07779">
              <w:rPr>
                <w:sz w:val="20"/>
                <w:szCs w:val="20"/>
              </w:rPr>
              <w:t>Required funds and source of financing</w:t>
            </w:r>
          </w:p>
        </w:tc>
        <w:tc>
          <w:tcPr>
            <w:tcW w:w="5743" w:type="dxa"/>
          </w:tcPr>
          <w:p w14:paraId="66397897" w14:textId="77777777" w:rsidR="0010715F" w:rsidRPr="00F07779" w:rsidRDefault="0010715F" w:rsidP="005E3573">
            <w:pPr>
              <w:rPr>
                <w:sz w:val="20"/>
                <w:szCs w:val="20"/>
              </w:rPr>
            </w:pPr>
            <w:r w:rsidRPr="00F07779">
              <w:rPr>
                <w:sz w:val="20"/>
                <w:szCs w:val="20"/>
              </w:rPr>
              <w:t>82.133 million EUR (9,630.1 million RSD)</w:t>
            </w:r>
            <w:r w:rsidRPr="00F07779">
              <w:rPr>
                <w:sz w:val="20"/>
                <w:szCs w:val="20"/>
              </w:rPr>
              <w:br/>
              <w:t>Credit funds from domestic commercial banks</w:t>
            </w:r>
            <w:r w:rsidRPr="00F07779">
              <w:rPr>
                <w:sz w:val="20"/>
                <w:szCs w:val="20"/>
              </w:rPr>
              <w:br/>
              <w:t>The timeline for implementation and the plan for fund disbursement will be defined later.</w:t>
            </w:r>
          </w:p>
        </w:tc>
      </w:tr>
      <w:tr w:rsidR="0010715F" w:rsidRPr="00F07779" w14:paraId="03882EC7" w14:textId="77777777" w:rsidTr="005E3573">
        <w:tc>
          <w:tcPr>
            <w:tcW w:w="2972" w:type="dxa"/>
          </w:tcPr>
          <w:p w14:paraId="75119A7F" w14:textId="77777777" w:rsidR="0010715F" w:rsidRPr="00F07779" w:rsidRDefault="0010715F" w:rsidP="005E3573">
            <w:pPr>
              <w:jc w:val="both"/>
              <w:rPr>
                <w:sz w:val="20"/>
                <w:szCs w:val="20"/>
              </w:rPr>
            </w:pPr>
            <w:r w:rsidRPr="00F07779">
              <w:rPr>
                <w:sz w:val="20"/>
                <w:szCs w:val="20"/>
              </w:rPr>
              <w:t>Implementation indicator / Performance indicator</w:t>
            </w:r>
          </w:p>
        </w:tc>
        <w:tc>
          <w:tcPr>
            <w:tcW w:w="5743" w:type="dxa"/>
          </w:tcPr>
          <w:p w14:paraId="3F60E6EF" w14:textId="77777777" w:rsidR="0010715F" w:rsidRPr="00F07779" w:rsidRDefault="0010715F" w:rsidP="005E3573">
            <w:pPr>
              <w:rPr>
                <w:sz w:val="20"/>
                <w:szCs w:val="20"/>
              </w:rPr>
            </w:pPr>
            <w:r w:rsidRPr="00F07779">
              <w:rPr>
                <w:sz w:val="20"/>
                <w:szCs w:val="20"/>
              </w:rPr>
              <w:t>Implementation phase:</w:t>
            </w:r>
            <w:r w:rsidRPr="00F07779">
              <w:rPr>
                <w:sz w:val="20"/>
                <w:szCs w:val="20"/>
              </w:rPr>
              <w:br/>
              <w:t xml:space="preserve">Spatial documentation, Conceptual design and location conditions, Approval of the Environmental Impact Assessment Study, </w:t>
            </w:r>
            <w:r w:rsidRPr="00F07779">
              <w:rPr>
                <w:sz w:val="20"/>
                <w:szCs w:val="20"/>
              </w:rPr>
              <w:lastRenderedPageBreak/>
              <w:t>Resolution of property-law issues, Preliminary project and feasibility study, Energy permit, Construction permit and construction documentation, Preparation of tender documentation, Detailed design, Construction, Commissioning</w:t>
            </w:r>
          </w:p>
        </w:tc>
      </w:tr>
      <w:tr w:rsidR="0010715F" w:rsidRPr="00F07779" w14:paraId="4CDFCC28" w14:textId="77777777" w:rsidTr="005E3573">
        <w:tc>
          <w:tcPr>
            <w:tcW w:w="2972" w:type="dxa"/>
          </w:tcPr>
          <w:p w14:paraId="1A773481" w14:textId="77777777" w:rsidR="0010715F" w:rsidRPr="00F07779" w:rsidRDefault="0010715F" w:rsidP="005E3573">
            <w:pPr>
              <w:jc w:val="both"/>
              <w:rPr>
                <w:sz w:val="20"/>
                <w:szCs w:val="20"/>
              </w:rPr>
            </w:pPr>
            <w:r w:rsidRPr="00F07779">
              <w:rPr>
                <w:sz w:val="20"/>
                <w:szCs w:val="20"/>
              </w:rPr>
              <w:lastRenderedPageBreak/>
              <w:t>Impact of activity implementation on achieving the objective</w:t>
            </w:r>
          </w:p>
        </w:tc>
        <w:tc>
          <w:tcPr>
            <w:tcW w:w="5743" w:type="dxa"/>
          </w:tcPr>
          <w:p w14:paraId="6A25F2C8" w14:textId="77777777" w:rsidR="0010715F" w:rsidRPr="00F07779" w:rsidRDefault="0010715F" w:rsidP="005E3573">
            <w:pPr>
              <w:rPr>
                <w:sz w:val="20"/>
                <w:szCs w:val="20"/>
              </w:rPr>
            </w:pPr>
            <w:r w:rsidRPr="00F07779">
              <w:rPr>
                <w:sz w:val="20"/>
                <w:szCs w:val="20"/>
              </w:rPr>
              <w:t>Natural gas market development:</w:t>
            </w:r>
            <w:r w:rsidRPr="00F07779">
              <w:rPr>
                <w:sz w:val="20"/>
                <w:szCs w:val="20"/>
              </w:rPr>
              <w:br/>
              <w:t xml:space="preserve">By constructing distribution gas pipelines in </w:t>
            </w:r>
            <w:proofErr w:type="spellStart"/>
            <w:r w:rsidRPr="00F07779">
              <w:rPr>
                <w:sz w:val="20"/>
                <w:szCs w:val="20"/>
              </w:rPr>
              <w:t>Vlasotince</w:t>
            </w:r>
            <w:proofErr w:type="spellEnd"/>
            <w:r w:rsidRPr="00F07779">
              <w:rPr>
                <w:sz w:val="20"/>
                <w:szCs w:val="20"/>
              </w:rPr>
              <w:t xml:space="preserve">, </w:t>
            </w:r>
            <w:proofErr w:type="spellStart"/>
            <w:r w:rsidRPr="00F07779">
              <w:rPr>
                <w:sz w:val="20"/>
                <w:szCs w:val="20"/>
              </w:rPr>
              <w:t>Vladičin</w:t>
            </w:r>
            <w:proofErr w:type="spellEnd"/>
            <w:r w:rsidRPr="00F07779">
              <w:rPr>
                <w:sz w:val="20"/>
                <w:szCs w:val="20"/>
              </w:rPr>
              <w:t xml:space="preserve"> Han, </w:t>
            </w:r>
            <w:proofErr w:type="spellStart"/>
            <w:r w:rsidRPr="00F07779">
              <w:rPr>
                <w:sz w:val="20"/>
                <w:szCs w:val="20"/>
              </w:rPr>
              <w:t>Surdulica</w:t>
            </w:r>
            <w:proofErr w:type="spellEnd"/>
            <w:r w:rsidRPr="00F07779">
              <w:rPr>
                <w:sz w:val="20"/>
                <w:szCs w:val="20"/>
              </w:rPr>
              <w:t>, and Vranje and connecting industrial, communal, and individual consumers to the distribution system, an increase in total natural gas consumption and sales on the free market is expected. There is no available data to quantify the change in indicators.</w:t>
            </w:r>
          </w:p>
        </w:tc>
      </w:tr>
      <w:tr w:rsidR="0010715F" w:rsidRPr="00F07779" w14:paraId="23C99C76" w14:textId="77777777" w:rsidTr="005E3573">
        <w:tc>
          <w:tcPr>
            <w:tcW w:w="2972" w:type="dxa"/>
          </w:tcPr>
          <w:p w14:paraId="40A7EAC8" w14:textId="77777777" w:rsidR="0010715F" w:rsidRPr="00F07779" w:rsidRDefault="0010715F" w:rsidP="005E3573">
            <w:pPr>
              <w:jc w:val="both"/>
              <w:rPr>
                <w:sz w:val="20"/>
                <w:szCs w:val="20"/>
              </w:rPr>
            </w:pPr>
            <w:r w:rsidRPr="00F07779">
              <w:rPr>
                <w:sz w:val="20"/>
                <w:szCs w:val="20"/>
              </w:rPr>
              <w:t>Impact on energy efficiency, climate, and environment</w:t>
            </w:r>
          </w:p>
        </w:tc>
        <w:tc>
          <w:tcPr>
            <w:tcW w:w="5743" w:type="dxa"/>
          </w:tcPr>
          <w:p w14:paraId="04E6C2BE" w14:textId="77777777" w:rsidR="0010715F" w:rsidRPr="00F07779" w:rsidRDefault="0010715F" w:rsidP="005E3573">
            <w:pPr>
              <w:jc w:val="both"/>
              <w:rPr>
                <w:sz w:val="20"/>
                <w:szCs w:val="20"/>
              </w:rPr>
            </w:pPr>
            <w:r w:rsidRPr="00F07779">
              <w:rPr>
                <w:sz w:val="20"/>
                <w:szCs w:val="20"/>
              </w:rPr>
              <w:t xml:space="preserve">The construction of distribution gas pipelines in </w:t>
            </w:r>
            <w:proofErr w:type="spellStart"/>
            <w:r w:rsidRPr="00F07779">
              <w:rPr>
                <w:sz w:val="20"/>
                <w:szCs w:val="20"/>
              </w:rPr>
              <w:t>Vlasotince</w:t>
            </w:r>
            <w:proofErr w:type="spellEnd"/>
            <w:r w:rsidRPr="00F07779">
              <w:rPr>
                <w:sz w:val="20"/>
                <w:szCs w:val="20"/>
              </w:rPr>
              <w:t xml:space="preserve">, </w:t>
            </w:r>
            <w:proofErr w:type="spellStart"/>
            <w:r w:rsidRPr="00F07779">
              <w:rPr>
                <w:sz w:val="20"/>
                <w:szCs w:val="20"/>
              </w:rPr>
              <w:t>Vladičin</w:t>
            </w:r>
            <w:proofErr w:type="spellEnd"/>
            <w:r w:rsidRPr="00F07779">
              <w:rPr>
                <w:sz w:val="20"/>
                <w:szCs w:val="20"/>
              </w:rPr>
              <w:t xml:space="preserve"> Han, </w:t>
            </w:r>
            <w:proofErr w:type="spellStart"/>
            <w:r w:rsidRPr="00F07779">
              <w:rPr>
                <w:sz w:val="20"/>
                <w:szCs w:val="20"/>
              </w:rPr>
              <w:t>Surdulica</w:t>
            </w:r>
            <w:proofErr w:type="spellEnd"/>
            <w:r w:rsidRPr="00F07779">
              <w:rPr>
                <w:sz w:val="20"/>
                <w:szCs w:val="20"/>
              </w:rPr>
              <w:t>, and Vranje ensures the possibility of substituting liquid and solid fuels in industry and general consumption. Using natural gas instead of coal, fuel oil, and firewood has a positive effect on reducing local emissions (</w:t>
            </w:r>
            <w:proofErr w:type="spellStart"/>
            <w:r w:rsidRPr="00F07779">
              <w:rPr>
                <w:sz w:val="20"/>
                <w:szCs w:val="20"/>
              </w:rPr>
              <w:t>SOx</w:t>
            </w:r>
            <w:proofErr w:type="spellEnd"/>
            <w:r w:rsidRPr="00F07779">
              <w:rPr>
                <w:sz w:val="20"/>
                <w:szCs w:val="20"/>
              </w:rPr>
              <w:t>, NOx, particles) and more efficient use of the energy source. A similar impact applies to the climate, given the significantly lower CO</w:t>
            </w:r>
            <w:r w:rsidRPr="00F07779">
              <w:rPr>
                <w:sz w:val="20"/>
                <w:szCs w:val="20"/>
                <w:vertAlign w:val="subscript"/>
              </w:rPr>
              <w:t>2</w:t>
            </w:r>
            <w:r w:rsidRPr="00F07779">
              <w:rPr>
                <w:sz w:val="20"/>
                <w:szCs w:val="20"/>
              </w:rPr>
              <w:t xml:space="preserve"> emission coefficient compared to coal and liquid fuels, despite the increase in fugitive methane emissions by 0.35 Gg per year</w:t>
            </w:r>
            <w:r w:rsidRPr="00F07779">
              <w:rPr>
                <w:rStyle w:val="FootnoteReference"/>
                <w:sz w:val="20"/>
                <w:szCs w:val="20"/>
              </w:rPr>
              <w:footnoteReference w:id="49"/>
            </w:r>
            <w:r w:rsidRPr="00F07779">
              <w:rPr>
                <w:sz w:val="20"/>
                <w:szCs w:val="20"/>
              </w:rPr>
              <w:t>.</w:t>
            </w:r>
          </w:p>
        </w:tc>
      </w:tr>
    </w:tbl>
    <w:p w14:paraId="08841F81" w14:textId="77777777" w:rsidR="0010715F" w:rsidRPr="00F07779" w:rsidRDefault="0010715F" w:rsidP="0010715F">
      <w:pPr>
        <w:jc w:val="both"/>
      </w:pPr>
    </w:p>
    <w:p w14:paraId="4FB95A06" w14:textId="77777777" w:rsidR="0010715F" w:rsidRPr="00F07779" w:rsidRDefault="0010715F" w:rsidP="0010715F">
      <w:pPr>
        <w:jc w:val="both"/>
      </w:pPr>
      <w:r w:rsidRPr="00F07779">
        <w:t>Table 5.5.6-2: Activities for the implementation of the measure G4 – G4.2</w:t>
      </w:r>
    </w:p>
    <w:tbl>
      <w:tblPr>
        <w:tblStyle w:val="TableGrid"/>
        <w:tblW w:w="0" w:type="auto"/>
        <w:tblLook w:val="04A0" w:firstRow="1" w:lastRow="0" w:firstColumn="1" w:lastColumn="0" w:noHBand="0" w:noVBand="1"/>
      </w:tblPr>
      <w:tblGrid>
        <w:gridCol w:w="2972"/>
        <w:gridCol w:w="5743"/>
      </w:tblGrid>
      <w:tr w:rsidR="0010715F" w:rsidRPr="00F07779" w14:paraId="5ACA140A" w14:textId="77777777" w:rsidTr="005E3573">
        <w:tc>
          <w:tcPr>
            <w:tcW w:w="2972" w:type="dxa"/>
            <w:shd w:val="clear" w:color="auto" w:fill="D9D9D9" w:themeFill="background1" w:themeFillShade="D9"/>
          </w:tcPr>
          <w:p w14:paraId="14BF80EF" w14:textId="77777777" w:rsidR="0010715F" w:rsidRPr="00F07779" w:rsidRDefault="0010715F" w:rsidP="005E3573">
            <w:pPr>
              <w:jc w:val="both"/>
              <w:rPr>
                <w:sz w:val="20"/>
                <w:szCs w:val="20"/>
              </w:rPr>
            </w:pPr>
            <w:r w:rsidRPr="00F07779">
              <w:rPr>
                <w:sz w:val="20"/>
                <w:szCs w:val="20"/>
              </w:rPr>
              <w:t>Activity G4.2</w:t>
            </w:r>
          </w:p>
        </w:tc>
        <w:tc>
          <w:tcPr>
            <w:tcW w:w="5743" w:type="dxa"/>
            <w:shd w:val="clear" w:color="auto" w:fill="D9D9D9" w:themeFill="background1" w:themeFillShade="D9"/>
          </w:tcPr>
          <w:p w14:paraId="11C201C1" w14:textId="77777777" w:rsidR="0010715F" w:rsidRPr="00F07779" w:rsidRDefault="0010715F" w:rsidP="005E3573">
            <w:pPr>
              <w:jc w:val="both"/>
              <w:rPr>
                <w:sz w:val="20"/>
                <w:szCs w:val="20"/>
              </w:rPr>
            </w:pPr>
            <w:r w:rsidRPr="00F07779">
              <w:rPr>
                <w:sz w:val="20"/>
                <w:szCs w:val="20"/>
              </w:rPr>
              <w:t xml:space="preserve">Main and distribution gas pipelines of Eastern Serbia: </w:t>
            </w:r>
            <w:proofErr w:type="spellStart"/>
            <w:r w:rsidRPr="00F07779">
              <w:rPr>
                <w:sz w:val="20"/>
                <w:szCs w:val="20"/>
              </w:rPr>
              <w:t>Paraćin</w:t>
            </w:r>
            <w:proofErr w:type="spellEnd"/>
            <w:r w:rsidRPr="00F07779">
              <w:rPr>
                <w:sz w:val="20"/>
                <w:szCs w:val="20"/>
              </w:rPr>
              <w:t>–</w:t>
            </w:r>
            <w:proofErr w:type="spellStart"/>
            <w:r w:rsidRPr="00F07779">
              <w:rPr>
                <w:sz w:val="20"/>
                <w:szCs w:val="20"/>
              </w:rPr>
              <w:t>Boljevac</w:t>
            </w:r>
            <w:proofErr w:type="spellEnd"/>
            <w:r w:rsidRPr="00F07779">
              <w:rPr>
                <w:sz w:val="20"/>
                <w:szCs w:val="20"/>
              </w:rPr>
              <w:t>–</w:t>
            </w:r>
            <w:proofErr w:type="spellStart"/>
            <w:r w:rsidRPr="00F07779">
              <w:rPr>
                <w:sz w:val="20"/>
                <w:szCs w:val="20"/>
              </w:rPr>
              <w:t>Rgotina</w:t>
            </w:r>
            <w:proofErr w:type="spellEnd"/>
            <w:r w:rsidRPr="00F07779">
              <w:rPr>
                <w:sz w:val="20"/>
                <w:szCs w:val="20"/>
              </w:rPr>
              <w:t>–</w:t>
            </w:r>
            <w:proofErr w:type="spellStart"/>
            <w:r w:rsidRPr="00F07779">
              <w:rPr>
                <w:sz w:val="20"/>
                <w:szCs w:val="20"/>
              </w:rPr>
              <w:t>Negotin</w:t>
            </w:r>
            <w:proofErr w:type="spellEnd"/>
            <w:r w:rsidRPr="00F07779">
              <w:rPr>
                <w:sz w:val="20"/>
                <w:szCs w:val="20"/>
              </w:rPr>
              <w:t>–</w:t>
            </w:r>
            <w:proofErr w:type="spellStart"/>
            <w:r w:rsidRPr="00F07779">
              <w:rPr>
                <w:sz w:val="20"/>
                <w:szCs w:val="20"/>
              </w:rPr>
              <w:t>Prahovo</w:t>
            </w:r>
            <w:proofErr w:type="spellEnd"/>
            <w:r w:rsidRPr="00F07779">
              <w:rPr>
                <w:sz w:val="20"/>
                <w:szCs w:val="20"/>
              </w:rPr>
              <w:t xml:space="preserve"> with branches to </w:t>
            </w:r>
            <w:proofErr w:type="spellStart"/>
            <w:r w:rsidRPr="00F07779">
              <w:rPr>
                <w:sz w:val="20"/>
                <w:szCs w:val="20"/>
              </w:rPr>
              <w:t>Bor</w:t>
            </w:r>
            <w:proofErr w:type="spellEnd"/>
            <w:r w:rsidRPr="00F07779">
              <w:rPr>
                <w:sz w:val="20"/>
                <w:szCs w:val="20"/>
              </w:rPr>
              <w:t xml:space="preserve">, </w:t>
            </w:r>
            <w:proofErr w:type="spellStart"/>
            <w:r w:rsidRPr="00F07779">
              <w:rPr>
                <w:sz w:val="20"/>
                <w:szCs w:val="20"/>
              </w:rPr>
              <w:t>Zaječar</w:t>
            </w:r>
            <w:proofErr w:type="spellEnd"/>
            <w:r w:rsidRPr="00F07779">
              <w:rPr>
                <w:sz w:val="20"/>
                <w:szCs w:val="20"/>
              </w:rPr>
              <w:t xml:space="preserve">, and </w:t>
            </w:r>
            <w:proofErr w:type="spellStart"/>
            <w:r w:rsidRPr="00F07779">
              <w:rPr>
                <w:sz w:val="20"/>
                <w:szCs w:val="20"/>
              </w:rPr>
              <w:t>Knjaževac</w:t>
            </w:r>
            <w:proofErr w:type="spellEnd"/>
          </w:p>
        </w:tc>
      </w:tr>
      <w:tr w:rsidR="0010715F" w:rsidRPr="00F07779" w14:paraId="76C4B436" w14:textId="77777777" w:rsidTr="005E3573">
        <w:tc>
          <w:tcPr>
            <w:tcW w:w="2972" w:type="dxa"/>
          </w:tcPr>
          <w:p w14:paraId="156FB60D" w14:textId="77777777" w:rsidR="0010715F" w:rsidRPr="00F07779" w:rsidRDefault="0010715F" w:rsidP="005E3573">
            <w:pPr>
              <w:jc w:val="both"/>
              <w:rPr>
                <w:sz w:val="20"/>
                <w:szCs w:val="20"/>
              </w:rPr>
            </w:pPr>
            <w:r w:rsidRPr="00F07779">
              <w:rPr>
                <w:sz w:val="20"/>
                <w:szCs w:val="20"/>
              </w:rPr>
              <w:t>Description</w:t>
            </w:r>
          </w:p>
        </w:tc>
        <w:tc>
          <w:tcPr>
            <w:tcW w:w="5743" w:type="dxa"/>
          </w:tcPr>
          <w:p w14:paraId="79A7D235" w14:textId="77777777" w:rsidR="0010715F" w:rsidRPr="00F07779" w:rsidRDefault="0010715F" w:rsidP="005E3573">
            <w:pPr>
              <w:jc w:val="both"/>
              <w:rPr>
                <w:sz w:val="20"/>
                <w:szCs w:val="20"/>
              </w:rPr>
            </w:pPr>
            <w:r w:rsidRPr="00F07779">
              <w:rPr>
                <w:sz w:val="20"/>
                <w:szCs w:val="20"/>
              </w:rPr>
              <w:t xml:space="preserve">Based on the Decision on the preparation of the Spatial Plan for the special-purpose area of the main and distribution gas pipeline network of Eastern Serbia with elements of detailed regulation ("Official Gazette of RS", No. 84, 29 July 2022), the construction of the distribution pipeline </w:t>
            </w:r>
            <w:proofErr w:type="spellStart"/>
            <w:r w:rsidRPr="00F07779">
              <w:rPr>
                <w:sz w:val="20"/>
                <w:szCs w:val="20"/>
              </w:rPr>
              <w:t>Paraćin</w:t>
            </w:r>
            <w:proofErr w:type="spellEnd"/>
            <w:r w:rsidRPr="00F07779">
              <w:rPr>
                <w:sz w:val="20"/>
                <w:szCs w:val="20"/>
              </w:rPr>
              <w:t xml:space="preserve"> – </w:t>
            </w:r>
            <w:proofErr w:type="spellStart"/>
            <w:r w:rsidRPr="00F07779">
              <w:rPr>
                <w:sz w:val="20"/>
                <w:szCs w:val="20"/>
              </w:rPr>
              <w:t>Boljevac</w:t>
            </w:r>
            <w:proofErr w:type="spellEnd"/>
            <w:r w:rsidRPr="00F07779">
              <w:rPr>
                <w:sz w:val="20"/>
                <w:szCs w:val="20"/>
              </w:rPr>
              <w:t xml:space="preserve"> – </w:t>
            </w:r>
            <w:proofErr w:type="spellStart"/>
            <w:r w:rsidRPr="00F07779">
              <w:rPr>
                <w:sz w:val="20"/>
                <w:szCs w:val="20"/>
              </w:rPr>
              <w:t>Rgotina</w:t>
            </w:r>
            <w:proofErr w:type="spellEnd"/>
            <w:r w:rsidRPr="00F07779">
              <w:rPr>
                <w:sz w:val="20"/>
                <w:szCs w:val="20"/>
              </w:rPr>
              <w:t xml:space="preserve"> – </w:t>
            </w:r>
            <w:proofErr w:type="spellStart"/>
            <w:r w:rsidRPr="00F07779">
              <w:rPr>
                <w:sz w:val="20"/>
                <w:szCs w:val="20"/>
              </w:rPr>
              <w:t>Negotin</w:t>
            </w:r>
            <w:proofErr w:type="spellEnd"/>
            <w:r w:rsidRPr="00F07779">
              <w:rPr>
                <w:sz w:val="20"/>
                <w:szCs w:val="20"/>
              </w:rPr>
              <w:t xml:space="preserve"> – </w:t>
            </w:r>
            <w:proofErr w:type="spellStart"/>
            <w:r w:rsidRPr="00F07779">
              <w:rPr>
                <w:sz w:val="20"/>
                <w:szCs w:val="20"/>
              </w:rPr>
              <w:t>Prahovo</w:t>
            </w:r>
            <w:proofErr w:type="spellEnd"/>
            <w:r w:rsidRPr="00F07779">
              <w:rPr>
                <w:sz w:val="20"/>
                <w:szCs w:val="20"/>
              </w:rPr>
              <w:t xml:space="preserve"> has been defined.</w:t>
            </w:r>
          </w:p>
          <w:p w14:paraId="36383204" w14:textId="4222D711" w:rsidR="0010715F" w:rsidRPr="00F07779" w:rsidRDefault="0010715F" w:rsidP="005E3573">
            <w:pPr>
              <w:jc w:val="both"/>
              <w:rPr>
                <w:sz w:val="20"/>
                <w:szCs w:val="20"/>
              </w:rPr>
            </w:pPr>
            <w:r w:rsidRPr="00F07779">
              <w:rPr>
                <w:sz w:val="20"/>
                <w:szCs w:val="20"/>
              </w:rPr>
              <w:t xml:space="preserve">The conceptual design covers the pipeline route, starting with a connection to the main metering station (GMS) 2 </w:t>
            </w:r>
            <w:proofErr w:type="spellStart"/>
            <w:r w:rsidRPr="00F07779">
              <w:rPr>
                <w:sz w:val="20"/>
                <w:szCs w:val="20"/>
              </w:rPr>
              <w:t>Paraćin</w:t>
            </w:r>
            <w:proofErr w:type="spellEnd"/>
            <w:r w:rsidRPr="00F07779">
              <w:rPr>
                <w:sz w:val="20"/>
                <w:szCs w:val="20"/>
              </w:rPr>
              <w:t xml:space="preserve"> (village of </w:t>
            </w:r>
            <w:proofErr w:type="spellStart"/>
            <w:r w:rsidRPr="00F07779">
              <w:rPr>
                <w:sz w:val="20"/>
                <w:szCs w:val="20"/>
              </w:rPr>
              <w:t>Bošnjan</w:t>
            </w:r>
            <w:proofErr w:type="spellEnd"/>
            <w:r w:rsidRPr="00F07779">
              <w:rPr>
                <w:sz w:val="20"/>
                <w:szCs w:val="20"/>
              </w:rPr>
              <w:t xml:space="preserve">), which is part of the main pipeline (interconnector) </w:t>
            </w:r>
            <w:r w:rsidR="00F435FA" w:rsidRPr="00F07779">
              <w:rPr>
                <w:sz w:val="20"/>
                <w:szCs w:val="20"/>
              </w:rPr>
              <w:t xml:space="preserve">from </w:t>
            </w:r>
            <w:r w:rsidRPr="00F07779">
              <w:rPr>
                <w:sz w:val="20"/>
                <w:szCs w:val="20"/>
              </w:rPr>
              <w:t>Bulgaria</w:t>
            </w:r>
            <w:r w:rsidR="00F435FA" w:rsidRPr="00F07779">
              <w:rPr>
                <w:sz w:val="20"/>
                <w:szCs w:val="20"/>
              </w:rPr>
              <w:t xml:space="preserve"> to </w:t>
            </w:r>
            <w:r w:rsidRPr="00F07779">
              <w:rPr>
                <w:sz w:val="20"/>
                <w:szCs w:val="20"/>
              </w:rPr>
              <w:t>Hungary border. The sections are defined by the following transport network of main and distribution gas pipelines:</w:t>
            </w:r>
          </w:p>
          <w:p w14:paraId="24E3998C" w14:textId="05D8AEB4" w:rsidR="0010715F" w:rsidRPr="00F07779" w:rsidRDefault="0010715F" w:rsidP="008076AB">
            <w:pPr>
              <w:ind w:left="32"/>
              <w:jc w:val="both"/>
              <w:rPr>
                <w:sz w:val="20"/>
                <w:szCs w:val="20"/>
              </w:rPr>
            </w:pPr>
            <w:r w:rsidRPr="00F07779">
              <w:rPr>
                <w:b/>
                <w:bCs/>
                <w:sz w:val="20"/>
                <w:szCs w:val="20"/>
              </w:rPr>
              <w:t>MG 12</w:t>
            </w:r>
            <w:r w:rsidRPr="00F07779">
              <w:rPr>
                <w:sz w:val="20"/>
                <w:szCs w:val="20"/>
              </w:rPr>
              <w:t xml:space="preserve"> – Section </w:t>
            </w:r>
            <w:proofErr w:type="spellStart"/>
            <w:r w:rsidRPr="00F07779">
              <w:rPr>
                <w:sz w:val="20"/>
                <w:szCs w:val="20"/>
              </w:rPr>
              <w:t>Paraćin</w:t>
            </w:r>
            <w:proofErr w:type="spellEnd"/>
            <w:r w:rsidRPr="00F07779">
              <w:rPr>
                <w:sz w:val="20"/>
                <w:szCs w:val="20"/>
              </w:rPr>
              <w:t>–</w:t>
            </w:r>
            <w:proofErr w:type="spellStart"/>
            <w:r w:rsidRPr="00F07779">
              <w:rPr>
                <w:sz w:val="20"/>
                <w:szCs w:val="20"/>
              </w:rPr>
              <w:t>Rgotina</w:t>
            </w:r>
            <w:proofErr w:type="spellEnd"/>
            <w:r w:rsidRPr="00F07779">
              <w:rPr>
                <w:sz w:val="20"/>
                <w:szCs w:val="20"/>
              </w:rPr>
              <w:t xml:space="preserve">, DN500 (with 4 </w:t>
            </w:r>
            <w:r w:rsidR="008076AB" w:rsidRPr="00F07779">
              <w:rPr>
                <w:sz w:val="20"/>
                <w:szCs w:val="20"/>
              </w:rPr>
              <w:t>blockade stations-BS</w:t>
            </w:r>
            <w:r w:rsidRPr="00F07779">
              <w:rPr>
                <w:sz w:val="20"/>
                <w:szCs w:val="20"/>
              </w:rPr>
              <w:t>)</w:t>
            </w:r>
          </w:p>
          <w:p w14:paraId="4A865E62" w14:textId="273F1B00" w:rsidR="0010715F" w:rsidRPr="00F07779" w:rsidRDefault="0010715F" w:rsidP="008076AB">
            <w:pPr>
              <w:ind w:left="32"/>
              <w:jc w:val="both"/>
              <w:rPr>
                <w:sz w:val="20"/>
                <w:szCs w:val="20"/>
              </w:rPr>
            </w:pPr>
            <w:r w:rsidRPr="00F07779">
              <w:rPr>
                <w:b/>
                <w:bCs/>
                <w:sz w:val="20"/>
                <w:szCs w:val="20"/>
              </w:rPr>
              <w:t>MG 13</w:t>
            </w:r>
            <w:r w:rsidRPr="00F07779">
              <w:rPr>
                <w:sz w:val="20"/>
                <w:szCs w:val="20"/>
              </w:rPr>
              <w:t xml:space="preserve"> – Section </w:t>
            </w:r>
            <w:proofErr w:type="spellStart"/>
            <w:r w:rsidRPr="00F07779">
              <w:rPr>
                <w:sz w:val="20"/>
                <w:szCs w:val="20"/>
              </w:rPr>
              <w:t>Rgotina</w:t>
            </w:r>
            <w:proofErr w:type="spellEnd"/>
            <w:r w:rsidRPr="00F07779">
              <w:rPr>
                <w:sz w:val="20"/>
                <w:szCs w:val="20"/>
              </w:rPr>
              <w:t>–</w:t>
            </w:r>
            <w:proofErr w:type="spellStart"/>
            <w:r w:rsidRPr="00F07779">
              <w:rPr>
                <w:sz w:val="20"/>
                <w:szCs w:val="20"/>
              </w:rPr>
              <w:t>Prahovo</w:t>
            </w:r>
            <w:proofErr w:type="spellEnd"/>
            <w:r w:rsidRPr="00F07779">
              <w:rPr>
                <w:sz w:val="20"/>
                <w:szCs w:val="20"/>
              </w:rPr>
              <w:t xml:space="preserve">, DN400 (with 3 </w:t>
            </w:r>
            <w:r w:rsidR="008076AB" w:rsidRPr="00F07779">
              <w:rPr>
                <w:sz w:val="20"/>
                <w:szCs w:val="20"/>
              </w:rPr>
              <w:t>BS</w:t>
            </w:r>
            <w:r w:rsidRPr="00F07779">
              <w:rPr>
                <w:sz w:val="20"/>
                <w:szCs w:val="20"/>
              </w:rPr>
              <w:t>s)</w:t>
            </w:r>
          </w:p>
          <w:p w14:paraId="1FDFBD3B" w14:textId="63A272D2" w:rsidR="0010715F" w:rsidRPr="00F07779" w:rsidRDefault="0010715F" w:rsidP="008076AB">
            <w:pPr>
              <w:ind w:left="32"/>
              <w:jc w:val="both"/>
              <w:rPr>
                <w:sz w:val="20"/>
                <w:szCs w:val="20"/>
              </w:rPr>
            </w:pPr>
            <w:r w:rsidRPr="00F07779">
              <w:rPr>
                <w:b/>
                <w:bCs/>
                <w:sz w:val="20"/>
                <w:szCs w:val="20"/>
              </w:rPr>
              <w:t>RG 12-01</w:t>
            </w:r>
            <w:r w:rsidRPr="00F07779">
              <w:rPr>
                <w:sz w:val="20"/>
                <w:szCs w:val="20"/>
              </w:rPr>
              <w:t xml:space="preserve"> – Section Suva Reka–</w:t>
            </w:r>
            <w:proofErr w:type="spellStart"/>
            <w:r w:rsidRPr="00F07779">
              <w:rPr>
                <w:sz w:val="20"/>
                <w:szCs w:val="20"/>
              </w:rPr>
              <w:t>Bor</w:t>
            </w:r>
            <w:proofErr w:type="spellEnd"/>
            <w:r w:rsidRPr="00F07779">
              <w:rPr>
                <w:sz w:val="20"/>
                <w:szCs w:val="20"/>
              </w:rPr>
              <w:t xml:space="preserve">, DN250 (with 1 </w:t>
            </w:r>
            <w:r w:rsidR="008076AB" w:rsidRPr="00F07779">
              <w:rPr>
                <w:sz w:val="20"/>
                <w:szCs w:val="20"/>
              </w:rPr>
              <w:t>BS</w:t>
            </w:r>
            <w:r w:rsidRPr="00F07779">
              <w:rPr>
                <w:sz w:val="20"/>
                <w:szCs w:val="20"/>
              </w:rPr>
              <w:t>)</w:t>
            </w:r>
          </w:p>
          <w:p w14:paraId="656B3BED" w14:textId="3A83F14C" w:rsidR="0010715F" w:rsidRPr="00F07779" w:rsidRDefault="0010715F" w:rsidP="008076AB">
            <w:pPr>
              <w:ind w:left="32"/>
              <w:jc w:val="both"/>
              <w:rPr>
                <w:sz w:val="20"/>
                <w:szCs w:val="20"/>
              </w:rPr>
            </w:pPr>
            <w:r w:rsidRPr="00F07779">
              <w:rPr>
                <w:b/>
                <w:bCs/>
                <w:sz w:val="20"/>
                <w:szCs w:val="20"/>
              </w:rPr>
              <w:t>RG 12-03</w:t>
            </w:r>
            <w:r w:rsidRPr="00F07779">
              <w:rPr>
                <w:sz w:val="20"/>
                <w:szCs w:val="20"/>
              </w:rPr>
              <w:t xml:space="preserve"> – Section </w:t>
            </w:r>
            <w:proofErr w:type="spellStart"/>
            <w:r w:rsidRPr="00F07779">
              <w:rPr>
                <w:sz w:val="20"/>
                <w:szCs w:val="20"/>
              </w:rPr>
              <w:t>Rgotina</w:t>
            </w:r>
            <w:proofErr w:type="spellEnd"/>
            <w:r w:rsidRPr="00F07779">
              <w:rPr>
                <w:sz w:val="20"/>
                <w:szCs w:val="20"/>
              </w:rPr>
              <w:t>–</w:t>
            </w:r>
            <w:proofErr w:type="spellStart"/>
            <w:r w:rsidRPr="00F07779">
              <w:rPr>
                <w:sz w:val="20"/>
                <w:szCs w:val="20"/>
              </w:rPr>
              <w:t>Zaječar</w:t>
            </w:r>
            <w:proofErr w:type="spellEnd"/>
            <w:r w:rsidRPr="00F07779">
              <w:rPr>
                <w:sz w:val="20"/>
                <w:szCs w:val="20"/>
              </w:rPr>
              <w:t xml:space="preserve">, DN250 (with 1 </w:t>
            </w:r>
            <w:r w:rsidR="008076AB" w:rsidRPr="00F07779">
              <w:rPr>
                <w:sz w:val="20"/>
                <w:szCs w:val="20"/>
              </w:rPr>
              <w:t>BS</w:t>
            </w:r>
            <w:r w:rsidRPr="00F07779">
              <w:rPr>
                <w:sz w:val="20"/>
                <w:szCs w:val="20"/>
              </w:rPr>
              <w:t>)</w:t>
            </w:r>
          </w:p>
          <w:p w14:paraId="5DE6D57A" w14:textId="1A743C3C" w:rsidR="0010715F" w:rsidRPr="00F07779" w:rsidRDefault="0010715F" w:rsidP="008076AB">
            <w:pPr>
              <w:ind w:left="32"/>
              <w:jc w:val="both"/>
              <w:rPr>
                <w:sz w:val="20"/>
                <w:szCs w:val="20"/>
              </w:rPr>
            </w:pPr>
            <w:r w:rsidRPr="00F07779">
              <w:rPr>
                <w:b/>
                <w:bCs/>
                <w:sz w:val="20"/>
                <w:szCs w:val="20"/>
              </w:rPr>
              <w:t>RG 12-03/1</w:t>
            </w:r>
            <w:r w:rsidRPr="00F07779">
              <w:rPr>
                <w:sz w:val="20"/>
                <w:szCs w:val="20"/>
              </w:rPr>
              <w:t xml:space="preserve"> – Section </w:t>
            </w:r>
            <w:proofErr w:type="spellStart"/>
            <w:r w:rsidRPr="00F07779">
              <w:rPr>
                <w:sz w:val="20"/>
                <w:szCs w:val="20"/>
              </w:rPr>
              <w:t>Zaječar</w:t>
            </w:r>
            <w:proofErr w:type="spellEnd"/>
            <w:r w:rsidRPr="00F07779">
              <w:rPr>
                <w:sz w:val="20"/>
                <w:szCs w:val="20"/>
              </w:rPr>
              <w:t>–</w:t>
            </w:r>
            <w:proofErr w:type="spellStart"/>
            <w:r w:rsidRPr="00F07779">
              <w:rPr>
                <w:sz w:val="20"/>
                <w:szCs w:val="20"/>
              </w:rPr>
              <w:t>Knjaževac</w:t>
            </w:r>
            <w:proofErr w:type="spellEnd"/>
            <w:r w:rsidRPr="00F07779">
              <w:rPr>
                <w:sz w:val="20"/>
                <w:szCs w:val="20"/>
              </w:rPr>
              <w:t xml:space="preserve">, DN200 (with 4 </w:t>
            </w:r>
            <w:r w:rsidR="008076AB" w:rsidRPr="00F07779">
              <w:rPr>
                <w:sz w:val="20"/>
                <w:szCs w:val="20"/>
              </w:rPr>
              <w:t>BSs</w:t>
            </w:r>
            <w:r w:rsidRPr="00F07779">
              <w:rPr>
                <w:sz w:val="20"/>
                <w:szCs w:val="20"/>
              </w:rPr>
              <w:t>)</w:t>
            </w:r>
          </w:p>
          <w:p w14:paraId="7B98961D" w14:textId="77777777" w:rsidR="0010715F" w:rsidRPr="00F07779" w:rsidRDefault="0010715F" w:rsidP="008076AB">
            <w:pPr>
              <w:ind w:left="32"/>
              <w:jc w:val="both"/>
              <w:rPr>
                <w:sz w:val="20"/>
                <w:szCs w:val="20"/>
              </w:rPr>
            </w:pPr>
            <w:r w:rsidRPr="00F07779">
              <w:rPr>
                <w:b/>
                <w:bCs/>
                <w:sz w:val="20"/>
                <w:szCs w:val="20"/>
              </w:rPr>
              <w:t>RG 12-04</w:t>
            </w:r>
            <w:r w:rsidRPr="00F07779">
              <w:rPr>
                <w:sz w:val="20"/>
                <w:szCs w:val="20"/>
              </w:rPr>
              <w:t xml:space="preserve"> – Branch pipeline for </w:t>
            </w:r>
            <w:proofErr w:type="spellStart"/>
            <w:r w:rsidRPr="00F07779">
              <w:rPr>
                <w:sz w:val="20"/>
                <w:szCs w:val="20"/>
              </w:rPr>
              <w:t>Zaječar</w:t>
            </w:r>
            <w:proofErr w:type="spellEnd"/>
            <w:r w:rsidRPr="00F07779">
              <w:rPr>
                <w:sz w:val="20"/>
                <w:szCs w:val="20"/>
              </w:rPr>
              <w:t>, DN200</w:t>
            </w:r>
          </w:p>
          <w:p w14:paraId="27C3CCD9" w14:textId="77777777" w:rsidR="0010715F" w:rsidRPr="00F07779" w:rsidRDefault="0010715F" w:rsidP="008076AB">
            <w:pPr>
              <w:ind w:left="32"/>
              <w:jc w:val="both"/>
              <w:rPr>
                <w:sz w:val="20"/>
                <w:szCs w:val="20"/>
              </w:rPr>
            </w:pPr>
            <w:r w:rsidRPr="00F07779">
              <w:rPr>
                <w:b/>
                <w:bCs/>
                <w:sz w:val="20"/>
                <w:szCs w:val="20"/>
              </w:rPr>
              <w:t>RG 12-05</w:t>
            </w:r>
            <w:r w:rsidRPr="00F07779">
              <w:rPr>
                <w:sz w:val="20"/>
                <w:szCs w:val="20"/>
              </w:rPr>
              <w:t xml:space="preserve"> – Branch pipeline for </w:t>
            </w:r>
            <w:proofErr w:type="spellStart"/>
            <w:r w:rsidRPr="00F07779">
              <w:rPr>
                <w:sz w:val="20"/>
                <w:szCs w:val="20"/>
              </w:rPr>
              <w:t>Boljevac</w:t>
            </w:r>
            <w:proofErr w:type="spellEnd"/>
            <w:r w:rsidRPr="00F07779">
              <w:rPr>
                <w:sz w:val="20"/>
                <w:szCs w:val="20"/>
              </w:rPr>
              <w:t>, DN100</w:t>
            </w:r>
          </w:p>
          <w:p w14:paraId="1D96737B" w14:textId="77777777" w:rsidR="0010715F" w:rsidRPr="00F07779" w:rsidRDefault="0010715F" w:rsidP="008076AB">
            <w:pPr>
              <w:ind w:left="32"/>
              <w:jc w:val="both"/>
              <w:rPr>
                <w:sz w:val="20"/>
                <w:szCs w:val="20"/>
              </w:rPr>
            </w:pPr>
            <w:r w:rsidRPr="00F07779">
              <w:rPr>
                <w:b/>
                <w:bCs/>
                <w:sz w:val="20"/>
                <w:szCs w:val="20"/>
              </w:rPr>
              <w:t>RG 13-01</w:t>
            </w:r>
            <w:r w:rsidRPr="00F07779">
              <w:rPr>
                <w:sz w:val="20"/>
                <w:szCs w:val="20"/>
              </w:rPr>
              <w:t xml:space="preserve"> – Branch pipeline for </w:t>
            </w:r>
            <w:proofErr w:type="spellStart"/>
            <w:r w:rsidRPr="00F07779">
              <w:rPr>
                <w:sz w:val="20"/>
                <w:szCs w:val="20"/>
              </w:rPr>
              <w:t>Rgotina</w:t>
            </w:r>
            <w:proofErr w:type="spellEnd"/>
            <w:r w:rsidRPr="00F07779">
              <w:rPr>
                <w:sz w:val="20"/>
                <w:szCs w:val="20"/>
              </w:rPr>
              <w:t>, DN80</w:t>
            </w:r>
          </w:p>
          <w:p w14:paraId="2FD8F693" w14:textId="77777777" w:rsidR="0010715F" w:rsidRPr="00F07779" w:rsidRDefault="0010715F" w:rsidP="008076AB">
            <w:pPr>
              <w:ind w:left="32"/>
              <w:jc w:val="both"/>
              <w:rPr>
                <w:sz w:val="20"/>
                <w:szCs w:val="20"/>
              </w:rPr>
            </w:pPr>
            <w:r w:rsidRPr="00F07779">
              <w:rPr>
                <w:b/>
                <w:bCs/>
                <w:sz w:val="20"/>
                <w:szCs w:val="20"/>
              </w:rPr>
              <w:t>RG 13-03</w:t>
            </w:r>
            <w:r w:rsidRPr="00F07779">
              <w:rPr>
                <w:sz w:val="20"/>
                <w:szCs w:val="20"/>
              </w:rPr>
              <w:t xml:space="preserve"> – Branch pipeline for </w:t>
            </w:r>
            <w:proofErr w:type="spellStart"/>
            <w:r w:rsidRPr="00F07779">
              <w:rPr>
                <w:sz w:val="20"/>
                <w:szCs w:val="20"/>
              </w:rPr>
              <w:t>Negotin</w:t>
            </w:r>
            <w:proofErr w:type="spellEnd"/>
            <w:r w:rsidRPr="00F07779">
              <w:rPr>
                <w:sz w:val="20"/>
                <w:szCs w:val="20"/>
              </w:rPr>
              <w:t>, DN150</w:t>
            </w:r>
          </w:p>
          <w:p w14:paraId="3178246B" w14:textId="77777777" w:rsidR="0010715F" w:rsidRPr="00F07779" w:rsidRDefault="0010715F" w:rsidP="008076AB">
            <w:pPr>
              <w:ind w:left="32"/>
              <w:jc w:val="both"/>
              <w:rPr>
                <w:sz w:val="20"/>
                <w:szCs w:val="20"/>
              </w:rPr>
            </w:pPr>
            <w:r w:rsidRPr="00F07779">
              <w:rPr>
                <w:b/>
                <w:bCs/>
                <w:sz w:val="20"/>
                <w:szCs w:val="20"/>
              </w:rPr>
              <w:t>Total pipeline length:</w:t>
            </w:r>
            <w:r w:rsidRPr="00F07779">
              <w:rPr>
                <w:sz w:val="20"/>
                <w:szCs w:val="20"/>
              </w:rPr>
              <w:t xml:space="preserve"> 190 km</w:t>
            </w:r>
          </w:p>
          <w:p w14:paraId="6919ED7E" w14:textId="77777777" w:rsidR="0010715F" w:rsidRPr="00F07779" w:rsidRDefault="0010715F" w:rsidP="008076AB">
            <w:pPr>
              <w:ind w:left="32"/>
              <w:jc w:val="both"/>
              <w:rPr>
                <w:sz w:val="20"/>
                <w:szCs w:val="20"/>
              </w:rPr>
            </w:pPr>
            <w:r w:rsidRPr="00F07779">
              <w:rPr>
                <w:b/>
                <w:bCs/>
                <w:sz w:val="20"/>
                <w:szCs w:val="20"/>
              </w:rPr>
              <w:t>Design pressure:</w:t>
            </w:r>
            <w:r w:rsidRPr="00F07779">
              <w:rPr>
                <w:sz w:val="20"/>
                <w:szCs w:val="20"/>
              </w:rPr>
              <w:t xml:space="preserve"> 50 bar</w:t>
            </w:r>
          </w:p>
          <w:p w14:paraId="22B8E5B3" w14:textId="77777777" w:rsidR="0010715F" w:rsidRPr="00F07779" w:rsidRDefault="0010715F" w:rsidP="008076AB">
            <w:pPr>
              <w:ind w:left="32"/>
              <w:jc w:val="both"/>
              <w:rPr>
                <w:sz w:val="20"/>
                <w:szCs w:val="20"/>
              </w:rPr>
            </w:pPr>
            <w:r w:rsidRPr="00F07779">
              <w:rPr>
                <w:b/>
                <w:bCs/>
                <w:sz w:val="20"/>
                <w:szCs w:val="20"/>
              </w:rPr>
              <w:t>Total maximum daily capacity:</w:t>
            </w:r>
            <w:r w:rsidRPr="00F07779">
              <w:rPr>
                <w:sz w:val="20"/>
                <w:szCs w:val="20"/>
              </w:rPr>
              <w:t xml:space="preserve"> 4.9 million Sm³/day</w:t>
            </w:r>
          </w:p>
          <w:p w14:paraId="2A50BF39" w14:textId="77777777" w:rsidR="0010715F" w:rsidRPr="00F07779" w:rsidRDefault="0010715F" w:rsidP="008076AB">
            <w:pPr>
              <w:ind w:left="32"/>
              <w:jc w:val="both"/>
              <w:rPr>
                <w:sz w:val="20"/>
                <w:szCs w:val="20"/>
              </w:rPr>
            </w:pPr>
            <w:r w:rsidRPr="00F07779">
              <w:rPr>
                <w:b/>
                <w:bCs/>
                <w:sz w:val="20"/>
                <w:szCs w:val="20"/>
              </w:rPr>
              <w:t>Total maximum hourly capacity:</w:t>
            </w:r>
            <w:r w:rsidRPr="00F07779">
              <w:rPr>
                <w:sz w:val="20"/>
                <w:szCs w:val="20"/>
              </w:rPr>
              <w:t xml:space="preserve"> 204,000 Sm³/h</w:t>
            </w:r>
          </w:p>
        </w:tc>
      </w:tr>
      <w:tr w:rsidR="0010715F" w:rsidRPr="00F07779" w14:paraId="6CAE5EA9" w14:textId="77777777" w:rsidTr="005E3573">
        <w:tc>
          <w:tcPr>
            <w:tcW w:w="2972" w:type="dxa"/>
          </w:tcPr>
          <w:p w14:paraId="734278E5" w14:textId="77777777" w:rsidR="0010715F" w:rsidRPr="00F07779" w:rsidRDefault="0010715F" w:rsidP="005E3573">
            <w:pPr>
              <w:jc w:val="both"/>
              <w:rPr>
                <w:sz w:val="20"/>
                <w:szCs w:val="20"/>
              </w:rPr>
            </w:pPr>
            <w:r w:rsidRPr="00F07779">
              <w:rPr>
                <w:sz w:val="20"/>
                <w:szCs w:val="20"/>
              </w:rPr>
              <w:t>Institutions responsible for implementation of measures and activities</w:t>
            </w:r>
          </w:p>
        </w:tc>
        <w:tc>
          <w:tcPr>
            <w:tcW w:w="5743" w:type="dxa"/>
          </w:tcPr>
          <w:p w14:paraId="5824DE01" w14:textId="77777777" w:rsidR="0010715F" w:rsidRPr="00F07779" w:rsidRDefault="0010715F" w:rsidP="005E3573">
            <w:pPr>
              <w:jc w:val="both"/>
              <w:rPr>
                <w:sz w:val="20"/>
                <w:szCs w:val="20"/>
              </w:rPr>
            </w:pPr>
            <w:r w:rsidRPr="00F07779">
              <w:rPr>
                <w:sz w:val="20"/>
                <w:szCs w:val="20"/>
              </w:rPr>
              <w:t xml:space="preserve">PUC </w:t>
            </w:r>
            <w:proofErr w:type="spellStart"/>
            <w:r w:rsidRPr="00F07779">
              <w:rPr>
                <w:sz w:val="20"/>
                <w:szCs w:val="20"/>
              </w:rPr>
              <w:t>Srbijagas</w:t>
            </w:r>
            <w:proofErr w:type="spellEnd"/>
          </w:p>
          <w:p w14:paraId="1965AD19" w14:textId="77777777" w:rsidR="0010715F" w:rsidRPr="00F07779" w:rsidRDefault="0010715F" w:rsidP="005E3573">
            <w:pPr>
              <w:jc w:val="both"/>
              <w:rPr>
                <w:sz w:val="20"/>
                <w:szCs w:val="20"/>
              </w:rPr>
            </w:pPr>
          </w:p>
        </w:tc>
      </w:tr>
      <w:tr w:rsidR="0010715F" w:rsidRPr="00F07779" w14:paraId="24E6584D" w14:textId="77777777" w:rsidTr="005E3573">
        <w:tc>
          <w:tcPr>
            <w:tcW w:w="2972" w:type="dxa"/>
          </w:tcPr>
          <w:p w14:paraId="78727DA4" w14:textId="77777777" w:rsidR="0010715F" w:rsidRPr="00F07779" w:rsidRDefault="0010715F" w:rsidP="005E3573">
            <w:pPr>
              <w:jc w:val="both"/>
              <w:rPr>
                <w:sz w:val="20"/>
                <w:szCs w:val="20"/>
              </w:rPr>
            </w:pPr>
            <w:r w:rsidRPr="00F07779">
              <w:rPr>
                <w:sz w:val="20"/>
                <w:szCs w:val="20"/>
              </w:rPr>
              <w:t>Institutions responsible for monitoring implementation and reporting on progress</w:t>
            </w:r>
          </w:p>
        </w:tc>
        <w:tc>
          <w:tcPr>
            <w:tcW w:w="5743" w:type="dxa"/>
          </w:tcPr>
          <w:p w14:paraId="5B4AED58" w14:textId="77777777" w:rsidR="0010715F" w:rsidRPr="00F07779" w:rsidRDefault="0010715F" w:rsidP="005E3573">
            <w:pPr>
              <w:jc w:val="both"/>
              <w:rPr>
                <w:sz w:val="20"/>
                <w:szCs w:val="20"/>
              </w:rPr>
            </w:pPr>
            <w:r w:rsidRPr="00F07779">
              <w:rPr>
                <w:sz w:val="20"/>
                <w:szCs w:val="20"/>
              </w:rPr>
              <w:t>- Ministry of Mining and Energy</w:t>
            </w:r>
          </w:p>
          <w:p w14:paraId="6480310B" w14:textId="77777777" w:rsidR="0010715F" w:rsidRPr="00F07779" w:rsidRDefault="0010715F" w:rsidP="005E3573">
            <w:pPr>
              <w:jc w:val="both"/>
              <w:rPr>
                <w:sz w:val="20"/>
                <w:szCs w:val="20"/>
              </w:rPr>
            </w:pPr>
            <w:r w:rsidRPr="00F07779">
              <w:rPr>
                <w:sz w:val="20"/>
                <w:szCs w:val="20"/>
              </w:rPr>
              <w:t>- Ministry of Construction, Transport and Infrastructure</w:t>
            </w:r>
          </w:p>
        </w:tc>
      </w:tr>
      <w:tr w:rsidR="0010715F" w:rsidRPr="00F07779" w14:paraId="4FB1DACD" w14:textId="77777777" w:rsidTr="005E3573">
        <w:tc>
          <w:tcPr>
            <w:tcW w:w="2972" w:type="dxa"/>
          </w:tcPr>
          <w:p w14:paraId="33D64BA1" w14:textId="77777777" w:rsidR="0010715F" w:rsidRPr="00F07779" w:rsidRDefault="0010715F" w:rsidP="005E3573">
            <w:pPr>
              <w:jc w:val="both"/>
              <w:rPr>
                <w:sz w:val="20"/>
                <w:szCs w:val="20"/>
              </w:rPr>
            </w:pPr>
            <w:r w:rsidRPr="00F07779">
              <w:rPr>
                <w:sz w:val="20"/>
                <w:szCs w:val="20"/>
              </w:rPr>
              <w:t>Implementation deadline / Timeline</w:t>
            </w:r>
          </w:p>
        </w:tc>
        <w:tc>
          <w:tcPr>
            <w:tcW w:w="5743" w:type="dxa"/>
          </w:tcPr>
          <w:p w14:paraId="3F20282B" w14:textId="2DA16E0D" w:rsidR="0010715F" w:rsidRPr="00F07779" w:rsidRDefault="0010715F" w:rsidP="005E3573">
            <w:pPr>
              <w:jc w:val="both"/>
              <w:rPr>
                <w:sz w:val="20"/>
                <w:szCs w:val="20"/>
              </w:rPr>
            </w:pPr>
            <w:r w:rsidRPr="00F07779">
              <w:rPr>
                <w:sz w:val="20"/>
                <w:szCs w:val="20"/>
              </w:rPr>
              <w:t>2028</w:t>
            </w:r>
            <w:r w:rsidR="00AF2F1D" w:rsidRPr="00F07779">
              <w:rPr>
                <w:sz w:val="20"/>
                <w:szCs w:val="20"/>
              </w:rPr>
              <w:t>.</w:t>
            </w:r>
          </w:p>
        </w:tc>
      </w:tr>
      <w:tr w:rsidR="0010715F" w:rsidRPr="00F07779" w14:paraId="7FEBBE23" w14:textId="77777777" w:rsidTr="005E3573">
        <w:tc>
          <w:tcPr>
            <w:tcW w:w="2972" w:type="dxa"/>
          </w:tcPr>
          <w:p w14:paraId="7523DADD" w14:textId="77777777" w:rsidR="0010715F" w:rsidRPr="00F07779" w:rsidRDefault="0010715F" w:rsidP="005E3573">
            <w:pPr>
              <w:jc w:val="both"/>
              <w:rPr>
                <w:sz w:val="20"/>
                <w:szCs w:val="20"/>
              </w:rPr>
            </w:pPr>
            <w:r w:rsidRPr="00F07779">
              <w:rPr>
                <w:sz w:val="20"/>
                <w:szCs w:val="20"/>
              </w:rPr>
              <w:t>Required funds and source of financing</w:t>
            </w:r>
          </w:p>
        </w:tc>
        <w:tc>
          <w:tcPr>
            <w:tcW w:w="5743" w:type="dxa"/>
          </w:tcPr>
          <w:p w14:paraId="7B903BCE" w14:textId="77777777" w:rsidR="0010715F" w:rsidRPr="00F07779" w:rsidRDefault="0010715F" w:rsidP="005E3573">
            <w:pPr>
              <w:rPr>
                <w:sz w:val="20"/>
                <w:szCs w:val="20"/>
              </w:rPr>
            </w:pPr>
            <w:r w:rsidRPr="00F07779">
              <w:rPr>
                <w:sz w:val="20"/>
                <w:szCs w:val="20"/>
              </w:rPr>
              <w:t>EUR 91.826 million (RSD 10,767 million)</w:t>
            </w:r>
          </w:p>
          <w:p w14:paraId="675340D9" w14:textId="77777777" w:rsidR="0010715F" w:rsidRPr="00F07779" w:rsidRDefault="0010715F" w:rsidP="005E3573">
            <w:pPr>
              <w:rPr>
                <w:sz w:val="20"/>
                <w:szCs w:val="20"/>
              </w:rPr>
            </w:pPr>
            <w:r w:rsidRPr="00F07779">
              <w:rPr>
                <w:sz w:val="20"/>
                <w:szCs w:val="20"/>
              </w:rPr>
              <w:lastRenderedPageBreak/>
              <w:t>Loans from domestic commercial banks</w:t>
            </w:r>
            <w:r w:rsidRPr="00F07779">
              <w:rPr>
                <w:sz w:val="20"/>
                <w:szCs w:val="20"/>
              </w:rPr>
              <w:br/>
              <w:t>The schedule of implementation and the plan for fund withdrawal will be defined later</w:t>
            </w:r>
          </w:p>
        </w:tc>
      </w:tr>
      <w:tr w:rsidR="0010715F" w:rsidRPr="00F07779" w14:paraId="2ABB09DD" w14:textId="77777777" w:rsidTr="005E3573">
        <w:tc>
          <w:tcPr>
            <w:tcW w:w="2972" w:type="dxa"/>
          </w:tcPr>
          <w:p w14:paraId="11EA47D8" w14:textId="77777777" w:rsidR="0010715F" w:rsidRPr="00F07779" w:rsidRDefault="0010715F" w:rsidP="005E3573">
            <w:pPr>
              <w:jc w:val="both"/>
              <w:rPr>
                <w:sz w:val="20"/>
                <w:szCs w:val="20"/>
              </w:rPr>
            </w:pPr>
            <w:r w:rsidRPr="00F07779">
              <w:rPr>
                <w:sz w:val="20"/>
                <w:szCs w:val="20"/>
              </w:rPr>
              <w:lastRenderedPageBreak/>
              <w:t>Implementation indicator / Performance indicator</w:t>
            </w:r>
          </w:p>
        </w:tc>
        <w:tc>
          <w:tcPr>
            <w:tcW w:w="5743" w:type="dxa"/>
          </w:tcPr>
          <w:p w14:paraId="63D2D826" w14:textId="77777777" w:rsidR="0010715F" w:rsidRPr="00F07779" w:rsidRDefault="0010715F" w:rsidP="005E3573">
            <w:pPr>
              <w:rPr>
                <w:sz w:val="20"/>
                <w:szCs w:val="20"/>
              </w:rPr>
            </w:pPr>
            <w:r w:rsidRPr="00F07779">
              <w:rPr>
                <w:sz w:val="20"/>
                <w:szCs w:val="20"/>
              </w:rPr>
              <w:t>Implementation phase:</w:t>
            </w:r>
            <w:r w:rsidRPr="00F07779">
              <w:rPr>
                <w:sz w:val="20"/>
                <w:szCs w:val="20"/>
              </w:rPr>
              <w:br/>
              <w:t>Spatial planning documentation, Conceptual design and location requirements, Approval of the Environmental Impact Assessment Study, Resolution of property-legal issues, Preliminary design and feasibility study, Energy permit, Design for construction permit and construction permit, Preparation of tender documentation, Detailed design, Construction, Commissioning</w:t>
            </w:r>
          </w:p>
        </w:tc>
      </w:tr>
      <w:tr w:rsidR="0010715F" w:rsidRPr="00F07779" w14:paraId="156A36A8" w14:textId="77777777" w:rsidTr="005E3573">
        <w:tc>
          <w:tcPr>
            <w:tcW w:w="2972" w:type="dxa"/>
          </w:tcPr>
          <w:p w14:paraId="647637E1" w14:textId="77777777" w:rsidR="0010715F" w:rsidRPr="00F07779" w:rsidRDefault="0010715F" w:rsidP="005E3573">
            <w:pPr>
              <w:jc w:val="both"/>
              <w:rPr>
                <w:sz w:val="20"/>
                <w:szCs w:val="20"/>
              </w:rPr>
            </w:pPr>
            <w:r w:rsidRPr="00F07779">
              <w:rPr>
                <w:sz w:val="20"/>
                <w:szCs w:val="20"/>
              </w:rPr>
              <w:t>Impact of activity implementation on achieving the objective</w:t>
            </w:r>
          </w:p>
        </w:tc>
        <w:tc>
          <w:tcPr>
            <w:tcW w:w="5743" w:type="dxa"/>
          </w:tcPr>
          <w:p w14:paraId="264A8F5A" w14:textId="77777777" w:rsidR="0010715F" w:rsidRPr="00F07779" w:rsidRDefault="0010715F" w:rsidP="005E3573">
            <w:pPr>
              <w:rPr>
                <w:sz w:val="20"/>
                <w:szCs w:val="20"/>
              </w:rPr>
            </w:pPr>
            <w:r w:rsidRPr="00F07779">
              <w:rPr>
                <w:sz w:val="20"/>
                <w:szCs w:val="20"/>
              </w:rPr>
              <w:t>Development of the natural gas market:</w:t>
            </w:r>
            <w:r w:rsidRPr="00F07779">
              <w:rPr>
                <w:sz w:val="20"/>
                <w:szCs w:val="20"/>
              </w:rPr>
              <w:br/>
              <w:t xml:space="preserve">The construction of distribution pipelines in </w:t>
            </w:r>
            <w:proofErr w:type="spellStart"/>
            <w:r w:rsidRPr="00F07779">
              <w:rPr>
                <w:sz w:val="20"/>
                <w:szCs w:val="20"/>
              </w:rPr>
              <w:t>Paraćin</w:t>
            </w:r>
            <w:proofErr w:type="spellEnd"/>
            <w:r w:rsidRPr="00F07779">
              <w:rPr>
                <w:sz w:val="20"/>
                <w:szCs w:val="20"/>
              </w:rPr>
              <w:t xml:space="preserve">, </w:t>
            </w:r>
            <w:proofErr w:type="spellStart"/>
            <w:r w:rsidRPr="00F07779">
              <w:rPr>
                <w:sz w:val="20"/>
                <w:szCs w:val="20"/>
              </w:rPr>
              <w:t>Boljevac</w:t>
            </w:r>
            <w:proofErr w:type="spellEnd"/>
            <w:r w:rsidRPr="00F07779">
              <w:rPr>
                <w:sz w:val="20"/>
                <w:szCs w:val="20"/>
              </w:rPr>
              <w:t xml:space="preserve">, </w:t>
            </w:r>
            <w:proofErr w:type="spellStart"/>
            <w:r w:rsidRPr="00F07779">
              <w:rPr>
                <w:sz w:val="20"/>
                <w:szCs w:val="20"/>
              </w:rPr>
              <w:t>Rgotina</w:t>
            </w:r>
            <w:proofErr w:type="spellEnd"/>
            <w:r w:rsidRPr="00F07779">
              <w:rPr>
                <w:sz w:val="20"/>
                <w:szCs w:val="20"/>
              </w:rPr>
              <w:t xml:space="preserve">, </w:t>
            </w:r>
            <w:proofErr w:type="spellStart"/>
            <w:r w:rsidRPr="00F07779">
              <w:rPr>
                <w:sz w:val="20"/>
                <w:szCs w:val="20"/>
              </w:rPr>
              <w:t>Negotin</w:t>
            </w:r>
            <w:proofErr w:type="spellEnd"/>
            <w:r w:rsidRPr="00F07779">
              <w:rPr>
                <w:sz w:val="20"/>
                <w:szCs w:val="20"/>
              </w:rPr>
              <w:t xml:space="preserve">, </w:t>
            </w:r>
            <w:proofErr w:type="spellStart"/>
            <w:r w:rsidRPr="00F07779">
              <w:rPr>
                <w:sz w:val="20"/>
                <w:szCs w:val="20"/>
              </w:rPr>
              <w:t>Prahovo</w:t>
            </w:r>
            <w:proofErr w:type="spellEnd"/>
            <w:r w:rsidRPr="00F07779">
              <w:rPr>
                <w:sz w:val="20"/>
                <w:szCs w:val="20"/>
              </w:rPr>
              <w:t xml:space="preserve">, </w:t>
            </w:r>
            <w:proofErr w:type="spellStart"/>
            <w:r w:rsidRPr="00F07779">
              <w:rPr>
                <w:sz w:val="20"/>
                <w:szCs w:val="20"/>
              </w:rPr>
              <w:t>Bor</w:t>
            </w:r>
            <w:proofErr w:type="spellEnd"/>
            <w:r w:rsidRPr="00F07779">
              <w:rPr>
                <w:sz w:val="20"/>
                <w:szCs w:val="20"/>
              </w:rPr>
              <w:t xml:space="preserve">, </w:t>
            </w:r>
            <w:proofErr w:type="spellStart"/>
            <w:r w:rsidRPr="00F07779">
              <w:rPr>
                <w:sz w:val="20"/>
                <w:szCs w:val="20"/>
              </w:rPr>
              <w:t>Zaječar</w:t>
            </w:r>
            <w:proofErr w:type="spellEnd"/>
            <w:r w:rsidRPr="00F07779">
              <w:rPr>
                <w:sz w:val="20"/>
                <w:szCs w:val="20"/>
              </w:rPr>
              <w:t xml:space="preserve">, and </w:t>
            </w:r>
            <w:proofErr w:type="spellStart"/>
            <w:r w:rsidRPr="00F07779">
              <w:rPr>
                <w:sz w:val="20"/>
                <w:szCs w:val="20"/>
              </w:rPr>
              <w:t>Knjaževac</w:t>
            </w:r>
            <w:proofErr w:type="spellEnd"/>
            <w:r w:rsidRPr="00F07779">
              <w:rPr>
                <w:sz w:val="20"/>
                <w:szCs w:val="20"/>
              </w:rPr>
              <w:t xml:space="preserve">, and the connection of industrial, communal, and individual consumers to the distribution system is expected to increase total natural gas consumption and sales on the liberalized market. Data for quantifying the change in the indicator </w:t>
            </w:r>
            <w:proofErr w:type="gramStart"/>
            <w:r w:rsidRPr="00F07779">
              <w:rPr>
                <w:sz w:val="20"/>
                <w:szCs w:val="20"/>
              </w:rPr>
              <w:t>are</w:t>
            </w:r>
            <w:proofErr w:type="gramEnd"/>
            <w:r w:rsidRPr="00F07779">
              <w:rPr>
                <w:sz w:val="20"/>
                <w:szCs w:val="20"/>
              </w:rPr>
              <w:t xml:space="preserve"> not available.</w:t>
            </w:r>
          </w:p>
        </w:tc>
      </w:tr>
      <w:tr w:rsidR="0010715F" w:rsidRPr="00F07779" w14:paraId="137FC02F" w14:textId="77777777" w:rsidTr="005E3573">
        <w:tc>
          <w:tcPr>
            <w:tcW w:w="2972" w:type="dxa"/>
          </w:tcPr>
          <w:p w14:paraId="26BF7F09" w14:textId="77777777" w:rsidR="0010715F" w:rsidRPr="00F07779" w:rsidRDefault="0010715F" w:rsidP="005E3573">
            <w:pPr>
              <w:jc w:val="both"/>
              <w:rPr>
                <w:sz w:val="20"/>
                <w:szCs w:val="20"/>
              </w:rPr>
            </w:pPr>
            <w:r w:rsidRPr="00F07779">
              <w:rPr>
                <w:sz w:val="20"/>
                <w:szCs w:val="20"/>
              </w:rPr>
              <w:t>Impact on energy efficiency, climate, and environment</w:t>
            </w:r>
          </w:p>
        </w:tc>
        <w:tc>
          <w:tcPr>
            <w:tcW w:w="5743" w:type="dxa"/>
          </w:tcPr>
          <w:p w14:paraId="1B7931FF" w14:textId="77777777" w:rsidR="0010715F" w:rsidRPr="00F07779" w:rsidRDefault="0010715F" w:rsidP="005E3573">
            <w:pPr>
              <w:jc w:val="both"/>
              <w:rPr>
                <w:sz w:val="20"/>
                <w:szCs w:val="20"/>
              </w:rPr>
            </w:pPr>
            <w:r w:rsidRPr="00F07779">
              <w:rPr>
                <w:sz w:val="20"/>
                <w:szCs w:val="20"/>
              </w:rPr>
              <w:t>By constructing these distribution pipelines, the substitution of liquid and solid fuels in industry and general consumption is enabled. Using natural gas instead of coal, fuel oil, and firewood has a positive effect on reducing local emissions (</w:t>
            </w:r>
            <w:proofErr w:type="spellStart"/>
            <w:r w:rsidRPr="00F07779">
              <w:rPr>
                <w:sz w:val="20"/>
                <w:szCs w:val="20"/>
              </w:rPr>
              <w:t>SOx</w:t>
            </w:r>
            <w:proofErr w:type="spellEnd"/>
            <w:r w:rsidRPr="00F07779">
              <w:rPr>
                <w:sz w:val="20"/>
                <w:szCs w:val="20"/>
              </w:rPr>
              <w:t>, NOx, particulates) and allows for more efficient use of energy. A similar impact is expected on the climate, given the significantly lower CO₂ emission factor compared to coal and liquid fuels, despite an increase in fugitive methane emissions of 0.656 Gg per year</w:t>
            </w:r>
            <w:r w:rsidRPr="00F07779">
              <w:rPr>
                <w:rStyle w:val="FootnoteReference"/>
                <w:sz w:val="20"/>
                <w:szCs w:val="20"/>
              </w:rPr>
              <w:footnoteReference w:id="50"/>
            </w:r>
            <w:r w:rsidRPr="00F07779">
              <w:rPr>
                <w:sz w:val="20"/>
                <w:szCs w:val="20"/>
              </w:rPr>
              <w:t>.</w:t>
            </w:r>
          </w:p>
        </w:tc>
      </w:tr>
    </w:tbl>
    <w:p w14:paraId="26FC758F" w14:textId="77777777" w:rsidR="0010715F" w:rsidRPr="00F07779" w:rsidRDefault="0010715F" w:rsidP="0010715F">
      <w:pPr>
        <w:jc w:val="both"/>
      </w:pPr>
    </w:p>
    <w:p w14:paraId="3E36C86A" w14:textId="77777777" w:rsidR="0010715F" w:rsidRPr="00F07779" w:rsidRDefault="0010715F" w:rsidP="0010715F">
      <w:pPr>
        <w:jc w:val="both"/>
      </w:pPr>
      <w:r w:rsidRPr="00F07779">
        <w:t>Table 5.5.6-3: Activities for the implementation of the measure G4 – G4.3</w:t>
      </w:r>
    </w:p>
    <w:tbl>
      <w:tblPr>
        <w:tblStyle w:val="TableGrid"/>
        <w:tblW w:w="0" w:type="auto"/>
        <w:tblLook w:val="04A0" w:firstRow="1" w:lastRow="0" w:firstColumn="1" w:lastColumn="0" w:noHBand="0" w:noVBand="1"/>
      </w:tblPr>
      <w:tblGrid>
        <w:gridCol w:w="2972"/>
        <w:gridCol w:w="5743"/>
      </w:tblGrid>
      <w:tr w:rsidR="0010715F" w:rsidRPr="00F07779" w14:paraId="401D6688" w14:textId="77777777" w:rsidTr="005E3573">
        <w:tc>
          <w:tcPr>
            <w:tcW w:w="2972" w:type="dxa"/>
            <w:shd w:val="clear" w:color="auto" w:fill="D9D9D9" w:themeFill="background1" w:themeFillShade="D9"/>
          </w:tcPr>
          <w:p w14:paraId="56B35FB3" w14:textId="77777777" w:rsidR="0010715F" w:rsidRPr="00F07779" w:rsidRDefault="0010715F" w:rsidP="005E3573">
            <w:pPr>
              <w:jc w:val="both"/>
              <w:rPr>
                <w:sz w:val="20"/>
                <w:szCs w:val="20"/>
              </w:rPr>
            </w:pPr>
            <w:r w:rsidRPr="00F07779">
              <w:rPr>
                <w:sz w:val="20"/>
                <w:szCs w:val="20"/>
              </w:rPr>
              <w:t>Activity G4.3</w:t>
            </w:r>
          </w:p>
        </w:tc>
        <w:tc>
          <w:tcPr>
            <w:tcW w:w="5743" w:type="dxa"/>
            <w:shd w:val="clear" w:color="auto" w:fill="D9D9D9" w:themeFill="background1" w:themeFillShade="D9"/>
          </w:tcPr>
          <w:p w14:paraId="3A6B4406" w14:textId="77777777" w:rsidR="0010715F" w:rsidRPr="00F07779" w:rsidRDefault="0010715F" w:rsidP="005E3573">
            <w:pPr>
              <w:jc w:val="both"/>
              <w:rPr>
                <w:sz w:val="20"/>
                <w:szCs w:val="20"/>
              </w:rPr>
            </w:pPr>
            <w:r w:rsidRPr="00F07779">
              <w:rPr>
                <w:sz w:val="20"/>
                <w:szCs w:val="20"/>
              </w:rPr>
              <w:t xml:space="preserve">Gasification of the industrial zone of </w:t>
            </w:r>
            <w:proofErr w:type="spellStart"/>
            <w:r w:rsidRPr="00F07779">
              <w:rPr>
                <w:sz w:val="20"/>
                <w:szCs w:val="20"/>
              </w:rPr>
              <w:t>Inđija</w:t>
            </w:r>
            <w:proofErr w:type="spellEnd"/>
          </w:p>
        </w:tc>
      </w:tr>
      <w:tr w:rsidR="0010715F" w:rsidRPr="00F07779" w14:paraId="3BA2A6A8" w14:textId="77777777" w:rsidTr="005E3573">
        <w:tc>
          <w:tcPr>
            <w:tcW w:w="2972" w:type="dxa"/>
          </w:tcPr>
          <w:p w14:paraId="42F34CC4" w14:textId="77777777" w:rsidR="0010715F" w:rsidRPr="00F07779" w:rsidRDefault="0010715F" w:rsidP="005E3573">
            <w:pPr>
              <w:jc w:val="both"/>
              <w:rPr>
                <w:sz w:val="20"/>
                <w:szCs w:val="20"/>
              </w:rPr>
            </w:pPr>
            <w:r w:rsidRPr="00F07779">
              <w:rPr>
                <w:sz w:val="20"/>
                <w:szCs w:val="20"/>
              </w:rPr>
              <w:t>Description</w:t>
            </w:r>
          </w:p>
        </w:tc>
        <w:tc>
          <w:tcPr>
            <w:tcW w:w="5743" w:type="dxa"/>
          </w:tcPr>
          <w:p w14:paraId="0AD4E17C" w14:textId="31A2D09F" w:rsidR="0010715F" w:rsidRPr="00F07779" w:rsidRDefault="0010715F" w:rsidP="005E3573">
            <w:pPr>
              <w:jc w:val="both"/>
              <w:rPr>
                <w:sz w:val="20"/>
                <w:szCs w:val="20"/>
              </w:rPr>
            </w:pPr>
            <w:r w:rsidRPr="00F07779">
              <w:rPr>
                <w:sz w:val="20"/>
                <w:szCs w:val="20"/>
              </w:rPr>
              <w:t>Construction of a new connection to the MG-04/II Senta–</w:t>
            </w:r>
            <w:proofErr w:type="spellStart"/>
            <w:r w:rsidRPr="00F07779">
              <w:rPr>
                <w:sz w:val="20"/>
                <w:szCs w:val="20"/>
              </w:rPr>
              <w:t>Batajnica</w:t>
            </w:r>
            <w:proofErr w:type="spellEnd"/>
            <w:r w:rsidRPr="00F07779">
              <w:rPr>
                <w:sz w:val="20"/>
                <w:szCs w:val="20"/>
              </w:rPr>
              <w:t xml:space="preserve"> </w:t>
            </w:r>
            <w:proofErr w:type="spellStart"/>
            <w:r w:rsidR="008076AB" w:rsidRPr="00F07779">
              <w:rPr>
                <w:sz w:val="20"/>
                <w:szCs w:val="20"/>
              </w:rPr>
              <w:t>transport</w:t>
            </w:r>
            <w:r w:rsidRPr="00F07779">
              <w:rPr>
                <w:sz w:val="20"/>
                <w:szCs w:val="20"/>
              </w:rPr>
              <w:t>gas</w:t>
            </w:r>
            <w:proofErr w:type="spellEnd"/>
            <w:r w:rsidRPr="00F07779">
              <w:rPr>
                <w:sz w:val="20"/>
                <w:szCs w:val="20"/>
              </w:rPr>
              <w:t xml:space="preserve"> pipeline, including:</w:t>
            </w:r>
          </w:p>
          <w:p w14:paraId="23DB0334" w14:textId="15428BBD" w:rsidR="0010715F" w:rsidRPr="00F07779" w:rsidRDefault="008076AB" w:rsidP="008076AB">
            <w:pPr>
              <w:numPr>
                <w:ilvl w:val="0"/>
                <w:numId w:val="40"/>
              </w:numPr>
              <w:tabs>
                <w:tab w:val="clear" w:pos="720"/>
                <w:tab w:val="num" w:pos="174"/>
              </w:tabs>
              <w:ind w:left="32" w:firstLine="0"/>
              <w:jc w:val="both"/>
              <w:rPr>
                <w:sz w:val="20"/>
                <w:szCs w:val="20"/>
              </w:rPr>
            </w:pPr>
            <w:r w:rsidRPr="00F07779">
              <w:rPr>
                <w:sz w:val="20"/>
                <w:szCs w:val="20"/>
              </w:rPr>
              <w:t>Transport</w:t>
            </w:r>
            <w:r w:rsidR="0010715F" w:rsidRPr="00F07779">
              <w:rPr>
                <w:sz w:val="20"/>
                <w:szCs w:val="20"/>
              </w:rPr>
              <w:t xml:space="preserve"> pipeline from the existing MG-04/II Senta–</w:t>
            </w:r>
            <w:proofErr w:type="spellStart"/>
            <w:r w:rsidR="0010715F" w:rsidRPr="00F07779">
              <w:rPr>
                <w:sz w:val="20"/>
                <w:szCs w:val="20"/>
              </w:rPr>
              <w:t>Batajnica</w:t>
            </w:r>
            <w:proofErr w:type="spellEnd"/>
            <w:r w:rsidR="0010715F" w:rsidRPr="00F07779">
              <w:rPr>
                <w:sz w:val="20"/>
                <w:szCs w:val="20"/>
              </w:rPr>
              <w:t xml:space="preserve"> pipeline to the GMRS location, diameter DN250, approximately 2,500 m </w:t>
            </w:r>
            <w:proofErr w:type="gramStart"/>
            <w:r w:rsidR="0010715F" w:rsidRPr="00F07779">
              <w:rPr>
                <w:sz w:val="20"/>
                <w:szCs w:val="20"/>
              </w:rPr>
              <w:t>long;</w:t>
            </w:r>
            <w:proofErr w:type="gramEnd"/>
          </w:p>
          <w:p w14:paraId="24169B5D" w14:textId="54F9B6C0" w:rsidR="0010715F" w:rsidRPr="00F07779" w:rsidRDefault="0010715F" w:rsidP="008076AB">
            <w:pPr>
              <w:numPr>
                <w:ilvl w:val="0"/>
                <w:numId w:val="40"/>
              </w:numPr>
              <w:tabs>
                <w:tab w:val="clear" w:pos="720"/>
                <w:tab w:val="num" w:pos="174"/>
              </w:tabs>
              <w:ind w:left="32" w:firstLine="0"/>
              <w:jc w:val="both"/>
              <w:rPr>
                <w:sz w:val="20"/>
                <w:szCs w:val="20"/>
              </w:rPr>
            </w:pPr>
            <w:r w:rsidRPr="00F07779">
              <w:rPr>
                <w:sz w:val="20"/>
                <w:szCs w:val="20"/>
              </w:rPr>
              <w:t>GMRS with a capacity of 25,000 Sm³/h (P</w:t>
            </w:r>
            <w:r w:rsidR="008076AB" w:rsidRPr="00F07779">
              <w:rPr>
                <w:sz w:val="20"/>
                <w:szCs w:val="20"/>
                <w:vertAlign w:val="subscript"/>
              </w:rPr>
              <w:t>in</w:t>
            </w:r>
            <w:r w:rsidRPr="00F07779">
              <w:rPr>
                <w:sz w:val="20"/>
                <w:szCs w:val="20"/>
              </w:rPr>
              <w:t>=45 bar; P</w:t>
            </w:r>
            <w:r w:rsidR="008076AB" w:rsidRPr="00F07779">
              <w:rPr>
                <w:sz w:val="20"/>
                <w:szCs w:val="20"/>
                <w:vertAlign w:val="subscript"/>
              </w:rPr>
              <w:t>out</w:t>
            </w:r>
            <w:r w:rsidRPr="00F07779">
              <w:rPr>
                <w:sz w:val="20"/>
                <w:szCs w:val="20"/>
              </w:rPr>
              <w:t>=8–16 bar</w:t>
            </w:r>
            <w:proofErr w:type="gramStart"/>
            <w:r w:rsidRPr="00F07779">
              <w:rPr>
                <w:sz w:val="20"/>
                <w:szCs w:val="20"/>
              </w:rPr>
              <w:t>);</w:t>
            </w:r>
            <w:proofErr w:type="gramEnd"/>
          </w:p>
          <w:p w14:paraId="1252FE7A" w14:textId="77777777" w:rsidR="0010715F" w:rsidRPr="00F07779" w:rsidRDefault="0010715F" w:rsidP="008076AB">
            <w:pPr>
              <w:numPr>
                <w:ilvl w:val="0"/>
                <w:numId w:val="40"/>
              </w:numPr>
              <w:tabs>
                <w:tab w:val="clear" w:pos="720"/>
                <w:tab w:val="num" w:pos="174"/>
              </w:tabs>
              <w:ind w:left="32" w:firstLine="0"/>
              <w:jc w:val="both"/>
              <w:rPr>
                <w:sz w:val="20"/>
                <w:szCs w:val="20"/>
              </w:rPr>
            </w:pPr>
            <w:r w:rsidRPr="00F07779">
              <w:rPr>
                <w:sz w:val="20"/>
                <w:szCs w:val="20"/>
              </w:rPr>
              <w:t>MRS with a capacity of 8,500 Sm³/</w:t>
            </w:r>
            <w:proofErr w:type="gramStart"/>
            <w:r w:rsidRPr="00F07779">
              <w:rPr>
                <w:sz w:val="20"/>
                <w:szCs w:val="20"/>
              </w:rPr>
              <w:t>h;</w:t>
            </w:r>
            <w:proofErr w:type="gramEnd"/>
          </w:p>
          <w:p w14:paraId="14F950EF" w14:textId="77777777" w:rsidR="0010715F" w:rsidRPr="00F07779" w:rsidRDefault="0010715F" w:rsidP="008076AB">
            <w:pPr>
              <w:numPr>
                <w:ilvl w:val="0"/>
                <w:numId w:val="40"/>
              </w:numPr>
              <w:tabs>
                <w:tab w:val="clear" w:pos="720"/>
                <w:tab w:val="num" w:pos="174"/>
              </w:tabs>
              <w:ind w:left="32" w:firstLine="0"/>
              <w:jc w:val="both"/>
              <w:rPr>
                <w:sz w:val="20"/>
                <w:szCs w:val="20"/>
              </w:rPr>
            </w:pPr>
            <w:r w:rsidRPr="00F07779">
              <w:rPr>
                <w:sz w:val="20"/>
                <w:szCs w:val="20"/>
              </w:rPr>
              <w:t>Distribution pipeline made of steel pipes (distribution from GMRS to MRS)</w:t>
            </w:r>
          </w:p>
        </w:tc>
      </w:tr>
      <w:tr w:rsidR="0010715F" w:rsidRPr="00F07779" w14:paraId="79C879F6" w14:textId="77777777" w:rsidTr="005E3573">
        <w:tc>
          <w:tcPr>
            <w:tcW w:w="2972" w:type="dxa"/>
          </w:tcPr>
          <w:p w14:paraId="69E05FF5" w14:textId="77777777" w:rsidR="0010715F" w:rsidRPr="00F07779" w:rsidRDefault="0010715F" w:rsidP="005E3573">
            <w:pPr>
              <w:jc w:val="both"/>
              <w:rPr>
                <w:sz w:val="20"/>
                <w:szCs w:val="20"/>
              </w:rPr>
            </w:pPr>
            <w:r w:rsidRPr="00F07779">
              <w:rPr>
                <w:sz w:val="20"/>
                <w:szCs w:val="20"/>
              </w:rPr>
              <w:t>Institutions responsible for implementation of measures and activities</w:t>
            </w:r>
          </w:p>
        </w:tc>
        <w:tc>
          <w:tcPr>
            <w:tcW w:w="5743" w:type="dxa"/>
          </w:tcPr>
          <w:p w14:paraId="5FCE2D8B" w14:textId="7AED75C1" w:rsidR="0010715F" w:rsidRPr="00F07779" w:rsidRDefault="00AF2F1D" w:rsidP="005E3573">
            <w:pPr>
              <w:jc w:val="both"/>
              <w:rPr>
                <w:sz w:val="20"/>
                <w:szCs w:val="20"/>
              </w:rPr>
            </w:pPr>
            <w:r w:rsidRPr="00F07779">
              <w:rPr>
                <w:sz w:val="20"/>
                <w:szCs w:val="20"/>
              </w:rPr>
              <w:t xml:space="preserve">Public Enterprise </w:t>
            </w:r>
            <w:proofErr w:type="spellStart"/>
            <w:r w:rsidR="0010715F" w:rsidRPr="00F07779">
              <w:rPr>
                <w:sz w:val="20"/>
                <w:szCs w:val="20"/>
              </w:rPr>
              <w:t>Srbijagas</w:t>
            </w:r>
            <w:proofErr w:type="spellEnd"/>
          </w:p>
          <w:p w14:paraId="03B60AC9" w14:textId="77777777" w:rsidR="0010715F" w:rsidRPr="00F07779" w:rsidRDefault="0010715F" w:rsidP="005E3573">
            <w:pPr>
              <w:jc w:val="both"/>
              <w:rPr>
                <w:sz w:val="20"/>
                <w:szCs w:val="20"/>
              </w:rPr>
            </w:pPr>
          </w:p>
        </w:tc>
      </w:tr>
      <w:tr w:rsidR="0010715F" w:rsidRPr="00F07779" w14:paraId="3D5E5736" w14:textId="77777777" w:rsidTr="005E3573">
        <w:tc>
          <w:tcPr>
            <w:tcW w:w="2972" w:type="dxa"/>
          </w:tcPr>
          <w:p w14:paraId="1AFBD45F" w14:textId="77777777" w:rsidR="0010715F" w:rsidRPr="00F07779" w:rsidRDefault="0010715F" w:rsidP="005E3573">
            <w:pPr>
              <w:jc w:val="both"/>
              <w:rPr>
                <w:sz w:val="20"/>
                <w:szCs w:val="20"/>
              </w:rPr>
            </w:pPr>
            <w:r w:rsidRPr="00F07779">
              <w:rPr>
                <w:sz w:val="20"/>
                <w:szCs w:val="20"/>
              </w:rPr>
              <w:t>Institutions responsible for monitoring implementation and reporting on progress</w:t>
            </w:r>
          </w:p>
        </w:tc>
        <w:tc>
          <w:tcPr>
            <w:tcW w:w="5743" w:type="dxa"/>
          </w:tcPr>
          <w:p w14:paraId="4A0EF9AF" w14:textId="77777777" w:rsidR="0010715F" w:rsidRPr="00F07779" w:rsidRDefault="0010715F" w:rsidP="005E3573">
            <w:pPr>
              <w:jc w:val="both"/>
              <w:rPr>
                <w:sz w:val="20"/>
                <w:szCs w:val="20"/>
              </w:rPr>
            </w:pPr>
            <w:r w:rsidRPr="00F07779">
              <w:rPr>
                <w:sz w:val="20"/>
                <w:szCs w:val="20"/>
              </w:rPr>
              <w:t>- Ministry of Mining and Energy</w:t>
            </w:r>
          </w:p>
          <w:p w14:paraId="3B8D78C1" w14:textId="77777777" w:rsidR="0010715F" w:rsidRPr="00F07779" w:rsidRDefault="0010715F" w:rsidP="005E3573">
            <w:pPr>
              <w:jc w:val="both"/>
              <w:rPr>
                <w:sz w:val="20"/>
                <w:szCs w:val="20"/>
              </w:rPr>
            </w:pPr>
            <w:r w:rsidRPr="00F07779">
              <w:rPr>
                <w:sz w:val="20"/>
                <w:szCs w:val="20"/>
              </w:rPr>
              <w:t>- Ministry of Construction, Transport and Infrastructure</w:t>
            </w:r>
          </w:p>
        </w:tc>
      </w:tr>
      <w:tr w:rsidR="0010715F" w:rsidRPr="00F07779" w14:paraId="79B37F1D" w14:textId="77777777" w:rsidTr="005E3573">
        <w:tc>
          <w:tcPr>
            <w:tcW w:w="2972" w:type="dxa"/>
          </w:tcPr>
          <w:p w14:paraId="674476F3" w14:textId="77777777" w:rsidR="0010715F" w:rsidRPr="00F07779" w:rsidRDefault="0010715F" w:rsidP="005E3573">
            <w:pPr>
              <w:jc w:val="both"/>
              <w:rPr>
                <w:sz w:val="20"/>
                <w:szCs w:val="20"/>
              </w:rPr>
            </w:pPr>
            <w:r w:rsidRPr="00F07779">
              <w:rPr>
                <w:sz w:val="20"/>
                <w:szCs w:val="20"/>
              </w:rPr>
              <w:t>Implementation deadline / Timeline</w:t>
            </w:r>
          </w:p>
        </w:tc>
        <w:tc>
          <w:tcPr>
            <w:tcW w:w="5743" w:type="dxa"/>
          </w:tcPr>
          <w:p w14:paraId="48943B4B" w14:textId="1AD9BF21" w:rsidR="0010715F" w:rsidRPr="00F07779" w:rsidRDefault="0010715F" w:rsidP="005E3573">
            <w:pPr>
              <w:jc w:val="both"/>
              <w:rPr>
                <w:sz w:val="20"/>
                <w:szCs w:val="20"/>
              </w:rPr>
            </w:pPr>
            <w:r w:rsidRPr="00F07779">
              <w:rPr>
                <w:sz w:val="20"/>
                <w:szCs w:val="20"/>
              </w:rPr>
              <w:t>2026</w:t>
            </w:r>
            <w:r w:rsidR="00AF2F1D" w:rsidRPr="00F07779">
              <w:rPr>
                <w:sz w:val="20"/>
                <w:szCs w:val="20"/>
              </w:rPr>
              <w:t>.</w:t>
            </w:r>
          </w:p>
        </w:tc>
      </w:tr>
      <w:tr w:rsidR="0010715F" w:rsidRPr="00F07779" w14:paraId="50DBC71E" w14:textId="77777777" w:rsidTr="005E3573">
        <w:tc>
          <w:tcPr>
            <w:tcW w:w="2972" w:type="dxa"/>
          </w:tcPr>
          <w:p w14:paraId="762077B0" w14:textId="77777777" w:rsidR="0010715F" w:rsidRPr="00F07779" w:rsidRDefault="0010715F" w:rsidP="005E3573">
            <w:pPr>
              <w:jc w:val="both"/>
              <w:rPr>
                <w:sz w:val="20"/>
                <w:szCs w:val="20"/>
              </w:rPr>
            </w:pPr>
            <w:r w:rsidRPr="00F07779">
              <w:rPr>
                <w:sz w:val="20"/>
                <w:szCs w:val="20"/>
              </w:rPr>
              <w:t>Required funds and source of financing</w:t>
            </w:r>
          </w:p>
        </w:tc>
        <w:tc>
          <w:tcPr>
            <w:tcW w:w="5743" w:type="dxa"/>
          </w:tcPr>
          <w:p w14:paraId="569C9A64" w14:textId="77777777" w:rsidR="0010715F" w:rsidRPr="00F07779" w:rsidRDefault="0010715F" w:rsidP="008076AB">
            <w:pPr>
              <w:rPr>
                <w:sz w:val="20"/>
                <w:szCs w:val="20"/>
              </w:rPr>
            </w:pPr>
            <w:r w:rsidRPr="00F07779">
              <w:rPr>
                <w:sz w:val="20"/>
                <w:szCs w:val="20"/>
              </w:rPr>
              <w:t>EUR 6 million (RSD 703.5 million)</w:t>
            </w:r>
            <w:r w:rsidRPr="00F07779">
              <w:rPr>
                <w:sz w:val="20"/>
                <w:szCs w:val="20"/>
              </w:rPr>
              <w:br/>
              <w:t>Loan funds from domestic commercial banks</w:t>
            </w:r>
            <w:r w:rsidRPr="00F07779">
              <w:rPr>
                <w:sz w:val="20"/>
                <w:szCs w:val="20"/>
              </w:rPr>
              <w:br/>
              <w:t>The implementation schedule and fund withdrawal plan will be defined subsequently</w:t>
            </w:r>
          </w:p>
        </w:tc>
      </w:tr>
      <w:tr w:rsidR="0010715F" w:rsidRPr="00F07779" w14:paraId="701E5999" w14:textId="77777777" w:rsidTr="005E3573">
        <w:tc>
          <w:tcPr>
            <w:tcW w:w="2972" w:type="dxa"/>
          </w:tcPr>
          <w:p w14:paraId="1A72AD1B" w14:textId="77777777" w:rsidR="0010715F" w:rsidRPr="00F07779" w:rsidRDefault="0010715F" w:rsidP="005E3573">
            <w:pPr>
              <w:jc w:val="both"/>
              <w:rPr>
                <w:sz w:val="20"/>
                <w:szCs w:val="20"/>
              </w:rPr>
            </w:pPr>
            <w:r w:rsidRPr="00F07779">
              <w:rPr>
                <w:sz w:val="20"/>
                <w:szCs w:val="20"/>
              </w:rPr>
              <w:t>Implementation indicator / Performance indicator</w:t>
            </w:r>
          </w:p>
        </w:tc>
        <w:tc>
          <w:tcPr>
            <w:tcW w:w="5743" w:type="dxa"/>
          </w:tcPr>
          <w:p w14:paraId="3C67AB2B" w14:textId="77777777" w:rsidR="0010715F" w:rsidRPr="00F07779" w:rsidRDefault="0010715F" w:rsidP="005E3573">
            <w:pPr>
              <w:rPr>
                <w:sz w:val="20"/>
                <w:szCs w:val="20"/>
              </w:rPr>
            </w:pPr>
            <w:r w:rsidRPr="00F07779">
              <w:rPr>
                <w:rStyle w:val="Strong"/>
                <w:b w:val="0"/>
                <w:bCs w:val="0"/>
                <w:sz w:val="20"/>
                <w:szCs w:val="20"/>
              </w:rPr>
              <w:t>Implementation phase:</w:t>
            </w:r>
            <w:r w:rsidRPr="00F07779">
              <w:rPr>
                <w:sz w:val="20"/>
                <w:szCs w:val="20"/>
              </w:rPr>
              <w:br/>
              <w:t>Conceptual design and location requirements, Approval of the Environmental Impact Assessment Study, Resolution of property-legal issues, Preliminary design and feasibility study, Energy permit, Design for construction permit and construction permit, Preparation of tender documentation, Detailed design, Construction, Commissioning</w:t>
            </w:r>
          </w:p>
        </w:tc>
      </w:tr>
      <w:tr w:rsidR="0010715F" w:rsidRPr="00F07779" w14:paraId="2B23E228" w14:textId="77777777" w:rsidTr="005E3573">
        <w:tc>
          <w:tcPr>
            <w:tcW w:w="2972" w:type="dxa"/>
          </w:tcPr>
          <w:p w14:paraId="57603FA3" w14:textId="77777777" w:rsidR="0010715F" w:rsidRPr="00F07779" w:rsidRDefault="0010715F" w:rsidP="005E3573">
            <w:pPr>
              <w:jc w:val="both"/>
              <w:rPr>
                <w:sz w:val="20"/>
                <w:szCs w:val="20"/>
              </w:rPr>
            </w:pPr>
            <w:r w:rsidRPr="00F07779">
              <w:rPr>
                <w:sz w:val="20"/>
                <w:szCs w:val="20"/>
              </w:rPr>
              <w:t>Impact of activity implementation on achieving the objective</w:t>
            </w:r>
          </w:p>
        </w:tc>
        <w:tc>
          <w:tcPr>
            <w:tcW w:w="5743" w:type="dxa"/>
          </w:tcPr>
          <w:p w14:paraId="22763033" w14:textId="77777777" w:rsidR="0010715F" w:rsidRPr="00F07779" w:rsidRDefault="0010715F" w:rsidP="00034449">
            <w:pPr>
              <w:rPr>
                <w:sz w:val="20"/>
                <w:szCs w:val="20"/>
              </w:rPr>
            </w:pPr>
            <w:r w:rsidRPr="00F07779">
              <w:rPr>
                <w:rStyle w:val="Strong"/>
                <w:b w:val="0"/>
                <w:bCs w:val="0"/>
                <w:sz w:val="20"/>
                <w:szCs w:val="20"/>
              </w:rPr>
              <w:t>Development of the natural gas market:</w:t>
            </w:r>
            <w:r w:rsidRPr="00F07779">
              <w:rPr>
                <w:b/>
                <w:bCs/>
                <w:sz w:val="20"/>
                <w:szCs w:val="20"/>
              </w:rPr>
              <w:br/>
            </w:r>
            <w:r w:rsidRPr="00F07779">
              <w:rPr>
                <w:sz w:val="20"/>
                <w:szCs w:val="20"/>
              </w:rPr>
              <w:t xml:space="preserve">The construction of this pipeline will create conditions for increased natural gas use for industrial consumers. Data </w:t>
            </w:r>
            <w:proofErr w:type="gramStart"/>
            <w:r w:rsidRPr="00F07779">
              <w:rPr>
                <w:sz w:val="20"/>
                <w:szCs w:val="20"/>
              </w:rPr>
              <w:t>are</w:t>
            </w:r>
            <w:proofErr w:type="gramEnd"/>
            <w:r w:rsidRPr="00F07779">
              <w:rPr>
                <w:sz w:val="20"/>
                <w:szCs w:val="20"/>
              </w:rPr>
              <w:t xml:space="preserve"> not available to quantify the change in the indicator.</w:t>
            </w:r>
          </w:p>
        </w:tc>
      </w:tr>
      <w:tr w:rsidR="0010715F" w:rsidRPr="00F07779" w14:paraId="05FD4264" w14:textId="77777777" w:rsidTr="005E3573">
        <w:tc>
          <w:tcPr>
            <w:tcW w:w="2972" w:type="dxa"/>
          </w:tcPr>
          <w:p w14:paraId="1AA7D2E7" w14:textId="77777777" w:rsidR="0010715F" w:rsidRPr="00F07779" w:rsidRDefault="0010715F" w:rsidP="005E3573">
            <w:pPr>
              <w:jc w:val="both"/>
              <w:rPr>
                <w:sz w:val="20"/>
                <w:szCs w:val="20"/>
              </w:rPr>
            </w:pPr>
            <w:r w:rsidRPr="00F07779">
              <w:rPr>
                <w:sz w:val="20"/>
                <w:szCs w:val="20"/>
              </w:rPr>
              <w:lastRenderedPageBreak/>
              <w:t>Impact on energy efficiency, climate, and environment</w:t>
            </w:r>
          </w:p>
        </w:tc>
        <w:tc>
          <w:tcPr>
            <w:tcW w:w="5743" w:type="dxa"/>
          </w:tcPr>
          <w:p w14:paraId="3352AE80" w14:textId="77777777" w:rsidR="0010715F" w:rsidRPr="00F07779" w:rsidRDefault="0010715F" w:rsidP="005E3573">
            <w:pPr>
              <w:jc w:val="both"/>
              <w:rPr>
                <w:sz w:val="20"/>
                <w:szCs w:val="20"/>
              </w:rPr>
            </w:pPr>
            <w:r w:rsidRPr="00F07779">
              <w:rPr>
                <w:sz w:val="20"/>
                <w:szCs w:val="20"/>
              </w:rPr>
              <w:t>The construction of this pipeline enables the substitution of liquid and solid fuels in industry. Using natural gas instead of coal and fuel oil has a positive effect on reducing local emissions (</w:t>
            </w:r>
            <w:proofErr w:type="spellStart"/>
            <w:r w:rsidRPr="00F07779">
              <w:rPr>
                <w:sz w:val="20"/>
                <w:szCs w:val="20"/>
              </w:rPr>
              <w:t>SOx</w:t>
            </w:r>
            <w:proofErr w:type="spellEnd"/>
            <w:r w:rsidRPr="00F07779">
              <w:rPr>
                <w:sz w:val="20"/>
                <w:szCs w:val="20"/>
              </w:rPr>
              <w:t>, NOx, particulates) and allows for more efficient use of energy. A similar impact is expected on the climate, given the significantly lower CO₂ emission factor compared to coal and liquid fuels.</w:t>
            </w:r>
          </w:p>
        </w:tc>
      </w:tr>
    </w:tbl>
    <w:p w14:paraId="5FE89A4B" w14:textId="77777777" w:rsidR="0010715F" w:rsidRPr="00F07779" w:rsidRDefault="0010715F" w:rsidP="0010715F">
      <w:pPr>
        <w:jc w:val="both"/>
      </w:pPr>
    </w:p>
    <w:p w14:paraId="79741046" w14:textId="77777777" w:rsidR="0010715F" w:rsidRPr="00F07779" w:rsidRDefault="0010715F" w:rsidP="0010715F">
      <w:pPr>
        <w:jc w:val="both"/>
      </w:pPr>
      <w:r w:rsidRPr="00F07779">
        <w:t>Table 5.5.6-4: Activities for the implementation of the measure G4 – G4.4</w:t>
      </w:r>
    </w:p>
    <w:tbl>
      <w:tblPr>
        <w:tblStyle w:val="TableGrid"/>
        <w:tblW w:w="0" w:type="auto"/>
        <w:tblLook w:val="04A0" w:firstRow="1" w:lastRow="0" w:firstColumn="1" w:lastColumn="0" w:noHBand="0" w:noVBand="1"/>
      </w:tblPr>
      <w:tblGrid>
        <w:gridCol w:w="2972"/>
        <w:gridCol w:w="5743"/>
      </w:tblGrid>
      <w:tr w:rsidR="0010715F" w:rsidRPr="00F07779" w14:paraId="1E506C50" w14:textId="77777777" w:rsidTr="005E3573">
        <w:tc>
          <w:tcPr>
            <w:tcW w:w="2972" w:type="dxa"/>
            <w:shd w:val="clear" w:color="auto" w:fill="D9D9D9" w:themeFill="background1" w:themeFillShade="D9"/>
          </w:tcPr>
          <w:p w14:paraId="74A1563F" w14:textId="77777777" w:rsidR="0010715F" w:rsidRPr="00F07779" w:rsidRDefault="0010715F" w:rsidP="005E3573">
            <w:pPr>
              <w:jc w:val="both"/>
              <w:rPr>
                <w:sz w:val="20"/>
                <w:szCs w:val="20"/>
              </w:rPr>
            </w:pPr>
            <w:r w:rsidRPr="00F07779">
              <w:rPr>
                <w:sz w:val="20"/>
                <w:szCs w:val="20"/>
              </w:rPr>
              <w:t>Activity G4.4</w:t>
            </w:r>
          </w:p>
        </w:tc>
        <w:tc>
          <w:tcPr>
            <w:tcW w:w="5743" w:type="dxa"/>
            <w:shd w:val="clear" w:color="auto" w:fill="D9D9D9" w:themeFill="background1" w:themeFillShade="D9"/>
          </w:tcPr>
          <w:p w14:paraId="6C76A2CC" w14:textId="77777777" w:rsidR="0010715F" w:rsidRPr="00F07779" w:rsidRDefault="0010715F" w:rsidP="005E3573">
            <w:pPr>
              <w:jc w:val="both"/>
              <w:rPr>
                <w:sz w:val="20"/>
                <w:szCs w:val="20"/>
              </w:rPr>
            </w:pPr>
            <w:r w:rsidRPr="00F07779">
              <w:rPr>
                <w:sz w:val="20"/>
                <w:szCs w:val="20"/>
              </w:rPr>
              <w:t>Distribution gas pipeline Zlatibor–</w:t>
            </w:r>
            <w:proofErr w:type="spellStart"/>
            <w:r w:rsidRPr="00F07779">
              <w:rPr>
                <w:sz w:val="20"/>
                <w:szCs w:val="20"/>
              </w:rPr>
              <w:t>Prijepolje</w:t>
            </w:r>
            <w:proofErr w:type="spellEnd"/>
            <w:r w:rsidRPr="00F07779">
              <w:rPr>
                <w:sz w:val="20"/>
                <w:szCs w:val="20"/>
              </w:rPr>
              <w:t xml:space="preserve"> – Priboj – Nova </w:t>
            </w:r>
            <w:proofErr w:type="spellStart"/>
            <w:r w:rsidRPr="00F07779">
              <w:rPr>
                <w:sz w:val="20"/>
                <w:szCs w:val="20"/>
              </w:rPr>
              <w:t>Varoš</w:t>
            </w:r>
            <w:proofErr w:type="spellEnd"/>
            <w:r w:rsidRPr="00F07779">
              <w:rPr>
                <w:sz w:val="20"/>
                <w:szCs w:val="20"/>
              </w:rPr>
              <w:t xml:space="preserve"> and distribution gas pipeline </w:t>
            </w:r>
            <w:proofErr w:type="spellStart"/>
            <w:r w:rsidRPr="00F07779">
              <w:rPr>
                <w:sz w:val="20"/>
                <w:szCs w:val="20"/>
              </w:rPr>
              <w:t>Glogovik</w:t>
            </w:r>
            <w:proofErr w:type="spellEnd"/>
            <w:r w:rsidRPr="00F07779">
              <w:rPr>
                <w:sz w:val="20"/>
                <w:szCs w:val="20"/>
              </w:rPr>
              <w:t>–</w:t>
            </w:r>
            <w:proofErr w:type="spellStart"/>
            <w:r w:rsidRPr="00F07779">
              <w:rPr>
                <w:sz w:val="20"/>
                <w:szCs w:val="20"/>
              </w:rPr>
              <w:t>Sjenica</w:t>
            </w:r>
            <w:proofErr w:type="spellEnd"/>
          </w:p>
        </w:tc>
      </w:tr>
      <w:tr w:rsidR="0010715F" w:rsidRPr="00F07779" w14:paraId="783CBE23" w14:textId="77777777" w:rsidTr="005E3573">
        <w:tc>
          <w:tcPr>
            <w:tcW w:w="2972" w:type="dxa"/>
          </w:tcPr>
          <w:p w14:paraId="0E580AD0" w14:textId="77777777" w:rsidR="0010715F" w:rsidRPr="00F07779" w:rsidRDefault="0010715F" w:rsidP="005E3573">
            <w:pPr>
              <w:jc w:val="both"/>
              <w:rPr>
                <w:sz w:val="20"/>
                <w:szCs w:val="20"/>
              </w:rPr>
            </w:pPr>
            <w:r w:rsidRPr="00F07779">
              <w:rPr>
                <w:sz w:val="20"/>
                <w:szCs w:val="20"/>
              </w:rPr>
              <w:t>Description</w:t>
            </w:r>
          </w:p>
        </w:tc>
        <w:tc>
          <w:tcPr>
            <w:tcW w:w="5743" w:type="dxa"/>
          </w:tcPr>
          <w:p w14:paraId="62A3878E" w14:textId="11D6DCA3" w:rsidR="0010715F" w:rsidRPr="00F07779" w:rsidRDefault="0010715F" w:rsidP="005E3573">
            <w:pPr>
              <w:jc w:val="both"/>
              <w:rPr>
                <w:sz w:val="20"/>
                <w:szCs w:val="20"/>
              </w:rPr>
            </w:pPr>
            <w:r w:rsidRPr="00F07779">
              <w:rPr>
                <w:sz w:val="20"/>
                <w:szCs w:val="20"/>
              </w:rPr>
              <w:t>The Spatial Plan for the Special-Purpose Area with elements of detailed regulation for RG 08-20 Zlatibor–</w:t>
            </w:r>
            <w:proofErr w:type="spellStart"/>
            <w:r w:rsidRPr="00F07779">
              <w:rPr>
                <w:sz w:val="20"/>
                <w:szCs w:val="20"/>
              </w:rPr>
              <w:t>Prijepolje</w:t>
            </w:r>
            <w:proofErr w:type="spellEnd"/>
            <w:r w:rsidRPr="00F07779">
              <w:rPr>
                <w:sz w:val="20"/>
                <w:szCs w:val="20"/>
              </w:rPr>
              <w:t xml:space="preserve"> with branches to Priboj RG 08-21 and Nova </w:t>
            </w:r>
            <w:proofErr w:type="spellStart"/>
            <w:r w:rsidRPr="00F07779">
              <w:rPr>
                <w:sz w:val="20"/>
                <w:szCs w:val="20"/>
              </w:rPr>
              <w:t>Varoš</w:t>
            </w:r>
            <w:proofErr w:type="spellEnd"/>
            <w:r w:rsidRPr="00F07779">
              <w:rPr>
                <w:sz w:val="20"/>
                <w:szCs w:val="20"/>
              </w:rPr>
              <w:t xml:space="preserve"> RG 08-22, and RG 09-04/3 GRČ</w:t>
            </w:r>
            <w:r w:rsidR="00430D22" w:rsidRPr="00F07779">
              <w:rPr>
                <w:rStyle w:val="FootnoteReference"/>
                <w:sz w:val="20"/>
                <w:szCs w:val="20"/>
              </w:rPr>
              <w:footnoteReference w:id="51"/>
            </w:r>
            <w:r w:rsidRPr="00F07779">
              <w:rPr>
                <w:sz w:val="20"/>
                <w:szCs w:val="20"/>
              </w:rPr>
              <w:t xml:space="preserve"> </w:t>
            </w:r>
            <w:proofErr w:type="spellStart"/>
            <w:r w:rsidRPr="00F07779">
              <w:rPr>
                <w:sz w:val="20"/>
                <w:szCs w:val="20"/>
              </w:rPr>
              <w:t>Glogovik</w:t>
            </w:r>
            <w:proofErr w:type="spellEnd"/>
            <w:r w:rsidRPr="00F07779">
              <w:rPr>
                <w:sz w:val="20"/>
                <w:szCs w:val="20"/>
              </w:rPr>
              <w:t>–</w:t>
            </w:r>
            <w:proofErr w:type="spellStart"/>
            <w:r w:rsidRPr="00F07779">
              <w:rPr>
                <w:sz w:val="20"/>
                <w:szCs w:val="20"/>
              </w:rPr>
              <w:t>Sjenica</w:t>
            </w:r>
            <w:proofErr w:type="spellEnd"/>
            <w:r w:rsidRPr="00F07779">
              <w:rPr>
                <w:sz w:val="20"/>
                <w:szCs w:val="20"/>
              </w:rPr>
              <w:t xml:space="preserve"> (“Official Gazette of RS”, No. 95/24) defines the construction of distribution gas pipelines in southwestern Serbia with a total length of approximately 110 km.</w:t>
            </w:r>
          </w:p>
          <w:p w14:paraId="3694430E" w14:textId="77777777" w:rsidR="0010715F" w:rsidRPr="00F07779" w:rsidRDefault="0010715F" w:rsidP="005E3573">
            <w:pPr>
              <w:jc w:val="both"/>
              <w:rPr>
                <w:sz w:val="20"/>
                <w:szCs w:val="20"/>
              </w:rPr>
            </w:pPr>
            <w:r w:rsidRPr="00F07779">
              <w:rPr>
                <w:sz w:val="20"/>
                <w:szCs w:val="20"/>
              </w:rPr>
              <w:t xml:space="preserve">The first pipeline starts with a connection to GMRS “Rudine” in Zlatibor (Cadastral Municipality </w:t>
            </w:r>
            <w:proofErr w:type="spellStart"/>
            <w:r w:rsidRPr="00F07779">
              <w:rPr>
                <w:sz w:val="20"/>
                <w:szCs w:val="20"/>
              </w:rPr>
              <w:t>Čajetina</w:t>
            </w:r>
            <w:proofErr w:type="spellEnd"/>
            <w:r w:rsidRPr="00F07779">
              <w:rPr>
                <w:sz w:val="20"/>
                <w:szCs w:val="20"/>
              </w:rPr>
              <w:t xml:space="preserve">), which is part of the RG 08-19 </w:t>
            </w:r>
            <w:proofErr w:type="spellStart"/>
            <w:r w:rsidRPr="00F07779">
              <w:rPr>
                <w:sz w:val="20"/>
                <w:szCs w:val="20"/>
              </w:rPr>
              <w:t>Sevojno</w:t>
            </w:r>
            <w:proofErr w:type="spellEnd"/>
            <w:r w:rsidRPr="00F07779">
              <w:rPr>
                <w:sz w:val="20"/>
                <w:szCs w:val="20"/>
              </w:rPr>
              <w:t>–Zlatibor distribution pipeline, and includes pipelines RG 08-20, RG 08-21, RG 08-22, and RG 08-23.</w:t>
            </w:r>
          </w:p>
          <w:p w14:paraId="70DD3C36" w14:textId="77777777" w:rsidR="0010715F" w:rsidRPr="00F07779" w:rsidRDefault="0010715F" w:rsidP="005E3573">
            <w:pPr>
              <w:jc w:val="both"/>
              <w:rPr>
                <w:sz w:val="20"/>
                <w:szCs w:val="20"/>
              </w:rPr>
            </w:pPr>
            <w:r w:rsidRPr="00F07779">
              <w:rPr>
                <w:sz w:val="20"/>
                <w:szCs w:val="20"/>
              </w:rPr>
              <w:t>The second pipeline starts with a connection at GRČ “</w:t>
            </w:r>
            <w:proofErr w:type="spellStart"/>
            <w:r w:rsidRPr="00F07779">
              <w:rPr>
                <w:sz w:val="20"/>
                <w:szCs w:val="20"/>
              </w:rPr>
              <w:t>Glogovik</w:t>
            </w:r>
            <w:proofErr w:type="spellEnd"/>
            <w:r w:rsidRPr="00F07779">
              <w:rPr>
                <w:sz w:val="20"/>
                <w:szCs w:val="20"/>
              </w:rPr>
              <w:t xml:space="preserve">,” which is part of RG 09-04/2 </w:t>
            </w:r>
            <w:proofErr w:type="spellStart"/>
            <w:r w:rsidRPr="00F07779">
              <w:rPr>
                <w:sz w:val="20"/>
                <w:szCs w:val="20"/>
              </w:rPr>
              <w:t>Aleksandrovac</w:t>
            </w:r>
            <w:proofErr w:type="spellEnd"/>
            <w:r w:rsidRPr="00F07779">
              <w:rPr>
                <w:sz w:val="20"/>
                <w:szCs w:val="20"/>
              </w:rPr>
              <w:t>–</w:t>
            </w:r>
            <w:proofErr w:type="spellStart"/>
            <w:r w:rsidRPr="00F07779">
              <w:rPr>
                <w:sz w:val="20"/>
                <w:szCs w:val="20"/>
              </w:rPr>
              <w:t>Kopaonik</w:t>
            </w:r>
            <w:proofErr w:type="spellEnd"/>
            <w:r w:rsidRPr="00F07779">
              <w:rPr>
                <w:sz w:val="20"/>
                <w:szCs w:val="20"/>
              </w:rPr>
              <w:t>–Novi Pazar–Tutin, and includes pipeline RG 09-04/3.</w:t>
            </w:r>
          </w:p>
          <w:p w14:paraId="725BD26F" w14:textId="77777777" w:rsidR="0010715F" w:rsidRPr="00F07779" w:rsidRDefault="0010715F" w:rsidP="005E3573">
            <w:pPr>
              <w:jc w:val="both"/>
              <w:rPr>
                <w:sz w:val="20"/>
                <w:szCs w:val="20"/>
              </w:rPr>
            </w:pPr>
            <w:r w:rsidRPr="00F07779">
              <w:rPr>
                <w:b/>
                <w:bCs/>
                <w:sz w:val="20"/>
                <w:szCs w:val="20"/>
              </w:rPr>
              <w:t>Technical data:</w:t>
            </w:r>
          </w:p>
          <w:p w14:paraId="47A4DF0A" w14:textId="77777777" w:rsidR="0010715F" w:rsidRPr="00F07779" w:rsidRDefault="0010715F" w:rsidP="0010715F">
            <w:pPr>
              <w:numPr>
                <w:ilvl w:val="0"/>
                <w:numId w:val="39"/>
              </w:numPr>
              <w:jc w:val="both"/>
              <w:rPr>
                <w:sz w:val="20"/>
                <w:szCs w:val="20"/>
              </w:rPr>
            </w:pPr>
            <w:r w:rsidRPr="00F07779">
              <w:rPr>
                <w:sz w:val="20"/>
                <w:szCs w:val="20"/>
              </w:rPr>
              <w:t>Total pipeline length: 110 km</w:t>
            </w:r>
          </w:p>
          <w:p w14:paraId="1B0D6012" w14:textId="77777777" w:rsidR="0010715F" w:rsidRPr="00F07779" w:rsidRDefault="0010715F" w:rsidP="0010715F">
            <w:pPr>
              <w:numPr>
                <w:ilvl w:val="0"/>
                <w:numId w:val="39"/>
              </w:numPr>
              <w:jc w:val="both"/>
              <w:rPr>
                <w:sz w:val="20"/>
                <w:szCs w:val="20"/>
              </w:rPr>
            </w:pPr>
            <w:r w:rsidRPr="00F07779">
              <w:rPr>
                <w:sz w:val="20"/>
                <w:szCs w:val="20"/>
              </w:rPr>
              <w:t>Design pressure: 50 bar</w:t>
            </w:r>
          </w:p>
          <w:p w14:paraId="6B2B596B" w14:textId="77777777" w:rsidR="0010715F" w:rsidRPr="00F07779" w:rsidRDefault="0010715F" w:rsidP="0010715F">
            <w:pPr>
              <w:numPr>
                <w:ilvl w:val="0"/>
                <w:numId w:val="39"/>
              </w:numPr>
              <w:jc w:val="both"/>
              <w:rPr>
                <w:sz w:val="20"/>
                <w:szCs w:val="20"/>
              </w:rPr>
            </w:pPr>
            <w:r w:rsidRPr="00F07779">
              <w:rPr>
                <w:sz w:val="20"/>
                <w:szCs w:val="20"/>
              </w:rPr>
              <w:t>Diameters: DN 300 / DN 250 / DN 200 / DN 150</w:t>
            </w:r>
          </w:p>
          <w:p w14:paraId="791257A0" w14:textId="77777777" w:rsidR="0010715F" w:rsidRPr="00F07779" w:rsidRDefault="0010715F" w:rsidP="005E3573">
            <w:pPr>
              <w:rPr>
                <w:sz w:val="20"/>
                <w:szCs w:val="20"/>
              </w:rPr>
            </w:pPr>
            <w:r w:rsidRPr="00F07779">
              <w:rPr>
                <w:b/>
                <w:bCs/>
                <w:sz w:val="20"/>
                <w:szCs w:val="20"/>
              </w:rPr>
              <w:t>Supporting facilities:</w:t>
            </w:r>
            <w:r w:rsidRPr="00F07779">
              <w:rPr>
                <w:sz w:val="20"/>
                <w:szCs w:val="20"/>
              </w:rPr>
              <w:br/>
              <w:t>1 Block Station (BS), 6 GRČ with receiving and delivery pigging stations (PČS and OČS), BS and GMRS, GMRS “</w:t>
            </w:r>
            <w:proofErr w:type="spellStart"/>
            <w:r w:rsidRPr="00F07779">
              <w:rPr>
                <w:sz w:val="20"/>
                <w:szCs w:val="20"/>
              </w:rPr>
              <w:t>Rutoši</w:t>
            </w:r>
            <w:proofErr w:type="spellEnd"/>
            <w:r w:rsidRPr="00F07779">
              <w:rPr>
                <w:sz w:val="20"/>
                <w:szCs w:val="20"/>
              </w:rPr>
              <w:t xml:space="preserve">,” GMRS “Nova </w:t>
            </w:r>
            <w:proofErr w:type="spellStart"/>
            <w:r w:rsidRPr="00F07779">
              <w:rPr>
                <w:sz w:val="20"/>
                <w:szCs w:val="20"/>
              </w:rPr>
              <w:t>Varoš</w:t>
            </w:r>
            <w:proofErr w:type="spellEnd"/>
            <w:r w:rsidRPr="00F07779">
              <w:rPr>
                <w:sz w:val="20"/>
                <w:szCs w:val="20"/>
              </w:rPr>
              <w:t>,” GMRS “Priboj,” GMRS “</w:t>
            </w:r>
            <w:proofErr w:type="spellStart"/>
            <w:r w:rsidRPr="00F07779">
              <w:rPr>
                <w:sz w:val="20"/>
                <w:szCs w:val="20"/>
              </w:rPr>
              <w:t>Prijepolje</w:t>
            </w:r>
            <w:proofErr w:type="spellEnd"/>
            <w:r w:rsidRPr="00F07779">
              <w:rPr>
                <w:sz w:val="20"/>
                <w:szCs w:val="20"/>
              </w:rPr>
              <w:t>,” GMRS “</w:t>
            </w:r>
            <w:proofErr w:type="spellStart"/>
            <w:r w:rsidRPr="00F07779">
              <w:rPr>
                <w:sz w:val="20"/>
                <w:szCs w:val="20"/>
              </w:rPr>
              <w:t>Sjenica</w:t>
            </w:r>
            <w:proofErr w:type="spellEnd"/>
            <w:r w:rsidRPr="00F07779">
              <w:rPr>
                <w:sz w:val="20"/>
                <w:szCs w:val="20"/>
              </w:rPr>
              <w:t>”</w:t>
            </w:r>
          </w:p>
          <w:p w14:paraId="4FB89BC5" w14:textId="77777777" w:rsidR="0010715F" w:rsidRPr="00F07779" w:rsidRDefault="0010715F" w:rsidP="005E3573">
            <w:pPr>
              <w:jc w:val="both"/>
              <w:rPr>
                <w:sz w:val="20"/>
                <w:szCs w:val="20"/>
              </w:rPr>
            </w:pPr>
          </w:p>
        </w:tc>
      </w:tr>
      <w:tr w:rsidR="0010715F" w:rsidRPr="00F07779" w14:paraId="64FB3517" w14:textId="77777777" w:rsidTr="005E3573">
        <w:tc>
          <w:tcPr>
            <w:tcW w:w="2972" w:type="dxa"/>
          </w:tcPr>
          <w:p w14:paraId="4D57424B" w14:textId="77777777" w:rsidR="0010715F" w:rsidRPr="00F07779" w:rsidRDefault="0010715F" w:rsidP="005E3573">
            <w:pPr>
              <w:jc w:val="both"/>
              <w:rPr>
                <w:sz w:val="20"/>
                <w:szCs w:val="20"/>
              </w:rPr>
            </w:pPr>
            <w:r w:rsidRPr="00F07779">
              <w:rPr>
                <w:sz w:val="20"/>
                <w:szCs w:val="20"/>
              </w:rPr>
              <w:t>Institutions responsible for implementation of measures and activities</w:t>
            </w:r>
          </w:p>
        </w:tc>
        <w:tc>
          <w:tcPr>
            <w:tcW w:w="5743" w:type="dxa"/>
          </w:tcPr>
          <w:p w14:paraId="27972192" w14:textId="02CB6CF2" w:rsidR="0010715F" w:rsidRPr="00F07779" w:rsidRDefault="0010715F" w:rsidP="005E3573">
            <w:pPr>
              <w:jc w:val="both"/>
              <w:rPr>
                <w:sz w:val="20"/>
                <w:szCs w:val="20"/>
              </w:rPr>
            </w:pPr>
            <w:r w:rsidRPr="00F07779">
              <w:rPr>
                <w:sz w:val="20"/>
                <w:szCs w:val="20"/>
              </w:rPr>
              <w:t>P</w:t>
            </w:r>
            <w:r w:rsidR="00AF2F1D" w:rsidRPr="00F07779">
              <w:rPr>
                <w:sz w:val="20"/>
                <w:szCs w:val="20"/>
              </w:rPr>
              <w:t>ublic Enterprise</w:t>
            </w:r>
            <w:r w:rsidRPr="00F07779">
              <w:rPr>
                <w:sz w:val="20"/>
                <w:szCs w:val="20"/>
              </w:rPr>
              <w:t xml:space="preserve"> </w:t>
            </w:r>
            <w:proofErr w:type="spellStart"/>
            <w:r w:rsidRPr="00F07779">
              <w:rPr>
                <w:sz w:val="20"/>
                <w:szCs w:val="20"/>
              </w:rPr>
              <w:t>Srbijagas</w:t>
            </w:r>
            <w:proofErr w:type="spellEnd"/>
          </w:p>
          <w:p w14:paraId="6BEFAE36" w14:textId="77777777" w:rsidR="0010715F" w:rsidRPr="00F07779" w:rsidRDefault="0010715F" w:rsidP="005E3573">
            <w:pPr>
              <w:jc w:val="both"/>
              <w:rPr>
                <w:sz w:val="20"/>
                <w:szCs w:val="20"/>
              </w:rPr>
            </w:pPr>
          </w:p>
        </w:tc>
      </w:tr>
      <w:tr w:rsidR="0010715F" w:rsidRPr="00F07779" w14:paraId="79050593" w14:textId="77777777" w:rsidTr="005E3573">
        <w:tc>
          <w:tcPr>
            <w:tcW w:w="2972" w:type="dxa"/>
          </w:tcPr>
          <w:p w14:paraId="1430ADB7" w14:textId="77777777" w:rsidR="0010715F" w:rsidRPr="00F07779" w:rsidRDefault="0010715F" w:rsidP="005E3573">
            <w:pPr>
              <w:jc w:val="both"/>
              <w:rPr>
                <w:sz w:val="20"/>
                <w:szCs w:val="20"/>
              </w:rPr>
            </w:pPr>
            <w:r w:rsidRPr="00F07779">
              <w:rPr>
                <w:sz w:val="20"/>
                <w:szCs w:val="20"/>
              </w:rPr>
              <w:t>Institutions responsible for monitoring implementation and reporting on progress</w:t>
            </w:r>
          </w:p>
        </w:tc>
        <w:tc>
          <w:tcPr>
            <w:tcW w:w="5743" w:type="dxa"/>
          </w:tcPr>
          <w:p w14:paraId="2A8510B6" w14:textId="77777777" w:rsidR="0010715F" w:rsidRPr="00F07779" w:rsidRDefault="0010715F" w:rsidP="005E3573">
            <w:pPr>
              <w:jc w:val="both"/>
              <w:rPr>
                <w:sz w:val="20"/>
                <w:szCs w:val="20"/>
              </w:rPr>
            </w:pPr>
            <w:r w:rsidRPr="00F07779">
              <w:rPr>
                <w:sz w:val="20"/>
                <w:szCs w:val="20"/>
              </w:rPr>
              <w:t>- Ministry of Mining and Energy</w:t>
            </w:r>
          </w:p>
          <w:p w14:paraId="4DDED7AE" w14:textId="77777777" w:rsidR="0010715F" w:rsidRPr="00F07779" w:rsidRDefault="0010715F" w:rsidP="005E3573">
            <w:pPr>
              <w:jc w:val="both"/>
              <w:rPr>
                <w:sz w:val="20"/>
                <w:szCs w:val="20"/>
              </w:rPr>
            </w:pPr>
            <w:r w:rsidRPr="00F07779">
              <w:rPr>
                <w:sz w:val="20"/>
                <w:szCs w:val="20"/>
              </w:rPr>
              <w:t>- Ministry of Construction, Transport and Infrastructure</w:t>
            </w:r>
          </w:p>
        </w:tc>
      </w:tr>
      <w:tr w:rsidR="0010715F" w:rsidRPr="00F07779" w14:paraId="73741508" w14:textId="77777777" w:rsidTr="005E3573">
        <w:tc>
          <w:tcPr>
            <w:tcW w:w="2972" w:type="dxa"/>
          </w:tcPr>
          <w:p w14:paraId="50B3D0A9" w14:textId="77777777" w:rsidR="0010715F" w:rsidRPr="00F07779" w:rsidRDefault="0010715F" w:rsidP="005E3573">
            <w:pPr>
              <w:jc w:val="both"/>
              <w:rPr>
                <w:sz w:val="20"/>
                <w:szCs w:val="20"/>
              </w:rPr>
            </w:pPr>
            <w:r w:rsidRPr="00F07779">
              <w:rPr>
                <w:sz w:val="20"/>
                <w:szCs w:val="20"/>
              </w:rPr>
              <w:t>Implementation deadline / Timeline</w:t>
            </w:r>
          </w:p>
        </w:tc>
        <w:tc>
          <w:tcPr>
            <w:tcW w:w="5743" w:type="dxa"/>
          </w:tcPr>
          <w:p w14:paraId="1D58D1C4" w14:textId="14250BB4" w:rsidR="0010715F" w:rsidRPr="00F07779" w:rsidRDefault="0010715F" w:rsidP="005E3573">
            <w:pPr>
              <w:jc w:val="both"/>
              <w:rPr>
                <w:sz w:val="20"/>
                <w:szCs w:val="20"/>
              </w:rPr>
            </w:pPr>
            <w:r w:rsidRPr="00F07779">
              <w:rPr>
                <w:sz w:val="20"/>
                <w:szCs w:val="20"/>
              </w:rPr>
              <w:t>2027</w:t>
            </w:r>
            <w:r w:rsidR="00AF2F1D" w:rsidRPr="00F07779">
              <w:rPr>
                <w:sz w:val="20"/>
                <w:szCs w:val="20"/>
              </w:rPr>
              <w:t>.</w:t>
            </w:r>
          </w:p>
        </w:tc>
      </w:tr>
      <w:tr w:rsidR="0010715F" w:rsidRPr="00F07779" w14:paraId="02EC3DA2" w14:textId="77777777" w:rsidTr="005E3573">
        <w:tc>
          <w:tcPr>
            <w:tcW w:w="2972" w:type="dxa"/>
          </w:tcPr>
          <w:p w14:paraId="4757C306" w14:textId="77777777" w:rsidR="0010715F" w:rsidRPr="00F07779" w:rsidRDefault="0010715F" w:rsidP="005E3573">
            <w:pPr>
              <w:jc w:val="both"/>
              <w:rPr>
                <w:sz w:val="20"/>
                <w:szCs w:val="20"/>
              </w:rPr>
            </w:pPr>
            <w:r w:rsidRPr="00F07779">
              <w:rPr>
                <w:sz w:val="20"/>
                <w:szCs w:val="20"/>
              </w:rPr>
              <w:t>Required funds and source of financing</w:t>
            </w:r>
          </w:p>
        </w:tc>
        <w:tc>
          <w:tcPr>
            <w:tcW w:w="5743" w:type="dxa"/>
          </w:tcPr>
          <w:p w14:paraId="0CE1A569" w14:textId="77777777" w:rsidR="0010715F" w:rsidRPr="00F07779" w:rsidRDefault="0010715F" w:rsidP="005E3573">
            <w:pPr>
              <w:jc w:val="both"/>
              <w:rPr>
                <w:sz w:val="20"/>
                <w:szCs w:val="20"/>
              </w:rPr>
            </w:pPr>
            <w:r w:rsidRPr="00F07779">
              <w:rPr>
                <w:sz w:val="20"/>
                <w:szCs w:val="20"/>
              </w:rPr>
              <w:t>EUR 54.447 million (RSD 6,384 million)</w:t>
            </w:r>
          </w:p>
          <w:p w14:paraId="479353A8" w14:textId="77777777" w:rsidR="0010715F" w:rsidRPr="00F07779" w:rsidRDefault="0010715F" w:rsidP="005E3573">
            <w:pPr>
              <w:jc w:val="both"/>
              <w:rPr>
                <w:sz w:val="20"/>
                <w:szCs w:val="20"/>
              </w:rPr>
            </w:pPr>
            <w:r w:rsidRPr="00F07779">
              <w:rPr>
                <w:sz w:val="20"/>
                <w:szCs w:val="20"/>
              </w:rPr>
              <w:t>Loan funds from domestic commercial banks</w:t>
            </w:r>
          </w:p>
          <w:p w14:paraId="79FD3BCE" w14:textId="77777777" w:rsidR="0010715F" w:rsidRPr="00F07779" w:rsidRDefault="0010715F" w:rsidP="005E3573">
            <w:pPr>
              <w:jc w:val="both"/>
              <w:rPr>
                <w:sz w:val="20"/>
                <w:szCs w:val="20"/>
              </w:rPr>
            </w:pPr>
            <w:r w:rsidRPr="00F07779">
              <w:rPr>
                <w:sz w:val="20"/>
                <w:szCs w:val="20"/>
              </w:rPr>
              <w:t>The implementation schedule and fund withdrawal plan will be defined subsequently</w:t>
            </w:r>
          </w:p>
        </w:tc>
      </w:tr>
      <w:tr w:rsidR="0010715F" w:rsidRPr="00F07779" w14:paraId="24C0455A" w14:textId="77777777" w:rsidTr="005E3573">
        <w:tc>
          <w:tcPr>
            <w:tcW w:w="2972" w:type="dxa"/>
          </w:tcPr>
          <w:p w14:paraId="3C0523A1" w14:textId="77777777" w:rsidR="0010715F" w:rsidRPr="00F07779" w:rsidRDefault="0010715F" w:rsidP="005E3573">
            <w:pPr>
              <w:jc w:val="both"/>
              <w:rPr>
                <w:sz w:val="20"/>
                <w:szCs w:val="20"/>
              </w:rPr>
            </w:pPr>
            <w:r w:rsidRPr="00F07779">
              <w:rPr>
                <w:sz w:val="20"/>
                <w:szCs w:val="20"/>
              </w:rPr>
              <w:t>Implementation indicator / Performance indicator</w:t>
            </w:r>
          </w:p>
        </w:tc>
        <w:tc>
          <w:tcPr>
            <w:tcW w:w="5743" w:type="dxa"/>
          </w:tcPr>
          <w:p w14:paraId="2C349EAD" w14:textId="77777777" w:rsidR="0010715F" w:rsidRPr="00F07779" w:rsidRDefault="0010715F" w:rsidP="005E3573">
            <w:pPr>
              <w:jc w:val="both"/>
              <w:rPr>
                <w:sz w:val="20"/>
                <w:szCs w:val="20"/>
              </w:rPr>
            </w:pPr>
            <w:r w:rsidRPr="00F07779">
              <w:rPr>
                <w:sz w:val="20"/>
                <w:szCs w:val="20"/>
              </w:rPr>
              <w:t>Implementation phase:</w:t>
            </w:r>
          </w:p>
          <w:p w14:paraId="79B80C64" w14:textId="77777777" w:rsidR="0010715F" w:rsidRPr="00F07779" w:rsidRDefault="0010715F" w:rsidP="005E3573">
            <w:pPr>
              <w:jc w:val="both"/>
              <w:rPr>
                <w:sz w:val="20"/>
                <w:szCs w:val="20"/>
              </w:rPr>
            </w:pPr>
            <w:r w:rsidRPr="00F07779">
              <w:rPr>
                <w:sz w:val="20"/>
                <w:szCs w:val="20"/>
              </w:rPr>
              <w:t>Conceptual design and location requirements, Approval of the Environmental Impact Assessment Study, Resolution of property-legal issues, Preliminary design and feasibility study, Energy permit, Design for construction permit and construction permit, Preparation of tender documentation, Detailed design, Construction, Commissioning</w:t>
            </w:r>
          </w:p>
        </w:tc>
      </w:tr>
      <w:tr w:rsidR="0010715F" w:rsidRPr="00F07779" w14:paraId="7C75FF35" w14:textId="77777777" w:rsidTr="005E3573">
        <w:tc>
          <w:tcPr>
            <w:tcW w:w="2972" w:type="dxa"/>
          </w:tcPr>
          <w:p w14:paraId="7F314C42" w14:textId="77777777" w:rsidR="0010715F" w:rsidRPr="00F07779" w:rsidRDefault="0010715F" w:rsidP="005E3573">
            <w:pPr>
              <w:jc w:val="both"/>
              <w:rPr>
                <w:sz w:val="20"/>
                <w:szCs w:val="20"/>
              </w:rPr>
            </w:pPr>
            <w:r w:rsidRPr="00F07779">
              <w:rPr>
                <w:sz w:val="20"/>
                <w:szCs w:val="20"/>
              </w:rPr>
              <w:t>Impact of activity implementation on achieving the objective</w:t>
            </w:r>
          </w:p>
        </w:tc>
        <w:tc>
          <w:tcPr>
            <w:tcW w:w="5743" w:type="dxa"/>
          </w:tcPr>
          <w:p w14:paraId="21477385" w14:textId="77777777" w:rsidR="0010715F" w:rsidRPr="00F07779" w:rsidRDefault="0010715F" w:rsidP="005E3573">
            <w:pPr>
              <w:jc w:val="both"/>
              <w:rPr>
                <w:sz w:val="20"/>
                <w:szCs w:val="20"/>
              </w:rPr>
            </w:pPr>
            <w:r w:rsidRPr="00F07779">
              <w:rPr>
                <w:sz w:val="20"/>
                <w:szCs w:val="20"/>
              </w:rPr>
              <w:t>Development of the natural gas market:</w:t>
            </w:r>
          </w:p>
          <w:p w14:paraId="4D276C63" w14:textId="77777777" w:rsidR="0010715F" w:rsidRPr="00F07779" w:rsidRDefault="0010715F" w:rsidP="005E3573">
            <w:pPr>
              <w:jc w:val="both"/>
              <w:rPr>
                <w:sz w:val="20"/>
                <w:szCs w:val="20"/>
              </w:rPr>
            </w:pPr>
            <w:r w:rsidRPr="00F07779">
              <w:rPr>
                <w:sz w:val="20"/>
                <w:szCs w:val="20"/>
              </w:rPr>
              <w:t xml:space="preserve">The construction of distribution pipelines in southwestern Serbia and the connection of industrial, communal, and individual consumers to the distribution system is expected to increase total natural gas consumption and sales on the liberalized market. Data </w:t>
            </w:r>
            <w:proofErr w:type="gramStart"/>
            <w:r w:rsidRPr="00F07779">
              <w:rPr>
                <w:sz w:val="20"/>
                <w:szCs w:val="20"/>
              </w:rPr>
              <w:t>are</w:t>
            </w:r>
            <w:proofErr w:type="gramEnd"/>
            <w:r w:rsidRPr="00F07779">
              <w:rPr>
                <w:sz w:val="20"/>
                <w:szCs w:val="20"/>
              </w:rPr>
              <w:t xml:space="preserve"> not available to quantify the change in the indicator.</w:t>
            </w:r>
          </w:p>
        </w:tc>
      </w:tr>
      <w:tr w:rsidR="0010715F" w:rsidRPr="00F07779" w14:paraId="3DB5CB03" w14:textId="77777777" w:rsidTr="005E3573">
        <w:tc>
          <w:tcPr>
            <w:tcW w:w="2972" w:type="dxa"/>
          </w:tcPr>
          <w:p w14:paraId="55CC8E03" w14:textId="77777777" w:rsidR="0010715F" w:rsidRPr="00F07779" w:rsidRDefault="0010715F" w:rsidP="005E3573">
            <w:pPr>
              <w:jc w:val="both"/>
              <w:rPr>
                <w:sz w:val="20"/>
                <w:szCs w:val="20"/>
              </w:rPr>
            </w:pPr>
            <w:r w:rsidRPr="00F07779">
              <w:rPr>
                <w:sz w:val="20"/>
                <w:szCs w:val="20"/>
              </w:rPr>
              <w:t>Impact on energy efficiency, climate, and environment</w:t>
            </w:r>
          </w:p>
        </w:tc>
        <w:tc>
          <w:tcPr>
            <w:tcW w:w="5743" w:type="dxa"/>
          </w:tcPr>
          <w:p w14:paraId="2370E960" w14:textId="77777777" w:rsidR="0010715F" w:rsidRPr="00F07779" w:rsidRDefault="0010715F" w:rsidP="005E3573">
            <w:pPr>
              <w:jc w:val="both"/>
              <w:rPr>
                <w:sz w:val="20"/>
                <w:szCs w:val="20"/>
              </w:rPr>
            </w:pPr>
            <w:r w:rsidRPr="00F07779">
              <w:rPr>
                <w:sz w:val="20"/>
                <w:szCs w:val="20"/>
              </w:rPr>
              <w:t xml:space="preserve">The construction of distribution pipelines in southwestern Serbia enables the substitution of liquid and solid fuels in industry and </w:t>
            </w:r>
            <w:r w:rsidRPr="00F07779">
              <w:rPr>
                <w:sz w:val="20"/>
                <w:szCs w:val="20"/>
              </w:rPr>
              <w:lastRenderedPageBreak/>
              <w:t>general consumption. Using natural gas instead of coal, fuel oil, and firewood has a positive effect on reducing local emissions (</w:t>
            </w:r>
            <w:proofErr w:type="spellStart"/>
            <w:r w:rsidRPr="00F07779">
              <w:rPr>
                <w:sz w:val="20"/>
                <w:szCs w:val="20"/>
              </w:rPr>
              <w:t>SOx</w:t>
            </w:r>
            <w:proofErr w:type="spellEnd"/>
            <w:r w:rsidRPr="00F07779">
              <w:rPr>
                <w:sz w:val="20"/>
                <w:szCs w:val="20"/>
              </w:rPr>
              <w:t>, NOx, particulates) and allows for more efficient use of energy. A similar impact is expected on the climate, given the significantly lower CO₂ emission factor compared to coal and liquid fuels, despite an increase in fugitive methane emissions by 0.37 Gg per year</w:t>
            </w:r>
            <w:r w:rsidRPr="00F07779">
              <w:rPr>
                <w:rStyle w:val="FootnoteReference"/>
                <w:sz w:val="20"/>
                <w:szCs w:val="20"/>
              </w:rPr>
              <w:footnoteReference w:id="52"/>
            </w:r>
            <w:r w:rsidRPr="00F07779">
              <w:rPr>
                <w:sz w:val="20"/>
                <w:szCs w:val="20"/>
              </w:rPr>
              <w:t>.</w:t>
            </w:r>
          </w:p>
        </w:tc>
      </w:tr>
    </w:tbl>
    <w:p w14:paraId="023A0258" w14:textId="77777777" w:rsidR="0010715F" w:rsidRPr="00F07779" w:rsidRDefault="0010715F" w:rsidP="0010715F">
      <w:pPr>
        <w:jc w:val="both"/>
        <w:rPr>
          <w:rFonts w:ascii="Arial" w:eastAsia="Microsoft Sans Serif" w:hAnsi="Arial" w:cs="Arial"/>
          <w:sz w:val="18"/>
          <w:szCs w:val="18"/>
          <w:lang w:eastAsia="en-US"/>
        </w:rPr>
      </w:pPr>
    </w:p>
    <w:p w14:paraId="06788BB1" w14:textId="77777777" w:rsidR="0010715F" w:rsidRPr="00F07779" w:rsidRDefault="0010715F" w:rsidP="0010715F">
      <w:pPr>
        <w:jc w:val="both"/>
      </w:pPr>
      <w:r w:rsidRPr="00F07779">
        <w:t>Table 5.5.6-5: Activities for the implementation of the measure G4 – G4.5</w:t>
      </w:r>
    </w:p>
    <w:tbl>
      <w:tblPr>
        <w:tblStyle w:val="TableGrid"/>
        <w:tblW w:w="0" w:type="auto"/>
        <w:tblLook w:val="04A0" w:firstRow="1" w:lastRow="0" w:firstColumn="1" w:lastColumn="0" w:noHBand="0" w:noVBand="1"/>
      </w:tblPr>
      <w:tblGrid>
        <w:gridCol w:w="2972"/>
        <w:gridCol w:w="5743"/>
      </w:tblGrid>
      <w:tr w:rsidR="0010715F" w:rsidRPr="00F07779" w14:paraId="444B3B0E" w14:textId="77777777" w:rsidTr="005E3573">
        <w:tc>
          <w:tcPr>
            <w:tcW w:w="2972" w:type="dxa"/>
            <w:shd w:val="clear" w:color="auto" w:fill="D9D9D9" w:themeFill="background1" w:themeFillShade="D9"/>
          </w:tcPr>
          <w:p w14:paraId="5993AEBD" w14:textId="77777777" w:rsidR="0010715F" w:rsidRPr="00F07779" w:rsidRDefault="0010715F" w:rsidP="005E3573">
            <w:pPr>
              <w:jc w:val="both"/>
              <w:rPr>
                <w:sz w:val="20"/>
                <w:szCs w:val="20"/>
              </w:rPr>
            </w:pPr>
            <w:r w:rsidRPr="00F07779">
              <w:rPr>
                <w:sz w:val="20"/>
                <w:szCs w:val="20"/>
              </w:rPr>
              <w:t>Activity G4.5</w:t>
            </w:r>
          </w:p>
        </w:tc>
        <w:tc>
          <w:tcPr>
            <w:tcW w:w="5743" w:type="dxa"/>
            <w:shd w:val="clear" w:color="auto" w:fill="D9D9D9" w:themeFill="background1" w:themeFillShade="D9"/>
          </w:tcPr>
          <w:p w14:paraId="11A3644B" w14:textId="77777777" w:rsidR="0010715F" w:rsidRPr="00F07779" w:rsidRDefault="0010715F" w:rsidP="005E3573">
            <w:pPr>
              <w:jc w:val="both"/>
              <w:rPr>
                <w:sz w:val="20"/>
                <w:szCs w:val="20"/>
              </w:rPr>
            </w:pPr>
            <w:r w:rsidRPr="00F07779">
              <w:rPr>
                <w:sz w:val="20"/>
                <w:szCs w:val="20"/>
              </w:rPr>
              <w:t xml:space="preserve">Distribution gas pipeline Belgrade – Valjevo – </w:t>
            </w:r>
            <w:proofErr w:type="spellStart"/>
            <w:r w:rsidRPr="00F07779">
              <w:rPr>
                <w:sz w:val="20"/>
                <w:szCs w:val="20"/>
              </w:rPr>
              <w:t>Loznica</w:t>
            </w:r>
            <w:proofErr w:type="spellEnd"/>
          </w:p>
        </w:tc>
      </w:tr>
      <w:tr w:rsidR="0010715F" w:rsidRPr="00F07779" w14:paraId="205CB10F" w14:textId="77777777" w:rsidTr="005E3573">
        <w:tc>
          <w:tcPr>
            <w:tcW w:w="2972" w:type="dxa"/>
          </w:tcPr>
          <w:p w14:paraId="15256F91" w14:textId="77777777" w:rsidR="0010715F" w:rsidRPr="00F07779" w:rsidRDefault="0010715F" w:rsidP="005E3573">
            <w:pPr>
              <w:jc w:val="both"/>
              <w:rPr>
                <w:sz w:val="20"/>
                <w:szCs w:val="20"/>
              </w:rPr>
            </w:pPr>
            <w:r w:rsidRPr="00F07779">
              <w:rPr>
                <w:sz w:val="20"/>
                <w:szCs w:val="20"/>
              </w:rPr>
              <w:t>Description</w:t>
            </w:r>
          </w:p>
        </w:tc>
        <w:tc>
          <w:tcPr>
            <w:tcW w:w="5743" w:type="dxa"/>
          </w:tcPr>
          <w:p w14:paraId="5835BB3B" w14:textId="1DC807C5" w:rsidR="0010715F" w:rsidRPr="00F07779" w:rsidRDefault="0010715F" w:rsidP="005E3573">
            <w:pPr>
              <w:jc w:val="both"/>
              <w:rPr>
                <w:sz w:val="20"/>
                <w:szCs w:val="20"/>
              </w:rPr>
            </w:pPr>
            <w:r w:rsidRPr="00F07779">
              <w:rPr>
                <w:sz w:val="20"/>
                <w:szCs w:val="20"/>
              </w:rPr>
              <w:t>The construction of the Belgrade–Valjevo–</w:t>
            </w:r>
            <w:proofErr w:type="spellStart"/>
            <w:r w:rsidRPr="00F07779">
              <w:rPr>
                <w:sz w:val="20"/>
                <w:szCs w:val="20"/>
              </w:rPr>
              <w:t>Loznica</w:t>
            </w:r>
            <w:proofErr w:type="spellEnd"/>
            <w:r w:rsidRPr="00F07779">
              <w:rPr>
                <w:sz w:val="20"/>
                <w:szCs w:val="20"/>
              </w:rPr>
              <w:t xml:space="preserve"> </w:t>
            </w:r>
            <w:r w:rsidR="008076AB" w:rsidRPr="00F07779">
              <w:rPr>
                <w:sz w:val="20"/>
                <w:szCs w:val="20"/>
              </w:rPr>
              <w:t>transport</w:t>
            </w:r>
            <w:r w:rsidR="00CD59E3" w:rsidRPr="00F07779">
              <w:rPr>
                <w:sz w:val="20"/>
                <w:szCs w:val="20"/>
              </w:rPr>
              <w:t xml:space="preserve"> </w:t>
            </w:r>
            <w:r w:rsidRPr="00F07779">
              <w:rPr>
                <w:sz w:val="20"/>
                <w:szCs w:val="20"/>
              </w:rPr>
              <w:t>gas pipeline, along with the associated main metering and regulating stations, will create conditions for the construction of distribution pipelines in all settlements and the connection of industrial, communal, and individual consumers to the distribution system. The use of natural gas as a fuel will significantly relieve electricity generation capacities.</w:t>
            </w:r>
          </w:p>
        </w:tc>
      </w:tr>
      <w:tr w:rsidR="0010715F" w:rsidRPr="00F07779" w14:paraId="19AB3A64" w14:textId="77777777" w:rsidTr="005E3573">
        <w:tc>
          <w:tcPr>
            <w:tcW w:w="2972" w:type="dxa"/>
          </w:tcPr>
          <w:p w14:paraId="1F015223" w14:textId="77777777" w:rsidR="0010715F" w:rsidRPr="00F07779" w:rsidRDefault="0010715F" w:rsidP="005E3573">
            <w:pPr>
              <w:jc w:val="both"/>
              <w:rPr>
                <w:sz w:val="20"/>
                <w:szCs w:val="20"/>
              </w:rPr>
            </w:pPr>
            <w:r w:rsidRPr="00F07779">
              <w:rPr>
                <w:sz w:val="20"/>
                <w:szCs w:val="20"/>
              </w:rPr>
              <w:t>Institutions responsible for implementation of measures and activities</w:t>
            </w:r>
          </w:p>
        </w:tc>
        <w:tc>
          <w:tcPr>
            <w:tcW w:w="5743" w:type="dxa"/>
          </w:tcPr>
          <w:p w14:paraId="10B8B959" w14:textId="77777777" w:rsidR="0010715F" w:rsidRPr="00F07779" w:rsidRDefault="0010715F" w:rsidP="005E3573">
            <w:pPr>
              <w:jc w:val="both"/>
              <w:rPr>
                <w:sz w:val="20"/>
                <w:szCs w:val="20"/>
              </w:rPr>
            </w:pPr>
            <w:r w:rsidRPr="00F07779">
              <w:rPr>
                <w:sz w:val="20"/>
                <w:szCs w:val="20"/>
              </w:rPr>
              <w:t xml:space="preserve">PUC </w:t>
            </w:r>
            <w:proofErr w:type="spellStart"/>
            <w:r w:rsidRPr="00F07779">
              <w:rPr>
                <w:sz w:val="20"/>
                <w:szCs w:val="20"/>
              </w:rPr>
              <w:t>Srbijagas</w:t>
            </w:r>
            <w:proofErr w:type="spellEnd"/>
          </w:p>
        </w:tc>
      </w:tr>
      <w:tr w:rsidR="0010715F" w:rsidRPr="00F07779" w14:paraId="1DB63BED" w14:textId="77777777" w:rsidTr="005E3573">
        <w:tc>
          <w:tcPr>
            <w:tcW w:w="2972" w:type="dxa"/>
          </w:tcPr>
          <w:p w14:paraId="58EBC480" w14:textId="77777777" w:rsidR="0010715F" w:rsidRPr="00F07779" w:rsidRDefault="0010715F" w:rsidP="005E3573">
            <w:pPr>
              <w:jc w:val="both"/>
              <w:rPr>
                <w:sz w:val="20"/>
                <w:szCs w:val="20"/>
              </w:rPr>
            </w:pPr>
            <w:r w:rsidRPr="00F07779">
              <w:rPr>
                <w:sz w:val="20"/>
                <w:szCs w:val="20"/>
              </w:rPr>
              <w:t>Institutions responsible for monitoring implementation and reporting on progress</w:t>
            </w:r>
          </w:p>
        </w:tc>
        <w:tc>
          <w:tcPr>
            <w:tcW w:w="5743" w:type="dxa"/>
          </w:tcPr>
          <w:p w14:paraId="67DE48DA" w14:textId="77777777" w:rsidR="0010715F" w:rsidRPr="00F07779" w:rsidRDefault="0010715F" w:rsidP="005E3573">
            <w:pPr>
              <w:jc w:val="both"/>
              <w:rPr>
                <w:sz w:val="20"/>
                <w:szCs w:val="20"/>
              </w:rPr>
            </w:pPr>
            <w:r w:rsidRPr="00F07779">
              <w:rPr>
                <w:sz w:val="20"/>
                <w:szCs w:val="20"/>
              </w:rPr>
              <w:t>- Ministry of Mining and Energy</w:t>
            </w:r>
          </w:p>
          <w:p w14:paraId="559DB1AE" w14:textId="77777777" w:rsidR="0010715F" w:rsidRPr="00F07779" w:rsidRDefault="0010715F" w:rsidP="005E3573">
            <w:pPr>
              <w:jc w:val="both"/>
              <w:rPr>
                <w:sz w:val="20"/>
                <w:szCs w:val="20"/>
              </w:rPr>
            </w:pPr>
            <w:r w:rsidRPr="00F07779">
              <w:rPr>
                <w:sz w:val="20"/>
                <w:szCs w:val="20"/>
              </w:rPr>
              <w:t>- Ministry of Construction, Transport and Infrastructure</w:t>
            </w:r>
          </w:p>
        </w:tc>
      </w:tr>
      <w:tr w:rsidR="0010715F" w:rsidRPr="00F07779" w14:paraId="0F415B14" w14:textId="77777777" w:rsidTr="005E3573">
        <w:tc>
          <w:tcPr>
            <w:tcW w:w="2972" w:type="dxa"/>
          </w:tcPr>
          <w:p w14:paraId="7325B329" w14:textId="77777777" w:rsidR="0010715F" w:rsidRPr="00F07779" w:rsidRDefault="0010715F" w:rsidP="005E3573">
            <w:pPr>
              <w:jc w:val="both"/>
              <w:rPr>
                <w:sz w:val="20"/>
                <w:szCs w:val="20"/>
              </w:rPr>
            </w:pPr>
            <w:r w:rsidRPr="00F07779">
              <w:rPr>
                <w:sz w:val="20"/>
                <w:szCs w:val="20"/>
              </w:rPr>
              <w:t>Implementation deadline / Timeline</w:t>
            </w:r>
          </w:p>
        </w:tc>
        <w:tc>
          <w:tcPr>
            <w:tcW w:w="5743" w:type="dxa"/>
          </w:tcPr>
          <w:p w14:paraId="0857115A" w14:textId="14F119E8" w:rsidR="0010715F" w:rsidRPr="00F07779" w:rsidRDefault="0010715F" w:rsidP="005E3573">
            <w:pPr>
              <w:jc w:val="both"/>
              <w:rPr>
                <w:sz w:val="20"/>
                <w:szCs w:val="20"/>
              </w:rPr>
            </w:pPr>
            <w:r w:rsidRPr="00F07779">
              <w:rPr>
                <w:sz w:val="20"/>
                <w:szCs w:val="20"/>
              </w:rPr>
              <w:t>2026</w:t>
            </w:r>
            <w:r w:rsidR="00AF2F1D" w:rsidRPr="00F07779">
              <w:rPr>
                <w:sz w:val="20"/>
                <w:szCs w:val="20"/>
              </w:rPr>
              <w:t>.</w:t>
            </w:r>
          </w:p>
        </w:tc>
      </w:tr>
      <w:tr w:rsidR="0010715F" w:rsidRPr="00F07779" w14:paraId="1204355D" w14:textId="77777777" w:rsidTr="005E3573">
        <w:tc>
          <w:tcPr>
            <w:tcW w:w="2972" w:type="dxa"/>
          </w:tcPr>
          <w:p w14:paraId="594FB647" w14:textId="77777777" w:rsidR="0010715F" w:rsidRPr="00F07779" w:rsidRDefault="0010715F" w:rsidP="005E3573">
            <w:pPr>
              <w:jc w:val="both"/>
              <w:rPr>
                <w:sz w:val="20"/>
                <w:szCs w:val="20"/>
              </w:rPr>
            </w:pPr>
            <w:r w:rsidRPr="00F07779">
              <w:rPr>
                <w:sz w:val="20"/>
                <w:szCs w:val="20"/>
              </w:rPr>
              <w:t>Required funds and source of financing</w:t>
            </w:r>
          </w:p>
        </w:tc>
        <w:tc>
          <w:tcPr>
            <w:tcW w:w="5743" w:type="dxa"/>
          </w:tcPr>
          <w:p w14:paraId="62109B7B" w14:textId="77777777" w:rsidR="0010715F" w:rsidRPr="00F07779" w:rsidRDefault="0010715F" w:rsidP="005E3573">
            <w:pPr>
              <w:jc w:val="both"/>
              <w:rPr>
                <w:sz w:val="20"/>
                <w:szCs w:val="20"/>
              </w:rPr>
            </w:pPr>
            <w:r w:rsidRPr="00F07779">
              <w:rPr>
                <w:sz w:val="20"/>
                <w:szCs w:val="20"/>
              </w:rPr>
              <w:t>EUR 99.475 million (RSD 11,663 million)</w:t>
            </w:r>
          </w:p>
          <w:p w14:paraId="3229A7C9" w14:textId="77777777" w:rsidR="0010715F" w:rsidRPr="00F07779" w:rsidRDefault="0010715F" w:rsidP="005E3573">
            <w:pPr>
              <w:jc w:val="both"/>
              <w:rPr>
                <w:sz w:val="20"/>
                <w:szCs w:val="20"/>
              </w:rPr>
            </w:pPr>
            <w:r w:rsidRPr="00F07779">
              <w:rPr>
                <w:sz w:val="20"/>
                <w:szCs w:val="20"/>
              </w:rPr>
              <w:t>Loan funds from domestic commercial banks</w:t>
            </w:r>
          </w:p>
          <w:p w14:paraId="0316854B" w14:textId="77777777" w:rsidR="0010715F" w:rsidRPr="00F07779" w:rsidRDefault="0010715F" w:rsidP="005E3573">
            <w:pPr>
              <w:jc w:val="both"/>
              <w:rPr>
                <w:sz w:val="20"/>
                <w:szCs w:val="20"/>
              </w:rPr>
            </w:pPr>
            <w:r w:rsidRPr="00F07779">
              <w:rPr>
                <w:sz w:val="20"/>
                <w:szCs w:val="20"/>
              </w:rPr>
              <w:t>The implementation schedule and fund withdrawal plan will be defined subsequently</w:t>
            </w:r>
          </w:p>
        </w:tc>
      </w:tr>
      <w:tr w:rsidR="0010715F" w:rsidRPr="00F07779" w14:paraId="3E58D30E" w14:textId="77777777" w:rsidTr="005E3573">
        <w:tc>
          <w:tcPr>
            <w:tcW w:w="2972" w:type="dxa"/>
          </w:tcPr>
          <w:p w14:paraId="467FDD38" w14:textId="77777777" w:rsidR="0010715F" w:rsidRPr="00F07779" w:rsidRDefault="0010715F" w:rsidP="005E3573">
            <w:pPr>
              <w:jc w:val="both"/>
              <w:rPr>
                <w:sz w:val="20"/>
                <w:szCs w:val="20"/>
              </w:rPr>
            </w:pPr>
            <w:r w:rsidRPr="00F07779">
              <w:rPr>
                <w:sz w:val="20"/>
                <w:szCs w:val="20"/>
              </w:rPr>
              <w:t>Implementation indicator / Performance indicator</w:t>
            </w:r>
          </w:p>
        </w:tc>
        <w:tc>
          <w:tcPr>
            <w:tcW w:w="5743" w:type="dxa"/>
          </w:tcPr>
          <w:p w14:paraId="3256932C" w14:textId="77777777" w:rsidR="0010715F" w:rsidRPr="00F07779" w:rsidRDefault="0010715F" w:rsidP="008076AB">
            <w:pPr>
              <w:rPr>
                <w:sz w:val="20"/>
                <w:szCs w:val="20"/>
              </w:rPr>
            </w:pPr>
            <w:r w:rsidRPr="00F07779">
              <w:rPr>
                <w:sz w:val="20"/>
                <w:szCs w:val="20"/>
              </w:rPr>
              <w:t>Implementation phase:</w:t>
            </w:r>
            <w:r w:rsidRPr="00F07779">
              <w:rPr>
                <w:sz w:val="20"/>
                <w:szCs w:val="20"/>
              </w:rPr>
              <w:br/>
              <w:t>Conceptual design and location requirements, Approval of the Environmental Impact Assessment Study, Resolution of property-legal issues, Preliminary design and feasibility study, Energy permit, Design for construction permit and construction permit, Preparation of tender documentation, Detailed design, Construction, Commissioning</w:t>
            </w:r>
          </w:p>
        </w:tc>
      </w:tr>
      <w:tr w:rsidR="0010715F" w:rsidRPr="00F07779" w14:paraId="1399708D" w14:textId="77777777" w:rsidTr="005E3573">
        <w:tc>
          <w:tcPr>
            <w:tcW w:w="2972" w:type="dxa"/>
          </w:tcPr>
          <w:p w14:paraId="70A59248" w14:textId="77777777" w:rsidR="0010715F" w:rsidRPr="00F07779" w:rsidRDefault="0010715F" w:rsidP="005E3573">
            <w:pPr>
              <w:jc w:val="both"/>
              <w:rPr>
                <w:sz w:val="20"/>
                <w:szCs w:val="20"/>
              </w:rPr>
            </w:pPr>
            <w:r w:rsidRPr="00F07779">
              <w:rPr>
                <w:sz w:val="20"/>
                <w:szCs w:val="20"/>
              </w:rPr>
              <w:t>Impact of activity implementation on achieving the objective</w:t>
            </w:r>
          </w:p>
        </w:tc>
        <w:tc>
          <w:tcPr>
            <w:tcW w:w="5743" w:type="dxa"/>
          </w:tcPr>
          <w:p w14:paraId="1AE9B7F7" w14:textId="77777777" w:rsidR="0010715F" w:rsidRPr="00F07779" w:rsidRDefault="0010715F" w:rsidP="005E3573">
            <w:pPr>
              <w:jc w:val="both"/>
              <w:rPr>
                <w:sz w:val="20"/>
                <w:szCs w:val="20"/>
              </w:rPr>
            </w:pPr>
            <w:r w:rsidRPr="00F07779">
              <w:rPr>
                <w:sz w:val="20"/>
                <w:szCs w:val="20"/>
              </w:rPr>
              <w:t>Development of the natural gas market:</w:t>
            </w:r>
          </w:p>
          <w:p w14:paraId="1343301C" w14:textId="77777777" w:rsidR="0010715F" w:rsidRPr="00F07779" w:rsidRDefault="0010715F" w:rsidP="005E3573">
            <w:pPr>
              <w:jc w:val="both"/>
              <w:rPr>
                <w:sz w:val="20"/>
                <w:szCs w:val="20"/>
              </w:rPr>
            </w:pPr>
            <w:r w:rsidRPr="00F07779">
              <w:rPr>
                <w:sz w:val="20"/>
                <w:szCs w:val="20"/>
              </w:rPr>
              <w:t xml:space="preserve">The construction of distribution pipelines in western Serbia and the connection of industrial, communal, and individual consumers to the distribution system is expected to increase total natural gas consumption and sales on the liberalized market. Data </w:t>
            </w:r>
            <w:proofErr w:type="gramStart"/>
            <w:r w:rsidRPr="00F07779">
              <w:rPr>
                <w:sz w:val="20"/>
                <w:szCs w:val="20"/>
              </w:rPr>
              <w:t>are</w:t>
            </w:r>
            <w:proofErr w:type="gramEnd"/>
            <w:r w:rsidRPr="00F07779">
              <w:rPr>
                <w:sz w:val="20"/>
                <w:szCs w:val="20"/>
              </w:rPr>
              <w:t xml:space="preserve"> not available to quantify the change in the indicator.</w:t>
            </w:r>
          </w:p>
        </w:tc>
      </w:tr>
      <w:tr w:rsidR="0010715F" w:rsidRPr="00F07779" w14:paraId="02EC10A4" w14:textId="77777777" w:rsidTr="005E3573">
        <w:tc>
          <w:tcPr>
            <w:tcW w:w="2972" w:type="dxa"/>
          </w:tcPr>
          <w:p w14:paraId="007F848E" w14:textId="77777777" w:rsidR="0010715F" w:rsidRPr="00F07779" w:rsidRDefault="0010715F" w:rsidP="005E3573">
            <w:pPr>
              <w:jc w:val="both"/>
              <w:rPr>
                <w:sz w:val="20"/>
                <w:szCs w:val="20"/>
              </w:rPr>
            </w:pPr>
            <w:r w:rsidRPr="00F07779">
              <w:rPr>
                <w:sz w:val="20"/>
                <w:szCs w:val="20"/>
              </w:rPr>
              <w:t>Impact on energy efficiency, climate, and environment</w:t>
            </w:r>
          </w:p>
        </w:tc>
        <w:tc>
          <w:tcPr>
            <w:tcW w:w="5743" w:type="dxa"/>
          </w:tcPr>
          <w:p w14:paraId="370CD8F5" w14:textId="77777777" w:rsidR="0010715F" w:rsidRPr="00F07779" w:rsidRDefault="0010715F" w:rsidP="005E3573">
            <w:pPr>
              <w:jc w:val="both"/>
              <w:rPr>
                <w:sz w:val="20"/>
                <w:szCs w:val="20"/>
              </w:rPr>
            </w:pPr>
            <w:r w:rsidRPr="00F07779">
              <w:rPr>
                <w:sz w:val="20"/>
                <w:szCs w:val="20"/>
              </w:rPr>
              <w:t>The construction of distribution pipelines in western Serbia enables the substitution of liquid and solid fuels in industry and general consumption. Using natural gas instead of coal, fuel oil, and firewood has a positive effect on reducing local emissions (</w:t>
            </w:r>
            <w:proofErr w:type="spellStart"/>
            <w:r w:rsidRPr="00F07779">
              <w:rPr>
                <w:sz w:val="20"/>
                <w:szCs w:val="20"/>
              </w:rPr>
              <w:t>SOx</w:t>
            </w:r>
            <w:proofErr w:type="spellEnd"/>
            <w:r w:rsidRPr="00F07779">
              <w:rPr>
                <w:sz w:val="20"/>
                <w:szCs w:val="20"/>
              </w:rPr>
              <w:t>, NOx, particulates) and allows for more efficient use of energy. A similar impact is expected on the climate, given the significantly lower CO₂ emission factor compared to coal and liquid fuels, despite an increase in fugitive methane emissions by 0.37 Gg per year</w:t>
            </w:r>
            <w:r w:rsidRPr="00F07779">
              <w:rPr>
                <w:rStyle w:val="FootnoteReference"/>
                <w:sz w:val="20"/>
                <w:szCs w:val="20"/>
              </w:rPr>
              <w:footnoteReference w:id="53"/>
            </w:r>
            <w:r w:rsidRPr="00F07779">
              <w:rPr>
                <w:sz w:val="20"/>
                <w:szCs w:val="20"/>
              </w:rPr>
              <w:t>.</w:t>
            </w:r>
          </w:p>
        </w:tc>
      </w:tr>
    </w:tbl>
    <w:p w14:paraId="35471628" w14:textId="77777777" w:rsidR="0010715F" w:rsidRPr="00F07779" w:rsidRDefault="0010715F" w:rsidP="0010715F">
      <w:pPr>
        <w:jc w:val="both"/>
        <w:rPr>
          <w:rFonts w:ascii="Arial" w:eastAsia="Microsoft Sans Serif" w:hAnsi="Arial" w:cs="Arial"/>
          <w:sz w:val="18"/>
          <w:szCs w:val="18"/>
          <w:lang w:eastAsia="en-US"/>
        </w:rPr>
      </w:pPr>
    </w:p>
    <w:p w14:paraId="0329C751" w14:textId="77777777" w:rsidR="0010715F" w:rsidRPr="00F07779" w:rsidRDefault="0010715F" w:rsidP="0010715F">
      <w:pPr>
        <w:jc w:val="both"/>
      </w:pPr>
      <w:r w:rsidRPr="00F07779">
        <w:t>Table 5.5.6-5: Activities for the implementation of the measure G4 – G4.6</w:t>
      </w:r>
    </w:p>
    <w:tbl>
      <w:tblPr>
        <w:tblStyle w:val="TableGrid"/>
        <w:tblW w:w="0" w:type="auto"/>
        <w:tblLook w:val="04A0" w:firstRow="1" w:lastRow="0" w:firstColumn="1" w:lastColumn="0" w:noHBand="0" w:noVBand="1"/>
      </w:tblPr>
      <w:tblGrid>
        <w:gridCol w:w="2972"/>
        <w:gridCol w:w="5743"/>
      </w:tblGrid>
      <w:tr w:rsidR="0010715F" w:rsidRPr="00F07779" w14:paraId="614BBE22" w14:textId="77777777" w:rsidTr="005E3573">
        <w:tc>
          <w:tcPr>
            <w:tcW w:w="2972" w:type="dxa"/>
            <w:shd w:val="clear" w:color="auto" w:fill="D9D9D9" w:themeFill="background1" w:themeFillShade="D9"/>
          </w:tcPr>
          <w:p w14:paraId="74D01D2E" w14:textId="77777777" w:rsidR="0010715F" w:rsidRPr="00F07779" w:rsidRDefault="0010715F" w:rsidP="005E3573">
            <w:pPr>
              <w:jc w:val="both"/>
              <w:rPr>
                <w:sz w:val="20"/>
                <w:szCs w:val="20"/>
              </w:rPr>
            </w:pPr>
            <w:proofErr w:type="spellStart"/>
            <w:r w:rsidRPr="00F07779">
              <w:rPr>
                <w:sz w:val="20"/>
                <w:szCs w:val="20"/>
              </w:rPr>
              <w:t>Activivty</w:t>
            </w:r>
            <w:proofErr w:type="spellEnd"/>
            <w:r w:rsidRPr="00F07779">
              <w:rPr>
                <w:sz w:val="20"/>
                <w:szCs w:val="20"/>
              </w:rPr>
              <w:t xml:space="preserve"> G4.6</w:t>
            </w:r>
          </w:p>
        </w:tc>
        <w:tc>
          <w:tcPr>
            <w:tcW w:w="5743" w:type="dxa"/>
            <w:shd w:val="clear" w:color="auto" w:fill="D9D9D9" w:themeFill="background1" w:themeFillShade="D9"/>
          </w:tcPr>
          <w:p w14:paraId="6EFC54BD" w14:textId="77777777" w:rsidR="0010715F" w:rsidRPr="00F07779" w:rsidRDefault="0010715F" w:rsidP="005E3573">
            <w:pPr>
              <w:jc w:val="both"/>
              <w:rPr>
                <w:sz w:val="20"/>
                <w:szCs w:val="20"/>
              </w:rPr>
            </w:pPr>
            <w:r w:rsidRPr="00F07779">
              <w:rPr>
                <w:sz w:val="20"/>
                <w:szCs w:val="20"/>
              </w:rPr>
              <w:t xml:space="preserve">Construction – expansion of distribution gas networks in </w:t>
            </w:r>
            <w:proofErr w:type="spellStart"/>
            <w:r w:rsidRPr="00F07779">
              <w:rPr>
                <w:sz w:val="20"/>
                <w:szCs w:val="20"/>
              </w:rPr>
              <w:t>Niš</w:t>
            </w:r>
            <w:proofErr w:type="spellEnd"/>
            <w:r w:rsidRPr="00F07779">
              <w:rPr>
                <w:sz w:val="20"/>
                <w:szCs w:val="20"/>
              </w:rPr>
              <w:t xml:space="preserve">, Leskovac, </w:t>
            </w:r>
            <w:proofErr w:type="spellStart"/>
            <w:r w:rsidRPr="00F07779">
              <w:rPr>
                <w:sz w:val="20"/>
                <w:szCs w:val="20"/>
              </w:rPr>
              <w:t>Vlasotince</w:t>
            </w:r>
            <w:proofErr w:type="spellEnd"/>
            <w:r w:rsidRPr="00F07779">
              <w:rPr>
                <w:sz w:val="20"/>
                <w:szCs w:val="20"/>
              </w:rPr>
              <w:t xml:space="preserve">, </w:t>
            </w:r>
            <w:proofErr w:type="spellStart"/>
            <w:r w:rsidRPr="00F07779">
              <w:rPr>
                <w:sz w:val="20"/>
                <w:szCs w:val="20"/>
              </w:rPr>
              <w:t>Ražanj</w:t>
            </w:r>
            <w:proofErr w:type="spellEnd"/>
            <w:r w:rsidRPr="00F07779">
              <w:rPr>
                <w:sz w:val="20"/>
                <w:szCs w:val="20"/>
              </w:rPr>
              <w:t xml:space="preserve">, </w:t>
            </w:r>
            <w:proofErr w:type="spellStart"/>
            <w:r w:rsidRPr="00F07779">
              <w:rPr>
                <w:sz w:val="20"/>
                <w:szCs w:val="20"/>
              </w:rPr>
              <w:t>Aleksinac</w:t>
            </w:r>
            <w:proofErr w:type="spellEnd"/>
            <w:r w:rsidRPr="00F07779">
              <w:rPr>
                <w:sz w:val="20"/>
                <w:szCs w:val="20"/>
              </w:rPr>
              <w:t xml:space="preserve">, Lučani, </w:t>
            </w:r>
            <w:proofErr w:type="spellStart"/>
            <w:r w:rsidRPr="00F07779">
              <w:rPr>
                <w:sz w:val="20"/>
                <w:szCs w:val="20"/>
              </w:rPr>
              <w:t>Guča</w:t>
            </w:r>
            <w:proofErr w:type="spellEnd"/>
            <w:r w:rsidRPr="00F07779">
              <w:rPr>
                <w:sz w:val="20"/>
                <w:szCs w:val="20"/>
              </w:rPr>
              <w:t xml:space="preserve">, and </w:t>
            </w:r>
            <w:proofErr w:type="spellStart"/>
            <w:r w:rsidRPr="00F07779">
              <w:rPr>
                <w:sz w:val="20"/>
                <w:szCs w:val="20"/>
              </w:rPr>
              <w:t>Aleksandrovac</w:t>
            </w:r>
            <w:proofErr w:type="spellEnd"/>
          </w:p>
        </w:tc>
      </w:tr>
      <w:tr w:rsidR="0010715F" w:rsidRPr="00F07779" w14:paraId="1E931CE6" w14:textId="77777777" w:rsidTr="005E3573">
        <w:tc>
          <w:tcPr>
            <w:tcW w:w="2972" w:type="dxa"/>
          </w:tcPr>
          <w:p w14:paraId="31CA18B6" w14:textId="77777777" w:rsidR="0010715F" w:rsidRPr="00F07779" w:rsidRDefault="0010715F" w:rsidP="005E3573">
            <w:pPr>
              <w:jc w:val="both"/>
              <w:rPr>
                <w:sz w:val="20"/>
                <w:szCs w:val="20"/>
              </w:rPr>
            </w:pPr>
            <w:r w:rsidRPr="00F07779">
              <w:rPr>
                <w:sz w:val="20"/>
                <w:szCs w:val="20"/>
              </w:rPr>
              <w:t>Description</w:t>
            </w:r>
          </w:p>
        </w:tc>
        <w:tc>
          <w:tcPr>
            <w:tcW w:w="5743" w:type="dxa"/>
          </w:tcPr>
          <w:p w14:paraId="3122C959" w14:textId="115C8307" w:rsidR="0010715F" w:rsidRPr="00F07779" w:rsidRDefault="0010715F" w:rsidP="005E3573">
            <w:pPr>
              <w:jc w:val="both"/>
              <w:rPr>
                <w:sz w:val="20"/>
                <w:szCs w:val="20"/>
              </w:rPr>
            </w:pPr>
            <w:r w:rsidRPr="00F07779">
              <w:rPr>
                <w:sz w:val="20"/>
                <w:szCs w:val="20"/>
              </w:rPr>
              <w:t xml:space="preserve">A distribution gas pipeline made of PE pipes, 4 bar, with diameters from Ø180 mm to Ø40 mm, totaling 111.4 km in length. The construction of these pipelines will create conditions for the gasification of parts of </w:t>
            </w:r>
            <w:proofErr w:type="spellStart"/>
            <w:r w:rsidRPr="00F07779">
              <w:rPr>
                <w:sz w:val="20"/>
                <w:szCs w:val="20"/>
              </w:rPr>
              <w:t>Niš</w:t>
            </w:r>
            <w:proofErr w:type="spellEnd"/>
            <w:r w:rsidRPr="00F07779">
              <w:rPr>
                <w:sz w:val="20"/>
                <w:szCs w:val="20"/>
              </w:rPr>
              <w:t xml:space="preserve">, Leskovac, </w:t>
            </w:r>
            <w:proofErr w:type="spellStart"/>
            <w:r w:rsidRPr="00F07779">
              <w:rPr>
                <w:sz w:val="20"/>
                <w:szCs w:val="20"/>
              </w:rPr>
              <w:t>Vlasotince</w:t>
            </w:r>
            <w:proofErr w:type="spellEnd"/>
            <w:r w:rsidRPr="00F07779">
              <w:rPr>
                <w:sz w:val="20"/>
                <w:szCs w:val="20"/>
              </w:rPr>
              <w:t xml:space="preserve">, </w:t>
            </w:r>
            <w:proofErr w:type="spellStart"/>
            <w:r w:rsidRPr="00F07779">
              <w:rPr>
                <w:sz w:val="20"/>
                <w:szCs w:val="20"/>
              </w:rPr>
              <w:t>Ražanj</w:t>
            </w:r>
            <w:proofErr w:type="spellEnd"/>
            <w:r w:rsidRPr="00F07779">
              <w:rPr>
                <w:sz w:val="20"/>
                <w:szCs w:val="20"/>
              </w:rPr>
              <w:t xml:space="preserve">, </w:t>
            </w:r>
            <w:proofErr w:type="spellStart"/>
            <w:r w:rsidRPr="00F07779">
              <w:rPr>
                <w:sz w:val="20"/>
                <w:szCs w:val="20"/>
              </w:rPr>
              <w:t>Aleksinac</w:t>
            </w:r>
            <w:proofErr w:type="spellEnd"/>
            <w:r w:rsidRPr="00F07779">
              <w:rPr>
                <w:sz w:val="20"/>
                <w:szCs w:val="20"/>
              </w:rPr>
              <w:t xml:space="preserve">, </w:t>
            </w:r>
            <w:proofErr w:type="spellStart"/>
            <w:r w:rsidRPr="00F07779">
              <w:rPr>
                <w:sz w:val="20"/>
                <w:szCs w:val="20"/>
              </w:rPr>
              <w:t>Aleksandrovac</w:t>
            </w:r>
            <w:proofErr w:type="spellEnd"/>
            <w:r w:rsidRPr="00F07779">
              <w:rPr>
                <w:sz w:val="20"/>
                <w:szCs w:val="20"/>
              </w:rPr>
              <w:t xml:space="preserve">, Lučani, and </w:t>
            </w:r>
            <w:proofErr w:type="spellStart"/>
            <w:r w:rsidRPr="00F07779">
              <w:rPr>
                <w:sz w:val="20"/>
                <w:szCs w:val="20"/>
              </w:rPr>
              <w:t>Guča</w:t>
            </w:r>
            <w:proofErr w:type="spellEnd"/>
            <w:r w:rsidRPr="00F07779">
              <w:rPr>
                <w:sz w:val="20"/>
                <w:szCs w:val="20"/>
              </w:rPr>
              <w:t xml:space="preserve"> that were not previously gasified. </w:t>
            </w:r>
            <w:r w:rsidRPr="00F07779">
              <w:rPr>
                <w:sz w:val="20"/>
                <w:szCs w:val="20"/>
              </w:rPr>
              <w:lastRenderedPageBreak/>
              <w:t xml:space="preserve">This will enable an increase in the number of natural gas users and the substitution of electricity, fuel oil, firewood, and coal consumption with natural gas, all </w:t>
            </w:r>
            <w:r w:rsidR="00034449" w:rsidRPr="00F07779">
              <w:rPr>
                <w:sz w:val="20"/>
                <w:szCs w:val="20"/>
              </w:rPr>
              <w:t>to</w:t>
            </w:r>
            <w:r w:rsidRPr="00F07779">
              <w:rPr>
                <w:sz w:val="20"/>
                <w:szCs w:val="20"/>
              </w:rPr>
              <w:t xml:space="preserve"> protect the environment in accordance with </w:t>
            </w:r>
            <w:r w:rsidR="00034449" w:rsidRPr="00F07779">
              <w:rPr>
                <w:sz w:val="20"/>
                <w:szCs w:val="20"/>
              </w:rPr>
              <w:t>national</w:t>
            </w:r>
            <w:r w:rsidRPr="00F07779">
              <w:rPr>
                <w:sz w:val="20"/>
                <w:szCs w:val="20"/>
              </w:rPr>
              <w:t xml:space="preserve"> regulations and EU practices.</w:t>
            </w:r>
          </w:p>
        </w:tc>
      </w:tr>
      <w:tr w:rsidR="0010715F" w:rsidRPr="00F07779" w14:paraId="274623C4" w14:textId="77777777" w:rsidTr="005E3573">
        <w:tc>
          <w:tcPr>
            <w:tcW w:w="2972" w:type="dxa"/>
          </w:tcPr>
          <w:p w14:paraId="0CC85490" w14:textId="77777777" w:rsidR="0010715F" w:rsidRPr="00F07779" w:rsidRDefault="0010715F" w:rsidP="005E3573">
            <w:pPr>
              <w:jc w:val="both"/>
              <w:rPr>
                <w:sz w:val="20"/>
                <w:szCs w:val="20"/>
              </w:rPr>
            </w:pPr>
            <w:r w:rsidRPr="00F07779">
              <w:rPr>
                <w:sz w:val="20"/>
                <w:szCs w:val="20"/>
              </w:rPr>
              <w:lastRenderedPageBreak/>
              <w:t>Institutions responsible for implementation of measures and activities</w:t>
            </w:r>
          </w:p>
        </w:tc>
        <w:tc>
          <w:tcPr>
            <w:tcW w:w="5743" w:type="dxa"/>
          </w:tcPr>
          <w:p w14:paraId="7C60C3D8" w14:textId="77777777" w:rsidR="0010715F" w:rsidRPr="00F07779" w:rsidRDefault="0010715F" w:rsidP="005E3573">
            <w:pPr>
              <w:jc w:val="both"/>
              <w:rPr>
                <w:sz w:val="20"/>
                <w:szCs w:val="20"/>
              </w:rPr>
            </w:pPr>
            <w:proofErr w:type="spellStart"/>
            <w:r w:rsidRPr="00F07779">
              <w:rPr>
                <w:sz w:val="20"/>
                <w:szCs w:val="20"/>
              </w:rPr>
              <w:t>Yugorosgaz</w:t>
            </w:r>
            <w:proofErr w:type="spellEnd"/>
            <w:r w:rsidRPr="00F07779">
              <w:rPr>
                <w:sz w:val="20"/>
                <w:szCs w:val="20"/>
              </w:rPr>
              <w:t xml:space="preserve"> </w:t>
            </w:r>
            <w:proofErr w:type="spellStart"/>
            <w:r w:rsidRPr="00F07779">
              <w:rPr>
                <w:sz w:val="20"/>
                <w:szCs w:val="20"/>
              </w:rPr>
              <w:t>a.d.</w:t>
            </w:r>
            <w:proofErr w:type="spellEnd"/>
            <w:r w:rsidRPr="00F07779">
              <w:rPr>
                <w:sz w:val="20"/>
                <w:szCs w:val="20"/>
              </w:rPr>
              <w:t xml:space="preserve"> Belgrade</w:t>
            </w:r>
          </w:p>
        </w:tc>
      </w:tr>
      <w:tr w:rsidR="0010715F" w:rsidRPr="00F07779" w14:paraId="2CFFC780" w14:textId="77777777" w:rsidTr="005E3573">
        <w:tc>
          <w:tcPr>
            <w:tcW w:w="2972" w:type="dxa"/>
          </w:tcPr>
          <w:p w14:paraId="48D6D811" w14:textId="77777777" w:rsidR="0010715F" w:rsidRPr="00F07779" w:rsidRDefault="0010715F" w:rsidP="005E3573">
            <w:pPr>
              <w:jc w:val="both"/>
              <w:rPr>
                <w:sz w:val="20"/>
                <w:szCs w:val="20"/>
              </w:rPr>
            </w:pPr>
            <w:r w:rsidRPr="00F07779">
              <w:rPr>
                <w:sz w:val="20"/>
                <w:szCs w:val="20"/>
              </w:rPr>
              <w:t>Institutions responsible for monitoring implementation and reporting on progress</w:t>
            </w:r>
          </w:p>
        </w:tc>
        <w:tc>
          <w:tcPr>
            <w:tcW w:w="5743" w:type="dxa"/>
          </w:tcPr>
          <w:p w14:paraId="752BD10D" w14:textId="77777777" w:rsidR="0010715F" w:rsidRPr="00F07779" w:rsidRDefault="0010715F" w:rsidP="005E3573">
            <w:pPr>
              <w:jc w:val="both"/>
              <w:rPr>
                <w:sz w:val="20"/>
                <w:szCs w:val="20"/>
              </w:rPr>
            </w:pPr>
            <w:proofErr w:type="spellStart"/>
            <w:r w:rsidRPr="00F07779">
              <w:rPr>
                <w:sz w:val="20"/>
                <w:szCs w:val="20"/>
              </w:rPr>
              <w:t>Yugorosgaz</w:t>
            </w:r>
            <w:proofErr w:type="spellEnd"/>
            <w:r w:rsidRPr="00F07779">
              <w:rPr>
                <w:sz w:val="20"/>
                <w:szCs w:val="20"/>
              </w:rPr>
              <w:t xml:space="preserve"> </w:t>
            </w:r>
            <w:proofErr w:type="spellStart"/>
            <w:r w:rsidRPr="00F07779">
              <w:rPr>
                <w:sz w:val="20"/>
                <w:szCs w:val="20"/>
              </w:rPr>
              <w:t>a.d.</w:t>
            </w:r>
            <w:proofErr w:type="spellEnd"/>
            <w:r w:rsidRPr="00F07779">
              <w:rPr>
                <w:sz w:val="20"/>
                <w:szCs w:val="20"/>
              </w:rPr>
              <w:t xml:space="preserve"> Belgrade, MME</w:t>
            </w:r>
          </w:p>
        </w:tc>
      </w:tr>
      <w:tr w:rsidR="0010715F" w:rsidRPr="00F07779" w14:paraId="058D0B06" w14:textId="77777777" w:rsidTr="005E3573">
        <w:tc>
          <w:tcPr>
            <w:tcW w:w="2972" w:type="dxa"/>
          </w:tcPr>
          <w:p w14:paraId="6B954301" w14:textId="77777777" w:rsidR="0010715F" w:rsidRPr="00F07779" w:rsidRDefault="0010715F" w:rsidP="005E3573">
            <w:pPr>
              <w:jc w:val="both"/>
              <w:rPr>
                <w:sz w:val="20"/>
                <w:szCs w:val="20"/>
              </w:rPr>
            </w:pPr>
            <w:r w:rsidRPr="00F07779">
              <w:rPr>
                <w:sz w:val="20"/>
                <w:szCs w:val="20"/>
              </w:rPr>
              <w:t>Implementation deadline / Timeline</w:t>
            </w:r>
          </w:p>
        </w:tc>
        <w:tc>
          <w:tcPr>
            <w:tcW w:w="5743" w:type="dxa"/>
          </w:tcPr>
          <w:p w14:paraId="58385E78" w14:textId="34511D06" w:rsidR="0010715F" w:rsidRPr="00F07779" w:rsidRDefault="00430D22" w:rsidP="005E3573">
            <w:pPr>
              <w:jc w:val="both"/>
              <w:rPr>
                <w:sz w:val="20"/>
                <w:szCs w:val="20"/>
              </w:rPr>
            </w:pPr>
            <w:r w:rsidRPr="00F07779">
              <w:rPr>
                <w:sz w:val="20"/>
                <w:szCs w:val="20"/>
              </w:rPr>
              <w:t>2028</w:t>
            </w:r>
            <w:r w:rsidR="00C41C74" w:rsidRPr="00F07779">
              <w:rPr>
                <w:sz w:val="20"/>
                <w:szCs w:val="20"/>
              </w:rPr>
              <w:t>.</w:t>
            </w:r>
          </w:p>
        </w:tc>
      </w:tr>
      <w:tr w:rsidR="0010715F" w:rsidRPr="00F07779" w14:paraId="51A63A12" w14:textId="77777777" w:rsidTr="005E3573">
        <w:tc>
          <w:tcPr>
            <w:tcW w:w="2972" w:type="dxa"/>
          </w:tcPr>
          <w:p w14:paraId="0EEC8819" w14:textId="77777777" w:rsidR="0010715F" w:rsidRPr="00F07779" w:rsidRDefault="0010715F" w:rsidP="005E3573">
            <w:pPr>
              <w:jc w:val="both"/>
              <w:rPr>
                <w:sz w:val="20"/>
                <w:szCs w:val="20"/>
              </w:rPr>
            </w:pPr>
            <w:r w:rsidRPr="00F07779">
              <w:rPr>
                <w:sz w:val="20"/>
                <w:szCs w:val="20"/>
              </w:rPr>
              <w:t>Required funds and source of financing</w:t>
            </w:r>
          </w:p>
        </w:tc>
        <w:tc>
          <w:tcPr>
            <w:tcW w:w="5743" w:type="dxa"/>
          </w:tcPr>
          <w:p w14:paraId="232DF349" w14:textId="24D4ED44" w:rsidR="0010715F" w:rsidRPr="00F07779" w:rsidRDefault="0010715F" w:rsidP="005E3573">
            <w:pPr>
              <w:jc w:val="both"/>
              <w:rPr>
                <w:sz w:val="20"/>
                <w:szCs w:val="20"/>
              </w:rPr>
            </w:pPr>
            <w:r w:rsidRPr="00F07779">
              <w:rPr>
                <w:sz w:val="20"/>
                <w:szCs w:val="20"/>
              </w:rPr>
              <w:t>2</w:t>
            </w:r>
            <w:r w:rsidR="00034449" w:rsidRPr="00F07779">
              <w:rPr>
                <w:sz w:val="20"/>
                <w:szCs w:val="20"/>
              </w:rPr>
              <w:t>.</w:t>
            </w:r>
            <w:r w:rsidRPr="00F07779">
              <w:rPr>
                <w:sz w:val="20"/>
                <w:szCs w:val="20"/>
              </w:rPr>
              <w:t>919 million EUR</w:t>
            </w:r>
          </w:p>
          <w:p w14:paraId="34DB06F2" w14:textId="77777777" w:rsidR="0010715F" w:rsidRPr="00F07779" w:rsidRDefault="0010715F" w:rsidP="005E3573">
            <w:pPr>
              <w:jc w:val="both"/>
              <w:rPr>
                <w:sz w:val="20"/>
                <w:szCs w:val="20"/>
              </w:rPr>
            </w:pPr>
            <w:r w:rsidRPr="00F07779">
              <w:rPr>
                <w:sz w:val="20"/>
                <w:szCs w:val="20"/>
              </w:rPr>
              <w:t>Own funds</w:t>
            </w:r>
          </w:p>
        </w:tc>
      </w:tr>
      <w:tr w:rsidR="0010715F" w:rsidRPr="00F07779" w14:paraId="4B548E97" w14:textId="77777777" w:rsidTr="005E3573">
        <w:tc>
          <w:tcPr>
            <w:tcW w:w="2972" w:type="dxa"/>
          </w:tcPr>
          <w:p w14:paraId="710E9B4E" w14:textId="77777777" w:rsidR="0010715F" w:rsidRPr="00F07779" w:rsidRDefault="0010715F" w:rsidP="005E3573">
            <w:pPr>
              <w:jc w:val="both"/>
              <w:rPr>
                <w:sz w:val="20"/>
                <w:szCs w:val="20"/>
              </w:rPr>
            </w:pPr>
            <w:r w:rsidRPr="00F07779">
              <w:rPr>
                <w:sz w:val="20"/>
                <w:szCs w:val="20"/>
              </w:rPr>
              <w:t>2026</w:t>
            </w:r>
          </w:p>
        </w:tc>
        <w:tc>
          <w:tcPr>
            <w:tcW w:w="5743" w:type="dxa"/>
          </w:tcPr>
          <w:p w14:paraId="5868E636" w14:textId="4D06F57B" w:rsidR="0010715F" w:rsidRPr="00F07779" w:rsidRDefault="0010715F" w:rsidP="005E3573">
            <w:pPr>
              <w:jc w:val="both"/>
              <w:rPr>
                <w:sz w:val="20"/>
                <w:szCs w:val="20"/>
              </w:rPr>
            </w:pPr>
            <w:r w:rsidRPr="00F07779">
              <w:rPr>
                <w:sz w:val="20"/>
                <w:szCs w:val="20"/>
              </w:rPr>
              <w:t>0</w:t>
            </w:r>
            <w:r w:rsidR="00034449" w:rsidRPr="00F07779">
              <w:rPr>
                <w:sz w:val="20"/>
                <w:szCs w:val="20"/>
              </w:rPr>
              <w:t>.</w:t>
            </w:r>
            <w:r w:rsidRPr="00F07779">
              <w:rPr>
                <w:sz w:val="20"/>
                <w:szCs w:val="20"/>
              </w:rPr>
              <w:t>973 million EUR</w:t>
            </w:r>
          </w:p>
        </w:tc>
      </w:tr>
      <w:tr w:rsidR="0010715F" w:rsidRPr="00F07779" w14:paraId="760D69D7" w14:textId="77777777" w:rsidTr="005E3573">
        <w:tc>
          <w:tcPr>
            <w:tcW w:w="2972" w:type="dxa"/>
          </w:tcPr>
          <w:p w14:paraId="05EF230E" w14:textId="77777777" w:rsidR="0010715F" w:rsidRPr="00F07779" w:rsidRDefault="0010715F" w:rsidP="005E3573">
            <w:pPr>
              <w:jc w:val="both"/>
              <w:rPr>
                <w:sz w:val="20"/>
                <w:szCs w:val="20"/>
              </w:rPr>
            </w:pPr>
            <w:r w:rsidRPr="00F07779">
              <w:rPr>
                <w:sz w:val="20"/>
                <w:szCs w:val="20"/>
              </w:rPr>
              <w:t>2027</w:t>
            </w:r>
          </w:p>
        </w:tc>
        <w:tc>
          <w:tcPr>
            <w:tcW w:w="5743" w:type="dxa"/>
          </w:tcPr>
          <w:p w14:paraId="42208EA7" w14:textId="03939F33" w:rsidR="0010715F" w:rsidRPr="00F07779" w:rsidRDefault="0010715F" w:rsidP="005E3573">
            <w:pPr>
              <w:jc w:val="both"/>
              <w:rPr>
                <w:sz w:val="20"/>
                <w:szCs w:val="20"/>
              </w:rPr>
            </w:pPr>
            <w:r w:rsidRPr="00F07779">
              <w:rPr>
                <w:sz w:val="20"/>
                <w:szCs w:val="20"/>
              </w:rPr>
              <w:t>0</w:t>
            </w:r>
            <w:r w:rsidR="00034449" w:rsidRPr="00F07779">
              <w:rPr>
                <w:sz w:val="20"/>
                <w:szCs w:val="20"/>
              </w:rPr>
              <w:t>.</w:t>
            </w:r>
            <w:r w:rsidRPr="00F07779">
              <w:rPr>
                <w:sz w:val="20"/>
                <w:szCs w:val="20"/>
              </w:rPr>
              <w:t>973 million EUR</w:t>
            </w:r>
          </w:p>
        </w:tc>
      </w:tr>
      <w:tr w:rsidR="0010715F" w:rsidRPr="00F07779" w14:paraId="40CE09D1" w14:textId="77777777" w:rsidTr="005E3573">
        <w:tc>
          <w:tcPr>
            <w:tcW w:w="2972" w:type="dxa"/>
          </w:tcPr>
          <w:p w14:paraId="7BA260C0" w14:textId="77777777" w:rsidR="0010715F" w:rsidRPr="00F07779" w:rsidRDefault="0010715F" w:rsidP="005E3573">
            <w:pPr>
              <w:jc w:val="both"/>
              <w:rPr>
                <w:sz w:val="20"/>
                <w:szCs w:val="20"/>
              </w:rPr>
            </w:pPr>
            <w:r w:rsidRPr="00F07779">
              <w:rPr>
                <w:sz w:val="20"/>
                <w:szCs w:val="20"/>
              </w:rPr>
              <w:t>2028</w:t>
            </w:r>
          </w:p>
        </w:tc>
        <w:tc>
          <w:tcPr>
            <w:tcW w:w="5743" w:type="dxa"/>
          </w:tcPr>
          <w:p w14:paraId="1F66AB80" w14:textId="622ACE47" w:rsidR="0010715F" w:rsidRPr="00F07779" w:rsidRDefault="0010715F" w:rsidP="005E3573">
            <w:pPr>
              <w:jc w:val="both"/>
              <w:rPr>
                <w:sz w:val="20"/>
                <w:szCs w:val="20"/>
              </w:rPr>
            </w:pPr>
            <w:r w:rsidRPr="00F07779">
              <w:rPr>
                <w:sz w:val="20"/>
                <w:szCs w:val="20"/>
              </w:rPr>
              <w:t>0</w:t>
            </w:r>
            <w:r w:rsidR="00034449" w:rsidRPr="00F07779">
              <w:rPr>
                <w:sz w:val="20"/>
                <w:szCs w:val="20"/>
              </w:rPr>
              <w:t>.</w:t>
            </w:r>
            <w:r w:rsidRPr="00F07779">
              <w:rPr>
                <w:sz w:val="20"/>
                <w:szCs w:val="20"/>
              </w:rPr>
              <w:t>973 million EUR</w:t>
            </w:r>
          </w:p>
        </w:tc>
      </w:tr>
      <w:tr w:rsidR="0010715F" w:rsidRPr="00F07779" w14:paraId="1631886A" w14:textId="77777777" w:rsidTr="005E3573">
        <w:tc>
          <w:tcPr>
            <w:tcW w:w="2972" w:type="dxa"/>
          </w:tcPr>
          <w:p w14:paraId="3B5B793B" w14:textId="77777777" w:rsidR="0010715F" w:rsidRPr="00F07779" w:rsidRDefault="0010715F" w:rsidP="005E3573">
            <w:pPr>
              <w:jc w:val="both"/>
              <w:rPr>
                <w:sz w:val="20"/>
                <w:szCs w:val="20"/>
              </w:rPr>
            </w:pPr>
            <w:r w:rsidRPr="00F07779">
              <w:rPr>
                <w:sz w:val="20"/>
                <w:szCs w:val="20"/>
              </w:rPr>
              <w:t>Implementation indicator / Performance indicator</w:t>
            </w:r>
          </w:p>
        </w:tc>
        <w:tc>
          <w:tcPr>
            <w:tcW w:w="5743" w:type="dxa"/>
          </w:tcPr>
          <w:p w14:paraId="3F46B243" w14:textId="77777777" w:rsidR="0010715F" w:rsidRPr="00F07779" w:rsidRDefault="0010715F" w:rsidP="005E3573">
            <w:pPr>
              <w:jc w:val="both"/>
              <w:rPr>
                <w:sz w:val="20"/>
                <w:szCs w:val="20"/>
              </w:rPr>
            </w:pPr>
            <w:r w:rsidRPr="00F07779">
              <w:rPr>
                <w:sz w:val="20"/>
                <w:szCs w:val="20"/>
              </w:rPr>
              <w:t>Construction, Commissioning</w:t>
            </w:r>
          </w:p>
        </w:tc>
      </w:tr>
      <w:tr w:rsidR="0010715F" w:rsidRPr="00F07779" w14:paraId="5D5D1CD7" w14:textId="77777777" w:rsidTr="005E3573">
        <w:tc>
          <w:tcPr>
            <w:tcW w:w="2972" w:type="dxa"/>
          </w:tcPr>
          <w:p w14:paraId="054AF658" w14:textId="77777777" w:rsidR="0010715F" w:rsidRPr="00F07779" w:rsidRDefault="0010715F" w:rsidP="005E3573">
            <w:pPr>
              <w:jc w:val="both"/>
              <w:rPr>
                <w:sz w:val="20"/>
                <w:szCs w:val="20"/>
              </w:rPr>
            </w:pPr>
            <w:r w:rsidRPr="00F07779">
              <w:rPr>
                <w:sz w:val="20"/>
                <w:szCs w:val="20"/>
              </w:rPr>
              <w:t>Impact of activity implementation on achieving the objective</w:t>
            </w:r>
          </w:p>
        </w:tc>
        <w:tc>
          <w:tcPr>
            <w:tcW w:w="5743" w:type="dxa"/>
          </w:tcPr>
          <w:p w14:paraId="27D94B69" w14:textId="77777777" w:rsidR="0010715F" w:rsidRPr="00F07779" w:rsidRDefault="0010715F" w:rsidP="005E3573">
            <w:pPr>
              <w:jc w:val="both"/>
              <w:rPr>
                <w:sz w:val="20"/>
                <w:szCs w:val="20"/>
              </w:rPr>
            </w:pPr>
            <w:r w:rsidRPr="00F07779">
              <w:rPr>
                <w:sz w:val="20"/>
                <w:szCs w:val="20"/>
              </w:rPr>
              <w:t>Development of the natural gas market:</w:t>
            </w:r>
          </w:p>
          <w:p w14:paraId="562ED2E2" w14:textId="77777777" w:rsidR="0010715F" w:rsidRPr="00F07779" w:rsidRDefault="0010715F" w:rsidP="005E3573">
            <w:pPr>
              <w:jc w:val="both"/>
              <w:rPr>
                <w:sz w:val="20"/>
                <w:szCs w:val="20"/>
              </w:rPr>
            </w:pPr>
            <w:r w:rsidRPr="00F07779">
              <w:rPr>
                <w:sz w:val="20"/>
                <w:szCs w:val="20"/>
              </w:rPr>
              <w:t xml:space="preserve">The construction of distribution pipelines and the connection of industrial, communal, and individual consumers to the distribution system is expected to increase total natural gas consumption and sales on the liberalized market. Data </w:t>
            </w:r>
            <w:proofErr w:type="gramStart"/>
            <w:r w:rsidRPr="00F07779">
              <w:rPr>
                <w:sz w:val="20"/>
                <w:szCs w:val="20"/>
              </w:rPr>
              <w:t>are</w:t>
            </w:r>
            <w:proofErr w:type="gramEnd"/>
            <w:r w:rsidRPr="00F07779">
              <w:rPr>
                <w:sz w:val="20"/>
                <w:szCs w:val="20"/>
              </w:rPr>
              <w:t xml:space="preserve"> not available to quantify the change in the indicator.</w:t>
            </w:r>
          </w:p>
        </w:tc>
      </w:tr>
      <w:tr w:rsidR="0010715F" w:rsidRPr="00F07779" w14:paraId="582A0619" w14:textId="77777777" w:rsidTr="005E3573">
        <w:tc>
          <w:tcPr>
            <w:tcW w:w="2972" w:type="dxa"/>
          </w:tcPr>
          <w:p w14:paraId="58283DCB" w14:textId="77777777" w:rsidR="0010715F" w:rsidRPr="00F07779" w:rsidRDefault="0010715F" w:rsidP="005E3573">
            <w:pPr>
              <w:jc w:val="both"/>
              <w:rPr>
                <w:sz w:val="20"/>
                <w:szCs w:val="20"/>
              </w:rPr>
            </w:pPr>
            <w:r w:rsidRPr="00F07779">
              <w:rPr>
                <w:sz w:val="20"/>
                <w:szCs w:val="20"/>
              </w:rPr>
              <w:t>Impact on energy efficiency, climate, and environment</w:t>
            </w:r>
          </w:p>
        </w:tc>
        <w:tc>
          <w:tcPr>
            <w:tcW w:w="5743" w:type="dxa"/>
          </w:tcPr>
          <w:p w14:paraId="1AD77ED9" w14:textId="77777777" w:rsidR="0010715F" w:rsidRPr="00F07779" w:rsidRDefault="0010715F" w:rsidP="005E3573">
            <w:pPr>
              <w:jc w:val="both"/>
              <w:rPr>
                <w:sz w:val="20"/>
                <w:szCs w:val="20"/>
              </w:rPr>
            </w:pPr>
            <w:r w:rsidRPr="00F07779">
              <w:rPr>
                <w:sz w:val="20"/>
                <w:szCs w:val="20"/>
              </w:rPr>
              <w:t>The construction of distribution pipelines enables the substitution of liquid and solid fuels in industry and general consumption. Using natural gas instead of coal, fuel oil, and firewood has a positive effect on reducing local emissions (</w:t>
            </w:r>
            <w:proofErr w:type="spellStart"/>
            <w:r w:rsidRPr="00F07779">
              <w:rPr>
                <w:sz w:val="20"/>
                <w:szCs w:val="20"/>
              </w:rPr>
              <w:t>SOx</w:t>
            </w:r>
            <w:proofErr w:type="spellEnd"/>
            <w:r w:rsidRPr="00F07779">
              <w:rPr>
                <w:sz w:val="20"/>
                <w:szCs w:val="20"/>
              </w:rPr>
              <w:t>, NOx, particulates) and allows for more efficient use of energy. A similar impact is expected on the climate, given the significantly lower CO₂ emission factor compared to coal and liquid fuels, despite an increase in fugitive methane emissions by 0.37 Gg per year</w:t>
            </w:r>
            <w:r w:rsidRPr="00F07779">
              <w:rPr>
                <w:rStyle w:val="FootnoteReference"/>
                <w:sz w:val="20"/>
                <w:szCs w:val="20"/>
              </w:rPr>
              <w:footnoteReference w:id="54"/>
            </w:r>
            <w:r w:rsidRPr="00F07779">
              <w:rPr>
                <w:sz w:val="20"/>
                <w:szCs w:val="20"/>
              </w:rPr>
              <w:t>.</w:t>
            </w:r>
          </w:p>
        </w:tc>
      </w:tr>
    </w:tbl>
    <w:p w14:paraId="5F38E0EB" w14:textId="77777777" w:rsidR="0010715F" w:rsidRPr="00F07779" w:rsidRDefault="0010715F" w:rsidP="0010715F"/>
    <w:tbl>
      <w:tblPr>
        <w:tblStyle w:val="TableGrid"/>
        <w:tblW w:w="0" w:type="auto"/>
        <w:tblLook w:val="04A0" w:firstRow="1" w:lastRow="0" w:firstColumn="1" w:lastColumn="0" w:noHBand="0" w:noVBand="1"/>
      </w:tblPr>
      <w:tblGrid>
        <w:gridCol w:w="2972"/>
        <w:gridCol w:w="5743"/>
      </w:tblGrid>
      <w:tr w:rsidR="0010715F" w:rsidRPr="00F07779" w14:paraId="0AA63493" w14:textId="77777777" w:rsidTr="005E3573">
        <w:tc>
          <w:tcPr>
            <w:tcW w:w="2972" w:type="dxa"/>
            <w:shd w:val="clear" w:color="auto" w:fill="D9D9D9" w:themeFill="background1" w:themeFillShade="D9"/>
          </w:tcPr>
          <w:p w14:paraId="24199088" w14:textId="77777777" w:rsidR="0010715F" w:rsidRPr="00F07779" w:rsidRDefault="0010715F" w:rsidP="005E3573">
            <w:pPr>
              <w:rPr>
                <w:sz w:val="20"/>
                <w:szCs w:val="20"/>
              </w:rPr>
            </w:pPr>
            <w:r w:rsidRPr="00F07779">
              <w:rPr>
                <w:sz w:val="20"/>
                <w:szCs w:val="20"/>
              </w:rPr>
              <w:t xml:space="preserve">Total investment </w:t>
            </w:r>
            <w:proofErr w:type="gramStart"/>
            <w:r w:rsidRPr="00F07779">
              <w:rPr>
                <w:sz w:val="20"/>
                <w:szCs w:val="20"/>
              </w:rPr>
              <w:t>for</w:t>
            </w:r>
            <w:proofErr w:type="gramEnd"/>
            <w:r w:rsidRPr="00F07779">
              <w:rPr>
                <w:sz w:val="20"/>
                <w:szCs w:val="20"/>
              </w:rPr>
              <w:t xml:space="preserve"> Measure G4</w:t>
            </w:r>
          </w:p>
        </w:tc>
        <w:tc>
          <w:tcPr>
            <w:tcW w:w="5743" w:type="dxa"/>
            <w:shd w:val="clear" w:color="auto" w:fill="D9D9D9" w:themeFill="background1" w:themeFillShade="D9"/>
          </w:tcPr>
          <w:p w14:paraId="03CA803C" w14:textId="77777777" w:rsidR="0010715F" w:rsidRPr="00F07779" w:rsidRDefault="0010715F" w:rsidP="005E3573">
            <w:pPr>
              <w:rPr>
                <w:sz w:val="20"/>
                <w:szCs w:val="20"/>
              </w:rPr>
            </w:pPr>
            <w:r w:rsidRPr="00F07779">
              <w:rPr>
                <w:sz w:val="20"/>
                <w:szCs w:val="20"/>
              </w:rPr>
              <w:t>EUR 336.8 million (RSD 39,574 million)</w:t>
            </w:r>
          </w:p>
        </w:tc>
      </w:tr>
    </w:tbl>
    <w:p w14:paraId="7A061E05" w14:textId="1B56285D" w:rsidR="0010715F" w:rsidRPr="00F07779" w:rsidRDefault="0010715F" w:rsidP="0010715F"/>
    <w:p w14:paraId="57BAAAE3" w14:textId="77777777" w:rsidR="0010715F" w:rsidRPr="00F07779" w:rsidRDefault="0010715F" w:rsidP="0010715F">
      <w:r w:rsidRPr="00F07779">
        <w:t xml:space="preserve">Table 5.5.7: Activities for the implementation of the measure G5 </w:t>
      </w:r>
      <w:proofErr w:type="gramStart"/>
      <w:r w:rsidRPr="00F07779">
        <w:t>-  Modernization</w:t>
      </w:r>
      <w:proofErr w:type="gramEnd"/>
      <w:r w:rsidRPr="00F07779">
        <w:t xml:space="preserve"> of the metering system</w:t>
      </w:r>
    </w:p>
    <w:tbl>
      <w:tblPr>
        <w:tblStyle w:val="TableGrid"/>
        <w:tblW w:w="0" w:type="auto"/>
        <w:tblLook w:val="04A0" w:firstRow="1" w:lastRow="0" w:firstColumn="1" w:lastColumn="0" w:noHBand="0" w:noVBand="1"/>
      </w:tblPr>
      <w:tblGrid>
        <w:gridCol w:w="2972"/>
        <w:gridCol w:w="5743"/>
      </w:tblGrid>
      <w:tr w:rsidR="0010715F" w:rsidRPr="00F07779" w14:paraId="4705BEE1" w14:textId="77777777" w:rsidTr="005E3573">
        <w:tc>
          <w:tcPr>
            <w:tcW w:w="2972" w:type="dxa"/>
            <w:shd w:val="clear" w:color="auto" w:fill="D9D9D9" w:themeFill="background1" w:themeFillShade="D9"/>
          </w:tcPr>
          <w:p w14:paraId="2F3AB715" w14:textId="77777777" w:rsidR="0010715F" w:rsidRPr="00F07779" w:rsidRDefault="0010715F" w:rsidP="005E3573">
            <w:pPr>
              <w:rPr>
                <w:sz w:val="20"/>
                <w:szCs w:val="20"/>
              </w:rPr>
            </w:pPr>
            <w:r w:rsidRPr="00F07779">
              <w:rPr>
                <w:sz w:val="20"/>
                <w:szCs w:val="20"/>
              </w:rPr>
              <w:t>Activity G5.1</w:t>
            </w:r>
          </w:p>
        </w:tc>
        <w:tc>
          <w:tcPr>
            <w:tcW w:w="5743" w:type="dxa"/>
            <w:shd w:val="clear" w:color="auto" w:fill="D9D9D9" w:themeFill="background1" w:themeFillShade="D9"/>
          </w:tcPr>
          <w:p w14:paraId="7A8E7AB1" w14:textId="0E526848" w:rsidR="0010715F" w:rsidRPr="00F07779" w:rsidRDefault="0010715F" w:rsidP="005E3573">
            <w:pPr>
              <w:rPr>
                <w:sz w:val="20"/>
                <w:szCs w:val="20"/>
              </w:rPr>
            </w:pPr>
            <w:r w:rsidRPr="00F07779">
              <w:rPr>
                <w:sz w:val="20"/>
                <w:szCs w:val="20"/>
              </w:rPr>
              <w:t xml:space="preserve">Construction of Transfer Station (PPS) in </w:t>
            </w:r>
            <w:proofErr w:type="spellStart"/>
            <w:r w:rsidRPr="00F07779">
              <w:rPr>
                <w:sz w:val="20"/>
                <w:szCs w:val="20"/>
              </w:rPr>
              <w:t>Loznica</w:t>
            </w:r>
            <w:proofErr w:type="spellEnd"/>
          </w:p>
        </w:tc>
      </w:tr>
      <w:tr w:rsidR="0010715F" w:rsidRPr="00F07779" w14:paraId="1F7595CD" w14:textId="77777777" w:rsidTr="005E3573">
        <w:tc>
          <w:tcPr>
            <w:tcW w:w="2972" w:type="dxa"/>
          </w:tcPr>
          <w:p w14:paraId="42788AD7" w14:textId="77777777" w:rsidR="0010715F" w:rsidRPr="00F07779" w:rsidRDefault="0010715F" w:rsidP="005E3573">
            <w:pPr>
              <w:rPr>
                <w:sz w:val="20"/>
                <w:szCs w:val="20"/>
              </w:rPr>
            </w:pPr>
            <w:r w:rsidRPr="00F07779">
              <w:rPr>
                <w:sz w:val="20"/>
                <w:szCs w:val="20"/>
              </w:rPr>
              <w:t>Description</w:t>
            </w:r>
          </w:p>
        </w:tc>
        <w:tc>
          <w:tcPr>
            <w:tcW w:w="5743" w:type="dxa"/>
          </w:tcPr>
          <w:p w14:paraId="07428F06" w14:textId="66D89A3D" w:rsidR="0010715F" w:rsidRPr="00F07779" w:rsidRDefault="0010715F" w:rsidP="005E3573">
            <w:pPr>
              <w:rPr>
                <w:sz w:val="20"/>
                <w:szCs w:val="20"/>
              </w:rPr>
            </w:pPr>
            <w:r w:rsidRPr="00F07779">
              <w:rPr>
                <w:sz w:val="20"/>
                <w:szCs w:val="20"/>
              </w:rPr>
              <w:t xml:space="preserve">Currently, the transfer of natural gas between the Republic of Serbia and the Republic of Bosnia and Herzegovina takes place at the PPS in </w:t>
            </w:r>
            <w:proofErr w:type="spellStart"/>
            <w:r w:rsidRPr="00F07779">
              <w:rPr>
                <w:sz w:val="20"/>
                <w:szCs w:val="20"/>
              </w:rPr>
              <w:t>Zvornik</w:t>
            </w:r>
            <w:proofErr w:type="spellEnd"/>
            <w:r w:rsidRPr="00F07779">
              <w:rPr>
                <w:sz w:val="20"/>
                <w:szCs w:val="20"/>
              </w:rPr>
              <w:t xml:space="preserve"> – about 25 km inside the territory of Bosnia and Herzegovina. </w:t>
            </w:r>
            <w:proofErr w:type="spellStart"/>
            <w:r w:rsidRPr="00F07779">
              <w:rPr>
                <w:sz w:val="20"/>
                <w:szCs w:val="20"/>
              </w:rPr>
              <w:t>Transportgas</w:t>
            </w:r>
            <w:proofErr w:type="spellEnd"/>
            <w:r w:rsidRPr="00F07779">
              <w:rPr>
                <w:sz w:val="20"/>
                <w:szCs w:val="20"/>
              </w:rPr>
              <w:t xml:space="preserve"> Serbia has no control over the pipeline segment within Bosnia and Herzegovina, and the existing metering systems (MS) do not comply with regulations and functional requirements for fiscal metering stations. The construction of the PPS in </w:t>
            </w:r>
            <w:proofErr w:type="spellStart"/>
            <w:r w:rsidRPr="00F07779">
              <w:rPr>
                <w:sz w:val="20"/>
                <w:szCs w:val="20"/>
              </w:rPr>
              <w:t>Loznica</w:t>
            </w:r>
            <w:proofErr w:type="spellEnd"/>
            <w:r w:rsidRPr="00F07779">
              <w:rPr>
                <w:sz w:val="20"/>
                <w:szCs w:val="20"/>
              </w:rPr>
              <w:t xml:space="preserve"> will resolve these issues.</w:t>
            </w:r>
          </w:p>
        </w:tc>
      </w:tr>
      <w:tr w:rsidR="0010715F" w:rsidRPr="00F07779" w14:paraId="6C8D3EBD" w14:textId="77777777" w:rsidTr="005E3573">
        <w:tc>
          <w:tcPr>
            <w:tcW w:w="2972" w:type="dxa"/>
          </w:tcPr>
          <w:p w14:paraId="7D008AEC" w14:textId="77777777" w:rsidR="0010715F" w:rsidRPr="00F07779" w:rsidRDefault="0010715F" w:rsidP="005E3573">
            <w:pPr>
              <w:rPr>
                <w:sz w:val="20"/>
                <w:szCs w:val="20"/>
              </w:rPr>
            </w:pPr>
            <w:r w:rsidRPr="00F07779">
              <w:rPr>
                <w:sz w:val="20"/>
                <w:szCs w:val="20"/>
              </w:rPr>
              <w:t>Institutions responsible for implementing measures and activities</w:t>
            </w:r>
          </w:p>
        </w:tc>
        <w:tc>
          <w:tcPr>
            <w:tcW w:w="5743" w:type="dxa"/>
          </w:tcPr>
          <w:p w14:paraId="18DE7B72" w14:textId="77777777" w:rsidR="0010715F" w:rsidRPr="00F07779" w:rsidRDefault="0010715F" w:rsidP="005E3573">
            <w:pPr>
              <w:rPr>
                <w:sz w:val="20"/>
                <w:szCs w:val="20"/>
              </w:rPr>
            </w:pPr>
            <w:r w:rsidRPr="00F07779">
              <w:rPr>
                <w:sz w:val="20"/>
                <w:szCs w:val="20"/>
              </w:rPr>
              <w:t xml:space="preserve">Public Enterprise </w:t>
            </w:r>
            <w:proofErr w:type="spellStart"/>
            <w:r w:rsidRPr="00F07779">
              <w:rPr>
                <w:sz w:val="20"/>
                <w:szCs w:val="20"/>
              </w:rPr>
              <w:t>Srbijagas</w:t>
            </w:r>
            <w:proofErr w:type="spellEnd"/>
          </w:p>
          <w:p w14:paraId="2A3273B2" w14:textId="2D61E991" w:rsidR="0010715F" w:rsidRPr="00F07779" w:rsidRDefault="0010715F" w:rsidP="005E3573">
            <w:pPr>
              <w:rPr>
                <w:sz w:val="20"/>
                <w:szCs w:val="20"/>
              </w:rPr>
            </w:pPr>
            <w:proofErr w:type="spellStart"/>
            <w:r w:rsidRPr="00F07779">
              <w:rPr>
                <w:sz w:val="20"/>
                <w:szCs w:val="20"/>
              </w:rPr>
              <w:t>Transportgas</w:t>
            </w:r>
            <w:proofErr w:type="spellEnd"/>
            <w:r w:rsidRPr="00F07779">
              <w:rPr>
                <w:sz w:val="20"/>
                <w:szCs w:val="20"/>
              </w:rPr>
              <w:t xml:space="preserve"> Serbia </w:t>
            </w:r>
            <w:r w:rsidR="00034449" w:rsidRPr="00F07779">
              <w:rPr>
                <w:sz w:val="20"/>
                <w:szCs w:val="20"/>
              </w:rPr>
              <w:t>LLC</w:t>
            </w:r>
          </w:p>
        </w:tc>
      </w:tr>
      <w:tr w:rsidR="0010715F" w:rsidRPr="00F07779" w14:paraId="77004136" w14:textId="77777777" w:rsidTr="005E3573">
        <w:tc>
          <w:tcPr>
            <w:tcW w:w="2972" w:type="dxa"/>
          </w:tcPr>
          <w:p w14:paraId="01ACD904" w14:textId="77777777" w:rsidR="0010715F" w:rsidRPr="00F07779" w:rsidRDefault="0010715F" w:rsidP="005E3573">
            <w:pPr>
              <w:rPr>
                <w:sz w:val="20"/>
                <w:szCs w:val="20"/>
              </w:rPr>
            </w:pPr>
            <w:r w:rsidRPr="00F07779">
              <w:rPr>
                <w:sz w:val="20"/>
                <w:szCs w:val="20"/>
              </w:rPr>
              <w:t>Institutions responsible for monitoring implementation and reporting on progress</w:t>
            </w:r>
          </w:p>
        </w:tc>
        <w:tc>
          <w:tcPr>
            <w:tcW w:w="5743" w:type="dxa"/>
          </w:tcPr>
          <w:p w14:paraId="5F0E27C6" w14:textId="77777777" w:rsidR="0010715F" w:rsidRPr="00F07779" w:rsidRDefault="0010715F" w:rsidP="005E3573">
            <w:pPr>
              <w:rPr>
                <w:sz w:val="20"/>
                <w:szCs w:val="20"/>
              </w:rPr>
            </w:pPr>
            <w:r w:rsidRPr="00F07779">
              <w:rPr>
                <w:sz w:val="20"/>
                <w:szCs w:val="20"/>
              </w:rPr>
              <w:t>- Ministry of Mining and Energy</w:t>
            </w:r>
          </w:p>
          <w:p w14:paraId="3D18AF0C" w14:textId="77777777" w:rsidR="0010715F" w:rsidRPr="00F07779" w:rsidRDefault="0010715F" w:rsidP="005E3573">
            <w:pPr>
              <w:rPr>
                <w:sz w:val="20"/>
                <w:szCs w:val="20"/>
              </w:rPr>
            </w:pPr>
            <w:r w:rsidRPr="00F07779">
              <w:rPr>
                <w:sz w:val="20"/>
                <w:szCs w:val="20"/>
              </w:rPr>
              <w:t>- Ministry of Construction, Transport, and Infrastructure</w:t>
            </w:r>
          </w:p>
        </w:tc>
      </w:tr>
      <w:tr w:rsidR="0010715F" w:rsidRPr="00F07779" w14:paraId="3FCF972A" w14:textId="77777777" w:rsidTr="005E3573">
        <w:tc>
          <w:tcPr>
            <w:tcW w:w="2972" w:type="dxa"/>
          </w:tcPr>
          <w:p w14:paraId="5FD2BD5C" w14:textId="77777777" w:rsidR="0010715F" w:rsidRPr="00F07779" w:rsidRDefault="0010715F" w:rsidP="005E3573">
            <w:pPr>
              <w:rPr>
                <w:sz w:val="20"/>
                <w:szCs w:val="20"/>
              </w:rPr>
            </w:pPr>
            <w:r w:rsidRPr="00F07779">
              <w:rPr>
                <w:sz w:val="20"/>
                <w:szCs w:val="20"/>
              </w:rPr>
              <w:t>Deadline for implementation</w:t>
            </w:r>
          </w:p>
        </w:tc>
        <w:tc>
          <w:tcPr>
            <w:tcW w:w="5743" w:type="dxa"/>
          </w:tcPr>
          <w:p w14:paraId="32B75F4B" w14:textId="742AF57F" w:rsidR="0010715F" w:rsidRPr="00F07779" w:rsidRDefault="0010715F" w:rsidP="005E3573">
            <w:pPr>
              <w:rPr>
                <w:sz w:val="20"/>
                <w:szCs w:val="20"/>
              </w:rPr>
            </w:pPr>
            <w:r w:rsidRPr="00F07779">
              <w:rPr>
                <w:sz w:val="20"/>
                <w:szCs w:val="20"/>
              </w:rPr>
              <w:t>2026</w:t>
            </w:r>
            <w:r w:rsidR="00C41C74" w:rsidRPr="00F07779">
              <w:rPr>
                <w:sz w:val="20"/>
                <w:szCs w:val="20"/>
              </w:rPr>
              <w:t>.</w:t>
            </w:r>
          </w:p>
        </w:tc>
      </w:tr>
      <w:tr w:rsidR="0010715F" w:rsidRPr="00F07779" w14:paraId="48214336" w14:textId="77777777" w:rsidTr="005E3573">
        <w:tc>
          <w:tcPr>
            <w:tcW w:w="2972" w:type="dxa"/>
          </w:tcPr>
          <w:p w14:paraId="19E6F4B6" w14:textId="77777777" w:rsidR="0010715F" w:rsidRPr="00F07779" w:rsidRDefault="0010715F" w:rsidP="005E3573">
            <w:pPr>
              <w:rPr>
                <w:sz w:val="20"/>
                <w:szCs w:val="20"/>
              </w:rPr>
            </w:pPr>
            <w:r w:rsidRPr="00F07779">
              <w:rPr>
                <w:sz w:val="20"/>
                <w:szCs w:val="20"/>
              </w:rPr>
              <w:t>Required funds and source of financing</w:t>
            </w:r>
          </w:p>
        </w:tc>
        <w:tc>
          <w:tcPr>
            <w:tcW w:w="5743" w:type="dxa"/>
          </w:tcPr>
          <w:p w14:paraId="4C46A469" w14:textId="02754F68" w:rsidR="0010715F" w:rsidRPr="00F07779" w:rsidRDefault="0010715F" w:rsidP="005E3573">
            <w:pPr>
              <w:rPr>
                <w:sz w:val="20"/>
                <w:szCs w:val="20"/>
              </w:rPr>
            </w:pPr>
            <w:r w:rsidRPr="00F07779">
              <w:rPr>
                <w:sz w:val="20"/>
                <w:szCs w:val="20"/>
              </w:rPr>
              <w:t xml:space="preserve">EUR </w:t>
            </w:r>
            <w:r w:rsidR="00733E1F" w:rsidRPr="00F07779">
              <w:rPr>
                <w:sz w:val="20"/>
                <w:szCs w:val="20"/>
              </w:rPr>
              <w:t>1</w:t>
            </w:r>
            <w:r w:rsidRPr="00F07779">
              <w:rPr>
                <w:sz w:val="20"/>
                <w:szCs w:val="20"/>
              </w:rPr>
              <w:t xml:space="preserve">8.5 million (RSD </w:t>
            </w:r>
            <w:r w:rsidR="00733E1F" w:rsidRPr="00F07779">
              <w:rPr>
                <w:sz w:val="20"/>
                <w:szCs w:val="20"/>
              </w:rPr>
              <w:t>2</w:t>
            </w:r>
            <w:r w:rsidRPr="00F07779">
              <w:rPr>
                <w:sz w:val="20"/>
                <w:szCs w:val="20"/>
              </w:rPr>
              <w:t>,</w:t>
            </w:r>
            <w:r w:rsidR="00733E1F" w:rsidRPr="00F07779">
              <w:rPr>
                <w:sz w:val="20"/>
                <w:szCs w:val="20"/>
              </w:rPr>
              <w:t>169</w:t>
            </w:r>
            <w:r w:rsidRPr="00F07779">
              <w:rPr>
                <w:sz w:val="20"/>
                <w:szCs w:val="20"/>
              </w:rPr>
              <w:t xml:space="preserve"> million)</w:t>
            </w:r>
          </w:p>
          <w:p w14:paraId="698FAE5E" w14:textId="13E6EFB2" w:rsidR="0010715F" w:rsidRPr="00F07779" w:rsidRDefault="0010715F" w:rsidP="005E3573">
            <w:pPr>
              <w:rPr>
                <w:sz w:val="20"/>
                <w:szCs w:val="20"/>
              </w:rPr>
            </w:pPr>
            <w:r w:rsidRPr="00F07779">
              <w:rPr>
                <w:sz w:val="20"/>
                <w:szCs w:val="20"/>
              </w:rPr>
              <w:t>Loans from domestic commercial banks</w:t>
            </w:r>
          </w:p>
        </w:tc>
      </w:tr>
      <w:tr w:rsidR="0010715F" w:rsidRPr="00F07779" w14:paraId="68D53728" w14:textId="77777777" w:rsidTr="005E3573">
        <w:tc>
          <w:tcPr>
            <w:tcW w:w="2972" w:type="dxa"/>
          </w:tcPr>
          <w:p w14:paraId="3F1C3A25" w14:textId="77777777" w:rsidR="0010715F" w:rsidRPr="00F07779" w:rsidRDefault="0010715F" w:rsidP="005E3573">
            <w:pPr>
              <w:rPr>
                <w:sz w:val="20"/>
                <w:szCs w:val="20"/>
              </w:rPr>
            </w:pPr>
            <w:r w:rsidRPr="00F07779">
              <w:rPr>
                <w:sz w:val="20"/>
                <w:szCs w:val="20"/>
              </w:rPr>
              <w:t>Implementation indicator</w:t>
            </w:r>
          </w:p>
        </w:tc>
        <w:tc>
          <w:tcPr>
            <w:tcW w:w="5743" w:type="dxa"/>
          </w:tcPr>
          <w:p w14:paraId="38EF7AE1" w14:textId="77777777" w:rsidR="0010715F" w:rsidRPr="00F07779" w:rsidRDefault="0010715F" w:rsidP="005E3573">
            <w:pPr>
              <w:rPr>
                <w:sz w:val="20"/>
                <w:szCs w:val="20"/>
              </w:rPr>
            </w:pPr>
            <w:r w:rsidRPr="00F07779">
              <w:rPr>
                <w:sz w:val="20"/>
                <w:szCs w:val="20"/>
              </w:rPr>
              <w:t>Implementation Phase:</w:t>
            </w:r>
          </w:p>
          <w:p w14:paraId="5649D09F" w14:textId="77777777" w:rsidR="0010715F" w:rsidRPr="00F07779" w:rsidRDefault="0010715F" w:rsidP="005E3573">
            <w:pPr>
              <w:rPr>
                <w:sz w:val="20"/>
                <w:szCs w:val="20"/>
              </w:rPr>
            </w:pPr>
            <w:r w:rsidRPr="00F07779">
              <w:rPr>
                <w:sz w:val="20"/>
                <w:szCs w:val="20"/>
              </w:rPr>
              <w:t xml:space="preserve">Spatial documentation, Conceptual design and location conditions, Approval of the Environmental Impact Assessment Study, </w:t>
            </w:r>
            <w:r w:rsidRPr="00F07779">
              <w:rPr>
                <w:sz w:val="20"/>
                <w:szCs w:val="20"/>
              </w:rPr>
              <w:lastRenderedPageBreak/>
              <w:t>Resolution of property and legal issues, Preliminary project and feasibility study, Energy permit, Construction permit project and construction permit, Preparation of tender documentation, Detailed design, Construction, Commissioning</w:t>
            </w:r>
          </w:p>
        </w:tc>
      </w:tr>
      <w:tr w:rsidR="0010715F" w:rsidRPr="00F07779" w14:paraId="386C35D7" w14:textId="77777777" w:rsidTr="005E3573">
        <w:tc>
          <w:tcPr>
            <w:tcW w:w="2972" w:type="dxa"/>
          </w:tcPr>
          <w:p w14:paraId="56B1D9BD" w14:textId="77777777" w:rsidR="0010715F" w:rsidRPr="00F07779" w:rsidRDefault="0010715F" w:rsidP="005E3573">
            <w:pPr>
              <w:rPr>
                <w:sz w:val="20"/>
                <w:szCs w:val="20"/>
              </w:rPr>
            </w:pPr>
            <w:r w:rsidRPr="00F07779">
              <w:rPr>
                <w:sz w:val="20"/>
                <w:szCs w:val="20"/>
              </w:rPr>
              <w:lastRenderedPageBreak/>
              <w:t>Impact of activity implementation on achieving the objective</w:t>
            </w:r>
          </w:p>
        </w:tc>
        <w:tc>
          <w:tcPr>
            <w:tcW w:w="5743" w:type="dxa"/>
          </w:tcPr>
          <w:p w14:paraId="7FFB0A30" w14:textId="77777777" w:rsidR="0010715F" w:rsidRPr="00F07779" w:rsidRDefault="0010715F" w:rsidP="005E3573">
            <w:pPr>
              <w:rPr>
                <w:sz w:val="20"/>
                <w:szCs w:val="20"/>
              </w:rPr>
            </w:pPr>
            <w:r w:rsidRPr="00F07779">
              <w:rPr>
                <w:sz w:val="20"/>
                <w:szCs w:val="20"/>
              </w:rPr>
              <w:t>Market Development:</w:t>
            </w:r>
          </w:p>
          <w:p w14:paraId="5CC2CE2B" w14:textId="77777777" w:rsidR="0010715F" w:rsidRPr="00F07779" w:rsidRDefault="0010715F" w:rsidP="005E3573">
            <w:pPr>
              <w:rPr>
                <w:sz w:val="20"/>
                <w:szCs w:val="20"/>
              </w:rPr>
            </w:pPr>
            <w:r w:rsidRPr="00F07779">
              <w:rPr>
                <w:sz w:val="20"/>
                <w:szCs w:val="20"/>
              </w:rPr>
              <w:t>Accurate measurement of delivered and received quantities of natural gas is a prerequisite for the development of the natural gas market.</w:t>
            </w:r>
          </w:p>
        </w:tc>
      </w:tr>
      <w:tr w:rsidR="0010715F" w:rsidRPr="00F07779" w14:paraId="07C54A10" w14:textId="77777777" w:rsidTr="005E3573">
        <w:tc>
          <w:tcPr>
            <w:tcW w:w="2972" w:type="dxa"/>
          </w:tcPr>
          <w:p w14:paraId="2A5A5A5D" w14:textId="77777777" w:rsidR="0010715F" w:rsidRPr="00F07779" w:rsidRDefault="0010715F" w:rsidP="005E3573">
            <w:pPr>
              <w:rPr>
                <w:sz w:val="20"/>
                <w:szCs w:val="20"/>
              </w:rPr>
            </w:pPr>
            <w:r w:rsidRPr="00F07779">
              <w:rPr>
                <w:sz w:val="20"/>
                <w:szCs w:val="20"/>
              </w:rPr>
              <w:t>Impact on energy efficiency, climate, and the environment</w:t>
            </w:r>
          </w:p>
        </w:tc>
        <w:tc>
          <w:tcPr>
            <w:tcW w:w="5743" w:type="dxa"/>
          </w:tcPr>
          <w:p w14:paraId="674972C8" w14:textId="77777777" w:rsidR="0010715F" w:rsidRPr="00F07779" w:rsidRDefault="0010715F" w:rsidP="005E3573">
            <w:pPr>
              <w:rPr>
                <w:sz w:val="20"/>
                <w:szCs w:val="20"/>
              </w:rPr>
            </w:pPr>
            <w:r w:rsidRPr="00F07779">
              <w:rPr>
                <w:sz w:val="20"/>
                <w:szCs w:val="20"/>
              </w:rPr>
              <w:t>none</w:t>
            </w:r>
          </w:p>
        </w:tc>
      </w:tr>
    </w:tbl>
    <w:p w14:paraId="36B6EE67" w14:textId="77777777" w:rsidR="0010715F" w:rsidRPr="00F07779" w:rsidRDefault="0010715F" w:rsidP="0010715F">
      <w:pPr>
        <w:rPr>
          <w:rFonts w:eastAsia="Calibri"/>
          <w:color w:val="2F5496"/>
          <w:sz w:val="20"/>
          <w:szCs w:val="20"/>
        </w:rPr>
      </w:pPr>
    </w:p>
    <w:tbl>
      <w:tblPr>
        <w:tblStyle w:val="TableGrid"/>
        <w:tblW w:w="0" w:type="auto"/>
        <w:tblLook w:val="04A0" w:firstRow="1" w:lastRow="0" w:firstColumn="1" w:lastColumn="0" w:noHBand="0" w:noVBand="1"/>
      </w:tblPr>
      <w:tblGrid>
        <w:gridCol w:w="2972"/>
        <w:gridCol w:w="5743"/>
      </w:tblGrid>
      <w:tr w:rsidR="00EB67F2" w:rsidRPr="00F07779" w14:paraId="0496211A" w14:textId="77777777" w:rsidTr="00C4116F">
        <w:tc>
          <w:tcPr>
            <w:tcW w:w="2972" w:type="dxa"/>
            <w:shd w:val="clear" w:color="auto" w:fill="D9D9D9" w:themeFill="background1" w:themeFillShade="D9"/>
          </w:tcPr>
          <w:p w14:paraId="7F6E071D" w14:textId="0DD8B4B9" w:rsidR="00EB67F2" w:rsidRPr="00FA3F57" w:rsidRDefault="00EB67F2" w:rsidP="00EB67F2">
            <w:pPr>
              <w:rPr>
                <w:sz w:val="20"/>
                <w:szCs w:val="20"/>
              </w:rPr>
            </w:pPr>
            <w:r w:rsidRPr="00FA3F57">
              <w:rPr>
                <w:sz w:val="20"/>
                <w:szCs w:val="20"/>
              </w:rPr>
              <w:t>Activity G5.</w:t>
            </w:r>
            <w:r w:rsidRPr="00F07779">
              <w:rPr>
                <w:sz w:val="20"/>
                <w:szCs w:val="20"/>
              </w:rPr>
              <w:t>2</w:t>
            </w:r>
          </w:p>
        </w:tc>
        <w:tc>
          <w:tcPr>
            <w:tcW w:w="5743" w:type="dxa"/>
            <w:shd w:val="clear" w:color="auto" w:fill="D9D9D9" w:themeFill="background1" w:themeFillShade="D9"/>
          </w:tcPr>
          <w:p w14:paraId="3B13E071" w14:textId="28BF5D5C" w:rsidR="00EB67F2" w:rsidRPr="00FA3F57" w:rsidRDefault="00EB67F2" w:rsidP="00EB67F2">
            <w:pPr>
              <w:rPr>
                <w:sz w:val="20"/>
                <w:szCs w:val="20"/>
              </w:rPr>
            </w:pPr>
            <w:r w:rsidRPr="00FA3F57">
              <w:rPr>
                <w:sz w:val="20"/>
                <w:szCs w:val="20"/>
              </w:rPr>
              <w:t xml:space="preserve">Construction of Transfer Station (PPS) in </w:t>
            </w:r>
            <w:proofErr w:type="spellStart"/>
            <w:r w:rsidRPr="00FA3F57">
              <w:rPr>
                <w:sz w:val="20"/>
                <w:szCs w:val="20"/>
              </w:rPr>
              <w:t>Horgoš</w:t>
            </w:r>
            <w:proofErr w:type="spellEnd"/>
          </w:p>
        </w:tc>
      </w:tr>
      <w:tr w:rsidR="00EB67F2" w:rsidRPr="00F07779" w14:paraId="49F992F7" w14:textId="77777777" w:rsidTr="00C4116F">
        <w:tc>
          <w:tcPr>
            <w:tcW w:w="2972" w:type="dxa"/>
          </w:tcPr>
          <w:p w14:paraId="0E8091F4" w14:textId="3243B1EB" w:rsidR="00EB67F2" w:rsidRPr="00FA3F57" w:rsidRDefault="00EB67F2" w:rsidP="00EB67F2">
            <w:pPr>
              <w:rPr>
                <w:sz w:val="20"/>
                <w:szCs w:val="20"/>
              </w:rPr>
            </w:pPr>
            <w:r w:rsidRPr="00FA3F57">
              <w:rPr>
                <w:sz w:val="20"/>
                <w:szCs w:val="20"/>
              </w:rPr>
              <w:t>Description</w:t>
            </w:r>
          </w:p>
        </w:tc>
        <w:tc>
          <w:tcPr>
            <w:tcW w:w="5743" w:type="dxa"/>
          </w:tcPr>
          <w:p w14:paraId="074441C6" w14:textId="2926EE88" w:rsidR="00EB67F2" w:rsidRPr="00FA3F57" w:rsidRDefault="00EB67F2" w:rsidP="00EB67F2">
            <w:pPr>
              <w:rPr>
                <w:sz w:val="20"/>
                <w:szCs w:val="20"/>
              </w:rPr>
            </w:pPr>
            <w:r w:rsidRPr="00FA3F57">
              <w:rPr>
                <w:sz w:val="20"/>
                <w:szCs w:val="20"/>
              </w:rPr>
              <w:t xml:space="preserve">The transfer of natural gas between the transmission system operated by </w:t>
            </w:r>
            <w:proofErr w:type="spellStart"/>
            <w:r w:rsidRPr="00FA3F57">
              <w:rPr>
                <w:sz w:val="20"/>
                <w:szCs w:val="20"/>
              </w:rPr>
              <w:t>Transportgas</w:t>
            </w:r>
            <w:proofErr w:type="spellEnd"/>
            <w:r w:rsidRPr="00FA3F57">
              <w:rPr>
                <w:sz w:val="20"/>
                <w:szCs w:val="20"/>
              </w:rPr>
              <w:t xml:space="preserve"> Serbia and the Hungarian TSO FGSZ takes place at the </w:t>
            </w:r>
            <w:proofErr w:type="spellStart"/>
            <w:r w:rsidRPr="00FA3F57">
              <w:rPr>
                <w:sz w:val="20"/>
                <w:szCs w:val="20"/>
              </w:rPr>
              <w:t>Kiskundorozsma</w:t>
            </w:r>
            <w:proofErr w:type="spellEnd"/>
            <w:r w:rsidRPr="00FA3F57">
              <w:rPr>
                <w:sz w:val="20"/>
                <w:szCs w:val="20"/>
              </w:rPr>
              <w:t xml:space="preserve"> metering station, while control measurements are performed at the </w:t>
            </w:r>
            <w:proofErr w:type="spellStart"/>
            <w:r w:rsidRPr="00FA3F57">
              <w:rPr>
                <w:sz w:val="20"/>
                <w:szCs w:val="20"/>
              </w:rPr>
              <w:t>Horgoš</w:t>
            </w:r>
            <w:proofErr w:type="spellEnd"/>
            <w:r w:rsidRPr="00FA3F57">
              <w:rPr>
                <w:sz w:val="20"/>
                <w:szCs w:val="20"/>
              </w:rPr>
              <w:t xml:space="preserve"> Gas Metering Station (PPS </w:t>
            </w:r>
            <w:proofErr w:type="spellStart"/>
            <w:r w:rsidRPr="00FA3F57">
              <w:rPr>
                <w:sz w:val="20"/>
                <w:szCs w:val="20"/>
              </w:rPr>
              <w:t>Horgoš</w:t>
            </w:r>
            <w:proofErr w:type="spellEnd"/>
            <w:r w:rsidRPr="00FA3F57">
              <w:rPr>
                <w:sz w:val="20"/>
                <w:szCs w:val="20"/>
              </w:rPr>
              <w:t>).</w:t>
            </w:r>
          </w:p>
          <w:p w14:paraId="609C0672" w14:textId="77777777" w:rsidR="00EB67F2" w:rsidRPr="00FA3F57" w:rsidRDefault="00EB67F2" w:rsidP="00EB67F2">
            <w:pPr>
              <w:rPr>
                <w:sz w:val="20"/>
                <w:szCs w:val="20"/>
              </w:rPr>
            </w:pPr>
            <w:r w:rsidRPr="00FA3F57">
              <w:rPr>
                <w:sz w:val="20"/>
                <w:szCs w:val="20"/>
              </w:rPr>
              <w:t xml:space="preserve">The equipment installed at PPS </w:t>
            </w:r>
            <w:proofErr w:type="spellStart"/>
            <w:r w:rsidRPr="00FA3F57">
              <w:rPr>
                <w:sz w:val="20"/>
                <w:szCs w:val="20"/>
              </w:rPr>
              <w:t>Horgoš</w:t>
            </w:r>
            <w:proofErr w:type="spellEnd"/>
            <w:r w:rsidRPr="00FA3F57">
              <w:rPr>
                <w:sz w:val="20"/>
                <w:szCs w:val="20"/>
              </w:rPr>
              <w:t xml:space="preserve"> is outdated, and the measurement method differs from other entry points to the JP </w:t>
            </w:r>
            <w:proofErr w:type="spellStart"/>
            <w:r w:rsidRPr="00FA3F57">
              <w:rPr>
                <w:sz w:val="20"/>
                <w:szCs w:val="20"/>
              </w:rPr>
              <w:t>Srbijagas</w:t>
            </w:r>
            <w:proofErr w:type="spellEnd"/>
            <w:r w:rsidRPr="00FA3F57">
              <w:rPr>
                <w:sz w:val="20"/>
                <w:szCs w:val="20"/>
              </w:rPr>
              <w:t xml:space="preserve"> system, which causes discrepancies in the calculations. In addition, the metering station in Hungary lacks some of the necessary equipment for complete monitoring and verification of gas volumes, and corrections from the Serbian side are not possible due to inadequate equipment at PPS </w:t>
            </w:r>
            <w:proofErr w:type="spellStart"/>
            <w:r w:rsidRPr="00FA3F57">
              <w:rPr>
                <w:sz w:val="20"/>
                <w:szCs w:val="20"/>
              </w:rPr>
              <w:t>Horgoš</w:t>
            </w:r>
            <w:proofErr w:type="spellEnd"/>
            <w:r w:rsidRPr="00FA3F57">
              <w:rPr>
                <w:sz w:val="20"/>
                <w:szCs w:val="20"/>
              </w:rPr>
              <w:t>.</w:t>
            </w:r>
          </w:p>
          <w:p w14:paraId="756BF742" w14:textId="5CB0221F" w:rsidR="00EB67F2" w:rsidRPr="00FA3F57" w:rsidRDefault="00EB67F2" w:rsidP="00EB67F2">
            <w:pPr>
              <w:rPr>
                <w:sz w:val="20"/>
                <w:szCs w:val="20"/>
              </w:rPr>
            </w:pPr>
            <w:r w:rsidRPr="00FA3F57">
              <w:rPr>
                <w:sz w:val="20"/>
                <w:szCs w:val="20"/>
              </w:rPr>
              <w:t>Apart from resolving these issues, the new PPS will also enable the possibility of gas transport from Serbia to Hungary.</w:t>
            </w:r>
          </w:p>
        </w:tc>
      </w:tr>
      <w:tr w:rsidR="00EB67F2" w:rsidRPr="00F07779" w14:paraId="0881A41C" w14:textId="77777777" w:rsidTr="00C4116F">
        <w:tc>
          <w:tcPr>
            <w:tcW w:w="2972" w:type="dxa"/>
          </w:tcPr>
          <w:p w14:paraId="0687EE77" w14:textId="1DCA3075" w:rsidR="00EB67F2" w:rsidRPr="00FA3F57" w:rsidRDefault="00EB67F2" w:rsidP="00EB67F2">
            <w:pPr>
              <w:rPr>
                <w:sz w:val="20"/>
                <w:szCs w:val="20"/>
              </w:rPr>
            </w:pPr>
            <w:r w:rsidRPr="00FA3F57">
              <w:rPr>
                <w:sz w:val="20"/>
                <w:szCs w:val="20"/>
              </w:rPr>
              <w:t>Institutions responsible for implementing measures and activities</w:t>
            </w:r>
          </w:p>
        </w:tc>
        <w:tc>
          <w:tcPr>
            <w:tcW w:w="5743" w:type="dxa"/>
          </w:tcPr>
          <w:p w14:paraId="21826FAB" w14:textId="77777777" w:rsidR="00EB67F2" w:rsidRPr="00FA3F57" w:rsidRDefault="00EB67F2" w:rsidP="00EB67F2">
            <w:pPr>
              <w:rPr>
                <w:sz w:val="20"/>
                <w:szCs w:val="20"/>
              </w:rPr>
            </w:pPr>
            <w:r w:rsidRPr="00FA3F57">
              <w:rPr>
                <w:sz w:val="20"/>
                <w:szCs w:val="20"/>
              </w:rPr>
              <w:t xml:space="preserve">Public Enterprise </w:t>
            </w:r>
            <w:proofErr w:type="spellStart"/>
            <w:r w:rsidRPr="00FA3F57">
              <w:rPr>
                <w:sz w:val="20"/>
                <w:szCs w:val="20"/>
              </w:rPr>
              <w:t>Srbijagas</w:t>
            </w:r>
            <w:proofErr w:type="spellEnd"/>
          </w:p>
          <w:p w14:paraId="0DBC3673" w14:textId="2402B3B6" w:rsidR="00EB67F2" w:rsidRPr="00FA3F57" w:rsidRDefault="00EB67F2" w:rsidP="00EB67F2">
            <w:pPr>
              <w:rPr>
                <w:sz w:val="20"/>
                <w:szCs w:val="20"/>
              </w:rPr>
            </w:pPr>
            <w:proofErr w:type="spellStart"/>
            <w:r w:rsidRPr="00FA3F57">
              <w:rPr>
                <w:sz w:val="20"/>
                <w:szCs w:val="20"/>
              </w:rPr>
              <w:t>Transportgas</w:t>
            </w:r>
            <w:proofErr w:type="spellEnd"/>
            <w:r w:rsidRPr="00FA3F57">
              <w:rPr>
                <w:sz w:val="20"/>
                <w:szCs w:val="20"/>
              </w:rPr>
              <w:t xml:space="preserve"> Serbia LLC</w:t>
            </w:r>
          </w:p>
        </w:tc>
      </w:tr>
      <w:tr w:rsidR="00EB67F2" w:rsidRPr="00F07779" w14:paraId="78341F0C" w14:textId="77777777" w:rsidTr="00C4116F">
        <w:tc>
          <w:tcPr>
            <w:tcW w:w="2972" w:type="dxa"/>
          </w:tcPr>
          <w:p w14:paraId="708180D7" w14:textId="6ADD70D4" w:rsidR="00EB67F2" w:rsidRPr="00FA3F57" w:rsidRDefault="00EB67F2" w:rsidP="00EB67F2">
            <w:pPr>
              <w:rPr>
                <w:sz w:val="20"/>
                <w:szCs w:val="20"/>
              </w:rPr>
            </w:pPr>
            <w:r w:rsidRPr="00FA3F57">
              <w:rPr>
                <w:sz w:val="20"/>
                <w:szCs w:val="20"/>
              </w:rPr>
              <w:t>Institutions responsible for monitoring implementation and reporting on progress</w:t>
            </w:r>
          </w:p>
        </w:tc>
        <w:tc>
          <w:tcPr>
            <w:tcW w:w="5743" w:type="dxa"/>
          </w:tcPr>
          <w:p w14:paraId="15CE9B65" w14:textId="72CEB24E" w:rsidR="00EB67F2" w:rsidRPr="00F07779" w:rsidRDefault="00EB67F2" w:rsidP="00EB67F2">
            <w:pPr>
              <w:rPr>
                <w:sz w:val="20"/>
                <w:szCs w:val="20"/>
              </w:rPr>
            </w:pPr>
            <w:r w:rsidRPr="00F07779">
              <w:rPr>
                <w:sz w:val="20"/>
                <w:szCs w:val="20"/>
              </w:rPr>
              <w:t>- Ministry of Mining and Energy</w:t>
            </w:r>
          </w:p>
          <w:p w14:paraId="1D8E53DE" w14:textId="322C2A43" w:rsidR="00EB67F2" w:rsidRPr="00FA3F57" w:rsidRDefault="00EB67F2" w:rsidP="00EB67F2">
            <w:pPr>
              <w:rPr>
                <w:sz w:val="20"/>
                <w:szCs w:val="20"/>
              </w:rPr>
            </w:pPr>
            <w:r w:rsidRPr="00F07779">
              <w:rPr>
                <w:sz w:val="20"/>
                <w:szCs w:val="20"/>
              </w:rPr>
              <w:t>- Ministry of Construction, Transport, and Infrastructure</w:t>
            </w:r>
          </w:p>
        </w:tc>
      </w:tr>
      <w:tr w:rsidR="00EB67F2" w:rsidRPr="00F07779" w14:paraId="0B9966E6" w14:textId="77777777" w:rsidTr="00C4116F">
        <w:tc>
          <w:tcPr>
            <w:tcW w:w="2972" w:type="dxa"/>
          </w:tcPr>
          <w:p w14:paraId="0298006E" w14:textId="100A5ACA" w:rsidR="00EB67F2" w:rsidRPr="00FA3F57" w:rsidRDefault="00EB67F2" w:rsidP="00EB67F2">
            <w:pPr>
              <w:rPr>
                <w:sz w:val="20"/>
                <w:szCs w:val="20"/>
              </w:rPr>
            </w:pPr>
            <w:r w:rsidRPr="00FA3F57">
              <w:rPr>
                <w:sz w:val="20"/>
                <w:szCs w:val="20"/>
              </w:rPr>
              <w:t>Deadline for implementation</w:t>
            </w:r>
          </w:p>
        </w:tc>
        <w:tc>
          <w:tcPr>
            <w:tcW w:w="5743" w:type="dxa"/>
          </w:tcPr>
          <w:p w14:paraId="1C553330" w14:textId="4AF734A8" w:rsidR="00EB67F2" w:rsidRPr="00FA3F57" w:rsidRDefault="00EB67F2" w:rsidP="00EB67F2">
            <w:pPr>
              <w:rPr>
                <w:sz w:val="20"/>
                <w:szCs w:val="20"/>
              </w:rPr>
            </w:pPr>
            <w:r w:rsidRPr="00FA3F57">
              <w:rPr>
                <w:sz w:val="20"/>
                <w:szCs w:val="20"/>
              </w:rPr>
              <w:t>2026</w:t>
            </w:r>
            <w:r w:rsidR="00C41C74" w:rsidRPr="00FA3F57">
              <w:rPr>
                <w:sz w:val="20"/>
                <w:szCs w:val="20"/>
              </w:rPr>
              <w:t>.</w:t>
            </w:r>
          </w:p>
        </w:tc>
      </w:tr>
      <w:tr w:rsidR="00EB67F2" w:rsidRPr="00F07779" w14:paraId="6DAC5F43" w14:textId="77777777" w:rsidTr="00C4116F">
        <w:tc>
          <w:tcPr>
            <w:tcW w:w="2972" w:type="dxa"/>
          </w:tcPr>
          <w:p w14:paraId="170D415A" w14:textId="3C21379F" w:rsidR="00EB67F2" w:rsidRPr="00FA3F57" w:rsidRDefault="00EB67F2" w:rsidP="00EB67F2">
            <w:pPr>
              <w:rPr>
                <w:sz w:val="20"/>
                <w:szCs w:val="20"/>
              </w:rPr>
            </w:pPr>
            <w:r w:rsidRPr="00FA3F57">
              <w:rPr>
                <w:sz w:val="20"/>
                <w:szCs w:val="20"/>
              </w:rPr>
              <w:t>Required funds and source of financing</w:t>
            </w:r>
          </w:p>
        </w:tc>
        <w:tc>
          <w:tcPr>
            <w:tcW w:w="5743" w:type="dxa"/>
          </w:tcPr>
          <w:p w14:paraId="59C04921" w14:textId="7F25C540" w:rsidR="00EB67F2" w:rsidRPr="00F07779" w:rsidRDefault="00EB67F2" w:rsidP="00EB67F2">
            <w:pPr>
              <w:rPr>
                <w:sz w:val="20"/>
                <w:szCs w:val="20"/>
              </w:rPr>
            </w:pPr>
            <w:r w:rsidRPr="00F07779">
              <w:rPr>
                <w:sz w:val="20"/>
                <w:szCs w:val="20"/>
              </w:rPr>
              <w:t>EUR 20 million (RSD 2,350 million)</w:t>
            </w:r>
          </w:p>
          <w:p w14:paraId="37D12605" w14:textId="40C25F83" w:rsidR="00EB67F2" w:rsidRPr="00FA3F57" w:rsidRDefault="00EB67F2" w:rsidP="00EB67F2">
            <w:pPr>
              <w:rPr>
                <w:sz w:val="20"/>
                <w:szCs w:val="20"/>
              </w:rPr>
            </w:pPr>
            <w:r w:rsidRPr="00F07779">
              <w:rPr>
                <w:sz w:val="20"/>
                <w:szCs w:val="20"/>
              </w:rPr>
              <w:t>Loans from domestic commercial banks</w:t>
            </w:r>
          </w:p>
        </w:tc>
      </w:tr>
      <w:tr w:rsidR="00EB67F2" w:rsidRPr="00F07779" w14:paraId="06F82150" w14:textId="77777777" w:rsidTr="00C4116F">
        <w:tc>
          <w:tcPr>
            <w:tcW w:w="2972" w:type="dxa"/>
          </w:tcPr>
          <w:p w14:paraId="08CF7831" w14:textId="2DB72EE9" w:rsidR="00EB67F2" w:rsidRPr="00FA3F57" w:rsidRDefault="00EB67F2" w:rsidP="00EB67F2">
            <w:pPr>
              <w:rPr>
                <w:sz w:val="20"/>
                <w:szCs w:val="20"/>
              </w:rPr>
            </w:pPr>
            <w:r w:rsidRPr="00FA3F57">
              <w:rPr>
                <w:sz w:val="20"/>
                <w:szCs w:val="20"/>
              </w:rPr>
              <w:t>Implementation indicator</w:t>
            </w:r>
          </w:p>
        </w:tc>
        <w:tc>
          <w:tcPr>
            <w:tcW w:w="5743" w:type="dxa"/>
          </w:tcPr>
          <w:p w14:paraId="4A72D33A" w14:textId="77777777" w:rsidR="00EB67F2" w:rsidRPr="00F07779" w:rsidRDefault="00EB67F2" w:rsidP="00EB67F2">
            <w:pPr>
              <w:rPr>
                <w:sz w:val="20"/>
                <w:szCs w:val="20"/>
              </w:rPr>
            </w:pPr>
            <w:r w:rsidRPr="00F07779">
              <w:rPr>
                <w:sz w:val="20"/>
                <w:szCs w:val="20"/>
              </w:rPr>
              <w:t>Implementation Phase:</w:t>
            </w:r>
          </w:p>
          <w:p w14:paraId="09A12AEB" w14:textId="321E3B34" w:rsidR="00EB67F2" w:rsidRPr="00FA3F57" w:rsidRDefault="00EB67F2" w:rsidP="00EB67F2">
            <w:pPr>
              <w:rPr>
                <w:sz w:val="20"/>
                <w:szCs w:val="20"/>
              </w:rPr>
            </w:pPr>
            <w:r w:rsidRPr="00F07779">
              <w:rPr>
                <w:sz w:val="20"/>
                <w:szCs w:val="20"/>
              </w:rPr>
              <w:t>Spatial documentation, Conceptual design and location conditions, Approval of the Environmental Impact Assessment Study, Resolution of property and legal issues, Preliminary project and feasibility study, Energy permit, Construction permit project and construction permit, Preparation of tender documentation, Detailed design, Construction, Commissioning</w:t>
            </w:r>
          </w:p>
        </w:tc>
      </w:tr>
      <w:tr w:rsidR="00EB67F2" w:rsidRPr="00F07779" w14:paraId="030264B1" w14:textId="77777777" w:rsidTr="00C4116F">
        <w:tc>
          <w:tcPr>
            <w:tcW w:w="2972" w:type="dxa"/>
          </w:tcPr>
          <w:p w14:paraId="7822A66B" w14:textId="06B6B496" w:rsidR="00EB67F2" w:rsidRPr="00FA3F57" w:rsidRDefault="00EB67F2" w:rsidP="00EB67F2">
            <w:pPr>
              <w:rPr>
                <w:sz w:val="20"/>
                <w:szCs w:val="20"/>
              </w:rPr>
            </w:pPr>
            <w:r w:rsidRPr="00FA3F57">
              <w:rPr>
                <w:sz w:val="20"/>
                <w:szCs w:val="20"/>
              </w:rPr>
              <w:t>Impact of activity implementation on achieving the objective</w:t>
            </w:r>
          </w:p>
        </w:tc>
        <w:tc>
          <w:tcPr>
            <w:tcW w:w="5743" w:type="dxa"/>
          </w:tcPr>
          <w:p w14:paraId="64574517" w14:textId="3B90E28D" w:rsidR="00EB67F2" w:rsidRPr="00FA3F57" w:rsidRDefault="00EB67F2" w:rsidP="00EB67F2">
            <w:pPr>
              <w:rPr>
                <w:sz w:val="20"/>
                <w:szCs w:val="20"/>
              </w:rPr>
            </w:pPr>
            <w:r w:rsidRPr="00FA3F57">
              <w:rPr>
                <w:sz w:val="20"/>
                <w:szCs w:val="20"/>
              </w:rPr>
              <w:t>Market Development:</w:t>
            </w:r>
            <w:r w:rsidRPr="00F07779">
              <w:rPr>
                <w:sz w:val="20"/>
                <w:szCs w:val="20"/>
              </w:rPr>
              <w:br/>
              <w:t>Accurate measurement of delivered and received quantities of natural gas is a prerequisite for the development of the natural gas market.</w:t>
            </w:r>
          </w:p>
        </w:tc>
      </w:tr>
      <w:tr w:rsidR="00EB67F2" w:rsidRPr="00F07779" w14:paraId="300D88DC" w14:textId="77777777" w:rsidTr="00C4116F">
        <w:tc>
          <w:tcPr>
            <w:tcW w:w="2972" w:type="dxa"/>
          </w:tcPr>
          <w:p w14:paraId="0DDD8BE8" w14:textId="21698683" w:rsidR="00EB67F2" w:rsidRPr="00FA3F57" w:rsidRDefault="00EB67F2" w:rsidP="00EB67F2">
            <w:pPr>
              <w:rPr>
                <w:sz w:val="20"/>
                <w:szCs w:val="20"/>
              </w:rPr>
            </w:pPr>
            <w:r w:rsidRPr="00FA3F57">
              <w:rPr>
                <w:sz w:val="20"/>
                <w:szCs w:val="20"/>
              </w:rPr>
              <w:t>Impact on energy efficiency, climate, and the environment</w:t>
            </w:r>
          </w:p>
        </w:tc>
        <w:tc>
          <w:tcPr>
            <w:tcW w:w="5743" w:type="dxa"/>
          </w:tcPr>
          <w:p w14:paraId="074D0034" w14:textId="2D65A877" w:rsidR="00EB67F2" w:rsidRPr="00FA3F57" w:rsidRDefault="00EB67F2" w:rsidP="00EB67F2">
            <w:pPr>
              <w:rPr>
                <w:sz w:val="20"/>
                <w:szCs w:val="20"/>
              </w:rPr>
            </w:pPr>
            <w:r w:rsidRPr="00FA3F57">
              <w:rPr>
                <w:sz w:val="20"/>
                <w:szCs w:val="20"/>
              </w:rPr>
              <w:t>none</w:t>
            </w:r>
          </w:p>
        </w:tc>
      </w:tr>
    </w:tbl>
    <w:p w14:paraId="4FE55E59" w14:textId="77777777" w:rsidR="00EB67F2" w:rsidRPr="00F07779" w:rsidRDefault="00EB67F2" w:rsidP="0010715F">
      <w:pPr>
        <w:rPr>
          <w:rFonts w:eastAsia="Calibri"/>
          <w:color w:val="2F5496"/>
          <w:sz w:val="20"/>
          <w:szCs w:val="20"/>
        </w:rPr>
      </w:pPr>
    </w:p>
    <w:tbl>
      <w:tblPr>
        <w:tblStyle w:val="TableGrid"/>
        <w:tblW w:w="0" w:type="auto"/>
        <w:tblLook w:val="04A0" w:firstRow="1" w:lastRow="0" w:firstColumn="1" w:lastColumn="0" w:noHBand="0" w:noVBand="1"/>
      </w:tblPr>
      <w:tblGrid>
        <w:gridCol w:w="2972"/>
        <w:gridCol w:w="5743"/>
      </w:tblGrid>
      <w:tr w:rsidR="00EB67F2" w:rsidRPr="00F07779" w14:paraId="1C1D3879" w14:textId="77777777" w:rsidTr="00C4116F">
        <w:tc>
          <w:tcPr>
            <w:tcW w:w="2972" w:type="dxa"/>
            <w:shd w:val="clear" w:color="auto" w:fill="D9D9D9" w:themeFill="background1" w:themeFillShade="D9"/>
          </w:tcPr>
          <w:p w14:paraId="75F9B363" w14:textId="1370676E" w:rsidR="00EB67F2" w:rsidRPr="00FA3F57" w:rsidRDefault="00EB67F2" w:rsidP="00EB67F2">
            <w:pPr>
              <w:rPr>
                <w:sz w:val="20"/>
                <w:szCs w:val="20"/>
              </w:rPr>
            </w:pPr>
            <w:r w:rsidRPr="00FA3F57">
              <w:rPr>
                <w:sz w:val="20"/>
                <w:szCs w:val="20"/>
              </w:rPr>
              <w:t>Activity G5.</w:t>
            </w:r>
            <w:r w:rsidRPr="00F07779">
              <w:rPr>
                <w:sz w:val="20"/>
                <w:szCs w:val="20"/>
              </w:rPr>
              <w:t>3</w:t>
            </w:r>
          </w:p>
        </w:tc>
        <w:tc>
          <w:tcPr>
            <w:tcW w:w="5743" w:type="dxa"/>
            <w:shd w:val="clear" w:color="auto" w:fill="D9D9D9" w:themeFill="background1" w:themeFillShade="D9"/>
          </w:tcPr>
          <w:p w14:paraId="0763D634" w14:textId="56657CED" w:rsidR="00EB67F2" w:rsidRPr="00FA3F57" w:rsidRDefault="00EB67F2" w:rsidP="00EB67F2">
            <w:pPr>
              <w:rPr>
                <w:sz w:val="20"/>
                <w:szCs w:val="20"/>
              </w:rPr>
            </w:pPr>
            <w:r w:rsidRPr="00FA3F57">
              <w:rPr>
                <w:sz w:val="20"/>
                <w:szCs w:val="20"/>
              </w:rPr>
              <w:t xml:space="preserve">Construction of Transfer Station (PPS) PSG </w:t>
            </w:r>
            <w:proofErr w:type="spellStart"/>
            <w:r w:rsidRPr="00FA3F57">
              <w:rPr>
                <w:sz w:val="20"/>
                <w:szCs w:val="20"/>
              </w:rPr>
              <w:t>Banatski</w:t>
            </w:r>
            <w:proofErr w:type="spellEnd"/>
            <w:r w:rsidRPr="00FA3F57">
              <w:rPr>
                <w:sz w:val="20"/>
                <w:szCs w:val="20"/>
              </w:rPr>
              <w:t xml:space="preserve"> </w:t>
            </w:r>
            <w:proofErr w:type="spellStart"/>
            <w:r w:rsidRPr="00FA3F57">
              <w:rPr>
                <w:sz w:val="20"/>
                <w:szCs w:val="20"/>
              </w:rPr>
              <w:t>Dvor</w:t>
            </w:r>
            <w:proofErr w:type="spellEnd"/>
          </w:p>
        </w:tc>
      </w:tr>
      <w:tr w:rsidR="00EB67F2" w:rsidRPr="00F07779" w14:paraId="37E28EE5" w14:textId="77777777" w:rsidTr="00C4116F">
        <w:tc>
          <w:tcPr>
            <w:tcW w:w="2972" w:type="dxa"/>
          </w:tcPr>
          <w:p w14:paraId="280C3A8C" w14:textId="6565E899" w:rsidR="00EB67F2" w:rsidRPr="00FA3F57" w:rsidRDefault="00EB67F2" w:rsidP="00EB67F2">
            <w:pPr>
              <w:rPr>
                <w:sz w:val="20"/>
                <w:szCs w:val="20"/>
              </w:rPr>
            </w:pPr>
            <w:r w:rsidRPr="00FA3F57">
              <w:rPr>
                <w:sz w:val="20"/>
                <w:szCs w:val="20"/>
              </w:rPr>
              <w:t>Description</w:t>
            </w:r>
          </w:p>
        </w:tc>
        <w:tc>
          <w:tcPr>
            <w:tcW w:w="5743" w:type="dxa"/>
          </w:tcPr>
          <w:p w14:paraId="5960CA22" w14:textId="36D8C6A7" w:rsidR="00DF1DA8" w:rsidRPr="00FA3F57" w:rsidRDefault="00DF1DA8" w:rsidP="00DF1DA8">
            <w:pPr>
              <w:rPr>
                <w:sz w:val="20"/>
                <w:szCs w:val="20"/>
              </w:rPr>
            </w:pPr>
            <w:r w:rsidRPr="00FA3F57">
              <w:rPr>
                <w:sz w:val="20"/>
                <w:szCs w:val="20"/>
              </w:rPr>
              <w:t xml:space="preserve">The transfer of natural gas between the transmission system operated by </w:t>
            </w:r>
            <w:proofErr w:type="spellStart"/>
            <w:r w:rsidRPr="00FA3F57">
              <w:rPr>
                <w:sz w:val="20"/>
                <w:szCs w:val="20"/>
              </w:rPr>
              <w:t>Transportgas</w:t>
            </w:r>
            <w:proofErr w:type="spellEnd"/>
            <w:r w:rsidRPr="00FA3F57">
              <w:rPr>
                <w:sz w:val="20"/>
                <w:szCs w:val="20"/>
              </w:rPr>
              <w:t xml:space="preserve"> Serbia and the </w:t>
            </w:r>
            <w:proofErr w:type="spellStart"/>
            <w:r w:rsidRPr="00FA3F57">
              <w:rPr>
                <w:sz w:val="20"/>
                <w:szCs w:val="20"/>
              </w:rPr>
              <w:t>Banatski</w:t>
            </w:r>
            <w:proofErr w:type="spellEnd"/>
            <w:r w:rsidRPr="00FA3F57">
              <w:rPr>
                <w:sz w:val="20"/>
                <w:szCs w:val="20"/>
              </w:rPr>
              <w:t xml:space="preserve"> </w:t>
            </w:r>
            <w:proofErr w:type="spellStart"/>
            <w:r w:rsidRPr="00FA3F57">
              <w:rPr>
                <w:sz w:val="20"/>
                <w:szCs w:val="20"/>
              </w:rPr>
              <w:t>Dvor</w:t>
            </w:r>
            <w:proofErr w:type="spellEnd"/>
            <w:r w:rsidRPr="00FA3F57">
              <w:rPr>
                <w:sz w:val="20"/>
                <w:szCs w:val="20"/>
              </w:rPr>
              <w:t xml:space="preserve"> Underground Gas Storage (UGS) facility is carried out via a metering station (MS) consisting of three ultrasonic meters. These meters are physically installed inside the facility and do not comply with the regulations and functional requirements for fiscal metering points. Moreover, the existing metering station does not have sufficient capacity to measure the quantities of natural gas planned after the expansion of the underground storage.</w:t>
            </w:r>
          </w:p>
          <w:p w14:paraId="782ED65C" w14:textId="71377348" w:rsidR="00EB67F2" w:rsidRPr="00FA3F57" w:rsidRDefault="00DF1DA8" w:rsidP="00DF1DA8">
            <w:pPr>
              <w:rPr>
                <w:sz w:val="20"/>
                <w:szCs w:val="20"/>
              </w:rPr>
            </w:pPr>
            <w:r w:rsidRPr="00FA3F57">
              <w:rPr>
                <w:sz w:val="20"/>
                <w:szCs w:val="20"/>
              </w:rPr>
              <w:t xml:space="preserve">The construction of the new PPS </w:t>
            </w:r>
            <w:proofErr w:type="spellStart"/>
            <w:r w:rsidRPr="00FA3F57">
              <w:rPr>
                <w:sz w:val="20"/>
                <w:szCs w:val="20"/>
              </w:rPr>
              <w:t>Banatski</w:t>
            </w:r>
            <w:proofErr w:type="spellEnd"/>
            <w:r w:rsidRPr="00FA3F57">
              <w:rPr>
                <w:sz w:val="20"/>
                <w:szCs w:val="20"/>
              </w:rPr>
              <w:t xml:space="preserve"> </w:t>
            </w:r>
            <w:proofErr w:type="spellStart"/>
            <w:r w:rsidRPr="00FA3F57">
              <w:rPr>
                <w:sz w:val="20"/>
                <w:szCs w:val="20"/>
              </w:rPr>
              <w:t>Dvor</w:t>
            </w:r>
            <w:proofErr w:type="spellEnd"/>
            <w:r w:rsidRPr="00FA3F57">
              <w:rPr>
                <w:sz w:val="20"/>
                <w:szCs w:val="20"/>
              </w:rPr>
              <w:t xml:space="preserve"> will resolve these issues.</w:t>
            </w:r>
          </w:p>
        </w:tc>
      </w:tr>
      <w:tr w:rsidR="00EB67F2" w:rsidRPr="00F07779" w14:paraId="2BC8031E" w14:textId="77777777" w:rsidTr="00C4116F">
        <w:tc>
          <w:tcPr>
            <w:tcW w:w="2972" w:type="dxa"/>
          </w:tcPr>
          <w:p w14:paraId="0990AA42" w14:textId="3875ADF5" w:rsidR="00EB67F2" w:rsidRPr="00FA3F57" w:rsidRDefault="00EB67F2" w:rsidP="00EB67F2">
            <w:pPr>
              <w:rPr>
                <w:sz w:val="20"/>
                <w:szCs w:val="20"/>
              </w:rPr>
            </w:pPr>
            <w:r w:rsidRPr="00FA3F57">
              <w:rPr>
                <w:sz w:val="20"/>
                <w:szCs w:val="20"/>
              </w:rPr>
              <w:lastRenderedPageBreak/>
              <w:t>Institutions responsible for implementing measures and activities</w:t>
            </w:r>
          </w:p>
        </w:tc>
        <w:tc>
          <w:tcPr>
            <w:tcW w:w="5743" w:type="dxa"/>
          </w:tcPr>
          <w:p w14:paraId="3F4E5969" w14:textId="77777777" w:rsidR="00DF1DA8" w:rsidRPr="00FA3F57" w:rsidRDefault="00DF1DA8" w:rsidP="00DF1DA8">
            <w:pPr>
              <w:rPr>
                <w:sz w:val="20"/>
                <w:szCs w:val="20"/>
              </w:rPr>
            </w:pPr>
            <w:r w:rsidRPr="00FA3F57">
              <w:rPr>
                <w:sz w:val="20"/>
                <w:szCs w:val="20"/>
              </w:rPr>
              <w:t xml:space="preserve">Public Enterprise </w:t>
            </w:r>
            <w:proofErr w:type="spellStart"/>
            <w:r w:rsidRPr="00FA3F57">
              <w:rPr>
                <w:sz w:val="20"/>
                <w:szCs w:val="20"/>
              </w:rPr>
              <w:t>Srbijagas</w:t>
            </w:r>
            <w:proofErr w:type="spellEnd"/>
          </w:p>
          <w:p w14:paraId="70594564" w14:textId="3BC8ED02" w:rsidR="00EB67F2" w:rsidRPr="00FA3F57" w:rsidRDefault="00DF1DA8" w:rsidP="00DF1DA8">
            <w:pPr>
              <w:rPr>
                <w:sz w:val="20"/>
                <w:szCs w:val="20"/>
              </w:rPr>
            </w:pPr>
            <w:proofErr w:type="spellStart"/>
            <w:r w:rsidRPr="00FA3F57">
              <w:rPr>
                <w:sz w:val="20"/>
                <w:szCs w:val="20"/>
              </w:rPr>
              <w:t>Transportgas</w:t>
            </w:r>
            <w:proofErr w:type="spellEnd"/>
            <w:r w:rsidRPr="00FA3F57">
              <w:rPr>
                <w:sz w:val="20"/>
                <w:szCs w:val="20"/>
              </w:rPr>
              <w:t xml:space="preserve"> Serbia LLC</w:t>
            </w:r>
          </w:p>
        </w:tc>
      </w:tr>
      <w:tr w:rsidR="00EB67F2" w:rsidRPr="00F07779" w14:paraId="77C42270" w14:textId="77777777" w:rsidTr="00C4116F">
        <w:tc>
          <w:tcPr>
            <w:tcW w:w="2972" w:type="dxa"/>
          </w:tcPr>
          <w:p w14:paraId="332C5E0E" w14:textId="1FF1520A" w:rsidR="00EB67F2" w:rsidRPr="00FA3F57" w:rsidRDefault="00EB67F2" w:rsidP="00EB67F2">
            <w:pPr>
              <w:rPr>
                <w:sz w:val="20"/>
                <w:szCs w:val="20"/>
              </w:rPr>
            </w:pPr>
            <w:r w:rsidRPr="00FA3F57">
              <w:rPr>
                <w:sz w:val="20"/>
                <w:szCs w:val="20"/>
              </w:rPr>
              <w:t>Institutions responsible for monitoring implementation and reporting on progress</w:t>
            </w:r>
          </w:p>
        </w:tc>
        <w:tc>
          <w:tcPr>
            <w:tcW w:w="5743" w:type="dxa"/>
          </w:tcPr>
          <w:p w14:paraId="7B46746A" w14:textId="77777777" w:rsidR="00DF1DA8" w:rsidRPr="00FA3F57" w:rsidRDefault="00DF1DA8" w:rsidP="00DF1DA8">
            <w:pPr>
              <w:rPr>
                <w:sz w:val="20"/>
                <w:szCs w:val="20"/>
              </w:rPr>
            </w:pPr>
            <w:r w:rsidRPr="00FA3F57">
              <w:rPr>
                <w:sz w:val="20"/>
                <w:szCs w:val="20"/>
              </w:rPr>
              <w:t>- Ministry of Mining and Energy</w:t>
            </w:r>
          </w:p>
          <w:p w14:paraId="38503313" w14:textId="58ED10C0" w:rsidR="00EB67F2" w:rsidRPr="00FA3F57" w:rsidRDefault="00DF1DA8" w:rsidP="00DF1DA8">
            <w:pPr>
              <w:rPr>
                <w:sz w:val="20"/>
                <w:szCs w:val="20"/>
              </w:rPr>
            </w:pPr>
            <w:r w:rsidRPr="00FA3F57">
              <w:rPr>
                <w:sz w:val="20"/>
                <w:szCs w:val="20"/>
              </w:rPr>
              <w:t>- Ministry of Construction, Transport, and Infrastructure</w:t>
            </w:r>
          </w:p>
        </w:tc>
      </w:tr>
      <w:tr w:rsidR="00EB67F2" w:rsidRPr="00F07779" w14:paraId="78063D1E" w14:textId="77777777" w:rsidTr="00C4116F">
        <w:tc>
          <w:tcPr>
            <w:tcW w:w="2972" w:type="dxa"/>
          </w:tcPr>
          <w:p w14:paraId="3A6A07EB" w14:textId="792A91AF" w:rsidR="00EB67F2" w:rsidRPr="00FA3F57" w:rsidRDefault="00EB67F2" w:rsidP="00EB67F2">
            <w:pPr>
              <w:rPr>
                <w:sz w:val="20"/>
                <w:szCs w:val="20"/>
              </w:rPr>
            </w:pPr>
            <w:r w:rsidRPr="00FA3F57">
              <w:rPr>
                <w:sz w:val="20"/>
                <w:szCs w:val="20"/>
              </w:rPr>
              <w:t>Deadline for implementation</w:t>
            </w:r>
          </w:p>
        </w:tc>
        <w:tc>
          <w:tcPr>
            <w:tcW w:w="5743" w:type="dxa"/>
          </w:tcPr>
          <w:p w14:paraId="10BE8523" w14:textId="1BA9D362" w:rsidR="00EB67F2" w:rsidRPr="00FA3F57" w:rsidRDefault="00EB67F2" w:rsidP="00EB67F2">
            <w:pPr>
              <w:rPr>
                <w:sz w:val="20"/>
                <w:szCs w:val="20"/>
              </w:rPr>
            </w:pPr>
            <w:r w:rsidRPr="00FA3F57">
              <w:rPr>
                <w:sz w:val="20"/>
                <w:szCs w:val="20"/>
              </w:rPr>
              <w:t>2026</w:t>
            </w:r>
            <w:r w:rsidR="00C41C74" w:rsidRPr="00FA3F57">
              <w:rPr>
                <w:sz w:val="20"/>
                <w:szCs w:val="20"/>
              </w:rPr>
              <w:t>.</w:t>
            </w:r>
          </w:p>
        </w:tc>
      </w:tr>
      <w:tr w:rsidR="00EB67F2" w:rsidRPr="00F07779" w14:paraId="0E7C25B5" w14:textId="77777777" w:rsidTr="00C4116F">
        <w:tc>
          <w:tcPr>
            <w:tcW w:w="2972" w:type="dxa"/>
          </w:tcPr>
          <w:p w14:paraId="2263AAF3" w14:textId="0611D7CF" w:rsidR="00EB67F2" w:rsidRPr="00FA3F57" w:rsidRDefault="00EB67F2" w:rsidP="00EB67F2">
            <w:pPr>
              <w:rPr>
                <w:sz w:val="20"/>
                <w:szCs w:val="20"/>
              </w:rPr>
            </w:pPr>
            <w:r w:rsidRPr="00FA3F57">
              <w:rPr>
                <w:sz w:val="20"/>
                <w:szCs w:val="20"/>
              </w:rPr>
              <w:t>Required funds and source of financing</w:t>
            </w:r>
          </w:p>
        </w:tc>
        <w:tc>
          <w:tcPr>
            <w:tcW w:w="5743" w:type="dxa"/>
          </w:tcPr>
          <w:p w14:paraId="73328FBE" w14:textId="77777777" w:rsidR="00DF1DA8" w:rsidRPr="00FA3F57" w:rsidRDefault="00DF1DA8" w:rsidP="00DF1DA8">
            <w:pPr>
              <w:rPr>
                <w:sz w:val="20"/>
                <w:szCs w:val="20"/>
              </w:rPr>
            </w:pPr>
            <w:r w:rsidRPr="00FA3F57">
              <w:rPr>
                <w:sz w:val="20"/>
                <w:szCs w:val="20"/>
              </w:rPr>
              <w:t>EUR 20 million (RSD 2,350 million)</w:t>
            </w:r>
          </w:p>
          <w:p w14:paraId="350B5301" w14:textId="75C153CC" w:rsidR="00EB67F2" w:rsidRPr="00FA3F57" w:rsidRDefault="00DF1DA8" w:rsidP="00DF1DA8">
            <w:pPr>
              <w:rPr>
                <w:sz w:val="20"/>
                <w:szCs w:val="20"/>
              </w:rPr>
            </w:pPr>
            <w:r w:rsidRPr="00FA3F57">
              <w:rPr>
                <w:sz w:val="20"/>
                <w:szCs w:val="20"/>
              </w:rPr>
              <w:t>Loans from domestic commercial banks</w:t>
            </w:r>
          </w:p>
        </w:tc>
      </w:tr>
      <w:tr w:rsidR="00EB67F2" w:rsidRPr="00F07779" w14:paraId="436568C5" w14:textId="77777777" w:rsidTr="00C4116F">
        <w:tc>
          <w:tcPr>
            <w:tcW w:w="2972" w:type="dxa"/>
          </w:tcPr>
          <w:p w14:paraId="4BBF4A26" w14:textId="4D6F040A" w:rsidR="00EB67F2" w:rsidRPr="00FA3F57" w:rsidRDefault="00EB67F2" w:rsidP="00EB67F2">
            <w:pPr>
              <w:rPr>
                <w:sz w:val="20"/>
                <w:szCs w:val="20"/>
              </w:rPr>
            </w:pPr>
            <w:r w:rsidRPr="00FA3F57">
              <w:rPr>
                <w:sz w:val="20"/>
                <w:szCs w:val="20"/>
              </w:rPr>
              <w:t>Implementation indicator</w:t>
            </w:r>
          </w:p>
        </w:tc>
        <w:tc>
          <w:tcPr>
            <w:tcW w:w="5743" w:type="dxa"/>
          </w:tcPr>
          <w:p w14:paraId="026B2523" w14:textId="77777777" w:rsidR="00EB67F2" w:rsidRPr="00FA3F57" w:rsidRDefault="00EB67F2" w:rsidP="00EB67F2">
            <w:pPr>
              <w:rPr>
                <w:sz w:val="20"/>
                <w:szCs w:val="20"/>
              </w:rPr>
            </w:pPr>
            <w:r w:rsidRPr="00FA3F57">
              <w:rPr>
                <w:sz w:val="20"/>
                <w:szCs w:val="20"/>
              </w:rPr>
              <w:t>Implementation Phase:</w:t>
            </w:r>
          </w:p>
          <w:p w14:paraId="1B205B90" w14:textId="637C53AE" w:rsidR="00EB67F2" w:rsidRPr="00FA3F57" w:rsidRDefault="00EB67F2" w:rsidP="00EB67F2">
            <w:pPr>
              <w:rPr>
                <w:sz w:val="20"/>
                <w:szCs w:val="20"/>
              </w:rPr>
            </w:pPr>
            <w:r w:rsidRPr="00FA3F57">
              <w:rPr>
                <w:sz w:val="20"/>
                <w:szCs w:val="20"/>
              </w:rPr>
              <w:t>Spatial documentation, Conceptual design and location conditions, Approval of the Environmental Impact Assessment Study, Resolution of property and legal issues, Preliminary project and feasibility study, Energy permit, Construction permit project and construction permit, Preparation of tender documentation, Detailed design, Construction, Commissioning</w:t>
            </w:r>
          </w:p>
        </w:tc>
      </w:tr>
      <w:tr w:rsidR="00EB67F2" w:rsidRPr="00F07779" w14:paraId="6AFEEE35" w14:textId="77777777" w:rsidTr="00C4116F">
        <w:tc>
          <w:tcPr>
            <w:tcW w:w="2972" w:type="dxa"/>
          </w:tcPr>
          <w:p w14:paraId="24713605" w14:textId="50A355DE" w:rsidR="00EB67F2" w:rsidRPr="00FA3F57" w:rsidRDefault="00EB67F2" w:rsidP="00EB67F2">
            <w:pPr>
              <w:rPr>
                <w:sz w:val="20"/>
                <w:szCs w:val="20"/>
              </w:rPr>
            </w:pPr>
            <w:r w:rsidRPr="00FA3F57">
              <w:rPr>
                <w:sz w:val="20"/>
                <w:szCs w:val="20"/>
              </w:rPr>
              <w:t>Impact of activity implementation on achieving the objective</w:t>
            </w:r>
          </w:p>
        </w:tc>
        <w:tc>
          <w:tcPr>
            <w:tcW w:w="5743" w:type="dxa"/>
          </w:tcPr>
          <w:p w14:paraId="768AA4B0" w14:textId="77777777" w:rsidR="00EB67F2" w:rsidRPr="00FA3F57" w:rsidRDefault="00EB67F2" w:rsidP="00EB67F2">
            <w:pPr>
              <w:rPr>
                <w:sz w:val="20"/>
                <w:szCs w:val="20"/>
              </w:rPr>
            </w:pPr>
            <w:r w:rsidRPr="00FA3F57">
              <w:rPr>
                <w:sz w:val="20"/>
                <w:szCs w:val="20"/>
              </w:rPr>
              <w:t>Market Development:</w:t>
            </w:r>
          </w:p>
          <w:p w14:paraId="2632193D" w14:textId="3FDCE827" w:rsidR="00EB67F2" w:rsidRPr="00FA3F57" w:rsidRDefault="00EB67F2" w:rsidP="00EB67F2">
            <w:pPr>
              <w:rPr>
                <w:sz w:val="20"/>
                <w:szCs w:val="20"/>
              </w:rPr>
            </w:pPr>
            <w:r w:rsidRPr="00FA3F57">
              <w:rPr>
                <w:sz w:val="20"/>
                <w:szCs w:val="20"/>
              </w:rPr>
              <w:t>Accurate measurement of delivered and received quantities of natural gas is a prerequisite for the development of the natural gas market.</w:t>
            </w:r>
          </w:p>
        </w:tc>
      </w:tr>
      <w:tr w:rsidR="00EB67F2" w:rsidRPr="00F07779" w14:paraId="09A5A6EB" w14:textId="77777777" w:rsidTr="00C4116F">
        <w:tc>
          <w:tcPr>
            <w:tcW w:w="2972" w:type="dxa"/>
          </w:tcPr>
          <w:p w14:paraId="5105582C" w14:textId="24CBEAA7" w:rsidR="00EB67F2" w:rsidRPr="00FA3F57" w:rsidRDefault="00EB67F2" w:rsidP="00EB67F2">
            <w:pPr>
              <w:rPr>
                <w:sz w:val="20"/>
                <w:szCs w:val="20"/>
              </w:rPr>
            </w:pPr>
            <w:r w:rsidRPr="00FA3F57">
              <w:rPr>
                <w:sz w:val="20"/>
                <w:szCs w:val="20"/>
              </w:rPr>
              <w:t>Impact on energy efficiency, climate, and the environment</w:t>
            </w:r>
          </w:p>
        </w:tc>
        <w:tc>
          <w:tcPr>
            <w:tcW w:w="5743" w:type="dxa"/>
          </w:tcPr>
          <w:p w14:paraId="55145FA2" w14:textId="3CCDBC68" w:rsidR="00EB67F2" w:rsidRPr="00FA3F57" w:rsidRDefault="00EB67F2" w:rsidP="00EB67F2">
            <w:pPr>
              <w:rPr>
                <w:sz w:val="20"/>
                <w:szCs w:val="20"/>
              </w:rPr>
            </w:pPr>
            <w:r w:rsidRPr="00FA3F57">
              <w:rPr>
                <w:sz w:val="20"/>
                <w:szCs w:val="20"/>
              </w:rPr>
              <w:t>none</w:t>
            </w:r>
          </w:p>
        </w:tc>
      </w:tr>
    </w:tbl>
    <w:p w14:paraId="71D9D97A" w14:textId="77777777" w:rsidR="00EB67F2" w:rsidRPr="00F07779" w:rsidRDefault="00EB67F2" w:rsidP="0010715F">
      <w:pPr>
        <w:rPr>
          <w:rFonts w:eastAsia="Calibri"/>
          <w:color w:val="2F5496"/>
          <w:sz w:val="20"/>
          <w:szCs w:val="20"/>
        </w:rPr>
      </w:pPr>
    </w:p>
    <w:p w14:paraId="23525E43" w14:textId="77777777" w:rsidR="00EB67F2" w:rsidRPr="00F07779" w:rsidRDefault="00EB67F2" w:rsidP="0010715F">
      <w:pPr>
        <w:rPr>
          <w:rFonts w:eastAsia="Calibri"/>
          <w:color w:val="2F5496"/>
          <w:sz w:val="20"/>
          <w:szCs w:val="20"/>
        </w:rPr>
      </w:pPr>
    </w:p>
    <w:tbl>
      <w:tblPr>
        <w:tblStyle w:val="TableGrid"/>
        <w:tblW w:w="0" w:type="auto"/>
        <w:tblLook w:val="04A0" w:firstRow="1" w:lastRow="0" w:firstColumn="1" w:lastColumn="0" w:noHBand="0" w:noVBand="1"/>
      </w:tblPr>
      <w:tblGrid>
        <w:gridCol w:w="2972"/>
        <w:gridCol w:w="5743"/>
      </w:tblGrid>
      <w:tr w:rsidR="0010715F" w:rsidRPr="00F07779" w14:paraId="3ACA112C" w14:textId="77777777" w:rsidTr="005E3573">
        <w:tc>
          <w:tcPr>
            <w:tcW w:w="2972" w:type="dxa"/>
            <w:shd w:val="clear" w:color="auto" w:fill="D9D9D9" w:themeFill="background1" w:themeFillShade="D9"/>
          </w:tcPr>
          <w:p w14:paraId="22E4ADCD" w14:textId="77777777" w:rsidR="0010715F" w:rsidRPr="00F07779" w:rsidRDefault="0010715F" w:rsidP="005E3573">
            <w:pPr>
              <w:rPr>
                <w:sz w:val="20"/>
                <w:szCs w:val="20"/>
              </w:rPr>
            </w:pPr>
            <w:r w:rsidRPr="00F07779">
              <w:rPr>
                <w:sz w:val="20"/>
                <w:szCs w:val="20"/>
              </w:rPr>
              <w:t>Total funds for the measure G5</w:t>
            </w:r>
          </w:p>
        </w:tc>
        <w:tc>
          <w:tcPr>
            <w:tcW w:w="5743" w:type="dxa"/>
            <w:shd w:val="clear" w:color="auto" w:fill="D9D9D9" w:themeFill="background1" w:themeFillShade="D9"/>
          </w:tcPr>
          <w:p w14:paraId="39EC56C8" w14:textId="77777777" w:rsidR="0010715F" w:rsidRPr="00F07779" w:rsidRDefault="0010715F" w:rsidP="005E3573">
            <w:pPr>
              <w:rPr>
                <w:sz w:val="20"/>
                <w:szCs w:val="20"/>
              </w:rPr>
            </w:pPr>
            <w:r w:rsidRPr="00F07779">
              <w:rPr>
                <w:b/>
                <w:bCs/>
                <w:sz w:val="20"/>
                <w:szCs w:val="20"/>
              </w:rPr>
              <w:t>EUR 58.5 million (6,859 million RSD)</w:t>
            </w:r>
          </w:p>
        </w:tc>
      </w:tr>
    </w:tbl>
    <w:p w14:paraId="56E3FC9B" w14:textId="3A68AF8A" w:rsidR="0010715F" w:rsidRPr="00F07779" w:rsidRDefault="0010715F" w:rsidP="0010715F"/>
    <w:p w14:paraId="035E980F" w14:textId="5D2301CB" w:rsidR="0010715F" w:rsidRPr="00F07779" w:rsidRDefault="0010715F" w:rsidP="0010715F">
      <w:r w:rsidRPr="00F07779">
        <w:t>Table 5.5.8: Activities for the Implementation of Measure G6 - Natural Gas Sector Reform</w:t>
      </w:r>
    </w:p>
    <w:tbl>
      <w:tblPr>
        <w:tblStyle w:val="TableGrid"/>
        <w:tblW w:w="0" w:type="auto"/>
        <w:tblLook w:val="04A0" w:firstRow="1" w:lastRow="0" w:firstColumn="1" w:lastColumn="0" w:noHBand="0" w:noVBand="1"/>
      </w:tblPr>
      <w:tblGrid>
        <w:gridCol w:w="2155"/>
        <w:gridCol w:w="6560"/>
      </w:tblGrid>
      <w:tr w:rsidR="0010715F" w:rsidRPr="00F07779" w14:paraId="37443672" w14:textId="77777777" w:rsidTr="005E3573">
        <w:tc>
          <w:tcPr>
            <w:tcW w:w="2155" w:type="dxa"/>
            <w:shd w:val="clear" w:color="auto" w:fill="D9D9D9" w:themeFill="background1" w:themeFillShade="D9"/>
          </w:tcPr>
          <w:p w14:paraId="5EFC3171" w14:textId="77777777" w:rsidR="0010715F" w:rsidRPr="00F07779" w:rsidRDefault="0010715F" w:rsidP="005E3573">
            <w:pPr>
              <w:rPr>
                <w:sz w:val="20"/>
                <w:szCs w:val="20"/>
              </w:rPr>
            </w:pPr>
            <w:r w:rsidRPr="00F07779">
              <w:rPr>
                <w:sz w:val="20"/>
                <w:szCs w:val="20"/>
              </w:rPr>
              <w:t>Activity G6.1</w:t>
            </w:r>
          </w:p>
        </w:tc>
        <w:tc>
          <w:tcPr>
            <w:tcW w:w="6560" w:type="dxa"/>
            <w:shd w:val="clear" w:color="auto" w:fill="D9D9D9" w:themeFill="background1" w:themeFillShade="D9"/>
          </w:tcPr>
          <w:p w14:paraId="0C01AC86" w14:textId="1F3853C9" w:rsidR="0010715F" w:rsidRPr="00F07779" w:rsidRDefault="0010715F" w:rsidP="005E3573">
            <w:pPr>
              <w:rPr>
                <w:sz w:val="20"/>
                <w:szCs w:val="20"/>
              </w:rPr>
            </w:pPr>
            <w:r w:rsidRPr="00F07779">
              <w:rPr>
                <w:sz w:val="20"/>
                <w:szCs w:val="20"/>
              </w:rPr>
              <w:t xml:space="preserve">Licensing of </w:t>
            </w:r>
            <w:proofErr w:type="spellStart"/>
            <w:r w:rsidRPr="00F07779">
              <w:rPr>
                <w:sz w:val="20"/>
                <w:szCs w:val="20"/>
              </w:rPr>
              <w:t>Transportgas</w:t>
            </w:r>
            <w:proofErr w:type="spellEnd"/>
            <w:r w:rsidRPr="00F07779">
              <w:rPr>
                <w:sz w:val="20"/>
                <w:szCs w:val="20"/>
              </w:rPr>
              <w:t xml:space="preserve"> Serbia LLC for carrying out the energy activity of Transport and Operation of the Natural Gas </w:t>
            </w:r>
            <w:r w:rsidR="008076AB" w:rsidRPr="00F07779">
              <w:rPr>
                <w:sz w:val="20"/>
                <w:szCs w:val="20"/>
              </w:rPr>
              <w:t>Transport</w:t>
            </w:r>
            <w:r w:rsidR="00034449" w:rsidRPr="00F07779">
              <w:rPr>
                <w:sz w:val="20"/>
                <w:szCs w:val="20"/>
              </w:rPr>
              <w:t xml:space="preserve"> </w:t>
            </w:r>
            <w:r w:rsidRPr="00F07779">
              <w:rPr>
                <w:sz w:val="20"/>
                <w:szCs w:val="20"/>
              </w:rPr>
              <w:t>System</w:t>
            </w:r>
          </w:p>
        </w:tc>
      </w:tr>
      <w:tr w:rsidR="0010715F" w:rsidRPr="00F07779" w14:paraId="712C7B46" w14:textId="77777777" w:rsidTr="005E3573">
        <w:tc>
          <w:tcPr>
            <w:tcW w:w="2155" w:type="dxa"/>
          </w:tcPr>
          <w:p w14:paraId="4EE97BDE" w14:textId="77777777" w:rsidR="0010715F" w:rsidRPr="00F07779" w:rsidRDefault="0010715F" w:rsidP="005E3573">
            <w:pPr>
              <w:rPr>
                <w:sz w:val="20"/>
                <w:szCs w:val="20"/>
              </w:rPr>
            </w:pPr>
            <w:r w:rsidRPr="00F07779">
              <w:rPr>
                <w:sz w:val="20"/>
                <w:szCs w:val="20"/>
              </w:rPr>
              <w:t>Description</w:t>
            </w:r>
          </w:p>
        </w:tc>
        <w:tc>
          <w:tcPr>
            <w:tcW w:w="6560" w:type="dxa"/>
          </w:tcPr>
          <w:p w14:paraId="6E41E649" w14:textId="5AF1EA19" w:rsidR="0010715F" w:rsidRPr="00F07779" w:rsidRDefault="0010715F" w:rsidP="005E3573">
            <w:pPr>
              <w:jc w:val="both"/>
              <w:rPr>
                <w:sz w:val="20"/>
                <w:szCs w:val="20"/>
              </w:rPr>
            </w:pPr>
            <w:proofErr w:type="spellStart"/>
            <w:r w:rsidRPr="00F07779">
              <w:rPr>
                <w:sz w:val="20"/>
                <w:szCs w:val="20"/>
              </w:rPr>
              <w:t>Transportgas</w:t>
            </w:r>
            <w:proofErr w:type="spellEnd"/>
            <w:r w:rsidRPr="00F07779">
              <w:rPr>
                <w:sz w:val="20"/>
                <w:szCs w:val="20"/>
              </w:rPr>
              <w:t xml:space="preserve"> Serbia has been issued a certificate as an independent system operator (On March 21, 2025, the AERS Council adopted a decision issuing a certificate to TRANSPORTGAS SERBIA Novi Sad as an independent system operator). The final certification decision, together with the opinion of the Energy Community Secretariat, will be published in the “Official Gazette of the Republic of Serbia,” after which </w:t>
            </w:r>
            <w:proofErr w:type="spellStart"/>
            <w:r w:rsidRPr="00F07779">
              <w:rPr>
                <w:sz w:val="20"/>
                <w:szCs w:val="20"/>
              </w:rPr>
              <w:t>Transportgas</w:t>
            </w:r>
            <w:proofErr w:type="spellEnd"/>
            <w:r w:rsidRPr="00F07779">
              <w:rPr>
                <w:sz w:val="20"/>
                <w:szCs w:val="20"/>
              </w:rPr>
              <w:t xml:space="preserve"> Serbia LLC must submit a request to AERS for the issuance of a license to carry out the energy activity of Transport and Operation of the Natural Gas </w:t>
            </w:r>
            <w:r w:rsidR="008076AB" w:rsidRPr="00F07779">
              <w:rPr>
                <w:sz w:val="20"/>
                <w:szCs w:val="20"/>
              </w:rPr>
              <w:t>Transport</w:t>
            </w:r>
            <w:r w:rsidR="00034449" w:rsidRPr="00F07779">
              <w:rPr>
                <w:sz w:val="20"/>
                <w:szCs w:val="20"/>
              </w:rPr>
              <w:t xml:space="preserve"> </w:t>
            </w:r>
            <w:r w:rsidRPr="00F07779">
              <w:rPr>
                <w:sz w:val="20"/>
                <w:szCs w:val="20"/>
              </w:rPr>
              <w:t>System.</w:t>
            </w:r>
          </w:p>
        </w:tc>
      </w:tr>
      <w:tr w:rsidR="0010715F" w:rsidRPr="00F07779" w14:paraId="441A1DA6" w14:textId="77777777" w:rsidTr="005E3573">
        <w:tc>
          <w:tcPr>
            <w:tcW w:w="2155" w:type="dxa"/>
          </w:tcPr>
          <w:p w14:paraId="528216E7" w14:textId="77777777" w:rsidR="0010715F" w:rsidRPr="00F07779" w:rsidRDefault="0010715F" w:rsidP="005E3573">
            <w:pPr>
              <w:rPr>
                <w:sz w:val="20"/>
                <w:szCs w:val="20"/>
              </w:rPr>
            </w:pPr>
            <w:r w:rsidRPr="00F07779">
              <w:rPr>
                <w:sz w:val="20"/>
                <w:szCs w:val="20"/>
              </w:rPr>
              <w:t>Institutions responsible for implementing the measures and activities</w:t>
            </w:r>
          </w:p>
        </w:tc>
        <w:tc>
          <w:tcPr>
            <w:tcW w:w="6560" w:type="dxa"/>
          </w:tcPr>
          <w:p w14:paraId="63B57A1A" w14:textId="77777777" w:rsidR="0010715F" w:rsidRPr="00F07779" w:rsidRDefault="0010715F" w:rsidP="005E3573">
            <w:pPr>
              <w:rPr>
                <w:sz w:val="20"/>
                <w:szCs w:val="20"/>
              </w:rPr>
            </w:pPr>
            <w:proofErr w:type="spellStart"/>
            <w:r w:rsidRPr="00F07779">
              <w:rPr>
                <w:sz w:val="20"/>
                <w:szCs w:val="20"/>
              </w:rPr>
              <w:t>Transportgas</w:t>
            </w:r>
            <w:proofErr w:type="spellEnd"/>
            <w:r w:rsidRPr="00F07779">
              <w:rPr>
                <w:sz w:val="20"/>
                <w:szCs w:val="20"/>
              </w:rPr>
              <w:t xml:space="preserve"> Serbia LLC</w:t>
            </w:r>
          </w:p>
        </w:tc>
      </w:tr>
      <w:tr w:rsidR="0010715F" w:rsidRPr="00F07779" w14:paraId="21DB9A42" w14:textId="77777777" w:rsidTr="005E3573">
        <w:tc>
          <w:tcPr>
            <w:tcW w:w="2155" w:type="dxa"/>
          </w:tcPr>
          <w:p w14:paraId="38F039DA" w14:textId="77777777" w:rsidR="0010715F" w:rsidRPr="00F07779" w:rsidRDefault="0010715F" w:rsidP="005E3573">
            <w:pPr>
              <w:rPr>
                <w:sz w:val="20"/>
                <w:szCs w:val="20"/>
              </w:rPr>
            </w:pPr>
            <w:r w:rsidRPr="00F07779">
              <w:rPr>
                <w:sz w:val="20"/>
                <w:szCs w:val="20"/>
              </w:rPr>
              <w:t>Institutions responsible for monitoring implementation and reporting on execution</w:t>
            </w:r>
          </w:p>
        </w:tc>
        <w:tc>
          <w:tcPr>
            <w:tcW w:w="6560" w:type="dxa"/>
          </w:tcPr>
          <w:p w14:paraId="72E84426" w14:textId="77777777" w:rsidR="0010715F" w:rsidRPr="00F07779" w:rsidRDefault="0010715F" w:rsidP="005E3573">
            <w:pPr>
              <w:rPr>
                <w:sz w:val="20"/>
                <w:szCs w:val="20"/>
              </w:rPr>
            </w:pPr>
            <w:r w:rsidRPr="00F07779">
              <w:rPr>
                <w:sz w:val="20"/>
                <w:szCs w:val="20"/>
              </w:rPr>
              <w:t>Ministry of Mining and Energy</w:t>
            </w:r>
          </w:p>
          <w:p w14:paraId="538B4B7B" w14:textId="77777777" w:rsidR="0010715F" w:rsidRPr="00F07779" w:rsidRDefault="0010715F" w:rsidP="005E3573">
            <w:pPr>
              <w:rPr>
                <w:sz w:val="20"/>
                <w:szCs w:val="20"/>
              </w:rPr>
            </w:pPr>
            <w:r w:rsidRPr="00F07779">
              <w:rPr>
                <w:sz w:val="20"/>
                <w:szCs w:val="20"/>
              </w:rPr>
              <w:t>Energy Agency of the Republic of Serbia (AERS)</w:t>
            </w:r>
          </w:p>
        </w:tc>
      </w:tr>
      <w:tr w:rsidR="0010715F" w:rsidRPr="00F07779" w14:paraId="354FE3E9" w14:textId="77777777" w:rsidTr="005E3573">
        <w:tc>
          <w:tcPr>
            <w:tcW w:w="2155" w:type="dxa"/>
          </w:tcPr>
          <w:p w14:paraId="00B99106" w14:textId="77777777" w:rsidR="0010715F" w:rsidRPr="00F07779" w:rsidRDefault="0010715F" w:rsidP="005E3573">
            <w:pPr>
              <w:rPr>
                <w:sz w:val="20"/>
                <w:szCs w:val="20"/>
              </w:rPr>
            </w:pPr>
            <w:r w:rsidRPr="00F07779">
              <w:rPr>
                <w:sz w:val="20"/>
                <w:szCs w:val="20"/>
              </w:rPr>
              <w:t>Deadline for implementation</w:t>
            </w:r>
          </w:p>
        </w:tc>
        <w:tc>
          <w:tcPr>
            <w:tcW w:w="6560" w:type="dxa"/>
          </w:tcPr>
          <w:p w14:paraId="69FD4BC0" w14:textId="2BF131D5" w:rsidR="0010715F" w:rsidRPr="00F07779" w:rsidRDefault="0010715F" w:rsidP="005E3573">
            <w:pPr>
              <w:rPr>
                <w:sz w:val="20"/>
                <w:szCs w:val="20"/>
              </w:rPr>
            </w:pPr>
            <w:r w:rsidRPr="00F07779">
              <w:rPr>
                <w:sz w:val="20"/>
                <w:szCs w:val="20"/>
              </w:rPr>
              <w:t>2026</w:t>
            </w:r>
            <w:r w:rsidR="00C41C74" w:rsidRPr="00F07779">
              <w:rPr>
                <w:sz w:val="20"/>
                <w:szCs w:val="20"/>
              </w:rPr>
              <w:t>.</w:t>
            </w:r>
          </w:p>
        </w:tc>
      </w:tr>
      <w:tr w:rsidR="0010715F" w:rsidRPr="00F07779" w14:paraId="23571438" w14:textId="77777777" w:rsidTr="005E3573">
        <w:tc>
          <w:tcPr>
            <w:tcW w:w="2155" w:type="dxa"/>
          </w:tcPr>
          <w:p w14:paraId="54E73ACF" w14:textId="77777777" w:rsidR="0010715F" w:rsidRPr="00F07779" w:rsidRDefault="0010715F" w:rsidP="005E3573">
            <w:pPr>
              <w:rPr>
                <w:sz w:val="20"/>
                <w:szCs w:val="20"/>
              </w:rPr>
            </w:pPr>
            <w:r w:rsidRPr="00F07779">
              <w:rPr>
                <w:sz w:val="20"/>
                <w:szCs w:val="20"/>
              </w:rPr>
              <w:t>Required funds and source of financing</w:t>
            </w:r>
          </w:p>
        </w:tc>
        <w:tc>
          <w:tcPr>
            <w:tcW w:w="6560" w:type="dxa"/>
          </w:tcPr>
          <w:p w14:paraId="45C7F6E2" w14:textId="77777777" w:rsidR="0010715F" w:rsidRPr="00F07779" w:rsidRDefault="0010715F" w:rsidP="005E3573">
            <w:pPr>
              <w:rPr>
                <w:sz w:val="20"/>
                <w:szCs w:val="20"/>
              </w:rPr>
            </w:pPr>
            <w:r w:rsidRPr="00F07779">
              <w:rPr>
                <w:sz w:val="20"/>
                <w:szCs w:val="20"/>
              </w:rPr>
              <w:t>The measure does not require specific funds.</w:t>
            </w:r>
          </w:p>
        </w:tc>
      </w:tr>
      <w:tr w:rsidR="0010715F" w:rsidRPr="00F07779" w14:paraId="3A6DD5F7" w14:textId="77777777" w:rsidTr="005E3573">
        <w:tc>
          <w:tcPr>
            <w:tcW w:w="2155" w:type="dxa"/>
          </w:tcPr>
          <w:p w14:paraId="5EAF7332" w14:textId="77777777" w:rsidR="0010715F" w:rsidRPr="00F07779" w:rsidRDefault="0010715F" w:rsidP="005E3573">
            <w:pPr>
              <w:rPr>
                <w:sz w:val="20"/>
                <w:szCs w:val="20"/>
              </w:rPr>
            </w:pPr>
            <w:r w:rsidRPr="00F07779">
              <w:rPr>
                <w:sz w:val="20"/>
                <w:szCs w:val="20"/>
              </w:rPr>
              <w:t>Implementation indicator</w:t>
            </w:r>
          </w:p>
        </w:tc>
        <w:tc>
          <w:tcPr>
            <w:tcW w:w="6560" w:type="dxa"/>
          </w:tcPr>
          <w:p w14:paraId="0BE3309D" w14:textId="77777777" w:rsidR="0010715F" w:rsidRPr="00F07779" w:rsidRDefault="0010715F" w:rsidP="005E3573">
            <w:pPr>
              <w:rPr>
                <w:sz w:val="20"/>
                <w:szCs w:val="20"/>
              </w:rPr>
            </w:pPr>
            <w:r w:rsidRPr="00F07779">
              <w:rPr>
                <w:sz w:val="20"/>
                <w:szCs w:val="20"/>
              </w:rPr>
              <w:t>Phase of Implementation:</w:t>
            </w:r>
          </w:p>
          <w:p w14:paraId="25CCBCA5" w14:textId="77777777" w:rsidR="0010715F" w:rsidRPr="00F07779" w:rsidRDefault="0010715F" w:rsidP="005E3573">
            <w:pPr>
              <w:rPr>
                <w:sz w:val="20"/>
                <w:szCs w:val="20"/>
              </w:rPr>
            </w:pPr>
            <w:r w:rsidRPr="00F07779">
              <w:rPr>
                <w:sz w:val="20"/>
                <w:szCs w:val="20"/>
              </w:rPr>
              <w:t>Final certification decision adopted; Application for license submitted; License issued.</w:t>
            </w:r>
          </w:p>
        </w:tc>
      </w:tr>
      <w:tr w:rsidR="0010715F" w:rsidRPr="00F07779" w14:paraId="72F1CFF1" w14:textId="77777777" w:rsidTr="005E3573">
        <w:tc>
          <w:tcPr>
            <w:tcW w:w="2155" w:type="dxa"/>
          </w:tcPr>
          <w:p w14:paraId="22B63E46" w14:textId="77777777" w:rsidR="0010715F" w:rsidRPr="00F07779" w:rsidRDefault="0010715F" w:rsidP="005E3573">
            <w:pPr>
              <w:rPr>
                <w:sz w:val="20"/>
                <w:szCs w:val="20"/>
              </w:rPr>
            </w:pPr>
            <w:r w:rsidRPr="00F07779">
              <w:rPr>
                <w:sz w:val="20"/>
                <w:szCs w:val="20"/>
              </w:rPr>
              <w:t>Impact of activity implementation on achieving the goal</w:t>
            </w:r>
          </w:p>
        </w:tc>
        <w:tc>
          <w:tcPr>
            <w:tcW w:w="6560" w:type="dxa"/>
          </w:tcPr>
          <w:p w14:paraId="447FB93A" w14:textId="77777777" w:rsidR="0010715F" w:rsidRPr="00F07779" w:rsidRDefault="0010715F" w:rsidP="005E3573">
            <w:pPr>
              <w:rPr>
                <w:sz w:val="20"/>
                <w:szCs w:val="20"/>
              </w:rPr>
            </w:pPr>
            <w:r w:rsidRPr="00F07779">
              <w:rPr>
                <w:sz w:val="20"/>
                <w:szCs w:val="20"/>
              </w:rPr>
              <w:t>Market Development:</w:t>
            </w:r>
            <w:r w:rsidRPr="00F07779">
              <w:rPr>
                <w:sz w:val="20"/>
                <w:szCs w:val="20"/>
              </w:rPr>
              <w:br/>
              <w:t>The license is the act that confirms the fulfillment of conditions for performing energy activities as prescribed by the Energy Law.</w:t>
            </w:r>
          </w:p>
        </w:tc>
      </w:tr>
      <w:tr w:rsidR="0010715F" w:rsidRPr="00F07779" w14:paraId="4DAA0E8B" w14:textId="77777777" w:rsidTr="005E3573">
        <w:tc>
          <w:tcPr>
            <w:tcW w:w="2155" w:type="dxa"/>
          </w:tcPr>
          <w:p w14:paraId="41C343A4" w14:textId="77777777" w:rsidR="0010715F" w:rsidRPr="00F07779" w:rsidRDefault="0010715F" w:rsidP="005E3573">
            <w:pPr>
              <w:rPr>
                <w:sz w:val="20"/>
                <w:szCs w:val="20"/>
              </w:rPr>
            </w:pPr>
            <w:r w:rsidRPr="00F07779">
              <w:rPr>
                <w:sz w:val="20"/>
                <w:szCs w:val="20"/>
              </w:rPr>
              <w:t>Impact on energy efficiency, climate, and the environment</w:t>
            </w:r>
          </w:p>
        </w:tc>
        <w:tc>
          <w:tcPr>
            <w:tcW w:w="6560" w:type="dxa"/>
          </w:tcPr>
          <w:p w14:paraId="7B06C46A" w14:textId="77777777" w:rsidR="0010715F" w:rsidRPr="00F07779" w:rsidRDefault="0010715F" w:rsidP="005E3573">
            <w:pPr>
              <w:rPr>
                <w:sz w:val="20"/>
                <w:szCs w:val="20"/>
              </w:rPr>
            </w:pPr>
            <w:r w:rsidRPr="00F07779">
              <w:rPr>
                <w:sz w:val="20"/>
                <w:szCs w:val="20"/>
              </w:rPr>
              <w:t>none</w:t>
            </w:r>
          </w:p>
        </w:tc>
      </w:tr>
    </w:tbl>
    <w:p w14:paraId="0FFCC40A" w14:textId="77777777" w:rsidR="0010715F" w:rsidRPr="00F07779" w:rsidRDefault="0010715F" w:rsidP="0010715F"/>
    <w:p w14:paraId="096C506D" w14:textId="77777777" w:rsidR="00603F1D" w:rsidRPr="00F07779" w:rsidRDefault="00603F1D" w:rsidP="00555340">
      <w:bookmarkStart w:id="17" w:name="_Toc199155513"/>
    </w:p>
    <w:bookmarkEnd w:id="17"/>
    <w:p w14:paraId="19186DB9" w14:textId="55662701" w:rsidR="001E1D1A" w:rsidRPr="00F07779" w:rsidRDefault="00031BBF" w:rsidP="00555340">
      <w:pPr>
        <w:pStyle w:val="ListParagraph"/>
        <w:numPr>
          <w:ilvl w:val="1"/>
          <w:numId w:val="34"/>
        </w:numPr>
        <w:rPr>
          <w:rFonts w:ascii="Times New Roman" w:eastAsiaTheme="majorEastAsia" w:hAnsi="Times New Roman" w:cs="Times New Roman"/>
          <w:noProof w:val="0"/>
          <w:color w:val="2F5496" w:themeColor="accent1" w:themeShade="BF"/>
          <w:kern w:val="0"/>
          <w:sz w:val="26"/>
          <w:szCs w:val="26"/>
          <w:lang w:eastAsia="en-GB"/>
          <w14:ligatures w14:val="none"/>
        </w:rPr>
      </w:pPr>
      <w:r w:rsidRPr="00F07779">
        <w:rPr>
          <w:rFonts w:ascii="Times New Roman" w:eastAsiaTheme="majorEastAsia" w:hAnsi="Times New Roman" w:cs="Times New Roman"/>
          <w:noProof w:val="0"/>
          <w:color w:val="2F5496" w:themeColor="accent1" w:themeShade="BF"/>
          <w:kern w:val="0"/>
          <w:sz w:val="26"/>
          <w:szCs w:val="26"/>
          <w:lang w:eastAsia="en-GB"/>
          <w14:ligatures w14:val="none"/>
        </w:rPr>
        <w:t>Oil sector</w:t>
      </w:r>
    </w:p>
    <w:p w14:paraId="03F55C5A" w14:textId="77777777" w:rsidR="009B5EDC" w:rsidRPr="00F07779" w:rsidRDefault="009B5EDC" w:rsidP="009B5EDC">
      <w:pPr>
        <w:pStyle w:val="ListParagraph"/>
        <w:tabs>
          <w:tab w:val="left" w:pos="284"/>
        </w:tabs>
        <w:ind w:left="426" w:hanging="426"/>
        <w:rPr>
          <w:rFonts w:ascii="Times New Roman" w:hAnsi="Times New Roman" w:cs="Times New Roman"/>
          <w:noProof w:val="0"/>
        </w:rPr>
      </w:pPr>
    </w:p>
    <w:p w14:paraId="1A2F92B6" w14:textId="0CA366EC" w:rsidR="00031BBF" w:rsidRPr="00F07779" w:rsidRDefault="00031BBF" w:rsidP="00031BBF">
      <w:pPr>
        <w:jc w:val="both"/>
      </w:pPr>
      <w:r w:rsidRPr="00F07779">
        <w:t xml:space="preserve">Strategic measures for achieving the </w:t>
      </w:r>
      <w:proofErr w:type="gramStart"/>
      <w:r w:rsidRPr="00F07779">
        <w:t xml:space="preserve">set </w:t>
      </w:r>
      <w:r w:rsidR="00F11F7A" w:rsidRPr="00F07779">
        <w:t>goals</w:t>
      </w:r>
      <w:proofErr w:type="gramEnd"/>
      <w:r w:rsidRPr="00F07779">
        <w:t xml:space="preserve"> in the oil sector relate to ensuring a secure supply of oil and oil derivatives that meet EU standards, and include the following measures:</w:t>
      </w:r>
    </w:p>
    <w:p w14:paraId="0AB8F610" w14:textId="7F184254" w:rsidR="00031BBF" w:rsidRPr="00F07779" w:rsidRDefault="00031BBF" w:rsidP="00031BBF">
      <w:pPr>
        <w:jc w:val="both"/>
      </w:pPr>
      <w:r w:rsidRPr="00F07779">
        <w:t>N1 - Construction of missing storage capacities for oil and all types of derivatives that are stored for mandatory reserves</w:t>
      </w:r>
      <w:r w:rsidR="00F11F7A" w:rsidRPr="00F07779">
        <w:t>,</w:t>
      </w:r>
    </w:p>
    <w:p w14:paraId="1A488EC8" w14:textId="60B5876D" w:rsidR="00031BBF" w:rsidRPr="00F07779" w:rsidRDefault="00031BBF" w:rsidP="00031BBF">
      <w:pPr>
        <w:jc w:val="both"/>
      </w:pPr>
      <w:r w:rsidRPr="00F07779">
        <w:t xml:space="preserve">N2 - Continuation of refinery capacity </w:t>
      </w:r>
      <w:r w:rsidR="00F11F7A" w:rsidRPr="00F07779">
        <w:t>modernization,</w:t>
      </w:r>
    </w:p>
    <w:p w14:paraId="776A9AC5" w14:textId="0EFF3D82" w:rsidR="00F11F7A" w:rsidRPr="00F07779" w:rsidRDefault="00031BBF" w:rsidP="00031BBF">
      <w:pPr>
        <w:jc w:val="both"/>
      </w:pPr>
      <w:r w:rsidRPr="00F07779">
        <w:t>N3 - Construction of oil pipelines and product pipelines</w:t>
      </w:r>
      <w:r w:rsidR="00F11F7A" w:rsidRPr="00F07779">
        <w:t>,</w:t>
      </w:r>
    </w:p>
    <w:p w14:paraId="757A17CA" w14:textId="77777777" w:rsidR="001657EE" w:rsidRPr="00F07779" w:rsidRDefault="001657EE" w:rsidP="001657EE">
      <w:pPr>
        <w:jc w:val="both"/>
      </w:pPr>
    </w:p>
    <w:p w14:paraId="3F34E6AE" w14:textId="0C55233A" w:rsidR="00031BBF" w:rsidRPr="00F07779" w:rsidRDefault="00031BBF" w:rsidP="00031BBF">
      <w:pPr>
        <w:jc w:val="both"/>
      </w:pPr>
      <w:r w:rsidRPr="00F07779">
        <w:t xml:space="preserve">Measure N1 aims to ensure the construction of new storage facilities for oil and oil derivatives and to enable </w:t>
      </w:r>
      <w:r w:rsidR="003F00FE" w:rsidRPr="00F07779">
        <w:t xml:space="preserve">a </w:t>
      </w:r>
      <w:r w:rsidRPr="00F07779">
        <w:t xml:space="preserve">secure supply of </w:t>
      </w:r>
      <w:r w:rsidR="00DF1DA8" w:rsidRPr="00F07779">
        <w:t xml:space="preserve">oil and </w:t>
      </w:r>
      <w:r w:rsidRPr="00F07779">
        <w:t>oil derivatives through the formation of mandatory reserves. This measure is aimed at enhancing the energy security of the Republic of Serbia. The financial resources required to form the mandatory reserves amount to EUR 20 million by 2028 and cover the costs of constructing the missing storage capacities.</w:t>
      </w:r>
    </w:p>
    <w:p w14:paraId="19C49924" w14:textId="77777777" w:rsidR="00031BBF" w:rsidRPr="00F07779" w:rsidRDefault="00031BBF" w:rsidP="00031BBF">
      <w:pPr>
        <w:jc w:val="both"/>
      </w:pPr>
    </w:p>
    <w:p w14:paraId="6B826D43" w14:textId="2FD73CCE" w:rsidR="00031BBF" w:rsidRPr="00F07779" w:rsidRDefault="00031BBF" w:rsidP="00031BBF">
      <w:pPr>
        <w:jc w:val="both"/>
      </w:pPr>
      <w:r w:rsidRPr="00F07779">
        <w:t xml:space="preserve">Measure N2 refers to the further modernization </w:t>
      </w:r>
      <w:r w:rsidR="00484069" w:rsidRPr="00F07779">
        <w:t xml:space="preserve">of </w:t>
      </w:r>
      <w:r w:rsidRPr="00F07779">
        <w:t>process</w:t>
      </w:r>
      <w:r w:rsidR="00484069" w:rsidRPr="00F07779">
        <w:t>es</w:t>
      </w:r>
      <w:r w:rsidRPr="00F07779">
        <w:t xml:space="preserve"> </w:t>
      </w:r>
      <w:r w:rsidR="00484069" w:rsidRPr="00F07779">
        <w:t>in</w:t>
      </w:r>
      <w:r w:rsidRPr="00F07779">
        <w:t xml:space="preserve"> the oil refinery in </w:t>
      </w:r>
      <w:proofErr w:type="spellStart"/>
      <w:r w:rsidRPr="00F07779">
        <w:t>Pančevo</w:t>
      </w:r>
      <w:proofErr w:type="spellEnd"/>
      <w:r w:rsidRPr="00F07779">
        <w:t xml:space="preserve">. It includes improving the efficiency of existing plants in terms of modernization and eliminating limiting parts of the refining process, such as replacing critical rotating equipment and furnaces. It also involves further </w:t>
      </w:r>
      <w:r w:rsidR="00DF1DA8" w:rsidRPr="00F07779">
        <w:t xml:space="preserve">improving </w:t>
      </w:r>
      <w:r w:rsidRPr="00F07779">
        <w:t>environmental protection through the construction of new fire protection systems and hazardous waste storage. Indirectly, this measure contributes to the decarbonization of the energy sector, as it leads to a reduction in fugitive emissions in the refining process. The total funds planned for this purpose amount to EUR 173 million.</w:t>
      </w:r>
    </w:p>
    <w:p w14:paraId="69494E7B" w14:textId="77777777" w:rsidR="00031BBF" w:rsidRPr="00F07779" w:rsidRDefault="00031BBF" w:rsidP="00031BBF">
      <w:pPr>
        <w:jc w:val="both"/>
      </w:pPr>
    </w:p>
    <w:p w14:paraId="05A68B32" w14:textId="54CBD276" w:rsidR="00031BBF" w:rsidRPr="00F07779" w:rsidRDefault="00031BBF" w:rsidP="00031BBF">
      <w:pPr>
        <w:jc w:val="both"/>
      </w:pPr>
      <w:r w:rsidRPr="00F07779">
        <w:t xml:space="preserve">Measure N3 includes two activities. The first activity is N3.1: Construction of an oil pipeline on the route </w:t>
      </w:r>
      <w:proofErr w:type="spellStart"/>
      <w:r w:rsidRPr="00F07779">
        <w:t>Szazalombatta</w:t>
      </w:r>
      <w:proofErr w:type="spellEnd"/>
      <w:r w:rsidRPr="00F07779">
        <w:t xml:space="preserve"> – </w:t>
      </w:r>
      <w:proofErr w:type="spellStart"/>
      <w:r w:rsidRPr="00F07779">
        <w:t>Algyo</w:t>
      </w:r>
      <w:proofErr w:type="spellEnd"/>
      <w:r w:rsidRPr="00F07779">
        <w:t xml:space="preserve"> – </w:t>
      </w:r>
      <w:proofErr w:type="spellStart"/>
      <w:r w:rsidRPr="00F07779">
        <w:t>Roszke</w:t>
      </w:r>
      <w:proofErr w:type="spellEnd"/>
      <w:r w:rsidRPr="00F07779">
        <w:t xml:space="preserve"> – Novi Sad, with an annual transportation capacity of 5.5 million tons. The length of the pipeline </w:t>
      </w:r>
      <w:r w:rsidR="00995885" w:rsidRPr="00F07779">
        <w:t xml:space="preserve">in </w:t>
      </w:r>
      <w:r w:rsidRPr="00F07779">
        <w:t xml:space="preserve">Serbia is 113 km. The pipeline is intended to connect with the international Druzhba pipeline and other Eurasian pipelines and is aimed at enhancing energy security. The investment value of this project is EUR 156 million. The second activity is N3.2: Construction of a product pipeline system. During the implementation of the </w:t>
      </w:r>
      <w:r w:rsidR="00995885" w:rsidRPr="00F07779">
        <w:t>P</w:t>
      </w:r>
      <w:r w:rsidRPr="00F07779">
        <w:t xml:space="preserve">rogram, a product pipeline will be constructed that connects the </w:t>
      </w:r>
      <w:proofErr w:type="spellStart"/>
      <w:r w:rsidRPr="00F07779">
        <w:t>Pančevo</w:t>
      </w:r>
      <w:proofErr w:type="spellEnd"/>
      <w:r w:rsidRPr="00F07779">
        <w:t xml:space="preserve"> </w:t>
      </w:r>
      <w:r w:rsidR="00E37D78" w:rsidRPr="00F07779">
        <w:t>o</w:t>
      </w:r>
      <w:r w:rsidRPr="00F07779">
        <w:t xml:space="preserve">il </w:t>
      </w:r>
      <w:r w:rsidR="00E37D78" w:rsidRPr="00F07779">
        <w:t>r</w:t>
      </w:r>
      <w:r w:rsidRPr="00F07779">
        <w:t xml:space="preserve">efinery with existing storage tanks in Smederevo and Novi Sad. The activity also includes the construction of new tanks in </w:t>
      </w:r>
      <w:proofErr w:type="spellStart"/>
      <w:r w:rsidRPr="00F07779">
        <w:t>Pančevo</w:t>
      </w:r>
      <w:proofErr w:type="spellEnd"/>
      <w:r w:rsidRPr="00F07779">
        <w:t xml:space="preserve"> and Smederevo and ensuring conditions for further transport. The investment value of this project is EUR 32.8 million. </w:t>
      </w:r>
      <w:r w:rsidR="00995885" w:rsidRPr="00F07779">
        <w:t>The implementation of this project will increase the competitiveness of the sector and reduce harmful gas emissions during the transportation of products.</w:t>
      </w:r>
    </w:p>
    <w:p w14:paraId="614A5248" w14:textId="77777777" w:rsidR="00031BBF" w:rsidRPr="00F07779" w:rsidRDefault="00031BBF" w:rsidP="00031BBF">
      <w:pPr>
        <w:jc w:val="both"/>
      </w:pPr>
    </w:p>
    <w:p w14:paraId="6136A759" w14:textId="233E0E21" w:rsidR="00031BBF" w:rsidRPr="00F07779" w:rsidRDefault="00DF1DA8" w:rsidP="00031BBF">
      <w:pPr>
        <w:jc w:val="both"/>
      </w:pPr>
      <w:r w:rsidRPr="00F07779">
        <w:t>Improvement of the regulatory framework is important for advancing the oil sector</w:t>
      </w:r>
      <w:r w:rsidR="00031BBF" w:rsidRPr="00F07779">
        <w:t xml:space="preserve">. Since the oil sector is regulated by a series of regulations, the most important of which are the </w:t>
      </w:r>
      <w:r w:rsidR="00995885" w:rsidRPr="00F07779">
        <w:t>E</w:t>
      </w:r>
      <w:r w:rsidR="00E37D78" w:rsidRPr="00F07779">
        <w:t xml:space="preserve">nergy law, the </w:t>
      </w:r>
      <w:r w:rsidR="00995885" w:rsidRPr="00F07779">
        <w:t>Law on c</w:t>
      </w:r>
      <w:r w:rsidR="00E37D78" w:rsidRPr="00F07779">
        <w:t>ommodity reserves, and the</w:t>
      </w:r>
      <w:r w:rsidR="00995885" w:rsidRPr="00F07779">
        <w:t xml:space="preserve"> Law on p</w:t>
      </w:r>
      <w:r w:rsidR="00E37D78" w:rsidRPr="00F07779">
        <w:t xml:space="preserve">ipeline transport of gaseous and liquid hydrocarbons and the distribution of gaseous hydrocarbons, as well as </w:t>
      </w:r>
      <w:r w:rsidR="00995885" w:rsidRPr="00F07779">
        <w:t>several</w:t>
      </w:r>
      <w:r w:rsidR="00E37D78" w:rsidRPr="00F07779">
        <w:t xml:space="preserve"> subordinate regulations, the adoption of a sector-specific </w:t>
      </w:r>
      <w:r w:rsidR="00995885" w:rsidRPr="00F07779">
        <w:t>O</w:t>
      </w:r>
      <w:r w:rsidR="00E37D78" w:rsidRPr="00F07779">
        <w:t xml:space="preserve">il law and the </w:t>
      </w:r>
      <w:r w:rsidR="00995885" w:rsidRPr="00F07779">
        <w:t>L</w:t>
      </w:r>
      <w:r w:rsidR="00E37D78" w:rsidRPr="00F07779">
        <w:t>aw on mandatory reserves of oil, oil derivatives, and natural gas</w:t>
      </w:r>
      <w:r w:rsidR="00031BBF" w:rsidRPr="00F07779">
        <w:t xml:space="preserve"> will consolidate provisions related to the oil sector, as well as </w:t>
      </w:r>
      <w:r w:rsidR="00995885" w:rsidRPr="00F07779">
        <w:t xml:space="preserve">to </w:t>
      </w:r>
      <w:r w:rsidR="00031BBF" w:rsidRPr="00F07779">
        <w:t>other motor and energy fuels, and mandatory reserves</w:t>
      </w:r>
      <w:r w:rsidRPr="00F07779">
        <w:t>, into unified laws</w:t>
      </w:r>
      <w:r w:rsidR="00031BBF" w:rsidRPr="00F07779">
        <w:t>. This will enable better understanding and regulation of this area.</w:t>
      </w:r>
    </w:p>
    <w:p w14:paraId="2A2B1484" w14:textId="77777777" w:rsidR="00031BBF" w:rsidRPr="00F07779" w:rsidRDefault="00031BBF" w:rsidP="00031BBF">
      <w:pPr>
        <w:jc w:val="both"/>
      </w:pPr>
    </w:p>
    <w:p w14:paraId="08BEE54A" w14:textId="2633BECA" w:rsidR="00031BBF" w:rsidRPr="00F07779" w:rsidRDefault="00031BBF" w:rsidP="00031BBF">
      <w:pPr>
        <w:jc w:val="both"/>
      </w:pPr>
      <w:r w:rsidRPr="00F07779">
        <w:t>A recap of the planned measures for achieving strategic goals, with investment values and funding sources, is presented in Table 5.6.1.</w:t>
      </w:r>
    </w:p>
    <w:p w14:paraId="2503919B" w14:textId="77777777" w:rsidR="00031BBF" w:rsidRPr="00F07779" w:rsidRDefault="00031BBF" w:rsidP="001657EE">
      <w:pPr>
        <w:jc w:val="both"/>
      </w:pPr>
    </w:p>
    <w:p w14:paraId="3763D59C" w14:textId="716B2956" w:rsidR="001657EE" w:rsidRPr="00F07779" w:rsidRDefault="002C076A" w:rsidP="001657EE">
      <w:pPr>
        <w:jc w:val="both"/>
      </w:pPr>
      <w:r w:rsidRPr="00F07779">
        <w:t>Table 5.6.1: Measures in the Oil Sector</w:t>
      </w:r>
    </w:p>
    <w:tbl>
      <w:tblPr>
        <w:tblStyle w:val="TableGrid"/>
        <w:tblW w:w="5000" w:type="pct"/>
        <w:tblLook w:val="04A0" w:firstRow="1" w:lastRow="0" w:firstColumn="1" w:lastColumn="0" w:noHBand="0" w:noVBand="1"/>
      </w:tblPr>
      <w:tblGrid>
        <w:gridCol w:w="2694"/>
        <w:gridCol w:w="652"/>
        <w:gridCol w:w="666"/>
        <w:gridCol w:w="1400"/>
        <w:gridCol w:w="1543"/>
        <w:gridCol w:w="1760"/>
      </w:tblGrid>
      <w:tr w:rsidR="003623DF" w:rsidRPr="00F07779" w14:paraId="4115A129" w14:textId="6CDEDAEE" w:rsidTr="001F203F">
        <w:tc>
          <w:tcPr>
            <w:tcW w:w="1546" w:type="pct"/>
            <w:vMerge w:val="restart"/>
            <w:tcMar>
              <w:left w:w="0" w:type="dxa"/>
              <w:right w:w="0" w:type="dxa"/>
            </w:tcMar>
          </w:tcPr>
          <w:p w14:paraId="0C068B41" w14:textId="510D8467" w:rsidR="003623DF" w:rsidRPr="00F07779" w:rsidRDefault="001F203F" w:rsidP="009A03AE">
            <w:pPr>
              <w:snapToGrid w:val="0"/>
              <w:jc w:val="both"/>
              <w:rPr>
                <w:sz w:val="20"/>
                <w:szCs w:val="20"/>
              </w:rPr>
            </w:pPr>
            <w:r w:rsidRPr="00F07779">
              <w:rPr>
                <w:sz w:val="20"/>
                <w:szCs w:val="20"/>
              </w:rPr>
              <w:t>Name</w:t>
            </w:r>
            <w:r w:rsidR="003623DF" w:rsidRPr="00F07779">
              <w:rPr>
                <w:sz w:val="20"/>
                <w:szCs w:val="20"/>
              </w:rPr>
              <w:t xml:space="preserve"> </w:t>
            </w:r>
          </w:p>
        </w:tc>
        <w:tc>
          <w:tcPr>
            <w:tcW w:w="374" w:type="pct"/>
            <w:vMerge w:val="restart"/>
            <w:tcMar>
              <w:left w:w="0" w:type="dxa"/>
              <w:right w:w="0" w:type="dxa"/>
            </w:tcMar>
            <w:vAlign w:val="center"/>
          </w:tcPr>
          <w:p w14:paraId="7218FE53" w14:textId="37D6C71F" w:rsidR="003623DF" w:rsidRPr="00F07779" w:rsidRDefault="001F203F" w:rsidP="009A03AE">
            <w:pPr>
              <w:snapToGrid w:val="0"/>
              <w:jc w:val="center"/>
              <w:rPr>
                <w:sz w:val="20"/>
                <w:szCs w:val="20"/>
              </w:rPr>
            </w:pPr>
            <w:r w:rsidRPr="00F07779">
              <w:rPr>
                <w:sz w:val="20"/>
                <w:szCs w:val="20"/>
              </w:rPr>
              <w:t xml:space="preserve">Type </w:t>
            </w:r>
            <w:r w:rsidR="003623DF" w:rsidRPr="00F07779">
              <w:rPr>
                <w:sz w:val="20"/>
                <w:szCs w:val="20"/>
              </w:rPr>
              <w:t>*</w:t>
            </w:r>
          </w:p>
        </w:tc>
        <w:tc>
          <w:tcPr>
            <w:tcW w:w="3080" w:type="pct"/>
            <w:gridSpan w:val="4"/>
            <w:tcMar>
              <w:left w:w="0" w:type="dxa"/>
              <w:right w:w="0" w:type="dxa"/>
            </w:tcMar>
            <w:vAlign w:val="center"/>
          </w:tcPr>
          <w:p w14:paraId="3C81D672" w14:textId="34AC35A4" w:rsidR="003623DF" w:rsidRPr="00F07779" w:rsidRDefault="002C076A" w:rsidP="009A03AE">
            <w:pPr>
              <w:snapToGrid w:val="0"/>
              <w:jc w:val="center"/>
              <w:rPr>
                <w:sz w:val="20"/>
                <w:szCs w:val="20"/>
              </w:rPr>
            </w:pPr>
            <w:r w:rsidRPr="00F07779">
              <w:rPr>
                <w:sz w:val="20"/>
                <w:szCs w:val="20"/>
              </w:rPr>
              <w:t xml:space="preserve">Investment Value </w:t>
            </w:r>
            <w:r w:rsidR="003623DF" w:rsidRPr="00F07779">
              <w:rPr>
                <w:sz w:val="20"/>
                <w:szCs w:val="20"/>
              </w:rPr>
              <w:t>**</w:t>
            </w:r>
          </w:p>
        </w:tc>
      </w:tr>
      <w:tr w:rsidR="00D1288B" w:rsidRPr="00F07779" w14:paraId="01D17293" w14:textId="5C0CA22A" w:rsidTr="001F203F">
        <w:tc>
          <w:tcPr>
            <w:tcW w:w="1546" w:type="pct"/>
            <w:vMerge/>
            <w:tcMar>
              <w:left w:w="0" w:type="dxa"/>
              <w:right w:w="0" w:type="dxa"/>
            </w:tcMar>
          </w:tcPr>
          <w:p w14:paraId="75D46A92" w14:textId="77777777" w:rsidR="00D1288B" w:rsidRPr="00F07779" w:rsidRDefault="00D1288B" w:rsidP="009A03AE">
            <w:pPr>
              <w:snapToGrid w:val="0"/>
              <w:jc w:val="both"/>
              <w:rPr>
                <w:sz w:val="20"/>
                <w:szCs w:val="20"/>
              </w:rPr>
            </w:pPr>
          </w:p>
        </w:tc>
        <w:tc>
          <w:tcPr>
            <w:tcW w:w="374" w:type="pct"/>
            <w:vMerge/>
            <w:tcMar>
              <w:left w:w="0" w:type="dxa"/>
              <w:right w:w="0" w:type="dxa"/>
            </w:tcMar>
            <w:vAlign w:val="center"/>
          </w:tcPr>
          <w:p w14:paraId="71096A95" w14:textId="77777777" w:rsidR="00D1288B" w:rsidRPr="00F07779" w:rsidRDefault="00D1288B" w:rsidP="009A03AE">
            <w:pPr>
              <w:snapToGrid w:val="0"/>
              <w:jc w:val="center"/>
              <w:rPr>
                <w:sz w:val="20"/>
                <w:szCs w:val="20"/>
              </w:rPr>
            </w:pPr>
          </w:p>
        </w:tc>
        <w:tc>
          <w:tcPr>
            <w:tcW w:w="382" w:type="pct"/>
            <w:tcMar>
              <w:left w:w="0" w:type="dxa"/>
              <w:right w:w="0" w:type="dxa"/>
            </w:tcMar>
            <w:vAlign w:val="center"/>
          </w:tcPr>
          <w:p w14:paraId="114AC699" w14:textId="37AB732F" w:rsidR="00D1288B" w:rsidRPr="00F07779" w:rsidRDefault="002C076A" w:rsidP="009A03AE">
            <w:pPr>
              <w:snapToGrid w:val="0"/>
              <w:jc w:val="center"/>
              <w:rPr>
                <w:sz w:val="20"/>
                <w:szCs w:val="20"/>
              </w:rPr>
            </w:pPr>
            <w:r w:rsidRPr="00F07779">
              <w:rPr>
                <w:sz w:val="20"/>
                <w:szCs w:val="20"/>
              </w:rPr>
              <w:t>Year</w:t>
            </w:r>
          </w:p>
        </w:tc>
        <w:tc>
          <w:tcPr>
            <w:tcW w:w="803" w:type="pct"/>
            <w:tcMar>
              <w:left w:w="0" w:type="dxa"/>
              <w:right w:w="0" w:type="dxa"/>
            </w:tcMar>
            <w:vAlign w:val="center"/>
          </w:tcPr>
          <w:p w14:paraId="7CB1A7C8" w14:textId="3265C818" w:rsidR="00D1288B" w:rsidRPr="00F07779" w:rsidRDefault="002C076A" w:rsidP="009A03AE">
            <w:pPr>
              <w:snapToGrid w:val="0"/>
              <w:jc w:val="center"/>
              <w:rPr>
                <w:sz w:val="20"/>
                <w:szCs w:val="20"/>
              </w:rPr>
            </w:pPr>
            <w:r w:rsidRPr="00F07779">
              <w:rPr>
                <w:sz w:val="20"/>
                <w:szCs w:val="20"/>
              </w:rPr>
              <w:t>Budget of the Republic of Serbia</w:t>
            </w:r>
          </w:p>
        </w:tc>
        <w:tc>
          <w:tcPr>
            <w:tcW w:w="885" w:type="pct"/>
            <w:tcMar>
              <w:left w:w="0" w:type="dxa"/>
              <w:right w:w="0" w:type="dxa"/>
            </w:tcMar>
            <w:vAlign w:val="center"/>
          </w:tcPr>
          <w:p w14:paraId="467E9972" w14:textId="1EB0C19C" w:rsidR="00D1288B" w:rsidRPr="00F07779" w:rsidRDefault="00DF1DA8" w:rsidP="009A03AE">
            <w:pPr>
              <w:snapToGrid w:val="0"/>
              <w:jc w:val="center"/>
              <w:rPr>
                <w:sz w:val="20"/>
                <w:szCs w:val="20"/>
              </w:rPr>
            </w:pPr>
            <w:r w:rsidRPr="00F07779">
              <w:rPr>
                <w:sz w:val="20"/>
                <w:szCs w:val="20"/>
              </w:rPr>
              <w:t>Own funds</w:t>
            </w:r>
          </w:p>
        </w:tc>
        <w:tc>
          <w:tcPr>
            <w:tcW w:w="1009" w:type="pct"/>
          </w:tcPr>
          <w:p w14:paraId="6BB5FB6C" w14:textId="7C5D4ABE" w:rsidR="00D1288B" w:rsidRPr="00F07779" w:rsidRDefault="002C076A" w:rsidP="009A03AE">
            <w:pPr>
              <w:snapToGrid w:val="0"/>
              <w:jc w:val="center"/>
              <w:rPr>
                <w:sz w:val="20"/>
                <w:szCs w:val="20"/>
              </w:rPr>
            </w:pPr>
            <w:r w:rsidRPr="00F07779">
              <w:rPr>
                <w:sz w:val="20"/>
                <w:szCs w:val="20"/>
              </w:rPr>
              <w:t>Other Sources</w:t>
            </w:r>
          </w:p>
        </w:tc>
      </w:tr>
      <w:tr w:rsidR="001F203F" w:rsidRPr="00F07779" w14:paraId="71DEF22A" w14:textId="3F7B5A17" w:rsidTr="001F203F">
        <w:trPr>
          <w:trHeight w:val="173"/>
        </w:trPr>
        <w:tc>
          <w:tcPr>
            <w:tcW w:w="1546" w:type="pct"/>
            <w:vMerge w:val="restart"/>
            <w:tcMar>
              <w:left w:w="0" w:type="dxa"/>
              <w:right w:w="0" w:type="dxa"/>
            </w:tcMar>
          </w:tcPr>
          <w:p w14:paraId="5B2521CE" w14:textId="7A80B33F" w:rsidR="001F203F" w:rsidRPr="00F07779" w:rsidRDefault="001F203F" w:rsidP="001F203F">
            <w:pPr>
              <w:snapToGrid w:val="0"/>
              <w:rPr>
                <w:sz w:val="20"/>
                <w:szCs w:val="20"/>
              </w:rPr>
            </w:pPr>
            <w:r w:rsidRPr="00F07779">
              <w:rPr>
                <w:sz w:val="20"/>
                <w:szCs w:val="20"/>
              </w:rPr>
              <w:t>N1 - Construction of missing storage capacities for oil and all types of derivatives that are stored for the purpose of mandatory reserves</w:t>
            </w:r>
          </w:p>
        </w:tc>
        <w:tc>
          <w:tcPr>
            <w:tcW w:w="374" w:type="pct"/>
            <w:vMerge w:val="restart"/>
            <w:tcMar>
              <w:left w:w="0" w:type="dxa"/>
              <w:right w:w="0" w:type="dxa"/>
            </w:tcMar>
          </w:tcPr>
          <w:p w14:paraId="3A8EC2B7" w14:textId="5A8223E3" w:rsidR="001F203F" w:rsidRPr="00F07779" w:rsidRDefault="001F203F" w:rsidP="001F203F">
            <w:pPr>
              <w:snapToGrid w:val="0"/>
              <w:jc w:val="center"/>
              <w:rPr>
                <w:sz w:val="20"/>
                <w:szCs w:val="20"/>
              </w:rPr>
            </w:pPr>
            <w:r w:rsidRPr="00F07779">
              <w:rPr>
                <w:sz w:val="20"/>
                <w:szCs w:val="20"/>
              </w:rPr>
              <w:t>Inv</w:t>
            </w:r>
          </w:p>
        </w:tc>
        <w:tc>
          <w:tcPr>
            <w:tcW w:w="382" w:type="pct"/>
            <w:tcMar>
              <w:left w:w="0" w:type="dxa"/>
              <w:right w:w="0" w:type="dxa"/>
            </w:tcMar>
            <w:vAlign w:val="center"/>
          </w:tcPr>
          <w:p w14:paraId="11D0C006" w14:textId="77777777" w:rsidR="001F203F" w:rsidRPr="00F07779" w:rsidRDefault="001F203F" w:rsidP="001F203F">
            <w:pPr>
              <w:snapToGrid w:val="0"/>
              <w:jc w:val="center"/>
              <w:rPr>
                <w:sz w:val="20"/>
                <w:szCs w:val="20"/>
              </w:rPr>
            </w:pPr>
            <w:r w:rsidRPr="00F07779">
              <w:rPr>
                <w:sz w:val="20"/>
                <w:szCs w:val="20"/>
              </w:rPr>
              <w:t>2026.</w:t>
            </w:r>
          </w:p>
        </w:tc>
        <w:tc>
          <w:tcPr>
            <w:tcW w:w="803" w:type="pct"/>
            <w:vMerge w:val="restart"/>
            <w:tcMar>
              <w:left w:w="0" w:type="dxa"/>
              <w:right w:w="0" w:type="dxa"/>
            </w:tcMar>
            <w:vAlign w:val="center"/>
          </w:tcPr>
          <w:p w14:paraId="10635BFB" w14:textId="4F6B20D0" w:rsidR="001F203F" w:rsidRPr="00F07779" w:rsidRDefault="001F203F" w:rsidP="001F203F">
            <w:pPr>
              <w:snapToGrid w:val="0"/>
              <w:jc w:val="center"/>
              <w:rPr>
                <w:sz w:val="20"/>
                <w:szCs w:val="20"/>
              </w:rPr>
            </w:pPr>
            <w:r w:rsidRPr="00F07779">
              <w:rPr>
                <w:sz w:val="20"/>
                <w:szCs w:val="20"/>
              </w:rPr>
              <w:t>20 mil. EUR</w:t>
            </w:r>
          </w:p>
          <w:p w14:paraId="4ECC6FB2" w14:textId="7E004B4B" w:rsidR="001F203F" w:rsidRPr="00F07779" w:rsidRDefault="001F203F" w:rsidP="001F203F">
            <w:pPr>
              <w:snapToGrid w:val="0"/>
              <w:jc w:val="center"/>
              <w:rPr>
                <w:sz w:val="20"/>
                <w:szCs w:val="20"/>
              </w:rPr>
            </w:pPr>
            <w:r w:rsidRPr="00F07779">
              <w:rPr>
                <w:sz w:val="20"/>
                <w:szCs w:val="20"/>
              </w:rPr>
              <w:t>(2</w:t>
            </w:r>
            <w:r w:rsidR="00837649" w:rsidRPr="00F07779">
              <w:rPr>
                <w:sz w:val="20"/>
                <w:szCs w:val="20"/>
              </w:rPr>
              <w:t>,</w:t>
            </w:r>
            <w:r w:rsidRPr="00F07779">
              <w:rPr>
                <w:sz w:val="20"/>
                <w:szCs w:val="20"/>
              </w:rPr>
              <w:t>345 mil. RSD)</w:t>
            </w:r>
          </w:p>
        </w:tc>
        <w:tc>
          <w:tcPr>
            <w:tcW w:w="885" w:type="pct"/>
            <w:vMerge w:val="restart"/>
            <w:tcMar>
              <w:left w:w="0" w:type="dxa"/>
              <w:right w:w="0" w:type="dxa"/>
            </w:tcMar>
            <w:vAlign w:val="center"/>
          </w:tcPr>
          <w:p w14:paraId="13E5CC65" w14:textId="6664C14E" w:rsidR="001F203F" w:rsidRPr="00F07779" w:rsidRDefault="001F203F" w:rsidP="001F203F">
            <w:pPr>
              <w:snapToGrid w:val="0"/>
              <w:jc w:val="center"/>
              <w:rPr>
                <w:sz w:val="20"/>
                <w:szCs w:val="20"/>
              </w:rPr>
            </w:pPr>
            <w:r w:rsidRPr="00F07779">
              <w:rPr>
                <w:sz w:val="20"/>
                <w:szCs w:val="20"/>
              </w:rPr>
              <w:t>-</w:t>
            </w:r>
          </w:p>
        </w:tc>
        <w:tc>
          <w:tcPr>
            <w:tcW w:w="1009" w:type="pct"/>
            <w:vMerge w:val="restart"/>
            <w:vAlign w:val="center"/>
          </w:tcPr>
          <w:p w14:paraId="7A3C07EF" w14:textId="24CBDFAA" w:rsidR="001F203F" w:rsidRPr="00F07779" w:rsidRDefault="001F203F" w:rsidP="001F203F">
            <w:pPr>
              <w:snapToGrid w:val="0"/>
              <w:jc w:val="center"/>
              <w:rPr>
                <w:sz w:val="20"/>
                <w:szCs w:val="20"/>
              </w:rPr>
            </w:pPr>
            <w:r w:rsidRPr="00F07779">
              <w:rPr>
                <w:sz w:val="20"/>
                <w:szCs w:val="20"/>
              </w:rPr>
              <w:t>-</w:t>
            </w:r>
          </w:p>
        </w:tc>
      </w:tr>
      <w:tr w:rsidR="001F203F" w:rsidRPr="00F07779" w14:paraId="03B29E73" w14:textId="6C094505" w:rsidTr="001F203F">
        <w:trPr>
          <w:trHeight w:val="171"/>
        </w:trPr>
        <w:tc>
          <w:tcPr>
            <w:tcW w:w="1546" w:type="pct"/>
            <w:vMerge/>
            <w:tcMar>
              <w:left w:w="0" w:type="dxa"/>
              <w:right w:w="0" w:type="dxa"/>
            </w:tcMar>
          </w:tcPr>
          <w:p w14:paraId="10FD2D4C" w14:textId="77777777" w:rsidR="001F203F" w:rsidRPr="00F07779" w:rsidRDefault="001F203F" w:rsidP="001F203F">
            <w:pPr>
              <w:snapToGrid w:val="0"/>
              <w:rPr>
                <w:sz w:val="20"/>
                <w:szCs w:val="20"/>
              </w:rPr>
            </w:pPr>
          </w:p>
        </w:tc>
        <w:tc>
          <w:tcPr>
            <w:tcW w:w="374" w:type="pct"/>
            <w:vMerge/>
            <w:tcMar>
              <w:left w:w="0" w:type="dxa"/>
              <w:right w:w="0" w:type="dxa"/>
            </w:tcMar>
          </w:tcPr>
          <w:p w14:paraId="5BBF6FA2" w14:textId="77777777" w:rsidR="001F203F" w:rsidRPr="00F07779" w:rsidRDefault="001F203F" w:rsidP="001F203F">
            <w:pPr>
              <w:snapToGrid w:val="0"/>
              <w:jc w:val="center"/>
              <w:rPr>
                <w:sz w:val="20"/>
                <w:szCs w:val="20"/>
              </w:rPr>
            </w:pPr>
          </w:p>
        </w:tc>
        <w:tc>
          <w:tcPr>
            <w:tcW w:w="382" w:type="pct"/>
            <w:tcMar>
              <w:left w:w="0" w:type="dxa"/>
              <w:right w:w="0" w:type="dxa"/>
            </w:tcMar>
            <w:vAlign w:val="center"/>
          </w:tcPr>
          <w:p w14:paraId="5A2A8E70" w14:textId="77777777" w:rsidR="001F203F" w:rsidRPr="00F07779" w:rsidRDefault="001F203F" w:rsidP="001F203F">
            <w:pPr>
              <w:snapToGrid w:val="0"/>
              <w:jc w:val="center"/>
              <w:rPr>
                <w:sz w:val="20"/>
                <w:szCs w:val="20"/>
              </w:rPr>
            </w:pPr>
            <w:r w:rsidRPr="00F07779">
              <w:rPr>
                <w:sz w:val="20"/>
                <w:szCs w:val="20"/>
              </w:rPr>
              <w:t>2027.</w:t>
            </w:r>
          </w:p>
        </w:tc>
        <w:tc>
          <w:tcPr>
            <w:tcW w:w="803" w:type="pct"/>
            <w:vMerge/>
            <w:tcMar>
              <w:left w:w="0" w:type="dxa"/>
              <w:right w:w="0" w:type="dxa"/>
            </w:tcMar>
            <w:vAlign w:val="center"/>
          </w:tcPr>
          <w:p w14:paraId="2DA750CE" w14:textId="77777777" w:rsidR="001F203F" w:rsidRPr="00F07779" w:rsidRDefault="001F203F" w:rsidP="001F203F">
            <w:pPr>
              <w:snapToGrid w:val="0"/>
              <w:jc w:val="center"/>
              <w:rPr>
                <w:sz w:val="20"/>
                <w:szCs w:val="20"/>
              </w:rPr>
            </w:pPr>
          </w:p>
        </w:tc>
        <w:tc>
          <w:tcPr>
            <w:tcW w:w="885" w:type="pct"/>
            <w:vMerge/>
            <w:tcMar>
              <w:left w:w="0" w:type="dxa"/>
              <w:right w:w="0" w:type="dxa"/>
            </w:tcMar>
            <w:vAlign w:val="center"/>
          </w:tcPr>
          <w:p w14:paraId="06D3BAD1" w14:textId="77777777" w:rsidR="001F203F" w:rsidRPr="00F07779" w:rsidRDefault="001F203F" w:rsidP="001F203F">
            <w:pPr>
              <w:snapToGrid w:val="0"/>
              <w:jc w:val="center"/>
              <w:rPr>
                <w:sz w:val="20"/>
                <w:szCs w:val="20"/>
              </w:rPr>
            </w:pPr>
          </w:p>
        </w:tc>
        <w:tc>
          <w:tcPr>
            <w:tcW w:w="1009" w:type="pct"/>
            <w:vMerge/>
            <w:vAlign w:val="center"/>
          </w:tcPr>
          <w:p w14:paraId="3AA9D1EB" w14:textId="77777777" w:rsidR="001F203F" w:rsidRPr="00F07779" w:rsidRDefault="001F203F" w:rsidP="001F203F">
            <w:pPr>
              <w:snapToGrid w:val="0"/>
              <w:jc w:val="center"/>
              <w:rPr>
                <w:sz w:val="20"/>
                <w:szCs w:val="20"/>
              </w:rPr>
            </w:pPr>
          </w:p>
        </w:tc>
      </w:tr>
      <w:tr w:rsidR="001F203F" w:rsidRPr="00F07779" w14:paraId="14B56007" w14:textId="1FE6FD03" w:rsidTr="001F203F">
        <w:trPr>
          <w:trHeight w:val="171"/>
        </w:trPr>
        <w:tc>
          <w:tcPr>
            <w:tcW w:w="1546" w:type="pct"/>
            <w:vMerge/>
            <w:tcMar>
              <w:left w:w="0" w:type="dxa"/>
              <w:right w:w="0" w:type="dxa"/>
            </w:tcMar>
          </w:tcPr>
          <w:p w14:paraId="76754FEE" w14:textId="77777777" w:rsidR="001F203F" w:rsidRPr="00F07779" w:rsidRDefault="001F203F" w:rsidP="001F203F">
            <w:pPr>
              <w:snapToGrid w:val="0"/>
              <w:rPr>
                <w:sz w:val="20"/>
                <w:szCs w:val="20"/>
              </w:rPr>
            </w:pPr>
          </w:p>
        </w:tc>
        <w:tc>
          <w:tcPr>
            <w:tcW w:w="374" w:type="pct"/>
            <w:vMerge/>
            <w:tcMar>
              <w:left w:w="0" w:type="dxa"/>
              <w:right w:w="0" w:type="dxa"/>
            </w:tcMar>
          </w:tcPr>
          <w:p w14:paraId="0D885978" w14:textId="77777777" w:rsidR="001F203F" w:rsidRPr="00F07779" w:rsidRDefault="001F203F" w:rsidP="001F203F">
            <w:pPr>
              <w:snapToGrid w:val="0"/>
              <w:jc w:val="center"/>
              <w:rPr>
                <w:sz w:val="20"/>
                <w:szCs w:val="20"/>
              </w:rPr>
            </w:pPr>
          </w:p>
        </w:tc>
        <w:tc>
          <w:tcPr>
            <w:tcW w:w="382" w:type="pct"/>
            <w:tcMar>
              <w:left w:w="0" w:type="dxa"/>
              <w:right w:w="0" w:type="dxa"/>
            </w:tcMar>
            <w:vAlign w:val="center"/>
          </w:tcPr>
          <w:p w14:paraId="42DD1BBF" w14:textId="77777777" w:rsidR="001F203F" w:rsidRPr="00F07779" w:rsidRDefault="001F203F" w:rsidP="001F203F">
            <w:pPr>
              <w:snapToGrid w:val="0"/>
              <w:jc w:val="center"/>
              <w:rPr>
                <w:sz w:val="20"/>
                <w:szCs w:val="20"/>
              </w:rPr>
            </w:pPr>
            <w:r w:rsidRPr="00F07779">
              <w:rPr>
                <w:sz w:val="20"/>
                <w:szCs w:val="20"/>
              </w:rPr>
              <w:t>2028.</w:t>
            </w:r>
          </w:p>
        </w:tc>
        <w:tc>
          <w:tcPr>
            <w:tcW w:w="803" w:type="pct"/>
            <w:vMerge/>
            <w:tcMar>
              <w:left w:w="0" w:type="dxa"/>
              <w:right w:w="0" w:type="dxa"/>
            </w:tcMar>
            <w:vAlign w:val="center"/>
          </w:tcPr>
          <w:p w14:paraId="377E4F58" w14:textId="77777777" w:rsidR="001F203F" w:rsidRPr="00F07779" w:rsidRDefault="001F203F" w:rsidP="001F203F">
            <w:pPr>
              <w:snapToGrid w:val="0"/>
              <w:jc w:val="center"/>
              <w:rPr>
                <w:sz w:val="20"/>
                <w:szCs w:val="20"/>
              </w:rPr>
            </w:pPr>
          </w:p>
        </w:tc>
        <w:tc>
          <w:tcPr>
            <w:tcW w:w="885" w:type="pct"/>
            <w:vMerge/>
            <w:tcMar>
              <w:left w:w="0" w:type="dxa"/>
              <w:right w:w="0" w:type="dxa"/>
            </w:tcMar>
            <w:vAlign w:val="center"/>
          </w:tcPr>
          <w:p w14:paraId="03B6BE76" w14:textId="77777777" w:rsidR="001F203F" w:rsidRPr="00F07779" w:rsidRDefault="001F203F" w:rsidP="001F203F">
            <w:pPr>
              <w:snapToGrid w:val="0"/>
              <w:jc w:val="center"/>
              <w:rPr>
                <w:sz w:val="20"/>
                <w:szCs w:val="20"/>
              </w:rPr>
            </w:pPr>
          </w:p>
        </w:tc>
        <w:tc>
          <w:tcPr>
            <w:tcW w:w="1009" w:type="pct"/>
            <w:vMerge/>
            <w:vAlign w:val="center"/>
          </w:tcPr>
          <w:p w14:paraId="7B85315B" w14:textId="77777777" w:rsidR="001F203F" w:rsidRPr="00F07779" w:rsidRDefault="001F203F" w:rsidP="001F203F">
            <w:pPr>
              <w:snapToGrid w:val="0"/>
              <w:jc w:val="center"/>
              <w:rPr>
                <w:sz w:val="20"/>
                <w:szCs w:val="20"/>
              </w:rPr>
            </w:pPr>
          </w:p>
        </w:tc>
      </w:tr>
      <w:tr w:rsidR="001F203F" w:rsidRPr="00F07779" w14:paraId="4038EA29" w14:textId="3FC36506" w:rsidTr="001F203F">
        <w:trPr>
          <w:trHeight w:val="93"/>
        </w:trPr>
        <w:tc>
          <w:tcPr>
            <w:tcW w:w="1546" w:type="pct"/>
            <w:vMerge w:val="restart"/>
            <w:tcMar>
              <w:left w:w="0" w:type="dxa"/>
              <w:right w:w="0" w:type="dxa"/>
            </w:tcMar>
          </w:tcPr>
          <w:p w14:paraId="0D31B800" w14:textId="0393C26D" w:rsidR="001F203F" w:rsidRPr="00F07779" w:rsidRDefault="001F203F" w:rsidP="001F203F">
            <w:pPr>
              <w:snapToGrid w:val="0"/>
              <w:rPr>
                <w:sz w:val="20"/>
                <w:szCs w:val="20"/>
              </w:rPr>
            </w:pPr>
            <w:r w:rsidRPr="00F07779">
              <w:rPr>
                <w:sz w:val="20"/>
                <w:szCs w:val="20"/>
              </w:rPr>
              <w:t>N2 - Continuation of refinery capacity modernization</w:t>
            </w:r>
          </w:p>
        </w:tc>
        <w:tc>
          <w:tcPr>
            <w:tcW w:w="374" w:type="pct"/>
            <w:vMerge w:val="restart"/>
            <w:tcMar>
              <w:left w:w="0" w:type="dxa"/>
              <w:right w:w="0" w:type="dxa"/>
            </w:tcMar>
          </w:tcPr>
          <w:p w14:paraId="476C881B" w14:textId="328D5232" w:rsidR="001F203F" w:rsidRPr="00F07779" w:rsidRDefault="001F203F" w:rsidP="001F203F">
            <w:pPr>
              <w:snapToGrid w:val="0"/>
              <w:jc w:val="center"/>
              <w:rPr>
                <w:b/>
                <w:bCs/>
                <w:sz w:val="20"/>
                <w:szCs w:val="20"/>
              </w:rPr>
            </w:pPr>
            <w:r w:rsidRPr="00F07779">
              <w:rPr>
                <w:sz w:val="20"/>
                <w:szCs w:val="20"/>
              </w:rPr>
              <w:t>Inv</w:t>
            </w:r>
          </w:p>
        </w:tc>
        <w:tc>
          <w:tcPr>
            <w:tcW w:w="382" w:type="pct"/>
            <w:tcMar>
              <w:left w:w="0" w:type="dxa"/>
              <w:right w:w="0" w:type="dxa"/>
            </w:tcMar>
            <w:vAlign w:val="center"/>
          </w:tcPr>
          <w:p w14:paraId="29AE3ED0" w14:textId="77777777" w:rsidR="001F203F" w:rsidRPr="00F07779" w:rsidRDefault="001F203F" w:rsidP="001F203F">
            <w:pPr>
              <w:snapToGrid w:val="0"/>
              <w:jc w:val="center"/>
              <w:rPr>
                <w:sz w:val="20"/>
                <w:szCs w:val="20"/>
              </w:rPr>
            </w:pPr>
            <w:r w:rsidRPr="00F07779">
              <w:rPr>
                <w:sz w:val="20"/>
                <w:szCs w:val="20"/>
              </w:rPr>
              <w:t>2026.</w:t>
            </w:r>
          </w:p>
        </w:tc>
        <w:tc>
          <w:tcPr>
            <w:tcW w:w="803" w:type="pct"/>
            <w:vMerge w:val="restart"/>
            <w:tcMar>
              <w:left w:w="0" w:type="dxa"/>
              <w:right w:w="0" w:type="dxa"/>
            </w:tcMar>
            <w:vAlign w:val="center"/>
          </w:tcPr>
          <w:p w14:paraId="1CAC8496" w14:textId="6BF83388" w:rsidR="001F203F" w:rsidRPr="00F07779" w:rsidRDefault="001F203F" w:rsidP="001F203F">
            <w:pPr>
              <w:snapToGrid w:val="0"/>
              <w:jc w:val="center"/>
              <w:rPr>
                <w:sz w:val="20"/>
                <w:szCs w:val="20"/>
              </w:rPr>
            </w:pPr>
            <w:r w:rsidRPr="00F07779">
              <w:rPr>
                <w:sz w:val="20"/>
                <w:szCs w:val="20"/>
              </w:rPr>
              <w:t>-</w:t>
            </w:r>
          </w:p>
        </w:tc>
        <w:tc>
          <w:tcPr>
            <w:tcW w:w="885" w:type="pct"/>
            <w:vMerge w:val="restart"/>
            <w:tcMar>
              <w:left w:w="0" w:type="dxa"/>
              <w:right w:w="0" w:type="dxa"/>
            </w:tcMar>
            <w:vAlign w:val="center"/>
          </w:tcPr>
          <w:p w14:paraId="21672BDC" w14:textId="04976E2D" w:rsidR="001F203F" w:rsidRPr="00F07779" w:rsidRDefault="001F203F" w:rsidP="001F203F">
            <w:pPr>
              <w:snapToGrid w:val="0"/>
              <w:jc w:val="center"/>
              <w:rPr>
                <w:sz w:val="20"/>
                <w:szCs w:val="20"/>
              </w:rPr>
            </w:pPr>
            <w:r w:rsidRPr="00F07779">
              <w:rPr>
                <w:sz w:val="20"/>
                <w:szCs w:val="20"/>
              </w:rPr>
              <w:t>173 mil. EUR</w:t>
            </w:r>
          </w:p>
          <w:p w14:paraId="0E0A67B3" w14:textId="6C558357" w:rsidR="001F203F" w:rsidRPr="00F07779" w:rsidRDefault="001F203F" w:rsidP="001F203F">
            <w:pPr>
              <w:snapToGrid w:val="0"/>
              <w:jc w:val="center"/>
              <w:rPr>
                <w:sz w:val="20"/>
                <w:szCs w:val="20"/>
              </w:rPr>
            </w:pPr>
            <w:r w:rsidRPr="00F07779">
              <w:rPr>
                <w:sz w:val="20"/>
                <w:szCs w:val="20"/>
              </w:rPr>
              <w:t>(20</w:t>
            </w:r>
            <w:r w:rsidR="00837649" w:rsidRPr="00F07779">
              <w:rPr>
                <w:sz w:val="20"/>
                <w:szCs w:val="20"/>
              </w:rPr>
              <w:t>,</w:t>
            </w:r>
            <w:r w:rsidRPr="00F07779">
              <w:rPr>
                <w:sz w:val="20"/>
                <w:szCs w:val="20"/>
              </w:rPr>
              <w:t xml:space="preserve">284 </w:t>
            </w:r>
            <w:proofErr w:type="spellStart"/>
            <w:r w:rsidRPr="00F07779">
              <w:rPr>
                <w:sz w:val="20"/>
                <w:szCs w:val="20"/>
              </w:rPr>
              <w:t>mil.RSD</w:t>
            </w:r>
            <w:proofErr w:type="spellEnd"/>
            <w:r w:rsidRPr="00F07779">
              <w:rPr>
                <w:sz w:val="20"/>
                <w:szCs w:val="20"/>
              </w:rPr>
              <w:t>)</w:t>
            </w:r>
          </w:p>
        </w:tc>
        <w:tc>
          <w:tcPr>
            <w:tcW w:w="1009" w:type="pct"/>
            <w:vMerge w:val="restart"/>
            <w:vAlign w:val="center"/>
          </w:tcPr>
          <w:p w14:paraId="46075F7C" w14:textId="3C503C13" w:rsidR="001F203F" w:rsidRPr="00F07779" w:rsidRDefault="001F203F" w:rsidP="001F203F">
            <w:pPr>
              <w:snapToGrid w:val="0"/>
              <w:jc w:val="center"/>
              <w:rPr>
                <w:sz w:val="20"/>
                <w:szCs w:val="20"/>
              </w:rPr>
            </w:pPr>
            <w:r w:rsidRPr="00F07779">
              <w:rPr>
                <w:sz w:val="20"/>
                <w:szCs w:val="20"/>
              </w:rPr>
              <w:t>-</w:t>
            </w:r>
          </w:p>
        </w:tc>
      </w:tr>
      <w:tr w:rsidR="003623DF" w:rsidRPr="00F07779" w14:paraId="5BAEDEB4" w14:textId="23E6FCC1" w:rsidTr="001F203F">
        <w:trPr>
          <w:trHeight w:val="92"/>
        </w:trPr>
        <w:tc>
          <w:tcPr>
            <w:tcW w:w="1546" w:type="pct"/>
            <w:vMerge/>
            <w:tcMar>
              <w:left w:w="0" w:type="dxa"/>
              <w:right w:w="0" w:type="dxa"/>
            </w:tcMar>
          </w:tcPr>
          <w:p w14:paraId="627C0035" w14:textId="77777777" w:rsidR="003623DF" w:rsidRPr="00F07779" w:rsidRDefault="003623DF" w:rsidP="009A03AE">
            <w:pPr>
              <w:snapToGrid w:val="0"/>
              <w:rPr>
                <w:sz w:val="20"/>
                <w:szCs w:val="20"/>
              </w:rPr>
            </w:pPr>
          </w:p>
        </w:tc>
        <w:tc>
          <w:tcPr>
            <w:tcW w:w="374" w:type="pct"/>
            <w:vMerge/>
            <w:tcMar>
              <w:left w:w="0" w:type="dxa"/>
              <w:right w:w="0" w:type="dxa"/>
            </w:tcMar>
            <w:vAlign w:val="center"/>
          </w:tcPr>
          <w:p w14:paraId="4A20DEE0" w14:textId="77777777" w:rsidR="003623DF" w:rsidRPr="00F07779" w:rsidRDefault="003623DF" w:rsidP="009A03AE">
            <w:pPr>
              <w:snapToGrid w:val="0"/>
              <w:jc w:val="center"/>
              <w:rPr>
                <w:sz w:val="20"/>
                <w:szCs w:val="20"/>
              </w:rPr>
            </w:pPr>
          </w:p>
        </w:tc>
        <w:tc>
          <w:tcPr>
            <w:tcW w:w="382" w:type="pct"/>
            <w:tcMar>
              <w:left w:w="0" w:type="dxa"/>
              <w:right w:w="0" w:type="dxa"/>
            </w:tcMar>
            <w:vAlign w:val="center"/>
          </w:tcPr>
          <w:p w14:paraId="6A13073F" w14:textId="77777777" w:rsidR="003623DF" w:rsidRPr="00F07779" w:rsidRDefault="003623DF" w:rsidP="009A03AE">
            <w:pPr>
              <w:snapToGrid w:val="0"/>
              <w:jc w:val="center"/>
              <w:rPr>
                <w:sz w:val="20"/>
                <w:szCs w:val="20"/>
              </w:rPr>
            </w:pPr>
            <w:r w:rsidRPr="00F07779">
              <w:rPr>
                <w:sz w:val="20"/>
                <w:szCs w:val="20"/>
              </w:rPr>
              <w:t>2027.</w:t>
            </w:r>
          </w:p>
        </w:tc>
        <w:tc>
          <w:tcPr>
            <w:tcW w:w="803" w:type="pct"/>
            <w:vMerge/>
            <w:tcMar>
              <w:left w:w="0" w:type="dxa"/>
              <w:right w:w="0" w:type="dxa"/>
            </w:tcMar>
            <w:vAlign w:val="center"/>
          </w:tcPr>
          <w:p w14:paraId="7709EDDA" w14:textId="77777777" w:rsidR="003623DF" w:rsidRPr="00F07779" w:rsidRDefault="003623DF" w:rsidP="009A03AE">
            <w:pPr>
              <w:snapToGrid w:val="0"/>
              <w:jc w:val="center"/>
              <w:rPr>
                <w:sz w:val="20"/>
                <w:szCs w:val="20"/>
              </w:rPr>
            </w:pPr>
          </w:p>
        </w:tc>
        <w:tc>
          <w:tcPr>
            <w:tcW w:w="885" w:type="pct"/>
            <w:vMerge/>
            <w:tcMar>
              <w:left w:w="0" w:type="dxa"/>
              <w:right w:w="0" w:type="dxa"/>
            </w:tcMar>
            <w:vAlign w:val="center"/>
          </w:tcPr>
          <w:p w14:paraId="52F6A899" w14:textId="77777777" w:rsidR="003623DF" w:rsidRPr="00F07779" w:rsidRDefault="003623DF" w:rsidP="009A03AE">
            <w:pPr>
              <w:snapToGrid w:val="0"/>
              <w:jc w:val="center"/>
              <w:rPr>
                <w:sz w:val="20"/>
                <w:szCs w:val="20"/>
              </w:rPr>
            </w:pPr>
          </w:p>
        </w:tc>
        <w:tc>
          <w:tcPr>
            <w:tcW w:w="1009" w:type="pct"/>
            <w:vMerge/>
          </w:tcPr>
          <w:p w14:paraId="6F7B3062" w14:textId="77777777" w:rsidR="003623DF" w:rsidRPr="00F07779" w:rsidRDefault="003623DF" w:rsidP="009A03AE">
            <w:pPr>
              <w:snapToGrid w:val="0"/>
              <w:jc w:val="center"/>
              <w:rPr>
                <w:sz w:val="20"/>
                <w:szCs w:val="20"/>
              </w:rPr>
            </w:pPr>
          </w:p>
        </w:tc>
      </w:tr>
      <w:tr w:rsidR="003623DF" w:rsidRPr="00F07779" w14:paraId="1012294E" w14:textId="63FC0940" w:rsidTr="001F203F">
        <w:trPr>
          <w:trHeight w:val="92"/>
        </w:trPr>
        <w:tc>
          <w:tcPr>
            <w:tcW w:w="1546" w:type="pct"/>
            <w:vMerge/>
            <w:tcMar>
              <w:left w:w="0" w:type="dxa"/>
              <w:right w:w="0" w:type="dxa"/>
            </w:tcMar>
          </w:tcPr>
          <w:p w14:paraId="5EA29986" w14:textId="77777777" w:rsidR="003623DF" w:rsidRPr="00F07779" w:rsidRDefault="003623DF" w:rsidP="009A03AE">
            <w:pPr>
              <w:snapToGrid w:val="0"/>
              <w:rPr>
                <w:sz w:val="20"/>
                <w:szCs w:val="20"/>
              </w:rPr>
            </w:pPr>
          </w:p>
        </w:tc>
        <w:tc>
          <w:tcPr>
            <w:tcW w:w="374" w:type="pct"/>
            <w:vMerge/>
            <w:tcMar>
              <w:left w:w="0" w:type="dxa"/>
              <w:right w:w="0" w:type="dxa"/>
            </w:tcMar>
            <w:vAlign w:val="center"/>
          </w:tcPr>
          <w:p w14:paraId="1EE8865E" w14:textId="77777777" w:rsidR="003623DF" w:rsidRPr="00F07779" w:rsidRDefault="003623DF" w:rsidP="009A03AE">
            <w:pPr>
              <w:snapToGrid w:val="0"/>
              <w:jc w:val="center"/>
              <w:rPr>
                <w:sz w:val="20"/>
                <w:szCs w:val="20"/>
              </w:rPr>
            </w:pPr>
          </w:p>
        </w:tc>
        <w:tc>
          <w:tcPr>
            <w:tcW w:w="382" w:type="pct"/>
            <w:tcMar>
              <w:left w:w="0" w:type="dxa"/>
              <w:right w:w="0" w:type="dxa"/>
            </w:tcMar>
            <w:vAlign w:val="center"/>
          </w:tcPr>
          <w:p w14:paraId="59779213" w14:textId="77777777" w:rsidR="003623DF" w:rsidRPr="00F07779" w:rsidRDefault="003623DF" w:rsidP="009A03AE">
            <w:pPr>
              <w:snapToGrid w:val="0"/>
              <w:jc w:val="center"/>
              <w:rPr>
                <w:sz w:val="20"/>
                <w:szCs w:val="20"/>
              </w:rPr>
            </w:pPr>
            <w:r w:rsidRPr="00F07779">
              <w:rPr>
                <w:sz w:val="20"/>
                <w:szCs w:val="20"/>
              </w:rPr>
              <w:t>2028.</w:t>
            </w:r>
          </w:p>
        </w:tc>
        <w:tc>
          <w:tcPr>
            <w:tcW w:w="803" w:type="pct"/>
            <w:vMerge/>
            <w:tcMar>
              <w:left w:w="0" w:type="dxa"/>
              <w:right w:w="0" w:type="dxa"/>
            </w:tcMar>
            <w:vAlign w:val="center"/>
          </w:tcPr>
          <w:p w14:paraId="5B2BB925" w14:textId="77777777" w:rsidR="003623DF" w:rsidRPr="00F07779" w:rsidRDefault="003623DF" w:rsidP="009A03AE">
            <w:pPr>
              <w:snapToGrid w:val="0"/>
              <w:jc w:val="center"/>
              <w:rPr>
                <w:sz w:val="20"/>
                <w:szCs w:val="20"/>
              </w:rPr>
            </w:pPr>
          </w:p>
        </w:tc>
        <w:tc>
          <w:tcPr>
            <w:tcW w:w="885" w:type="pct"/>
            <w:vMerge/>
            <w:tcMar>
              <w:left w:w="0" w:type="dxa"/>
              <w:right w:w="0" w:type="dxa"/>
            </w:tcMar>
            <w:vAlign w:val="center"/>
          </w:tcPr>
          <w:p w14:paraId="376A9CE7" w14:textId="77777777" w:rsidR="003623DF" w:rsidRPr="00F07779" w:rsidRDefault="003623DF" w:rsidP="009A03AE">
            <w:pPr>
              <w:snapToGrid w:val="0"/>
              <w:jc w:val="center"/>
              <w:rPr>
                <w:sz w:val="20"/>
                <w:szCs w:val="20"/>
              </w:rPr>
            </w:pPr>
          </w:p>
        </w:tc>
        <w:tc>
          <w:tcPr>
            <w:tcW w:w="1009" w:type="pct"/>
            <w:vMerge/>
          </w:tcPr>
          <w:p w14:paraId="56FBBA95" w14:textId="77777777" w:rsidR="003623DF" w:rsidRPr="00F07779" w:rsidRDefault="003623DF" w:rsidP="009A03AE">
            <w:pPr>
              <w:snapToGrid w:val="0"/>
              <w:jc w:val="center"/>
              <w:rPr>
                <w:sz w:val="20"/>
                <w:szCs w:val="20"/>
              </w:rPr>
            </w:pPr>
          </w:p>
        </w:tc>
      </w:tr>
      <w:tr w:rsidR="003623DF" w:rsidRPr="00F07779" w14:paraId="4EEB5E79" w14:textId="1231DA45" w:rsidTr="001F203F">
        <w:trPr>
          <w:trHeight w:val="93"/>
        </w:trPr>
        <w:tc>
          <w:tcPr>
            <w:tcW w:w="1546" w:type="pct"/>
            <w:vMerge w:val="restart"/>
            <w:tcMar>
              <w:left w:w="0" w:type="dxa"/>
              <w:right w:w="0" w:type="dxa"/>
            </w:tcMar>
          </w:tcPr>
          <w:p w14:paraId="23C75195" w14:textId="56968133" w:rsidR="003623DF" w:rsidRPr="00F07779" w:rsidRDefault="002C076A" w:rsidP="009A03AE">
            <w:pPr>
              <w:snapToGrid w:val="0"/>
              <w:rPr>
                <w:sz w:val="20"/>
                <w:szCs w:val="20"/>
              </w:rPr>
            </w:pPr>
            <w:r w:rsidRPr="00F07779">
              <w:rPr>
                <w:sz w:val="20"/>
                <w:szCs w:val="20"/>
              </w:rPr>
              <w:t>N</w:t>
            </w:r>
            <w:r w:rsidR="003623DF" w:rsidRPr="00F07779">
              <w:rPr>
                <w:sz w:val="20"/>
                <w:szCs w:val="20"/>
              </w:rPr>
              <w:t>3 -</w:t>
            </w:r>
            <w:r w:rsidRPr="00F07779">
              <w:rPr>
                <w:sz w:val="20"/>
                <w:szCs w:val="20"/>
              </w:rPr>
              <w:t xml:space="preserve"> Construction of oil pipelines and product pipelines</w:t>
            </w:r>
          </w:p>
        </w:tc>
        <w:tc>
          <w:tcPr>
            <w:tcW w:w="374" w:type="pct"/>
            <w:vMerge w:val="restart"/>
            <w:tcMar>
              <w:left w:w="0" w:type="dxa"/>
              <w:right w:w="0" w:type="dxa"/>
            </w:tcMar>
            <w:vAlign w:val="center"/>
          </w:tcPr>
          <w:p w14:paraId="3091761B" w14:textId="09C1B049" w:rsidR="003623DF" w:rsidRPr="00F07779" w:rsidRDefault="001F203F" w:rsidP="009A03AE">
            <w:pPr>
              <w:snapToGrid w:val="0"/>
              <w:jc w:val="center"/>
              <w:rPr>
                <w:sz w:val="20"/>
                <w:szCs w:val="20"/>
              </w:rPr>
            </w:pPr>
            <w:r w:rsidRPr="00F07779">
              <w:rPr>
                <w:sz w:val="20"/>
                <w:szCs w:val="20"/>
              </w:rPr>
              <w:t>Inv</w:t>
            </w:r>
          </w:p>
        </w:tc>
        <w:tc>
          <w:tcPr>
            <w:tcW w:w="382" w:type="pct"/>
            <w:tcMar>
              <w:left w:w="0" w:type="dxa"/>
              <w:right w:w="0" w:type="dxa"/>
            </w:tcMar>
            <w:vAlign w:val="center"/>
          </w:tcPr>
          <w:p w14:paraId="576CAD65" w14:textId="77777777" w:rsidR="003623DF" w:rsidRPr="00F07779" w:rsidRDefault="003623DF" w:rsidP="009A03AE">
            <w:pPr>
              <w:snapToGrid w:val="0"/>
              <w:jc w:val="center"/>
              <w:rPr>
                <w:sz w:val="20"/>
                <w:szCs w:val="20"/>
              </w:rPr>
            </w:pPr>
            <w:r w:rsidRPr="00F07779">
              <w:rPr>
                <w:sz w:val="20"/>
                <w:szCs w:val="20"/>
              </w:rPr>
              <w:t>2026.</w:t>
            </w:r>
          </w:p>
        </w:tc>
        <w:tc>
          <w:tcPr>
            <w:tcW w:w="803" w:type="pct"/>
            <w:tcMar>
              <w:left w:w="0" w:type="dxa"/>
              <w:right w:w="0" w:type="dxa"/>
            </w:tcMar>
            <w:vAlign w:val="center"/>
          </w:tcPr>
          <w:p w14:paraId="0DD4DEB0" w14:textId="51919E43" w:rsidR="003623DF" w:rsidRPr="00F07779" w:rsidRDefault="00DF1DA8" w:rsidP="009A03AE">
            <w:pPr>
              <w:snapToGrid w:val="0"/>
              <w:jc w:val="center"/>
              <w:rPr>
                <w:sz w:val="20"/>
                <w:szCs w:val="20"/>
              </w:rPr>
            </w:pPr>
            <w:r w:rsidRPr="00F07779">
              <w:rPr>
                <w:sz w:val="20"/>
                <w:szCs w:val="20"/>
              </w:rPr>
              <w:t>11</w:t>
            </w:r>
            <w:r w:rsidR="008B2A7B" w:rsidRPr="00F07779">
              <w:rPr>
                <w:sz w:val="20"/>
                <w:szCs w:val="20"/>
              </w:rPr>
              <w:t>.</w:t>
            </w:r>
            <w:r w:rsidRPr="00F07779">
              <w:rPr>
                <w:sz w:val="20"/>
                <w:szCs w:val="20"/>
              </w:rPr>
              <w:t>308</w:t>
            </w:r>
            <w:r w:rsidR="00DF0C9E" w:rsidRPr="00F07779">
              <w:rPr>
                <w:sz w:val="20"/>
                <w:szCs w:val="20"/>
              </w:rPr>
              <w:t xml:space="preserve"> </w:t>
            </w:r>
            <w:r w:rsidR="002C076A" w:rsidRPr="00F07779">
              <w:rPr>
                <w:sz w:val="20"/>
                <w:szCs w:val="20"/>
              </w:rPr>
              <w:t>mil</w:t>
            </w:r>
            <w:r w:rsidR="00DF0C9E" w:rsidRPr="00F07779">
              <w:rPr>
                <w:sz w:val="20"/>
                <w:szCs w:val="20"/>
              </w:rPr>
              <w:t xml:space="preserve">. </w:t>
            </w:r>
            <w:r w:rsidR="003B4095" w:rsidRPr="00F07779">
              <w:rPr>
                <w:sz w:val="20"/>
                <w:szCs w:val="20"/>
              </w:rPr>
              <w:t>EUR</w:t>
            </w:r>
          </w:p>
        </w:tc>
        <w:tc>
          <w:tcPr>
            <w:tcW w:w="885" w:type="pct"/>
            <w:vMerge w:val="restart"/>
            <w:tcMar>
              <w:left w:w="0" w:type="dxa"/>
              <w:right w:w="0" w:type="dxa"/>
            </w:tcMar>
            <w:vAlign w:val="center"/>
          </w:tcPr>
          <w:p w14:paraId="69FDF6A1" w14:textId="7FF807D2" w:rsidR="003623DF" w:rsidRPr="00F07779" w:rsidRDefault="00E42EC6" w:rsidP="00E42EC6">
            <w:pPr>
              <w:rPr>
                <w:sz w:val="20"/>
                <w:szCs w:val="20"/>
              </w:rPr>
            </w:pPr>
            <w:r w:rsidRPr="00F07779">
              <w:rPr>
                <w:sz w:val="20"/>
                <w:szCs w:val="20"/>
              </w:rPr>
              <w:t>3</w:t>
            </w:r>
            <w:r w:rsidR="00DF1DA8" w:rsidRPr="00F07779">
              <w:rPr>
                <w:sz w:val="20"/>
                <w:szCs w:val="20"/>
              </w:rPr>
              <w:t>2.</w:t>
            </w:r>
            <w:r w:rsidRPr="00F07779">
              <w:rPr>
                <w:sz w:val="20"/>
                <w:szCs w:val="20"/>
              </w:rPr>
              <w:t xml:space="preserve">8 </w:t>
            </w:r>
            <w:r w:rsidR="002C076A" w:rsidRPr="00F07779">
              <w:rPr>
                <w:sz w:val="20"/>
                <w:szCs w:val="20"/>
              </w:rPr>
              <w:t>mil</w:t>
            </w:r>
            <w:r w:rsidRPr="00F07779">
              <w:rPr>
                <w:sz w:val="20"/>
                <w:szCs w:val="20"/>
              </w:rPr>
              <w:t xml:space="preserve"> </w:t>
            </w:r>
            <w:r w:rsidR="00970DFE" w:rsidRPr="00F07779">
              <w:rPr>
                <w:sz w:val="20"/>
                <w:szCs w:val="20"/>
              </w:rPr>
              <w:t>EUR</w:t>
            </w:r>
            <w:r w:rsidRPr="00F07779">
              <w:rPr>
                <w:sz w:val="20"/>
                <w:szCs w:val="20"/>
              </w:rPr>
              <w:t xml:space="preserve"> (</w:t>
            </w:r>
            <w:r w:rsidR="00DF1DA8" w:rsidRPr="00F07779">
              <w:rPr>
                <w:sz w:val="20"/>
                <w:szCs w:val="20"/>
              </w:rPr>
              <w:t>34,846</w:t>
            </w:r>
            <w:r w:rsidRPr="00F07779">
              <w:rPr>
                <w:sz w:val="20"/>
                <w:szCs w:val="20"/>
              </w:rPr>
              <w:t xml:space="preserve"> </w:t>
            </w:r>
            <w:r w:rsidR="002C076A" w:rsidRPr="00F07779">
              <w:rPr>
                <w:sz w:val="20"/>
                <w:szCs w:val="20"/>
              </w:rPr>
              <w:t>mil</w:t>
            </w:r>
            <w:r w:rsidRPr="00F07779">
              <w:rPr>
                <w:sz w:val="20"/>
                <w:szCs w:val="20"/>
              </w:rPr>
              <w:t xml:space="preserve">. </w:t>
            </w:r>
            <w:r w:rsidR="003B4095" w:rsidRPr="00F07779">
              <w:rPr>
                <w:sz w:val="20"/>
                <w:szCs w:val="20"/>
              </w:rPr>
              <w:t>RSD</w:t>
            </w:r>
            <w:r w:rsidRPr="00F07779">
              <w:rPr>
                <w:sz w:val="20"/>
                <w:szCs w:val="20"/>
              </w:rPr>
              <w:t>)</w:t>
            </w:r>
          </w:p>
        </w:tc>
        <w:tc>
          <w:tcPr>
            <w:tcW w:w="1009" w:type="pct"/>
          </w:tcPr>
          <w:p w14:paraId="1D8F5160" w14:textId="5CCC0DB6" w:rsidR="003623DF" w:rsidRPr="00F07779" w:rsidRDefault="00DF1DA8" w:rsidP="009A03AE">
            <w:pPr>
              <w:snapToGrid w:val="0"/>
              <w:jc w:val="center"/>
              <w:rPr>
                <w:sz w:val="20"/>
                <w:szCs w:val="20"/>
              </w:rPr>
            </w:pPr>
            <w:r w:rsidRPr="00F07779">
              <w:rPr>
                <w:sz w:val="20"/>
                <w:szCs w:val="20"/>
              </w:rPr>
              <w:t>106</w:t>
            </w:r>
            <w:r w:rsidR="008B2A7B" w:rsidRPr="00F07779">
              <w:rPr>
                <w:sz w:val="20"/>
                <w:szCs w:val="20"/>
              </w:rPr>
              <w:t>.</w:t>
            </w:r>
            <w:r w:rsidRPr="00F07779">
              <w:rPr>
                <w:sz w:val="20"/>
                <w:szCs w:val="20"/>
              </w:rPr>
              <w:t>504</w:t>
            </w:r>
            <w:r w:rsidR="00DF0C9E" w:rsidRPr="00F07779">
              <w:rPr>
                <w:sz w:val="20"/>
                <w:szCs w:val="20"/>
              </w:rPr>
              <w:t xml:space="preserve"> </w:t>
            </w:r>
            <w:r w:rsidR="002C076A" w:rsidRPr="00F07779">
              <w:rPr>
                <w:sz w:val="20"/>
                <w:szCs w:val="20"/>
              </w:rPr>
              <w:t>mil</w:t>
            </w:r>
            <w:r w:rsidR="00DF0C9E" w:rsidRPr="00F07779">
              <w:rPr>
                <w:sz w:val="20"/>
                <w:szCs w:val="20"/>
              </w:rPr>
              <w:t xml:space="preserve">. </w:t>
            </w:r>
            <w:r w:rsidR="003B4095" w:rsidRPr="00F07779">
              <w:rPr>
                <w:sz w:val="20"/>
                <w:szCs w:val="20"/>
              </w:rPr>
              <w:t>EUR</w:t>
            </w:r>
          </w:p>
        </w:tc>
      </w:tr>
      <w:tr w:rsidR="003623DF" w:rsidRPr="00F07779" w14:paraId="58DC751D" w14:textId="1E318E38" w:rsidTr="001F203F">
        <w:trPr>
          <w:trHeight w:val="92"/>
        </w:trPr>
        <w:tc>
          <w:tcPr>
            <w:tcW w:w="1546" w:type="pct"/>
            <w:vMerge/>
            <w:tcMar>
              <w:left w:w="0" w:type="dxa"/>
              <w:right w:w="0" w:type="dxa"/>
            </w:tcMar>
          </w:tcPr>
          <w:p w14:paraId="36941595" w14:textId="77777777" w:rsidR="003623DF" w:rsidRPr="00F07779" w:rsidRDefault="003623DF" w:rsidP="009A03AE">
            <w:pPr>
              <w:snapToGrid w:val="0"/>
              <w:rPr>
                <w:sz w:val="20"/>
                <w:szCs w:val="20"/>
              </w:rPr>
            </w:pPr>
          </w:p>
        </w:tc>
        <w:tc>
          <w:tcPr>
            <w:tcW w:w="374" w:type="pct"/>
            <w:vMerge/>
            <w:tcMar>
              <w:left w:w="0" w:type="dxa"/>
              <w:right w:w="0" w:type="dxa"/>
            </w:tcMar>
            <w:vAlign w:val="center"/>
          </w:tcPr>
          <w:p w14:paraId="6A0CD5DC" w14:textId="77777777" w:rsidR="003623DF" w:rsidRPr="00F07779" w:rsidRDefault="003623DF" w:rsidP="009A03AE">
            <w:pPr>
              <w:snapToGrid w:val="0"/>
              <w:jc w:val="center"/>
              <w:rPr>
                <w:sz w:val="20"/>
                <w:szCs w:val="20"/>
              </w:rPr>
            </w:pPr>
          </w:p>
        </w:tc>
        <w:tc>
          <w:tcPr>
            <w:tcW w:w="382" w:type="pct"/>
            <w:tcMar>
              <w:left w:w="0" w:type="dxa"/>
              <w:right w:w="0" w:type="dxa"/>
            </w:tcMar>
            <w:vAlign w:val="center"/>
          </w:tcPr>
          <w:p w14:paraId="097545DF" w14:textId="77777777" w:rsidR="003623DF" w:rsidRPr="00F07779" w:rsidRDefault="003623DF" w:rsidP="009A03AE">
            <w:pPr>
              <w:snapToGrid w:val="0"/>
              <w:jc w:val="center"/>
              <w:rPr>
                <w:sz w:val="20"/>
                <w:szCs w:val="20"/>
              </w:rPr>
            </w:pPr>
            <w:r w:rsidRPr="00F07779">
              <w:rPr>
                <w:sz w:val="20"/>
                <w:szCs w:val="20"/>
              </w:rPr>
              <w:t>2027.</w:t>
            </w:r>
          </w:p>
        </w:tc>
        <w:tc>
          <w:tcPr>
            <w:tcW w:w="803" w:type="pct"/>
            <w:tcMar>
              <w:left w:w="0" w:type="dxa"/>
              <w:right w:w="0" w:type="dxa"/>
            </w:tcMar>
            <w:vAlign w:val="center"/>
          </w:tcPr>
          <w:p w14:paraId="73063388" w14:textId="1B36F189" w:rsidR="003623DF" w:rsidRPr="00F07779" w:rsidRDefault="00DF0C9E" w:rsidP="009A03AE">
            <w:pPr>
              <w:snapToGrid w:val="0"/>
              <w:jc w:val="center"/>
              <w:rPr>
                <w:sz w:val="20"/>
                <w:szCs w:val="20"/>
              </w:rPr>
            </w:pPr>
            <w:r w:rsidRPr="00F07779">
              <w:rPr>
                <w:sz w:val="20"/>
                <w:szCs w:val="20"/>
              </w:rPr>
              <w:t>8</w:t>
            </w:r>
            <w:r w:rsidR="008B2A7B" w:rsidRPr="00F07779">
              <w:rPr>
                <w:sz w:val="20"/>
                <w:szCs w:val="20"/>
              </w:rPr>
              <w:t>.</w:t>
            </w:r>
            <w:r w:rsidRPr="00F07779">
              <w:rPr>
                <w:sz w:val="20"/>
                <w:szCs w:val="20"/>
              </w:rPr>
              <w:t xml:space="preserve">329 </w:t>
            </w:r>
            <w:r w:rsidR="002C076A" w:rsidRPr="00F07779">
              <w:rPr>
                <w:sz w:val="20"/>
                <w:szCs w:val="20"/>
              </w:rPr>
              <w:t>mil</w:t>
            </w:r>
            <w:r w:rsidRPr="00F07779">
              <w:rPr>
                <w:sz w:val="20"/>
                <w:szCs w:val="20"/>
              </w:rPr>
              <w:t xml:space="preserve">. </w:t>
            </w:r>
            <w:r w:rsidR="003B4095" w:rsidRPr="00F07779">
              <w:rPr>
                <w:sz w:val="20"/>
                <w:szCs w:val="20"/>
              </w:rPr>
              <w:t>EUR</w:t>
            </w:r>
          </w:p>
        </w:tc>
        <w:tc>
          <w:tcPr>
            <w:tcW w:w="885" w:type="pct"/>
            <w:vMerge/>
            <w:tcMar>
              <w:left w:w="0" w:type="dxa"/>
              <w:right w:w="0" w:type="dxa"/>
            </w:tcMar>
            <w:vAlign w:val="center"/>
          </w:tcPr>
          <w:p w14:paraId="4FF3D919" w14:textId="77777777" w:rsidR="003623DF" w:rsidRPr="00F07779" w:rsidRDefault="003623DF" w:rsidP="009A03AE">
            <w:pPr>
              <w:snapToGrid w:val="0"/>
              <w:jc w:val="center"/>
              <w:rPr>
                <w:sz w:val="20"/>
                <w:szCs w:val="20"/>
              </w:rPr>
            </w:pPr>
          </w:p>
        </w:tc>
        <w:tc>
          <w:tcPr>
            <w:tcW w:w="1009" w:type="pct"/>
          </w:tcPr>
          <w:p w14:paraId="6E29B29D" w14:textId="25DCD642" w:rsidR="003623DF" w:rsidRPr="00F07779" w:rsidRDefault="00DF0C9E" w:rsidP="009A03AE">
            <w:pPr>
              <w:snapToGrid w:val="0"/>
              <w:jc w:val="center"/>
              <w:rPr>
                <w:sz w:val="20"/>
                <w:szCs w:val="20"/>
              </w:rPr>
            </w:pPr>
            <w:r w:rsidRPr="00F07779">
              <w:rPr>
                <w:sz w:val="20"/>
                <w:szCs w:val="20"/>
              </w:rPr>
              <w:t>26</w:t>
            </w:r>
            <w:r w:rsidR="008B2A7B" w:rsidRPr="00F07779">
              <w:rPr>
                <w:sz w:val="20"/>
                <w:szCs w:val="20"/>
              </w:rPr>
              <w:t>.</w:t>
            </w:r>
            <w:r w:rsidRPr="00F07779">
              <w:rPr>
                <w:sz w:val="20"/>
                <w:szCs w:val="20"/>
              </w:rPr>
              <w:t xml:space="preserve">322 </w:t>
            </w:r>
            <w:r w:rsidR="002C076A" w:rsidRPr="00F07779">
              <w:rPr>
                <w:sz w:val="20"/>
                <w:szCs w:val="20"/>
              </w:rPr>
              <w:t>mil</w:t>
            </w:r>
            <w:r w:rsidRPr="00F07779">
              <w:rPr>
                <w:sz w:val="20"/>
                <w:szCs w:val="20"/>
              </w:rPr>
              <w:t xml:space="preserve">. </w:t>
            </w:r>
            <w:r w:rsidR="003B4095" w:rsidRPr="00F07779">
              <w:rPr>
                <w:sz w:val="20"/>
                <w:szCs w:val="20"/>
              </w:rPr>
              <w:t>EUR</w:t>
            </w:r>
          </w:p>
        </w:tc>
      </w:tr>
      <w:tr w:rsidR="003623DF" w:rsidRPr="00F07779" w14:paraId="460D931F" w14:textId="50B61AAF" w:rsidTr="001F203F">
        <w:trPr>
          <w:trHeight w:val="92"/>
        </w:trPr>
        <w:tc>
          <w:tcPr>
            <w:tcW w:w="1546" w:type="pct"/>
            <w:vMerge/>
            <w:tcMar>
              <w:left w:w="0" w:type="dxa"/>
              <w:right w:w="0" w:type="dxa"/>
            </w:tcMar>
          </w:tcPr>
          <w:p w14:paraId="1C85BBFE" w14:textId="77777777" w:rsidR="003623DF" w:rsidRPr="00F07779" w:rsidRDefault="003623DF" w:rsidP="009A03AE">
            <w:pPr>
              <w:snapToGrid w:val="0"/>
              <w:rPr>
                <w:sz w:val="20"/>
                <w:szCs w:val="20"/>
              </w:rPr>
            </w:pPr>
          </w:p>
        </w:tc>
        <w:tc>
          <w:tcPr>
            <w:tcW w:w="374" w:type="pct"/>
            <w:vMerge/>
            <w:tcMar>
              <w:left w:w="0" w:type="dxa"/>
              <w:right w:w="0" w:type="dxa"/>
            </w:tcMar>
            <w:vAlign w:val="center"/>
          </w:tcPr>
          <w:p w14:paraId="5189CCAC" w14:textId="77777777" w:rsidR="003623DF" w:rsidRPr="00F07779" w:rsidRDefault="003623DF" w:rsidP="009A03AE">
            <w:pPr>
              <w:snapToGrid w:val="0"/>
              <w:jc w:val="center"/>
              <w:rPr>
                <w:sz w:val="20"/>
                <w:szCs w:val="20"/>
              </w:rPr>
            </w:pPr>
          </w:p>
        </w:tc>
        <w:tc>
          <w:tcPr>
            <w:tcW w:w="382" w:type="pct"/>
            <w:tcMar>
              <w:left w:w="0" w:type="dxa"/>
              <w:right w:w="0" w:type="dxa"/>
            </w:tcMar>
            <w:vAlign w:val="center"/>
          </w:tcPr>
          <w:p w14:paraId="2E7DD4AD" w14:textId="77777777" w:rsidR="003623DF" w:rsidRPr="00F07779" w:rsidRDefault="003623DF" w:rsidP="009A03AE">
            <w:pPr>
              <w:snapToGrid w:val="0"/>
              <w:jc w:val="center"/>
              <w:rPr>
                <w:sz w:val="20"/>
                <w:szCs w:val="20"/>
              </w:rPr>
            </w:pPr>
            <w:r w:rsidRPr="00F07779">
              <w:rPr>
                <w:sz w:val="20"/>
                <w:szCs w:val="20"/>
              </w:rPr>
              <w:t>2028.</w:t>
            </w:r>
          </w:p>
        </w:tc>
        <w:tc>
          <w:tcPr>
            <w:tcW w:w="803" w:type="pct"/>
            <w:tcMar>
              <w:left w:w="0" w:type="dxa"/>
              <w:right w:w="0" w:type="dxa"/>
            </w:tcMar>
            <w:vAlign w:val="center"/>
          </w:tcPr>
          <w:p w14:paraId="2C54C3CB" w14:textId="61ADD969" w:rsidR="003623DF" w:rsidRPr="00F07779" w:rsidRDefault="00DF0C9E" w:rsidP="009A03AE">
            <w:pPr>
              <w:snapToGrid w:val="0"/>
              <w:jc w:val="center"/>
              <w:rPr>
                <w:sz w:val="20"/>
                <w:szCs w:val="20"/>
              </w:rPr>
            </w:pPr>
            <w:r w:rsidRPr="00F07779">
              <w:rPr>
                <w:sz w:val="20"/>
                <w:szCs w:val="20"/>
              </w:rPr>
              <w:t>-</w:t>
            </w:r>
          </w:p>
        </w:tc>
        <w:tc>
          <w:tcPr>
            <w:tcW w:w="885" w:type="pct"/>
            <w:vMerge/>
            <w:tcMar>
              <w:left w:w="0" w:type="dxa"/>
              <w:right w:w="0" w:type="dxa"/>
            </w:tcMar>
            <w:vAlign w:val="center"/>
          </w:tcPr>
          <w:p w14:paraId="4AE81F82" w14:textId="77777777" w:rsidR="003623DF" w:rsidRPr="00F07779" w:rsidRDefault="003623DF" w:rsidP="009A03AE">
            <w:pPr>
              <w:snapToGrid w:val="0"/>
              <w:jc w:val="center"/>
              <w:rPr>
                <w:sz w:val="20"/>
                <w:szCs w:val="20"/>
              </w:rPr>
            </w:pPr>
          </w:p>
        </w:tc>
        <w:tc>
          <w:tcPr>
            <w:tcW w:w="1009" w:type="pct"/>
          </w:tcPr>
          <w:p w14:paraId="752A89E8" w14:textId="77777777" w:rsidR="003623DF" w:rsidRPr="00F07779" w:rsidRDefault="003623DF" w:rsidP="009A03AE">
            <w:pPr>
              <w:snapToGrid w:val="0"/>
              <w:jc w:val="center"/>
              <w:rPr>
                <w:sz w:val="20"/>
                <w:szCs w:val="20"/>
              </w:rPr>
            </w:pPr>
          </w:p>
        </w:tc>
      </w:tr>
      <w:tr w:rsidR="005D1165" w:rsidRPr="00F07779" w14:paraId="6B95A235" w14:textId="77777777" w:rsidTr="001F203F">
        <w:trPr>
          <w:trHeight w:val="789"/>
        </w:trPr>
        <w:tc>
          <w:tcPr>
            <w:tcW w:w="1546" w:type="pct"/>
            <w:vAlign w:val="center"/>
          </w:tcPr>
          <w:p w14:paraId="56D164CC" w14:textId="2971F24A" w:rsidR="005D1165" w:rsidRPr="00F07779" w:rsidRDefault="002C076A" w:rsidP="00995885">
            <w:pPr>
              <w:snapToGrid w:val="0"/>
              <w:rPr>
                <w:sz w:val="20"/>
                <w:szCs w:val="20"/>
              </w:rPr>
            </w:pPr>
            <w:r w:rsidRPr="00F07779">
              <w:rPr>
                <w:sz w:val="20"/>
                <w:szCs w:val="20"/>
              </w:rPr>
              <w:t>N</w:t>
            </w:r>
            <w:r w:rsidR="00711F3F" w:rsidRPr="00F07779">
              <w:rPr>
                <w:sz w:val="20"/>
                <w:szCs w:val="20"/>
              </w:rPr>
              <w:t>4</w:t>
            </w:r>
            <w:r w:rsidR="005D1165" w:rsidRPr="00F07779">
              <w:rPr>
                <w:sz w:val="20"/>
                <w:szCs w:val="20"/>
              </w:rPr>
              <w:t xml:space="preserve"> - </w:t>
            </w:r>
            <w:r w:rsidRPr="00F07779">
              <w:rPr>
                <w:sz w:val="20"/>
                <w:szCs w:val="20"/>
              </w:rPr>
              <w:t>Improvement of the regulatory framework in the oil sector</w:t>
            </w:r>
          </w:p>
        </w:tc>
        <w:tc>
          <w:tcPr>
            <w:tcW w:w="374" w:type="pct"/>
            <w:vAlign w:val="center"/>
          </w:tcPr>
          <w:p w14:paraId="3A14C7BE" w14:textId="1F978871" w:rsidR="005D1165" w:rsidRPr="00F07779" w:rsidRDefault="00711F3F" w:rsidP="009A03AE">
            <w:pPr>
              <w:snapToGrid w:val="0"/>
              <w:jc w:val="center"/>
              <w:rPr>
                <w:sz w:val="20"/>
                <w:szCs w:val="20"/>
              </w:rPr>
            </w:pPr>
            <w:r w:rsidRPr="00F07779">
              <w:rPr>
                <w:sz w:val="20"/>
                <w:szCs w:val="20"/>
              </w:rPr>
              <w:t>Р</w:t>
            </w:r>
          </w:p>
        </w:tc>
        <w:tc>
          <w:tcPr>
            <w:tcW w:w="382" w:type="pct"/>
            <w:vAlign w:val="center"/>
          </w:tcPr>
          <w:p w14:paraId="4A3F9180" w14:textId="77777777" w:rsidR="005D1165" w:rsidRPr="00F07779" w:rsidRDefault="005D1165" w:rsidP="009A03AE">
            <w:pPr>
              <w:snapToGrid w:val="0"/>
              <w:jc w:val="center"/>
              <w:rPr>
                <w:sz w:val="20"/>
                <w:szCs w:val="20"/>
              </w:rPr>
            </w:pPr>
            <w:r w:rsidRPr="00F07779">
              <w:rPr>
                <w:sz w:val="20"/>
                <w:szCs w:val="20"/>
              </w:rPr>
              <w:t>2026.</w:t>
            </w:r>
          </w:p>
        </w:tc>
        <w:tc>
          <w:tcPr>
            <w:tcW w:w="2698" w:type="pct"/>
            <w:gridSpan w:val="3"/>
            <w:tcMar>
              <w:left w:w="28" w:type="dxa"/>
              <w:right w:w="28" w:type="dxa"/>
            </w:tcMar>
            <w:vAlign w:val="center"/>
          </w:tcPr>
          <w:p w14:paraId="03BDAE4D" w14:textId="627AAED2" w:rsidR="005D1165" w:rsidRPr="00F07779" w:rsidRDefault="001F203F" w:rsidP="009A03AE">
            <w:pPr>
              <w:jc w:val="center"/>
              <w:rPr>
                <w:sz w:val="20"/>
                <w:szCs w:val="20"/>
              </w:rPr>
            </w:pPr>
            <w:r w:rsidRPr="00F07779">
              <w:rPr>
                <w:sz w:val="20"/>
                <w:szCs w:val="20"/>
              </w:rPr>
              <w:t xml:space="preserve">Regulatory </w:t>
            </w:r>
            <w:proofErr w:type="gramStart"/>
            <w:r w:rsidRPr="00F07779">
              <w:rPr>
                <w:sz w:val="20"/>
                <w:szCs w:val="20"/>
              </w:rPr>
              <w:t>measure</w:t>
            </w:r>
            <w:proofErr w:type="gramEnd"/>
            <w:r w:rsidRPr="00F07779">
              <w:rPr>
                <w:sz w:val="20"/>
                <w:szCs w:val="20"/>
              </w:rPr>
              <w:t xml:space="preserve"> that does not require specific funding</w:t>
            </w:r>
          </w:p>
        </w:tc>
      </w:tr>
      <w:tr w:rsidR="009A5729" w:rsidRPr="00F07779" w14:paraId="327050E0" w14:textId="7BF97D6B" w:rsidTr="009A5729">
        <w:trPr>
          <w:trHeight w:val="92"/>
        </w:trPr>
        <w:tc>
          <w:tcPr>
            <w:tcW w:w="2302" w:type="pct"/>
            <w:gridSpan w:val="3"/>
            <w:vMerge w:val="restart"/>
            <w:tcMar>
              <w:left w:w="0" w:type="dxa"/>
              <w:right w:w="0" w:type="dxa"/>
            </w:tcMar>
          </w:tcPr>
          <w:p w14:paraId="3B4D3270" w14:textId="10946281" w:rsidR="009A5729" w:rsidRPr="00F07779" w:rsidRDefault="002C076A" w:rsidP="009A03AE">
            <w:pPr>
              <w:snapToGrid w:val="0"/>
              <w:jc w:val="center"/>
              <w:rPr>
                <w:sz w:val="20"/>
                <w:szCs w:val="20"/>
              </w:rPr>
            </w:pPr>
            <w:r w:rsidRPr="00F07779">
              <w:rPr>
                <w:sz w:val="20"/>
                <w:szCs w:val="20"/>
              </w:rPr>
              <w:t>Total</w:t>
            </w:r>
            <w:r w:rsidR="009A5729" w:rsidRPr="00F07779">
              <w:rPr>
                <w:sz w:val="20"/>
                <w:szCs w:val="20"/>
              </w:rPr>
              <w:t>:</w:t>
            </w:r>
          </w:p>
        </w:tc>
        <w:tc>
          <w:tcPr>
            <w:tcW w:w="803" w:type="pct"/>
            <w:tcMar>
              <w:left w:w="0" w:type="dxa"/>
              <w:right w:w="0" w:type="dxa"/>
            </w:tcMar>
            <w:vAlign w:val="center"/>
          </w:tcPr>
          <w:p w14:paraId="1B94CE8D" w14:textId="7899F2BF" w:rsidR="009A5729" w:rsidRPr="00F07779" w:rsidRDefault="009A5729" w:rsidP="003623DF">
            <w:pPr>
              <w:snapToGrid w:val="0"/>
              <w:jc w:val="center"/>
              <w:rPr>
                <w:sz w:val="20"/>
                <w:szCs w:val="20"/>
              </w:rPr>
            </w:pPr>
            <w:r w:rsidRPr="00F07779">
              <w:rPr>
                <w:sz w:val="20"/>
                <w:szCs w:val="20"/>
              </w:rPr>
              <w:t>3</w:t>
            </w:r>
            <w:r w:rsidR="00737CE4" w:rsidRPr="00F07779">
              <w:rPr>
                <w:sz w:val="20"/>
                <w:szCs w:val="20"/>
              </w:rPr>
              <w:t>9.6</w:t>
            </w:r>
            <w:r w:rsidRPr="00F07779">
              <w:rPr>
                <w:sz w:val="20"/>
                <w:szCs w:val="20"/>
              </w:rPr>
              <w:t xml:space="preserve">37 </w:t>
            </w:r>
            <w:r w:rsidR="002C076A" w:rsidRPr="00F07779">
              <w:rPr>
                <w:sz w:val="20"/>
                <w:szCs w:val="20"/>
              </w:rPr>
              <w:t>mil</w:t>
            </w:r>
            <w:r w:rsidRPr="00F07779">
              <w:rPr>
                <w:sz w:val="20"/>
                <w:szCs w:val="20"/>
              </w:rPr>
              <w:t xml:space="preserve">. </w:t>
            </w:r>
            <w:r w:rsidR="003B4095" w:rsidRPr="00F07779">
              <w:rPr>
                <w:sz w:val="20"/>
                <w:szCs w:val="20"/>
              </w:rPr>
              <w:t>EUR</w:t>
            </w:r>
          </w:p>
          <w:p w14:paraId="36C4C539" w14:textId="45027522" w:rsidR="009A5729" w:rsidRPr="00F07779" w:rsidRDefault="009A5729" w:rsidP="009A03AE">
            <w:pPr>
              <w:snapToGrid w:val="0"/>
              <w:jc w:val="center"/>
              <w:rPr>
                <w:sz w:val="20"/>
                <w:szCs w:val="20"/>
              </w:rPr>
            </w:pPr>
            <w:r w:rsidRPr="00F07779">
              <w:rPr>
                <w:sz w:val="20"/>
                <w:szCs w:val="20"/>
              </w:rPr>
              <w:t>(4</w:t>
            </w:r>
            <w:r w:rsidR="00995885" w:rsidRPr="00F07779">
              <w:rPr>
                <w:sz w:val="20"/>
                <w:szCs w:val="20"/>
              </w:rPr>
              <w:t>,</w:t>
            </w:r>
            <w:r w:rsidR="00737CE4" w:rsidRPr="00F07779">
              <w:rPr>
                <w:sz w:val="20"/>
                <w:szCs w:val="20"/>
              </w:rPr>
              <w:t>647</w:t>
            </w:r>
            <w:r w:rsidRPr="00F07779">
              <w:rPr>
                <w:sz w:val="20"/>
                <w:szCs w:val="20"/>
              </w:rPr>
              <w:t xml:space="preserve"> </w:t>
            </w:r>
            <w:r w:rsidR="002C076A" w:rsidRPr="00F07779">
              <w:rPr>
                <w:sz w:val="20"/>
                <w:szCs w:val="20"/>
              </w:rPr>
              <w:t>mil</w:t>
            </w:r>
            <w:r w:rsidRPr="00F07779">
              <w:rPr>
                <w:sz w:val="20"/>
                <w:szCs w:val="20"/>
              </w:rPr>
              <w:t xml:space="preserve">. </w:t>
            </w:r>
            <w:r w:rsidR="003B4095" w:rsidRPr="00F07779">
              <w:rPr>
                <w:sz w:val="20"/>
                <w:szCs w:val="20"/>
              </w:rPr>
              <w:t>RSD</w:t>
            </w:r>
          </w:p>
        </w:tc>
        <w:tc>
          <w:tcPr>
            <w:tcW w:w="885" w:type="pct"/>
            <w:tcMar>
              <w:left w:w="0" w:type="dxa"/>
              <w:right w:w="0" w:type="dxa"/>
            </w:tcMar>
            <w:vAlign w:val="center"/>
          </w:tcPr>
          <w:p w14:paraId="35CEF8EB" w14:textId="22DD8151" w:rsidR="009A5729" w:rsidRPr="00F07779" w:rsidRDefault="009A5729" w:rsidP="009A03AE">
            <w:pPr>
              <w:snapToGrid w:val="0"/>
              <w:jc w:val="center"/>
              <w:rPr>
                <w:sz w:val="20"/>
                <w:szCs w:val="20"/>
              </w:rPr>
            </w:pPr>
            <w:r w:rsidRPr="00F07779">
              <w:rPr>
                <w:sz w:val="20"/>
                <w:szCs w:val="20"/>
              </w:rPr>
              <w:t>205</w:t>
            </w:r>
            <w:r w:rsidR="00995885" w:rsidRPr="00F07779">
              <w:rPr>
                <w:sz w:val="20"/>
                <w:szCs w:val="20"/>
              </w:rPr>
              <w:t>.</w:t>
            </w:r>
            <w:r w:rsidRPr="00F07779">
              <w:rPr>
                <w:sz w:val="20"/>
                <w:szCs w:val="20"/>
              </w:rPr>
              <w:t xml:space="preserve">8 </w:t>
            </w:r>
            <w:r w:rsidR="002C076A" w:rsidRPr="00F07779">
              <w:rPr>
                <w:sz w:val="20"/>
                <w:szCs w:val="20"/>
              </w:rPr>
              <w:t>mil</w:t>
            </w:r>
            <w:r w:rsidRPr="00F07779">
              <w:rPr>
                <w:sz w:val="20"/>
                <w:szCs w:val="20"/>
              </w:rPr>
              <w:t xml:space="preserve">. </w:t>
            </w:r>
            <w:r w:rsidR="003B4095" w:rsidRPr="00F07779">
              <w:rPr>
                <w:sz w:val="20"/>
                <w:szCs w:val="20"/>
              </w:rPr>
              <w:t>EUR</w:t>
            </w:r>
          </w:p>
          <w:p w14:paraId="603027B6" w14:textId="4D1A3451" w:rsidR="009A5729" w:rsidRPr="00F07779" w:rsidRDefault="009A5729" w:rsidP="009A03AE">
            <w:pPr>
              <w:snapToGrid w:val="0"/>
              <w:jc w:val="center"/>
              <w:rPr>
                <w:sz w:val="20"/>
                <w:szCs w:val="20"/>
              </w:rPr>
            </w:pPr>
            <w:r w:rsidRPr="00F07779">
              <w:rPr>
                <w:sz w:val="20"/>
                <w:szCs w:val="20"/>
              </w:rPr>
              <w:t>(24</w:t>
            </w:r>
            <w:r w:rsidR="00995885" w:rsidRPr="00F07779">
              <w:rPr>
                <w:sz w:val="20"/>
                <w:szCs w:val="20"/>
              </w:rPr>
              <w:t>,</w:t>
            </w:r>
            <w:r w:rsidRPr="00F07779">
              <w:rPr>
                <w:sz w:val="20"/>
                <w:szCs w:val="20"/>
              </w:rPr>
              <w:t xml:space="preserve">130 </w:t>
            </w:r>
            <w:r w:rsidR="002C076A" w:rsidRPr="00F07779">
              <w:rPr>
                <w:sz w:val="20"/>
                <w:szCs w:val="20"/>
              </w:rPr>
              <w:t>mil</w:t>
            </w:r>
            <w:r w:rsidRPr="00F07779">
              <w:rPr>
                <w:sz w:val="20"/>
                <w:szCs w:val="20"/>
              </w:rPr>
              <w:t xml:space="preserve">. </w:t>
            </w:r>
            <w:r w:rsidR="003B4095" w:rsidRPr="00F07779">
              <w:rPr>
                <w:sz w:val="20"/>
                <w:szCs w:val="20"/>
              </w:rPr>
              <w:t>RSD</w:t>
            </w:r>
          </w:p>
        </w:tc>
        <w:tc>
          <w:tcPr>
            <w:tcW w:w="1009" w:type="pct"/>
          </w:tcPr>
          <w:p w14:paraId="7DFB9FDA" w14:textId="65F92348" w:rsidR="009A5729" w:rsidRPr="00F07779" w:rsidRDefault="00737CE4" w:rsidP="003623DF">
            <w:pPr>
              <w:snapToGrid w:val="0"/>
              <w:jc w:val="center"/>
              <w:rPr>
                <w:sz w:val="20"/>
                <w:szCs w:val="20"/>
              </w:rPr>
            </w:pPr>
            <w:r w:rsidRPr="00F07779">
              <w:rPr>
                <w:sz w:val="20"/>
                <w:szCs w:val="20"/>
              </w:rPr>
              <w:t>132</w:t>
            </w:r>
            <w:r w:rsidR="00995885" w:rsidRPr="00F07779">
              <w:rPr>
                <w:sz w:val="20"/>
                <w:szCs w:val="20"/>
              </w:rPr>
              <w:t>.</w:t>
            </w:r>
            <w:r w:rsidRPr="00F07779">
              <w:rPr>
                <w:sz w:val="20"/>
                <w:szCs w:val="20"/>
              </w:rPr>
              <w:t>826</w:t>
            </w:r>
            <w:r w:rsidR="009A5729" w:rsidRPr="00F07779">
              <w:rPr>
                <w:sz w:val="20"/>
                <w:szCs w:val="20"/>
              </w:rPr>
              <w:t xml:space="preserve"> </w:t>
            </w:r>
            <w:r w:rsidR="002C076A" w:rsidRPr="00F07779">
              <w:rPr>
                <w:sz w:val="20"/>
                <w:szCs w:val="20"/>
              </w:rPr>
              <w:t>mil</w:t>
            </w:r>
            <w:r w:rsidR="009A5729" w:rsidRPr="00F07779">
              <w:rPr>
                <w:sz w:val="20"/>
                <w:szCs w:val="20"/>
              </w:rPr>
              <w:t xml:space="preserve">. </w:t>
            </w:r>
            <w:r w:rsidR="003B4095" w:rsidRPr="00F07779">
              <w:rPr>
                <w:sz w:val="20"/>
                <w:szCs w:val="20"/>
              </w:rPr>
              <w:t>EUR</w:t>
            </w:r>
          </w:p>
          <w:p w14:paraId="2D4D60B1" w14:textId="119CB83E" w:rsidR="009A5729" w:rsidRPr="00F07779" w:rsidRDefault="009A5729" w:rsidP="003623DF">
            <w:pPr>
              <w:snapToGrid w:val="0"/>
              <w:jc w:val="center"/>
              <w:rPr>
                <w:sz w:val="20"/>
                <w:szCs w:val="20"/>
              </w:rPr>
            </w:pPr>
            <w:r w:rsidRPr="00F07779">
              <w:rPr>
                <w:sz w:val="20"/>
                <w:szCs w:val="20"/>
              </w:rPr>
              <w:t>(1</w:t>
            </w:r>
            <w:r w:rsidR="00737CE4" w:rsidRPr="00F07779">
              <w:rPr>
                <w:sz w:val="20"/>
                <w:szCs w:val="20"/>
              </w:rPr>
              <w:t>5</w:t>
            </w:r>
            <w:r w:rsidR="00995885" w:rsidRPr="00F07779">
              <w:rPr>
                <w:sz w:val="20"/>
                <w:szCs w:val="20"/>
              </w:rPr>
              <w:t>,</w:t>
            </w:r>
            <w:r w:rsidR="00737CE4" w:rsidRPr="00F07779">
              <w:rPr>
                <w:sz w:val="20"/>
                <w:szCs w:val="20"/>
              </w:rPr>
              <w:t>574</w:t>
            </w:r>
            <w:r w:rsidRPr="00F07779">
              <w:rPr>
                <w:sz w:val="20"/>
                <w:szCs w:val="20"/>
              </w:rPr>
              <w:t xml:space="preserve"> </w:t>
            </w:r>
            <w:r w:rsidR="002C076A" w:rsidRPr="00F07779">
              <w:rPr>
                <w:sz w:val="20"/>
                <w:szCs w:val="20"/>
              </w:rPr>
              <w:t>mil</w:t>
            </w:r>
            <w:r w:rsidRPr="00F07779">
              <w:rPr>
                <w:sz w:val="20"/>
                <w:szCs w:val="20"/>
              </w:rPr>
              <w:t xml:space="preserve">. </w:t>
            </w:r>
            <w:r w:rsidR="003B4095" w:rsidRPr="00F07779">
              <w:rPr>
                <w:sz w:val="20"/>
                <w:szCs w:val="20"/>
              </w:rPr>
              <w:t>RSD</w:t>
            </w:r>
            <w:r w:rsidRPr="00F07779">
              <w:rPr>
                <w:sz w:val="20"/>
                <w:szCs w:val="20"/>
              </w:rPr>
              <w:t>)</w:t>
            </w:r>
          </w:p>
        </w:tc>
      </w:tr>
      <w:tr w:rsidR="009A5729" w:rsidRPr="00F07779" w14:paraId="21B347CC" w14:textId="77777777" w:rsidTr="009A5729">
        <w:trPr>
          <w:trHeight w:val="92"/>
        </w:trPr>
        <w:tc>
          <w:tcPr>
            <w:tcW w:w="2302" w:type="pct"/>
            <w:gridSpan w:val="3"/>
            <w:vMerge/>
            <w:tcMar>
              <w:left w:w="0" w:type="dxa"/>
              <w:right w:w="0" w:type="dxa"/>
            </w:tcMar>
          </w:tcPr>
          <w:p w14:paraId="09393E18" w14:textId="77777777" w:rsidR="009A5729" w:rsidRPr="00F07779" w:rsidRDefault="009A5729" w:rsidP="009A03AE">
            <w:pPr>
              <w:snapToGrid w:val="0"/>
              <w:jc w:val="center"/>
              <w:rPr>
                <w:sz w:val="20"/>
                <w:szCs w:val="20"/>
              </w:rPr>
            </w:pPr>
          </w:p>
        </w:tc>
        <w:tc>
          <w:tcPr>
            <w:tcW w:w="2698" w:type="pct"/>
            <w:gridSpan w:val="3"/>
            <w:tcMar>
              <w:left w:w="0" w:type="dxa"/>
              <w:right w:w="0" w:type="dxa"/>
            </w:tcMar>
            <w:vAlign w:val="center"/>
          </w:tcPr>
          <w:p w14:paraId="0763FB7B" w14:textId="682E2417" w:rsidR="009A5729" w:rsidRPr="00F07779" w:rsidRDefault="009A5729" w:rsidP="003623DF">
            <w:pPr>
              <w:snapToGrid w:val="0"/>
              <w:jc w:val="center"/>
              <w:rPr>
                <w:sz w:val="20"/>
                <w:szCs w:val="20"/>
              </w:rPr>
            </w:pPr>
            <w:r w:rsidRPr="00F07779">
              <w:rPr>
                <w:sz w:val="20"/>
                <w:szCs w:val="20"/>
              </w:rPr>
              <w:t>3</w:t>
            </w:r>
            <w:r w:rsidR="00737CE4" w:rsidRPr="00F07779">
              <w:rPr>
                <w:sz w:val="20"/>
                <w:szCs w:val="20"/>
              </w:rPr>
              <w:t>78.263</w:t>
            </w:r>
            <w:r w:rsidRPr="00F07779">
              <w:rPr>
                <w:sz w:val="20"/>
                <w:szCs w:val="20"/>
              </w:rPr>
              <w:t xml:space="preserve"> </w:t>
            </w:r>
            <w:r w:rsidR="002C076A" w:rsidRPr="00F07779">
              <w:rPr>
                <w:sz w:val="20"/>
                <w:szCs w:val="20"/>
              </w:rPr>
              <w:t>mil</w:t>
            </w:r>
            <w:r w:rsidRPr="00F07779">
              <w:rPr>
                <w:sz w:val="20"/>
                <w:szCs w:val="20"/>
              </w:rPr>
              <w:t xml:space="preserve">. </w:t>
            </w:r>
            <w:r w:rsidR="003B4095" w:rsidRPr="00F07779">
              <w:rPr>
                <w:sz w:val="20"/>
                <w:szCs w:val="20"/>
              </w:rPr>
              <w:t>EUR</w:t>
            </w:r>
            <w:r w:rsidRPr="00F07779">
              <w:rPr>
                <w:sz w:val="20"/>
                <w:szCs w:val="20"/>
              </w:rPr>
              <w:t xml:space="preserve"> (</w:t>
            </w:r>
            <w:r w:rsidR="00737CE4" w:rsidRPr="00F07779">
              <w:rPr>
                <w:sz w:val="20"/>
                <w:szCs w:val="20"/>
              </w:rPr>
              <w:t>44</w:t>
            </w:r>
            <w:r w:rsidR="00995885" w:rsidRPr="00F07779">
              <w:rPr>
                <w:sz w:val="20"/>
                <w:szCs w:val="20"/>
              </w:rPr>
              <w:t>,</w:t>
            </w:r>
            <w:r w:rsidR="00737CE4" w:rsidRPr="00F07779">
              <w:rPr>
                <w:sz w:val="20"/>
                <w:szCs w:val="20"/>
              </w:rPr>
              <w:t xml:space="preserve">351 </w:t>
            </w:r>
            <w:r w:rsidR="002C076A" w:rsidRPr="00F07779">
              <w:rPr>
                <w:sz w:val="20"/>
                <w:szCs w:val="20"/>
              </w:rPr>
              <w:t>mil</w:t>
            </w:r>
            <w:r w:rsidRPr="00F07779">
              <w:rPr>
                <w:sz w:val="20"/>
                <w:szCs w:val="20"/>
              </w:rPr>
              <w:t xml:space="preserve">. </w:t>
            </w:r>
            <w:r w:rsidR="003B4095" w:rsidRPr="00F07779">
              <w:rPr>
                <w:sz w:val="20"/>
                <w:szCs w:val="20"/>
              </w:rPr>
              <w:t>RSD</w:t>
            </w:r>
            <w:r w:rsidRPr="00F07779">
              <w:rPr>
                <w:sz w:val="20"/>
                <w:szCs w:val="20"/>
              </w:rPr>
              <w:t>)</w:t>
            </w:r>
          </w:p>
        </w:tc>
      </w:tr>
    </w:tbl>
    <w:p w14:paraId="19DB8076" w14:textId="0EA912BB" w:rsidR="001657EE" w:rsidRPr="00F07779" w:rsidRDefault="001657EE" w:rsidP="001657EE">
      <w:pPr>
        <w:jc w:val="both"/>
        <w:rPr>
          <w:sz w:val="16"/>
          <w:szCs w:val="16"/>
        </w:rPr>
      </w:pPr>
      <w:r w:rsidRPr="00F07779">
        <w:rPr>
          <w:sz w:val="16"/>
          <w:szCs w:val="16"/>
        </w:rPr>
        <w:t>*</w:t>
      </w:r>
      <w:r w:rsidR="001F203F" w:rsidRPr="00F07779">
        <w:rPr>
          <w:sz w:val="16"/>
          <w:szCs w:val="16"/>
        </w:rPr>
        <w:t>Inv–Investment, R–Regulatory, Inc–Incentive, Inf–Informative, I</w:t>
      </w:r>
      <w:r w:rsidR="00BF38C2" w:rsidRPr="00F07779">
        <w:rPr>
          <w:sz w:val="16"/>
          <w:szCs w:val="16"/>
        </w:rPr>
        <w:t>G</w:t>
      </w:r>
      <w:r w:rsidR="001F203F" w:rsidRPr="00F07779">
        <w:rPr>
          <w:sz w:val="16"/>
          <w:szCs w:val="16"/>
        </w:rPr>
        <w:t xml:space="preserve"> – Institutional/</w:t>
      </w:r>
      <w:r w:rsidR="00BF38C2" w:rsidRPr="00F07779">
        <w:t xml:space="preserve"> </w:t>
      </w:r>
      <w:r w:rsidR="00BF38C2" w:rsidRPr="00F07779">
        <w:rPr>
          <w:sz w:val="16"/>
          <w:szCs w:val="16"/>
        </w:rPr>
        <w:t>governance</w:t>
      </w:r>
      <w:r w:rsidR="001F203F" w:rsidRPr="00F07779">
        <w:rPr>
          <w:sz w:val="16"/>
          <w:szCs w:val="16"/>
        </w:rPr>
        <w:t>, F – Financial</w:t>
      </w:r>
    </w:p>
    <w:p w14:paraId="14DBF59A" w14:textId="1BD10647" w:rsidR="001657EE" w:rsidRPr="00F07779" w:rsidRDefault="001657EE" w:rsidP="001657EE">
      <w:pPr>
        <w:jc w:val="both"/>
        <w:rPr>
          <w:sz w:val="16"/>
          <w:szCs w:val="16"/>
        </w:rPr>
      </w:pPr>
      <w:r w:rsidRPr="00F07779">
        <w:rPr>
          <w:sz w:val="16"/>
          <w:szCs w:val="16"/>
        </w:rPr>
        <w:t>**</w:t>
      </w:r>
      <w:r w:rsidR="001F203F" w:rsidRPr="00F07779">
        <w:t xml:space="preserve"> </w:t>
      </w:r>
      <w:r w:rsidR="001F203F" w:rsidRPr="00F07779">
        <w:rPr>
          <w:sz w:val="16"/>
          <w:szCs w:val="16"/>
        </w:rPr>
        <w:t>The implementation timeline and fund withdrawal plan will be defined at a later stage</w:t>
      </w:r>
    </w:p>
    <w:p w14:paraId="0480CB25" w14:textId="77777777" w:rsidR="00900824" w:rsidRPr="00F07779" w:rsidRDefault="00900824" w:rsidP="00900824">
      <w:pPr>
        <w:snapToGrid w:val="0"/>
        <w:jc w:val="both"/>
      </w:pPr>
    </w:p>
    <w:p w14:paraId="6A991BCD" w14:textId="4D2B838F" w:rsidR="005E33C9" w:rsidRPr="00F07779" w:rsidRDefault="005E33C9" w:rsidP="005E33C9">
      <w:pPr>
        <w:jc w:val="both"/>
      </w:pPr>
      <w:r w:rsidRPr="00F07779">
        <w:t>Table 5.6.2 shows the link between the adopted development goals of the oil sector and the proposed measures to achieve these goals, the indicators for monitoring implementation, the indicator values in 2023, and the projected values for the period 2026-2028. A detailed overview of activities is presented in Tables 5.6.3-</w:t>
      </w:r>
      <w:r w:rsidR="00737CE4" w:rsidRPr="00F07779">
        <w:t>5</w:t>
      </w:r>
      <w:r w:rsidRPr="00F07779">
        <w:t>.</w:t>
      </w:r>
    </w:p>
    <w:p w14:paraId="4261B2AB" w14:textId="77777777" w:rsidR="00612437" w:rsidRPr="00F07779" w:rsidRDefault="00612437" w:rsidP="005E33C9"/>
    <w:p w14:paraId="0ECC6DC1" w14:textId="23F1F743" w:rsidR="005E33C9" w:rsidRPr="00F07779" w:rsidRDefault="005E33C9" w:rsidP="005E33C9">
      <w:r w:rsidRPr="00F07779">
        <w:t xml:space="preserve">Table 5.6.2: </w:t>
      </w:r>
      <w:r w:rsidR="001103A3" w:rsidRPr="00F07779">
        <w:t>Goals, measures, and indicators in the oil sector</w:t>
      </w:r>
    </w:p>
    <w:tbl>
      <w:tblPr>
        <w:tblStyle w:val="TableGrid1"/>
        <w:tblW w:w="0" w:type="auto"/>
        <w:tblLook w:val="04A0" w:firstRow="1" w:lastRow="0" w:firstColumn="1" w:lastColumn="0" w:noHBand="0" w:noVBand="1"/>
      </w:tblPr>
      <w:tblGrid>
        <w:gridCol w:w="978"/>
        <w:gridCol w:w="1542"/>
        <w:gridCol w:w="2414"/>
        <w:gridCol w:w="1855"/>
        <w:gridCol w:w="1906"/>
      </w:tblGrid>
      <w:tr w:rsidR="00612437" w:rsidRPr="00F07779" w14:paraId="1FA68BBD" w14:textId="77777777" w:rsidTr="00043579">
        <w:tc>
          <w:tcPr>
            <w:tcW w:w="2520" w:type="dxa"/>
            <w:gridSpan w:val="2"/>
            <w:noWrap/>
            <w:tcMar>
              <w:left w:w="0" w:type="dxa"/>
              <w:right w:w="0" w:type="dxa"/>
            </w:tcMar>
            <w:hideMark/>
          </w:tcPr>
          <w:p w14:paraId="297C37F4" w14:textId="12A797B5" w:rsidR="00612437" w:rsidRPr="00F07779" w:rsidRDefault="00612437" w:rsidP="00612437">
            <w:pPr>
              <w:rPr>
                <w:rFonts w:eastAsia="Calibri"/>
                <w:b/>
                <w:bCs/>
                <w:color w:val="2F5496"/>
                <w:sz w:val="20"/>
                <w:szCs w:val="20"/>
                <w:lang w:val="en-US"/>
              </w:rPr>
            </w:pPr>
            <w:r w:rsidRPr="00F07779">
              <w:rPr>
                <w:sz w:val="20"/>
                <w:szCs w:val="20"/>
                <w:lang w:val="en-US"/>
              </w:rPr>
              <w:t>Goal</w:t>
            </w:r>
          </w:p>
        </w:tc>
        <w:tc>
          <w:tcPr>
            <w:tcW w:w="6175" w:type="dxa"/>
            <w:gridSpan w:val="3"/>
            <w:noWrap/>
            <w:tcMar>
              <w:left w:w="0" w:type="dxa"/>
              <w:right w:w="0" w:type="dxa"/>
            </w:tcMar>
            <w:vAlign w:val="center"/>
          </w:tcPr>
          <w:p w14:paraId="1D7B5632" w14:textId="542EF7C4" w:rsidR="00612437" w:rsidRPr="00F07779" w:rsidRDefault="00612437" w:rsidP="00612437">
            <w:pPr>
              <w:pStyle w:val="ListParagraph"/>
              <w:numPr>
                <w:ilvl w:val="0"/>
                <w:numId w:val="1"/>
              </w:numPr>
              <w:ind w:left="129" w:hanging="187"/>
              <w:rPr>
                <w:rFonts w:ascii="Times New Roman" w:eastAsia="Calibri" w:hAnsi="Times New Roman" w:cs="Times New Roman"/>
                <w:noProof w:val="0"/>
                <w:color w:val="2F5496"/>
                <w:sz w:val="20"/>
                <w:szCs w:val="20"/>
                <w:lang w:val="en-US"/>
              </w:rPr>
            </w:pPr>
            <w:r w:rsidRPr="00F07779">
              <w:rPr>
                <w:rFonts w:ascii="Times New Roman" w:eastAsia="Calibri" w:hAnsi="Times New Roman" w:cs="Times New Roman"/>
                <w:noProof w:val="0"/>
                <w:color w:val="2F5496"/>
                <w:sz w:val="20"/>
                <w:szCs w:val="20"/>
                <w:lang w:val="en-US"/>
              </w:rPr>
              <w:t>Ensuring secure supply of oil and oil derivatives that meet EU standards</w:t>
            </w:r>
          </w:p>
        </w:tc>
      </w:tr>
      <w:tr w:rsidR="00612437" w:rsidRPr="00F07779" w14:paraId="59014006" w14:textId="77777777" w:rsidTr="00043579">
        <w:tc>
          <w:tcPr>
            <w:tcW w:w="2520" w:type="dxa"/>
            <w:gridSpan w:val="2"/>
            <w:noWrap/>
            <w:tcMar>
              <w:left w:w="0" w:type="dxa"/>
              <w:right w:w="0" w:type="dxa"/>
            </w:tcMar>
            <w:hideMark/>
          </w:tcPr>
          <w:p w14:paraId="534BA7C0" w14:textId="5A8DF2C7" w:rsidR="00612437" w:rsidRPr="00F07779" w:rsidRDefault="00612437" w:rsidP="00612437">
            <w:pPr>
              <w:rPr>
                <w:rFonts w:eastAsia="Calibri"/>
                <w:b/>
                <w:bCs/>
                <w:color w:val="2F5496"/>
                <w:sz w:val="20"/>
                <w:szCs w:val="20"/>
                <w:lang w:val="en-US"/>
              </w:rPr>
            </w:pPr>
            <w:r w:rsidRPr="00F07779">
              <w:rPr>
                <w:sz w:val="20"/>
                <w:szCs w:val="20"/>
                <w:lang w:val="en-US"/>
              </w:rPr>
              <w:t>Measures</w:t>
            </w:r>
          </w:p>
        </w:tc>
        <w:tc>
          <w:tcPr>
            <w:tcW w:w="2414" w:type="dxa"/>
            <w:noWrap/>
            <w:tcMar>
              <w:left w:w="0" w:type="dxa"/>
              <w:right w:w="0" w:type="dxa"/>
            </w:tcMar>
            <w:vAlign w:val="center"/>
            <w:hideMark/>
          </w:tcPr>
          <w:p w14:paraId="049B05D8" w14:textId="49D13A0C" w:rsidR="00612437" w:rsidRPr="00F07779" w:rsidRDefault="00612437" w:rsidP="00612437">
            <w:pPr>
              <w:rPr>
                <w:rFonts w:eastAsia="Calibri"/>
                <w:color w:val="2F5496"/>
                <w:sz w:val="20"/>
                <w:szCs w:val="20"/>
                <w:lang w:val="en-US"/>
              </w:rPr>
            </w:pPr>
            <w:r w:rsidRPr="00F07779">
              <w:rPr>
                <w:rFonts w:eastAsia="Calibri"/>
                <w:color w:val="2F5496"/>
                <w:sz w:val="20"/>
                <w:szCs w:val="20"/>
                <w:lang w:val="en-US"/>
              </w:rPr>
              <w:t>N1, N4</w:t>
            </w:r>
          </w:p>
        </w:tc>
        <w:tc>
          <w:tcPr>
            <w:tcW w:w="1855" w:type="dxa"/>
            <w:noWrap/>
            <w:tcMar>
              <w:left w:w="0" w:type="dxa"/>
              <w:right w:w="0" w:type="dxa"/>
            </w:tcMar>
            <w:vAlign w:val="center"/>
            <w:hideMark/>
          </w:tcPr>
          <w:p w14:paraId="77B1C1BF" w14:textId="4F068F7E" w:rsidR="00612437" w:rsidRPr="00F07779" w:rsidRDefault="00612437" w:rsidP="00612437">
            <w:pPr>
              <w:rPr>
                <w:rFonts w:eastAsia="Calibri"/>
                <w:color w:val="2F5496"/>
                <w:sz w:val="20"/>
                <w:szCs w:val="20"/>
                <w:lang w:val="en-US"/>
              </w:rPr>
            </w:pPr>
            <w:r w:rsidRPr="00F07779">
              <w:rPr>
                <w:rFonts w:eastAsia="Calibri"/>
                <w:color w:val="2F5496"/>
                <w:sz w:val="20"/>
                <w:szCs w:val="20"/>
                <w:lang w:val="en-US"/>
              </w:rPr>
              <w:t>N2</w:t>
            </w:r>
          </w:p>
        </w:tc>
        <w:tc>
          <w:tcPr>
            <w:tcW w:w="1906" w:type="dxa"/>
            <w:noWrap/>
            <w:tcMar>
              <w:left w:w="0" w:type="dxa"/>
              <w:right w:w="0" w:type="dxa"/>
            </w:tcMar>
            <w:vAlign w:val="center"/>
            <w:hideMark/>
          </w:tcPr>
          <w:p w14:paraId="7962A92E" w14:textId="40828A92" w:rsidR="00612437" w:rsidRPr="00F07779" w:rsidRDefault="00612437" w:rsidP="00612437">
            <w:pPr>
              <w:rPr>
                <w:rFonts w:eastAsia="Calibri"/>
                <w:color w:val="2F5496"/>
                <w:sz w:val="20"/>
                <w:szCs w:val="20"/>
                <w:lang w:val="en-US"/>
              </w:rPr>
            </w:pPr>
            <w:r w:rsidRPr="00F07779">
              <w:rPr>
                <w:rFonts w:eastAsia="Calibri"/>
                <w:color w:val="2F5496"/>
                <w:sz w:val="20"/>
                <w:szCs w:val="20"/>
                <w:lang w:val="en-US"/>
              </w:rPr>
              <w:t xml:space="preserve">N3 </w:t>
            </w:r>
          </w:p>
        </w:tc>
      </w:tr>
      <w:tr w:rsidR="00612437" w:rsidRPr="00F07779" w14:paraId="19468E9E" w14:textId="77777777" w:rsidTr="00DD0D40">
        <w:tc>
          <w:tcPr>
            <w:tcW w:w="2520" w:type="dxa"/>
            <w:gridSpan w:val="2"/>
            <w:noWrap/>
            <w:tcMar>
              <w:left w:w="0" w:type="dxa"/>
              <w:right w:w="0" w:type="dxa"/>
            </w:tcMar>
            <w:hideMark/>
          </w:tcPr>
          <w:p w14:paraId="2001F8D4" w14:textId="35A7896F" w:rsidR="00612437" w:rsidRPr="00F07779" w:rsidRDefault="00612437" w:rsidP="00612437">
            <w:pPr>
              <w:ind w:firstLine="0"/>
              <w:rPr>
                <w:rFonts w:eastAsia="Calibri"/>
                <w:b/>
                <w:bCs/>
                <w:color w:val="2F5496"/>
                <w:sz w:val="20"/>
                <w:szCs w:val="20"/>
                <w:lang w:val="en-US"/>
              </w:rPr>
            </w:pPr>
            <w:r w:rsidRPr="00F07779">
              <w:rPr>
                <w:sz w:val="20"/>
                <w:szCs w:val="20"/>
                <w:lang w:val="en-US"/>
              </w:rPr>
              <w:t>Indicator</w:t>
            </w:r>
            <w:r w:rsidRPr="00F07779">
              <w:rPr>
                <w:sz w:val="20"/>
                <w:szCs w:val="20"/>
                <w:lang w:val="en-US"/>
              </w:rPr>
              <w:br/>
            </w:r>
          </w:p>
        </w:tc>
        <w:tc>
          <w:tcPr>
            <w:tcW w:w="2414" w:type="dxa"/>
            <w:noWrap/>
            <w:tcMar>
              <w:left w:w="0" w:type="dxa"/>
              <w:right w:w="0" w:type="dxa"/>
            </w:tcMar>
            <w:hideMark/>
          </w:tcPr>
          <w:p w14:paraId="4819F768" w14:textId="77777777" w:rsidR="00612437" w:rsidRPr="00F07779" w:rsidRDefault="00612437" w:rsidP="00612437">
            <w:pPr>
              <w:pStyle w:val="ListParagraph"/>
              <w:numPr>
                <w:ilvl w:val="0"/>
                <w:numId w:val="1"/>
              </w:numPr>
              <w:ind w:left="129" w:hanging="187"/>
              <w:rPr>
                <w:rFonts w:ascii="Times New Roman" w:eastAsia="Calibri" w:hAnsi="Times New Roman" w:cs="Times New Roman"/>
                <w:noProof w:val="0"/>
                <w:color w:val="2F5496"/>
                <w:sz w:val="20"/>
                <w:szCs w:val="20"/>
                <w:lang w:val="en-US"/>
              </w:rPr>
            </w:pPr>
            <w:r w:rsidRPr="00F07779">
              <w:rPr>
                <w:rFonts w:ascii="Times New Roman" w:hAnsi="Times New Roman" w:cs="Times New Roman"/>
                <w:noProof w:val="0"/>
                <w:sz w:val="20"/>
                <w:szCs w:val="20"/>
                <w:lang w:val="en-US"/>
              </w:rPr>
              <w:t>Number of days of average consumption secured from mandatory reserves</w:t>
            </w:r>
          </w:p>
          <w:p w14:paraId="33BD8C4C" w14:textId="697E11B4" w:rsidR="00612437" w:rsidRPr="00F07779" w:rsidRDefault="00612437" w:rsidP="00612437">
            <w:pPr>
              <w:pStyle w:val="ListParagraph"/>
              <w:numPr>
                <w:ilvl w:val="0"/>
                <w:numId w:val="1"/>
              </w:numPr>
              <w:ind w:left="129" w:hanging="187"/>
              <w:rPr>
                <w:rFonts w:ascii="Times New Roman" w:eastAsia="Calibri" w:hAnsi="Times New Roman" w:cs="Times New Roman"/>
                <w:noProof w:val="0"/>
                <w:color w:val="2F5496"/>
                <w:sz w:val="20"/>
                <w:szCs w:val="20"/>
                <w:lang w:val="en-US"/>
              </w:rPr>
            </w:pPr>
            <w:r w:rsidRPr="00F07779">
              <w:rPr>
                <w:rFonts w:ascii="Times New Roman" w:hAnsi="Times New Roman" w:cs="Times New Roman"/>
                <w:noProof w:val="0"/>
                <w:sz w:val="20"/>
                <w:szCs w:val="20"/>
                <w:lang w:val="en-US"/>
              </w:rPr>
              <w:t>Number of days of average imports secured from mandatory reserves</w:t>
            </w:r>
            <w:r w:rsidR="00C41C74" w:rsidRPr="00FA3F57">
              <w:rPr>
                <w:rFonts w:ascii="Times New Roman" w:hAnsi="Times New Roman" w:cs="Times New Roman"/>
                <w:noProof w:val="0"/>
                <w:sz w:val="20"/>
                <w:szCs w:val="20"/>
                <w:vertAlign w:val="superscript"/>
                <w:lang w:val="en-US"/>
              </w:rPr>
              <w:footnoteReference w:id="55"/>
            </w:r>
          </w:p>
        </w:tc>
        <w:tc>
          <w:tcPr>
            <w:tcW w:w="1855" w:type="dxa"/>
            <w:noWrap/>
            <w:tcMar>
              <w:left w:w="0" w:type="dxa"/>
              <w:right w:w="0" w:type="dxa"/>
            </w:tcMar>
            <w:vAlign w:val="center"/>
            <w:hideMark/>
          </w:tcPr>
          <w:p w14:paraId="09BC103C" w14:textId="1BEEA496" w:rsidR="00612437" w:rsidRPr="00F07779" w:rsidRDefault="00612437" w:rsidP="00612437">
            <w:pPr>
              <w:pStyle w:val="ListParagraph"/>
              <w:numPr>
                <w:ilvl w:val="0"/>
                <w:numId w:val="1"/>
              </w:numPr>
              <w:ind w:left="129" w:hanging="187"/>
              <w:rPr>
                <w:rFonts w:ascii="Times New Roman" w:hAnsi="Times New Roman" w:cs="Times New Roman"/>
                <w:noProof w:val="0"/>
                <w:sz w:val="20"/>
                <w:szCs w:val="20"/>
                <w:lang w:val="en-US"/>
              </w:rPr>
            </w:pPr>
            <w:r w:rsidRPr="00F07779">
              <w:rPr>
                <w:rFonts w:ascii="Times New Roman" w:hAnsi="Times New Roman" w:cs="Times New Roman"/>
                <w:noProof w:val="0"/>
                <w:sz w:val="20"/>
                <w:szCs w:val="20"/>
                <w:lang w:val="en-US"/>
              </w:rPr>
              <w:t xml:space="preserve">Degree of implementation of planned investments </w:t>
            </w:r>
            <w:r w:rsidRPr="00FA3F57">
              <w:rPr>
                <w:rFonts w:ascii="Times New Roman" w:hAnsi="Times New Roman" w:cs="Times New Roman"/>
                <w:noProof w:val="0"/>
                <w:sz w:val="20"/>
                <w:szCs w:val="20"/>
                <w:vertAlign w:val="superscript"/>
              </w:rPr>
              <w:footnoteReference w:id="56"/>
            </w:r>
          </w:p>
        </w:tc>
        <w:tc>
          <w:tcPr>
            <w:tcW w:w="1906" w:type="dxa"/>
            <w:noWrap/>
            <w:tcMar>
              <w:left w:w="0" w:type="dxa"/>
              <w:right w:w="0" w:type="dxa"/>
            </w:tcMar>
            <w:vAlign w:val="center"/>
            <w:hideMark/>
          </w:tcPr>
          <w:p w14:paraId="0EC7925C" w14:textId="4E38A116" w:rsidR="00612437" w:rsidRPr="00F07779" w:rsidRDefault="00612437" w:rsidP="00612437">
            <w:pPr>
              <w:pStyle w:val="ListParagraph"/>
              <w:numPr>
                <w:ilvl w:val="0"/>
                <w:numId w:val="1"/>
              </w:numPr>
              <w:ind w:left="129" w:hanging="187"/>
              <w:rPr>
                <w:rFonts w:ascii="Times New Roman" w:hAnsi="Times New Roman" w:cs="Times New Roman"/>
                <w:noProof w:val="0"/>
                <w:sz w:val="20"/>
                <w:szCs w:val="20"/>
                <w:lang w:val="en-US"/>
              </w:rPr>
            </w:pPr>
            <w:r w:rsidRPr="00F07779">
              <w:rPr>
                <w:rFonts w:ascii="Times New Roman" w:hAnsi="Times New Roman" w:cs="Times New Roman"/>
                <w:noProof w:val="0"/>
                <w:sz w:val="20"/>
                <w:szCs w:val="20"/>
                <w:lang w:val="en-US"/>
              </w:rPr>
              <w:t xml:space="preserve">Indicator of construction progress </w:t>
            </w:r>
            <w:r w:rsidRPr="00FA3F57">
              <w:rPr>
                <w:rFonts w:ascii="Times New Roman" w:hAnsi="Times New Roman" w:cs="Times New Roman"/>
                <w:noProof w:val="0"/>
                <w:sz w:val="20"/>
                <w:szCs w:val="20"/>
                <w:vertAlign w:val="superscript"/>
              </w:rPr>
              <w:footnoteReference w:id="57"/>
            </w:r>
          </w:p>
        </w:tc>
      </w:tr>
      <w:tr w:rsidR="00612437" w:rsidRPr="00F07779" w14:paraId="74D5C0CD" w14:textId="77777777" w:rsidTr="00DD0D40">
        <w:tc>
          <w:tcPr>
            <w:tcW w:w="2520" w:type="dxa"/>
            <w:gridSpan w:val="2"/>
            <w:noWrap/>
            <w:tcMar>
              <w:left w:w="0" w:type="dxa"/>
              <w:right w:w="0" w:type="dxa"/>
            </w:tcMar>
          </w:tcPr>
          <w:p w14:paraId="5428649D" w14:textId="5D53B4C1" w:rsidR="00612437" w:rsidRPr="00F07779" w:rsidRDefault="00612437" w:rsidP="00612437">
            <w:pPr>
              <w:ind w:firstLine="0"/>
              <w:rPr>
                <w:rFonts w:eastAsia="Calibri"/>
                <w:color w:val="2F5496"/>
                <w:sz w:val="20"/>
                <w:szCs w:val="20"/>
                <w:lang w:val="en-US"/>
              </w:rPr>
            </w:pPr>
            <w:r w:rsidRPr="00F07779">
              <w:rPr>
                <w:sz w:val="20"/>
                <w:szCs w:val="20"/>
                <w:lang w:val="en-US"/>
              </w:rPr>
              <w:t>Indicator value in 2023</w:t>
            </w:r>
          </w:p>
        </w:tc>
        <w:tc>
          <w:tcPr>
            <w:tcW w:w="2414" w:type="dxa"/>
            <w:noWrap/>
            <w:tcMar>
              <w:left w:w="0" w:type="dxa"/>
              <w:right w:w="0" w:type="dxa"/>
            </w:tcMar>
          </w:tcPr>
          <w:p w14:paraId="2CA8CB5B" w14:textId="7BAA251B" w:rsidR="00612437" w:rsidRPr="00F07779" w:rsidRDefault="00612437" w:rsidP="00612437">
            <w:pPr>
              <w:pStyle w:val="NormalWeb"/>
              <w:spacing w:before="0" w:beforeAutospacing="0" w:after="150" w:afterAutospacing="0"/>
              <w:ind w:firstLine="0"/>
              <w:rPr>
                <w:rFonts w:eastAsia="Calibri"/>
                <w:color w:val="2F5496"/>
                <w:sz w:val="20"/>
                <w:szCs w:val="20"/>
                <w:lang w:val="en-US"/>
              </w:rPr>
            </w:pPr>
            <w:r w:rsidRPr="00F07779">
              <w:rPr>
                <w:sz w:val="20"/>
                <w:szCs w:val="20"/>
                <w:lang w:val="en-US"/>
              </w:rPr>
              <w:t>41 days of average daily net imports</w:t>
            </w:r>
          </w:p>
        </w:tc>
        <w:tc>
          <w:tcPr>
            <w:tcW w:w="1855" w:type="dxa"/>
            <w:noWrap/>
            <w:tcMar>
              <w:left w:w="0" w:type="dxa"/>
              <w:right w:w="0" w:type="dxa"/>
            </w:tcMar>
            <w:vAlign w:val="center"/>
          </w:tcPr>
          <w:p w14:paraId="628E203F" w14:textId="77777777" w:rsidR="00612437" w:rsidRPr="00F07779" w:rsidRDefault="00612437" w:rsidP="00612437">
            <w:pPr>
              <w:pStyle w:val="NormalWeb"/>
              <w:spacing w:before="0" w:beforeAutospacing="0" w:after="150" w:afterAutospacing="0"/>
              <w:jc w:val="center"/>
              <w:rPr>
                <w:rFonts w:eastAsia="Calibri"/>
                <w:color w:val="2F5496"/>
                <w:sz w:val="20"/>
                <w:szCs w:val="20"/>
                <w:lang w:val="en-US"/>
              </w:rPr>
            </w:pPr>
            <w:r w:rsidRPr="00F07779">
              <w:rPr>
                <w:rFonts w:eastAsia="Calibri"/>
                <w:color w:val="2F5496"/>
                <w:sz w:val="20"/>
                <w:szCs w:val="20"/>
                <w:lang w:val="en-US"/>
              </w:rPr>
              <w:t>-</w:t>
            </w:r>
          </w:p>
        </w:tc>
        <w:tc>
          <w:tcPr>
            <w:tcW w:w="1906" w:type="dxa"/>
            <w:noWrap/>
            <w:tcMar>
              <w:left w:w="0" w:type="dxa"/>
              <w:right w:w="0" w:type="dxa"/>
            </w:tcMar>
            <w:vAlign w:val="center"/>
          </w:tcPr>
          <w:p w14:paraId="017807F4" w14:textId="77777777" w:rsidR="00612437" w:rsidRPr="00F07779" w:rsidRDefault="00612437" w:rsidP="00612437">
            <w:pPr>
              <w:pStyle w:val="NormalWeb"/>
              <w:spacing w:before="0" w:beforeAutospacing="0" w:after="150" w:afterAutospacing="0"/>
              <w:jc w:val="center"/>
              <w:rPr>
                <w:rFonts w:eastAsia="Calibri"/>
                <w:color w:val="2F5496"/>
                <w:sz w:val="20"/>
                <w:szCs w:val="20"/>
                <w:lang w:val="en-US"/>
              </w:rPr>
            </w:pPr>
            <w:r w:rsidRPr="00F07779">
              <w:rPr>
                <w:rFonts w:eastAsia="Calibri"/>
                <w:color w:val="2F5496"/>
                <w:sz w:val="20"/>
                <w:szCs w:val="20"/>
                <w:lang w:val="en-US"/>
              </w:rPr>
              <w:t>-</w:t>
            </w:r>
          </w:p>
        </w:tc>
      </w:tr>
      <w:tr w:rsidR="00612437" w:rsidRPr="00F07779" w14:paraId="0BD0653E" w14:textId="77777777" w:rsidTr="00E83442">
        <w:trPr>
          <w:trHeight w:val="526"/>
        </w:trPr>
        <w:tc>
          <w:tcPr>
            <w:tcW w:w="978" w:type="dxa"/>
            <w:vMerge w:val="restart"/>
            <w:noWrap/>
            <w:tcMar>
              <w:left w:w="0" w:type="dxa"/>
              <w:right w:w="0" w:type="dxa"/>
            </w:tcMar>
            <w:textDirection w:val="btLr"/>
            <w:vAlign w:val="center"/>
          </w:tcPr>
          <w:p w14:paraId="420C11FC" w14:textId="22835E50" w:rsidR="00612437" w:rsidRPr="00F07779" w:rsidRDefault="00612437" w:rsidP="00612437">
            <w:pPr>
              <w:ind w:left="113" w:right="113" w:firstLine="0"/>
              <w:rPr>
                <w:rFonts w:eastAsia="Calibri"/>
                <w:color w:val="2F5496"/>
                <w:sz w:val="20"/>
                <w:szCs w:val="20"/>
                <w:lang w:val="en-US"/>
              </w:rPr>
            </w:pPr>
            <w:r w:rsidRPr="00F07779">
              <w:rPr>
                <w:rFonts w:eastAsia="Calibri"/>
                <w:color w:val="2F5496"/>
                <w:sz w:val="20"/>
                <w:szCs w:val="20"/>
                <w:lang w:val="en-US"/>
              </w:rPr>
              <w:t xml:space="preserve">Projected indicator value </w:t>
            </w:r>
          </w:p>
        </w:tc>
        <w:tc>
          <w:tcPr>
            <w:tcW w:w="1542" w:type="dxa"/>
            <w:noWrap/>
            <w:tcMar>
              <w:left w:w="0" w:type="dxa"/>
              <w:right w:w="0" w:type="dxa"/>
            </w:tcMar>
            <w:vAlign w:val="center"/>
          </w:tcPr>
          <w:p w14:paraId="641ABFAB" w14:textId="534524ED" w:rsidR="00612437" w:rsidRPr="00F07779" w:rsidRDefault="00612437" w:rsidP="00612437">
            <w:pPr>
              <w:ind w:firstLine="0"/>
              <w:jc w:val="center"/>
              <w:rPr>
                <w:rFonts w:eastAsia="Calibri"/>
                <w:color w:val="2F5496"/>
                <w:sz w:val="20"/>
                <w:szCs w:val="20"/>
                <w:lang w:val="en-US"/>
              </w:rPr>
            </w:pPr>
            <w:r w:rsidRPr="00F07779">
              <w:rPr>
                <w:rFonts w:eastAsia="Calibri"/>
                <w:color w:val="2F5496"/>
                <w:sz w:val="20"/>
                <w:szCs w:val="20"/>
                <w:lang w:val="en-US"/>
              </w:rPr>
              <w:t>2026.</w:t>
            </w:r>
          </w:p>
        </w:tc>
        <w:tc>
          <w:tcPr>
            <w:tcW w:w="2414" w:type="dxa"/>
            <w:noWrap/>
            <w:tcMar>
              <w:left w:w="0" w:type="dxa"/>
              <w:right w:w="0" w:type="dxa"/>
            </w:tcMar>
          </w:tcPr>
          <w:p w14:paraId="207F9F59" w14:textId="05018472" w:rsidR="00612437" w:rsidRPr="00F07779" w:rsidRDefault="00612437" w:rsidP="00612437">
            <w:pPr>
              <w:pStyle w:val="NormalWeb"/>
              <w:spacing w:before="0" w:after="150"/>
              <w:ind w:firstLine="0"/>
              <w:rPr>
                <w:rFonts w:eastAsia="Calibri"/>
                <w:color w:val="2F5496"/>
                <w:sz w:val="20"/>
                <w:szCs w:val="20"/>
                <w:lang w:val="en-US"/>
              </w:rPr>
            </w:pPr>
            <w:r w:rsidRPr="00F07779">
              <w:rPr>
                <w:sz w:val="20"/>
                <w:szCs w:val="20"/>
                <w:lang w:val="en-US"/>
              </w:rPr>
              <w:t>61 days of average daily net imports</w:t>
            </w:r>
          </w:p>
        </w:tc>
        <w:tc>
          <w:tcPr>
            <w:tcW w:w="1855" w:type="dxa"/>
            <w:noWrap/>
            <w:tcMar>
              <w:left w:w="0" w:type="dxa"/>
              <w:right w:w="0" w:type="dxa"/>
            </w:tcMar>
            <w:vAlign w:val="center"/>
          </w:tcPr>
          <w:p w14:paraId="5B10D5B9" w14:textId="3703086F" w:rsidR="00612437" w:rsidRPr="00F07779" w:rsidRDefault="00612437" w:rsidP="00612437">
            <w:pPr>
              <w:pStyle w:val="NormalWeb"/>
              <w:spacing w:before="0" w:after="150"/>
              <w:jc w:val="center"/>
              <w:rPr>
                <w:rFonts w:eastAsia="Calibri"/>
                <w:color w:val="2F5496"/>
                <w:sz w:val="20"/>
                <w:szCs w:val="20"/>
                <w:lang w:val="en-US"/>
              </w:rPr>
            </w:pPr>
            <w:r w:rsidRPr="00F07779">
              <w:rPr>
                <w:rFonts w:eastAsia="Calibri"/>
                <w:color w:val="2F5496"/>
                <w:sz w:val="20"/>
                <w:szCs w:val="20"/>
                <w:lang w:val="en-US"/>
              </w:rPr>
              <w:t>-</w:t>
            </w:r>
          </w:p>
        </w:tc>
        <w:tc>
          <w:tcPr>
            <w:tcW w:w="1906" w:type="dxa"/>
            <w:noWrap/>
            <w:tcMar>
              <w:left w:w="0" w:type="dxa"/>
              <w:right w:w="0" w:type="dxa"/>
            </w:tcMar>
            <w:vAlign w:val="center"/>
          </w:tcPr>
          <w:p w14:paraId="7137FC21" w14:textId="68F1E821" w:rsidR="00612437" w:rsidRPr="00F07779" w:rsidRDefault="00612437" w:rsidP="00612437">
            <w:pPr>
              <w:pStyle w:val="NormalWeb"/>
              <w:spacing w:before="0" w:after="150"/>
              <w:jc w:val="center"/>
              <w:rPr>
                <w:rFonts w:eastAsia="Calibri"/>
                <w:color w:val="2F5496"/>
                <w:sz w:val="20"/>
                <w:szCs w:val="20"/>
                <w:lang w:val="en-US"/>
              </w:rPr>
            </w:pPr>
            <w:r w:rsidRPr="00F07779">
              <w:rPr>
                <w:rFonts w:eastAsia="Calibri"/>
                <w:color w:val="2F5496"/>
                <w:sz w:val="20"/>
                <w:szCs w:val="20"/>
                <w:lang w:val="en-US"/>
              </w:rPr>
              <w:t>-</w:t>
            </w:r>
          </w:p>
        </w:tc>
      </w:tr>
      <w:tr w:rsidR="00612437" w:rsidRPr="00F07779" w14:paraId="1D29F077" w14:textId="77777777" w:rsidTr="00E83442">
        <w:tc>
          <w:tcPr>
            <w:tcW w:w="978" w:type="dxa"/>
            <w:vMerge/>
            <w:noWrap/>
            <w:tcMar>
              <w:left w:w="0" w:type="dxa"/>
              <w:right w:w="0" w:type="dxa"/>
            </w:tcMar>
            <w:vAlign w:val="center"/>
          </w:tcPr>
          <w:p w14:paraId="7355BC85" w14:textId="77777777" w:rsidR="00612437" w:rsidRPr="00F07779" w:rsidRDefault="00612437" w:rsidP="00612437">
            <w:pPr>
              <w:rPr>
                <w:rFonts w:eastAsia="Calibri"/>
                <w:color w:val="2F5496"/>
                <w:sz w:val="20"/>
                <w:szCs w:val="20"/>
                <w:lang w:val="en-US"/>
              </w:rPr>
            </w:pPr>
          </w:p>
        </w:tc>
        <w:tc>
          <w:tcPr>
            <w:tcW w:w="1542" w:type="dxa"/>
            <w:noWrap/>
            <w:tcMar>
              <w:left w:w="0" w:type="dxa"/>
              <w:right w:w="0" w:type="dxa"/>
            </w:tcMar>
            <w:vAlign w:val="center"/>
          </w:tcPr>
          <w:p w14:paraId="3B2E37AC" w14:textId="77777777" w:rsidR="00612437" w:rsidRPr="00F07779" w:rsidRDefault="00612437" w:rsidP="00612437">
            <w:pPr>
              <w:ind w:firstLine="0"/>
              <w:jc w:val="center"/>
              <w:rPr>
                <w:rFonts w:eastAsia="Calibri"/>
                <w:color w:val="2F5496"/>
                <w:sz w:val="20"/>
                <w:szCs w:val="20"/>
                <w:lang w:val="en-US"/>
              </w:rPr>
            </w:pPr>
            <w:r w:rsidRPr="00F07779">
              <w:rPr>
                <w:rFonts w:eastAsia="Calibri"/>
                <w:color w:val="2F5496"/>
                <w:sz w:val="20"/>
                <w:szCs w:val="20"/>
                <w:lang w:val="en-US"/>
              </w:rPr>
              <w:t>2027.</w:t>
            </w:r>
          </w:p>
        </w:tc>
        <w:tc>
          <w:tcPr>
            <w:tcW w:w="2414" w:type="dxa"/>
            <w:noWrap/>
            <w:tcMar>
              <w:left w:w="0" w:type="dxa"/>
              <w:right w:w="0" w:type="dxa"/>
            </w:tcMar>
          </w:tcPr>
          <w:p w14:paraId="771A96F9" w14:textId="648F1417" w:rsidR="00612437" w:rsidRPr="00F07779" w:rsidRDefault="00612437" w:rsidP="00612437">
            <w:pPr>
              <w:pStyle w:val="NormalWeb"/>
              <w:spacing w:before="0" w:beforeAutospacing="0" w:after="150" w:afterAutospacing="0"/>
              <w:ind w:firstLine="0"/>
              <w:rPr>
                <w:rFonts w:eastAsia="Calibri"/>
                <w:color w:val="2F5496"/>
                <w:sz w:val="20"/>
                <w:szCs w:val="20"/>
                <w:lang w:val="en-US"/>
              </w:rPr>
            </w:pPr>
            <w:r w:rsidRPr="00F07779">
              <w:rPr>
                <w:sz w:val="20"/>
                <w:szCs w:val="20"/>
                <w:lang w:val="en-US"/>
              </w:rPr>
              <w:t>90 days of average daily net imports</w:t>
            </w:r>
          </w:p>
        </w:tc>
        <w:tc>
          <w:tcPr>
            <w:tcW w:w="1855" w:type="dxa"/>
            <w:noWrap/>
            <w:tcMar>
              <w:left w:w="0" w:type="dxa"/>
              <w:right w:w="0" w:type="dxa"/>
            </w:tcMar>
            <w:vAlign w:val="center"/>
          </w:tcPr>
          <w:p w14:paraId="521ED853" w14:textId="77777777" w:rsidR="00612437" w:rsidRPr="00F07779" w:rsidRDefault="00612437" w:rsidP="00612437">
            <w:pPr>
              <w:pStyle w:val="NormalWeb"/>
              <w:spacing w:before="0" w:beforeAutospacing="0" w:after="150" w:afterAutospacing="0"/>
              <w:jc w:val="center"/>
              <w:rPr>
                <w:rFonts w:eastAsia="Calibri"/>
                <w:color w:val="2F5496"/>
                <w:sz w:val="20"/>
                <w:szCs w:val="20"/>
                <w:lang w:val="en-US"/>
              </w:rPr>
            </w:pPr>
            <w:r w:rsidRPr="00F07779">
              <w:rPr>
                <w:rFonts w:eastAsia="Calibri"/>
                <w:color w:val="2F5496"/>
                <w:sz w:val="20"/>
                <w:szCs w:val="20"/>
                <w:lang w:val="en-US"/>
              </w:rPr>
              <w:t>100%</w:t>
            </w:r>
          </w:p>
        </w:tc>
        <w:tc>
          <w:tcPr>
            <w:tcW w:w="1906" w:type="dxa"/>
            <w:noWrap/>
            <w:tcMar>
              <w:left w:w="0" w:type="dxa"/>
              <w:right w:w="0" w:type="dxa"/>
            </w:tcMar>
            <w:vAlign w:val="center"/>
          </w:tcPr>
          <w:p w14:paraId="045DCA63" w14:textId="77777777" w:rsidR="00612437" w:rsidRPr="00F07779" w:rsidRDefault="00612437" w:rsidP="00612437">
            <w:pPr>
              <w:pStyle w:val="NormalWeb"/>
              <w:spacing w:before="0" w:beforeAutospacing="0" w:after="150" w:afterAutospacing="0"/>
              <w:jc w:val="center"/>
              <w:rPr>
                <w:rFonts w:eastAsia="Calibri"/>
                <w:color w:val="2F5496"/>
                <w:sz w:val="20"/>
                <w:szCs w:val="20"/>
                <w:lang w:val="en-US"/>
              </w:rPr>
            </w:pPr>
            <w:r w:rsidRPr="00F07779">
              <w:rPr>
                <w:rFonts w:eastAsia="Calibri"/>
                <w:color w:val="2F5496"/>
                <w:sz w:val="20"/>
                <w:szCs w:val="20"/>
                <w:lang w:val="en-US"/>
              </w:rPr>
              <w:t>100%</w:t>
            </w:r>
          </w:p>
        </w:tc>
      </w:tr>
      <w:tr w:rsidR="00612437" w:rsidRPr="00F07779" w14:paraId="285A20A2" w14:textId="77777777" w:rsidTr="009B3464">
        <w:tc>
          <w:tcPr>
            <w:tcW w:w="978" w:type="dxa"/>
            <w:vMerge/>
            <w:noWrap/>
            <w:tcMar>
              <w:left w:w="0" w:type="dxa"/>
              <w:right w:w="0" w:type="dxa"/>
            </w:tcMar>
            <w:vAlign w:val="center"/>
          </w:tcPr>
          <w:p w14:paraId="6CFAB70E" w14:textId="77777777" w:rsidR="00612437" w:rsidRPr="00F07779" w:rsidRDefault="00612437" w:rsidP="00612437">
            <w:pPr>
              <w:rPr>
                <w:rFonts w:eastAsia="Calibri"/>
                <w:color w:val="2F5496"/>
                <w:sz w:val="20"/>
                <w:szCs w:val="20"/>
                <w:lang w:val="en-US"/>
              </w:rPr>
            </w:pPr>
          </w:p>
        </w:tc>
        <w:tc>
          <w:tcPr>
            <w:tcW w:w="1542" w:type="dxa"/>
            <w:noWrap/>
            <w:tcMar>
              <w:left w:w="0" w:type="dxa"/>
              <w:right w:w="0" w:type="dxa"/>
            </w:tcMar>
            <w:vAlign w:val="center"/>
          </w:tcPr>
          <w:p w14:paraId="694D8C45" w14:textId="77777777" w:rsidR="00612437" w:rsidRPr="00F07779" w:rsidRDefault="00612437" w:rsidP="00612437">
            <w:pPr>
              <w:ind w:firstLine="0"/>
              <w:jc w:val="center"/>
              <w:rPr>
                <w:rFonts w:eastAsia="Calibri"/>
                <w:color w:val="2F5496"/>
                <w:sz w:val="20"/>
                <w:szCs w:val="20"/>
                <w:lang w:val="en-US"/>
              </w:rPr>
            </w:pPr>
            <w:r w:rsidRPr="00F07779">
              <w:rPr>
                <w:rFonts w:eastAsia="Calibri"/>
                <w:color w:val="2F5496"/>
                <w:sz w:val="20"/>
                <w:szCs w:val="20"/>
                <w:lang w:val="en-US"/>
              </w:rPr>
              <w:t>2028.</w:t>
            </w:r>
          </w:p>
        </w:tc>
        <w:tc>
          <w:tcPr>
            <w:tcW w:w="2414" w:type="dxa"/>
            <w:noWrap/>
            <w:tcMar>
              <w:left w:w="0" w:type="dxa"/>
              <w:right w:w="0" w:type="dxa"/>
            </w:tcMar>
          </w:tcPr>
          <w:p w14:paraId="5F0B1A64" w14:textId="611A1507" w:rsidR="00612437" w:rsidRPr="00F07779" w:rsidRDefault="00612437" w:rsidP="00612437">
            <w:pPr>
              <w:pStyle w:val="NormalWeb"/>
              <w:spacing w:before="0" w:beforeAutospacing="0" w:after="150" w:afterAutospacing="0"/>
              <w:ind w:firstLine="0"/>
              <w:rPr>
                <w:rFonts w:eastAsia="Calibri"/>
                <w:color w:val="2F5496"/>
                <w:sz w:val="20"/>
                <w:szCs w:val="20"/>
                <w:lang w:val="en-US"/>
              </w:rPr>
            </w:pPr>
            <w:r w:rsidRPr="00F07779">
              <w:rPr>
                <w:sz w:val="20"/>
                <w:szCs w:val="20"/>
                <w:lang w:val="en-US"/>
              </w:rPr>
              <w:t>90 days of average daily net imports</w:t>
            </w:r>
          </w:p>
        </w:tc>
        <w:tc>
          <w:tcPr>
            <w:tcW w:w="1855" w:type="dxa"/>
            <w:noWrap/>
            <w:tcMar>
              <w:left w:w="0" w:type="dxa"/>
              <w:right w:w="0" w:type="dxa"/>
            </w:tcMar>
            <w:vAlign w:val="center"/>
          </w:tcPr>
          <w:p w14:paraId="48005AAD" w14:textId="77777777" w:rsidR="00612437" w:rsidRPr="00F07779" w:rsidRDefault="00612437" w:rsidP="00612437">
            <w:pPr>
              <w:pStyle w:val="NormalWeb"/>
              <w:spacing w:before="0" w:beforeAutospacing="0" w:after="150" w:afterAutospacing="0"/>
              <w:jc w:val="center"/>
              <w:rPr>
                <w:rFonts w:eastAsia="Calibri"/>
                <w:color w:val="2F5496"/>
                <w:sz w:val="20"/>
                <w:szCs w:val="20"/>
                <w:lang w:val="en-US"/>
              </w:rPr>
            </w:pPr>
            <w:r w:rsidRPr="00F07779">
              <w:rPr>
                <w:rFonts w:eastAsia="Calibri"/>
                <w:color w:val="2F5496"/>
                <w:sz w:val="20"/>
                <w:szCs w:val="20"/>
                <w:lang w:val="en-US"/>
              </w:rPr>
              <w:t>100%</w:t>
            </w:r>
          </w:p>
        </w:tc>
        <w:tc>
          <w:tcPr>
            <w:tcW w:w="1906" w:type="dxa"/>
            <w:noWrap/>
            <w:tcMar>
              <w:left w:w="0" w:type="dxa"/>
              <w:right w:w="0" w:type="dxa"/>
            </w:tcMar>
            <w:vAlign w:val="center"/>
          </w:tcPr>
          <w:p w14:paraId="50A36B59" w14:textId="77777777" w:rsidR="00612437" w:rsidRPr="00F07779" w:rsidRDefault="00612437" w:rsidP="00612437">
            <w:pPr>
              <w:pStyle w:val="NormalWeb"/>
              <w:spacing w:before="0" w:beforeAutospacing="0" w:after="150" w:afterAutospacing="0"/>
              <w:jc w:val="center"/>
              <w:rPr>
                <w:rFonts w:eastAsia="Calibri"/>
                <w:color w:val="2F5496"/>
                <w:sz w:val="20"/>
                <w:szCs w:val="20"/>
                <w:lang w:val="en-US"/>
              </w:rPr>
            </w:pPr>
            <w:r w:rsidRPr="00F07779">
              <w:rPr>
                <w:rFonts w:eastAsia="Calibri"/>
                <w:color w:val="2F5496"/>
                <w:sz w:val="20"/>
                <w:szCs w:val="20"/>
                <w:lang w:val="en-US"/>
              </w:rPr>
              <w:t>100%</w:t>
            </w:r>
          </w:p>
        </w:tc>
      </w:tr>
    </w:tbl>
    <w:p w14:paraId="40E7097E" w14:textId="77777777" w:rsidR="00A60E46" w:rsidRPr="00F07779" w:rsidRDefault="00A60E46" w:rsidP="001657EE"/>
    <w:p w14:paraId="75ECE8BA" w14:textId="47344139" w:rsidR="001657EE" w:rsidRPr="00F07779" w:rsidRDefault="001657EE" w:rsidP="00612437">
      <w:proofErr w:type="spellStart"/>
      <w:r w:rsidRPr="00F07779">
        <w:t>Та</w:t>
      </w:r>
      <w:r w:rsidR="00612437" w:rsidRPr="00F07779">
        <w:t>ble</w:t>
      </w:r>
      <w:proofErr w:type="spellEnd"/>
      <w:r w:rsidRPr="00F07779">
        <w:t xml:space="preserve"> 5.6.3: </w:t>
      </w:r>
      <w:r w:rsidR="00612437" w:rsidRPr="00F07779">
        <w:t>Activities for the implementation of Measure N1 –</w:t>
      </w:r>
      <w:r w:rsidR="00BF38C2" w:rsidRPr="00F07779">
        <w:t xml:space="preserve"> </w:t>
      </w:r>
      <w:r w:rsidR="00612437" w:rsidRPr="00F07779">
        <w:t>Construction of missing storage capacities for oil and all types of derivatives stored for the purpose of mandatory reserves</w:t>
      </w:r>
    </w:p>
    <w:tbl>
      <w:tblPr>
        <w:tblStyle w:val="TableGrid"/>
        <w:tblW w:w="8715" w:type="dxa"/>
        <w:tblLook w:val="04A0" w:firstRow="1" w:lastRow="0" w:firstColumn="1" w:lastColumn="0" w:noHBand="0" w:noVBand="1"/>
      </w:tblPr>
      <w:tblGrid>
        <w:gridCol w:w="2972"/>
        <w:gridCol w:w="5743"/>
      </w:tblGrid>
      <w:tr w:rsidR="001657EE" w:rsidRPr="00F07779" w14:paraId="4FA4A204" w14:textId="77777777" w:rsidTr="009A03AE">
        <w:tc>
          <w:tcPr>
            <w:tcW w:w="2972" w:type="dxa"/>
            <w:shd w:val="clear" w:color="auto" w:fill="D9D9D9" w:themeFill="background1" w:themeFillShade="D9"/>
          </w:tcPr>
          <w:p w14:paraId="1CA9247A" w14:textId="238852F6" w:rsidR="001657EE" w:rsidRPr="00F07779" w:rsidRDefault="001232AD" w:rsidP="009A03AE">
            <w:pPr>
              <w:rPr>
                <w:sz w:val="20"/>
                <w:szCs w:val="20"/>
              </w:rPr>
            </w:pPr>
            <w:r w:rsidRPr="00F07779">
              <w:rPr>
                <w:sz w:val="20"/>
                <w:szCs w:val="20"/>
              </w:rPr>
              <w:t>Activity</w:t>
            </w:r>
            <w:r w:rsidR="001657EE" w:rsidRPr="00F07779">
              <w:rPr>
                <w:sz w:val="20"/>
                <w:szCs w:val="20"/>
              </w:rPr>
              <w:t xml:space="preserve"> </w:t>
            </w:r>
            <w:r w:rsidRPr="00F07779">
              <w:rPr>
                <w:sz w:val="20"/>
                <w:szCs w:val="20"/>
              </w:rPr>
              <w:t>N</w:t>
            </w:r>
            <w:r w:rsidR="001657EE" w:rsidRPr="00F07779">
              <w:rPr>
                <w:sz w:val="20"/>
                <w:szCs w:val="20"/>
              </w:rPr>
              <w:t>1.1</w:t>
            </w:r>
          </w:p>
        </w:tc>
        <w:tc>
          <w:tcPr>
            <w:tcW w:w="5743" w:type="dxa"/>
            <w:shd w:val="clear" w:color="auto" w:fill="D9D9D9" w:themeFill="background1" w:themeFillShade="D9"/>
          </w:tcPr>
          <w:p w14:paraId="1FE92E5E" w14:textId="5615D37B" w:rsidR="001657EE" w:rsidRPr="00F07779" w:rsidRDefault="001232AD" w:rsidP="009A03AE">
            <w:pPr>
              <w:rPr>
                <w:sz w:val="20"/>
                <w:szCs w:val="20"/>
              </w:rPr>
            </w:pPr>
            <w:r w:rsidRPr="00F07779">
              <w:rPr>
                <w:sz w:val="20"/>
                <w:szCs w:val="20"/>
              </w:rPr>
              <w:t xml:space="preserve">Construction of storage capacities at the Donja Zona </w:t>
            </w:r>
            <w:proofErr w:type="spellStart"/>
            <w:r w:rsidRPr="00F07779">
              <w:rPr>
                <w:sz w:val="20"/>
                <w:szCs w:val="20"/>
              </w:rPr>
              <w:t>Ledinci</w:t>
            </w:r>
            <w:proofErr w:type="spellEnd"/>
            <w:r w:rsidRPr="00F07779">
              <w:rPr>
                <w:sz w:val="20"/>
                <w:szCs w:val="20"/>
              </w:rPr>
              <w:t xml:space="preserve"> site</w:t>
            </w:r>
          </w:p>
        </w:tc>
      </w:tr>
      <w:tr w:rsidR="001657EE" w:rsidRPr="00F07779" w14:paraId="02CC86CD" w14:textId="77777777" w:rsidTr="009A03AE">
        <w:tc>
          <w:tcPr>
            <w:tcW w:w="2972" w:type="dxa"/>
          </w:tcPr>
          <w:p w14:paraId="79E8536F" w14:textId="5D82884C" w:rsidR="001657EE" w:rsidRPr="00F07779" w:rsidRDefault="001232AD" w:rsidP="009A03AE">
            <w:pPr>
              <w:rPr>
                <w:sz w:val="20"/>
                <w:szCs w:val="20"/>
              </w:rPr>
            </w:pPr>
            <w:r w:rsidRPr="00F07779">
              <w:rPr>
                <w:sz w:val="20"/>
                <w:szCs w:val="20"/>
              </w:rPr>
              <w:lastRenderedPageBreak/>
              <w:t>Description</w:t>
            </w:r>
          </w:p>
        </w:tc>
        <w:tc>
          <w:tcPr>
            <w:tcW w:w="5743" w:type="dxa"/>
          </w:tcPr>
          <w:p w14:paraId="60D5BD50" w14:textId="7F5BBD19" w:rsidR="001657EE" w:rsidRPr="00F07779" w:rsidRDefault="001232AD" w:rsidP="00AC3536">
            <w:pPr>
              <w:rPr>
                <w:sz w:val="20"/>
                <w:szCs w:val="20"/>
              </w:rPr>
            </w:pPr>
            <w:r w:rsidRPr="00F07779">
              <w:rPr>
                <w:sz w:val="20"/>
                <w:szCs w:val="20"/>
              </w:rPr>
              <w:t xml:space="preserve">Construction of 40,000 m³ of tank storage space for Euro diesel at the site in the lower handling zone of the </w:t>
            </w:r>
            <w:proofErr w:type="spellStart"/>
            <w:r w:rsidRPr="00F07779">
              <w:rPr>
                <w:sz w:val="20"/>
                <w:szCs w:val="20"/>
              </w:rPr>
              <w:t>Ledinci</w:t>
            </w:r>
            <w:proofErr w:type="spellEnd"/>
            <w:r w:rsidRPr="00F07779">
              <w:rPr>
                <w:sz w:val="20"/>
                <w:szCs w:val="20"/>
              </w:rPr>
              <w:t xml:space="preserve"> storage facility, covering an area of approximately 37,500 m². </w:t>
            </w:r>
            <w:r w:rsidR="00737CE4" w:rsidRPr="00F07779">
              <w:rPr>
                <w:sz w:val="20"/>
                <w:szCs w:val="20"/>
              </w:rPr>
              <w:t>The construction of the following facilities is planned for the purposes of commercial storage and mandatory reserves:</w:t>
            </w:r>
            <w:r w:rsidRPr="00F07779">
              <w:rPr>
                <w:sz w:val="20"/>
                <w:szCs w:val="20"/>
              </w:rPr>
              <w:t xml:space="preserve"> three tanks of 10,000 m³ each, </w:t>
            </w:r>
            <w:r w:rsidR="00737CE4" w:rsidRPr="00F07779">
              <w:rPr>
                <w:sz w:val="20"/>
                <w:szCs w:val="20"/>
              </w:rPr>
              <w:t>one</w:t>
            </w:r>
            <w:r w:rsidRPr="00F07779">
              <w:rPr>
                <w:sz w:val="20"/>
                <w:szCs w:val="20"/>
              </w:rPr>
              <w:t xml:space="preserve"> tank of 5,000 m³, a new pumping station, a fire access road, a water tank for fire protection purposes with a capacity of 1,500 m³, a pumping station for the fire protection system with 6 pumps, all pipeline installations for connecting the tanks, diesel loading and unloading facilities with appropriate fittings, and a hydrant network for fire protection needs in the storage area of the new tanks. Of the planned tanks, 2x10,000 m³ and 1x5,000 m³ are designated for commercial storage and mandatory reserves, while 1x10,000 m³ will serve as a technological tank for emergency filling in case of an accident at the existing tanks in the upper storage zone.</w:t>
            </w:r>
          </w:p>
        </w:tc>
      </w:tr>
      <w:tr w:rsidR="001657EE" w:rsidRPr="00F07779" w14:paraId="7BCF09AF" w14:textId="77777777" w:rsidTr="009A03AE">
        <w:tc>
          <w:tcPr>
            <w:tcW w:w="2972" w:type="dxa"/>
          </w:tcPr>
          <w:p w14:paraId="7B5C06B0" w14:textId="50EE8D0F" w:rsidR="001657EE" w:rsidRPr="00F07779" w:rsidRDefault="001232AD" w:rsidP="009A03AE">
            <w:pPr>
              <w:rPr>
                <w:sz w:val="20"/>
                <w:szCs w:val="20"/>
              </w:rPr>
            </w:pPr>
            <w:r w:rsidRPr="00F07779">
              <w:rPr>
                <w:sz w:val="20"/>
                <w:szCs w:val="20"/>
              </w:rPr>
              <w:t>Institutions responsible for implementing measures and activities</w:t>
            </w:r>
          </w:p>
        </w:tc>
        <w:tc>
          <w:tcPr>
            <w:tcW w:w="5743" w:type="dxa"/>
          </w:tcPr>
          <w:p w14:paraId="2E5E8989" w14:textId="6D4E68D4" w:rsidR="001657EE" w:rsidRPr="00F07779" w:rsidRDefault="001232AD" w:rsidP="009A03AE">
            <w:pPr>
              <w:rPr>
                <w:sz w:val="20"/>
                <w:szCs w:val="20"/>
              </w:rPr>
            </w:pPr>
            <w:r w:rsidRPr="00F07779">
              <w:rPr>
                <w:sz w:val="20"/>
                <w:szCs w:val="20"/>
              </w:rPr>
              <w:t xml:space="preserve">Transnafta </w:t>
            </w:r>
            <w:r w:rsidR="00BF38C2" w:rsidRPr="00F07779">
              <w:rPr>
                <w:sz w:val="20"/>
                <w:szCs w:val="20"/>
              </w:rPr>
              <w:t>JSC</w:t>
            </w:r>
          </w:p>
        </w:tc>
      </w:tr>
      <w:tr w:rsidR="001657EE" w:rsidRPr="00F07779" w14:paraId="40E5EE61" w14:textId="77777777" w:rsidTr="009A03AE">
        <w:tc>
          <w:tcPr>
            <w:tcW w:w="2972" w:type="dxa"/>
          </w:tcPr>
          <w:p w14:paraId="50B37243" w14:textId="473AFFE5" w:rsidR="001657EE" w:rsidRPr="00F07779" w:rsidRDefault="008332FF" w:rsidP="008332FF">
            <w:pPr>
              <w:rPr>
                <w:sz w:val="20"/>
                <w:szCs w:val="20"/>
              </w:rPr>
            </w:pPr>
            <w:r w:rsidRPr="00F07779">
              <w:rPr>
                <w:sz w:val="20"/>
                <w:szCs w:val="20"/>
              </w:rPr>
              <w:t>Institutions responsible for monitoring implementation and reporting on realization</w:t>
            </w:r>
          </w:p>
        </w:tc>
        <w:tc>
          <w:tcPr>
            <w:tcW w:w="5743" w:type="dxa"/>
          </w:tcPr>
          <w:p w14:paraId="0F335F91" w14:textId="108B104B" w:rsidR="001657EE" w:rsidRPr="00F07779" w:rsidRDefault="00E37D78" w:rsidP="009A03AE">
            <w:pPr>
              <w:rPr>
                <w:sz w:val="20"/>
                <w:szCs w:val="20"/>
              </w:rPr>
            </w:pPr>
            <w:r w:rsidRPr="00F07779">
              <w:rPr>
                <w:sz w:val="20"/>
                <w:szCs w:val="20"/>
              </w:rPr>
              <w:t>Republic directorate for commodity reserves</w:t>
            </w:r>
            <w:r w:rsidRPr="00F07779">
              <w:rPr>
                <w:sz w:val="20"/>
                <w:szCs w:val="20"/>
              </w:rPr>
              <w:br/>
              <w:t xml:space="preserve">Ministry of </w:t>
            </w:r>
            <w:r w:rsidR="006478CB" w:rsidRPr="00F07779">
              <w:rPr>
                <w:sz w:val="20"/>
                <w:szCs w:val="20"/>
              </w:rPr>
              <w:t>M</w:t>
            </w:r>
            <w:r w:rsidRPr="00F07779">
              <w:rPr>
                <w:sz w:val="20"/>
                <w:szCs w:val="20"/>
              </w:rPr>
              <w:t xml:space="preserve">ining and </w:t>
            </w:r>
            <w:r w:rsidR="006478CB" w:rsidRPr="00F07779">
              <w:rPr>
                <w:sz w:val="20"/>
                <w:szCs w:val="20"/>
              </w:rPr>
              <w:t>E</w:t>
            </w:r>
            <w:r w:rsidRPr="00F07779">
              <w:rPr>
                <w:sz w:val="20"/>
                <w:szCs w:val="20"/>
              </w:rPr>
              <w:t>nergy</w:t>
            </w:r>
            <w:r w:rsidR="00737CE4" w:rsidRPr="00F07779">
              <w:rPr>
                <w:sz w:val="20"/>
                <w:szCs w:val="20"/>
              </w:rPr>
              <w:t xml:space="preserve"> (Directorate for Energy Reserves)</w:t>
            </w:r>
          </w:p>
        </w:tc>
      </w:tr>
      <w:tr w:rsidR="001657EE" w:rsidRPr="00F07779" w14:paraId="5C2ED1DC" w14:textId="77777777" w:rsidTr="009A03AE">
        <w:tc>
          <w:tcPr>
            <w:tcW w:w="2972" w:type="dxa"/>
          </w:tcPr>
          <w:p w14:paraId="4FF6DBA0" w14:textId="02DB2215" w:rsidR="001657EE" w:rsidRPr="00F07779" w:rsidRDefault="001232AD" w:rsidP="009A03AE">
            <w:pPr>
              <w:rPr>
                <w:sz w:val="20"/>
                <w:szCs w:val="20"/>
              </w:rPr>
            </w:pPr>
            <w:r w:rsidRPr="00F07779">
              <w:rPr>
                <w:sz w:val="20"/>
                <w:szCs w:val="20"/>
              </w:rPr>
              <w:t>Deadline for implementation</w:t>
            </w:r>
          </w:p>
        </w:tc>
        <w:tc>
          <w:tcPr>
            <w:tcW w:w="5743" w:type="dxa"/>
          </w:tcPr>
          <w:p w14:paraId="4C54618A" w14:textId="77777777" w:rsidR="001657EE" w:rsidRPr="00F07779" w:rsidRDefault="001657EE" w:rsidP="009A03AE">
            <w:pPr>
              <w:rPr>
                <w:sz w:val="20"/>
                <w:szCs w:val="20"/>
              </w:rPr>
            </w:pPr>
            <w:r w:rsidRPr="00F07779">
              <w:rPr>
                <w:sz w:val="20"/>
                <w:szCs w:val="20"/>
              </w:rPr>
              <w:t>2028.</w:t>
            </w:r>
          </w:p>
        </w:tc>
      </w:tr>
      <w:tr w:rsidR="001657EE" w:rsidRPr="00F07779" w14:paraId="4C421F6E" w14:textId="77777777" w:rsidTr="009A03AE">
        <w:tc>
          <w:tcPr>
            <w:tcW w:w="2972" w:type="dxa"/>
          </w:tcPr>
          <w:p w14:paraId="0B35BFE3" w14:textId="27D032B0" w:rsidR="001657EE" w:rsidRPr="00F07779" w:rsidRDefault="001232AD" w:rsidP="009A03AE">
            <w:pPr>
              <w:rPr>
                <w:sz w:val="20"/>
                <w:szCs w:val="20"/>
              </w:rPr>
            </w:pPr>
            <w:r w:rsidRPr="00F07779">
              <w:rPr>
                <w:sz w:val="20"/>
                <w:szCs w:val="20"/>
              </w:rPr>
              <w:t>Required funds and source of financing</w:t>
            </w:r>
          </w:p>
        </w:tc>
        <w:tc>
          <w:tcPr>
            <w:tcW w:w="5743" w:type="dxa"/>
          </w:tcPr>
          <w:p w14:paraId="1B740074" w14:textId="1A7F933A" w:rsidR="001657EE" w:rsidRPr="00F07779" w:rsidRDefault="00337AF3" w:rsidP="009A03AE">
            <w:pPr>
              <w:rPr>
                <w:sz w:val="20"/>
                <w:szCs w:val="20"/>
              </w:rPr>
            </w:pPr>
            <w:r w:rsidRPr="00F07779">
              <w:rPr>
                <w:sz w:val="20"/>
                <w:szCs w:val="20"/>
              </w:rPr>
              <w:t>20 million</w:t>
            </w:r>
            <w:r w:rsidR="008B2A7B" w:rsidRPr="00F07779">
              <w:rPr>
                <w:sz w:val="20"/>
                <w:szCs w:val="20"/>
              </w:rPr>
              <w:t xml:space="preserve"> EUR</w:t>
            </w:r>
            <w:r w:rsidRPr="00F07779">
              <w:rPr>
                <w:sz w:val="20"/>
                <w:szCs w:val="20"/>
              </w:rPr>
              <w:t xml:space="preserve"> (2</w:t>
            </w:r>
            <w:r w:rsidR="008B2A7B" w:rsidRPr="00F07779">
              <w:rPr>
                <w:sz w:val="20"/>
                <w:szCs w:val="20"/>
              </w:rPr>
              <w:t>,</w:t>
            </w:r>
            <w:r w:rsidRPr="00F07779">
              <w:rPr>
                <w:sz w:val="20"/>
                <w:szCs w:val="20"/>
              </w:rPr>
              <w:t xml:space="preserve">345 </w:t>
            </w:r>
            <w:r w:rsidR="00BF38C2" w:rsidRPr="00F07779">
              <w:rPr>
                <w:sz w:val="20"/>
                <w:szCs w:val="20"/>
              </w:rPr>
              <w:t>m</w:t>
            </w:r>
            <w:r w:rsidRPr="00F07779">
              <w:rPr>
                <w:sz w:val="20"/>
                <w:szCs w:val="20"/>
              </w:rPr>
              <w:t>illion</w:t>
            </w:r>
            <w:r w:rsidR="008B2A7B" w:rsidRPr="00F07779">
              <w:rPr>
                <w:sz w:val="20"/>
                <w:szCs w:val="20"/>
              </w:rPr>
              <w:t xml:space="preserve"> RSD</w:t>
            </w:r>
            <w:r w:rsidRPr="00F07779">
              <w:rPr>
                <w:sz w:val="20"/>
                <w:szCs w:val="20"/>
              </w:rPr>
              <w:t>)</w:t>
            </w:r>
            <w:r w:rsidRPr="00F07779">
              <w:rPr>
                <w:sz w:val="20"/>
                <w:szCs w:val="20"/>
              </w:rPr>
              <w:br/>
              <w:t>Budget of the Republic of Serbia</w:t>
            </w:r>
            <w:r w:rsidRPr="00F07779">
              <w:rPr>
                <w:sz w:val="20"/>
                <w:szCs w:val="20"/>
              </w:rPr>
              <w:br/>
              <w:t>The implementation timeline and fund withdrawal plan will be defined at a later stage.</w:t>
            </w:r>
          </w:p>
        </w:tc>
      </w:tr>
      <w:tr w:rsidR="001657EE" w:rsidRPr="00F07779" w14:paraId="5DA2223F" w14:textId="77777777" w:rsidTr="009A03AE">
        <w:tc>
          <w:tcPr>
            <w:tcW w:w="2972" w:type="dxa"/>
          </w:tcPr>
          <w:p w14:paraId="1FBCAF22" w14:textId="4FD01C83" w:rsidR="001657EE" w:rsidRPr="00F07779" w:rsidRDefault="001232AD" w:rsidP="009A03AE">
            <w:pPr>
              <w:rPr>
                <w:sz w:val="20"/>
                <w:szCs w:val="20"/>
              </w:rPr>
            </w:pPr>
            <w:r w:rsidRPr="00F07779">
              <w:rPr>
                <w:sz w:val="20"/>
                <w:szCs w:val="20"/>
              </w:rPr>
              <w:t>Implementation indicator</w:t>
            </w:r>
          </w:p>
        </w:tc>
        <w:tc>
          <w:tcPr>
            <w:tcW w:w="5743" w:type="dxa"/>
          </w:tcPr>
          <w:p w14:paraId="24975B9B" w14:textId="0E83AAD5" w:rsidR="001657EE" w:rsidRPr="00F07779" w:rsidRDefault="00E37D78" w:rsidP="009A03AE">
            <w:pPr>
              <w:rPr>
                <w:sz w:val="20"/>
                <w:szCs w:val="20"/>
              </w:rPr>
            </w:pPr>
            <w:r w:rsidRPr="00F07779">
              <w:rPr>
                <w:sz w:val="20"/>
                <w:szCs w:val="20"/>
              </w:rPr>
              <w:t>Implementation phases: (project for building permit and building permit, preparation of tender documentation, execution project, construction, commissioning)</w:t>
            </w:r>
          </w:p>
        </w:tc>
      </w:tr>
      <w:tr w:rsidR="001657EE" w:rsidRPr="00F07779" w14:paraId="6E8BD8E8" w14:textId="77777777" w:rsidTr="009A03AE">
        <w:tc>
          <w:tcPr>
            <w:tcW w:w="2972" w:type="dxa"/>
          </w:tcPr>
          <w:p w14:paraId="45437369" w14:textId="77777777" w:rsidR="008332FF" w:rsidRPr="00F07779" w:rsidRDefault="008332FF" w:rsidP="008332FF">
            <w:pPr>
              <w:rPr>
                <w:sz w:val="20"/>
                <w:szCs w:val="20"/>
              </w:rPr>
            </w:pPr>
            <w:r w:rsidRPr="00F07779">
              <w:rPr>
                <w:sz w:val="20"/>
                <w:szCs w:val="20"/>
              </w:rPr>
              <w:t>Impact of the activity on the achievement of the objective</w:t>
            </w:r>
          </w:p>
          <w:p w14:paraId="3008BC08" w14:textId="5AF35CFE" w:rsidR="001657EE" w:rsidRPr="00F07779" w:rsidRDefault="001657EE" w:rsidP="009A03AE">
            <w:pPr>
              <w:rPr>
                <w:sz w:val="20"/>
                <w:szCs w:val="20"/>
              </w:rPr>
            </w:pPr>
          </w:p>
        </w:tc>
        <w:tc>
          <w:tcPr>
            <w:tcW w:w="5743" w:type="dxa"/>
          </w:tcPr>
          <w:p w14:paraId="5A223D05" w14:textId="7F4E4E7A" w:rsidR="001657EE" w:rsidRPr="00F07779" w:rsidRDefault="00337AF3" w:rsidP="009A03AE">
            <w:pPr>
              <w:rPr>
                <w:sz w:val="20"/>
                <w:szCs w:val="20"/>
              </w:rPr>
            </w:pPr>
            <w:r w:rsidRPr="00F07779">
              <w:rPr>
                <w:sz w:val="20"/>
                <w:szCs w:val="20"/>
              </w:rPr>
              <w:t>Secure supply of oil derivatives: Storage of mandatory reserves of oil and oil derivatives ensured in quantities corresponding to 61 days of domestic consumption or 90 days of net imports (whichever is greater).</w:t>
            </w:r>
          </w:p>
        </w:tc>
      </w:tr>
      <w:tr w:rsidR="001657EE" w:rsidRPr="00F07779" w14:paraId="52FF34F9" w14:textId="77777777" w:rsidTr="009A03AE">
        <w:tc>
          <w:tcPr>
            <w:tcW w:w="2972" w:type="dxa"/>
          </w:tcPr>
          <w:p w14:paraId="060D324C" w14:textId="35BFC694" w:rsidR="001657EE" w:rsidRPr="00F07779" w:rsidRDefault="008332FF" w:rsidP="008332FF">
            <w:pPr>
              <w:rPr>
                <w:sz w:val="20"/>
                <w:szCs w:val="20"/>
              </w:rPr>
            </w:pPr>
            <w:r w:rsidRPr="00F07779">
              <w:rPr>
                <w:sz w:val="20"/>
                <w:szCs w:val="20"/>
              </w:rPr>
              <w:t>Impact on EE, climate, and environmental protection</w:t>
            </w:r>
          </w:p>
        </w:tc>
        <w:tc>
          <w:tcPr>
            <w:tcW w:w="5743" w:type="dxa"/>
          </w:tcPr>
          <w:p w14:paraId="434F4462" w14:textId="0E8A6016" w:rsidR="001657EE" w:rsidRPr="00F07779" w:rsidRDefault="00337AF3" w:rsidP="009A03AE">
            <w:pPr>
              <w:rPr>
                <w:sz w:val="20"/>
                <w:szCs w:val="20"/>
              </w:rPr>
            </w:pPr>
            <w:r w:rsidRPr="00F07779">
              <w:rPr>
                <w:sz w:val="20"/>
                <w:szCs w:val="20"/>
              </w:rPr>
              <w:t>No direct impact.</w:t>
            </w:r>
          </w:p>
        </w:tc>
      </w:tr>
    </w:tbl>
    <w:p w14:paraId="23A01857" w14:textId="77777777" w:rsidR="001657EE" w:rsidRPr="00F07779" w:rsidRDefault="001657EE" w:rsidP="001657EE"/>
    <w:p w14:paraId="34B7A03E" w14:textId="57CEF5E7" w:rsidR="00DD3E09" w:rsidRPr="00F07779" w:rsidRDefault="00DD3E09" w:rsidP="001657EE">
      <w:r w:rsidRPr="00F07779">
        <w:t xml:space="preserve">Table 5.6.4: </w:t>
      </w:r>
      <w:r w:rsidR="001103A3" w:rsidRPr="00F07779">
        <w:t xml:space="preserve">Activities for the implementation of measure </w:t>
      </w:r>
      <w:r w:rsidRPr="00F07779">
        <w:t>N2 –</w:t>
      </w:r>
      <w:r w:rsidR="00BF38C2" w:rsidRPr="00F07779">
        <w:t xml:space="preserve"> </w:t>
      </w:r>
      <w:r w:rsidR="001103A3" w:rsidRPr="00F07779">
        <w:t>Continuation of refinery capacity modernization and</w:t>
      </w:r>
      <w:r w:rsidR="00BF38C2" w:rsidRPr="00F07779">
        <w:t xml:space="preserve"> </w:t>
      </w:r>
      <w:r w:rsidR="001103A3" w:rsidRPr="00F07779">
        <w:t>increase of energy efficiency in the refining process</w:t>
      </w:r>
    </w:p>
    <w:tbl>
      <w:tblPr>
        <w:tblStyle w:val="TableGrid"/>
        <w:tblW w:w="8715" w:type="dxa"/>
        <w:tblLook w:val="04A0" w:firstRow="1" w:lastRow="0" w:firstColumn="1" w:lastColumn="0" w:noHBand="0" w:noVBand="1"/>
      </w:tblPr>
      <w:tblGrid>
        <w:gridCol w:w="2972"/>
        <w:gridCol w:w="5743"/>
      </w:tblGrid>
      <w:tr w:rsidR="00DD3E09" w:rsidRPr="00F07779" w14:paraId="2EC8A620" w14:textId="77777777" w:rsidTr="00712ED3">
        <w:tc>
          <w:tcPr>
            <w:tcW w:w="2972" w:type="dxa"/>
            <w:shd w:val="clear" w:color="auto" w:fill="D9D9D9" w:themeFill="background1" w:themeFillShade="D9"/>
          </w:tcPr>
          <w:p w14:paraId="276D95D7" w14:textId="6F4017D7" w:rsidR="00DD3E09" w:rsidRPr="00F07779" w:rsidRDefault="00DD3E09" w:rsidP="00712ED3">
            <w:pPr>
              <w:rPr>
                <w:sz w:val="20"/>
                <w:szCs w:val="20"/>
              </w:rPr>
            </w:pPr>
            <w:r w:rsidRPr="00F07779">
              <w:rPr>
                <w:sz w:val="20"/>
                <w:szCs w:val="20"/>
              </w:rPr>
              <w:t>Activity N2.1</w:t>
            </w:r>
          </w:p>
        </w:tc>
        <w:tc>
          <w:tcPr>
            <w:tcW w:w="5743" w:type="dxa"/>
            <w:shd w:val="clear" w:color="auto" w:fill="D9D9D9" w:themeFill="background1" w:themeFillShade="D9"/>
          </w:tcPr>
          <w:p w14:paraId="321A1C9E" w14:textId="3DC5FDBF" w:rsidR="00DD3E09" w:rsidRPr="00F07779" w:rsidRDefault="00DD3E09" w:rsidP="00712ED3">
            <w:pPr>
              <w:rPr>
                <w:sz w:val="20"/>
                <w:szCs w:val="20"/>
              </w:rPr>
            </w:pPr>
            <w:r w:rsidRPr="00F07779">
              <w:rPr>
                <w:sz w:val="20"/>
                <w:szCs w:val="20"/>
              </w:rPr>
              <w:t>Investment in increasing energy efficiency, operational safety, and environmental performance of existing facilities</w:t>
            </w:r>
          </w:p>
        </w:tc>
      </w:tr>
      <w:tr w:rsidR="00DD3E09" w:rsidRPr="00F07779" w14:paraId="623C904E" w14:textId="77777777" w:rsidTr="00712ED3">
        <w:tc>
          <w:tcPr>
            <w:tcW w:w="2972" w:type="dxa"/>
          </w:tcPr>
          <w:p w14:paraId="6299F376" w14:textId="77777777" w:rsidR="00DD3E09" w:rsidRPr="00F07779" w:rsidRDefault="00DD3E09" w:rsidP="00712ED3">
            <w:pPr>
              <w:rPr>
                <w:sz w:val="20"/>
                <w:szCs w:val="20"/>
              </w:rPr>
            </w:pPr>
            <w:r w:rsidRPr="00F07779">
              <w:rPr>
                <w:sz w:val="20"/>
                <w:szCs w:val="20"/>
              </w:rPr>
              <w:t>Description</w:t>
            </w:r>
          </w:p>
        </w:tc>
        <w:tc>
          <w:tcPr>
            <w:tcW w:w="5743" w:type="dxa"/>
          </w:tcPr>
          <w:p w14:paraId="471DEDE7" w14:textId="2B3FDE5B" w:rsidR="00DD3E09" w:rsidRPr="00F07779" w:rsidRDefault="00DD3E09" w:rsidP="00712ED3">
            <w:pPr>
              <w:rPr>
                <w:sz w:val="20"/>
                <w:szCs w:val="20"/>
              </w:rPr>
            </w:pPr>
            <w:r w:rsidRPr="00F07779">
              <w:rPr>
                <w:sz w:val="20"/>
                <w:szCs w:val="20"/>
              </w:rPr>
              <w:t xml:space="preserve">The further modernization process of the </w:t>
            </w:r>
            <w:proofErr w:type="spellStart"/>
            <w:r w:rsidRPr="00F07779">
              <w:rPr>
                <w:sz w:val="20"/>
                <w:szCs w:val="20"/>
              </w:rPr>
              <w:t>Pančevo</w:t>
            </w:r>
            <w:proofErr w:type="spellEnd"/>
            <w:r w:rsidRPr="00F07779">
              <w:rPr>
                <w:sz w:val="20"/>
                <w:szCs w:val="20"/>
              </w:rPr>
              <w:t xml:space="preserve"> oil refinery includes improving the efficiency of existing facilities through their modernization and the elimination of bottlenecks (replacement of critical rotating equipment, replacement of furnaces); </w:t>
            </w:r>
            <w:r w:rsidR="00737CE4" w:rsidRPr="00F07779">
              <w:rPr>
                <w:sz w:val="20"/>
                <w:szCs w:val="20"/>
              </w:rPr>
              <w:t xml:space="preserve">improving </w:t>
            </w:r>
            <w:r w:rsidRPr="00F07779">
              <w:rPr>
                <w:sz w:val="20"/>
                <w:szCs w:val="20"/>
              </w:rPr>
              <w:t>environmental protection (new fire protection system, temporary hazardous waste storage).</w:t>
            </w:r>
          </w:p>
        </w:tc>
      </w:tr>
      <w:tr w:rsidR="00DD3E09" w:rsidRPr="00F07779" w14:paraId="668FBE2C" w14:textId="77777777" w:rsidTr="00712ED3">
        <w:tc>
          <w:tcPr>
            <w:tcW w:w="2972" w:type="dxa"/>
          </w:tcPr>
          <w:p w14:paraId="4878F4ED" w14:textId="77777777" w:rsidR="00DD3E09" w:rsidRPr="00F07779" w:rsidRDefault="00DD3E09" w:rsidP="00712ED3">
            <w:pPr>
              <w:rPr>
                <w:sz w:val="20"/>
                <w:szCs w:val="20"/>
              </w:rPr>
            </w:pPr>
            <w:r w:rsidRPr="00F07779">
              <w:rPr>
                <w:sz w:val="20"/>
                <w:szCs w:val="20"/>
              </w:rPr>
              <w:t>Institutions responsible for implementing measures and activities</w:t>
            </w:r>
          </w:p>
        </w:tc>
        <w:tc>
          <w:tcPr>
            <w:tcW w:w="5743" w:type="dxa"/>
          </w:tcPr>
          <w:p w14:paraId="6358F3D9" w14:textId="685C85DB" w:rsidR="00DD3E09" w:rsidRPr="00F07779" w:rsidRDefault="00DD3E09" w:rsidP="00712ED3">
            <w:pPr>
              <w:rPr>
                <w:sz w:val="20"/>
                <w:szCs w:val="20"/>
              </w:rPr>
            </w:pPr>
            <w:r w:rsidRPr="00F07779">
              <w:rPr>
                <w:sz w:val="20"/>
                <w:szCs w:val="20"/>
              </w:rPr>
              <w:t xml:space="preserve">NIS </w:t>
            </w:r>
            <w:r w:rsidR="006478CB" w:rsidRPr="00F07779">
              <w:rPr>
                <w:sz w:val="20"/>
                <w:szCs w:val="20"/>
              </w:rPr>
              <w:t>JSC</w:t>
            </w:r>
          </w:p>
        </w:tc>
      </w:tr>
      <w:tr w:rsidR="00DD3E09" w:rsidRPr="00F07779" w14:paraId="63A84A43" w14:textId="77777777" w:rsidTr="00712ED3">
        <w:tc>
          <w:tcPr>
            <w:tcW w:w="2972" w:type="dxa"/>
          </w:tcPr>
          <w:p w14:paraId="337F7EDE" w14:textId="50719E91" w:rsidR="00DD3E09" w:rsidRPr="00F07779" w:rsidRDefault="008332FF" w:rsidP="00712ED3">
            <w:pPr>
              <w:rPr>
                <w:sz w:val="20"/>
                <w:szCs w:val="20"/>
              </w:rPr>
            </w:pPr>
            <w:r w:rsidRPr="00F07779">
              <w:rPr>
                <w:sz w:val="20"/>
                <w:szCs w:val="20"/>
              </w:rPr>
              <w:t>Institutions responsible for monitoring implementation and reporting on realization</w:t>
            </w:r>
          </w:p>
        </w:tc>
        <w:tc>
          <w:tcPr>
            <w:tcW w:w="5743" w:type="dxa"/>
          </w:tcPr>
          <w:p w14:paraId="63AF8530" w14:textId="23B53CD5" w:rsidR="00DD3E09" w:rsidRPr="00F07779" w:rsidRDefault="00DD3E09" w:rsidP="00712ED3">
            <w:pPr>
              <w:rPr>
                <w:sz w:val="20"/>
                <w:szCs w:val="20"/>
              </w:rPr>
            </w:pPr>
            <w:r w:rsidRPr="00F07779">
              <w:rPr>
                <w:sz w:val="20"/>
                <w:szCs w:val="20"/>
              </w:rPr>
              <w:t xml:space="preserve">NIS </w:t>
            </w:r>
            <w:r w:rsidR="006478CB" w:rsidRPr="00F07779">
              <w:rPr>
                <w:sz w:val="20"/>
                <w:szCs w:val="20"/>
              </w:rPr>
              <w:t>JSC</w:t>
            </w:r>
          </w:p>
          <w:p w14:paraId="3D32DF2B" w14:textId="4A1BEA1F" w:rsidR="00DD3E09" w:rsidRPr="00F07779" w:rsidRDefault="00DD3E09" w:rsidP="00712ED3">
            <w:pPr>
              <w:rPr>
                <w:sz w:val="20"/>
                <w:szCs w:val="20"/>
              </w:rPr>
            </w:pPr>
            <w:r w:rsidRPr="00F07779">
              <w:rPr>
                <w:sz w:val="20"/>
                <w:szCs w:val="20"/>
              </w:rPr>
              <w:t xml:space="preserve">Ministry of </w:t>
            </w:r>
            <w:r w:rsidR="006478CB" w:rsidRPr="00F07779">
              <w:rPr>
                <w:sz w:val="20"/>
                <w:szCs w:val="20"/>
              </w:rPr>
              <w:t>M</w:t>
            </w:r>
            <w:r w:rsidRPr="00F07779">
              <w:rPr>
                <w:sz w:val="20"/>
                <w:szCs w:val="20"/>
              </w:rPr>
              <w:t xml:space="preserve">ining and </w:t>
            </w:r>
            <w:r w:rsidR="006478CB" w:rsidRPr="00F07779">
              <w:rPr>
                <w:sz w:val="20"/>
                <w:szCs w:val="20"/>
              </w:rPr>
              <w:t>E</w:t>
            </w:r>
            <w:r w:rsidRPr="00F07779">
              <w:rPr>
                <w:sz w:val="20"/>
                <w:szCs w:val="20"/>
              </w:rPr>
              <w:t>nergy</w:t>
            </w:r>
          </w:p>
        </w:tc>
      </w:tr>
      <w:tr w:rsidR="00DD3E09" w:rsidRPr="00F07779" w14:paraId="4053688D" w14:textId="77777777" w:rsidTr="00712ED3">
        <w:tc>
          <w:tcPr>
            <w:tcW w:w="2972" w:type="dxa"/>
          </w:tcPr>
          <w:p w14:paraId="4A35DDC8" w14:textId="77777777" w:rsidR="00DD3E09" w:rsidRPr="00F07779" w:rsidRDefault="00DD3E09" w:rsidP="00712ED3">
            <w:pPr>
              <w:rPr>
                <w:sz w:val="20"/>
                <w:szCs w:val="20"/>
              </w:rPr>
            </w:pPr>
            <w:r w:rsidRPr="00F07779">
              <w:rPr>
                <w:sz w:val="20"/>
                <w:szCs w:val="20"/>
              </w:rPr>
              <w:t>Deadline for implementation</w:t>
            </w:r>
          </w:p>
        </w:tc>
        <w:tc>
          <w:tcPr>
            <w:tcW w:w="5743" w:type="dxa"/>
          </w:tcPr>
          <w:p w14:paraId="0F8A1BA6" w14:textId="4CF21ED5" w:rsidR="00DD3E09" w:rsidRPr="00F07779" w:rsidRDefault="00DD3E09" w:rsidP="00712ED3">
            <w:pPr>
              <w:rPr>
                <w:sz w:val="20"/>
                <w:szCs w:val="20"/>
              </w:rPr>
            </w:pPr>
            <w:r w:rsidRPr="00F07779">
              <w:rPr>
                <w:sz w:val="20"/>
                <w:szCs w:val="20"/>
              </w:rPr>
              <w:t>2032.</w:t>
            </w:r>
          </w:p>
        </w:tc>
      </w:tr>
      <w:tr w:rsidR="00DD3E09" w:rsidRPr="00F07779" w14:paraId="05C68920" w14:textId="77777777" w:rsidTr="00712ED3">
        <w:tc>
          <w:tcPr>
            <w:tcW w:w="2972" w:type="dxa"/>
          </w:tcPr>
          <w:p w14:paraId="5ADEBA5E" w14:textId="77777777" w:rsidR="00DD3E09" w:rsidRPr="00F07779" w:rsidRDefault="00DD3E09" w:rsidP="00712ED3">
            <w:pPr>
              <w:rPr>
                <w:sz w:val="20"/>
                <w:szCs w:val="20"/>
              </w:rPr>
            </w:pPr>
            <w:r w:rsidRPr="00F07779">
              <w:rPr>
                <w:sz w:val="20"/>
                <w:szCs w:val="20"/>
              </w:rPr>
              <w:t>Required funds and source of financing</w:t>
            </w:r>
          </w:p>
        </w:tc>
        <w:tc>
          <w:tcPr>
            <w:tcW w:w="5743" w:type="dxa"/>
          </w:tcPr>
          <w:p w14:paraId="2DA09D7D" w14:textId="4C420B12" w:rsidR="00DD3E09" w:rsidRPr="00F07779" w:rsidRDefault="00DD3E09" w:rsidP="00712ED3">
            <w:pPr>
              <w:rPr>
                <w:sz w:val="20"/>
                <w:szCs w:val="20"/>
              </w:rPr>
            </w:pPr>
            <w:r w:rsidRPr="00F07779">
              <w:rPr>
                <w:sz w:val="20"/>
                <w:szCs w:val="20"/>
              </w:rPr>
              <w:t>EUR 173 million (20</w:t>
            </w:r>
            <w:r w:rsidR="008B2A7B" w:rsidRPr="00F07779">
              <w:rPr>
                <w:sz w:val="20"/>
                <w:szCs w:val="20"/>
              </w:rPr>
              <w:t>,</w:t>
            </w:r>
            <w:r w:rsidRPr="00F07779">
              <w:rPr>
                <w:sz w:val="20"/>
                <w:szCs w:val="20"/>
              </w:rPr>
              <w:t xml:space="preserve">284 </w:t>
            </w:r>
            <w:r w:rsidR="006478CB" w:rsidRPr="00F07779">
              <w:rPr>
                <w:sz w:val="20"/>
                <w:szCs w:val="20"/>
              </w:rPr>
              <w:t>m</w:t>
            </w:r>
            <w:r w:rsidRPr="00F07779">
              <w:rPr>
                <w:sz w:val="20"/>
                <w:szCs w:val="20"/>
              </w:rPr>
              <w:t>illion RSD)</w:t>
            </w:r>
            <w:r w:rsidRPr="00F07779">
              <w:rPr>
                <w:sz w:val="20"/>
                <w:szCs w:val="20"/>
              </w:rPr>
              <w:br/>
              <w:t xml:space="preserve">NIS </w:t>
            </w:r>
            <w:r w:rsidR="006478CB" w:rsidRPr="00F07779">
              <w:rPr>
                <w:sz w:val="20"/>
                <w:szCs w:val="20"/>
              </w:rPr>
              <w:t>JSC</w:t>
            </w:r>
            <w:r w:rsidRPr="00F07779">
              <w:rPr>
                <w:sz w:val="20"/>
                <w:szCs w:val="20"/>
              </w:rPr>
              <w:br/>
              <w:t>The implementation timeline and fund withdrawal plan will be defined at a later stage.</w:t>
            </w:r>
          </w:p>
        </w:tc>
      </w:tr>
      <w:tr w:rsidR="00DD3E09" w:rsidRPr="00F07779" w14:paraId="6B5FF9AB" w14:textId="77777777" w:rsidTr="00712ED3">
        <w:tc>
          <w:tcPr>
            <w:tcW w:w="2972" w:type="dxa"/>
          </w:tcPr>
          <w:p w14:paraId="2C873365" w14:textId="77777777" w:rsidR="00DD3E09" w:rsidRPr="00F07779" w:rsidRDefault="00DD3E09" w:rsidP="00712ED3">
            <w:pPr>
              <w:rPr>
                <w:sz w:val="20"/>
                <w:szCs w:val="20"/>
              </w:rPr>
            </w:pPr>
            <w:r w:rsidRPr="00F07779">
              <w:rPr>
                <w:sz w:val="20"/>
                <w:szCs w:val="20"/>
              </w:rPr>
              <w:t>Implementation indicator</w:t>
            </w:r>
          </w:p>
        </w:tc>
        <w:tc>
          <w:tcPr>
            <w:tcW w:w="5743" w:type="dxa"/>
          </w:tcPr>
          <w:p w14:paraId="59CB67F5" w14:textId="1736713B" w:rsidR="00DD3E09" w:rsidRPr="00F07779" w:rsidRDefault="00DD3E09" w:rsidP="00712ED3">
            <w:pPr>
              <w:rPr>
                <w:sz w:val="20"/>
                <w:szCs w:val="20"/>
              </w:rPr>
            </w:pPr>
            <w:r w:rsidRPr="00F07779">
              <w:rPr>
                <w:sz w:val="20"/>
                <w:szCs w:val="20"/>
              </w:rPr>
              <w:t>Replacement of critical rotating equipment – project in progress</w:t>
            </w:r>
            <w:r w:rsidRPr="00F07779">
              <w:rPr>
                <w:sz w:val="20"/>
                <w:szCs w:val="20"/>
              </w:rPr>
              <w:br/>
              <w:t>Replacement of VA-2101/2201 furnaces – projects in preparation</w:t>
            </w:r>
            <w:r w:rsidRPr="00F07779">
              <w:rPr>
                <w:sz w:val="20"/>
                <w:szCs w:val="20"/>
              </w:rPr>
              <w:br/>
              <w:t>New fire protection system operational – project in progress</w:t>
            </w:r>
            <w:r w:rsidRPr="00F07779">
              <w:rPr>
                <w:sz w:val="20"/>
                <w:szCs w:val="20"/>
              </w:rPr>
              <w:br/>
              <w:t>Temporary hazardous waste storage constructed – project in progress</w:t>
            </w:r>
          </w:p>
        </w:tc>
      </w:tr>
      <w:tr w:rsidR="008332FF" w:rsidRPr="00F07779" w14:paraId="3F33B0CF" w14:textId="77777777" w:rsidTr="00712ED3">
        <w:tc>
          <w:tcPr>
            <w:tcW w:w="2972" w:type="dxa"/>
          </w:tcPr>
          <w:p w14:paraId="5BFA02E4" w14:textId="65400FAA" w:rsidR="008332FF" w:rsidRPr="00F07779" w:rsidRDefault="008332FF" w:rsidP="008332FF">
            <w:pPr>
              <w:rPr>
                <w:sz w:val="20"/>
                <w:szCs w:val="20"/>
              </w:rPr>
            </w:pPr>
            <w:r w:rsidRPr="00F07779">
              <w:rPr>
                <w:sz w:val="20"/>
                <w:szCs w:val="20"/>
              </w:rPr>
              <w:lastRenderedPageBreak/>
              <w:t>Impact of the activity on the achievement of the objective</w:t>
            </w:r>
          </w:p>
        </w:tc>
        <w:tc>
          <w:tcPr>
            <w:tcW w:w="5743" w:type="dxa"/>
          </w:tcPr>
          <w:p w14:paraId="65A2D21B" w14:textId="6CD9E9B1" w:rsidR="00B50170" w:rsidRPr="00F07779" w:rsidRDefault="00B50170" w:rsidP="00B50170">
            <w:pPr>
              <w:rPr>
                <w:sz w:val="20"/>
                <w:szCs w:val="20"/>
              </w:rPr>
            </w:pPr>
            <w:r w:rsidRPr="00F07779">
              <w:rPr>
                <w:sz w:val="20"/>
                <w:szCs w:val="20"/>
              </w:rPr>
              <w:t>Secure supply of oil derivates:</w:t>
            </w:r>
          </w:p>
          <w:p w14:paraId="214DC2B7" w14:textId="1CAF8C5B" w:rsidR="008332FF" w:rsidRPr="00F07779" w:rsidRDefault="00B50170" w:rsidP="00B50170">
            <w:pPr>
              <w:rPr>
                <w:sz w:val="20"/>
                <w:szCs w:val="20"/>
              </w:rPr>
            </w:pPr>
            <w:r w:rsidRPr="00F07779">
              <w:rPr>
                <w:sz w:val="20"/>
                <w:szCs w:val="20"/>
              </w:rPr>
              <w:t>Planned investments fully implemented (100%).</w:t>
            </w:r>
          </w:p>
        </w:tc>
      </w:tr>
      <w:tr w:rsidR="008332FF" w:rsidRPr="00F07779" w14:paraId="3151333B" w14:textId="77777777" w:rsidTr="00712ED3">
        <w:tc>
          <w:tcPr>
            <w:tcW w:w="2972" w:type="dxa"/>
          </w:tcPr>
          <w:p w14:paraId="3D12D63B" w14:textId="33447B6F" w:rsidR="008332FF" w:rsidRPr="00F07779" w:rsidRDefault="008332FF" w:rsidP="008332FF">
            <w:pPr>
              <w:rPr>
                <w:sz w:val="20"/>
                <w:szCs w:val="20"/>
              </w:rPr>
            </w:pPr>
            <w:r w:rsidRPr="00F07779">
              <w:rPr>
                <w:sz w:val="20"/>
                <w:szCs w:val="20"/>
              </w:rPr>
              <w:t>Impact on EE, climate, and environmental protection</w:t>
            </w:r>
          </w:p>
        </w:tc>
        <w:tc>
          <w:tcPr>
            <w:tcW w:w="5743" w:type="dxa"/>
          </w:tcPr>
          <w:p w14:paraId="16B177E4" w14:textId="229169D3" w:rsidR="008332FF" w:rsidRPr="00F07779" w:rsidRDefault="008332FF" w:rsidP="008332FF">
            <w:pPr>
              <w:rPr>
                <w:sz w:val="20"/>
                <w:szCs w:val="20"/>
              </w:rPr>
            </w:pPr>
            <w:r w:rsidRPr="00F07779">
              <w:rPr>
                <w:sz w:val="20"/>
                <w:szCs w:val="20"/>
              </w:rPr>
              <w:t>Direct impact on environmental protection as the construction of the temporary hazardous waste storage prevents environmental pollution. The impact of furnace replacement on energy efficiency, climate, and environmental protection will be addressed in the project documentation.</w:t>
            </w:r>
          </w:p>
        </w:tc>
      </w:tr>
    </w:tbl>
    <w:p w14:paraId="13272A44" w14:textId="77777777" w:rsidR="00DD3E09" w:rsidRPr="00F07779" w:rsidRDefault="00DD3E09" w:rsidP="00DD3E09"/>
    <w:p w14:paraId="6F650606" w14:textId="10EA1E2A" w:rsidR="00082A9C" w:rsidRPr="00F07779" w:rsidRDefault="00082A9C" w:rsidP="001657EE">
      <w:r w:rsidRPr="00F07779">
        <w:t xml:space="preserve">Table 5.6.5-1: </w:t>
      </w:r>
      <w:r w:rsidR="001103A3" w:rsidRPr="00F07779">
        <w:t xml:space="preserve">Activities for the implementation of measure </w:t>
      </w:r>
      <w:r w:rsidRPr="00F07779">
        <w:t>N3 – N3.1</w:t>
      </w:r>
    </w:p>
    <w:tbl>
      <w:tblPr>
        <w:tblStyle w:val="TableGrid"/>
        <w:tblW w:w="8715" w:type="dxa"/>
        <w:tblLook w:val="04A0" w:firstRow="1" w:lastRow="0" w:firstColumn="1" w:lastColumn="0" w:noHBand="0" w:noVBand="1"/>
      </w:tblPr>
      <w:tblGrid>
        <w:gridCol w:w="2972"/>
        <w:gridCol w:w="5743"/>
      </w:tblGrid>
      <w:tr w:rsidR="00082A9C" w:rsidRPr="00F07779" w14:paraId="5E256025" w14:textId="77777777" w:rsidTr="00712ED3">
        <w:tc>
          <w:tcPr>
            <w:tcW w:w="2972" w:type="dxa"/>
            <w:shd w:val="clear" w:color="auto" w:fill="D9D9D9" w:themeFill="background1" w:themeFillShade="D9"/>
          </w:tcPr>
          <w:p w14:paraId="3B95383A" w14:textId="77777777" w:rsidR="00082A9C" w:rsidRPr="00F07779" w:rsidRDefault="00082A9C" w:rsidP="00712ED3">
            <w:pPr>
              <w:rPr>
                <w:sz w:val="20"/>
                <w:szCs w:val="20"/>
              </w:rPr>
            </w:pPr>
            <w:r w:rsidRPr="00F07779">
              <w:rPr>
                <w:sz w:val="20"/>
                <w:szCs w:val="20"/>
              </w:rPr>
              <w:t>Activity N1.1</w:t>
            </w:r>
          </w:p>
        </w:tc>
        <w:tc>
          <w:tcPr>
            <w:tcW w:w="5743" w:type="dxa"/>
            <w:shd w:val="clear" w:color="auto" w:fill="D9D9D9" w:themeFill="background1" w:themeFillShade="D9"/>
          </w:tcPr>
          <w:p w14:paraId="669ADD36" w14:textId="2E444EDE" w:rsidR="00082A9C" w:rsidRPr="00F07779" w:rsidRDefault="00082A9C" w:rsidP="00712ED3">
            <w:pPr>
              <w:rPr>
                <w:sz w:val="20"/>
                <w:szCs w:val="20"/>
              </w:rPr>
            </w:pPr>
            <w:r w:rsidRPr="00F07779">
              <w:rPr>
                <w:sz w:val="20"/>
                <w:szCs w:val="20"/>
              </w:rPr>
              <w:t>Oil Pipeline Border Hungary – Novi Sad</w:t>
            </w:r>
          </w:p>
        </w:tc>
      </w:tr>
      <w:tr w:rsidR="00082A9C" w:rsidRPr="00F07779" w14:paraId="67F35DE0" w14:textId="77777777" w:rsidTr="00712ED3">
        <w:tc>
          <w:tcPr>
            <w:tcW w:w="2972" w:type="dxa"/>
          </w:tcPr>
          <w:p w14:paraId="5AE64B20" w14:textId="77777777" w:rsidR="00082A9C" w:rsidRPr="00F07779" w:rsidRDefault="00082A9C" w:rsidP="00712ED3">
            <w:pPr>
              <w:rPr>
                <w:sz w:val="20"/>
                <w:szCs w:val="20"/>
              </w:rPr>
            </w:pPr>
            <w:r w:rsidRPr="00F07779">
              <w:rPr>
                <w:sz w:val="20"/>
                <w:szCs w:val="20"/>
              </w:rPr>
              <w:t>Description</w:t>
            </w:r>
          </w:p>
        </w:tc>
        <w:tc>
          <w:tcPr>
            <w:tcW w:w="5743" w:type="dxa"/>
          </w:tcPr>
          <w:p w14:paraId="4FDCE2BD" w14:textId="3E44FBDE" w:rsidR="00082A9C" w:rsidRPr="00F07779" w:rsidRDefault="00082A9C" w:rsidP="00712ED3">
            <w:pPr>
              <w:rPr>
                <w:sz w:val="20"/>
                <w:szCs w:val="20"/>
              </w:rPr>
            </w:pPr>
            <w:r w:rsidRPr="00F07779">
              <w:rPr>
                <w:sz w:val="20"/>
                <w:szCs w:val="20"/>
              </w:rPr>
              <w:t xml:space="preserve">Construction of the oil pipeline along the route </w:t>
            </w:r>
            <w:proofErr w:type="spellStart"/>
            <w:r w:rsidRPr="00F07779">
              <w:rPr>
                <w:sz w:val="20"/>
                <w:szCs w:val="20"/>
              </w:rPr>
              <w:t>Szazalombatta</w:t>
            </w:r>
            <w:proofErr w:type="spellEnd"/>
            <w:r w:rsidRPr="00F07779">
              <w:rPr>
                <w:sz w:val="20"/>
                <w:szCs w:val="20"/>
              </w:rPr>
              <w:t xml:space="preserve"> – </w:t>
            </w:r>
            <w:proofErr w:type="spellStart"/>
            <w:r w:rsidRPr="00F07779">
              <w:rPr>
                <w:sz w:val="20"/>
                <w:szCs w:val="20"/>
              </w:rPr>
              <w:t>Algyo</w:t>
            </w:r>
            <w:proofErr w:type="spellEnd"/>
            <w:r w:rsidRPr="00F07779">
              <w:rPr>
                <w:sz w:val="20"/>
                <w:szCs w:val="20"/>
              </w:rPr>
              <w:t xml:space="preserve"> – </w:t>
            </w:r>
            <w:proofErr w:type="spellStart"/>
            <w:r w:rsidRPr="00F07779">
              <w:rPr>
                <w:sz w:val="20"/>
                <w:szCs w:val="20"/>
              </w:rPr>
              <w:t>Roszke</w:t>
            </w:r>
            <w:proofErr w:type="spellEnd"/>
            <w:r w:rsidRPr="00F07779">
              <w:rPr>
                <w:sz w:val="20"/>
                <w:szCs w:val="20"/>
              </w:rPr>
              <w:t xml:space="preserve"> – Novi Sad, with an annual transport capacity of 5.5 million tons. The length of the pipeline on the Serbian side is 113 km. The pipeline is intended to provide a connection with the international Druzhba pipeline and other Eurasian oil pipelines.</w:t>
            </w:r>
          </w:p>
        </w:tc>
      </w:tr>
      <w:tr w:rsidR="00082A9C" w:rsidRPr="00F07779" w14:paraId="0D835B71" w14:textId="77777777" w:rsidTr="00712ED3">
        <w:tc>
          <w:tcPr>
            <w:tcW w:w="2972" w:type="dxa"/>
          </w:tcPr>
          <w:p w14:paraId="7E6545D2" w14:textId="77777777" w:rsidR="00082A9C" w:rsidRPr="00F07779" w:rsidRDefault="00082A9C" w:rsidP="00712ED3">
            <w:pPr>
              <w:rPr>
                <w:sz w:val="20"/>
                <w:szCs w:val="20"/>
              </w:rPr>
            </w:pPr>
            <w:r w:rsidRPr="00F07779">
              <w:rPr>
                <w:sz w:val="20"/>
                <w:szCs w:val="20"/>
              </w:rPr>
              <w:t>Institutions responsible for implementing measures and activities</w:t>
            </w:r>
          </w:p>
        </w:tc>
        <w:tc>
          <w:tcPr>
            <w:tcW w:w="5743" w:type="dxa"/>
          </w:tcPr>
          <w:p w14:paraId="0E347544" w14:textId="08808474" w:rsidR="00082A9C" w:rsidRPr="00F07779" w:rsidRDefault="00082A9C" w:rsidP="00712ED3">
            <w:pPr>
              <w:rPr>
                <w:sz w:val="20"/>
                <w:szCs w:val="20"/>
              </w:rPr>
            </w:pPr>
            <w:r w:rsidRPr="00F07779">
              <w:rPr>
                <w:sz w:val="20"/>
                <w:szCs w:val="20"/>
              </w:rPr>
              <w:t xml:space="preserve">Transnafta </w:t>
            </w:r>
            <w:r w:rsidR="006478CB" w:rsidRPr="00F07779">
              <w:rPr>
                <w:sz w:val="20"/>
                <w:szCs w:val="20"/>
              </w:rPr>
              <w:t>JSC</w:t>
            </w:r>
          </w:p>
        </w:tc>
      </w:tr>
      <w:tr w:rsidR="00082A9C" w:rsidRPr="00F07779" w14:paraId="20F36B24" w14:textId="77777777" w:rsidTr="00712ED3">
        <w:tc>
          <w:tcPr>
            <w:tcW w:w="2972" w:type="dxa"/>
          </w:tcPr>
          <w:p w14:paraId="0357B833" w14:textId="1794A9FB" w:rsidR="00082A9C" w:rsidRPr="00F07779" w:rsidRDefault="008332FF" w:rsidP="00712ED3">
            <w:pPr>
              <w:rPr>
                <w:sz w:val="20"/>
                <w:szCs w:val="20"/>
              </w:rPr>
            </w:pPr>
            <w:r w:rsidRPr="00F07779">
              <w:rPr>
                <w:sz w:val="20"/>
                <w:szCs w:val="20"/>
              </w:rPr>
              <w:t>Institutions responsible for monitoring implementation and reporting on realization</w:t>
            </w:r>
          </w:p>
        </w:tc>
        <w:tc>
          <w:tcPr>
            <w:tcW w:w="5743" w:type="dxa"/>
          </w:tcPr>
          <w:p w14:paraId="57422E34" w14:textId="19444118" w:rsidR="00082A9C" w:rsidRPr="00F07779" w:rsidRDefault="00082A9C" w:rsidP="00712ED3">
            <w:pPr>
              <w:rPr>
                <w:sz w:val="20"/>
                <w:szCs w:val="20"/>
              </w:rPr>
            </w:pPr>
            <w:r w:rsidRPr="00F07779">
              <w:rPr>
                <w:sz w:val="20"/>
                <w:szCs w:val="20"/>
              </w:rPr>
              <w:t xml:space="preserve">Transnafta </w:t>
            </w:r>
            <w:r w:rsidR="006478CB" w:rsidRPr="00F07779">
              <w:rPr>
                <w:sz w:val="20"/>
                <w:szCs w:val="20"/>
              </w:rPr>
              <w:t>JSC</w:t>
            </w:r>
            <w:r w:rsidRPr="00F07779">
              <w:rPr>
                <w:sz w:val="20"/>
                <w:szCs w:val="20"/>
              </w:rPr>
              <w:br/>
              <w:t xml:space="preserve">Ministry of </w:t>
            </w:r>
            <w:r w:rsidR="006478CB" w:rsidRPr="00F07779">
              <w:rPr>
                <w:sz w:val="20"/>
                <w:szCs w:val="20"/>
              </w:rPr>
              <w:t>M</w:t>
            </w:r>
            <w:r w:rsidRPr="00F07779">
              <w:rPr>
                <w:sz w:val="20"/>
                <w:szCs w:val="20"/>
              </w:rPr>
              <w:t xml:space="preserve">ining and </w:t>
            </w:r>
            <w:r w:rsidR="006478CB" w:rsidRPr="00F07779">
              <w:rPr>
                <w:sz w:val="20"/>
                <w:szCs w:val="20"/>
              </w:rPr>
              <w:t>E</w:t>
            </w:r>
            <w:r w:rsidRPr="00F07779">
              <w:rPr>
                <w:sz w:val="20"/>
                <w:szCs w:val="20"/>
              </w:rPr>
              <w:t>nergy</w:t>
            </w:r>
          </w:p>
        </w:tc>
      </w:tr>
      <w:tr w:rsidR="00082A9C" w:rsidRPr="00F07779" w14:paraId="7839B5A8" w14:textId="77777777" w:rsidTr="00712ED3">
        <w:tc>
          <w:tcPr>
            <w:tcW w:w="2972" w:type="dxa"/>
          </w:tcPr>
          <w:p w14:paraId="35620D49" w14:textId="77777777" w:rsidR="00082A9C" w:rsidRPr="00F07779" w:rsidRDefault="00082A9C" w:rsidP="00712ED3">
            <w:pPr>
              <w:rPr>
                <w:sz w:val="20"/>
                <w:szCs w:val="20"/>
              </w:rPr>
            </w:pPr>
            <w:r w:rsidRPr="00F07779">
              <w:rPr>
                <w:sz w:val="20"/>
                <w:szCs w:val="20"/>
              </w:rPr>
              <w:t>Deadline for implementation</w:t>
            </w:r>
          </w:p>
        </w:tc>
        <w:tc>
          <w:tcPr>
            <w:tcW w:w="5743" w:type="dxa"/>
          </w:tcPr>
          <w:p w14:paraId="0DA46EC2" w14:textId="6C229C47" w:rsidR="00082A9C" w:rsidRPr="00F07779" w:rsidRDefault="00082A9C" w:rsidP="00712ED3">
            <w:pPr>
              <w:rPr>
                <w:sz w:val="20"/>
                <w:szCs w:val="20"/>
              </w:rPr>
            </w:pPr>
            <w:r w:rsidRPr="00F07779">
              <w:rPr>
                <w:sz w:val="20"/>
                <w:szCs w:val="20"/>
              </w:rPr>
              <w:t>2027.</w:t>
            </w:r>
          </w:p>
        </w:tc>
      </w:tr>
      <w:tr w:rsidR="00082A9C" w:rsidRPr="00F07779" w14:paraId="0F3BF614" w14:textId="77777777" w:rsidTr="00712ED3">
        <w:tc>
          <w:tcPr>
            <w:tcW w:w="2972" w:type="dxa"/>
          </w:tcPr>
          <w:p w14:paraId="58FADC2D" w14:textId="77777777" w:rsidR="00082A9C" w:rsidRPr="00F07779" w:rsidRDefault="00082A9C" w:rsidP="00712ED3">
            <w:pPr>
              <w:rPr>
                <w:sz w:val="20"/>
                <w:szCs w:val="20"/>
              </w:rPr>
            </w:pPr>
            <w:r w:rsidRPr="00F07779">
              <w:rPr>
                <w:sz w:val="20"/>
                <w:szCs w:val="20"/>
              </w:rPr>
              <w:t>Required funds and source of financing</w:t>
            </w:r>
          </w:p>
        </w:tc>
        <w:tc>
          <w:tcPr>
            <w:tcW w:w="5743" w:type="dxa"/>
          </w:tcPr>
          <w:p w14:paraId="2ADD84CA" w14:textId="15A8383B" w:rsidR="00082A9C" w:rsidRPr="00F07779" w:rsidRDefault="00082A9C" w:rsidP="00712ED3">
            <w:pPr>
              <w:rPr>
                <w:sz w:val="20"/>
                <w:szCs w:val="20"/>
              </w:rPr>
            </w:pPr>
            <w:r w:rsidRPr="00F07779">
              <w:rPr>
                <w:sz w:val="20"/>
                <w:szCs w:val="20"/>
              </w:rPr>
              <w:t>156 million EUR (18</w:t>
            </w:r>
            <w:r w:rsidR="00B50170" w:rsidRPr="00F07779">
              <w:rPr>
                <w:sz w:val="20"/>
                <w:szCs w:val="20"/>
              </w:rPr>
              <w:t>,</w:t>
            </w:r>
            <w:r w:rsidRPr="00F07779">
              <w:rPr>
                <w:sz w:val="20"/>
                <w:szCs w:val="20"/>
              </w:rPr>
              <w:t xml:space="preserve">291 </w:t>
            </w:r>
            <w:r w:rsidR="006478CB" w:rsidRPr="00F07779">
              <w:rPr>
                <w:sz w:val="20"/>
                <w:szCs w:val="20"/>
              </w:rPr>
              <w:t>m</w:t>
            </w:r>
            <w:r w:rsidRPr="00F07779">
              <w:rPr>
                <w:sz w:val="20"/>
                <w:szCs w:val="20"/>
              </w:rPr>
              <w:t>illion RSD)</w:t>
            </w:r>
            <w:r w:rsidRPr="00F07779">
              <w:rPr>
                <w:sz w:val="20"/>
                <w:szCs w:val="20"/>
              </w:rPr>
              <w:br/>
              <w:t>Budget of the Republic of Serbia and funds from commercial bank loans</w:t>
            </w:r>
          </w:p>
        </w:tc>
      </w:tr>
      <w:tr w:rsidR="00202871" w:rsidRPr="00F07779" w14:paraId="0138C1E4" w14:textId="77777777" w:rsidTr="00712ED3">
        <w:tc>
          <w:tcPr>
            <w:tcW w:w="2972" w:type="dxa"/>
          </w:tcPr>
          <w:p w14:paraId="297A91AF" w14:textId="0A56A4D6" w:rsidR="00202871" w:rsidRPr="00F07779" w:rsidRDefault="00202871" w:rsidP="00202871">
            <w:pPr>
              <w:rPr>
                <w:sz w:val="20"/>
                <w:szCs w:val="20"/>
              </w:rPr>
            </w:pPr>
            <w:r w:rsidRPr="00F07779">
              <w:rPr>
                <w:sz w:val="20"/>
                <w:szCs w:val="20"/>
              </w:rPr>
              <w:t>Spent by 2026.</w:t>
            </w:r>
          </w:p>
        </w:tc>
        <w:tc>
          <w:tcPr>
            <w:tcW w:w="5743" w:type="dxa"/>
          </w:tcPr>
          <w:p w14:paraId="5E33B878" w14:textId="37840FC3" w:rsidR="00202871" w:rsidRPr="00F07779" w:rsidRDefault="00B50170" w:rsidP="00202871">
            <w:pPr>
              <w:rPr>
                <w:sz w:val="20"/>
                <w:szCs w:val="20"/>
              </w:rPr>
            </w:pPr>
            <w:r w:rsidRPr="00F07779">
              <w:rPr>
                <w:sz w:val="20"/>
                <w:szCs w:val="20"/>
              </w:rPr>
              <w:t>3.537</w:t>
            </w:r>
            <w:r w:rsidR="00202871" w:rsidRPr="00F07779">
              <w:rPr>
                <w:sz w:val="20"/>
                <w:szCs w:val="20"/>
              </w:rPr>
              <w:t xml:space="preserve"> mil. EUR</w:t>
            </w:r>
            <w:r w:rsidRPr="00F07779">
              <w:rPr>
                <w:sz w:val="20"/>
                <w:szCs w:val="20"/>
              </w:rPr>
              <w:t xml:space="preserve"> (414.7 million RSD)</w:t>
            </w:r>
          </w:p>
        </w:tc>
      </w:tr>
      <w:tr w:rsidR="00202871" w:rsidRPr="00F07779" w14:paraId="3A0D1563" w14:textId="77777777" w:rsidTr="00712ED3">
        <w:tc>
          <w:tcPr>
            <w:tcW w:w="2972" w:type="dxa"/>
          </w:tcPr>
          <w:p w14:paraId="4EA5E9A9" w14:textId="38FE49A2" w:rsidR="00202871" w:rsidRPr="00F07779" w:rsidRDefault="00202871" w:rsidP="00202871">
            <w:pPr>
              <w:rPr>
                <w:sz w:val="20"/>
                <w:szCs w:val="20"/>
              </w:rPr>
            </w:pPr>
            <w:r w:rsidRPr="00F07779">
              <w:rPr>
                <w:sz w:val="20"/>
                <w:szCs w:val="20"/>
              </w:rPr>
              <w:t>2026.</w:t>
            </w:r>
          </w:p>
        </w:tc>
        <w:tc>
          <w:tcPr>
            <w:tcW w:w="5743" w:type="dxa"/>
          </w:tcPr>
          <w:p w14:paraId="4E01E723" w14:textId="7DEFA09D" w:rsidR="00202871" w:rsidRPr="00F07779" w:rsidRDefault="008B2A7B" w:rsidP="00202871">
            <w:pPr>
              <w:rPr>
                <w:sz w:val="20"/>
                <w:szCs w:val="20"/>
              </w:rPr>
            </w:pPr>
            <w:r w:rsidRPr="00F07779">
              <w:rPr>
                <w:sz w:val="20"/>
                <w:szCs w:val="20"/>
              </w:rPr>
              <w:t>117</w:t>
            </w:r>
            <w:r w:rsidR="006478CB" w:rsidRPr="00F07779">
              <w:rPr>
                <w:sz w:val="20"/>
                <w:szCs w:val="20"/>
              </w:rPr>
              <w:t>.</w:t>
            </w:r>
            <w:r w:rsidR="00202871" w:rsidRPr="00F07779">
              <w:rPr>
                <w:sz w:val="20"/>
                <w:szCs w:val="20"/>
              </w:rPr>
              <w:t>8</w:t>
            </w:r>
            <w:r w:rsidRPr="00F07779">
              <w:rPr>
                <w:sz w:val="20"/>
                <w:szCs w:val="20"/>
              </w:rPr>
              <w:t>12</w:t>
            </w:r>
            <w:r w:rsidR="00202871" w:rsidRPr="00F07779">
              <w:rPr>
                <w:sz w:val="20"/>
                <w:szCs w:val="20"/>
              </w:rPr>
              <w:t xml:space="preserve"> mil. EUR</w:t>
            </w:r>
            <w:r w:rsidR="00B50170" w:rsidRPr="00F07779">
              <w:rPr>
                <w:sz w:val="20"/>
                <w:szCs w:val="20"/>
              </w:rPr>
              <w:t xml:space="preserve"> (13,813.5 million RSD)</w:t>
            </w:r>
          </w:p>
        </w:tc>
      </w:tr>
      <w:tr w:rsidR="00202871" w:rsidRPr="00F07779" w14:paraId="71A07AF0" w14:textId="77777777" w:rsidTr="00712ED3">
        <w:tc>
          <w:tcPr>
            <w:tcW w:w="2972" w:type="dxa"/>
          </w:tcPr>
          <w:p w14:paraId="4A31CDA2" w14:textId="0E5BA5EB" w:rsidR="00202871" w:rsidRPr="00F07779" w:rsidRDefault="00202871" w:rsidP="00202871">
            <w:pPr>
              <w:rPr>
                <w:sz w:val="20"/>
                <w:szCs w:val="20"/>
              </w:rPr>
            </w:pPr>
            <w:r w:rsidRPr="00F07779">
              <w:rPr>
                <w:sz w:val="20"/>
                <w:szCs w:val="20"/>
              </w:rPr>
              <w:t>2027.</w:t>
            </w:r>
          </w:p>
        </w:tc>
        <w:tc>
          <w:tcPr>
            <w:tcW w:w="5743" w:type="dxa"/>
          </w:tcPr>
          <w:p w14:paraId="73AA9198" w14:textId="33768047" w:rsidR="00202871" w:rsidRPr="00F07779" w:rsidRDefault="00202871" w:rsidP="00202871">
            <w:pPr>
              <w:rPr>
                <w:sz w:val="20"/>
                <w:szCs w:val="20"/>
              </w:rPr>
            </w:pPr>
            <w:r w:rsidRPr="00F07779">
              <w:rPr>
                <w:sz w:val="20"/>
                <w:szCs w:val="20"/>
              </w:rPr>
              <w:t>34</w:t>
            </w:r>
            <w:r w:rsidR="006478CB" w:rsidRPr="00F07779">
              <w:rPr>
                <w:sz w:val="20"/>
                <w:szCs w:val="20"/>
              </w:rPr>
              <w:t>.</w:t>
            </w:r>
            <w:r w:rsidRPr="00F07779">
              <w:rPr>
                <w:sz w:val="20"/>
                <w:szCs w:val="20"/>
              </w:rPr>
              <w:t>651 mil. EUR</w:t>
            </w:r>
            <w:r w:rsidR="00B50170" w:rsidRPr="00F07779">
              <w:rPr>
                <w:sz w:val="20"/>
                <w:szCs w:val="20"/>
              </w:rPr>
              <w:t xml:space="preserve"> (4,062.8 million RSD)</w:t>
            </w:r>
          </w:p>
        </w:tc>
      </w:tr>
      <w:tr w:rsidR="00082A9C" w:rsidRPr="00F07779" w14:paraId="126344D7" w14:textId="77777777" w:rsidTr="00712ED3">
        <w:tc>
          <w:tcPr>
            <w:tcW w:w="2972" w:type="dxa"/>
          </w:tcPr>
          <w:p w14:paraId="0A5C15B1" w14:textId="77777777" w:rsidR="00082A9C" w:rsidRPr="00F07779" w:rsidRDefault="00082A9C" w:rsidP="00712ED3">
            <w:pPr>
              <w:rPr>
                <w:sz w:val="20"/>
                <w:szCs w:val="20"/>
              </w:rPr>
            </w:pPr>
            <w:r w:rsidRPr="00F07779">
              <w:rPr>
                <w:sz w:val="20"/>
                <w:szCs w:val="20"/>
              </w:rPr>
              <w:t>Implementation indicator</w:t>
            </w:r>
          </w:p>
        </w:tc>
        <w:tc>
          <w:tcPr>
            <w:tcW w:w="5743" w:type="dxa"/>
          </w:tcPr>
          <w:p w14:paraId="09B8D22A" w14:textId="58ED9A68" w:rsidR="00082A9C" w:rsidRPr="00F07779" w:rsidRDefault="00082A9C" w:rsidP="00712ED3">
            <w:pPr>
              <w:rPr>
                <w:sz w:val="20"/>
                <w:szCs w:val="20"/>
              </w:rPr>
            </w:pPr>
            <w:r w:rsidRPr="00F07779">
              <w:rPr>
                <w:sz w:val="20"/>
                <w:szCs w:val="20"/>
              </w:rPr>
              <w:t>Implementation Phase</w:t>
            </w:r>
            <w:r w:rsidR="006478CB" w:rsidRPr="00F07779">
              <w:rPr>
                <w:sz w:val="20"/>
                <w:szCs w:val="20"/>
              </w:rPr>
              <w:t xml:space="preserve"> </w:t>
            </w:r>
            <w:r w:rsidRPr="00F07779">
              <w:rPr>
                <w:sz w:val="20"/>
                <w:szCs w:val="20"/>
              </w:rPr>
              <w:t>(</w:t>
            </w:r>
            <w:r w:rsidR="002D0F6A" w:rsidRPr="00F07779">
              <w:rPr>
                <w:sz w:val="20"/>
                <w:szCs w:val="20"/>
              </w:rPr>
              <w:t>preparation of the spatial plan for the special-purpose area, preparation of project-technical documentation, construction permit project and construction permit, preparation of tender documentation, execution project, construction, commissioning</w:t>
            </w:r>
            <w:r w:rsidRPr="00F07779">
              <w:rPr>
                <w:sz w:val="20"/>
                <w:szCs w:val="20"/>
              </w:rPr>
              <w:t>)</w:t>
            </w:r>
          </w:p>
        </w:tc>
      </w:tr>
      <w:tr w:rsidR="008332FF" w:rsidRPr="00F07779" w14:paraId="5A643CBA" w14:textId="77777777" w:rsidTr="00712ED3">
        <w:tc>
          <w:tcPr>
            <w:tcW w:w="2972" w:type="dxa"/>
          </w:tcPr>
          <w:p w14:paraId="0554ACB3" w14:textId="095629D2" w:rsidR="008332FF" w:rsidRPr="00F07779" w:rsidRDefault="008332FF" w:rsidP="008332FF">
            <w:pPr>
              <w:rPr>
                <w:sz w:val="20"/>
                <w:szCs w:val="20"/>
              </w:rPr>
            </w:pPr>
            <w:r w:rsidRPr="00F07779">
              <w:rPr>
                <w:sz w:val="20"/>
                <w:szCs w:val="20"/>
              </w:rPr>
              <w:t>Impact of the activity on the achievement of the objective</w:t>
            </w:r>
          </w:p>
        </w:tc>
        <w:tc>
          <w:tcPr>
            <w:tcW w:w="5743" w:type="dxa"/>
          </w:tcPr>
          <w:p w14:paraId="1C71F22C" w14:textId="6CF1A390" w:rsidR="008332FF" w:rsidRPr="00F07779" w:rsidRDefault="008332FF" w:rsidP="008332FF">
            <w:pPr>
              <w:rPr>
                <w:sz w:val="20"/>
                <w:szCs w:val="20"/>
              </w:rPr>
            </w:pPr>
            <w:r w:rsidRPr="00F07779">
              <w:rPr>
                <w:sz w:val="20"/>
                <w:szCs w:val="20"/>
              </w:rPr>
              <w:t>Secure supply of the domestic market with oil and oil derivatives:</w:t>
            </w:r>
            <w:r w:rsidRPr="00F07779">
              <w:rPr>
                <w:sz w:val="20"/>
                <w:szCs w:val="20"/>
              </w:rPr>
              <w:br/>
            </w:r>
            <w:r w:rsidR="00B50170" w:rsidRPr="00F07779">
              <w:rPr>
                <w:sz w:val="20"/>
                <w:szCs w:val="20"/>
              </w:rPr>
              <w:t>Planned investments fully implemented (100%).</w:t>
            </w:r>
          </w:p>
        </w:tc>
      </w:tr>
      <w:tr w:rsidR="008332FF" w:rsidRPr="00F07779" w14:paraId="3C12DA93" w14:textId="77777777" w:rsidTr="00712ED3">
        <w:tc>
          <w:tcPr>
            <w:tcW w:w="2972" w:type="dxa"/>
          </w:tcPr>
          <w:p w14:paraId="527A94FE" w14:textId="76572C94" w:rsidR="008332FF" w:rsidRPr="00F07779" w:rsidRDefault="008332FF" w:rsidP="008332FF">
            <w:pPr>
              <w:rPr>
                <w:sz w:val="20"/>
                <w:szCs w:val="20"/>
              </w:rPr>
            </w:pPr>
            <w:r w:rsidRPr="00F07779">
              <w:rPr>
                <w:sz w:val="20"/>
                <w:szCs w:val="20"/>
              </w:rPr>
              <w:t>Impact on EE, climate, and environmental protection</w:t>
            </w:r>
          </w:p>
        </w:tc>
        <w:tc>
          <w:tcPr>
            <w:tcW w:w="5743" w:type="dxa"/>
          </w:tcPr>
          <w:p w14:paraId="43B2C3EB" w14:textId="28A14962" w:rsidR="008332FF" w:rsidRPr="00F07779" w:rsidRDefault="008332FF" w:rsidP="008332FF">
            <w:pPr>
              <w:rPr>
                <w:sz w:val="20"/>
                <w:szCs w:val="20"/>
              </w:rPr>
            </w:pPr>
            <w:r w:rsidRPr="00F07779">
              <w:rPr>
                <w:sz w:val="20"/>
                <w:szCs w:val="20"/>
              </w:rPr>
              <w:t>No direct impact since oil has already been transported by pipeline.</w:t>
            </w:r>
          </w:p>
        </w:tc>
      </w:tr>
    </w:tbl>
    <w:p w14:paraId="7268DA8D" w14:textId="77777777" w:rsidR="00082A9C" w:rsidRPr="00F07779" w:rsidRDefault="00082A9C" w:rsidP="001657EE"/>
    <w:p w14:paraId="1AE906E6" w14:textId="29D3BF5F" w:rsidR="003946A9" w:rsidRPr="00F07779" w:rsidRDefault="003946A9" w:rsidP="001657EE">
      <w:r w:rsidRPr="00F07779">
        <w:t xml:space="preserve">Table 5.6.5-1: </w:t>
      </w:r>
      <w:r w:rsidR="001103A3" w:rsidRPr="00F07779">
        <w:t xml:space="preserve">Activities for the implementation of measure </w:t>
      </w:r>
      <w:r w:rsidRPr="00F07779">
        <w:t>N3 – N3.2</w:t>
      </w:r>
    </w:p>
    <w:tbl>
      <w:tblPr>
        <w:tblStyle w:val="TableGrid"/>
        <w:tblW w:w="8715" w:type="dxa"/>
        <w:tblLook w:val="04A0" w:firstRow="1" w:lastRow="0" w:firstColumn="1" w:lastColumn="0" w:noHBand="0" w:noVBand="1"/>
      </w:tblPr>
      <w:tblGrid>
        <w:gridCol w:w="2972"/>
        <w:gridCol w:w="5743"/>
      </w:tblGrid>
      <w:tr w:rsidR="003946A9" w:rsidRPr="00F07779" w14:paraId="5E914C7B" w14:textId="77777777" w:rsidTr="00712ED3">
        <w:tc>
          <w:tcPr>
            <w:tcW w:w="2972" w:type="dxa"/>
            <w:shd w:val="clear" w:color="auto" w:fill="D9D9D9" w:themeFill="background1" w:themeFillShade="D9"/>
          </w:tcPr>
          <w:p w14:paraId="22DDC8BB" w14:textId="77777777" w:rsidR="003946A9" w:rsidRPr="00F07779" w:rsidRDefault="003946A9" w:rsidP="00712ED3">
            <w:pPr>
              <w:rPr>
                <w:sz w:val="20"/>
                <w:szCs w:val="20"/>
              </w:rPr>
            </w:pPr>
            <w:r w:rsidRPr="00F07779">
              <w:rPr>
                <w:sz w:val="20"/>
                <w:szCs w:val="20"/>
              </w:rPr>
              <w:t>Activity N2.1</w:t>
            </w:r>
          </w:p>
        </w:tc>
        <w:tc>
          <w:tcPr>
            <w:tcW w:w="5743" w:type="dxa"/>
            <w:shd w:val="clear" w:color="auto" w:fill="D9D9D9" w:themeFill="background1" w:themeFillShade="D9"/>
          </w:tcPr>
          <w:p w14:paraId="316A8587" w14:textId="7A16870C" w:rsidR="003946A9" w:rsidRPr="00F07779" w:rsidRDefault="003946A9" w:rsidP="00712ED3">
            <w:pPr>
              <w:rPr>
                <w:sz w:val="20"/>
                <w:szCs w:val="20"/>
              </w:rPr>
            </w:pPr>
            <w:r w:rsidRPr="00F07779">
              <w:rPr>
                <w:sz w:val="20"/>
                <w:szCs w:val="20"/>
              </w:rPr>
              <w:t>Construction of the Product Pipeline System through Serbia</w:t>
            </w:r>
          </w:p>
        </w:tc>
      </w:tr>
      <w:tr w:rsidR="003946A9" w:rsidRPr="00F07779" w14:paraId="79D49446" w14:textId="77777777" w:rsidTr="00712ED3">
        <w:tc>
          <w:tcPr>
            <w:tcW w:w="2972" w:type="dxa"/>
          </w:tcPr>
          <w:p w14:paraId="072FEC9E" w14:textId="77777777" w:rsidR="003946A9" w:rsidRPr="00F07779" w:rsidRDefault="003946A9" w:rsidP="00712ED3">
            <w:pPr>
              <w:rPr>
                <w:sz w:val="20"/>
                <w:szCs w:val="20"/>
              </w:rPr>
            </w:pPr>
            <w:r w:rsidRPr="00F07779">
              <w:rPr>
                <w:sz w:val="20"/>
                <w:szCs w:val="20"/>
              </w:rPr>
              <w:t>Description</w:t>
            </w:r>
          </w:p>
        </w:tc>
        <w:tc>
          <w:tcPr>
            <w:tcW w:w="5743" w:type="dxa"/>
          </w:tcPr>
          <w:p w14:paraId="2D7CA619" w14:textId="75CB3B6A" w:rsidR="003946A9" w:rsidRPr="00F07779" w:rsidRDefault="003946A9" w:rsidP="003946A9">
            <w:pPr>
              <w:rPr>
                <w:sz w:val="20"/>
                <w:szCs w:val="20"/>
              </w:rPr>
            </w:pPr>
            <w:r w:rsidRPr="00F07779">
              <w:rPr>
                <w:sz w:val="20"/>
                <w:szCs w:val="20"/>
              </w:rPr>
              <w:t xml:space="preserve">The product pipelines provide the most rational and safest transport of oil derivatives to consumer centers. The transport of oil derivatives (gasoline and diesel fuel) would be carried out via a pipeline approximately 400 kilometers long, starting from the </w:t>
            </w:r>
            <w:proofErr w:type="spellStart"/>
            <w:r w:rsidRPr="00F07779">
              <w:rPr>
                <w:sz w:val="20"/>
                <w:szCs w:val="20"/>
              </w:rPr>
              <w:t>Pančevo</w:t>
            </w:r>
            <w:proofErr w:type="spellEnd"/>
            <w:r w:rsidRPr="00F07779">
              <w:rPr>
                <w:sz w:val="20"/>
                <w:szCs w:val="20"/>
              </w:rPr>
              <w:t xml:space="preserve"> </w:t>
            </w:r>
            <w:r w:rsidR="002D0F6A" w:rsidRPr="00F07779">
              <w:rPr>
                <w:sz w:val="20"/>
                <w:szCs w:val="20"/>
              </w:rPr>
              <w:t>o</w:t>
            </w:r>
            <w:r w:rsidRPr="00F07779">
              <w:rPr>
                <w:sz w:val="20"/>
                <w:szCs w:val="20"/>
              </w:rPr>
              <w:t xml:space="preserve">il </w:t>
            </w:r>
            <w:r w:rsidR="002D0F6A" w:rsidRPr="00F07779">
              <w:rPr>
                <w:sz w:val="20"/>
                <w:szCs w:val="20"/>
              </w:rPr>
              <w:t>r</w:t>
            </w:r>
            <w:r w:rsidRPr="00F07779">
              <w:rPr>
                <w:sz w:val="20"/>
                <w:szCs w:val="20"/>
              </w:rPr>
              <w:t xml:space="preserve">efinery. Starting from </w:t>
            </w:r>
            <w:proofErr w:type="spellStart"/>
            <w:r w:rsidRPr="00F07779">
              <w:rPr>
                <w:sz w:val="20"/>
                <w:szCs w:val="20"/>
              </w:rPr>
              <w:t>Pančevo</w:t>
            </w:r>
            <w:proofErr w:type="spellEnd"/>
            <w:r w:rsidRPr="00F07779">
              <w:rPr>
                <w:sz w:val="20"/>
                <w:szCs w:val="20"/>
              </w:rPr>
              <w:t xml:space="preserve"> as the supply center for derivatives, the pipeline system branches out towards Novi Sad and </w:t>
            </w:r>
            <w:proofErr w:type="spellStart"/>
            <w:r w:rsidRPr="00F07779">
              <w:rPr>
                <w:sz w:val="20"/>
                <w:szCs w:val="20"/>
              </w:rPr>
              <w:t>Sombor</w:t>
            </w:r>
            <w:proofErr w:type="spellEnd"/>
            <w:r w:rsidRPr="00F07779">
              <w:rPr>
                <w:sz w:val="20"/>
                <w:szCs w:val="20"/>
              </w:rPr>
              <w:t xml:space="preserve">, Belgrade, and </w:t>
            </w:r>
            <w:proofErr w:type="spellStart"/>
            <w:r w:rsidRPr="00F07779">
              <w:rPr>
                <w:sz w:val="20"/>
                <w:szCs w:val="20"/>
              </w:rPr>
              <w:t>Niš</w:t>
            </w:r>
            <w:proofErr w:type="spellEnd"/>
            <w:r w:rsidRPr="00F07779">
              <w:rPr>
                <w:sz w:val="20"/>
                <w:szCs w:val="20"/>
              </w:rPr>
              <w:t xml:space="preserve">, via Smederevo and </w:t>
            </w:r>
            <w:proofErr w:type="spellStart"/>
            <w:r w:rsidRPr="00F07779">
              <w:rPr>
                <w:sz w:val="20"/>
                <w:szCs w:val="20"/>
              </w:rPr>
              <w:t>Jagodina</w:t>
            </w:r>
            <w:proofErr w:type="spellEnd"/>
            <w:r w:rsidRPr="00F07779">
              <w:rPr>
                <w:sz w:val="20"/>
                <w:szCs w:val="20"/>
              </w:rPr>
              <w:t>.</w:t>
            </w:r>
          </w:p>
          <w:p w14:paraId="54952C62" w14:textId="4F0EFBB1" w:rsidR="003946A9" w:rsidRPr="00F07779" w:rsidRDefault="003946A9" w:rsidP="00712ED3">
            <w:pPr>
              <w:rPr>
                <w:sz w:val="20"/>
                <w:szCs w:val="20"/>
              </w:rPr>
            </w:pPr>
            <w:r w:rsidRPr="00F07779">
              <w:rPr>
                <w:sz w:val="20"/>
                <w:szCs w:val="20"/>
              </w:rPr>
              <w:t xml:space="preserve">The first section of the product pipeline system, </w:t>
            </w:r>
            <w:proofErr w:type="spellStart"/>
            <w:r w:rsidRPr="00F07779">
              <w:rPr>
                <w:sz w:val="20"/>
                <w:szCs w:val="20"/>
              </w:rPr>
              <w:t>Pančevo</w:t>
            </w:r>
            <w:proofErr w:type="spellEnd"/>
            <w:r w:rsidRPr="00F07779">
              <w:rPr>
                <w:sz w:val="20"/>
                <w:szCs w:val="20"/>
              </w:rPr>
              <w:t xml:space="preserve">–Smederevo and </w:t>
            </w:r>
            <w:proofErr w:type="spellStart"/>
            <w:r w:rsidRPr="00F07779">
              <w:rPr>
                <w:sz w:val="20"/>
                <w:szCs w:val="20"/>
              </w:rPr>
              <w:t>Pančevo</w:t>
            </w:r>
            <w:proofErr w:type="spellEnd"/>
            <w:r w:rsidRPr="00F07779">
              <w:rPr>
                <w:sz w:val="20"/>
                <w:szCs w:val="20"/>
              </w:rPr>
              <w:t xml:space="preserve">–Novi Sad, has a length of 26.9 + 90.3 km = 117.2 km and includes three terminals (shipping terminal in </w:t>
            </w:r>
            <w:proofErr w:type="spellStart"/>
            <w:r w:rsidRPr="00F07779">
              <w:rPr>
                <w:sz w:val="20"/>
                <w:szCs w:val="20"/>
              </w:rPr>
              <w:t>Pančevo</w:t>
            </w:r>
            <w:proofErr w:type="spellEnd"/>
            <w:r w:rsidRPr="00F07779">
              <w:rPr>
                <w:sz w:val="20"/>
                <w:szCs w:val="20"/>
              </w:rPr>
              <w:t xml:space="preserve">, receiving terminals in Smederevo and Novi Sad). The construction of the first section of the product pipeline system is planned in three phases until 2030. The estimated investment value for the first section, according to the </w:t>
            </w:r>
            <w:r w:rsidR="002D0F6A" w:rsidRPr="00F07779">
              <w:rPr>
                <w:sz w:val="20"/>
                <w:szCs w:val="20"/>
              </w:rPr>
              <w:t>c</w:t>
            </w:r>
            <w:r w:rsidRPr="00F07779">
              <w:rPr>
                <w:sz w:val="20"/>
                <w:szCs w:val="20"/>
              </w:rPr>
              <w:t xml:space="preserve">onceptual </w:t>
            </w:r>
            <w:r w:rsidR="002D0F6A" w:rsidRPr="00F07779">
              <w:rPr>
                <w:sz w:val="20"/>
                <w:szCs w:val="20"/>
              </w:rPr>
              <w:t>d</w:t>
            </w:r>
            <w:r w:rsidRPr="00F07779">
              <w:rPr>
                <w:sz w:val="20"/>
                <w:szCs w:val="20"/>
              </w:rPr>
              <w:t xml:space="preserve">esign and </w:t>
            </w:r>
            <w:r w:rsidR="002D0F6A" w:rsidRPr="00F07779">
              <w:rPr>
                <w:sz w:val="20"/>
                <w:szCs w:val="20"/>
              </w:rPr>
              <w:t>f</w:t>
            </w:r>
            <w:r w:rsidRPr="00F07779">
              <w:rPr>
                <w:sz w:val="20"/>
                <w:szCs w:val="20"/>
              </w:rPr>
              <w:t xml:space="preserve">easibility </w:t>
            </w:r>
            <w:r w:rsidR="002D0F6A" w:rsidRPr="00F07779">
              <w:rPr>
                <w:sz w:val="20"/>
                <w:szCs w:val="20"/>
              </w:rPr>
              <w:t>s</w:t>
            </w:r>
            <w:r w:rsidRPr="00F07779">
              <w:rPr>
                <w:sz w:val="20"/>
                <w:szCs w:val="20"/>
              </w:rPr>
              <w:t>tudy from 2012, is 32.8 million EUR.</w:t>
            </w:r>
          </w:p>
        </w:tc>
      </w:tr>
      <w:tr w:rsidR="003946A9" w:rsidRPr="00F07779" w14:paraId="14BD2708" w14:textId="77777777" w:rsidTr="00712ED3">
        <w:tc>
          <w:tcPr>
            <w:tcW w:w="2972" w:type="dxa"/>
          </w:tcPr>
          <w:p w14:paraId="6B49381D" w14:textId="77777777" w:rsidR="003946A9" w:rsidRPr="00F07779" w:rsidRDefault="003946A9" w:rsidP="00712ED3">
            <w:pPr>
              <w:rPr>
                <w:sz w:val="20"/>
                <w:szCs w:val="20"/>
              </w:rPr>
            </w:pPr>
            <w:r w:rsidRPr="00F07779">
              <w:rPr>
                <w:sz w:val="20"/>
                <w:szCs w:val="20"/>
              </w:rPr>
              <w:t>Institutions responsible for implementing measures and activities</w:t>
            </w:r>
          </w:p>
        </w:tc>
        <w:tc>
          <w:tcPr>
            <w:tcW w:w="5743" w:type="dxa"/>
          </w:tcPr>
          <w:p w14:paraId="72FAA5F2" w14:textId="47C8905E" w:rsidR="003946A9" w:rsidRPr="00F07779" w:rsidRDefault="003946A9" w:rsidP="00712ED3">
            <w:pPr>
              <w:rPr>
                <w:sz w:val="20"/>
                <w:szCs w:val="20"/>
              </w:rPr>
            </w:pPr>
            <w:r w:rsidRPr="00F07779">
              <w:rPr>
                <w:sz w:val="20"/>
                <w:szCs w:val="20"/>
              </w:rPr>
              <w:t xml:space="preserve">Transnafta </w:t>
            </w:r>
            <w:r w:rsidR="006478CB" w:rsidRPr="00F07779">
              <w:rPr>
                <w:sz w:val="20"/>
                <w:szCs w:val="20"/>
              </w:rPr>
              <w:t>JSC</w:t>
            </w:r>
          </w:p>
        </w:tc>
      </w:tr>
      <w:tr w:rsidR="003946A9" w:rsidRPr="00F07779" w14:paraId="5719E505" w14:textId="77777777" w:rsidTr="00712ED3">
        <w:tc>
          <w:tcPr>
            <w:tcW w:w="2972" w:type="dxa"/>
          </w:tcPr>
          <w:p w14:paraId="378F29F6" w14:textId="0AB86CD9" w:rsidR="003946A9" w:rsidRPr="00F07779" w:rsidRDefault="008332FF" w:rsidP="00712ED3">
            <w:pPr>
              <w:rPr>
                <w:sz w:val="20"/>
                <w:szCs w:val="20"/>
              </w:rPr>
            </w:pPr>
            <w:r w:rsidRPr="00F07779">
              <w:rPr>
                <w:sz w:val="20"/>
                <w:szCs w:val="20"/>
              </w:rPr>
              <w:t>Institutions responsible for monitoring implementation and reporting on realization</w:t>
            </w:r>
          </w:p>
        </w:tc>
        <w:tc>
          <w:tcPr>
            <w:tcW w:w="5743" w:type="dxa"/>
          </w:tcPr>
          <w:p w14:paraId="55EF532D" w14:textId="2C0C1890" w:rsidR="003946A9" w:rsidRPr="00F07779" w:rsidRDefault="003946A9" w:rsidP="00712ED3">
            <w:pPr>
              <w:rPr>
                <w:sz w:val="20"/>
                <w:szCs w:val="20"/>
              </w:rPr>
            </w:pPr>
            <w:r w:rsidRPr="00F07779">
              <w:rPr>
                <w:sz w:val="20"/>
                <w:szCs w:val="20"/>
              </w:rPr>
              <w:t xml:space="preserve">Transnafta </w:t>
            </w:r>
            <w:r w:rsidR="006478CB" w:rsidRPr="00F07779">
              <w:rPr>
                <w:sz w:val="20"/>
                <w:szCs w:val="20"/>
              </w:rPr>
              <w:t xml:space="preserve">JSC </w:t>
            </w:r>
          </w:p>
          <w:p w14:paraId="415438F5" w14:textId="6D284616" w:rsidR="003946A9" w:rsidRPr="00F07779" w:rsidRDefault="003946A9" w:rsidP="00712ED3">
            <w:pPr>
              <w:rPr>
                <w:sz w:val="20"/>
                <w:szCs w:val="20"/>
              </w:rPr>
            </w:pPr>
            <w:r w:rsidRPr="00F07779">
              <w:rPr>
                <w:sz w:val="20"/>
                <w:szCs w:val="20"/>
              </w:rPr>
              <w:t xml:space="preserve">Ministry of </w:t>
            </w:r>
            <w:proofErr w:type="gramStart"/>
            <w:r w:rsidR="002D0F6A" w:rsidRPr="00F07779">
              <w:rPr>
                <w:sz w:val="20"/>
                <w:szCs w:val="20"/>
              </w:rPr>
              <w:t>m</w:t>
            </w:r>
            <w:r w:rsidRPr="00F07779">
              <w:rPr>
                <w:sz w:val="20"/>
                <w:szCs w:val="20"/>
              </w:rPr>
              <w:t>ining</w:t>
            </w:r>
            <w:proofErr w:type="gramEnd"/>
            <w:r w:rsidRPr="00F07779">
              <w:rPr>
                <w:sz w:val="20"/>
                <w:szCs w:val="20"/>
              </w:rPr>
              <w:t xml:space="preserve"> and </w:t>
            </w:r>
            <w:r w:rsidR="002D0F6A" w:rsidRPr="00F07779">
              <w:rPr>
                <w:sz w:val="20"/>
                <w:szCs w:val="20"/>
              </w:rPr>
              <w:t>e</w:t>
            </w:r>
            <w:r w:rsidRPr="00F07779">
              <w:rPr>
                <w:sz w:val="20"/>
                <w:szCs w:val="20"/>
              </w:rPr>
              <w:t>nergy</w:t>
            </w:r>
          </w:p>
        </w:tc>
      </w:tr>
      <w:tr w:rsidR="003946A9" w:rsidRPr="00F07779" w14:paraId="296B8D7B" w14:textId="77777777" w:rsidTr="00712ED3">
        <w:tc>
          <w:tcPr>
            <w:tcW w:w="2972" w:type="dxa"/>
          </w:tcPr>
          <w:p w14:paraId="1773DEBD" w14:textId="77777777" w:rsidR="003946A9" w:rsidRPr="00F07779" w:rsidRDefault="003946A9" w:rsidP="00712ED3">
            <w:pPr>
              <w:rPr>
                <w:sz w:val="20"/>
                <w:szCs w:val="20"/>
              </w:rPr>
            </w:pPr>
            <w:r w:rsidRPr="00F07779">
              <w:rPr>
                <w:sz w:val="20"/>
                <w:szCs w:val="20"/>
              </w:rPr>
              <w:lastRenderedPageBreak/>
              <w:t>Deadline for implementation</w:t>
            </w:r>
          </w:p>
        </w:tc>
        <w:tc>
          <w:tcPr>
            <w:tcW w:w="5743" w:type="dxa"/>
          </w:tcPr>
          <w:p w14:paraId="5334BE0B" w14:textId="71EE2F37" w:rsidR="003946A9" w:rsidRPr="00F07779" w:rsidRDefault="003946A9" w:rsidP="00712ED3">
            <w:pPr>
              <w:rPr>
                <w:sz w:val="20"/>
                <w:szCs w:val="20"/>
              </w:rPr>
            </w:pPr>
            <w:r w:rsidRPr="00F07779">
              <w:rPr>
                <w:sz w:val="20"/>
                <w:szCs w:val="20"/>
              </w:rPr>
              <w:t>2030.</w:t>
            </w:r>
          </w:p>
        </w:tc>
      </w:tr>
      <w:tr w:rsidR="003946A9" w:rsidRPr="00F07779" w14:paraId="4D9FFD76" w14:textId="77777777" w:rsidTr="00712ED3">
        <w:tc>
          <w:tcPr>
            <w:tcW w:w="2972" w:type="dxa"/>
          </w:tcPr>
          <w:p w14:paraId="1E1F673A" w14:textId="77777777" w:rsidR="003946A9" w:rsidRPr="00F07779" w:rsidRDefault="003946A9" w:rsidP="00712ED3">
            <w:pPr>
              <w:rPr>
                <w:sz w:val="20"/>
                <w:szCs w:val="20"/>
              </w:rPr>
            </w:pPr>
            <w:r w:rsidRPr="00F07779">
              <w:rPr>
                <w:sz w:val="20"/>
                <w:szCs w:val="20"/>
              </w:rPr>
              <w:t>Required funds and source of financing</w:t>
            </w:r>
          </w:p>
        </w:tc>
        <w:tc>
          <w:tcPr>
            <w:tcW w:w="5743" w:type="dxa"/>
          </w:tcPr>
          <w:p w14:paraId="35C7D0BF" w14:textId="0D1CC72C" w:rsidR="003946A9" w:rsidRPr="00F07779" w:rsidRDefault="003946A9" w:rsidP="00712ED3">
            <w:pPr>
              <w:rPr>
                <w:sz w:val="20"/>
                <w:szCs w:val="20"/>
              </w:rPr>
            </w:pPr>
            <w:r w:rsidRPr="00F07779">
              <w:rPr>
                <w:sz w:val="20"/>
                <w:szCs w:val="20"/>
              </w:rPr>
              <w:t>32.8 million</w:t>
            </w:r>
            <w:r w:rsidR="008B2A7B" w:rsidRPr="00F07779">
              <w:rPr>
                <w:sz w:val="20"/>
                <w:szCs w:val="20"/>
              </w:rPr>
              <w:t xml:space="preserve"> EUR</w:t>
            </w:r>
            <w:r w:rsidRPr="00F07779">
              <w:rPr>
                <w:sz w:val="20"/>
                <w:szCs w:val="20"/>
              </w:rPr>
              <w:t xml:space="preserve"> (3,845.8 million RSD)</w:t>
            </w:r>
            <w:r w:rsidRPr="00F07779">
              <w:rPr>
                <w:sz w:val="20"/>
                <w:szCs w:val="20"/>
              </w:rPr>
              <w:br/>
              <w:t xml:space="preserve">Transnafta </w:t>
            </w:r>
            <w:r w:rsidR="006478CB" w:rsidRPr="00F07779">
              <w:rPr>
                <w:sz w:val="20"/>
                <w:szCs w:val="20"/>
              </w:rPr>
              <w:t>JSC</w:t>
            </w:r>
          </w:p>
        </w:tc>
      </w:tr>
      <w:tr w:rsidR="003946A9" w:rsidRPr="00F07779" w14:paraId="2E8389E6" w14:textId="77777777" w:rsidTr="00712ED3">
        <w:tc>
          <w:tcPr>
            <w:tcW w:w="2972" w:type="dxa"/>
          </w:tcPr>
          <w:p w14:paraId="0DCB7C0D" w14:textId="77777777" w:rsidR="003946A9" w:rsidRPr="00F07779" w:rsidRDefault="003946A9" w:rsidP="00712ED3">
            <w:pPr>
              <w:rPr>
                <w:sz w:val="20"/>
                <w:szCs w:val="20"/>
              </w:rPr>
            </w:pPr>
            <w:r w:rsidRPr="00F07779">
              <w:rPr>
                <w:sz w:val="20"/>
                <w:szCs w:val="20"/>
              </w:rPr>
              <w:t>Implementation indicator</w:t>
            </w:r>
          </w:p>
        </w:tc>
        <w:tc>
          <w:tcPr>
            <w:tcW w:w="5743" w:type="dxa"/>
          </w:tcPr>
          <w:p w14:paraId="5262AC94" w14:textId="04DB8481" w:rsidR="003946A9" w:rsidRPr="00F07779" w:rsidRDefault="003946A9" w:rsidP="00712ED3">
            <w:pPr>
              <w:rPr>
                <w:sz w:val="20"/>
                <w:szCs w:val="20"/>
              </w:rPr>
            </w:pPr>
            <w:r w:rsidRPr="00F07779">
              <w:rPr>
                <w:sz w:val="20"/>
                <w:szCs w:val="20"/>
              </w:rPr>
              <w:t>Implementation phase</w:t>
            </w:r>
            <w:r w:rsidR="006478CB" w:rsidRPr="00F07779">
              <w:rPr>
                <w:sz w:val="20"/>
                <w:szCs w:val="20"/>
              </w:rPr>
              <w:t xml:space="preserve"> </w:t>
            </w:r>
            <w:r w:rsidRPr="00F07779">
              <w:rPr>
                <w:sz w:val="20"/>
                <w:szCs w:val="20"/>
              </w:rPr>
              <w:t>(</w:t>
            </w:r>
            <w:r w:rsidR="002D0F6A" w:rsidRPr="00F07779">
              <w:rPr>
                <w:sz w:val="20"/>
                <w:szCs w:val="20"/>
              </w:rPr>
              <w:t>a</w:t>
            </w:r>
            <w:r w:rsidRPr="00F07779">
              <w:rPr>
                <w:sz w:val="20"/>
                <w:szCs w:val="20"/>
              </w:rPr>
              <w:t xml:space="preserve">mendments and supplements to the </w:t>
            </w:r>
            <w:r w:rsidR="002D0F6A" w:rsidRPr="00F07779">
              <w:rPr>
                <w:sz w:val="20"/>
                <w:szCs w:val="20"/>
              </w:rPr>
              <w:t>s</w:t>
            </w:r>
            <w:r w:rsidRPr="00F07779">
              <w:rPr>
                <w:sz w:val="20"/>
                <w:szCs w:val="20"/>
              </w:rPr>
              <w:t xml:space="preserve">patial </w:t>
            </w:r>
            <w:r w:rsidR="002D0F6A" w:rsidRPr="00F07779">
              <w:rPr>
                <w:sz w:val="20"/>
                <w:szCs w:val="20"/>
              </w:rPr>
              <w:t>p</w:t>
            </w:r>
            <w:r w:rsidRPr="00F07779">
              <w:rPr>
                <w:sz w:val="20"/>
                <w:szCs w:val="20"/>
              </w:rPr>
              <w:t>lan of the special-purpose area, preparation of project-technical documentation, project for building permit and building permit, preparation of tender documentation, execution project, construction, commissioning)</w:t>
            </w:r>
          </w:p>
        </w:tc>
      </w:tr>
      <w:tr w:rsidR="008332FF" w:rsidRPr="00F07779" w14:paraId="4F5B36A9" w14:textId="77777777" w:rsidTr="00712ED3">
        <w:tc>
          <w:tcPr>
            <w:tcW w:w="2972" w:type="dxa"/>
          </w:tcPr>
          <w:p w14:paraId="074E181F" w14:textId="54695EEC" w:rsidR="008332FF" w:rsidRPr="00F07779" w:rsidRDefault="008332FF" w:rsidP="008332FF">
            <w:pPr>
              <w:rPr>
                <w:sz w:val="20"/>
                <w:szCs w:val="20"/>
              </w:rPr>
            </w:pPr>
            <w:r w:rsidRPr="00F07779">
              <w:rPr>
                <w:sz w:val="20"/>
                <w:szCs w:val="20"/>
              </w:rPr>
              <w:t>Impact of the activity on the achievement of the objective</w:t>
            </w:r>
          </w:p>
        </w:tc>
        <w:tc>
          <w:tcPr>
            <w:tcW w:w="5743" w:type="dxa"/>
          </w:tcPr>
          <w:p w14:paraId="5A000F63" w14:textId="684C75B8" w:rsidR="008332FF" w:rsidRPr="00F07779" w:rsidRDefault="008332FF" w:rsidP="008332FF">
            <w:pPr>
              <w:rPr>
                <w:sz w:val="20"/>
                <w:szCs w:val="20"/>
              </w:rPr>
            </w:pPr>
            <w:r w:rsidRPr="00F07779">
              <w:rPr>
                <w:sz w:val="20"/>
                <w:szCs w:val="20"/>
              </w:rPr>
              <w:t>Secure supply of the domestic market with oil derivatives:</w:t>
            </w:r>
            <w:r w:rsidRPr="00F07779">
              <w:rPr>
                <w:sz w:val="20"/>
                <w:szCs w:val="20"/>
              </w:rPr>
              <w:br/>
              <w:t>Planned investments realized 100%</w:t>
            </w:r>
          </w:p>
        </w:tc>
      </w:tr>
      <w:tr w:rsidR="008332FF" w:rsidRPr="00F07779" w14:paraId="57EEDF81" w14:textId="77777777" w:rsidTr="00712ED3">
        <w:tc>
          <w:tcPr>
            <w:tcW w:w="2972" w:type="dxa"/>
          </w:tcPr>
          <w:p w14:paraId="794CC83C" w14:textId="68E5D6AB" w:rsidR="008332FF" w:rsidRPr="00F07779" w:rsidRDefault="008332FF" w:rsidP="008332FF">
            <w:pPr>
              <w:rPr>
                <w:sz w:val="20"/>
                <w:szCs w:val="20"/>
              </w:rPr>
            </w:pPr>
            <w:r w:rsidRPr="00F07779">
              <w:rPr>
                <w:sz w:val="20"/>
                <w:szCs w:val="20"/>
              </w:rPr>
              <w:t>Impact on EE, climate, and environmental protection</w:t>
            </w:r>
          </w:p>
        </w:tc>
        <w:tc>
          <w:tcPr>
            <w:tcW w:w="5743" w:type="dxa"/>
          </w:tcPr>
          <w:p w14:paraId="11AA93A5" w14:textId="322AAF19" w:rsidR="008332FF" w:rsidRPr="00F07779" w:rsidRDefault="008332FF" w:rsidP="008332FF">
            <w:pPr>
              <w:rPr>
                <w:sz w:val="20"/>
                <w:szCs w:val="20"/>
              </w:rPr>
            </w:pPr>
            <w:r w:rsidRPr="00F07779">
              <w:rPr>
                <w:sz w:val="20"/>
                <w:szCs w:val="20"/>
              </w:rPr>
              <w:t>By constructing the product pipeline to the main distribution warehouses, the transport of derivatives by road and rail tankers and barges is eliminated, which has a direct impact on climate and environmental protection, as it reduces harmful gas emissions.</w:t>
            </w:r>
          </w:p>
        </w:tc>
      </w:tr>
    </w:tbl>
    <w:p w14:paraId="6975E4CF" w14:textId="77777777" w:rsidR="003946A9" w:rsidRPr="00F07779" w:rsidRDefault="003946A9" w:rsidP="001657EE"/>
    <w:tbl>
      <w:tblPr>
        <w:tblStyle w:val="TableGrid"/>
        <w:tblW w:w="8715" w:type="dxa"/>
        <w:tblLook w:val="04A0" w:firstRow="1" w:lastRow="0" w:firstColumn="1" w:lastColumn="0" w:noHBand="0" w:noVBand="1"/>
      </w:tblPr>
      <w:tblGrid>
        <w:gridCol w:w="2972"/>
        <w:gridCol w:w="5743"/>
      </w:tblGrid>
      <w:tr w:rsidR="001657EE" w:rsidRPr="00F07779" w14:paraId="5CB486D1" w14:textId="77777777" w:rsidTr="009A03AE">
        <w:tc>
          <w:tcPr>
            <w:tcW w:w="2972" w:type="dxa"/>
            <w:shd w:val="clear" w:color="auto" w:fill="D9D9D9" w:themeFill="background1" w:themeFillShade="D9"/>
          </w:tcPr>
          <w:p w14:paraId="00883317" w14:textId="1CAB6BB7" w:rsidR="001657EE" w:rsidRPr="00F07779" w:rsidRDefault="00E66E7D" w:rsidP="009A03AE">
            <w:pPr>
              <w:rPr>
                <w:sz w:val="20"/>
                <w:szCs w:val="20"/>
              </w:rPr>
            </w:pPr>
            <w:r w:rsidRPr="00F07779">
              <w:rPr>
                <w:sz w:val="20"/>
                <w:szCs w:val="20"/>
              </w:rPr>
              <w:t xml:space="preserve">Total for </w:t>
            </w:r>
            <w:r w:rsidR="006478CB" w:rsidRPr="00F07779">
              <w:rPr>
                <w:sz w:val="20"/>
                <w:szCs w:val="20"/>
              </w:rPr>
              <w:t xml:space="preserve">N3 </w:t>
            </w:r>
            <w:r w:rsidR="001103A3" w:rsidRPr="00F07779">
              <w:rPr>
                <w:sz w:val="20"/>
                <w:szCs w:val="20"/>
              </w:rPr>
              <w:t>m</w:t>
            </w:r>
            <w:r w:rsidRPr="00F07779">
              <w:rPr>
                <w:sz w:val="20"/>
                <w:szCs w:val="20"/>
              </w:rPr>
              <w:t>easure</w:t>
            </w:r>
          </w:p>
        </w:tc>
        <w:tc>
          <w:tcPr>
            <w:tcW w:w="5743" w:type="dxa"/>
            <w:shd w:val="clear" w:color="auto" w:fill="D9D9D9" w:themeFill="background1" w:themeFillShade="D9"/>
          </w:tcPr>
          <w:p w14:paraId="041CB766" w14:textId="524FEE74" w:rsidR="001657EE" w:rsidRPr="00F07779" w:rsidRDefault="001657EE" w:rsidP="009A03AE">
            <w:pPr>
              <w:rPr>
                <w:sz w:val="20"/>
                <w:szCs w:val="20"/>
              </w:rPr>
            </w:pPr>
            <w:r w:rsidRPr="00F07779">
              <w:rPr>
                <w:sz w:val="20"/>
                <w:szCs w:val="20"/>
              </w:rPr>
              <w:t>1</w:t>
            </w:r>
            <w:r w:rsidR="00B50170" w:rsidRPr="00F07779">
              <w:rPr>
                <w:sz w:val="20"/>
                <w:szCs w:val="20"/>
              </w:rPr>
              <w:t>85</w:t>
            </w:r>
            <w:r w:rsidRPr="00F07779">
              <w:rPr>
                <w:sz w:val="20"/>
                <w:szCs w:val="20"/>
              </w:rPr>
              <w:t>.</w:t>
            </w:r>
            <w:r w:rsidR="00121A14" w:rsidRPr="00F07779">
              <w:rPr>
                <w:sz w:val="20"/>
                <w:szCs w:val="20"/>
              </w:rPr>
              <w:t>3</w:t>
            </w:r>
            <w:r w:rsidRPr="00F07779">
              <w:rPr>
                <w:sz w:val="20"/>
                <w:szCs w:val="20"/>
              </w:rPr>
              <w:t xml:space="preserve"> </w:t>
            </w:r>
            <w:r w:rsidR="00E66E7D" w:rsidRPr="00F07779">
              <w:rPr>
                <w:sz w:val="20"/>
                <w:szCs w:val="20"/>
              </w:rPr>
              <w:t>million</w:t>
            </w:r>
            <w:r w:rsidRPr="00F07779">
              <w:rPr>
                <w:sz w:val="20"/>
                <w:szCs w:val="20"/>
              </w:rPr>
              <w:t xml:space="preserve"> </w:t>
            </w:r>
            <w:r w:rsidR="00970DFE" w:rsidRPr="00F07779">
              <w:rPr>
                <w:sz w:val="20"/>
                <w:szCs w:val="20"/>
              </w:rPr>
              <w:t>EUR</w:t>
            </w:r>
            <w:r w:rsidRPr="00F07779">
              <w:rPr>
                <w:sz w:val="20"/>
                <w:szCs w:val="20"/>
              </w:rPr>
              <w:t xml:space="preserve"> (</w:t>
            </w:r>
            <w:r w:rsidR="00B50170" w:rsidRPr="00F07779">
              <w:rPr>
                <w:sz w:val="20"/>
                <w:szCs w:val="20"/>
              </w:rPr>
              <w:t>21</w:t>
            </w:r>
            <w:r w:rsidR="006478CB" w:rsidRPr="00F07779">
              <w:rPr>
                <w:sz w:val="20"/>
                <w:szCs w:val="20"/>
              </w:rPr>
              <w:t>,</w:t>
            </w:r>
            <w:r w:rsidR="00B50170" w:rsidRPr="00F07779">
              <w:rPr>
                <w:sz w:val="20"/>
                <w:szCs w:val="20"/>
              </w:rPr>
              <w:t>722.1 million</w:t>
            </w:r>
            <w:r w:rsidRPr="00F07779">
              <w:rPr>
                <w:sz w:val="20"/>
                <w:szCs w:val="20"/>
              </w:rPr>
              <w:t xml:space="preserve"> </w:t>
            </w:r>
            <w:r w:rsidR="003B4095" w:rsidRPr="00F07779">
              <w:rPr>
                <w:sz w:val="20"/>
                <w:szCs w:val="20"/>
              </w:rPr>
              <w:t>RSD</w:t>
            </w:r>
            <w:r w:rsidRPr="00F07779">
              <w:rPr>
                <w:sz w:val="20"/>
                <w:szCs w:val="20"/>
              </w:rPr>
              <w:t>)</w:t>
            </w:r>
          </w:p>
        </w:tc>
      </w:tr>
    </w:tbl>
    <w:p w14:paraId="03415E87" w14:textId="2F9E24C1" w:rsidR="00654C6C" w:rsidRPr="00F07779" w:rsidRDefault="00654C6C" w:rsidP="00654C6C">
      <w:pPr>
        <w:snapToGrid w:val="0"/>
        <w:rPr>
          <w:color w:val="2F5496"/>
          <w:sz w:val="20"/>
          <w:szCs w:val="20"/>
        </w:rPr>
      </w:pPr>
    </w:p>
    <w:p w14:paraId="2D50CAB1" w14:textId="77777777" w:rsidR="00555340" w:rsidRPr="00F07779" w:rsidRDefault="00555340" w:rsidP="00555340">
      <w:bookmarkStart w:id="18" w:name="_Toc199155514"/>
    </w:p>
    <w:p w14:paraId="39682241" w14:textId="434AB2D8" w:rsidR="009B5EDC" w:rsidRPr="00F07779" w:rsidRDefault="00555340" w:rsidP="00555340">
      <w:pPr>
        <w:rPr>
          <w:rFonts w:eastAsiaTheme="majorEastAsia"/>
          <w:color w:val="2F5496" w:themeColor="accent1" w:themeShade="BF"/>
          <w:sz w:val="26"/>
          <w:szCs w:val="26"/>
        </w:rPr>
      </w:pPr>
      <w:r w:rsidRPr="00F07779">
        <w:rPr>
          <w:rFonts w:eastAsiaTheme="majorEastAsia"/>
          <w:color w:val="2F5496" w:themeColor="accent1" w:themeShade="BF"/>
          <w:sz w:val="26"/>
          <w:szCs w:val="26"/>
        </w:rPr>
        <w:t>5.7.</w:t>
      </w:r>
      <w:bookmarkEnd w:id="18"/>
      <w:r w:rsidR="00EB1DF4" w:rsidRPr="00F07779">
        <w:rPr>
          <w:rFonts w:eastAsiaTheme="majorEastAsia"/>
          <w:color w:val="2F5496" w:themeColor="accent1" w:themeShade="BF"/>
          <w:sz w:val="26"/>
          <w:szCs w:val="26"/>
        </w:rPr>
        <w:t xml:space="preserve"> Coal sector</w:t>
      </w:r>
    </w:p>
    <w:p w14:paraId="0D8BE3C2" w14:textId="77777777" w:rsidR="00BF16BE" w:rsidRPr="00F07779" w:rsidRDefault="00BF16BE" w:rsidP="00BF16BE">
      <w:pPr>
        <w:jc w:val="both"/>
        <w:rPr>
          <w:color w:val="FF0000"/>
        </w:rPr>
      </w:pPr>
    </w:p>
    <w:p w14:paraId="27D96BD3" w14:textId="77777777" w:rsidR="00EB1DF4" w:rsidRPr="00FA3F57" w:rsidRDefault="00EB1DF4" w:rsidP="00EB1DF4">
      <w:pPr>
        <w:pStyle w:val="ListParagraph"/>
        <w:tabs>
          <w:tab w:val="left" w:pos="284"/>
        </w:tabs>
        <w:ind w:left="426" w:hanging="426"/>
        <w:rPr>
          <w:rFonts w:ascii="Times New Roman" w:hAnsi="Times New Roman" w:cs="Times New Roman"/>
          <w:noProof w:val="0"/>
        </w:rPr>
      </w:pPr>
      <w:r w:rsidRPr="00FA3F57">
        <w:rPr>
          <w:rFonts w:ascii="Times New Roman" w:hAnsi="Times New Roman" w:cs="Times New Roman"/>
          <w:noProof w:val="0"/>
        </w:rPr>
        <w:t>The main objectives in the coal sector are:</w:t>
      </w:r>
    </w:p>
    <w:p w14:paraId="5B0A3EC4" w14:textId="77777777" w:rsidR="00EB1DF4" w:rsidRPr="00FA3F57" w:rsidRDefault="00EB1DF4" w:rsidP="00EB1DF4">
      <w:pPr>
        <w:pStyle w:val="ListParagraph"/>
        <w:numPr>
          <w:ilvl w:val="0"/>
          <w:numId w:val="4"/>
        </w:numPr>
        <w:tabs>
          <w:tab w:val="left" w:pos="284"/>
        </w:tabs>
        <w:rPr>
          <w:rFonts w:ascii="Times New Roman" w:hAnsi="Times New Roman" w:cs="Times New Roman"/>
          <w:noProof w:val="0"/>
        </w:rPr>
      </w:pPr>
      <w:r w:rsidRPr="00FA3F57">
        <w:rPr>
          <w:rFonts w:ascii="Times New Roman" w:hAnsi="Times New Roman" w:cs="Times New Roman"/>
          <w:noProof w:val="0"/>
        </w:rPr>
        <w:t>Secure supply of thermal power capacities with coal, and</w:t>
      </w:r>
    </w:p>
    <w:p w14:paraId="3316C4A0" w14:textId="77777777" w:rsidR="00EB1DF4" w:rsidRPr="00FA3F57" w:rsidRDefault="00EB1DF4" w:rsidP="00EB1DF4">
      <w:pPr>
        <w:pStyle w:val="ListParagraph"/>
        <w:numPr>
          <w:ilvl w:val="0"/>
          <w:numId w:val="4"/>
        </w:numPr>
        <w:tabs>
          <w:tab w:val="left" w:pos="284"/>
        </w:tabs>
        <w:rPr>
          <w:rFonts w:ascii="Times New Roman" w:hAnsi="Times New Roman" w:cs="Times New Roman"/>
          <w:noProof w:val="0"/>
        </w:rPr>
      </w:pPr>
      <w:r w:rsidRPr="00FA3F57">
        <w:rPr>
          <w:rFonts w:ascii="Times New Roman" w:hAnsi="Times New Roman" w:cs="Times New Roman"/>
          <w:noProof w:val="0"/>
        </w:rPr>
        <w:t xml:space="preserve">Ensuring the required quantity and quality of coal for final consumption and </w:t>
      </w:r>
      <w:proofErr w:type="gramStart"/>
      <w:r w:rsidRPr="00FA3F57">
        <w:rPr>
          <w:rFonts w:ascii="Times New Roman" w:hAnsi="Times New Roman" w:cs="Times New Roman"/>
          <w:noProof w:val="0"/>
        </w:rPr>
        <w:t>for the production of</w:t>
      </w:r>
      <w:proofErr w:type="gramEnd"/>
      <w:r w:rsidRPr="00FA3F57">
        <w:rPr>
          <w:rFonts w:ascii="Times New Roman" w:hAnsi="Times New Roman" w:cs="Times New Roman"/>
          <w:noProof w:val="0"/>
        </w:rPr>
        <w:t xml:space="preserve"> thermal energy.</w:t>
      </w:r>
    </w:p>
    <w:p w14:paraId="0B820113" w14:textId="77777777" w:rsidR="00EB1DF4" w:rsidRPr="00FA3F57" w:rsidRDefault="00EB1DF4" w:rsidP="00EB1DF4">
      <w:pPr>
        <w:jc w:val="both"/>
      </w:pPr>
      <w:r w:rsidRPr="00FA3F57">
        <w:t>Both objectives serve the purpose of energy security of the Republic of Serbia.</w:t>
      </w:r>
    </w:p>
    <w:p w14:paraId="156FEC4E" w14:textId="77777777" w:rsidR="00EB1DF4" w:rsidRPr="00F07779" w:rsidRDefault="00EB1DF4" w:rsidP="00EB1DF4">
      <w:pPr>
        <w:jc w:val="both"/>
      </w:pPr>
    </w:p>
    <w:p w14:paraId="01C91ADF" w14:textId="7ECDD324" w:rsidR="00EB1DF4" w:rsidRPr="00FA3F57" w:rsidRDefault="00EB1DF4" w:rsidP="00EB1DF4">
      <w:pPr>
        <w:jc w:val="both"/>
      </w:pPr>
      <w:r w:rsidRPr="00FA3F57">
        <w:t xml:space="preserve">The total planned funds for the implementation of measures in the coal sector for the period 2025–2028 amount to around EUR </w:t>
      </w:r>
      <w:r w:rsidR="00B50170" w:rsidRPr="00FA3F57">
        <w:t xml:space="preserve">322 </w:t>
      </w:r>
      <w:r w:rsidRPr="00FA3F57">
        <w:t>million, and the allocation by measures, together with the planned sources of financing, is presented in Table 2.7.1.</w:t>
      </w:r>
    </w:p>
    <w:p w14:paraId="1B1888C6" w14:textId="77777777" w:rsidR="00EB1DF4" w:rsidRPr="00F07779" w:rsidRDefault="00EB1DF4" w:rsidP="00EB1DF4">
      <w:pPr>
        <w:jc w:val="both"/>
      </w:pPr>
    </w:p>
    <w:p w14:paraId="26A9C418" w14:textId="54823C4C" w:rsidR="00EB1DF4" w:rsidRPr="00F07779" w:rsidRDefault="00EB1DF4" w:rsidP="00EB1DF4">
      <w:pPr>
        <w:jc w:val="both"/>
      </w:pPr>
      <w:r w:rsidRPr="00FA3F57">
        <w:t>Table 5.7.1: Measures in the coal sector</w:t>
      </w:r>
    </w:p>
    <w:tbl>
      <w:tblPr>
        <w:tblStyle w:val="TableGrid"/>
        <w:tblW w:w="5000" w:type="pct"/>
        <w:tblLook w:val="04A0" w:firstRow="1" w:lastRow="0" w:firstColumn="1" w:lastColumn="0" w:noHBand="0" w:noVBand="1"/>
      </w:tblPr>
      <w:tblGrid>
        <w:gridCol w:w="3189"/>
        <w:gridCol w:w="713"/>
        <w:gridCol w:w="966"/>
        <w:gridCol w:w="1923"/>
        <w:gridCol w:w="1924"/>
      </w:tblGrid>
      <w:tr w:rsidR="00BB29B8" w:rsidRPr="00F07779" w14:paraId="076B6FC1" w14:textId="77777777" w:rsidTr="00615D2C">
        <w:tc>
          <w:tcPr>
            <w:tcW w:w="1830" w:type="pct"/>
            <w:vMerge w:val="restart"/>
            <w:vAlign w:val="center"/>
          </w:tcPr>
          <w:p w14:paraId="3ADC2477" w14:textId="77777777" w:rsidR="00EB1DF4" w:rsidRPr="00FA3F57" w:rsidRDefault="00EB1DF4" w:rsidP="00615D2C">
            <w:pPr>
              <w:snapToGrid w:val="0"/>
              <w:jc w:val="center"/>
              <w:rPr>
                <w:sz w:val="20"/>
                <w:szCs w:val="20"/>
              </w:rPr>
            </w:pPr>
            <w:r w:rsidRPr="00FA3F57">
              <w:rPr>
                <w:sz w:val="20"/>
                <w:szCs w:val="20"/>
              </w:rPr>
              <w:t>Name</w:t>
            </w:r>
          </w:p>
        </w:tc>
        <w:tc>
          <w:tcPr>
            <w:tcW w:w="409" w:type="pct"/>
            <w:vMerge w:val="restart"/>
            <w:vAlign w:val="center"/>
          </w:tcPr>
          <w:p w14:paraId="2A6FB848" w14:textId="77777777" w:rsidR="00EB1DF4" w:rsidRPr="00FA3F57" w:rsidRDefault="00EB1DF4" w:rsidP="00615D2C">
            <w:pPr>
              <w:snapToGrid w:val="0"/>
              <w:jc w:val="center"/>
              <w:rPr>
                <w:sz w:val="20"/>
                <w:szCs w:val="20"/>
              </w:rPr>
            </w:pPr>
            <w:r w:rsidRPr="00FA3F57">
              <w:rPr>
                <w:sz w:val="20"/>
                <w:szCs w:val="20"/>
              </w:rPr>
              <w:t>Type</w:t>
            </w:r>
            <w:r w:rsidRPr="00FA3F57">
              <w:rPr>
                <w:sz w:val="20"/>
                <w:szCs w:val="20"/>
                <w:vertAlign w:val="superscript"/>
              </w:rPr>
              <w:t>*</w:t>
            </w:r>
          </w:p>
        </w:tc>
        <w:tc>
          <w:tcPr>
            <w:tcW w:w="2761" w:type="pct"/>
            <w:gridSpan w:val="3"/>
          </w:tcPr>
          <w:p w14:paraId="1AFD6DD6" w14:textId="77777777" w:rsidR="00EB1DF4" w:rsidRPr="00FA3F57" w:rsidRDefault="00EB1DF4" w:rsidP="00615D2C">
            <w:pPr>
              <w:snapToGrid w:val="0"/>
              <w:jc w:val="both"/>
              <w:rPr>
                <w:sz w:val="20"/>
                <w:szCs w:val="20"/>
              </w:rPr>
            </w:pPr>
            <w:r w:rsidRPr="00FA3F57">
              <w:rPr>
                <w:sz w:val="20"/>
                <w:szCs w:val="20"/>
              </w:rPr>
              <w:t>Investment value</w:t>
            </w:r>
          </w:p>
        </w:tc>
      </w:tr>
      <w:tr w:rsidR="00BB29B8" w:rsidRPr="00F07779" w14:paraId="35EC5FDC" w14:textId="77777777" w:rsidTr="00615D2C">
        <w:tc>
          <w:tcPr>
            <w:tcW w:w="1830" w:type="pct"/>
            <w:vMerge/>
          </w:tcPr>
          <w:p w14:paraId="3FAAFDC1" w14:textId="77777777" w:rsidR="00EB1DF4" w:rsidRPr="00FA3F57" w:rsidRDefault="00EB1DF4" w:rsidP="00615D2C">
            <w:pPr>
              <w:snapToGrid w:val="0"/>
              <w:jc w:val="both"/>
              <w:rPr>
                <w:sz w:val="20"/>
                <w:szCs w:val="20"/>
              </w:rPr>
            </w:pPr>
          </w:p>
        </w:tc>
        <w:tc>
          <w:tcPr>
            <w:tcW w:w="409" w:type="pct"/>
            <w:vMerge/>
          </w:tcPr>
          <w:p w14:paraId="1DD5A943" w14:textId="77777777" w:rsidR="00EB1DF4" w:rsidRPr="00FA3F57" w:rsidRDefault="00EB1DF4" w:rsidP="00615D2C">
            <w:pPr>
              <w:snapToGrid w:val="0"/>
              <w:jc w:val="both"/>
              <w:rPr>
                <w:sz w:val="20"/>
                <w:szCs w:val="20"/>
              </w:rPr>
            </w:pPr>
          </w:p>
        </w:tc>
        <w:tc>
          <w:tcPr>
            <w:tcW w:w="554" w:type="pct"/>
            <w:vAlign w:val="center"/>
          </w:tcPr>
          <w:p w14:paraId="28CB2225" w14:textId="77777777" w:rsidR="00EB1DF4" w:rsidRPr="00FA3F57" w:rsidRDefault="00EB1DF4" w:rsidP="00615D2C">
            <w:pPr>
              <w:snapToGrid w:val="0"/>
              <w:jc w:val="center"/>
              <w:rPr>
                <w:sz w:val="20"/>
                <w:szCs w:val="20"/>
              </w:rPr>
            </w:pPr>
            <w:r w:rsidRPr="00FA3F57">
              <w:rPr>
                <w:sz w:val="20"/>
                <w:szCs w:val="20"/>
              </w:rPr>
              <w:t>Year</w:t>
            </w:r>
          </w:p>
        </w:tc>
        <w:tc>
          <w:tcPr>
            <w:tcW w:w="1103" w:type="pct"/>
            <w:vAlign w:val="center"/>
          </w:tcPr>
          <w:p w14:paraId="13E99EC4" w14:textId="77777777" w:rsidR="00EB1DF4" w:rsidRPr="00FA3F57" w:rsidRDefault="00EB1DF4" w:rsidP="00615D2C">
            <w:pPr>
              <w:snapToGrid w:val="0"/>
              <w:jc w:val="center"/>
              <w:rPr>
                <w:sz w:val="20"/>
                <w:szCs w:val="20"/>
              </w:rPr>
            </w:pPr>
            <w:r w:rsidRPr="00FA3F57">
              <w:rPr>
                <w:sz w:val="20"/>
                <w:szCs w:val="20"/>
              </w:rPr>
              <w:t xml:space="preserve">Own funds, </w:t>
            </w:r>
            <w:r w:rsidRPr="00FA3F57">
              <w:rPr>
                <w:sz w:val="20"/>
                <w:szCs w:val="20"/>
              </w:rPr>
              <w:br/>
              <w:t>[million RSD]</w:t>
            </w:r>
          </w:p>
        </w:tc>
        <w:tc>
          <w:tcPr>
            <w:tcW w:w="1104" w:type="pct"/>
            <w:vAlign w:val="center"/>
          </w:tcPr>
          <w:p w14:paraId="2A880B48" w14:textId="77777777" w:rsidR="00EB1DF4" w:rsidRPr="00FA3F57" w:rsidRDefault="00EB1DF4" w:rsidP="00615D2C">
            <w:pPr>
              <w:snapToGrid w:val="0"/>
              <w:jc w:val="center"/>
              <w:rPr>
                <w:sz w:val="20"/>
                <w:szCs w:val="20"/>
              </w:rPr>
            </w:pPr>
            <w:r w:rsidRPr="00FA3F57">
              <w:rPr>
                <w:sz w:val="20"/>
                <w:szCs w:val="20"/>
              </w:rPr>
              <w:t xml:space="preserve">Own funds, </w:t>
            </w:r>
          </w:p>
          <w:p w14:paraId="047C76F6" w14:textId="0724D18F" w:rsidR="00EB1DF4" w:rsidRPr="00FA3F57" w:rsidRDefault="00EB1DF4" w:rsidP="00615D2C">
            <w:pPr>
              <w:snapToGrid w:val="0"/>
              <w:jc w:val="center"/>
              <w:rPr>
                <w:sz w:val="20"/>
                <w:szCs w:val="20"/>
              </w:rPr>
            </w:pPr>
            <w:r w:rsidRPr="00FA3F57">
              <w:rPr>
                <w:sz w:val="20"/>
                <w:szCs w:val="20"/>
              </w:rPr>
              <w:t>[million EUR]</w:t>
            </w:r>
          </w:p>
        </w:tc>
      </w:tr>
      <w:tr w:rsidR="00BB29B8" w:rsidRPr="00F07779" w14:paraId="17FB5374" w14:textId="77777777" w:rsidTr="00615D2C">
        <w:trPr>
          <w:trHeight w:val="488"/>
        </w:trPr>
        <w:tc>
          <w:tcPr>
            <w:tcW w:w="1830" w:type="pct"/>
            <w:vMerge w:val="restart"/>
            <w:vAlign w:val="center"/>
          </w:tcPr>
          <w:p w14:paraId="48264001" w14:textId="77777777" w:rsidR="00EB1DF4" w:rsidRPr="00FA3F57" w:rsidRDefault="00EB1DF4" w:rsidP="00615D2C">
            <w:pPr>
              <w:snapToGrid w:val="0"/>
              <w:rPr>
                <w:sz w:val="20"/>
                <w:szCs w:val="20"/>
              </w:rPr>
            </w:pPr>
            <w:r w:rsidRPr="00FA3F57">
              <w:rPr>
                <w:sz w:val="20"/>
                <w:szCs w:val="20"/>
              </w:rPr>
              <w:t>U1 Completion of the investment cycle of existing surface mines and opening of replacement capacities for coal production</w:t>
            </w:r>
          </w:p>
        </w:tc>
        <w:tc>
          <w:tcPr>
            <w:tcW w:w="409" w:type="pct"/>
            <w:vMerge w:val="restart"/>
            <w:vAlign w:val="center"/>
          </w:tcPr>
          <w:p w14:paraId="7E725255" w14:textId="77777777" w:rsidR="00EB1DF4" w:rsidRPr="00FA3F57" w:rsidRDefault="00EB1DF4" w:rsidP="00615D2C">
            <w:pPr>
              <w:snapToGrid w:val="0"/>
              <w:jc w:val="center"/>
              <w:rPr>
                <w:sz w:val="20"/>
                <w:szCs w:val="20"/>
              </w:rPr>
            </w:pPr>
            <w:r w:rsidRPr="00FA3F57">
              <w:rPr>
                <w:sz w:val="20"/>
                <w:szCs w:val="20"/>
              </w:rPr>
              <w:t>Inv.</w:t>
            </w:r>
          </w:p>
        </w:tc>
        <w:tc>
          <w:tcPr>
            <w:tcW w:w="554" w:type="pct"/>
            <w:vAlign w:val="center"/>
          </w:tcPr>
          <w:p w14:paraId="02CD7D45" w14:textId="77777777" w:rsidR="00EB1DF4" w:rsidRPr="00FA3F57" w:rsidRDefault="00EB1DF4" w:rsidP="00615D2C">
            <w:pPr>
              <w:snapToGrid w:val="0"/>
              <w:jc w:val="center"/>
              <w:rPr>
                <w:sz w:val="20"/>
                <w:szCs w:val="20"/>
              </w:rPr>
            </w:pPr>
            <w:r w:rsidRPr="00FA3F57">
              <w:rPr>
                <w:sz w:val="20"/>
                <w:szCs w:val="20"/>
              </w:rPr>
              <w:t>2026.</w:t>
            </w:r>
          </w:p>
        </w:tc>
        <w:tc>
          <w:tcPr>
            <w:tcW w:w="1103" w:type="pct"/>
            <w:vAlign w:val="center"/>
          </w:tcPr>
          <w:p w14:paraId="204B733F" w14:textId="77777777" w:rsidR="00EB1DF4" w:rsidRPr="00FA3F57" w:rsidRDefault="00EB1DF4" w:rsidP="00615D2C">
            <w:pPr>
              <w:snapToGrid w:val="0"/>
              <w:jc w:val="right"/>
              <w:rPr>
                <w:sz w:val="20"/>
                <w:szCs w:val="20"/>
              </w:rPr>
            </w:pPr>
            <w:r w:rsidRPr="00FA3F57">
              <w:rPr>
                <w:sz w:val="20"/>
                <w:szCs w:val="20"/>
              </w:rPr>
              <w:t>16,535.0</w:t>
            </w:r>
          </w:p>
        </w:tc>
        <w:tc>
          <w:tcPr>
            <w:tcW w:w="1104" w:type="pct"/>
            <w:vAlign w:val="center"/>
          </w:tcPr>
          <w:p w14:paraId="0990EDB1" w14:textId="77777777" w:rsidR="00EB1DF4" w:rsidRPr="00FA3F57" w:rsidRDefault="00EB1DF4" w:rsidP="00615D2C">
            <w:pPr>
              <w:snapToGrid w:val="0"/>
              <w:jc w:val="center"/>
              <w:rPr>
                <w:sz w:val="20"/>
                <w:szCs w:val="20"/>
              </w:rPr>
            </w:pPr>
            <w:r w:rsidRPr="00FA3F57">
              <w:rPr>
                <w:sz w:val="20"/>
                <w:szCs w:val="20"/>
              </w:rPr>
              <w:t>141.023</w:t>
            </w:r>
          </w:p>
        </w:tc>
      </w:tr>
      <w:tr w:rsidR="00BB29B8" w:rsidRPr="00F07779" w14:paraId="1FBD8F26" w14:textId="77777777" w:rsidTr="00615D2C">
        <w:trPr>
          <w:trHeight w:val="488"/>
        </w:trPr>
        <w:tc>
          <w:tcPr>
            <w:tcW w:w="1830" w:type="pct"/>
            <w:vMerge/>
            <w:vAlign w:val="center"/>
          </w:tcPr>
          <w:p w14:paraId="1FBD4CCE" w14:textId="77777777" w:rsidR="00EB1DF4" w:rsidRPr="00FA3F57" w:rsidRDefault="00EB1DF4" w:rsidP="00615D2C">
            <w:pPr>
              <w:snapToGrid w:val="0"/>
              <w:rPr>
                <w:sz w:val="20"/>
                <w:szCs w:val="20"/>
              </w:rPr>
            </w:pPr>
          </w:p>
        </w:tc>
        <w:tc>
          <w:tcPr>
            <w:tcW w:w="409" w:type="pct"/>
            <w:vMerge/>
            <w:vAlign w:val="center"/>
          </w:tcPr>
          <w:p w14:paraId="3C382F23" w14:textId="77777777" w:rsidR="00EB1DF4" w:rsidRPr="00FA3F57" w:rsidRDefault="00EB1DF4" w:rsidP="00615D2C">
            <w:pPr>
              <w:snapToGrid w:val="0"/>
              <w:jc w:val="center"/>
              <w:rPr>
                <w:sz w:val="20"/>
                <w:szCs w:val="20"/>
              </w:rPr>
            </w:pPr>
          </w:p>
        </w:tc>
        <w:tc>
          <w:tcPr>
            <w:tcW w:w="554" w:type="pct"/>
            <w:vAlign w:val="center"/>
          </w:tcPr>
          <w:p w14:paraId="52752350" w14:textId="77777777" w:rsidR="00EB1DF4" w:rsidRPr="00FA3F57" w:rsidRDefault="00EB1DF4" w:rsidP="00615D2C">
            <w:pPr>
              <w:snapToGrid w:val="0"/>
              <w:jc w:val="center"/>
              <w:rPr>
                <w:sz w:val="20"/>
                <w:szCs w:val="20"/>
              </w:rPr>
            </w:pPr>
            <w:r w:rsidRPr="00FA3F57">
              <w:rPr>
                <w:sz w:val="20"/>
                <w:szCs w:val="20"/>
              </w:rPr>
              <w:t>2027.</w:t>
            </w:r>
          </w:p>
        </w:tc>
        <w:tc>
          <w:tcPr>
            <w:tcW w:w="1103" w:type="pct"/>
            <w:vAlign w:val="center"/>
          </w:tcPr>
          <w:p w14:paraId="72D8867B" w14:textId="77777777" w:rsidR="00EB1DF4" w:rsidRPr="00FA3F57" w:rsidRDefault="00EB1DF4" w:rsidP="00615D2C">
            <w:pPr>
              <w:snapToGrid w:val="0"/>
              <w:jc w:val="right"/>
              <w:rPr>
                <w:sz w:val="20"/>
                <w:szCs w:val="20"/>
              </w:rPr>
            </w:pPr>
            <w:r w:rsidRPr="00FA3F57">
              <w:rPr>
                <w:sz w:val="20"/>
                <w:szCs w:val="20"/>
              </w:rPr>
              <w:t>9,424.0</w:t>
            </w:r>
          </w:p>
        </w:tc>
        <w:tc>
          <w:tcPr>
            <w:tcW w:w="1104" w:type="pct"/>
            <w:vAlign w:val="center"/>
          </w:tcPr>
          <w:p w14:paraId="77AC1564" w14:textId="77777777" w:rsidR="00EB1DF4" w:rsidRPr="00FA3F57" w:rsidRDefault="00EB1DF4" w:rsidP="00615D2C">
            <w:pPr>
              <w:snapToGrid w:val="0"/>
              <w:jc w:val="center"/>
              <w:rPr>
                <w:sz w:val="20"/>
                <w:szCs w:val="20"/>
              </w:rPr>
            </w:pPr>
            <w:r w:rsidRPr="00FA3F57">
              <w:rPr>
                <w:sz w:val="20"/>
                <w:szCs w:val="20"/>
              </w:rPr>
              <w:t>80.375</w:t>
            </w:r>
          </w:p>
        </w:tc>
      </w:tr>
      <w:tr w:rsidR="00BB29B8" w:rsidRPr="00F07779" w14:paraId="05D40FC8" w14:textId="77777777" w:rsidTr="00615D2C">
        <w:trPr>
          <w:trHeight w:val="488"/>
        </w:trPr>
        <w:tc>
          <w:tcPr>
            <w:tcW w:w="1830" w:type="pct"/>
            <w:vMerge/>
            <w:vAlign w:val="center"/>
          </w:tcPr>
          <w:p w14:paraId="462954FC" w14:textId="77777777" w:rsidR="00EB1DF4" w:rsidRPr="00FA3F57" w:rsidRDefault="00EB1DF4" w:rsidP="00615D2C">
            <w:pPr>
              <w:snapToGrid w:val="0"/>
              <w:rPr>
                <w:sz w:val="20"/>
                <w:szCs w:val="20"/>
              </w:rPr>
            </w:pPr>
          </w:p>
        </w:tc>
        <w:tc>
          <w:tcPr>
            <w:tcW w:w="409" w:type="pct"/>
            <w:vMerge/>
            <w:vAlign w:val="center"/>
          </w:tcPr>
          <w:p w14:paraId="3AAE1985" w14:textId="77777777" w:rsidR="00EB1DF4" w:rsidRPr="00FA3F57" w:rsidRDefault="00EB1DF4" w:rsidP="00615D2C">
            <w:pPr>
              <w:snapToGrid w:val="0"/>
              <w:jc w:val="center"/>
              <w:rPr>
                <w:sz w:val="20"/>
                <w:szCs w:val="20"/>
              </w:rPr>
            </w:pPr>
          </w:p>
        </w:tc>
        <w:tc>
          <w:tcPr>
            <w:tcW w:w="554" w:type="pct"/>
            <w:vAlign w:val="center"/>
          </w:tcPr>
          <w:p w14:paraId="4415D237" w14:textId="77777777" w:rsidR="00EB1DF4" w:rsidRPr="00FA3F57" w:rsidRDefault="00EB1DF4" w:rsidP="00615D2C">
            <w:pPr>
              <w:snapToGrid w:val="0"/>
              <w:jc w:val="center"/>
              <w:rPr>
                <w:sz w:val="20"/>
                <w:szCs w:val="20"/>
              </w:rPr>
            </w:pPr>
            <w:r w:rsidRPr="00FA3F57">
              <w:rPr>
                <w:sz w:val="20"/>
                <w:szCs w:val="20"/>
              </w:rPr>
              <w:t>2028.</w:t>
            </w:r>
          </w:p>
        </w:tc>
        <w:tc>
          <w:tcPr>
            <w:tcW w:w="1103" w:type="pct"/>
            <w:vAlign w:val="center"/>
          </w:tcPr>
          <w:p w14:paraId="142E6C16" w14:textId="77777777" w:rsidR="00EB1DF4" w:rsidRPr="00FA3F57" w:rsidRDefault="00EB1DF4" w:rsidP="00615D2C">
            <w:pPr>
              <w:jc w:val="right"/>
              <w:rPr>
                <w:sz w:val="20"/>
                <w:szCs w:val="20"/>
                <w:lang w:eastAsia="en-US"/>
              </w:rPr>
            </w:pPr>
            <w:r w:rsidRPr="00FA3F57">
              <w:rPr>
                <w:sz w:val="20"/>
                <w:szCs w:val="20"/>
              </w:rPr>
              <w:t>8,021.0</w:t>
            </w:r>
          </w:p>
        </w:tc>
        <w:tc>
          <w:tcPr>
            <w:tcW w:w="1104" w:type="pct"/>
            <w:vAlign w:val="center"/>
          </w:tcPr>
          <w:p w14:paraId="53F5553E" w14:textId="77777777" w:rsidR="00EB1DF4" w:rsidRPr="00FA3F57" w:rsidRDefault="00EB1DF4" w:rsidP="00615D2C">
            <w:pPr>
              <w:jc w:val="center"/>
              <w:rPr>
                <w:sz w:val="20"/>
                <w:szCs w:val="20"/>
                <w:lang w:eastAsia="en-US"/>
              </w:rPr>
            </w:pPr>
            <w:r w:rsidRPr="00FA3F57">
              <w:rPr>
                <w:sz w:val="20"/>
                <w:szCs w:val="20"/>
              </w:rPr>
              <w:t>68.409</w:t>
            </w:r>
          </w:p>
        </w:tc>
      </w:tr>
      <w:tr w:rsidR="00BB29B8" w:rsidRPr="00F07779" w14:paraId="3B7873CC" w14:textId="77777777" w:rsidTr="00615D2C">
        <w:trPr>
          <w:trHeight w:val="287"/>
        </w:trPr>
        <w:tc>
          <w:tcPr>
            <w:tcW w:w="1830" w:type="pct"/>
            <w:vMerge w:val="restart"/>
            <w:vAlign w:val="center"/>
          </w:tcPr>
          <w:p w14:paraId="336E207B" w14:textId="77777777" w:rsidR="00EB1DF4" w:rsidRPr="00FA3F57" w:rsidRDefault="00EB1DF4" w:rsidP="00615D2C">
            <w:pPr>
              <w:snapToGrid w:val="0"/>
              <w:rPr>
                <w:sz w:val="20"/>
                <w:szCs w:val="20"/>
              </w:rPr>
            </w:pPr>
            <w:r w:rsidRPr="00FA3F57">
              <w:rPr>
                <w:sz w:val="20"/>
                <w:szCs w:val="20"/>
              </w:rPr>
              <w:t>U2 Introduction of an integrated coal quality management system</w:t>
            </w:r>
          </w:p>
        </w:tc>
        <w:tc>
          <w:tcPr>
            <w:tcW w:w="409" w:type="pct"/>
            <w:vMerge w:val="restart"/>
            <w:vAlign w:val="center"/>
          </w:tcPr>
          <w:p w14:paraId="22E0EAB3" w14:textId="77777777" w:rsidR="00EB1DF4" w:rsidRPr="00FA3F57" w:rsidRDefault="00EB1DF4" w:rsidP="00615D2C">
            <w:pPr>
              <w:snapToGrid w:val="0"/>
              <w:jc w:val="center"/>
              <w:rPr>
                <w:b/>
                <w:bCs/>
                <w:sz w:val="20"/>
                <w:szCs w:val="20"/>
              </w:rPr>
            </w:pPr>
            <w:r w:rsidRPr="00FA3F57">
              <w:rPr>
                <w:sz w:val="20"/>
                <w:szCs w:val="20"/>
              </w:rPr>
              <w:t>Inv.</w:t>
            </w:r>
          </w:p>
        </w:tc>
        <w:tc>
          <w:tcPr>
            <w:tcW w:w="554" w:type="pct"/>
            <w:vAlign w:val="center"/>
          </w:tcPr>
          <w:p w14:paraId="29988A9A" w14:textId="77777777" w:rsidR="00EB1DF4" w:rsidRPr="00FA3F57" w:rsidRDefault="00EB1DF4" w:rsidP="00615D2C">
            <w:pPr>
              <w:snapToGrid w:val="0"/>
              <w:jc w:val="center"/>
              <w:rPr>
                <w:sz w:val="20"/>
                <w:szCs w:val="20"/>
              </w:rPr>
            </w:pPr>
            <w:r w:rsidRPr="00FA3F57">
              <w:rPr>
                <w:sz w:val="20"/>
                <w:szCs w:val="20"/>
              </w:rPr>
              <w:t>2026.</w:t>
            </w:r>
          </w:p>
        </w:tc>
        <w:tc>
          <w:tcPr>
            <w:tcW w:w="1103" w:type="pct"/>
            <w:vAlign w:val="center"/>
          </w:tcPr>
          <w:p w14:paraId="5C0A0AEA" w14:textId="77777777" w:rsidR="00EB1DF4" w:rsidRPr="00FA3F57" w:rsidRDefault="00EB1DF4" w:rsidP="00615D2C">
            <w:pPr>
              <w:snapToGrid w:val="0"/>
              <w:jc w:val="right"/>
              <w:rPr>
                <w:sz w:val="20"/>
                <w:szCs w:val="20"/>
              </w:rPr>
            </w:pPr>
            <w:r w:rsidRPr="00FA3F57">
              <w:rPr>
                <w:sz w:val="20"/>
                <w:szCs w:val="20"/>
              </w:rPr>
              <w:t>37.703</w:t>
            </w:r>
          </w:p>
        </w:tc>
        <w:tc>
          <w:tcPr>
            <w:tcW w:w="1104" w:type="pct"/>
            <w:vAlign w:val="center"/>
          </w:tcPr>
          <w:p w14:paraId="08518C1A" w14:textId="77777777" w:rsidR="00EB1DF4" w:rsidRPr="00FA3F57" w:rsidRDefault="00EB1DF4" w:rsidP="00615D2C">
            <w:pPr>
              <w:snapToGrid w:val="0"/>
              <w:jc w:val="center"/>
              <w:rPr>
                <w:sz w:val="20"/>
                <w:szCs w:val="20"/>
              </w:rPr>
            </w:pPr>
            <w:r w:rsidRPr="00FA3F57">
              <w:rPr>
                <w:sz w:val="20"/>
                <w:szCs w:val="20"/>
              </w:rPr>
              <w:t>0.321</w:t>
            </w:r>
          </w:p>
        </w:tc>
      </w:tr>
      <w:tr w:rsidR="00BB29B8" w:rsidRPr="00F07779" w14:paraId="71FAF10C" w14:textId="77777777" w:rsidTr="00615D2C">
        <w:trPr>
          <w:trHeight w:val="300"/>
        </w:trPr>
        <w:tc>
          <w:tcPr>
            <w:tcW w:w="1830" w:type="pct"/>
            <w:vMerge/>
            <w:vAlign w:val="center"/>
          </w:tcPr>
          <w:p w14:paraId="16FF3559" w14:textId="77777777" w:rsidR="00EB1DF4" w:rsidRPr="00FA3F57" w:rsidRDefault="00EB1DF4" w:rsidP="00615D2C">
            <w:pPr>
              <w:snapToGrid w:val="0"/>
              <w:rPr>
                <w:sz w:val="20"/>
                <w:szCs w:val="20"/>
              </w:rPr>
            </w:pPr>
          </w:p>
        </w:tc>
        <w:tc>
          <w:tcPr>
            <w:tcW w:w="409" w:type="pct"/>
            <w:vMerge/>
            <w:vAlign w:val="center"/>
          </w:tcPr>
          <w:p w14:paraId="57AE61CF" w14:textId="77777777" w:rsidR="00EB1DF4" w:rsidRPr="00FA3F57" w:rsidRDefault="00EB1DF4" w:rsidP="00615D2C">
            <w:pPr>
              <w:snapToGrid w:val="0"/>
              <w:jc w:val="center"/>
              <w:rPr>
                <w:sz w:val="20"/>
                <w:szCs w:val="20"/>
              </w:rPr>
            </w:pPr>
          </w:p>
        </w:tc>
        <w:tc>
          <w:tcPr>
            <w:tcW w:w="554" w:type="pct"/>
            <w:vAlign w:val="center"/>
          </w:tcPr>
          <w:p w14:paraId="57EB312B" w14:textId="77777777" w:rsidR="00EB1DF4" w:rsidRPr="00FA3F57" w:rsidRDefault="00EB1DF4" w:rsidP="00615D2C">
            <w:pPr>
              <w:snapToGrid w:val="0"/>
              <w:jc w:val="center"/>
              <w:rPr>
                <w:sz w:val="20"/>
                <w:szCs w:val="20"/>
              </w:rPr>
            </w:pPr>
            <w:r w:rsidRPr="00FA3F57">
              <w:rPr>
                <w:sz w:val="20"/>
                <w:szCs w:val="20"/>
              </w:rPr>
              <w:t>2027.</w:t>
            </w:r>
          </w:p>
        </w:tc>
        <w:tc>
          <w:tcPr>
            <w:tcW w:w="1103" w:type="pct"/>
            <w:vAlign w:val="center"/>
          </w:tcPr>
          <w:p w14:paraId="74CA18D5" w14:textId="77777777" w:rsidR="00EB1DF4" w:rsidRPr="00FA3F57" w:rsidRDefault="00EB1DF4" w:rsidP="00615D2C">
            <w:pPr>
              <w:snapToGrid w:val="0"/>
              <w:jc w:val="right"/>
              <w:rPr>
                <w:sz w:val="20"/>
                <w:szCs w:val="20"/>
              </w:rPr>
            </w:pPr>
          </w:p>
        </w:tc>
        <w:tc>
          <w:tcPr>
            <w:tcW w:w="1104" w:type="pct"/>
            <w:vAlign w:val="center"/>
          </w:tcPr>
          <w:p w14:paraId="082797E5" w14:textId="77777777" w:rsidR="00EB1DF4" w:rsidRPr="00FA3F57" w:rsidRDefault="00EB1DF4" w:rsidP="00615D2C">
            <w:pPr>
              <w:snapToGrid w:val="0"/>
              <w:jc w:val="center"/>
              <w:rPr>
                <w:sz w:val="20"/>
                <w:szCs w:val="20"/>
              </w:rPr>
            </w:pPr>
          </w:p>
        </w:tc>
      </w:tr>
      <w:tr w:rsidR="00BB29B8" w:rsidRPr="00F07779" w14:paraId="25B2F3C8" w14:textId="77777777" w:rsidTr="00615D2C">
        <w:trPr>
          <w:trHeight w:val="300"/>
        </w:trPr>
        <w:tc>
          <w:tcPr>
            <w:tcW w:w="1830" w:type="pct"/>
            <w:vMerge/>
            <w:vAlign w:val="center"/>
          </w:tcPr>
          <w:p w14:paraId="42FE56CA" w14:textId="77777777" w:rsidR="00EB1DF4" w:rsidRPr="00FA3F57" w:rsidRDefault="00EB1DF4" w:rsidP="00615D2C">
            <w:pPr>
              <w:snapToGrid w:val="0"/>
              <w:rPr>
                <w:sz w:val="20"/>
                <w:szCs w:val="20"/>
              </w:rPr>
            </w:pPr>
          </w:p>
        </w:tc>
        <w:tc>
          <w:tcPr>
            <w:tcW w:w="409" w:type="pct"/>
            <w:vMerge/>
            <w:vAlign w:val="center"/>
          </w:tcPr>
          <w:p w14:paraId="32545FC5" w14:textId="77777777" w:rsidR="00EB1DF4" w:rsidRPr="00FA3F57" w:rsidRDefault="00EB1DF4" w:rsidP="00615D2C">
            <w:pPr>
              <w:snapToGrid w:val="0"/>
              <w:jc w:val="center"/>
              <w:rPr>
                <w:sz w:val="20"/>
                <w:szCs w:val="20"/>
              </w:rPr>
            </w:pPr>
          </w:p>
        </w:tc>
        <w:tc>
          <w:tcPr>
            <w:tcW w:w="554" w:type="pct"/>
            <w:vAlign w:val="center"/>
          </w:tcPr>
          <w:p w14:paraId="69EAE0FB" w14:textId="77777777" w:rsidR="00EB1DF4" w:rsidRPr="00FA3F57" w:rsidRDefault="00EB1DF4" w:rsidP="00615D2C">
            <w:pPr>
              <w:snapToGrid w:val="0"/>
              <w:jc w:val="center"/>
              <w:rPr>
                <w:sz w:val="20"/>
                <w:szCs w:val="20"/>
              </w:rPr>
            </w:pPr>
            <w:r w:rsidRPr="00FA3F57">
              <w:rPr>
                <w:sz w:val="20"/>
                <w:szCs w:val="20"/>
              </w:rPr>
              <w:t>2028.</w:t>
            </w:r>
          </w:p>
        </w:tc>
        <w:tc>
          <w:tcPr>
            <w:tcW w:w="1103" w:type="pct"/>
            <w:vAlign w:val="center"/>
          </w:tcPr>
          <w:p w14:paraId="72C5E3E8" w14:textId="77777777" w:rsidR="00EB1DF4" w:rsidRPr="00FA3F57" w:rsidRDefault="00EB1DF4" w:rsidP="00615D2C">
            <w:pPr>
              <w:snapToGrid w:val="0"/>
              <w:jc w:val="right"/>
              <w:rPr>
                <w:sz w:val="20"/>
                <w:szCs w:val="20"/>
              </w:rPr>
            </w:pPr>
            <w:r w:rsidRPr="00FA3F57">
              <w:rPr>
                <w:sz w:val="20"/>
                <w:szCs w:val="20"/>
              </w:rPr>
              <w:t>537.174</w:t>
            </w:r>
          </w:p>
        </w:tc>
        <w:tc>
          <w:tcPr>
            <w:tcW w:w="1104" w:type="pct"/>
            <w:vAlign w:val="center"/>
          </w:tcPr>
          <w:p w14:paraId="2CC53C9C" w14:textId="77777777" w:rsidR="00EB1DF4" w:rsidRPr="00FA3F57" w:rsidRDefault="00EB1DF4" w:rsidP="00615D2C">
            <w:pPr>
              <w:snapToGrid w:val="0"/>
              <w:jc w:val="center"/>
              <w:rPr>
                <w:sz w:val="20"/>
                <w:szCs w:val="20"/>
              </w:rPr>
            </w:pPr>
            <w:r w:rsidRPr="00FA3F57">
              <w:rPr>
                <w:sz w:val="20"/>
                <w:szCs w:val="20"/>
              </w:rPr>
              <w:t>4.581</w:t>
            </w:r>
          </w:p>
        </w:tc>
      </w:tr>
      <w:tr w:rsidR="00BB29B8" w:rsidRPr="00F07779" w14:paraId="6364746C" w14:textId="77777777" w:rsidTr="00615D2C">
        <w:trPr>
          <w:trHeight w:val="359"/>
        </w:trPr>
        <w:tc>
          <w:tcPr>
            <w:tcW w:w="1830" w:type="pct"/>
            <w:vMerge w:val="restart"/>
            <w:vAlign w:val="center"/>
          </w:tcPr>
          <w:p w14:paraId="5D3F0197" w14:textId="77777777" w:rsidR="00EB1DF4" w:rsidRPr="00FA3F57" w:rsidRDefault="00EB1DF4" w:rsidP="00615D2C">
            <w:pPr>
              <w:snapToGrid w:val="0"/>
              <w:rPr>
                <w:sz w:val="20"/>
                <w:szCs w:val="20"/>
              </w:rPr>
            </w:pPr>
            <w:r w:rsidRPr="00FA3F57">
              <w:rPr>
                <w:sz w:val="20"/>
                <w:szCs w:val="20"/>
              </w:rPr>
              <w:t>U3 Optimization and concentration of coal production from underground mining in profitable facilities</w:t>
            </w:r>
          </w:p>
        </w:tc>
        <w:tc>
          <w:tcPr>
            <w:tcW w:w="409" w:type="pct"/>
            <w:vMerge w:val="restart"/>
            <w:vAlign w:val="center"/>
          </w:tcPr>
          <w:p w14:paraId="552CF810" w14:textId="77777777" w:rsidR="00EB1DF4" w:rsidRPr="00FA3F57" w:rsidRDefault="00EB1DF4" w:rsidP="00615D2C">
            <w:pPr>
              <w:snapToGrid w:val="0"/>
              <w:jc w:val="center"/>
              <w:rPr>
                <w:sz w:val="20"/>
                <w:szCs w:val="20"/>
              </w:rPr>
            </w:pPr>
            <w:r w:rsidRPr="00FA3F57">
              <w:rPr>
                <w:sz w:val="20"/>
                <w:szCs w:val="20"/>
              </w:rPr>
              <w:t>Inv.</w:t>
            </w:r>
          </w:p>
        </w:tc>
        <w:tc>
          <w:tcPr>
            <w:tcW w:w="554" w:type="pct"/>
            <w:vAlign w:val="center"/>
          </w:tcPr>
          <w:p w14:paraId="39356178" w14:textId="77777777" w:rsidR="00EB1DF4" w:rsidRPr="00FA3F57" w:rsidRDefault="00EB1DF4" w:rsidP="00615D2C">
            <w:pPr>
              <w:snapToGrid w:val="0"/>
              <w:jc w:val="center"/>
              <w:rPr>
                <w:sz w:val="20"/>
                <w:szCs w:val="20"/>
              </w:rPr>
            </w:pPr>
            <w:r w:rsidRPr="00FA3F57">
              <w:rPr>
                <w:sz w:val="20"/>
                <w:szCs w:val="20"/>
              </w:rPr>
              <w:t>2026.</w:t>
            </w:r>
          </w:p>
        </w:tc>
        <w:tc>
          <w:tcPr>
            <w:tcW w:w="1103" w:type="pct"/>
            <w:vAlign w:val="center"/>
          </w:tcPr>
          <w:p w14:paraId="4FE90266" w14:textId="77777777" w:rsidR="00EB1DF4" w:rsidRPr="00FA3F57" w:rsidRDefault="00EB1DF4" w:rsidP="00615D2C">
            <w:pPr>
              <w:snapToGrid w:val="0"/>
              <w:jc w:val="right"/>
              <w:rPr>
                <w:sz w:val="20"/>
                <w:szCs w:val="20"/>
              </w:rPr>
            </w:pPr>
            <w:r w:rsidRPr="00FA3F57">
              <w:rPr>
                <w:sz w:val="20"/>
                <w:szCs w:val="20"/>
              </w:rPr>
              <w:t>1,139.850</w:t>
            </w:r>
          </w:p>
        </w:tc>
        <w:tc>
          <w:tcPr>
            <w:tcW w:w="1104" w:type="pct"/>
            <w:vAlign w:val="center"/>
          </w:tcPr>
          <w:p w14:paraId="390DD9AC" w14:textId="77777777" w:rsidR="00EB1DF4" w:rsidRPr="00FA3F57" w:rsidRDefault="00EB1DF4" w:rsidP="00615D2C">
            <w:pPr>
              <w:snapToGrid w:val="0"/>
              <w:jc w:val="center"/>
              <w:rPr>
                <w:sz w:val="20"/>
                <w:szCs w:val="20"/>
              </w:rPr>
            </w:pPr>
            <w:r w:rsidRPr="00FA3F57">
              <w:rPr>
                <w:sz w:val="20"/>
                <w:szCs w:val="20"/>
              </w:rPr>
              <w:t>9.722</w:t>
            </w:r>
          </w:p>
        </w:tc>
      </w:tr>
      <w:tr w:rsidR="00BB29B8" w:rsidRPr="00F07779" w14:paraId="531BEB7F" w14:textId="77777777" w:rsidTr="00615D2C">
        <w:trPr>
          <w:trHeight w:val="359"/>
        </w:trPr>
        <w:tc>
          <w:tcPr>
            <w:tcW w:w="1830" w:type="pct"/>
            <w:vMerge/>
          </w:tcPr>
          <w:p w14:paraId="1FD34461" w14:textId="77777777" w:rsidR="00EB1DF4" w:rsidRPr="00FA3F57" w:rsidRDefault="00EB1DF4" w:rsidP="00615D2C">
            <w:pPr>
              <w:snapToGrid w:val="0"/>
              <w:rPr>
                <w:sz w:val="20"/>
                <w:szCs w:val="20"/>
              </w:rPr>
            </w:pPr>
          </w:p>
        </w:tc>
        <w:tc>
          <w:tcPr>
            <w:tcW w:w="409" w:type="pct"/>
            <w:vMerge/>
          </w:tcPr>
          <w:p w14:paraId="06F2FB5C" w14:textId="77777777" w:rsidR="00EB1DF4" w:rsidRPr="00FA3F57" w:rsidRDefault="00EB1DF4" w:rsidP="00615D2C">
            <w:pPr>
              <w:snapToGrid w:val="0"/>
              <w:jc w:val="both"/>
              <w:rPr>
                <w:sz w:val="20"/>
                <w:szCs w:val="20"/>
              </w:rPr>
            </w:pPr>
          </w:p>
        </w:tc>
        <w:tc>
          <w:tcPr>
            <w:tcW w:w="554" w:type="pct"/>
            <w:vAlign w:val="center"/>
          </w:tcPr>
          <w:p w14:paraId="32A19BCA" w14:textId="77777777" w:rsidR="00EB1DF4" w:rsidRPr="00FA3F57" w:rsidRDefault="00EB1DF4" w:rsidP="00615D2C">
            <w:pPr>
              <w:snapToGrid w:val="0"/>
              <w:jc w:val="center"/>
              <w:rPr>
                <w:sz w:val="20"/>
                <w:szCs w:val="20"/>
              </w:rPr>
            </w:pPr>
            <w:r w:rsidRPr="00FA3F57">
              <w:rPr>
                <w:sz w:val="20"/>
                <w:szCs w:val="20"/>
              </w:rPr>
              <w:t>2027.</w:t>
            </w:r>
          </w:p>
        </w:tc>
        <w:tc>
          <w:tcPr>
            <w:tcW w:w="1103" w:type="pct"/>
            <w:vAlign w:val="center"/>
          </w:tcPr>
          <w:p w14:paraId="7CE26407" w14:textId="77777777" w:rsidR="00EB1DF4" w:rsidRPr="00FA3F57" w:rsidRDefault="00EB1DF4" w:rsidP="00615D2C">
            <w:pPr>
              <w:snapToGrid w:val="0"/>
              <w:jc w:val="right"/>
              <w:rPr>
                <w:sz w:val="20"/>
                <w:szCs w:val="20"/>
              </w:rPr>
            </w:pPr>
            <w:r w:rsidRPr="00FA3F57">
              <w:rPr>
                <w:sz w:val="20"/>
                <w:szCs w:val="20"/>
              </w:rPr>
              <w:t>988.853</w:t>
            </w:r>
          </w:p>
        </w:tc>
        <w:tc>
          <w:tcPr>
            <w:tcW w:w="1104" w:type="pct"/>
            <w:vAlign w:val="center"/>
          </w:tcPr>
          <w:p w14:paraId="142463F8" w14:textId="77777777" w:rsidR="00EB1DF4" w:rsidRPr="00FA3F57" w:rsidRDefault="00EB1DF4" w:rsidP="00615D2C">
            <w:pPr>
              <w:snapToGrid w:val="0"/>
              <w:jc w:val="center"/>
              <w:rPr>
                <w:sz w:val="20"/>
                <w:szCs w:val="20"/>
              </w:rPr>
            </w:pPr>
            <w:r w:rsidRPr="00FA3F57">
              <w:rPr>
                <w:sz w:val="20"/>
                <w:szCs w:val="20"/>
              </w:rPr>
              <w:t>8.434</w:t>
            </w:r>
          </w:p>
        </w:tc>
      </w:tr>
      <w:tr w:rsidR="00BB29B8" w:rsidRPr="00F07779" w14:paraId="503569F8" w14:textId="77777777" w:rsidTr="00615D2C">
        <w:trPr>
          <w:trHeight w:val="359"/>
        </w:trPr>
        <w:tc>
          <w:tcPr>
            <w:tcW w:w="1830" w:type="pct"/>
            <w:vMerge/>
          </w:tcPr>
          <w:p w14:paraId="71264F22" w14:textId="77777777" w:rsidR="00EB1DF4" w:rsidRPr="00FA3F57" w:rsidRDefault="00EB1DF4" w:rsidP="00615D2C">
            <w:pPr>
              <w:snapToGrid w:val="0"/>
              <w:rPr>
                <w:sz w:val="20"/>
                <w:szCs w:val="20"/>
              </w:rPr>
            </w:pPr>
          </w:p>
        </w:tc>
        <w:tc>
          <w:tcPr>
            <w:tcW w:w="409" w:type="pct"/>
            <w:vMerge/>
          </w:tcPr>
          <w:p w14:paraId="65B6D00C" w14:textId="77777777" w:rsidR="00EB1DF4" w:rsidRPr="00FA3F57" w:rsidRDefault="00EB1DF4" w:rsidP="00615D2C">
            <w:pPr>
              <w:snapToGrid w:val="0"/>
              <w:jc w:val="both"/>
              <w:rPr>
                <w:sz w:val="20"/>
                <w:szCs w:val="20"/>
              </w:rPr>
            </w:pPr>
          </w:p>
        </w:tc>
        <w:tc>
          <w:tcPr>
            <w:tcW w:w="554" w:type="pct"/>
            <w:vAlign w:val="center"/>
          </w:tcPr>
          <w:p w14:paraId="31585093" w14:textId="77777777" w:rsidR="00EB1DF4" w:rsidRPr="00FA3F57" w:rsidRDefault="00EB1DF4" w:rsidP="00615D2C">
            <w:pPr>
              <w:snapToGrid w:val="0"/>
              <w:jc w:val="center"/>
              <w:rPr>
                <w:sz w:val="20"/>
                <w:szCs w:val="20"/>
              </w:rPr>
            </w:pPr>
            <w:r w:rsidRPr="00FA3F57">
              <w:rPr>
                <w:sz w:val="20"/>
                <w:szCs w:val="20"/>
              </w:rPr>
              <w:t>2028.</w:t>
            </w:r>
          </w:p>
        </w:tc>
        <w:tc>
          <w:tcPr>
            <w:tcW w:w="1103" w:type="pct"/>
            <w:vAlign w:val="center"/>
          </w:tcPr>
          <w:p w14:paraId="2417E6AE" w14:textId="77777777" w:rsidR="00EB1DF4" w:rsidRPr="00FA3F57" w:rsidRDefault="00EB1DF4" w:rsidP="00615D2C">
            <w:pPr>
              <w:snapToGrid w:val="0"/>
              <w:jc w:val="right"/>
              <w:rPr>
                <w:sz w:val="20"/>
                <w:szCs w:val="20"/>
              </w:rPr>
            </w:pPr>
            <w:r w:rsidRPr="00FA3F57">
              <w:rPr>
                <w:sz w:val="20"/>
                <w:szCs w:val="20"/>
              </w:rPr>
              <w:t>1,110.769</w:t>
            </w:r>
          </w:p>
        </w:tc>
        <w:tc>
          <w:tcPr>
            <w:tcW w:w="1104" w:type="pct"/>
            <w:vAlign w:val="center"/>
          </w:tcPr>
          <w:p w14:paraId="43F95B6E" w14:textId="77777777" w:rsidR="00EB1DF4" w:rsidRPr="00FA3F57" w:rsidRDefault="00EB1DF4" w:rsidP="00615D2C">
            <w:pPr>
              <w:snapToGrid w:val="0"/>
              <w:jc w:val="center"/>
              <w:rPr>
                <w:sz w:val="20"/>
                <w:szCs w:val="20"/>
              </w:rPr>
            </w:pPr>
            <w:r w:rsidRPr="00FA3F57">
              <w:rPr>
                <w:sz w:val="20"/>
                <w:szCs w:val="20"/>
              </w:rPr>
              <w:t>9.477</w:t>
            </w:r>
          </w:p>
        </w:tc>
      </w:tr>
      <w:tr w:rsidR="00BB29B8" w:rsidRPr="00F07779" w14:paraId="18F42186" w14:textId="77777777" w:rsidTr="00615D2C">
        <w:trPr>
          <w:trHeight w:val="300"/>
        </w:trPr>
        <w:tc>
          <w:tcPr>
            <w:tcW w:w="2793" w:type="pct"/>
            <w:gridSpan w:val="3"/>
          </w:tcPr>
          <w:p w14:paraId="2C2F3539" w14:textId="77777777" w:rsidR="00EB1DF4" w:rsidRPr="00FA3F57" w:rsidRDefault="00EB1DF4" w:rsidP="00615D2C">
            <w:pPr>
              <w:snapToGrid w:val="0"/>
              <w:jc w:val="center"/>
              <w:rPr>
                <w:sz w:val="20"/>
                <w:szCs w:val="20"/>
              </w:rPr>
            </w:pPr>
            <w:r w:rsidRPr="00FA3F57">
              <w:rPr>
                <w:sz w:val="20"/>
                <w:szCs w:val="20"/>
              </w:rPr>
              <w:t>Total</w:t>
            </w:r>
          </w:p>
        </w:tc>
        <w:tc>
          <w:tcPr>
            <w:tcW w:w="1103" w:type="pct"/>
          </w:tcPr>
          <w:p w14:paraId="2A19954A" w14:textId="77777777" w:rsidR="00EB1DF4" w:rsidRPr="00FA3F57" w:rsidRDefault="00EB1DF4" w:rsidP="00615D2C">
            <w:pPr>
              <w:snapToGrid w:val="0"/>
              <w:jc w:val="right"/>
              <w:rPr>
                <w:sz w:val="20"/>
                <w:szCs w:val="20"/>
              </w:rPr>
            </w:pPr>
            <w:r w:rsidRPr="00FA3F57">
              <w:rPr>
                <w:sz w:val="20"/>
                <w:szCs w:val="20"/>
              </w:rPr>
              <w:t>37,794.350</w:t>
            </w:r>
          </w:p>
        </w:tc>
        <w:tc>
          <w:tcPr>
            <w:tcW w:w="1104" w:type="pct"/>
          </w:tcPr>
          <w:p w14:paraId="3280F999" w14:textId="77777777" w:rsidR="00EB1DF4" w:rsidRPr="00FA3F57" w:rsidRDefault="00EB1DF4" w:rsidP="00615D2C">
            <w:pPr>
              <w:snapToGrid w:val="0"/>
              <w:jc w:val="center"/>
              <w:rPr>
                <w:sz w:val="20"/>
                <w:szCs w:val="20"/>
              </w:rPr>
            </w:pPr>
            <w:r w:rsidRPr="00FA3F57">
              <w:rPr>
                <w:sz w:val="20"/>
                <w:szCs w:val="20"/>
              </w:rPr>
              <w:t>322.340</w:t>
            </w:r>
          </w:p>
        </w:tc>
      </w:tr>
    </w:tbl>
    <w:p w14:paraId="68B6DB55" w14:textId="59D4A582" w:rsidR="00EB1DF4" w:rsidRPr="00F07779" w:rsidRDefault="00EB1DF4" w:rsidP="00EB1DF4">
      <w:pPr>
        <w:jc w:val="both"/>
        <w:rPr>
          <w:sz w:val="20"/>
          <w:szCs w:val="20"/>
        </w:rPr>
      </w:pPr>
      <w:r w:rsidRPr="00F07779">
        <w:rPr>
          <w:sz w:val="20"/>
          <w:szCs w:val="20"/>
        </w:rPr>
        <w:t>*Inv - Investment, R - Regulatory, I - Incentive, Inf - Informative, IG – Institutional/governance, F – Financial</w:t>
      </w:r>
    </w:p>
    <w:p w14:paraId="649A1BAE" w14:textId="77777777" w:rsidR="00EB1DF4" w:rsidRPr="00F07779" w:rsidRDefault="00EB1DF4" w:rsidP="00EB1DF4">
      <w:pPr>
        <w:jc w:val="both"/>
      </w:pPr>
    </w:p>
    <w:p w14:paraId="4A093AEC" w14:textId="77777777" w:rsidR="00EB1DF4" w:rsidRPr="00FA3F57" w:rsidRDefault="00EB1DF4" w:rsidP="00EB1DF4">
      <w:pPr>
        <w:jc w:val="both"/>
      </w:pPr>
      <w:r w:rsidRPr="00FA3F57">
        <w:t>Table 5.7.2 presents the adopted development objectives of the coal sector, the measures to achieve these objectives, the indicators for monitoring implementation, the indicator values for 2023, and the projected values for 2027.</w:t>
      </w:r>
    </w:p>
    <w:p w14:paraId="5F2650EA" w14:textId="77777777" w:rsidR="00EB1DF4" w:rsidRPr="00F07779" w:rsidRDefault="00EB1DF4" w:rsidP="00EB1DF4">
      <w:pPr>
        <w:tabs>
          <w:tab w:val="left" w:pos="284"/>
        </w:tabs>
      </w:pPr>
    </w:p>
    <w:p w14:paraId="5BFB1166" w14:textId="77777777" w:rsidR="00EB1DF4" w:rsidRPr="00FA3F57" w:rsidRDefault="00EB1DF4" w:rsidP="00EB1DF4">
      <w:pPr>
        <w:pStyle w:val="ListParagraph"/>
        <w:tabs>
          <w:tab w:val="left" w:pos="284"/>
        </w:tabs>
        <w:ind w:left="426" w:hanging="426"/>
        <w:rPr>
          <w:rFonts w:ascii="Times New Roman" w:hAnsi="Times New Roman" w:cs="Times New Roman"/>
          <w:noProof w:val="0"/>
        </w:rPr>
      </w:pPr>
      <w:r w:rsidRPr="00FA3F57">
        <w:rPr>
          <w:rFonts w:ascii="Times New Roman" w:hAnsi="Times New Roman" w:cs="Times New Roman"/>
          <w:noProof w:val="0"/>
        </w:rPr>
        <w:t>Table 5.7.2: Objectives, measures, and indicators in the coal sector</w:t>
      </w:r>
    </w:p>
    <w:tbl>
      <w:tblPr>
        <w:tblStyle w:val="TableGrid1"/>
        <w:tblW w:w="0" w:type="auto"/>
        <w:tblLook w:val="04A0" w:firstRow="1" w:lastRow="0" w:firstColumn="1" w:lastColumn="0" w:noHBand="0" w:noVBand="1"/>
      </w:tblPr>
      <w:tblGrid>
        <w:gridCol w:w="694"/>
        <w:gridCol w:w="1418"/>
        <w:gridCol w:w="3685"/>
        <w:gridCol w:w="2898"/>
      </w:tblGrid>
      <w:tr w:rsidR="00EB1DF4" w:rsidRPr="00F07779" w14:paraId="1DE5A2EE" w14:textId="77777777" w:rsidTr="00615D2C">
        <w:tc>
          <w:tcPr>
            <w:tcW w:w="2112" w:type="dxa"/>
            <w:gridSpan w:val="2"/>
            <w:hideMark/>
          </w:tcPr>
          <w:p w14:paraId="49D76194" w14:textId="77777777" w:rsidR="00EB1DF4" w:rsidRPr="00F07779" w:rsidRDefault="00EB1DF4" w:rsidP="00615D2C">
            <w:pPr>
              <w:rPr>
                <w:rFonts w:eastAsia="Calibri"/>
                <w:b/>
                <w:bCs/>
                <w:color w:val="2F5496"/>
                <w:sz w:val="20"/>
                <w:szCs w:val="20"/>
                <w:lang w:val="en-US"/>
              </w:rPr>
            </w:pPr>
            <w:r w:rsidRPr="00F07779">
              <w:rPr>
                <w:rFonts w:eastAsia="Calibri"/>
                <w:b/>
                <w:bCs/>
                <w:color w:val="2F5496"/>
                <w:sz w:val="20"/>
                <w:szCs w:val="20"/>
                <w:lang w:val="en-US"/>
              </w:rPr>
              <w:lastRenderedPageBreak/>
              <w:t>Objectives</w:t>
            </w:r>
          </w:p>
        </w:tc>
        <w:tc>
          <w:tcPr>
            <w:tcW w:w="3685" w:type="dxa"/>
            <w:hideMark/>
          </w:tcPr>
          <w:p w14:paraId="66C73757" w14:textId="77777777" w:rsidR="00EB1DF4" w:rsidRPr="00F07779" w:rsidRDefault="00EB1DF4" w:rsidP="00615D2C">
            <w:pPr>
              <w:pStyle w:val="ListParagraph"/>
              <w:numPr>
                <w:ilvl w:val="0"/>
                <w:numId w:val="1"/>
              </w:numPr>
              <w:ind w:left="129" w:hanging="187"/>
              <w:rPr>
                <w:rFonts w:ascii="Times New Roman" w:eastAsia="Calibri" w:hAnsi="Times New Roman" w:cs="Times New Roman"/>
                <w:noProof w:val="0"/>
                <w:color w:val="2F5496"/>
                <w:sz w:val="20"/>
                <w:szCs w:val="20"/>
                <w:lang w:val="en-US"/>
              </w:rPr>
            </w:pPr>
            <w:r w:rsidRPr="00F07779">
              <w:rPr>
                <w:rFonts w:ascii="Times New Roman" w:eastAsia="Calibri" w:hAnsi="Times New Roman" w:cs="Times New Roman"/>
                <w:noProof w:val="0"/>
                <w:color w:val="2F5496"/>
                <w:sz w:val="20"/>
                <w:szCs w:val="20"/>
                <w:lang w:val="en-US"/>
              </w:rPr>
              <w:t>Secure and reliable supply of thermal power capacities</w:t>
            </w:r>
          </w:p>
        </w:tc>
        <w:tc>
          <w:tcPr>
            <w:tcW w:w="2898" w:type="dxa"/>
            <w:hideMark/>
          </w:tcPr>
          <w:p w14:paraId="03A2F6E0" w14:textId="77777777" w:rsidR="00EB1DF4" w:rsidRPr="00F07779" w:rsidRDefault="00EB1DF4" w:rsidP="00615D2C">
            <w:pPr>
              <w:pStyle w:val="ListParagraph"/>
              <w:numPr>
                <w:ilvl w:val="0"/>
                <w:numId w:val="1"/>
              </w:numPr>
              <w:ind w:left="129" w:hanging="187"/>
              <w:rPr>
                <w:rFonts w:ascii="Times New Roman" w:eastAsia="Calibri" w:hAnsi="Times New Roman" w:cs="Times New Roman"/>
                <w:noProof w:val="0"/>
                <w:color w:val="2F5496"/>
                <w:sz w:val="20"/>
                <w:szCs w:val="20"/>
                <w:lang w:val="en-US"/>
              </w:rPr>
            </w:pPr>
            <w:r w:rsidRPr="00F07779">
              <w:rPr>
                <w:rFonts w:ascii="Times New Roman" w:eastAsia="Calibri" w:hAnsi="Times New Roman" w:cs="Times New Roman"/>
                <w:noProof w:val="0"/>
                <w:color w:val="2F5496"/>
                <w:sz w:val="20"/>
                <w:szCs w:val="20"/>
                <w:lang w:val="en-US"/>
              </w:rPr>
              <w:t xml:space="preserve">Ensuring coal in the required quantity and quality for final consumption and </w:t>
            </w:r>
            <w:proofErr w:type="gramStart"/>
            <w:r w:rsidRPr="00F07779">
              <w:rPr>
                <w:rFonts w:ascii="Times New Roman" w:eastAsia="Calibri" w:hAnsi="Times New Roman" w:cs="Times New Roman"/>
                <w:noProof w:val="0"/>
                <w:color w:val="2F5496"/>
                <w:sz w:val="20"/>
                <w:szCs w:val="20"/>
                <w:lang w:val="en-US"/>
              </w:rPr>
              <w:t>for the production of</w:t>
            </w:r>
            <w:proofErr w:type="gramEnd"/>
            <w:r w:rsidRPr="00F07779">
              <w:rPr>
                <w:rFonts w:ascii="Times New Roman" w:eastAsia="Calibri" w:hAnsi="Times New Roman" w:cs="Times New Roman"/>
                <w:noProof w:val="0"/>
                <w:color w:val="2F5496"/>
                <w:sz w:val="20"/>
                <w:szCs w:val="20"/>
                <w:lang w:val="en-US"/>
              </w:rPr>
              <w:t xml:space="preserve"> thermal energy</w:t>
            </w:r>
          </w:p>
        </w:tc>
      </w:tr>
      <w:tr w:rsidR="00EB1DF4" w:rsidRPr="00F07779" w14:paraId="2C34D00B" w14:textId="77777777" w:rsidTr="00615D2C">
        <w:tc>
          <w:tcPr>
            <w:tcW w:w="2112" w:type="dxa"/>
            <w:gridSpan w:val="2"/>
            <w:hideMark/>
          </w:tcPr>
          <w:p w14:paraId="0DA836BE" w14:textId="77777777" w:rsidR="00EB1DF4" w:rsidRPr="00F07779" w:rsidRDefault="00EB1DF4" w:rsidP="00615D2C">
            <w:pPr>
              <w:rPr>
                <w:rFonts w:eastAsia="Calibri"/>
                <w:b/>
                <w:bCs/>
                <w:color w:val="2F5496"/>
                <w:sz w:val="20"/>
                <w:szCs w:val="20"/>
                <w:lang w:val="en-US"/>
              </w:rPr>
            </w:pPr>
            <w:r w:rsidRPr="00F07779">
              <w:rPr>
                <w:rFonts w:eastAsia="Calibri"/>
                <w:b/>
                <w:bCs/>
                <w:color w:val="2F5496"/>
                <w:sz w:val="20"/>
                <w:szCs w:val="20"/>
                <w:lang w:val="en-US"/>
              </w:rPr>
              <w:t>Measures</w:t>
            </w:r>
          </w:p>
        </w:tc>
        <w:tc>
          <w:tcPr>
            <w:tcW w:w="3685" w:type="dxa"/>
            <w:hideMark/>
          </w:tcPr>
          <w:p w14:paraId="0948C5EF" w14:textId="77777777" w:rsidR="00EB1DF4" w:rsidRPr="00F07779" w:rsidRDefault="00EB1DF4" w:rsidP="00615D2C">
            <w:pPr>
              <w:ind w:firstLine="0"/>
              <w:jc w:val="center"/>
              <w:rPr>
                <w:rFonts w:eastAsia="Calibri"/>
                <w:color w:val="2F5496"/>
                <w:sz w:val="20"/>
                <w:szCs w:val="20"/>
                <w:lang w:val="en-US"/>
              </w:rPr>
            </w:pPr>
            <w:r w:rsidRPr="00F07779">
              <w:rPr>
                <w:rFonts w:eastAsia="Calibri"/>
                <w:color w:val="2F5496"/>
                <w:sz w:val="20"/>
                <w:szCs w:val="20"/>
                <w:lang w:val="en-US"/>
              </w:rPr>
              <w:t>U1, U2</w:t>
            </w:r>
          </w:p>
        </w:tc>
        <w:tc>
          <w:tcPr>
            <w:tcW w:w="2898" w:type="dxa"/>
            <w:hideMark/>
          </w:tcPr>
          <w:p w14:paraId="47DE0A10" w14:textId="77777777" w:rsidR="00EB1DF4" w:rsidRPr="00F07779" w:rsidRDefault="00EB1DF4" w:rsidP="00615D2C">
            <w:pPr>
              <w:ind w:firstLine="0"/>
              <w:jc w:val="center"/>
              <w:rPr>
                <w:rFonts w:eastAsia="Calibri"/>
                <w:color w:val="2F5496"/>
                <w:sz w:val="20"/>
                <w:szCs w:val="20"/>
                <w:lang w:val="en-US"/>
              </w:rPr>
            </w:pPr>
            <w:r w:rsidRPr="00F07779">
              <w:rPr>
                <w:rFonts w:eastAsia="Calibri"/>
                <w:color w:val="2F5496"/>
                <w:sz w:val="20"/>
                <w:szCs w:val="20"/>
                <w:lang w:val="en-US"/>
              </w:rPr>
              <w:t>U3</w:t>
            </w:r>
          </w:p>
        </w:tc>
      </w:tr>
      <w:tr w:rsidR="00EB1DF4" w:rsidRPr="00F07779" w14:paraId="3020A688" w14:textId="77777777" w:rsidTr="00615D2C">
        <w:tc>
          <w:tcPr>
            <w:tcW w:w="2112" w:type="dxa"/>
            <w:gridSpan w:val="2"/>
            <w:hideMark/>
          </w:tcPr>
          <w:p w14:paraId="011E13BC" w14:textId="77777777" w:rsidR="00EB1DF4" w:rsidRPr="00F07779" w:rsidRDefault="00EB1DF4" w:rsidP="00615D2C">
            <w:pPr>
              <w:rPr>
                <w:rFonts w:eastAsia="Calibri"/>
                <w:b/>
                <w:bCs/>
                <w:color w:val="2F5496"/>
                <w:sz w:val="20"/>
                <w:szCs w:val="20"/>
                <w:lang w:val="en-US"/>
              </w:rPr>
            </w:pPr>
            <w:r w:rsidRPr="00F07779">
              <w:rPr>
                <w:rFonts w:eastAsia="Calibri"/>
                <w:b/>
                <w:bCs/>
                <w:color w:val="2F5496"/>
                <w:sz w:val="20"/>
                <w:szCs w:val="20"/>
                <w:lang w:val="en-US"/>
              </w:rPr>
              <w:t>Indicators</w:t>
            </w:r>
          </w:p>
        </w:tc>
        <w:tc>
          <w:tcPr>
            <w:tcW w:w="3685" w:type="dxa"/>
            <w:hideMark/>
          </w:tcPr>
          <w:p w14:paraId="79E7CFB0" w14:textId="77777777" w:rsidR="00EB1DF4" w:rsidRPr="00F07779" w:rsidRDefault="00EB1DF4" w:rsidP="00615D2C">
            <w:pPr>
              <w:pStyle w:val="ListParagraph"/>
              <w:numPr>
                <w:ilvl w:val="0"/>
                <w:numId w:val="5"/>
              </w:numPr>
              <w:ind w:left="260" w:hanging="260"/>
              <w:rPr>
                <w:rFonts w:ascii="Times New Roman" w:eastAsia="Calibri" w:hAnsi="Times New Roman" w:cs="Times New Roman"/>
                <w:noProof w:val="0"/>
                <w:color w:val="2F5496"/>
                <w:sz w:val="20"/>
                <w:szCs w:val="20"/>
                <w:lang w:val="en-US"/>
              </w:rPr>
            </w:pPr>
            <w:r w:rsidRPr="00F07779">
              <w:rPr>
                <w:rFonts w:ascii="Times New Roman" w:eastAsia="Calibri" w:hAnsi="Times New Roman" w:cs="Times New Roman"/>
                <w:noProof w:val="0"/>
                <w:color w:val="2F5496"/>
                <w:sz w:val="20"/>
                <w:szCs w:val="20"/>
                <w:lang w:val="en-US"/>
              </w:rPr>
              <w:t>Ensuring the required quantities of coal for thermal power plants</w:t>
            </w:r>
          </w:p>
          <w:p w14:paraId="4D177C36" w14:textId="77777777" w:rsidR="00EB1DF4" w:rsidRPr="00F07779" w:rsidRDefault="00EB1DF4" w:rsidP="00615D2C">
            <w:pPr>
              <w:pStyle w:val="ListParagraph"/>
              <w:numPr>
                <w:ilvl w:val="0"/>
                <w:numId w:val="5"/>
              </w:numPr>
              <w:ind w:left="260" w:hanging="260"/>
              <w:rPr>
                <w:rFonts w:ascii="Times New Roman" w:eastAsia="Calibri" w:hAnsi="Times New Roman" w:cs="Times New Roman"/>
                <w:noProof w:val="0"/>
                <w:color w:val="2F5496"/>
                <w:sz w:val="20"/>
                <w:szCs w:val="20"/>
                <w:lang w:val="en-US"/>
              </w:rPr>
            </w:pPr>
            <w:r w:rsidRPr="00F07779">
              <w:rPr>
                <w:rFonts w:ascii="Times New Roman" w:eastAsia="Calibri" w:hAnsi="Times New Roman" w:cs="Times New Roman"/>
                <w:noProof w:val="0"/>
                <w:color w:val="2F5496"/>
                <w:sz w:val="20"/>
                <w:szCs w:val="20"/>
                <w:lang w:val="en-US"/>
              </w:rPr>
              <w:t>Excavation of the required quantities of overburden</w:t>
            </w:r>
          </w:p>
          <w:p w14:paraId="190510CA" w14:textId="77777777" w:rsidR="00EB1DF4" w:rsidRPr="00F07779" w:rsidRDefault="00EB1DF4" w:rsidP="00615D2C">
            <w:pPr>
              <w:pStyle w:val="ListParagraph"/>
              <w:numPr>
                <w:ilvl w:val="0"/>
                <w:numId w:val="5"/>
              </w:numPr>
              <w:ind w:left="260" w:hanging="260"/>
              <w:rPr>
                <w:rFonts w:ascii="Times New Roman" w:eastAsia="Calibri" w:hAnsi="Times New Roman" w:cs="Times New Roman"/>
                <w:noProof w:val="0"/>
                <w:color w:val="2F5496"/>
                <w:sz w:val="20"/>
                <w:szCs w:val="20"/>
                <w:lang w:val="en-US"/>
              </w:rPr>
            </w:pPr>
            <w:r w:rsidRPr="00F07779">
              <w:rPr>
                <w:rFonts w:ascii="Times New Roman" w:eastAsia="Calibri" w:hAnsi="Times New Roman" w:cs="Times New Roman"/>
                <w:noProof w:val="0"/>
                <w:color w:val="2F5496"/>
                <w:sz w:val="20"/>
                <w:szCs w:val="20"/>
                <w:lang w:val="en-US"/>
              </w:rPr>
              <w:t>Ensuring the required coal quality</w:t>
            </w:r>
          </w:p>
        </w:tc>
        <w:tc>
          <w:tcPr>
            <w:tcW w:w="2898" w:type="dxa"/>
          </w:tcPr>
          <w:p w14:paraId="7261E1CF" w14:textId="77777777" w:rsidR="00EB1DF4" w:rsidRPr="00F07779" w:rsidRDefault="00EB1DF4" w:rsidP="00615D2C">
            <w:pPr>
              <w:rPr>
                <w:rFonts w:eastAsia="Calibri"/>
                <w:color w:val="2F5496"/>
                <w:sz w:val="20"/>
                <w:szCs w:val="20"/>
                <w:lang w:val="en-US"/>
              </w:rPr>
            </w:pPr>
            <w:r w:rsidRPr="00F07779">
              <w:rPr>
                <w:rFonts w:eastAsia="Calibri"/>
                <w:color w:val="2F5496"/>
                <w:sz w:val="20"/>
                <w:szCs w:val="20"/>
                <w:lang w:val="en-US"/>
              </w:rPr>
              <w:t>Ensuring the required quantities of coal for industrial use and general consumption</w:t>
            </w:r>
          </w:p>
        </w:tc>
      </w:tr>
      <w:tr w:rsidR="00EB1DF4" w:rsidRPr="00F07779" w14:paraId="7EBBBDC0" w14:textId="77777777" w:rsidTr="00615D2C">
        <w:tc>
          <w:tcPr>
            <w:tcW w:w="2112" w:type="dxa"/>
            <w:gridSpan w:val="2"/>
          </w:tcPr>
          <w:p w14:paraId="6FA16B45" w14:textId="77777777" w:rsidR="00EB1DF4" w:rsidRPr="00F07779" w:rsidRDefault="00EB1DF4" w:rsidP="00615D2C">
            <w:pPr>
              <w:rPr>
                <w:rFonts w:eastAsia="Calibri"/>
                <w:b/>
                <w:bCs/>
                <w:color w:val="2F5496"/>
                <w:sz w:val="20"/>
                <w:szCs w:val="20"/>
                <w:lang w:val="en-US"/>
              </w:rPr>
            </w:pPr>
            <w:r w:rsidRPr="00F07779">
              <w:rPr>
                <w:rFonts w:eastAsia="Calibri"/>
                <w:b/>
                <w:bCs/>
                <w:color w:val="2F5496"/>
                <w:sz w:val="20"/>
                <w:szCs w:val="20"/>
                <w:lang w:val="en-US"/>
              </w:rPr>
              <w:t>Indicator</w:t>
            </w:r>
          </w:p>
        </w:tc>
        <w:tc>
          <w:tcPr>
            <w:tcW w:w="3685" w:type="dxa"/>
          </w:tcPr>
          <w:p w14:paraId="1E9D3B4B" w14:textId="77777777" w:rsidR="00EB1DF4" w:rsidRPr="00F07779" w:rsidRDefault="00EB1DF4" w:rsidP="00615D2C">
            <w:pPr>
              <w:pStyle w:val="ListParagraph"/>
              <w:numPr>
                <w:ilvl w:val="0"/>
                <w:numId w:val="6"/>
              </w:numPr>
              <w:ind w:left="260" w:hanging="284"/>
              <w:rPr>
                <w:rFonts w:ascii="Times New Roman" w:eastAsia="Calibri" w:hAnsi="Times New Roman" w:cs="Times New Roman"/>
                <w:noProof w:val="0"/>
                <w:color w:val="2F5496"/>
                <w:sz w:val="20"/>
                <w:szCs w:val="20"/>
                <w:lang w:val="en-US"/>
              </w:rPr>
            </w:pPr>
            <w:r w:rsidRPr="00F07779">
              <w:rPr>
                <w:rFonts w:ascii="Times New Roman" w:eastAsia="Calibri" w:hAnsi="Times New Roman" w:cs="Times New Roman"/>
                <w:noProof w:val="0"/>
                <w:color w:val="2F5496"/>
                <w:sz w:val="20"/>
                <w:szCs w:val="20"/>
                <w:lang w:val="en-US"/>
              </w:rPr>
              <w:t>Ratio of achieved to required coal quantities for thermal power plants</w:t>
            </w:r>
          </w:p>
          <w:p w14:paraId="10F85E14" w14:textId="77777777" w:rsidR="00EB1DF4" w:rsidRPr="00F07779" w:rsidRDefault="00EB1DF4" w:rsidP="00615D2C">
            <w:pPr>
              <w:pStyle w:val="ListParagraph"/>
              <w:numPr>
                <w:ilvl w:val="0"/>
                <w:numId w:val="6"/>
              </w:numPr>
              <w:ind w:left="260" w:hanging="284"/>
              <w:rPr>
                <w:rFonts w:ascii="Times New Roman" w:eastAsia="Calibri" w:hAnsi="Times New Roman" w:cs="Times New Roman"/>
                <w:noProof w:val="0"/>
                <w:color w:val="2F5496"/>
                <w:sz w:val="20"/>
                <w:szCs w:val="20"/>
                <w:lang w:val="en-US"/>
              </w:rPr>
            </w:pPr>
            <w:r w:rsidRPr="00F07779">
              <w:rPr>
                <w:rFonts w:ascii="Times New Roman" w:eastAsia="Calibri" w:hAnsi="Times New Roman" w:cs="Times New Roman"/>
                <w:noProof w:val="0"/>
                <w:color w:val="2F5496"/>
                <w:sz w:val="20"/>
                <w:szCs w:val="20"/>
                <w:lang w:val="en-US"/>
              </w:rPr>
              <w:t>Ratio of achieved to required overburden quantities</w:t>
            </w:r>
          </w:p>
          <w:p w14:paraId="233DD0BA" w14:textId="77777777" w:rsidR="00EB1DF4" w:rsidRPr="00F07779" w:rsidRDefault="00EB1DF4" w:rsidP="00615D2C">
            <w:pPr>
              <w:pStyle w:val="ListParagraph"/>
              <w:numPr>
                <w:ilvl w:val="0"/>
                <w:numId w:val="6"/>
              </w:numPr>
              <w:ind w:left="260" w:hanging="284"/>
              <w:rPr>
                <w:rFonts w:ascii="Times New Roman" w:eastAsia="Calibri" w:hAnsi="Times New Roman" w:cs="Times New Roman"/>
                <w:noProof w:val="0"/>
                <w:color w:val="2F5496"/>
                <w:sz w:val="20"/>
                <w:szCs w:val="20"/>
                <w:lang w:val="en-US"/>
              </w:rPr>
            </w:pPr>
            <w:r w:rsidRPr="00F07779">
              <w:rPr>
                <w:rFonts w:ascii="Times New Roman" w:eastAsia="Calibri" w:hAnsi="Times New Roman" w:cs="Times New Roman"/>
                <w:noProof w:val="0"/>
                <w:color w:val="2F5496"/>
                <w:sz w:val="20"/>
                <w:szCs w:val="20"/>
                <w:lang w:val="en-US"/>
              </w:rPr>
              <w:t xml:space="preserve">Ratio of trains </w:t>
            </w:r>
            <w:proofErr w:type="gramStart"/>
            <w:r w:rsidRPr="00F07779">
              <w:rPr>
                <w:rFonts w:ascii="Times New Roman" w:eastAsia="Calibri" w:hAnsi="Times New Roman" w:cs="Times New Roman"/>
                <w:noProof w:val="0"/>
                <w:color w:val="2F5496"/>
                <w:sz w:val="20"/>
                <w:szCs w:val="20"/>
                <w:lang w:val="en-US"/>
              </w:rPr>
              <w:t>with</w:t>
            </w:r>
            <w:proofErr w:type="gramEnd"/>
            <w:r w:rsidRPr="00F07779">
              <w:rPr>
                <w:rFonts w:ascii="Times New Roman" w:eastAsia="Calibri" w:hAnsi="Times New Roman" w:cs="Times New Roman"/>
                <w:noProof w:val="0"/>
                <w:color w:val="2F5496"/>
                <w:sz w:val="20"/>
                <w:szCs w:val="20"/>
                <w:lang w:val="en-US"/>
              </w:rPr>
              <w:t xml:space="preserve"> unsatisfactory quality to the total number of trains from RB </w:t>
            </w:r>
            <w:proofErr w:type="spellStart"/>
            <w:r w:rsidRPr="00F07779">
              <w:rPr>
                <w:rFonts w:ascii="Times New Roman" w:eastAsia="Calibri" w:hAnsi="Times New Roman" w:cs="Times New Roman"/>
                <w:noProof w:val="0"/>
                <w:color w:val="2F5496"/>
                <w:sz w:val="20"/>
                <w:szCs w:val="20"/>
                <w:lang w:val="en-US"/>
              </w:rPr>
              <w:t>Kolubara</w:t>
            </w:r>
            <w:proofErr w:type="spellEnd"/>
          </w:p>
        </w:tc>
        <w:tc>
          <w:tcPr>
            <w:tcW w:w="2898" w:type="dxa"/>
          </w:tcPr>
          <w:p w14:paraId="157D3089" w14:textId="77777777" w:rsidR="00EB1DF4" w:rsidRPr="00F07779" w:rsidRDefault="00EB1DF4" w:rsidP="00615D2C">
            <w:pPr>
              <w:ind w:left="-24"/>
              <w:rPr>
                <w:rFonts w:eastAsia="Calibri"/>
                <w:sz w:val="20"/>
                <w:szCs w:val="20"/>
                <w:lang w:val="en-US"/>
              </w:rPr>
            </w:pPr>
            <w:r w:rsidRPr="00F07779">
              <w:rPr>
                <w:rFonts w:eastAsia="Calibri"/>
                <w:color w:val="2F5496"/>
                <w:sz w:val="20"/>
                <w:szCs w:val="20"/>
                <w:lang w:val="en-US"/>
              </w:rPr>
              <w:t>Percentage ratio of required and achieved coal quantities for general consumption and thermal energy production</w:t>
            </w:r>
          </w:p>
        </w:tc>
      </w:tr>
      <w:tr w:rsidR="00EB1DF4" w:rsidRPr="00F07779" w14:paraId="7AAB2EEA" w14:textId="77777777" w:rsidTr="00615D2C">
        <w:tc>
          <w:tcPr>
            <w:tcW w:w="2112" w:type="dxa"/>
            <w:gridSpan w:val="2"/>
          </w:tcPr>
          <w:p w14:paraId="036B619E" w14:textId="77777777" w:rsidR="00EB1DF4" w:rsidRPr="00F07779" w:rsidRDefault="00EB1DF4" w:rsidP="00615D2C">
            <w:pPr>
              <w:pStyle w:val="NormalWeb"/>
              <w:spacing w:before="0" w:beforeAutospacing="0" w:after="150" w:afterAutospacing="0"/>
              <w:rPr>
                <w:rFonts w:eastAsia="Calibri"/>
                <w:color w:val="2F5496"/>
                <w:sz w:val="20"/>
                <w:szCs w:val="20"/>
                <w:lang w:val="en-US"/>
              </w:rPr>
            </w:pPr>
            <w:r w:rsidRPr="00F07779">
              <w:rPr>
                <w:rFonts w:eastAsia="Calibri"/>
                <w:color w:val="2F5496"/>
                <w:sz w:val="20"/>
                <w:szCs w:val="20"/>
                <w:lang w:val="en-US"/>
              </w:rPr>
              <w:t>Indicator value in 2023</w:t>
            </w:r>
          </w:p>
        </w:tc>
        <w:tc>
          <w:tcPr>
            <w:tcW w:w="3685" w:type="dxa"/>
          </w:tcPr>
          <w:p w14:paraId="498CAF68" w14:textId="23501630" w:rsidR="00EB1DF4" w:rsidRPr="00F07779" w:rsidRDefault="00EB1DF4" w:rsidP="00615D2C">
            <w:pPr>
              <w:pStyle w:val="NormalWeb"/>
              <w:spacing w:before="0" w:beforeAutospacing="0" w:after="150" w:afterAutospacing="0"/>
              <w:ind w:firstLine="0"/>
              <w:rPr>
                <w:rFonts w:eastAsia="Calibri"/>
                <w:color w:val="2F5496"/>
                <w:sz w:val="20"/>
                <w:szCs w:val="20"/>
                <w:lang w:val="en-US"/>
              </w:rPr>
            </w:pPr>
            <w:r w:rsidRPr="00F07779">
              <w:rPr>
                <w:rFonts w:eastAsia="Calibri"/>
                <w:color w:val="2F5496"/>
                <w:sz w:val="20"/>
                <w:szCs w:val="20"/>
                <w:lang w:val="en-US"/>
              </w:rPr>
              <w:t>Indicator 1:    31/34=0</w:t>
            </w:r>
            <w:r w:rsidR="00BB29B8" w:rsidRPr="00F07779">
              <w:rPr>
                <w:rFonts w:eastAsia="Calibri"/>
                <w:color w:val="2F5496"/>
                <w:sz w:val="20"/>
                <w:szCs w:val="20"/>
                <w:lang w:val="en-US"/>
              </w:rPr>
              <w:t>.</w:t>
            </w:r>
            <w:r w:rsidRPr="00F07779">
              <w:rPr>
                <w:rFonts w:eastAsia="Calibri"/>
                <w:color w:val="2F5496"/>
                <w:sz w:val="20"/>
                <w:szCs w:val="20"/>
                <w:lang w:val="en-US"/>
              </w:rPr>
              <w:t xml:space="preserve">91 </w:t>
            </w:r>
          </w:p>
          <w:p w14:paraId="35320DC9" w14:textId="526FFC77" w:rsidR="00EB1DF4" w:rsidRPr="00F07779" w:rsidRDefault="00EB1DF4" w:rsidP="00615D2C">
            <w:pPr>
              <w:pStyle w:val="NormalWeb"/>
              <w:spacing w:before="0" w:beforeAutospacing="0" w:after="150" w:afterAutospacing="0"/>
              <w:ind w:firstLine="0"/>
              <w:rPr>
                <w:rFonts w:eastAsia="Calibri"/>
                <w:color w:val="2F5496"/>
                <w:sz w:val="20"/>
                <w:szCs w:val="20"/>
                <w:lang w:val="en-US"/>
              </w:rPr>
            </w:pPr>
            <w:r w:rsidRPr="00F07779">
              <w:rPr>
                <w:rFonts w:eastAsia="Calibri"/>
                <w:color w:val="2F5496"/>
                <w:sz w:val="20"/>
                <w:szCs w:val="20"/>
                <w:lang w:val="en-US"/>
              </w:rPr>
              <w:t>Indicator 2</w:t>
            </w:r>
            <w:proofErr w:type="gramStart"/>
            <w:r w:rsidRPr="00F07779">
              <w:rPr>
                <w:rFonts w:eastAsia="Calibri"/>
                <w:color w:val="2F5496"/>
                <w:sz w:val="20"/>
                <w:szCs w:val="20"/>
                <w:lang w:val="en-US"/>
              </w:rPr>
              <w:t>:  103.6</w:t>
            </w:r>
            <w:proofErr w:type="gramEnd"/>
            <w:r w:rsidRPr="00F07779">
              <w:rPr>
                <w:rFonts w:eastAsia="Calibri"/>
                <w:color w:val="2F5496"/>
                <w:sz w:val="20"/>
                <w:szCs w:val="20"/>
                <w:lang w:val="en-US"/>
              </w:rPr>
              <w:t>/111.8= 0</w:t>
            </w:r>
            <w:r w:rsidR="00BB29B8" w:rsidRPr="00F07779">
              <w:rPr>
                <w:rFonts w:eastAsia="Calibri"/>
                <w:color w:val="2F5496"/>
                <w:sz w:val="20"/>
                <w:szCs w:val="20"/>
                <w:lang w:val="en-US"/>
              </w:rPr>
              <w:t>.</w:t>
            </w:r>
            <w:r w:rsidRPr="00F07779">
              <w:rPr>
                <w:rFonts w:eastAsia="Calibri"/>
                <w:color w:val="2F5496"/>
                <w:sz w:val="20"/>
                <w:szCs w:val="20"/>
                <w:lang w:val="en-US"/>
              </w:rPr>
              <w:t>92</w:t>
            </w:r>
          </w:p>
          <w:p w14:paraId="5C47AC2A" w14:textId="2D353095" w:rsidR="00EB1DF4" w:rsidRPr="00F07779" w:rsidRDefault="00EB1DF4" w:rsidP="00615D2C">
            <w:pPr>
              <w:pStyle w:val="NormalWeb"/>
              <w:spacing w:before="0" w:beforeAutospacing="0" w:after="150" w:afterAutospacing="0"/>
              <w:ind w:firstLine="0"/>
              <w:rPr>
                <w:rFonts w:eastAsia="Calibri"/>
                <w:color w:val="2F5496"/>
                <w:sz w:val="20"/>
                <w:szCs w:val="20"/>
                <w:lang w:val="en-US"/>
              </w:rPr>
            </w:pPr>
            <w:r w:rsidRPr="00F07779">
              <w:rPr>
                <w:rFonts w:eastAsia="Calibri"/>
                <w:color w:val="2F5496"/>
                <w:sz w:val="20"/>
                <w:szCs w:val="20"/>
                <w:lang w:val="en-US"/>
              </w:rPr>
              <w:t>Indicator 3:   3327/8924 = 0</w:t>
            </w:r>
            <w:r w:rsidR="00BB29B8" w:rsidRPr="00F07779">
              <w:rPr>
                <w:rFonts w:eastAsia="Calibri"/>
                <w:color w:val="2F5496"/>
                <w:sz w:val="20"/>
                <w:szCs w:val="20"/>
                <w:lang w:val="en-US"/>
              </w:rPr>
              <w:t>.</w:t>
            </w:r>
            <w:r w:rsidRPr="00F07779">
              <w:rPr>
                <w:rFonts w:eastAsia="Calibri"/>
                <w:color w:val="2F5496"/>
                <w:sz w:val="20"/>
                <w:szCs w:val="20"/>
                <w:lang w:val="en-US"/>
              </w:rPr>
              <w:t>31</w:t>
            </w:r>
          </w:p>
        </w:tc>
        <w:tc>
          <w:tcPr>
            <w:tcW w:w="2898" w:type="dxa"/>
            <w:vAlign w:val="center"/>
          </w:tcPr>
          <w:p w14:paraId="44A4A06C" w14:textId="087796A5" w:rsidR="00EB1DF4" w:rsidRPr="00F07779" w:rsidRDefault="00EB1DF4" w:rsidP="00615D2C">
            <w:pPr>
              <w:pStyle w:val="NormalWeb"/>
              <w:spacing w:before="0" w:beforeAutospacing="0" w:after="150" w:afterAutospacing="0"/>
              <w:ind w:firstLine="0"/>
              <w:jc w:val="center"/>
              <w:rPr>
                <w:rFonts w:eastAsia="Calibri"/>
                <w:color w:val="2F5496"/>
                <w:sz w:val="20"/>
                <w:szCs w:val="20"/>
                <w:lang w:val="en-US"/>
              </w:rPr>
            </w:pPr>
            <w:r w:rsidRPr="00F07779">
              <w:rPr>
                <w:rFonts w:eastAsia="Calibri"/>
                <w:color w:val="2F5496"/>
                <w:sz w:val="20"/>
                <w:szCs w:val="20"/>
                <w:lang w:val="en-US"/>
              </w:rPr>
              <w:t>Indicator 1</w:t>
            </w:r>
            <w:proofErr w:type="gramStart"/>
            <w:r w:rsidRPr="00F07779">
              <w:rPr>
                <w:rFonts w:eastAsia="Calibri"/>
                <w:color w:val="2F5496"/>
                <w:sz w:val="20"/>
                <w:szCs w:val="20"/>
                <w:lang w:val="en-US"/>
              </w:rPr>
              <w:t>:  0</w:t>
            </w:r>
            <w:r w:rsidR="00BB29B8" w:rsidRPr="00F07779">
              <w:rPr>
                <w:rFonts w:eastAsia="Calibri"/>
                <w:color w:val="2F5496"/>
                <w:sz w:val="20"/>
                <w:szCs w:val="20"/>
                <w:lang w:val="en-US"/>
              </w:rPr>
              <w:t>.</w:t>
            </w:r>
            <w:r w:rsidRPr="00F07779">
              <w:rPr>
                <w:rFonts w:eastAsia="Calibri"/>
                <w:color w:val="2F5496"/>
                <w:sz w:val="20"/>
                <w:szCs w:val="20"/>
                <w:lang w:val="en-US"/>
              </w:rPr>
              <w:t>57</w:t>
            </w:r>
            <w:proofErr w:type="gramEnd"/>
            <w:r w:rsidRPr="00F07779">
              <w:rPr>
                <w:rFonts w:eastAsia="Calibri"/>
                <w:color w:val="2F5496"/>
                <w:sz w:val="20"/>
                <w:szCs w:val="20"/>
                <w:lang w:val="en-US"/>
              </w:rPr>
              <w:t>/1</w:t>
            </w:r>
            <w:r w:rsidR="00BB29B8" w:rsidRPr="00F07779">
              <w:rPr>
                <w:rFonts w:eastAsia="Calibri"/>
                <w:color w:val="2F5496"/>
                <w:sz w:val="20"/>
                <w:szCs w:val="20"/>
                <w:lang w:val="en-US"/>
              </w:rPr>
              <w:t>.</w:t>
            </w:r>
            <w:r w:rsidRPr="00F07779">
              <w:rPr>
                <w:rFonts w:eastAsia="Calibri"/>
                <w:color w:val="2F5496"/>
                <w:sz w:val="20"/>
                <w:szCs w:val="20"/>
                <w:lang w:val="en-US"/>
              </w:rPr>
              <w:t>2= 0</w:t>
            </w:r>
            <w:r w:rsidR="00BB29B8" w:rsidRPr="00F07779">
              <w:rPr>
                <w:rFonts w:eastAsia="Calibri"/>
                <w:color w:val="2F5496"/>
                <w:sz w:val="20"/>
                <w:szCs w:val="20"/>
                <w:lang w:val="en-US"/>
              </w:rPr>
              <w:t>.</w:t>
            </w:r>
            <w:r w:rsidRPr="00F07779">
              <w:rPr>
                <w:rFonts w:eastAsia="Calibri"/>
                <w:color w:val="2F5496"/>
                <w:sz w:val="20"/>
                <w:szCs w:val="20"/>
                <w:lang w:val="en-US"/>
              </w:rPr>
              <w:t>47</w:t>
            </w:r>
          </w:p>
        </w:tc>
      </w:tr>
      <w:tr w:rsidR="00EB1DF4" w:rsidRPr="00F07779" w14:paraId="2EEE190B" w14:textId="77777777" w:rsidTr="00615D2C">
        <w:trPr>
          <w:trHeight w:val="1120"/>
        </w:trPr>
        <w:tc>
          <w:tcPr>
            <w:tcW w:w="694" w:type="dxa"/>
            <w:vMerge w:val="restart"/>
            <w:textDirection w:val="btLr"/>
            <w:vAlign w:val="center"/>
          </w:tcPr>
          <w:p w14:paraId="1433C57D" w14:textId="77777777" w:rsidR="00EB1DF4" w:rsidRPr="00F07779" w:rsidRDefault="00EB1DF4" w:rsidP="00615D2C">
            <w:pPr>
              <w:pStyle w:val="NormalWeb"/>
              <w:spacing w:before="0" w:after="150"/>
              <w:ind w:right="113"/>
              <w:jc w:val="center"/>
              <w:rPr>
                <w:rFonts w:eastAsia="Calibri"/>
                <w:color w:val="2F5496"/>
                <w:sz w:val="20"/>
                <w:szCs w:val="20"/>
                <w:lang w:val="en-US"/>
              </w:rPr>
            </w:pPr>
            <w:r w:rsidRPr="00F07779">
              <w:rPr>
                <w:rFonts w:eastAsia="Calibri"/>
                <w:color w:val="2F5496"/>
                <w:sz w:val="20"/>
                <w:szCs w:val="20"/>
                <w:lang w:val="en-US"/>
              </w:rPr>
              <w:t>Projected indicator value</w:t>
            </w:r>
          </w:p>
        </w:tc>
        <w:tc>
          <w:tcPr>
            <w:tcW w:w="1418" w:type="dxa"/>
            <w:vAlign w:val="center"/>
          </w:tcPr>
          <w:p w14:paraId="212C1744" w14:textId="77777777" w:rsidR="00EB1DF4" w:rsidRPr="00F07779" w:rsidRDefault="00EB1DF4" w:rsidP="00615D2C">
            <w:pPr>
              <w:pStyle w:val="NormalWeb"/>
              <w:spacing w:before="0" w:beforeAutospacing="0" w:after="0" w:afterAutospacing="0"/>
              <w:ind w:firstLine="0"/>
              <w:rPr>
                <w:rFonts w:eastAsia="Calibri"/>
                <w:color w:val="2F5496"/>
                <w:sz w:val="20"/>
                <w:szCs w:val="20"/>
                <w:lang w:val="en-US"/>
              </w:rPr>
            </w:pPr>
            <w:r w:rsidRPr="00F07779">
              <w:rPr>
                <w:rFonts w:eastAsia="Calibri"/>
                <w:color w:val="2F5496"/>
                <w:sz w:val="20"/>
                <w:szCs w:val="20"/>
                <w:lang w:val="en-US"/>
              </w:rPr>
              <w:t>2026.</w:t>
            </w:r>
          </w:p>
        </w:tc>
        <w:tc>
          <w:tcPr>
            <w:tcW w:w="3685" w:type="dxa"/>
          </w:tcPr>
          <w:p w14:paraId="338550CA" w14:textId="6EDADE9A" w:rsidR="00EB1DF4" w:rsidRPr="00F07779" w:rsidRDefault="00EB1DF4" w:rsidP="00615D2C">
            <w:pPr>
              <w:pStyle w:val="NormalWeb"/>
              <w:spacing w:before="0" w:beforeAutospacing="0" w:after="150" w:afterAutospacing="0"/>
              <w:ind w:firstLine="0"/>
              <w:rPr>
                <w:rFonts w:eastAsia="Calibri"/>
                <w:color w:val="2F5496"/>
                <w:sz w:val="20"/>
                <w:szCs w:val="20"/>
                <w:lang w:val="en-US"/>
              </w:rPr>
            </w:pPr>
            <w:r w:rsidRPr="00F07779">
              <w:rPr>
                <w:rFonts w:eastAsia="Calibri"/>
                <w:color w:val="2F5496"/>
                <w:sz w:val="20"/>
                <w:szCs w:val="20"/>
                <w:lang w:val="en-US"/>
              </w:rPr>
              <w:t>Indicator 1:    32</w:t>
            </w:r>
            <w:r w:rsidR="00BB29B8" w:rsidRPr="00F07779">
              <w:rPr>
                <w:rFonts w:eastAsia="Calibri"/>
                <w:color w:val="2F5496"/>
                <w:sz w:val="20"/>
                <w:szCs w:val="20"/>
                <w:lang w:val="en-US"/>
              </w:rPr>
              <w:t>.</w:t>
            </w:r>
            <w:r w:rsidRPr="00F07779">
              <w:rPr>
                <w:rFonts w:eastAsia="Calibri"/>
                <w:color w:val="2F5496"/>
                <w:sz w:val="20"/>
                <w:szCs w:val="20"/>
                <w:lang w:val="en-US"/>
              </w:rPr>
              <w:t xml:space="preserve">7/34=0,91 </w:t>
            </w:r>
          </w:p>
          <w:p w14:paraId="1C791AFE" w14:textId="77777777" w:rsidR="00EB1DF4" w:rsidRPr="00F07779" w:rsidRDefault="00EB1DF4" w:rsidP="00615D2C">
            <w:pPr>
              <w:pStyle w:val="NormalWeb"/>
              <w:spacing w:before="0" w:beforeAutospacing="0" w:after="150" w:afterAutospacing="0"/>
              <w:ind w:firstLine="0"/>
              <w:rPr>
                <w:rFonts w:eastAsia="Calibri"/>
                <w:color w:val="2F5496"/>
                <w:sz w:val="20"/>
                <w:szCs w:val="20"/>
                <w:lang w:val="en-US"/>
              </w:rPr>
            </w:pPr>
            <w:r w:rsidRPr="00F07779">
              <w:rPr>
                <w:rFonts w:eastAsia="Calibri"/>
                <w:color w:val="2F5496"/>
                <w:sz w:val="20"/>
                <w:szCs w:val="20"/>
                <w:lang w:val="en-US"/>
              </w:rPr>
              <w:t>Indicator 2</w:t>
            </w:r>
            <w:proofErr w:type="gramStart"/>
            <w:r w:rsidRPr="00F07779">
              <w:rPr>
                <w:rFonts w:eastAsia="Calibri"/>
                <w:color w:val="2F5496"/>
                <w:sz w:val="20"/>
                <w:szCs w:val="20"/>
                <w:lang w:val="en-US"/>
              </w:rPr>
              <w:t>:  130</w:t>
            </w:r>
            <w:proofErr w:type="gramEnd"/>
            <w:r w:rsidRPr="00F07779">
              <w:rPr>
                <w:rFonts w:eastAsia="Calibri"/>
                <w:color w:val="2F5496"/>
                <w:sz w:val="20"/>
                <w:szCs w:val="20"/>
                <w:lang w:val="en-US"/>
              </w:rPr>
              <w:t>/130= 1</w:t>
            </w:r>
          </w:p>
          <w:p w14:paraId="6D0D524B" w14:textId="5D9AAFA8" w:rsidR="00EB1DF4" w:rsidRPr="00F07779" w:rsidRDefault="00EB1DF4" w:rsidP="00615D2C">
            <w:pPr>
              <w:pStyle w:val="NormalWeb"/>
              <w:spacing w:before="0" w:beforeAutospacing="0" w:after="150" w:afterAutospacing="0"/>
              <w:ind w:firstLine="0"/>
              <w:rPr>
                <w:rFonts w:eastAsia="Calibri"/>
                <w:color w:val="2F5496"/>
                <w:sz w:val="20"/>
                <w:szCs w:val="20"/>
                <w:lang w:val="en-US"/>
              </w:rPr>
            </w:pPr>
            <w:r w:rsidRPr="00F07779">
              <w:rPr>
                <w:rFonts w:eastAsia="Calibri"/>
                <w:color w:val="2F5496"/>
                <w:sz w:val="20"/>
                <w:szCs w:val="20"/>
                <w:lang w:val="en-US"/>
              </w:rPr>
              <w:t>Indicator 3:   = 0</w:t>
            </w:r>
            <w:r w:rsidR="00BB29B8" w:rsidRPr="00F07779">
              <w:rPr>
                <w:rFonts w:eastAsia="Calibri"/>
                <w:color w:val="2F5496"/>
                <w:sz w:val="20"/>
                <w:szCs w:val="20"/>
                <w:lang w:val="en-US"/>
              </w:rPr>
              <w:t>.</w:t>
            </w:r>
            <w:r w:rsidRPr="00F07779">
              <w:rPr>
                <w:rFonts w:eastAsia="Calibri"/>
                <w:color w:val="2F5496"/>
                <w:sz w:val="20"/>
                <w:szCs w:val="20"/>
                <w:lang w:val="en-US"/>
              </w:rPr>
              <w:t>27</w:t>
            </w:r>
          </w:p>
        </w:tc>
        <w:tc>
          <w:tcPr>
            <w:tcW w:w="2898" w:type="dxa"/>
            <w:vAlign w:val="center"/>
          </w:tcPr>
          <w:p w14:paraId="331B0726" w14:textId="1251A7A9" w:rsidR="00EB1DF4" w:rsidRPr="00F07779" w:rsidRDefault="00EB1DF4" w:rsidP="00615D2C">
            <w:pPr>
              <w:pStyle w:val="NormalWeb"/>
              <w:spacing w:before="0" w:after="150"/>
              <w:ind w:firstLine="0"/>
              <w:rPr>
                <w:rFonts w:eastAsia="Calibri"/>
                <w:color w:val="2F5496"/>
                <w:sz w:val="20"/>
                <w:szCs w:val="20"/>
                <w:lang w:val="en-US"/>
              </w:rPr>
            </w:pPr>
            <w:r w:rsidRPr="00F07779">
              <w:rPr>
                <w:rFonts w:eastAsia="Calibri"/>
                <w:color w:val="2F5496"/>
                <w:sz w:val="20"/>
                <w:szCs w:val="20"/>
                <w:lang w:val="en-US"/>
              </w:rPr>
              <w:t>Indicator 1:  = 0</w:t>
            </w:r>
            <w:r w:rsidR="00BB29B8" w:rsidRPr="00F07779">
              <w:rPr>
                <w:rFonts w:eastAsia="Calibri"/>
                <w:color w:val="2F5496"/>
                <w:sz w:val="20"/>
                <w:szCs w:val="20"/>
                <w:lang w:val="en-US"/>
              </w:rPr>
              <w:t>.</w:t>
            </w:r>
            <w:r w:rsidRPr="00F07779">
              <w:rPr>
                <w:rFonts w:eastAsia="Calibri"/>
                <w:color w:val="2F5496"/>
                <w:sz w:val="20"/>
                <w:szCs w:val="20"/>
                <w:lang w:val="en-US"/>
              </w:rPr>
              <w:t>48</w:t>
            </w:r>
          </w:p>
        </w:tc>
      </w:tr>
      <w:tr w:rsidR="00EB1DF4" w:rsidRPr="00F07779" w14:paraId="548B68D9" w14:textId="77777777" w:rsidTr="00615D2C">
        <w:tc>
          <w:tcPr>
            <w:tcW w:w="694" w:type="dxa"/>
            <w:vMerge/>
          </w:tcPr>
          <w:p w14:paraId="7F438579" w14:textId="77777777" w:rsidR="00EB1DF4" w:rsidRPr="00F07779" w:rsidRDefault="00EB1DF4" w:rsidP="00615D2C">
            <w:pPr>
              <w:pStyle w:val="NormalWeb"/>
              <w:spacing w:before="0" w:after="150"/>
              <w:rPr>
                <w:rFonts w:eastAsia="Calibri"/>
                <w:color w:val="2F5496"/>
                <w:sz w:val="20"/>
                <w:szCs w:val="20"/>
                <w:lang w:val="en-US"/>
              </w:rPr>
            </w:pPr>
          </w:p>
        </w:tc>
        <w:tc>
          <w:tcPr>
            <w:tcW w:w="1418" w:type="dxa"/>
            <w:vAlign w:val="center"/>
          </w:tcPr>
          <w:p w14:paraId="5C6461ED" w14:textId="77777777" w:rsidR="00EB1DF4" w:rsidRPr="00F07779" w:rsidRDefault="00EB1DF4" w:rsidP="00615D2C">
            <w:pPr>
              <w:pStyle w:val="NormalWeb"/>
              <w:spacing w:before="0" w:beforeAutospacing="0" w:after="0" w:afterAutospacing="0"/>
              <w:ind w:firstLine="0"/>
              <w:rPr>
                <w:rFonts w:eastAsia="Calibri"/>
                <w:color w:val="2F5496"/>
                <w:sz w:val="20"/>
                <w:szCs w:val="20"/>
                <w:lang w:val="en-US"/>
              </w:rPr>
            </w:pPr>
            <w:r w:rsidRPr="00F07779">
              <w:rPr>
                <w:rFonts w:eastAsia="Calibri"/>
                <w:color w:val="2F5496"/>
                <w:sz w:val="20"/>
                <w:szCs w:val="20"/>
                <w:lang w:val="en-US"/>
              </w:rPr>
              <w:t>2027.</w:t>
            </w:r>
          </w:p>
        </w:tc>
        <w:tc>
          <w:tcPr>
            <w:tcW w:w="3685" w:type="dxa"/>
          </w:tcPr>
          <w:p w14:paraId="120D9B64" w14:textId="617D1BD8" w:rsidR="00EB1DF4" w:rsidRPr="00F07779" w:rsidRDefault="00EB1DF4" w:rsidP="00615D2C">
            <w:pPr>
              <w:pStyle w:val="NormalWeb"/>
              <w:spacing w:before="0" w:beforeAutospacing="0" w:after="150" w:afterAutospacing="0"/>
              <w:ind w:firstLine="0"/>
              <w:rPr>
                <w:rFonts w:eastAsia="Calibri"/>
                <w:color w:val="2F5496"/>
                <w:sz w:val="20"/>
                <w:szCs w:val="20"/>
                <w:lang w:val="en-US"/>
              </w:rPr>
            </w:pPr>
            <w:r w:rsidRPr="00F07779">
              <w:rPr>
                <w:rFonts w:eastAsia="Calibri"/>
                <w:color w:val="2F5496"/>
                <w:sz w:val="20"/>
                <w:szCs w:val="20"/>
                <w:lang w:val="en-US"/>
              </w:rPr>
              <w:t>Indicator 1</w:t>
            </w:r>
            <w:proofErr w:type="gramStart"/>
            <w:r w:rsidRPr="00F07779">
              <w:rPr>
                <w:rFonts w:eastAsia="Calibri"/>
                <w:color w:val="2F5496"/>
                <w:sz w:val="20"/>
                <w:szCs w:val="20"/>
                <w:lang w:val="en-US"/>
              </w:rPr>
              <w:t>:  33</w:t>
            </w:r>
            <w:r w:rsidR="00BB29B8" w:rsidRPr="00F07779">
              <w:rPr>
                <w:rFonts w:eastAsia="Calibri"/>
                <w:color w:val="2F5496"/>
                <w:sz w:val="20"/>
                <w:szCs w:val="20"/>
                <w:lang w:val="en-US"/>
              </w:rPr>
              <w:t>.</w:t>
            </w:r>
            <w:r w:rsidRPr="00F07779">
              <w:rPr>
                <w:rFonts w:eastAsia="Calibri"/>
                <w:color w:val="2F5496"/>
                <w:sz w:val="20"/>
                <w:szCs w:val="20"/>
                <w:lang w:val="en-US"/>
              </w:rPr>
              <w:t>5</w:t>
            </w:r>
            <w:proofErr w:type="gramEnd"/>
            <w:r w:rsidRPr="00F07779">
              <w:rPr>
                <w:rFonts w:eastAsia="Calibri"/>
                <w:color w:val="2F5496"/>
                <w:sz w:val="20"/>
                <w:szCs w:val="20"/>
                <w:lang w:val="en-US"/>
              </w:rPr>
              <w:t>/34=0</w:t>
            </w:r>
            <w:r w:rsidR="00BB29B8" w:rsidRPr="00F07779">
              <w:rPr>
                <w:rFonts w:eastAsia="Calibri"/>
                <w:color w:val="2F5496"/>
                <w:sz w:val="20"/>
                <w:szCs w:val="20"/>
                <w:lang w:val="en-US"/>
              </w:rPr>
              <w:t>.</w:t>
            </w:r>
            <w:r w:rsidRPr="00F07779">
              <w:rPr>
                <w:rFonts w:eastAsia="Calibri"/>
                <w:color w:val="2F5496"/>
                <w:sz w:val="20"/>
                <w:szCs w:val="20"/>
                <w:lang w:val="en-US"/>
              </w:rPr>
              <w:t>98</w:t>
            </w:r>
          </w:p>
          <w:p w14:paraId="2F0EFA16" w14:textId="40D672A7" w:rsidR="00EB1DF4" w:rsidRPr="00F07779" w:rsidRDefault="00EB1DF4" w:rsidP="00615D2C">
            <w:pPr>
              <w:pStyle w:val="NormalWeb"/>
              <w:spacing w:before="0" w:beforeAutospacing="0" w:after="150" w:afterAutospacing="0"/>
              <w:ind w:firstLine="0"/>
              <w:rPr>
                <w:rFonts w:eastAsia="Calibri"/>
                <w:color w:val="2F5496"/>
                <w:sz w:val="20"/>
                <w:szCs w:val="20"/>
                <w:lang w:val="en-US"/>
              </w:rPr>
            </w:pPr>
            <w:r w:rsidRPr="00F07779">
              <w:rPr>
                <w:rFonts w:eastAsia="Calibri"/>
                <w:color w:val="2F5496"/>
                <w:sz w:val="20"/>
                <w:szCs w:val="20"/>
                <w:lang w:val="en-US"/>
              </w:rPr>
              <w:t>Indicator 2</w:t>
            </w:r>
            <w:proofErr w:type="gramStart"/>
            <w:r w:rsidRPr="00F07779">
              <w:rPr>
                <w:rFonts w:eastAsia="Calibri"/>
                <w:color w:val="2F5496"/>
                <w:sz w:val="20"/>
                <w:szCs w:val="20"/>
                <w:lang w:val="en-US"/>
              </w:rPr>
              <w:t>:  147</w:t>
            </w:r>
            <w:r w:rsidR="00BB29B8" w:rsidRPr="00F07779">
              <w:rPr>
                <w:rFonts w:eastAsia="Calibri"/>
                <w:color w:val="2F5496"/>
                <w:sz w:val="20"/>
                <w:szCs w:val="20"/>
                <w:lang w:val="en-US"/>
              </w:rPr>
              <w:t>.</w:t>
            </w:r>
            <w:r w:rsidRPr="00F07779">
              <w:rPr>
                <w:rFonts w:eastAsia="Calibri"/>
                <w:color w:val="2F5496"/>
                <w:sz w:val="20"/>
                <w:szCs w:val="20"/>
                <w:lang w:val="en-US"/>
              </w:rPr>
              <w:t>5</w:t>
            </w:r>
            <w:proofErr w:type="gramEnd"/>
            <w:r w:rsidRPr="00F07779">
              <w:rPr>
                <w:rFonts w:eastAsia="Calibri"/>
                <w:color w:val="2F5496"/>
                <w:sz w:val="20"/>
                <w:szCs w:val="20"/>
                <w:lang w:val="en-US"/>
              </w:rPr>
              <w:t>/147</w:t>
            </w:r>
            <w:r w:rsidR="00BB29B8" w:rsidRPr="00F07779">
              <w:rPr>
                <w:rFonts w:eastAsia="Calibri"/>
                <w:color w:val="2F5496"/>
                <w:sz w:val="20"/>
                <w:szCs w:val="20"/>
                <w:lang w:val="en-US"/>
              </w:rPr>
              <w:t>.</w:t>
            </w:r>
            <w:r w:rsidRPr="00F07779">
              <w:rPr>
                <w:rFonts w:eastAsia="Calibri"/>
                <w:color w:val="2F5496"/>
                <w:sz w:val="20"/>
                <w:szCs w:val="20"/>
                <w:lang w:val="en-US"/>
              </w:rPr>
              <w:t>5=1</w:t>
            </w:r>
          </w:p>
          <w:p w14:paraId="6C9CDEA7" w14:textId="7DF9433C" w:rsidR="00EB1DF4" w:rsidRPr="00F07779" w:rsidRDefault="00EB1DF4" w:rsidP="00615D2C">
            <w:pPr>
              <w:pStyle w:val="NormalWeb"/>
              <w:spacing w:before="0" w:beforeAutospacing="0" w:after="150" w:afterAutospacing="0"/>
              <w:ind w:firstLine="0"/>
              <w:rPr>
                <w:rFonts w:eastAsia="Calibri"/>
                <w:color w:val="2F5496"/>
                <w:sz w:val="20"/>
                <w:szCs w:val="20"/>
                <w:lang w:val="en-US"/>
              </w:rPr>
            </w:pPr>
            <w:r w:rsidRPr="00F07779">
              <w:rPr>
                <w:rFonts w:eastAsia="Calibri"/>
                <w:color w:val="2F5496"/>
                <w:sz w:val="20"/>
                <w:szCs w:val="20"/>
                <w:lang w:val="en-US"/>
              </w:rPr>
              <w:t>Indicator 3:  0</w:t>
            </w:r>
            <w:r w:rsidR="00BB29B8" w:rsidRPr="00F07779">
              <w:rPr>
                <w:rFonts w:eastAsia="Calibri"/>
                <w:color w:val="2F5496"/>
                <w:sz w:val="20"/>
                <w:szCs w:val="20"/>
                <w:lang w:val="en-US"/>
              </w:rPr>
              <w:t>.</w:t>
            </w:r>
            <w:r w:rsidRPr="00F07779">
              <w:rPr>
                <w:rFonts w:eastAsia="Calibri"/>
                <w:color w:val="2F5496"/>
                <w:sz w:val="20"/>
                <w:szCs w:val="20"/>
                <w:lang w:val="en-US"/>
              </w:rPr>
              <w:t>20</w:t>
            </w:r>
          </w:p>
        </w:tc>
        <w:tc>
          <w:tcPr>
            <w:tcW w:w="2898" w:type="dxa"/>
            <w:vAlign w:val="center"/>
          </w:tcPr>
          <w:p w14:paraId="5916A381" w14:textId="4F7FBC57" w:rsidR="00EB1DF4" w:rsidRPr="00F07779" w:rsidRDefault="00EB1DF4" w:rsidP="00615D2C">
            <w:pPr>
              <w:pStyle w:val="NormalWeb"/>
              <w:spacing w:before="0" w:beforeAutospacing="0" w:after="150" w:afterAutospacing="0"/>
              <w:ind w:firstLine="0"/>
              <w:rPr>
                <w:rFonts w:eastAsia="Calibri"/>
                <w:color w:val="2F5496"/>
                <w:sz w:val="20"/>
                <w:szCs w:val="20"/>
                <w:lang w:val="en-US"/>
              </w:rPr>
            </w:pPr>
            <w:r w:rsidRPr="00F07779">
              <w:rPr>
                <w:rFonts w:eastAsia="Calibri"/>
                <w:color w:val="2F5496"/>
                <w:sz w:val="20"/>
                <w:szCs w:val="20"/>
                <w:lang w:val="en-US"/>
              </w:rPr>
              <w:t>Indicator 1</w:t>
            </w:r>
            <w:proofErr w:type="gramStart"/>
            <w:r w:rsidRPr="00F07779">
              <w:rPr>
                <w:rFonts w:eastAsia="Calibri"/>
                <w:color w:val="2F5496"/>
                <w:sz w:val="20"/>
                <w:szCs w:val="20"/>
                <w:lang w:val="en-US"/>
              </w:rPr>
              <w:t>:  0</w:t>
            </w:r>
            <w:r w:rsidR="00BB29B8" w:rsidRPr="00F07779">
              <w:rPr>
                <w:rFonts w:eastAsia="Calibri"/>
                <w:color w:val="2F5496"/>
                <w:sz w:val="20"/>
                <w:szCs w:val="20"/>
                <w:lang w:val="en-US"/>
              </w:rPr>
              <w:t>.</w:t>
            </w:r>
            <w:r w:rsidRPr="00F07779">
              <w:rPr>
                <w:rFonts w:eastAsia="Calibri"/>
                <w:color w:val="2F5496"/>
                <w:sz w:val="20"/>
                <w:szCs w:val="20"/>
                <w:lang w:val="en-US"/>
              </w:rPr>
              <w:t>6</w:t>
            </w:r>
            <w:proofErr w:type="gramEnd"/>
            <w:r w:rsidRPr="00F07779">
              <w:rPr>
                <w:rFonts w:eastAsia="Calibri"/>
                <w:color w:val="2F5496"/>
                <w:sz w:val="20"/>
                <w:szCs w:val="20"/>
                <w:lang w:val="en-US"/>
              </w:rPr>
              <w:t>/1</w:t>
            </w:r>
            <w:r w:rsidR="00BB29B8" w:rsidRPr="00F07779">
              <w:rPr>
                <w:rFonts w:eastAsia="Calibri"/>
                <w:color w:val="2F5496"/>
                <w:sz w:val="20"/>
                <w:szCs w:val="20"/>
                <w:lang w:val="en-US"/>
              </w:rPr>
              <w:t>.</w:t>
            </w:r>
            <w:r w:rsidRPr="00F07779">
              <w:rPr>
                <w:rFonts w:eastAsia="Calibri"/>
                <w:color w:val="2F5496"/>
                <w:sz w:val="20"/>
                <w:szCs w:val="20"/>
                <w:lang w:val="en-US"/>
              </w:rPr>
              <w:t>2= 0</w:t>
            </w:r>
            <w:r w:rsidR="00BB29B8" w:rsidRPr="00F07779">
              <w:rPr>
                <w:rFonts w:eastAsia="Calibri"/>
                <w:color w:val="2F5496"/>
                <w:sz w:val="20"/>
                <w:szCs w:val="20"/>
                <w:lang w:val="en-US"/>
              </w:rPr>
              <w:t>.</w:t>
            </w:r>
            <w:r w:rsidRPr="00F07779">
              <w:rPr>
                <w:rFonts w:eastAsia="Calibri"/>
                <w:color w:val="2F5496"/>
                <w:sz w:val="20"/>
                <w:szCs w:val="20"/>
                <w:lang w:val="en-US"/>
              </w:rPr>
              <w:t>50</w:t>
            </w:r>
          </w:p>
        </w:tc>
      </w:tr>
      <w:tr w:rsidR="00EB1DF4" w:rsidRPr="00F07779" w14:paraId="40D89E31" w14:textId="77777777" w:rsidTr="00615D2C">
        <w:trPr>
          <w:trHeight w:val="1084"/>
        </w:trPr>
        <w:tc>
          <w:tcPr>
            <w:tcW w:w="694" w:type="dxa"/>
            <w:vMerge/>
          </w:tcPr>
          <w:p w14:paraId="034236A3" w14:textId="77777777" w:rsidR="00EB1DF4" w:rsidRPr="00F07779" w:rsidRDefault="00EB1DF4" w:rsidP="00615D2C">
            <w:pPr>
              <w:pStyle w:val="NormalWeb"/>
              <w:spacing w:before="0" w:beforeAutospacing="0" w:after="150" w:afterAutospacing="0"/>
              <w:rPr>
                <w:rFonts w:eastAsia="Calibri"/>
                <w:color w:val="2F5496"/>
                <w:sz w:val="20"/>
                <w:szCs w:val="20"/>
                <w:lang w:val="en-US"/>
              </w:rPr>
            </w:pPr>
          </w:p>
        </w:tc>
        <w:tc>
          <w:tcPr>
            <w:tcW w:w="1418" w:type="dxa"/>
            <w:vAlign w:val="center"/>
          </w:tcPr>
          <w:p w14:paraId="1E36AA9D" w14:textId="77777777" w:rsidR="00EB1DF4" w:rsidRPr="00F07779" w:rsidRDefault="00EB1DF4" w:rsidP="00615D2C">
            <w:pPr>
              <w:pStyle w:val="NormalWeb"/>
              <w:spacing w:before="0" w:beforeAutospacing="0" w:after="0" w:afterAutospacing="0"/>
              <w:ind w:firstLine="0"/>
              <w:rPr>
                <w:rFonts w:eastAsia="Calibri"/>
                <w:color w:val="2F5496"/>
                <w:sz w:val="20"/>
                <w:szCs w:val="20"/>
                <w:lang w:val="en-US"/>
              </w:rPr>
            </w:pPr>
            <w:r w:rsidRPr="00F07779">
              <w:rPr>
                <w:rFonts w:eastAsia="Calibri"/>
                <w:color w:val="2F5496"/>
                <w:sz w:val="20"/>
                <w:szCs w:val="20"/>
                <w:lang w:val="en-US"/>
              </w:rPr>
              <w:t>2028.</w:t>
            </w:r>
          </w:p>
        </w:tc>
        <w:tc>
          <w:tcPr>
            <w:tcW w:w="3685" w:type="dxa"/>
          </w:tcPr>
          <w:p w14:paraId="323C00A3" w14:textId="72693FED" w:rsidR="00EB1DF4" w:rsidRPr="00F07779" w:rsidRDefault="00EB1DF4" w:rsidP="00615D2C">
            <w:pPr>
              <w:pStyle w:val="NormalWeb"/>
              <w:spacing w:before="0" w:beforeAutospacing="0" w:after="150" w:afterAutospacing="0"/>
              <w:ind w:firstLine="0"/>
              <w:jc w:val="both"/>
              <w:rPr>
                <w:rFonts w:eastAsia="Calibri"/>
                <w:color w:val="2F5496"/>
                <w:sz w:val="20"/>
                <w:szCs w:val="20"/>
                <w:lang w:val="en-US"/>
              </w:rPr>
            </w:pPr>
            <w:r w:rsidRPr="00F07779">
              <w:rPr>
                <w:rFonts w:eastAsia="Calibri"/>
                <w:color w:val="2F5496"/>
                <w:sz w:val="20"/>
                <w:szCs w:val="20"/>
                <w:lang w:val="en-US"/>
              </w:rPr>
              <w:t>Indicator 1</w:t>
            </w:r>
            <w:proofErr w:type="gramStart"/>
            <w:r w:rsidRPr="00F07779">
              <w:rPr>
                <w:rFonts w:eastAsia="Calibri"/>
                <w:color w:val="2F5496"/>
                <w:sz w:val="20"/>
                <w:szCs w:val="20"/>
                <w:lang w:val="en-US"/>
              </w:rPr>
              <w:t>:  34</w:t>
            </w:r>
            <w:proofErr w:type="gramEnd"/>
            <w:r w:rsidRPr="00F07779">
              <w:rPr>
                <w:rFonts w:eastAsia="Calibri"/>
                <w:color w:val="2F5496"/>
                <w:sz w:val="20"/>
                <w:szCs w:val="20"/>
                <w:lang w:val="en-US"/>
              </w:rPr>
              <w:t>/34=1</w:t>
            </w:r>
            <w:r w:rsidR="00BB29B8" w:rsidRPr="00F07779">
              <w:rPr>
                <w:rFonts w:eastAsia="Calibri"/>
                <w:color w:val="2F5496"/>
                <w:sz w:val="20"/>
                <w:szCs w:val="20"/>
                <w:lang w:val="en-US"/>
              </w:rPr>
              <w:t>.</w:t>
            </w:r>
            <w:r w:rsidRPr="00F07779">
              <w:rPr>
                <w:rFonts w:eastAsia="Calibri"/>
                <w:color w:val="2F5496"/>
                <w:sz w:val="20"/>
                <w:szCs w:val="20"/>
                <w:lang w:val="en-US"/>
              </w:rPr>
              <w:t>0</w:t>
            </w:r>
          </w:p>
          <w:p w14:paraId="42F12F27" w14:textId="3702F754" w:rsidR="00EB1DF4" w:rsidRPr="00F07779" w:rsidRDefault="00EB1DF4" w:rsidP="00615D2C">
            <w:pPr>
              <w:pStyle w:val="NormalWeb"/>
              <w:spacing w:before="0" w:beforeAutospacing="0" w:after="150" w:afterAutospacing="0"/>
              <w:ind w:firstLine="0"/>
              <w:jc w:val="both"/>
              <w:rPr>
                <w:rFonts w:eastAsia="Calibri"/>
                <w:color w:val="2F5496"/>
                <w:sz w:val="20"/>
                <w:szCs w:val="20"/>
                <w:lang w:val="en-US"/>
              </w:rPr>
            </w:pPr>
            <w:r w:rsidRPr="00F07779">
              <w:rPr>
                <w:rFonts w:eastAsia="Calibri"/>
                <w:color w:val="2F5496"/>
                <w:sz w:val="20"/>
                <w:szCs w:val="20"/>
                <w:lang w:val="en-US"/>
              </w:rPr>
              <w:t>Indicator 2</w:t>
            </w:r>
            <w:proofErr w:type="gramStart"/>
            <w:r w:rsidRPr="00F07779">
              <w:rPr>
                <w:rFonts w:eastAsia="Calibri"/>
                <w:color w:val="2F5496"/>
                <w:sz w:val="20"/>
                <w:szCs w:val="20"/>
                <w:lang w:val="en-US"/>
              </w:rPr>
              <w:t>:  147</w:t>
            </w:r>
            <w:r w:rsidR="00BB29B8" w:rsidRPr="00F07779">
              <w:rPr>
                <w:rFonts w:eastAsia="Calibri"/>
                <w:color w:val="2F5496"/>
                <w:sz w:val="20"/>
                <w:szCs w:val="20"/>
                <w:lang w:val="en-US"/>
              </w:rPr>
              <w:t>.</w:t>
            </w:r>
            <w:r w:rsidRPr="00F07779">
              <w:rPr>
                <w:rFonts w:eastAsia="Calibri"/>
                <w:color w:val="2F5496"/>
                <w:sz w:val="20"/>
                <w:szCs w:val="20"/>
                <w:lang w:val="en-US"/>
              </w:rPr>
              <w:t>5</w:t>
            </w:r>
            <w:proofErr w:type="gramEnd"/>
            <w:r w:rsidRPr="00F07779">
              <w:rPr>
                <w:rFonts w:eastAsia="Calibri"/>
                <w:color w:val="2F5496"/>
                <w:sz w:val="20"/>
                <w:szCs w:val="20"/>
                <w:lang w:val="en-US"/>
              </w:rPr>
              <w:t>/147</w:t>
            </w:r>
            <w:r w:rsidR="00BB29B8" w:rsidRPr="00F07779">
              <w:rPr>
                <w:rFonts w:eastAsia="Calibri"/>
                <w:color w:val="2F5496"/>
                <w:sz w:val="20"/>
                <w:szCs w:val="20"/>
                <w:lang w:val="en-US"/>
              </w:rPr>
              <w:t>.</w:t>
            </w:r>
            <w:r w:rsidRPr="00F07779">
              <w:rPr>
                <w:rFonts w:eastAsia="Calibri"/>
                <w:color w:val="2F5496"/>
                <w:sz w:val="20"/>
                <w:szCs w:val="20"/>
                <w:lang w:val="en-US"/>
              </w:rPr>
              <w:t>5=1</w:t>
            </w:r>
          </w:p>
          <w:p w14:paraId="39AABF03" w14:textId="07D72570" w:rsidR="00EB1DF4" w:rsidRPr="00F07779" w:rsidRDefault="00EB1DF4" w:rsidP="00615D2C">
            <w:pPr>
              <w:pStyle w:val="NormalWeb"/>
              <w:spacing w:before="0" w:beforeAutospacing="0" w:after="150" w:afterAutospacing="0"/>
              <w:ind w:firstLine="0"/>
              <w:rPr>
                <w:rFonts w:eastAsia="Calibri"/>
                <w:color w:val="2F5496"/>
                <w:sz w:val="20"/>
                <w:szCs w:val="20"/>
                <w:lang w:val="en-US"/>
              </w:rPr>
            </w:pPr>
            <w:r w:rsidRPr="00F07779">
              <w:rPr>
                <w:rFonts w:eastAsia="Calibri"/>
                <w:color w:val="2F5496"/>
                <w:sz w:val="20"/>
                <w:szCs w:val="20"/>
                <w:lang w:val="en-US"/>
              </w:rPr>
              <w:t>Indicator 3:  0</w:t>
            </w:r>
            <w:r w:rsidR="00BB29B8" w:rsidRPr="00F07779">
              <w:rPr>
                <w:rFonts w:eastAsia="Calibri"/>
                <w:color w:val="2F5496"/>
                <w:sz w:val="20"/>
                <w:szCs w:val="20"/>
                <w:lang w:val="en-US"/>
              </w:rPr>
              <w:t>.</w:t>
            </w:r>
            <w:r w:rsidRPr="00F07779">
              <w:rPr>
                <w:rFonts w:eastAsia="Calibri"/>
                <w:color w:val="2F5496"/>
                <w:sz w:val="20"/>
                <w:szCs w:val="20"/>
                <w:lang w:val="en-US"/>
              </w:rPr>
              <w:t>18</w:t>
            </w:r>
          </w:p>
        </w:tc>
        <w:tc>
          <w:tcPr>
            <w:tcW w:w="2898" w:type="dxa"/>
            <w:vAlign w:val="center"/>
          </w:tcPr>
          <w:p w14:paraId="666EB9BE" w14:textId="12B46C5D" w:rsidR="00EB1DF4" w:rsidRPr="00F07779" w:rsidRDefault="00EB1DF4" w:rsidP="00615D2C">
            <w:pPr>
              <w:pStyle w:val="NormalWeb"/>
              <w:spacing w:before="0" w:beforeAutospacing="0" w:after="150" w:afterAutospacing="0"/>
              <w:ind w:firstLine="0"/>
              <w:rPr>
                <w:rFonts w:eastAsia="Calibri"/>
                <w:color w:val="2F5496"/>
                <w:sz w:val="20"/>
                <w:szCs w:val="20"/>
                <w:lang w:val="en-US"/>
              </w:rPr>
            </w:pPr>
            <w:r w:rsidRPr="00F07779">
              <w:rPr>
                <w:rFonts w:eastAsia="Calibri"/>
                <w:color w:val="2F5496"/>
                <w:sz w:val="20"/>
                <w:szCs w:val="20"/>
                <w:lang w:val="en-US"/>
              </w:rPr>
              <w:t>Indicator 1</w:t>
            </w:r>
            <w:proofErr w:type="gramStart"/>
            <w:r w:rsidRPr="00F07779">
              <w:rPr>
                <w:rFonts w:eastAsia="Calibri"/>
                <w:color w:val="2F5496"/>
                <w:sz w:val="20"/>
                <w:szCs w:val="20"/>
                <w:lang w:val="en-US"/>
              </w:rPr>
              <w:t>:  0</w:t>
            </w:r>
            <w:r w:rsidR="00BB29B8" w:rsidRPr="00F07779">
              <w:rPr>
                <w:rFonts w:eastAsia="Calibri"/>
                <w:color w:val="2F5496"/>
                <w:sz w:val="20"/>
                <w:szCs w:val="20"/>
                <w:lang w:val="en-US"/>
              </w:rPr>
              <w:t>.</w:t>
            </w:r>
            <w:r w:rsidRPr="00F07779">
              <w:rPr>
                <w:rFonts w:eastAsia="Calibri"/>
                <w:color w:val="2F5496"/>
                <w:sz w:val="20"/>
                <w:szCs w:val="20"/>
                <w:lang w:val="en-US"/>
              </w:rPr>
              <w:t>6</w:t>
            </w:r>
            <w:proofErr w:type="gramEnd"/>
            <w:r w:rsidRPr="00F07779">
              <w:rPr>
                <w:rFonts w:eastAsia="Calibri"/>
                <w:color w:val="2F5496"/>
                <w:sz w:val="20"/>
                <w:szCs w:val="20"/>
                <w:lang w:val="en-US"/>
              </w:rPr>
              <w:t>/1</w:t>
            </w:r>
            <w:r w:rsidR="00BB29B8" w:rsidRPr="00F07779">
              <w:rPr>
                <w:rFonts w:eastAsia="Calibri"/>
                <w:color w:val="2F5496"/>
                <w:sz w:val="20"/>
                <w:szCs w:val="20"/>
                <w:lang w:val="en-US"/>
              </w:rPr>
              <w:t>.</w:t>
            </w:r>
            <w:r w:rsidRPr="00F07779">
              <w:rPr>
                <w:rFonts w:eastAsia="Calibri"/>
                <w:color w:val="2F5496"/>
                <w:sz w:val="20"/>
                <w:szCs w:val="20"/>
                <w:lang w:val="en-US"/>
              </w:rPr>
              <w:t>2= 0</w:t>
            </w:r>
            <w:r w:rsidR="00BB29B8" w:rsidRPr="00F07779">
              <w:rPr>
                <w:rFonts w:eastAsia="Calibri"/>
                <w:color w:val="2F5496"/>
                <w:sz w:val="20"/>
                <w:szCs w:val="20"/>
                <w:lang w:val="en-US"/>
              </w:rPr>
              <w:t>.</w:t>
            </w:r>
            <w:r w:rsidRPr="00F07779">
              <w:rPr>
                <w:rFonts w:eastAsia="Calibri"/>
                <w:color w:val="2F5496"/>
                <w:sz w:val="20"/>
                <w:szCs w:val="20"/>
                <w:lang w:val="en-US"/>
              </w:rPr>
              <w:t>50</w:t>
            </w:r>
          </w:p>
        </w:tc>
      </w:tr>
    </w:tbl>
    <w:p w14:paraId="5139946B" w14:textId="77777777" w:rsidR="00EB1DF4" w:rsidRPr="00F07779" w:rsidRDefault="00EB1DF4" w:rsidP="00EB1DF4">
      <w:pPr>
        <w:tabs>
          <w:tab w:val="left" w:pos="284"/>
        </w:tabs>
      </w:pPr>
    </w:p>
    <w:p w14:paraId="28FFA5D0" w14:textId="77777777" w:rsidR="00EB1DF4" w:rsidRPr="00FA3F57" w:rsidRDefault="00EB1DF4" w:rsidP="00EB1DF4">
      <w:pPr>
        <w:tabs>
          <w:tab w:val="left" w:pos="284"/>
        </w:tabs>
        <w:jc w:val="both"/>
      </w:pPr>
      <w:r w:rsidRPr="00FA3F57">
        <w:t>For the first goal, “</w:t>
      </w:r>
      <w:r w:rsidRPr="00FA3F57">
        <w:rPr>
          <w:i/>
          <w:iCs/>
        </w:rPr>
        <w:t>Secure supply of thermal power capacities with coal</w:t>
      </w:r>
      <w:r w:rsidRPr="00FA3F57">
        <w:t>,” the main measures for the period up to 2027 are: U1 – Completion of the investment cycle of existing open-pit mines and opening of replacement capacities for coal production, and U2 – Introduction of an integrated coal quality management system.</w:t>
      </w:r>
    </w:p>
    <w:p w14:paraId="7288E757" w14:textId="77777777" w:rsidR="00EB1DF4" w:rsidRPr="00F07779" w:rsidRDefault="00EB1DF4" w:rsidP="00EB1DF4">
      <w:pPr>
        <w:tabs>
          <w:tab w:val="left" w:pos="284"/>
        </w:tabs>
      </w:pPr>
    </w:p>
    <w:p w14:paraId="091FD917" w14:textId="2EADDAEB" w:rsidR="00EB1DF4" w:rsidRPr="00FA3F57" w:rsidRDefault="00EB1DF4" w:rsidP="00EB1DF4">
      <w:pPr>
        <w:tabs>
          <w:tab w:val="left" w:pos="284"/>
        </w:tabs>
        <w:jc w:val="both"/>
      </w:pPr>
      <w:r w:rsidRPr="00FA3F57">
        <w:t xml:space="preserve">For measure U1, the main task is to increase coal production for thermal power plants from the current 30.7 million tons to the required 34 million tons of coal of the specified quality. The total funds for the implementation of measure U1 amount to EUR </w:t>
      </w:r>
      <w:r w:rsidR="00885E31" w:rsidRPr="00FA3F57">
        <w:t xml:space="preserve">290 </w:t>
      </w:r>
      <w:r w:rsidRPr="00FA3F57">
        <w:t>million.</w:t>
      </w:r>
    </w:p>
    <w:p w14:paraId="25D7EACC" w14:textId="77777777" w:rsidR="00EB1DF4" w:rsidRPr="00F07779" w:rsidRDefault="00EB1DF4" w:rsidP="00EB1DF4">
      <w:pPr>
        <w:tabs>
          <w:tab w:val="left" w:pos="284"/>
        </w:tabs>
        <w:jc w:val="both"/>
      </w:pPr>
    </w:p>
    <w:p w14:paraId="67576AB9" w14:textId="77777777" w:rsidR="00EB1DF4" w:rsidRPr="00FA3F57" w:rsidRDefault="00EB1DF4" w:rsidP="00EB1DF4">
      <w:pPr>
        <w:tabs>
          <w:tab w:val="left" w:pos="284"/>
        </w:tabs>
        <w:jc w:val="both"/>
      </w:pPr>
      <w:r w:rsidRPr="00FA3F57">
        <w:t xml:space="preserve">The first indicator for monitoring the implementation of this measure is the ratio of achieved to required coal quantities, with the goal that by 2028 this indicator reaches 1.0, meaning that the entire required coal quantity for thermal power plants will be produced in Serbia. This will reduce the current coal imports for thermal power </w:t>
      </w:r>
      <w:proofErr w:type="spellStart"/>
      <w:proofErr w:type="gramStart"/>
      <w:r w:rsidRPr="00FA3F57">
        <w:t>plants.The</w:t>
      </w:r>
      <w:proofErr w:type="spellEnd"/>
      <w:proofErr w:type="gramEnd"/>
      <w:r w:rsidRPr="00FA3F57">
        <w:t xml:space="preserve"> second indicator represents the ratio of achieved to required quantities of excavated overburden, which will create conditions for coal discovery and extraction. The goal is to excavate 147.5 million cubic meters of overburden by 2027, representing a 40% increase compared to current production. To achieve this plan for increasing coal and overburden quantities, it is necessary to complete the investment cycle at the </w:t>
      </w:r>
      <w:proofErr w:type="spellStart"/>
      <w:r w:rsidRPr="00FA3F57">
        <w:t>Drmno</w:t>
      </w:r>
      <w:proofErr w:type="spellEnd"/>
      <w:r w:rsidRPr="00FA3F57">
        <w:t xml:space="preserve"> surface mine and implement investments in the replacement surface mines </w:t>
      </w:r>
      <w:proofErr w:type="spellStart"/>
      <w:r w:rsidRPr="00FA3F57">
        <w:t>Radljevo</w:t>
      </w:r>
      <w:proofErr w:type="spellEnd"/>
      <w:r w:rsidRPr="00FA3F57">
        <w:t xml:space="preserve"> and Polje E, primarily for the procurement and construction of new missing equipment, revitalization and modernization </w:t>
      </w:r>
      <w:r w:rsidRPr="00FA3F57">
        <w:lastRenderedPageBreak/>
        <w:t xml:space="preserve">of existing equipment, and execution of infrastructure works. Additionally, during this period, it is necessary to start investments for the opening of the replacement surface </w:t>
      </w:r>
      <w:proofErr w:type="gramStart"/>
      <w:r w:rsidRPr="00FA3F57">
        <w:t>mine</w:t>
      </w:r>
      <w:proofErr w:type="gramEnd"/>
      <w:r w:rsidRPr="00FA3F57">
        <w:t xml:space="preserve"> </w:t>
      </w:r>
      <w:proofErr w:type="spellStart"/>
      <w:r w:rsidRPr="00FA3F57">
        <w:t>Kostolac</w:t>
      </w:r>
      <w:proofErr w:type="spellEnd"/>
      <w:r w:rsidRPr="00FA3F57">
        <w:t xml:space="preserve"> West.</w:t>
      </w:r>
    </w:p>
    <w:p w14:paraId="1FA63A83" w14:textId="77777777" w:rsidR="00EB1DF4" w:rsidRPr="00F07779" w:rsidRDefault="00EB1DF4" w:rsidP="00EB1DF4">
      <w:pPr>
        <w:tabs>
          <w:tab w:val="left" w:pos="284"/>
        </w:tabs>
        <w:jc w:val="both"/>
      </w:pPr>
    </w:p>
    <w:p w14:paraId="471F7E5E" w14:textId="5EB42683" w:rsidR="00EB1DF4" w:rsidRPr="00FA3F57" w:rsidRDefault="00EB1DF4" w:rsidP="00EB1DF4">
      <w:pPr>
        <w:tabs>
          <w:tab w:val="left" w:pos="284"/>
        </w:tabs>
        <w:jc w:val="both"/>
      </w:pPr>
      <w:r w:rsidRPr="00FA3F57">
        <w:t xml:space="preserve">Measure U1 – Completion of the investment cycle of existing surface mines and opening of replacement capacities for coal production consists of </w:t>
      </w:r>
      <w:r w:rsidR="00FA3F57">
        <w:rPr>
          <w:lang w:val="sr-Cyrl-RS"/>
        </w:rPr>
        <w:t>7</w:t>
      </w:r>
      <w:r w:rsidR="00FA3F57" w:rsidRPr="00FA3F57">
        <w:t xml:space="preserve"> </w:t>
      </w:r>
      <w:r w:rsidRPr="00FA3F57">
        <w:t>activities:</w:t>
      </w:r>
    </w:p>
    <w:p w14:paraId="1E3FC0A1" w14:textId="77777777" w:rsidR="00EB1DF4" w:rsidRPr="00FA3F57" w:rsidRDefault="00EB1DF4" w:rsidP="00EB1DF4">
      <w:pPr>
        <w:tabs>
          <w:tab w:val="left" w:pos="284"/>
        </w:tabs>
        <w:jc w:val="both"/>
      </w:pPr>
      <w:r w:rsidRPr="00FA3F57">
        <w:t xml:space="preserve">U 1.1: Completion of the investment cycle at the </w:t>
      </w:r>
      <w:proofErr w:type="spellStart"/>
      <w:r w:rsidRPr="00FA3F57">
        <w:t>Drmno</w:t>
      </w:r>
      <w:proofErr w:type="spellEnd"/>
      <w:r w:rsidRPr="00FA3F57">
        <w:t xml:space="preserve"> surface mine</w:t>
      </w:r>
    </w:p>
    <w:p w14:paraId="0ECDAA39" w14:textId="77777777" w:rsidR="00EB1DF4" w:rsidRPr="00FA3F57" w:rsidRDefault="00EB1DF4" w:rsidP="00EB1DF4">
      <w:pPr>
        <w:tabs>
          <w:tab w:val="left" w:pos="284"/>
        </w:tabs>
        <w:jc w:val="both"/>
      </w:pPr>
      <w:r w:rsidRPr="00FA3F57">
        <w:t xml:space="preserve">U 1.2: Opening of the Polje E surface mine - Procurement of new missing basic machines </w:t>
      </w:r>
    </w:p>
    <w:p w14:paraId="0307F5FF" w14:textId="77777777" w:rsidR="00EB1DF4" w:rsidRPr="00FA3F57" w:rsidRDefault="00EB1DF4" w:rsidP="00EB1DF4">
      <w:pPr>
        <w:tabs>
          <w:tab w:val="left" w:pos="284"/>
        </w:tabs>
        <w:jc w:val="both"/>
      </w:pPr>
      <w:r w:rsidRPr="00FA3F57">
        <w:t>U 1.3: Opening of the Polje E surface mine – Revitalization and modernization of existing basic equipment</w:t>
      </w:r>
    </w:p>
    <w:p w14:paraId="6374EE55" w14:textId="77777777" w:rsidR="00EB1DF4" w:rsidRPr="00FA3F57" w:rsidRDefault="00EB1DF4" w:rsidP="00EB1DF4">
      <w:pPr>
        <w:tabs>
          <w:tab w:val="left" w:pos="284"/>
        </w:tabs>
        <w:jc w:val="both"/>
      </w:pPr>
      <w:r w:rsidRPr="00FA3F57">
        <w:t>U 1.4: Opening of the Polje E surface mine – Construction of infrastructure facilities</w:t>
      </w:r>
    </w:p>
    <w:p w14:paraId="17E823A7" w14:textId="77777777" w:rsidR="00EB1DF4" w:rsidRPr="00FA3F57" w:rsidRDefault="00EB1DF4" w:rsidP="00EB1DF4">
      <w:pPr>
        <w:tabs>
          <w:tab w:val="left" w:pos="284"/>
        </w:tabs>
        <w:jc w:val="both"/>
      </w:pPr>
      <w:r w:rsidRPr="00FA3F57">
        <w:t xml:space="preserve">U 1.5: Opening of the </w:t>
      </w:r>
      <w:proofErr w:type="spellStart"/>
      <w:r w:rsidRPr="00FA3F57">
        <w:t>Radljevo</w:t>
      </w:r>
      <w:proofErr w:type="spellEnd"/>
      <w:r w:rsidRPr="00FA3F57">
        <w:t xml:space="preserve"> surface mine – Procurement of new missing basic machines</w:t>
      </w:r>
    </w:p>
    <w:p w14:paraId="3FAC6FF2" w14:textId="77777777" w:rsidR="00EB1DF4" w:rsidRPr="00FA3F57" w:rsidRDefault="00EB1DF4" w:rsidP="00EB1DF4">
      <w:pPr>
        <w:tabs>
          <w:tab w:val="left" w:pos="284"/>
        </w:tabs>
        <w:jc w:val="both"/>
      </w:pPr>
      <w:r w:rsidRPr="00FA3F57">
        <w:t xml:space="preserve">U 1.6: Opening of the </w:t>
      </w:r>
      <w:proofErr w:type="spellStart"/>
      <w:r w:rsidRPr="00FA3F57">
        <w:t>Radljevo</w:t>
      </w:r>
      <w:proofErr w:type="spellEnd"/>
      <w:r w:rsidRPr="00FA3F57">
        <w:t xml:space="preserve"> surface mine – Construction of infrastructure facilities and drainage</w:t>
      </w:r>
    </w:p>
    <w:p w14:paraId="554F6C2E" w14:textId="77777777" w:rsidR="00EB1DF4" w:rsidRPr="00FA3F57" w:rsidRDefault="00EB1DF4" w:rsidP="00EB1DF4">
      <w:pPr>
        <w:tabs>
          <w:tab w:val="left" w:pos="284"/>
        </w:tabs>
        <w:jc w:val="both"/>
      </w:pPr>
      <w:r w:rsidRPr="00FA3F57">
        <w:t xml:space="preserve">U 1.7: Opening of the </w:t>
      </w:r>
      <w:proofErr w:type="spellStart"/>
      <w:r w:rsidRPr="00FA3F57">
        <w:t>Kostolac</w:t>
      </w:r>
      <w:proofErr w:type="spellEnd"/>
      <w:r w:rsidRPr="00FA3F57">
        <w:t xml:space="preserve"> West surface mine – Mine opening, project planning, permits, expropriation, equipment revitalization, preliminary drainage, procurement of basic and auxiliary equipment, etc.</w:t>
      </w:r>
    </w:p>
    <w:p w14:paraId="62F615AC" w14:textId="77777777" w:rsidR="00EB1DF4" w:rsidRPr="00F07779" w:rsidRDefault="00EB1DF4" w:rsidP="00EB1DF4">
      <w:pPr>
        <w:tabs>
          <w:tab w:val="left" w:pos="284"/>
        </w:tabs>
        <w:jc w:val="both"/>
      </w:pPr>
    </w:p>
    <w:p w14:paraId="15AA5615" w14:textId="403651D2" w:rsidR="00EB1DF4" w:rsidRPr="00FA3F57" w:rsidRDefault="00EB1DF4" w:rsidP="00EB1DF4">
      <w:pPr>
        <w:tabs>
          <w:tab w:val="left" w:pos="284"/>
        </w:tabs>
        <w:jc w:val="both"/>
      </w:pPr>
      <w:r w:rsidRPr="00FA3F57">
        <w:t xml:space="preserve">Measure U2 aims to ensure the required coal quality, primarily from the surface mines in the </w:t>
      </w:r>
      <w:proofErr w:type="spellStart"/>
      <w:r w:rsidRPr="00FA3F57">
        <w:t>Kolubara</w:t>
      </w:r>
      <w:proofErr w:type="spellEnd"/>
      <w:r w:rsidRPr="00FA3F57">
        <w:t xml:space="preserve"> basin. Currently, the share of trains with unsatisfactory coal quality is about 40%, i.e., 3,327 trains out of 8,924 trains (coal quality below 6,100 kJ/kg or above 7,200 kJ/kg). The goal is to reduce this ratio to a maximum of 20%, which will provide more favorable conditions for combustion in thermal power plants and increase the efficiency of the units. The total funds for the implementation of measure U2 amount to EUR </w:t>
      </w:r>
      <w:r w:rsidR="00885E31" w:rsidRPr="00FA3F57">
        <w:t>4</w:t>
      </w:r>
      <w:r w:rsidRPr="00FA3F57">
        <w:t>.9 million.</w:t>
      </w:r>
    </w:p>
    <w:p w14:paraId="42B51B00" w14:textId="77777777" w:rsidR="00EB1DF4" w:rsidRPr="00F07779" w:rsidRDefault="00EB1DF4" w:rsidP="00EB1DF4">
      <w:pPr>
        <w:tabs>
          <w:tab w:val="left" w:pos="284"/>
        </w:tabs>
        <w:jc w:val="both"/>
      </w:pPr>
    </w:p>
    <w:p w14:paraId="38D9B1C2" w14:textId="77777777" w:rsidR="00EB1DF4" w:rsidRPr="00FA3F57" w:rsidRDefault="00EB1DF4" w:rsidP="00EB1DF4">
      <w:pPr>
        <w:tabs>
          <w:tab w:val="left" w:pos="284"/>
        </w:tabs>
        <w:jc w:val="both"/>
      </w:pPr>
      <w:r w:rsidRPr="00FA3F57">
        <w:t xml:space="preserve">The second goal in the coal sector is to </w:t>
      </w:r>
      <w:r w:rsidRPr="00FA3F57">
        <w:rPr>
          <w:i/>
          <w:iCs/>
        </w:rPr>
        <w:t xml:space="preserve">Ensure coal in the required quantity and quality for final consumption and </w:t>
      </w:r>
      <w:proofErr w:type="gramStart"/>
      <w:r w:rsidRPr="00FA3F57">
        <w:rPr>
          <w:i/>
          <w:iCs/>
        </w:rPr>
        <w:t>for the production of</w:t>
      </w:r>
      <w:proofErr w:type="gramEnd"/>
      <w:r w:rsidRPr="00FA3F57">
        <w:rPr>
          <w:i/>
          <w:iCs/>
        </w:rPr>
        <w:t xml:space="preserve"> thermal energy</w:t>
      </w:r>
      <w:r w:rsidRPr="00FA3F57">
        <w:t>. This coal is currently obtained from underground mining, partly from EPS facilities (dried and lump coal) and partly from the Kovin mine. However, current consumption of this coal significantly exceeds production (production is less than 50%), so it is necessary to implement measure U3 and optimize and concentrate coal production in profitable facilities of JP for PEU. The remaining portion of coal for drying and lump coal will be obtained after increasing production at EPS. Due to limiting factors regarding the available reserves of the Kovin mine, i.e., potential issues with further exploitation (potential production reduction of about 140,000 tons), and the impossibility of increasing coal quantities for final consumption and thermal energy production from EPS facilities by 2027, only optimization and concentration of coal production in profitable facilities of JP for PEU is possible. However, quantities are limited even there, so the indicator can increase only from the current 47% to a maximum of 50%.</w:t>
      </w:r>
    </w:p>
    <w:p w14:paraId="12852264" w14:textId="77777777" w:rsidR="00EB1DF4" w:rsidRPr="00F07779" w:rsidRDefault="00EB1DF4" w:rsidP="00EB1DF4">
      <w:pPr>
        <w:tabs>
          <w:tab w:val="left" w:pos="284"/>
        </w:tabs>
        <w:jc w:val="both"/>
      </w:pPr>
    </w:p>
    <w:p w14:paraId="188511AD" w14:textId="77777777" w:rsidR="00EB1DF4" w:rsidRPr="00FA3F57" w:rsidRDefault="00EB1DF4" w:rsidP="00EB1DF4">
      <w:pPr>
        <w:jc w:val="both"/>
      </w:pPr>
      <w:r w:rsidRPr="00FA3F57">
        <w:t>In Tables 5.7.3–5.7.5, the activities required for the implementation of each measure are presented.</w:t>
      </w:r>
    </w:p>
    <w:p w14:paraId="4403C7EE" w14:textId="77777777" w:rsidR="00EB1DF4" w:rsidRPr="00F07779" w:rsidRDefault="00EB1DF4" w:rsidP="00EB1DF4"/>
    <w:p w14:paraId="6019C422" w14:textId="77777777" w:rsidR="00EB1DF4" w:rsidRPr="00FA3F57" w:rsidRDefault="00EB1DF4" w:rsidP="00EB1DF4">
      <w:r w:rsidRPr="00FA3F57">
        <w:t>Table 5.7.3-1: Activities for the implementation of measure U1 – U1.1</w:t>
      </w:r>
    </w:p>
    <w:tbl>
      <w:tblPr>
        <w:tblStyle w:val="TableGrid"/>
        <w:tblW w:w="0" w:type="auto"/>
        <w:tblLook w:val="04A0" w:firstRow="1" w:lastRow="0" w:firstColumn="1" w:lastColumn="0" w:noHBand="0" w:noVBand="1"/>
      </w:tblPr>
      <w:tblGrid>
        <w:gridCol w:w="3114"/>
        <w:gridCol w:w="5601"/>
      </w:tblGrid>
      <w:tr w:rsidR="00EB1DF4" w:rsidRPr="00F07779" w14:paraId="7441E52E" w14:textId="77777777" w:rsidTr="00615D2C">
        <w:tc>
          <w:tcPr>
            <w:tcW w:w="3114" w:type="dxa"/>
            <w:shd w:val="clear" w:color="auto" w:fill="D9D9D9" w:themeFill="background1" w:themeFillShade="D9"/>
          </w:tcPr>
          <w:p w14:paraId="79E3DEF6" w14:textId="1EF438BF" w:rsidR="00EB1DF4" w:rsidRPr="00FA3F57" w:rsidRDefault="00EB1DF4" w:rsidP="00615D2C">
            <w:pPr>
              <w:rPr>
                <w:sz w:val="20"/>
                <w:szCs w:val="20"/>
              </w:rPr>
            </w:pPr>
            <w:r w:rsidRPr="00FA3F57">
              <w:rPr>
                <w:sz w:val="20"/>
                <w:szCs w:val="20"/>
              </w:rPr>
              <w:t>Activity U1.1</w:t>
            </w:r>
          </w:p>
        </w:tc>
        <w:tc>
          <w:tcPr>
            <w:tcW w:w="5601" w:type="dxa"/>
            <w:shd w:val="clear" w:color="auto" w:fill="D9D9D9" w:themeFill="background1" w:themeFillShade="D9"/>
          </w:tcPr>
          <w:p w14:paraId="35ED8631" w14:textId="77777777" w:rsidR="00EB1DF4" w:rsidRPr="00FA3F57" w:rsidRDefault="00EB1DF4" w:rsidP="00615D2C">
            <w:pPr>
              <w:rPr>
                <w:sz w:val="20"/>
                <w:szCs w:val="20"/>
              </w:rPr>
            </w:pPr>
            <w:r w:rsidRPr="00FA3F57">
              <w:rPr>
                <w:sz w:val="20"/>
                <w:szCs w:val="20"/>
              </w:rPr>
              <w:t xml:space="preserve">Completion of the investment cycle at the </w:t>
            </w:r>
            <w:proofErr w:type="spellStart"/>
            <w:r w:rsidRPr="00FA3F57">
              <w:rPr>
                <w:sz w:val="20"/>
                <w:szCs w:val="20"/>
              </w:rPr>
              <w:t>Drmno</w:t>
            </w:r>
            <w:proofErr w:type="spellEnd"/>
            <w:r w:rsidRPr="00FA3F57">
              <w:rPr>
                <w:sz w:val="20"/>
                <w:szCs w:val="20"/>
              </w:rPr>
              <w:t xml:space="preserve"> surface mine</w:t>
            </w:r>
          </w:p>
        </w:tc>
      </w:tr>
      <w:tr w:rsidR="00EB1DF4" w:rsidRPr="00F07779" w14:paraId="0A69E8D0" w14:textId="77777777" w:rsidTr="00615D2C">
        <w:tc>
          <w:tcPr>
            <w:tcW w:w="3114" w:type="dxa"/>
          </w:tcPr>
          <w:p w14:paraId="1F021EAF" w14:textId="77777777" w:rsidR="00EB1DF4" w:rsidRPr="00FA3F57" w:rsidRDefault="00EB1DF4" w:rsidP="00615D2C">
            <w:pPr>
              <w:rPr>
                <w:sz w:val="20"/>
                <w:szCs w:val="20"/>
              </w:rPr>
            </w:pPr>
            <w:r w:rsidRPr="00FA3F57">
              <w:rPr>
                <w:sz w:val="20"/>
                <w:szCs w:val="20"/>
              </w:rPr>
              <w:t>Description</w:t>
            </w:r>
          </w:p>
        </w:tc>
        <w:tc>
          <w:tcPr>
            <w:tcW w:w="5601" w:type="dxa"/>
          </w:tcPr>
          <w:p w14:paraId="2F5FD48D" w14:textId="77777777" w:rsidR="00EB1DF4" w:rsidRPr="00FA3F57" w:rsidRDefault="00EB1DF4" w:rsidP="00615D2C">
            <w:pPr>
              <w:rPr>
                <w:sz w:val="20"/>
                <w:szCs w:val="20"/>
              </w:rPr>
            </w:pPr>
            <w:r w:rsidRPr="00FA3F57">
              <w:rPr>
                <w:sz w:val="20"/>
                <w:szCs w:val="20"/>
              </w:rPr>
              <w:t>Procurement of missing equipment (self-propelled conveyor B 1600), revitalization and modernization of existing equipment, investment in drainage (LC XIX, XX, and XXI well lines and remediation and stabilization of the waste dump), power supply, etc.</w:t>
            </w:r>
          </w:p>
        </w:tc>
      </w:tr>
      <w:tr w:rsidR="00EB1DF4" w:rsidRPr="00F07779" w14:paraId="002AAAB2" w14:textId="77777777" w:rsidTr="00615D2C">
        <w:tc>
          <w:tcPr>
            <w:tcW w:w="3114" w:type="dxa"/>
          </w:tcPr>
          <w:p w14:paraId="1C1520E6" w14:textId="77777777" w:rsidR="00EB1DF4" w:rsidRPr="00FA3F57" w:rsidRDefault="00EB1DF4" w:rsidP="00615D2C">
            <w:pPr>
              <w:rPr>
                <w:sz w:val="20"/>
                <w:szCs w:val="20"/>
              </w:rPr>
            </w:pPr>
            <w:r w:rsidRPr="00FA3F57">
              <w:rPr>
                <w:sz w:val="20"/>
                <w:szCs w:val="20"/>
              </w:rPr>
              <w:t>Institutions responsible for the implementation of measures and activities</w:t>
            </w:r>
          </w:p>
        </w:tc>
        <w:tc>
          <w:tcPr>
            <w:tcW w:w="5601" w:type="dxa"/>
          </w:tcPr>
          <w:p w14:paraId="719BC6E8" w14:textId="77777777" w:rsidR="00EB1DF4" w:rsidRPr="00FA3F57" w:rsidRDefault="00EB1DF4" w:rsidP="00615D2C">
            <w:pPr>
              <w:rPr>
                <w:sz w:val="20"/>
                <w:szCs w:val="20"/>
              </w:rPr>
            </w:pPr>
            <w:r w:rsidRPr="00FA3F57">
              <w:rPr>
                <w:rFonts w:eastAsia="Calibri"/>
                <w:sz w:val="20"/>
                <w:szCs w:val="20"/>
              </w:rPr>
              <w:t>Joint Stock Company “Electric Power Industry of Serbia”</w:t>
            </w:r>
          </w:p>
        </w:tc>
      </w:tr>
      <w:tr w:rsidR="00EB1DF4" w:rsidRPr="00F07779" w14:paraId="35ED7B36" w14:textId="77777777" w:rsidTr="00615D2C">
        <w:tc>
          <w:tcPr>
            <w:tcW w:w="3114" w:type="dxa"/>
          </w:tcPr>
          <w:p w14:paraId="7FE31E3D" w14:textId="77777777" w:rsidR="00EB1DF4" w:rsidRPr="00FA3F57" w:rsidRDefault="00EB1DF4" w:rsidP="00615D2C">
            <w:pPr>
              <w:rPr>
                <w:sz w:val="20"/>
                <w:szCs w:val="20"/>
              </w:rPr>
            </w:pPr>
            <w:r w:rsidRPr="00FA3F57">
              <w:rPr>
                <w:sz w:val="20"/>
                <w:szCs w:val="20"/>
              </w:rPr>
              <w:lastRenderedPageBreak/>
              <w:t>Institutions responsible for monitoring implementation and reporting on realization</w:t>
            </w:r>
          </w:p>
        </w:tc>
        <w:tc>
          <w:tcPr>
            <w:tcW w:w="5601" w:type="dxa"/>
          </w:tcPr>
          <w:p w14:paraId="470C177A" w14:textId="77777777" w:rsidR="00EB1DF4" w:rsidRPr="00FA3F57" w:rsidRDefault="00EB1DF4" w:rsidP="00615D2C">
            <w:pPr>
              <w:rPr>
                <w:sz w:val="20"/>
                <w:szCs w:val="20"/>
              </w:rPr>
            </w:pPr>
            <w:r w:rsidRPr="00FA3F57">
              <w:rPr>
                <w:sz w:val="20"/>
                <w:szCs w:val="20"/>
              </w:rPr>
              <w:t>Ministry of Mining and Energy</w:t>
            </w:r>
          </w:p>
        </w:tc>
      </w:tr>
      <w:tr w:rsidR="00EB1DF4" w:rsidRPr="00F07779" w14:paraId="2CA39035" w14:textId="77777777" w:rsidTr="00615D2C">
        <w:tc>
          <w:tcPr>
            <w:tcW w:w="3114" w:type="dxa"/>
          </w:tcPr>
          <w:p w14:paraId="729CA2ED" w14:textId="77777777" w:rsidR="00EB1DF4" w:rsidRPr="00FA3F57" w:rsidRDefault="00EB1DF4" w:rsidP="00615D2C">
            <w:pPr>
              <w:rPr>
                <w:sz w:val="20"/>
                <w:szCs w:val="20"/>
              </w:rPr>
            </w:pPr>
            <w:r w:rsidRPr="00FA3F57">
              <w:rPr>
                <w:sz w:val="20"/>
                <w:szCs w:val="20"/>
              </w:rPr>
              <w:t>Deadline for implementation</w:t>
            </w:r>
          </w:p>
        </w:tc>
        <w:tc>
          <w:tcPr>
            <w:tcW w:w="5601" w:type="dxa"/>
          </w:tcPr>
          <w:p w14:paraId="7E2355E8" w14:textId="7EEDC425" w:rsidR="00EB1DF4" w:rsidRPr="00FA3F57" w:rsidRDefault="00EB1DF4" w:rsidP="00615D2C">
            <w:pPr>
              <w:rPr>
                <w:sz w:val="20"/>
                <w:szCs w:val="20"/>
              </w:rPr>
            </w:pPr>
            <w:r w:rsidRPr="00FA3F57">
              <w:rPr>
                <w:sz w:val="20"/>
                <w:szCs w:val="20"/>
              </w:rPr>
              <w:t>2028</w:t>
            </w:r>
            <w:r w:rsidR="008B2A7B" w:rsidRPr="00F07779">
              <w:rPr>
                <w:sz w:val="20"/>
                <w:szCs w:val="20"/>
              </w:rPr>
              <w:t>.</w:t>
            </w:r>
          </w:p>
        </w:tc>
      </w:tr>
      <w:tr w:rsidR="00EB1DF4" w:rsidRPr="00F07779" w14:paraId="1FE0B058" w14:textId="77777777" w:rsidTr="00615D2C">
        <w:tc>
          <w:tcPr>
            <w:tcW w:w="3114" w:type="dxa"/>
          </w:tcPr>
          <w:p w14:paraId="19DFFC86" w14:textId="77777777" w:rsidR="00EB1DF4" w:rsidRPr="00FA3F57" w:rsidRDefault="00EB1DF4" w:rsidP="00615D2C">
            <w:pPr>
              <w:rPr>
                <w:sz w:val="20"/>
                <w:szCs w:val="20"/>
              </w:rPr>
            </w:pPr>
            <w:r w:rsidRPr="00FA3F57">
              <w:rPr>
                <w:sz w:val="20"/>
                <w:szCs w:val="20"/>
              </w:rPr>
              <w:t>Required funds and source of financing</w:t>
            </w:r>
          </w:p>
        </w:tc>
        <w:tc>
          <w:tcPr>
            <w:tcW w:w="5601" w:type="dxa"/>
          </w:tcPr>
          <w:p w14:paraId="40E76E28" w14:textId="028ABE00" w:rsidR="00EB1DF4" w:rsidRPr="00FA3F57" w:rsidRDefault="00EB1DF4" w:rsidP="00615D2C">
            <w:pPr>
              <w:rPr>
                <w:sz w:val="20"/>
                <w:szCs w:val="20"/>
              </w:rPr>
            </w:pPr>
            <w:r w:rsidRPr="00FA3F57">
              <w:rPr>
                <w:sz w:val="20"/>
                <w:szCs w:val="20"/>
              </w:rPr>
              <w:t>10,373,000,000 RSD (88.469 million</w:t>
            </w:r>
            <w:r w:rsidR="008B2A7B" w:rsidRPr="00F07779">
              <w:rPr>
                <w:sz w:val="20"/>
                <w:szCs w:val="20"/>
              </w:rPr>
              <w:t xml:space="preserve"> EUR</w:t>
            </w:r>
            <w:r w:rsidRPr="00FA3F57">
              <w:rPr>
                <w:sz w:val="20"/>
                <w:szCs w:val="20"/>
              </w:rPr>
              <w:t>)</w:t>
            </w:r>
          </w:p>
          <w:p w14:paraId="0979C755" w14:textId="77777777" w:rsidR="00EB1DF4" w:rsidRPr="00FA3F57" w:rsidRDefault="00EB1DF4" w:rsidP="00615D2C">
            <w:pPr>
              <w:rPr>
                <w:sz w:val="20"/>
                <w:szCs w:val="20"/>
              </w:rPr>
            </w:pPr>
            <w:r w:rsidRPr="00FA3F57">
              <w:rPr>
                <w:sz w:val="20"/>
                <w:szCs w:val="20"/>
              </w:rPr>
              <w:t>Funded from EPS equity</w:t>
            </w:r>
          </w:p>
        </w:tc>
      </w:tr>
      <w:tr w:rsidR="00EB1DF4" w:rsidRPr="00F07779" w14:paraId="0E5BED6E" w14:textId="77777777" w:rsidTr="00615D2C">
        <w:tc>
          <w:tcPr>
            <w:tcW w:w="3114" w:type="dxa"/>
          </w:tcPr>
          <w:p w14:paraId="64B335BF" w14:textId="77777777" w:rsidR="00EB1DF4" w:rsidRPr="00FA3F57" w:rsidRDefault="00EB1DF4" w:rsidP="00615D2C">
            <w:pPr>
              <w:rPr>
                <w:sz w:val="20"/>
                <w:szCs w:val="20"/>
              </w:rPr>
            </w:pPr>
            <w:r w:rsidRPr="00FA3F57">
              <w:rPr>
                <w:sz w:val="20"/>
                <w:szCs w:val="20"/>
              </w:rPr>
              <w:t>2026</w:t>
            </w:r>
          </w:p>
        </w:tc>
        <w:tc>
          <w:tcPr>
            <w:tcW w:w="5601" w:type="dxa"/>
          </w:tcPr>
          <w:p w14:paraId="4A21D101" w14:textId="1FA7B189" w:rsidR="00EB1DF4" w:rsidRPr="00FA3F57" w:rsidRDefault="00EB1DF4" w:rsidP="00615D2C">
            <w:pPr>
              <w:rPr>
                <w:sz w:val="20"/>
                <w:szCs w:val="20"/>
              </w:rPr>
            </w:pPr>
            <w:r w:rsidRPr="00FA3F57">
              <w:rPr>
                <w:sz w:val="20"/>
                <w:szCs w:val="20"/>
              </w:rPr>
              <w:t>3,765,000,000 RSD (32.111 million</w:t>
            </w:r>
            <w:r w:rsidR="008B2A7B" w:rsidRPr="00F07779">
              <w:rPr>
                <w:sz w:val="20"/>
                <w:szCs w:val="20"/>
              </w:rPr>
              <w:t xml:space="preserve"> EUR</w:t>
            </w:r>
            <w:r w:rsidRPr="00FA3F57">
              <w:rPr>
                <w:sz w:val="20"/>
                <w:szCs w:val="20"/>
              </w:rPr>
              <w:t>)</w:t>
            </w:r>
          </w:p>
        </w:tc>
      </w:tr>
      <w:tr w:rsidR="00EB1DF4" w:rsidRPr="00F07779" w14:paraId="6B0A6E39" w14:textId="77777777" w:rsidTr="00615D2C">
        <w:tc>
          <w:tcPr>
            <w:tcW w:w="3114" w:type="dxa"/>
          </w:tcPr>
          <w:p w14:paraId="77B0552C" w14:textId="77777777" w:rsidR="00EB1DF4" w:rsidRPr="00FA3F57" w:rsidRDefault="00EB1DF4" w:rsidP="00615D2C">
            <w:pPr>
              <w:rPr>
                <w:sz w:val="20"/>
                <w:szCs w:val="20"/>
              </w:rPr>
            </w:pPr>
            <w:r w:rsidRPr="00FA3F57">
              <w:rPr>
                <w:sz w:val="20"/>
                <w:szCs w:val="20"/>
              </w:rPr>
              <w:t>2027</w:t>
            </w:r>
          </w:p>
        </w:tc>
        <w:tc>
          <w:tcPr>
            <w:tcW w:w="5601" w:type="dxa"/>
          </w:tcPr>
          <w:p w14:paraId="42C06C60" w14:textId="7F529CB3" w:rsidR="00EB1DF4" w:rsidRPr="00FA3F57" w:rsidRDefault="00EB1DF4" w:rsidP="00615D2C">
            <w:pPr>
              <w:rPr>
                <w:sz w:val="20"/>
                <w:szCs w:val="20"/>
              </w:rPr>
            </w:pPr>
            <w:r w:rsidRPr="00FA3F57">
              <w:rPr>
                <w:sz w:val="20"/>
                <w:szCs w:val="20"/>
              </w:rPr>
              <w:t>3,783,000,000 RSD (32.264 million</w:t>
            </w:r>
            <w:r w:rsidR="008B2A7B" w:rsidRPr="00F07779">
              <w:rPr>
                <w:sz w:val="20"/>
                <w:szCs w:val="20"/>
              </w:rPr>
              <w:t xml:space="preserve"> EUR</w:t>
            </w:r>
            <w:r w:rsidRPr="00FA3F57">
              <w:rPr>
                <w:sz w:val="20"/>
                <w:szCs w:val="20"/>
              </w:rPr>
              <w:t>)</w:t>
            </w:r>
          </w:p>
        </w:tc>
      </w:tr>
      <w:tr w:rsidR="00EB1DF4" w:rsidRPr="00F07779" w14:paraId="60C9B2C9" w14:textId="77777777" w:rsidTr="00615D2C">
        <w:tc>
          <w:tcPr>
            <w:tcW w:w="3114" w:type="dxa"/>
          </w:tcPr>
          <w:p w14:paraId="0A336843" w14:textId="77777777" w:rsidR="00EB1DF4" w:rsidRPr="00FA3F57" w:rsidRDefault="00EB1DF4" w:rsidP="00615D2C">
            <w:pPr>
              <w:rPr>
                <w:sz w:val="20"/>
                <w:szCs w:val="20"/>
              </w:rPr>
            </w:pPr>
            <w:r w:rsidRPr="00FA3F57">
              <w:rPr>
                <w:sz w:val="20"/>
                <w:szCs w:val="20"/>
              </w:rPr>
              <w:t>2028</w:t>
            </w:r>
          </w:p>
        </w:tc>
        <w:tc>
          <w:tcPr>
            <w:tcW w:w="5601" w:type="dxa"/>
          </w:tcPr>
          <w:p w14:paraId="713386DD" w14:textId="1F527E42" w:rsidR="00EB1DF4" w:rsidRPr="00FA3F57" w:rsidRDefault="00EB1DF4" w:rsidP="00615D2C">
            <w:pPr>
              <w:rPr>
                <w:sz w:val="20"/>
                <w:szCs w:val="20"/>
              </w:rPr>
            </w:pPr>
            <w:r w:rsidRPr="00FA3F57">
              <w:rPr>
                <w:sz w:val="20"/>
                <w:szCs w:val="20"/>
              </w:rPr>
              <w:t>2,825,000,000 RSD (24.094 million</w:t>
            </w:r>
            <w:r w:rsidR="008B2A7B" w:rsidRPr="00F07779">
              <w:rPr>
                <w:sz w:val="20"/>
                <w:szCs w:val="20"/>
              </w:rPr>
              <w:t xml:space="preserve"> EUR</w:t>
            </w:r>
            <w:r w:rsidRPr="00FA3F57">
              <w:rPr>
                <w:sz w:val="20"/>
                <w:szCs w:val="20"/>
              </w:rPr>
              <w:t>)</w:t>
            </w:r>
          </w:p>
        </w:tc>
      </w:tr>
      <w:tr w:rsidR="00EB1DF4" w:rsidRPr="00F07779" w14:paraId="5DA76C7E" w14:textId="77777777" w:rsidTr="00615D2C">
        <w:tc>
          <w:tcPr>
            <w:tcW w:w="3114" w:type="dxa"/>
          </w:tcPr>
          <w:p w14:paraId="34DCB571" w14:textId="77777777" w:rsidR="00EB1DF4" w:rsidRPr="00FA3F57" w:rsidRDefault="00EB1DF4" w:rsidP="00615D2C">
            <w:pPr>
              <w:rPr>
                <w:sz w:val="20"/>
                <w:szCs w:val="20"/>
              </w:rPr>
            </w:pPr>
            <w:r w:rsidRPr="00FA3F57">
              <w:rPr>
                <w:sz w:val="20"/>
                <w:szCs w:val="20"/>
              </w:rPr>
              <w:t>Implementation indicator</w:t>
            </w:r>
          </w:p>
        </w:tc>
        <w:tc>
          <w:tcPr>
            <w:tcW w:w="5601" w:type="dxa"/>
          </w:tcPr>
          <w:p w14:paraId="12298386" w14:textId="77777777" w:rsidR="00EB1DF4" w:rsidRPr="00FA3F57" w:rsidRDefault="00EB1DF4" w:rsidP="00615D2C">
            <w:pPr>
              <w:rPr>
                <w:sz w:val="20"/>
                <w:szCs w:val="20"/>
              </w:rPr>
            </w:pPr>
            <w:r w:rsidRPr="00FA3F57">
              <w:rPr>
                <w:sz w:val="20"/>
                <w:szCs w:val="20"/>
              </w:rPr>
              <w:t xml:space="preserve">Increase of coal production at the </w:t>
            </w:r>
            <w:proofErr w:type="spellStart"/>
            <w:r w:rsidRPr="00FA3F57">
              <w:rPr>
                <w:sz w:val="20"/>
                <w:szCs w:val="20"/>
              </w:rPr>
              <w:t>Drmno</w:t>
            </w:r>
            <w:proofErr w:type="spellEnd"/>
            <w:r w:rsidRPr="00FA3F57">
              <w:rPr>
                <w:sz w:val="20"/>
                <w:szCs w:val="20"/>
              </w:rPr>
              <w:t xml:space="preserve"> surface mine from 8.78 million tons in 2023 to 10.5 million tons in 2027. Increase of excavated overburden quantities from 44,000,000 m³ in 2024 to 49,500,000 m³ in 2027.</w:t>
            </w:r>
          </w:p>
        </w:tc>
      </w:tr>
      <w:tr w:rsidR="00EB1DF4" w:rsidRPr="00F07779" w14:paraId="05D11B8D" w14:textId="77777777" w:rsidTr="00615D2C">
        <w:tc>
          <w:tcPr>
            <w:tcW w:w="3114" w:type="dxa"/>
          </w:tcPr>
          <w:p w14:paraId="7AF9FC2E" w14:textId="77777777" w:rsidR="00EB1DF4" w:rsidRPr="00FA3F57" w:rsidRDefault="00EB1DF4" w:rsidP="00615D2C">
            <w:pPr>
              <w:rPr>
                <w:sz w:val="20"/>
                <w:szCs w:val="20"/>
              </w:rPr>
            </w:pPr>
            <w:r w:rsidRPr="00FA3F57">
              <w:rPr>
                <w:sz w:val="20"/>
                <w:szCs w:val="20"/>
              </w:rPr>
              <w:t>Impact of the activity on the achievement of the objective</w:t>
            </w:r>
          </w:p>
        </w:tc>
        <w:tc>
          <w:tcPr>
            <w:tcW w:w="5601" w:type="dxa"/>
          </w:tcPr>
          <w:p w14:paraId="634C6BD1" w14:textId="77777777" w:rsidR="00EB1DF4" w:rsidRPr="00FA3F57" w:rsidRDefault="00EB1DF4" w:rsidP="00615D2C">
            <w:pPr>
              <w:rPr>
                <w:sz w:val="20"/>
                <w:szCs w:val="20"/>
              </w:rPr>
            </w:pPr>
            <w:r w:rsidRPr="00FA3F57">
              <w:rPr>
                <w:sz w:val="20"/>
                <w:szCs w:val="20"/>
              </w:rPr>
              <w:t>Ensuring the required coal quantities for thermal power plants</w:t>
            </w:r>
          </w:p>
        </w:tc>
      </w:tr>
      <w:tr w:rsidR="00EB1DF4" w:rsidRPr="00F07779" w14:paraId="35FDBED9" w14:textId="77777777" w:rsidTr="00615D2C">
        <w:tc>
          <w:tcPr>
            <w:tcW w:w="3114" w:type="dxa"/>
          </w:tcPr>
          <w:p w14:paraId="421AB5E8" w14:textId="77777777" w:rsidR="00EB1DF4" w:rsidRPr="00FA3F57" w:rsidRDefault="00EB1DF4" w:rsidP="00615D2C">
            <w:pPr>
              <w:rPr>
                <w:sz w:val="20"/>
                <w:szCs w:val="20"/>
              </w:rPr>
            </w:pPr>
            <w:r w:rsidRPr="00FA3F57">
              <w:rPr>
                <w:sz w:val="20"/>
                <w:szCs w:val="20"/>
              </w:rPr>
              <w:t>Impact on EE, climate, and environmental protection</w:t>
            </w:r>
          </w:p>
        </w:tc>
        <w:tc>
          <w:tcPr>
            <w:tcW w:w="5601" w:type="dxa"/>
          </w:tcPr>
          <w:p w14:paraId="15C15C47" w14:textId="77777777" w:rsidR="00EB1DF4" w:rsidRPr="00FA3F57" w:rsidRDefault="00EB1DF4" w:rsidP="00615D2C">
            <w:pPr>
              <w:rPr>
                <w:sz w:val="20"/>
                <w:szCs w:val="20"/>
              </w:rPr>
            </w:pPr>
            <w:r w:rsidRPr="00FA3F57">
              <w:rPr>
                <w:sz w:val="20"/>
                <w:szCs w:val="20"/>
              </w:rPr>
              <w:t>No direct impact</w:t>
            </w:r>
          </w:p>
        </w:tc>
      </w:tr>
    </w:tbl>
    <w:p w14:paraId="628F675E" w14:textId="77777777" w:rsidR="00EB1DF4" w:rsidRPr="00F07779" w:rsidRDefault="00EB1DF4" w:rsidP="00EB1DF4"/>
    <w:p w14:paraId="327D6780" w14:textId="77777777" w:rsidR="00EB1DF4" w:rsidRPr="00FA3F57" w:rsidRDefault="00EB1DF4" w:rsidP="00EB1DF4">
      <w:r w:rsidRPr="00FA3F57">
        <w:t>Table 5.7.3-2: Activities for the implementation of measure U1 – U1.2</w:t>
      </w:r>
    </w:p>
    <w:tbl>
      <w:tblPr>
        <w:tblStyle w:val="TableGrid"/>
        <w:tblW w:w="0" w:type="auto"/>
        <w:tblLook w:val="04A0" w:firstRow="1" w:lastRow="0" w:firstColumn="1" w:lastColumn="0" w:noHBand="0" w:noVBand="1"/>
      </w:tblPr>
      <w:tblGrid>
        <w:gridCol w:w="3114"/>
        <w:gridCol w:w="5601"/>
      </w:tblGrid>
      <w:tr w:rsidR="00BB29B8" w:rsidRPr="00F07779" w14:paraId="7E9F333B" w14:textId="77777777" w:rsidTr="00615D2C">
        <w:tc>
          <w:tcPr>
            <w:tcW w:w="3114" w:type="dxa"/>
            <w:shd w:val="clear" w:color="auto" w:fill="D9D9D9" w:themeFill="background1" w:themeFillShade="D9"/>
          </w:tcPr>
          <w:p w14:paraId="3319F1B6" w14:textId="41F2EF69" w:rsidR="00EB1DF4" w:rsidRPr="00FA3F57" w:rsidRDefault="00EB1DF4" w:rsidP="00615D2C">
            <w:pPr>
              <w:rPr>
                <w:sz w:val="20"/>
                <w:szCs w:val="20"/>
              </w:rPr>
            </w:pPr>
            <w:r w:rsidRPr="00FA3F57">
              <w:rPr>
                <w:sz w:val="20"/>
                <w:szCs w:val="20"/>
              </w:rPr>
              <w:t>Activity U1.2</w:t>
            </w:r>
          </w:p>
        </w:tc>
        <w:tc>
          <w:tcPr>
            <w:tcW w:w="5601" w:type="dxa"/>
            <w:shd w:val="clear" w:color="auto" w:fill="D9D9D9" w:themeFill="background1" w:themeFillShade="D9"/>
          </w:tcPr>
          <w:p w14:paraId="055A91FC" w14:textId="77777777" w:rsidR="00EB1DF4" w:rsidRPr="00FA3F57" w:rsidRDefault="00EB1DF4" w:rsidP="00615D2C">
            <w:pPr>
              <w:rPr>
                <w:sz w:val="20"/>
                <w:szCs w:val="20"/>
              </w:rPr>
            </w:pPr>
            <w:r w:rsidRPr="00FA3F57">
              <w:rPr>
                <w:sz w:val="20"/>
                <w:szCs w:val="20"/>
              </w:rPr>
              <w:t xml:space="preserve">Opening of the Polje E surface mine – Procurement of new missing basic machines </w:t>
            </w:r>
          </w:p>
        </w:tc>
      </w:tr>
      <w:tr w:rsidR="00BB29B8" w:rsidRPr="00F07779" w14:paraId="39E618C0" w14:textId="77777777" w:rsidTr="00615D2C">
        <w:tc>
          <w:tcPr>
            <w:tcW w:w="3114" w:type="dxa"/>
          </w:tcPr>
          <w:p w14:paraId="3C7D5199" w14:textId="77777777" w:rsidR="00EB1DF4" w:rsidRPr="00FA3F57" w:rsidRDefault="00EB1DF4" w:rsidP="00615D2C">
            <w:pPr>
              <w:rPr>
                <w:sz w:val="20"/>
                <w:szCs w:val="20"/>
              </w:rPr>
            </w:pPr>
            <w:r w:rsidRPr="00FA3F57">
              <w:rPr>
                <w:sz w:val="20"/>
                <w:szCs w:val="20"/>
              </w:rPr>
              <w:t>Description</w:t>
            </w:r>
          </w:p>
        </w:tc>
        <w:tc>
          <w:tcPr>
            <w:tcW w:w="5601" w:type="dxa"/>
          </w:tcPr>
          <w:p w14:paraId="2EB03B77" w14:textId="77777777" w:rsidR="00EB1DF4" w:rsidRPr="00FA3F57" w:rsidRDefault="00EB1DF4" w:rsidP="00615D2C">
            <w:pPr>
              <w:rPr>
                <w:sz w:val="20"/>
                <w:szCs w:val="20"/>
              </w:rPr>
            </w:pPr>
            <w:r w:rsidRPr="00FA3F57">
              <w:rPr>
                <w:sz w:val="20"/>
                <w:szCs w:val="20"/>
              </w:rPr>
              <w:t>Procurement of 2 ECS</w:t>
            </w:r>
            <w:r w:rsidRPr="00FA3F57">
              <w:rPr>
                <w:sz w:val="20"/>
                <w:szCs w:val="20"/>
                <w:vertAlign w:val="superscript"/>
              </w:rPr>
              <w:t>*</w:t>
            </w:r>
            <w:r w:rsidRPr="00FA3F57">
              <w:rPr>
                <w:sz w:val="20"/>
                <w:szCs w:val="20"/>
              </w:rPr>
              <w:t xml:space="preserve"> systems (two bucket-wheel excavators, two spreaders, conveyor systems with B 2000 mm belt), procurement of missing conveyors with B 1600 mm and B 2000 mm belts, distribution stations</w:t>
            </w:r>
          </w:p>
        </w:tc>
      </w:tr>
      <w:tr w:rsidR="00BB29B8" w:rsidRPr="00F07779" w14:paraId="75D5A38D" w14:textId="77777777" w:rsidTr="00615D2C">
        <w:tc>
          <w:tcPr>
            <w:tcW w:w="3114" w:type="dxa"/>
          </w:tcPr>
          <w:p w14:paraId="4B505365" w14:textId="77777777" w:rsidR="00EB1DF4" w:rsidRPr="00FA3F57" w:rsidRDefault="00EB1DF4" w:rsidP="00615D2C">
            <w:pPr>
              <w:rPr>
                <w:sz w:val="20"/>
                <w:szCs w:val="20"/>
              </w:rPr>
            </w:pPr>
            <w:r w:rsidRPr="00FA3F57">
              <w:rPr>
                <w:sz w:val="20"/>
                <w:szCs w:val="20"/>
              </w:rPr>
              <w:t>Institutions responsible for the implementation of measures and activities</w:t>
            </w:r>
          </w:p>
        </w:tc>
        <w:tc>
          <w:tcPr>
            <w:tcW w:w="5601" w:type="dxa"/>
          </w:tcPr>
          <w:p w14:paraId="639C14C5" w14:textId="77777777" w:rsidR="00EB1DF4" w:rsidRPr="00FA3F57" w:rsidRDefault="00EB1DF4" w:rsidP="00615D2C">
            <w:pPr>
              <w:rPr>
                <w:sz w:val="20"/>
                <w:szCs w:val="20"/>
              </w:rPr>
            </w:pPr>
            <w:r w:rsidRPr="00FA3F57">
              <w:rPr>
                <w:rFonts w:eastAsia="Calibri"/>
                <w:sz w:val="20"/>
                <w:szCs w:val="20"/>
              </w:rPr>
              <w:t>Joint Stock Company “Electric Power Industry of Serbia”</w:t>
            </w:r>
          </w:p>
        </w:tc>
      </w:tr>
      <w:tr w:rsidR="00BB29B8" w:rsidRPr="00F07779" w14:paraId="20534D0A" w14:textId="77777777" w:rsidTr="00615D2C">
        <w:tc>
          <w:tcPr>
            <w:tcW w:w="3114" w:type="dxa"/>
          </w:tcPr>
          <w:p w14:paraId="1FF05E32" w14:textId="77777777" w:rsidR="00EB1DF4" w:rsidRPr="00FA3F57" w:rsidRDefault="00EB1DF4" w:rsidP="00615D2C">
            <w:pPr>
              <w:rPr>
                <w:sz w:val="20"/>
                <w:szCs w:val="20"/>
              </w:rPr>
            </w:pPr>
            <w:r w:rsidRPr="00FA3F57">
              <w:rPr>
                <w:sz w:val="20"/>
                <w:szCs w:val="20"/>
              </w:rPr>
              <w:t>Institutions responsible for monitoring implementation and reporting on realization</w:t>
            </w:r>
          </w:p>
        </w:tc>
        <w:tc>
          <w:tcPr>
            <w:tcW w:w="5601" w:type="dxa"/>
          </w:tcPr>
          <w:p w14:paraId="635A754F" w14:textId="77777777" w:rsidR="00EB1DF4" w:rsidRPr="00FA3F57" w:rsidRDefault="00EB1DF4" w:rsidP="00615D2C">
            <w:pPr>
              <w:rPr>
                <w:sz w:val="20"/>
                <w:szCs w:val="20"/>
              </w:rPr>
            </w:pPr>
            <w:r w:rsidRPr="00FA3F57">
              <w:rPr>
                <w:sz w:val="20"/>
                <w:szCs w:val="20"/>
              </w:rPr>
              <w:t>Ministry of Mining and Energy</w:t>
            </w:r>
          </w:p>
        </w:tc>
      </w:tr>
      <w:tr w:rsidR="00BB29B8" w:rsidRPr="00F07779" w14:paraId="7DA5FDB5" w14:textId="77777777" w:rsidTr="00615D2C">
        <w:tc>
          <w:tcPr>
            <w:tcW w:w="3114" w:type="dxa"/>
          </w:tcPr>
          <w:p w14:paraId="36BF3D58" w14:textId="77777777" w:rsidR="00EB1DF4" w:rsidRPr="00FA3F57" w:rsidRDefault="00EB1DF4" w:rsidP="00615D2C">
            <w:pPr>
              <w:rPr>
                <w:sz w:val="20"/>
                <w:szCs w:val="20"/>
              </w:rPr>
            </w:pPr>
            <w:r w:rsidRPr="00FA3F57">
              <w:rPr>
                <w:sz w:val="20"/>
                <w:szCs w:val="20"/>
              </w:rPr>
              <w:t>Deadline for implementation</w:t>
            </w:r>
          </w:p>
        </w:tc>
        <w:tc>
          <w:tcPr>
            <w:tcW w:w="5601" w:type="dxa"/>
          </w:tcPr>
          <w:p w14:paraId="61A12219" w14:textId="5CF0BD1D" w:rsidR="00EB1DF4" w:rsidRPr="00FA3F57" w:rsidRDefault="00EB1DF4" w:rsidP="00615D2C">
            <w:pPr>
              <w:rPr>
                <w:sz w:val="20"/>
                <w:szCs w:val="20"/>
              </w:rPr>
            </w:pPr>
            <w:r w:rsidRPr="00FA3F57">
              <w:rPr>
                <w:sz w:val="20"/>
                <w:szCs w:val="20"/>
              </w:rPr>
              <w:t>2028</w:t>
            </w:r>
            <w:r w:rsidR="008B2A7B" w:rsidRPr="00F07779">
              <w:rPr>
                <w:sz w:val="20"/>
                <w:szCs w:val="20"/>
              </w:rPr>
              <w:t>.</w:t>
            </w:r>
          </w:p>
        </w:tc>
      </w:tr>
      <w:tr w:rsidR="00BB29B8" w:rsidRPr="00F07779" w14:paraId="2785BA82" w14:textId="77777777" w:rsidTr="00615D2C">
        <w:tc>
          <w:tcPr>
            <w:tcW w:w="3114" w:type="dxa"/>
          </w:tcPr>
          <w:p w14:paraId="640306C8" w14:textId="77777777" w:rsidR="00EB1DF4" w:rsidRPr="00FA3F57" w:rsidRDefault="00EB1DF4" w:rsidP="00615D2C">
            <w:pPr>
              <w:rPr>
                <w:sz w:val="20"/>
                <w:szCs w:val="20"/>
              </w:rPr>
            </w:pPr>
            <w:r w:rsidRPr="00FA3F57">
              <w:rPr>
                <w:sz w:val="20"/>
                <w:szCs w:val="20"/>
              </w:rPr>
              <w:t>Required funds and source of financing</w:t>
            </w:r>
          </w:p>
        </w:tc>
        <w:tc>
          <w:tcPr>
            <w:tcW w:w="5601" w:type="dxa"/>
          </w:tcPr>
          <w:p w14:paraId="6328146D" w14:textId="1A93FB12" w:rsidR="00EB1DF4" w:rsidRPr="00FA3F57" w:rsidRDefault="00EB1DF4" w:rsidP="00615D2C">
            <w:pPr>
              <w:rPr>
                <w:sz w:val="20"/>
                <w:szCs w:val="20"/>
              </w:rPr>
            </w:pPr>
            <w:r w:rsidRPr="00FA3F57">
              <w:rPr>
                <w:sz w:val="20"/>
                <w:szCs w:val="20"/>
              </w:rPr>
              <w:t>7,440,000,000 RSD (63.454 million</w:t>
            </w:r>
            <w:r w:rsidR="008B2A7B" w:rsidRPr="00F07779">
              <w:rPr>
                <w:sz w:val="20"/>
                <w:szCs w:val="20"/>
              </w:rPr>
              <w:t xml:space="preserve"> EUR</w:t>
            </w:r>
            <w:r w:rsidRPr="00FA3F57">
              <w:rPr>
                <w:sz w:val="20"/>
                <w:szCs w:val="20"/>
              </w:rPr>
              <w:t>)</w:t>
            </w:r>
          </w:p>
          <w:p w14:paraId="13A47769" w14:textId="77777777" w:rsidR="00EB1DF4" w:rsidRPr="00FA3F57" w:rsidRDefault="00EB1DF4" w:rsidP="00615D2C">
            <w:pPr>
              <w:rPr>
                <w:sz w:val="20"/>
                <w:szCs w:val="20"/>
              </w:rPr>
            </w:pPr>
            <w:r w:rsidRPr="00FA3F57">
              <w:rPr>
                <w:sz w:val="20"/>
                <w:szCs w:val="20"/>
              </w:rPr>
              <w:t>Funded from EPS equity</w:t>
            </w:r>
          </w:p>
        </w:tc>
      </w:tr>
      <w:tr w:rsidR="00BB29B8" w:rsidRPr="00F07779" w14:paraId="684C0284" w14:textId="77777777" w:rsidTr="00615D2C">
        <w:tc>
          <w:tcPr>
            <w:tcW w:w="3114" w:type="dxa"/>
          </w:tcPr>
          <w:p w14:paraId="34ACEDBC" w14:textId="77777777" w:rsidR="00EB1DF4" w:rsidRPr="00FA3F57" w:rsidRDefault="00EB1DF4" w:rsidP="00615D2C">
            <w:pPr>
              <w:rPr>
                <w:sz w:val="20"/>
                <w:szCs w:val="20"/>
              </w:rPr>
            </w:pPr>
            <w:r w:rsidRPr="00FA3F57">
              <w:rPr>
                <w:sz w:val="20"/>
                <w:szCs w:val="20"/>
              </w:rPr>
              <w:t>2026</w:t>
            </w:r>
          </w:p>
        </w:tc>
        <w:tc>
          <w:tcPr>
            <w:tcW w:w="5601" w:type="dxa"/>
          </w:tcPr>
          <w:p w14:paraId="6929165E" w14:textId="3A13ACD8" w:rsidR="00EB1DF4" w:rsidRPr="00FA3F57" w:rsidRDefault="00EB1DF4" w:rsidP="00615D2C">
            <w:pPr>
              <w:rPr>
                <w:sz w:val="20"/>
                <w:szCs w:val="20"/>
              </w:rPr>
            </w:pPr>
            <w:r w:rsidRPr="00FA3F57">
              <w:rPr>
                <w:sz w:val="20"/>
                <w:szCs w:val="20"/>
              </w:rPr>
              <w:t>6,700,000,000 RSD (57.143 million</w:t>
            </w:r>
            <w:r w:rsidR="008B2A7B" w:rsidRPr="00F07779">
              <w:rPr>
                <w:sz w:val="20"/>
                <w:szCs w:val="20"/>
              </w:rPr>
              <w:t xml:space="preserve"> EUR</w:t>
            </w:r>
            <w:r w:rsidRPr="00FA3F57">
              <w:rPr>
                <w:sz w:val="20"/>
                <w:szCs w:val="20"/>
              </w:rPr>
              <w:t>)</w:t>
            </w:r>
          </w:p>
        </w:tc>
      </w:tr>
      <w:tr w:rsidR="00BB29B8" w:rsidRPr="00F07779" w14:paraId="3CCB611A" w14:textId="77777777" w:rsidTr="00615D2C">
        <w:tc>
          <w:tcPr>
            <w:tcW w:w="3114" w:type="dxa"/>
          </w:tcPr>
          <w:p w14:paraId="47097126" w14:textId="77777777" w:rsidR="00EB1DF4" w:rsidRPr="00FA3F57" w:rsidRDefault="00EB1DF4" w:rsidP="00615D2C">
            <w:pPr>
              <w:rPr>
                <w:sz w:val="20"/>
                <w:szCs w:val="20"/>
              </w:rPr>
            </w:pPr>
            <w:r w:rsidRPr="00FA3F57">
              <w:rPr>
                <w:sz w:val="20"/>
                <w:szCs w:val="20"/>
              </w:rPr>
              <w:t>2027</w:t>
            </w:r>
          </w:p>
        </w:tc>
        <w:tc>
          <w:tcPr>
            <w:tcW w:w="5601" w:type="dxa"/>
          </w:tcPr>
          <w:p w14:paraId="5046878F" w14:textId="1FDAA300" w:rsidR="00EB1DF4" w:rsidRPr="00FA3F57" w:rsidRDefault="00EB1DF4" w:rsidP="00615D2C">
            <w:pPr>
              <w:rPr>
                <w:sz w:val="20"/>
                <w:szCs w:val="20"/>
              </w:rPr>
            </w:pPr>
            <w:r w:rsidRPr="00FA3F57">
              <w:rPr>
                <w:sz w:val="20"/>
                <w:szCs w:val="20"/>
              </w:rPr>
              <w:t>740,000,000 RSD (6.311 million</w:t>
            </w:r>
            <w:r w:rsidR="008B2A7B" w:rsidRPr="00F07779">
              <w:rPr>
                <w:sz w:val="20"/>
                <w:szCs w:val="20"/>
              </w:rPr>
              <w:t xml:space="preserve"> EUR</w:t>
            </w:r>
            <w:r w:rsidRPr="00FA3F57">
              <w:rPr>
                <w:sz w:val="20"/>
                <w:szCs w:val="20"/>
              </w:rPr>
              <w:t>)</w:t>
            </w:r>
          </w:p>
        </w:tc>
      </w:tr>
      <w:tr w:rsidR="00BB29B8" w:rsidRPr="00F07779" w14:paraId="09418047" w14:textId="77777777" w:rsidTr="00615D2C">
        <w:tc>
          <w:tcPr>
            <w:tcW w:w="3114" w:type="dxa"/>
          </w:tcPr>
          <w:p w14:paraId="6158E85A" w14:textId="77777777" w:rsidR="00EB1DF4" w:rsidRPr="00FA3F57" w:rsidRDefault="00EB1DF4" w:rsidP="00615D2C">
            <w:pPr>
              <w:rPr>
                <w:sz w:val="20"/>
                <w:szCs w:val="20"/>
              </w:rPr>
            </w:pPr>
            <w:r w:rsidRPr="00FA3F57">
              <w:rPr>
                <w:sz w:val="20"/>
                <w:szCs w:val="20"/>
              </w:rPr>
              <w:t>2028</w:t>
            </w:r>
          </w:p>
        </w:tc>
        <w:tc>
          <w:tcPr>
            <w:tcW w:w="5601" w:type="dxa"/>
          </w:tcPr>
          <w:p w14:paraId="2AD6B098" w14:textId="77777777" w:rsidR="00EB1DF4" w:rsidRPr="00FA3F57" w:rsidRDefault="00EB1DF4" w:rsidP="00615D2C">
            <w:pPr>
              <w:rPr>
                <w:sz w:val="20"/>
                <w:szCs w:val="20"/>
              </w:rPr>
            </w:pPr>
          </w:p>
        </w:tc>
      </w:tr>
      <w:tr w:rsidR="00BB29B8" w:rsidRPr="00F07779" w14:paraId="1E5F9B7A" w14:textId="77777777" w:rsidTr="00615D2C">
        <w:tc>
          <w:tcPr>
            <w:tcW w:w="3114" w:type="dxa"/>
          </w:tcPr>
          <w:p w14:paraId="30E2DB17" w14:textId="77777777" w:rsidR="00EB1DF4" w:rsidRPr="00FA3F57" w:rsidRDefault="00EB1DF4" w:rsidP="00615D2C">
            <w:pPr>
              <w:rPr>
                <w:sz w:val="20"/>
                <w:szCs w:val="20"/>
              </w:rPr>
            </w:pPr>
            <w:r w:rsidRPr="00FA3F57">
              <w:rPr>
                <w:sz w:val="20"/>
                <w:szCs w:val="20"/>
              </w:rPr>
              <w:t>Implementation indicator</w:t>
            </w:r>
          </w:p>
        </w:tc>
        <w:tc>
          <w:tcPr>
            <w:tcW w:w="5601" w:type="dxa"/>
          </w:tcPr>
          <w:p w14:paraId="09FBDD25" w14:textId="77777777" w:rsidR="00EB1DF4" w:rsidRPr="00FA3F57" w:rsidRDefault="00EB1DF4" w:rsidP="00615D2C">
            <w:pPr>
              <w:rPr>
                <w:sz w:val="20"/>
                <w:szCs w:val="20"/>
              </w:rPr>
            </w:pPr>
            <w:r w:rsidRPr="00FA3F57">
              <w:rPr>
                <w:sz w:val="20"/>
                <w:szCs w:val="20"/>
              </w:rPr>
              <w:t>Increase of overburden production by 2,500,000 m³ in 2026 and 7,000,000 m³ in 2027, which will lead to an increase in coal production from the current 5,800,000 tons to 7,700,000 tons in 2027.</w:t>
            </w:r>
          </w:p>
        </w:tc>
      </w:tr>
      <w:tr w:rsidR="00BB29B8" w:rsidRPr="00F07779" w14:paraId="18DD65DD" w14:textId="77777777" w:rsidTr="00615D2C">
        <w:tc>
          <w:tcPr>
            <w:tcW w:w="3114" w:type="dxa"/>
          </w:tcPr>
          <w:p w14:paraId="54DC524A" w14:textId="77777777" w:rsidR="00EB1DF4" w:rsidRPr="00FA3F57" w:rsidRDefault="00EB1DF4" w:rsidP="00615D2C">
            <w:pPr>
              <w:rPr>
                <w:sz w:val="20"/>
                <w:szCs w:val="20"/>
              </w:rPr>
            </w:pPr>
            <w:r w:rsidRPr="00FA3F57">
              <w:rPr>
                <w:sz w:val="20"/>
                <w:szCs w:val="20"/>
              </w:rPr>
              <w:t>Impact of the activity on the achievement of the objective</w:t>
            </w:r>
          </w:p>
        </w:tc>
        <w:tc>
          <w:tcPr>
            <w:tcW w:w="5601" w:type="dxa"/>
          </w:tcPr>
          <w:p w14:paraId="234DB8DA" w14:textId="77777777" w:rsidR="00EB1DF4" w:rsidRPr="00FA3F57" w:rsidRDefault="00EB1DF4" w:rsidP="00615D2C">
            <w:pPr>
              <w:rPr>
                <w:sz w:val="20"/>
                <w:szCs w:val="20"/>
              </w:rPr>
            </w:pPr>
            <w:r w:rsidRPr="00FA3F57">
              <w:rPr>
                <w:sz w:val="20"/>
                <w:szCs w:val="20"/>
              </w:rPr>
              <w:t>Ensuring the required coal quantities for thermal power plants</w:t>
            </w:r>
          </w:p>
          <w:p w14:paraId="77B9401C" w14:textId="77777777" w:rsidR="00EB1DF4" w:rsidRPr="00FA3F57" w:rsidRDefault="00EB1DF4" w:rsidP="00615D2C">
            <w:pPr>
              <w:rPr>
                <w:sz w:val="20"/>
                <w:szCs w:val="20"/>
              </w:rPr>
            </w:pPr>
            <w:r w:rsidRPr="00FA3F57">
              <w:rPr>
                <w:sz w:val="20"/>
                <w:szCs w:val="20"/>
              </w:rPr>
              <w:t>Excavation of the required quantities of overburden</w:t>
            </w:r>
          </w:p>
        </w:tc>
      </w:tr>
      <w:tr w:rsidR="00BB29B8" w:rsidRPr="00F07779" w14:paraId="7233259D" w14:textId="77777777" w:rsidTr="00615D2C">
        <w:tc>
          <w:tcPr>
            <w:tcW w:w="3114" w:type="dxa"/>
          </w:tcPr>
          <w:p w14:paraId="00999426" w14:textId="77777777" w:rsidR="00EB1DF4" w:rsidRPr="00FA3F57" w:rsidRDefault="00EB1DF4" w:rsidP="00615D2C">
            <w:pPr>
              <w:rPr>
                <w:sz w:val="20"/>
                <w:szCs w:val="20"/>
              </w:rPr>
            </w:pPr>
            <w:r w:rsidRPr="00FA3F57">
              <w:rPr>
                <w:sz w:val="20"/>
                <w:szCs w:val="20"/>
              </w:rPr>
              <w:t>Impact on EE, climate, and environmental protection</w:t>
            </w:r>
          </w:p>
        </w:tc>
        <w:tc>
          <w:tcPr>
            <w:tcW w:w="5601" w:type="dxa"/>
          </w:tcPr>
          <w:p w14:paraId="1ED52683" w14:textId="77777777" w:rsidR="00EB1DF4" w:rsidRPr="00FA3F57" w:rsidRDefault="00EB1DF4" w:rsidP="00615D2C">
            <w:pPr>
              <w:rPr>
                <w:sz w:val="20"/>
                <w:szCs w:val="20"/>
              </w:rPr>
            </w:pPr>
            <w:r w:rsidRPr="00FA3F57">
              <w:rPr>
                <w:sz w:val="20"/>
                <w:szCs w:val="20"/>
              </w:rPr>
              <w:t>No direct impact</w:t>
            </w:r>
          </w:p>
        </w:tc>
      </w:tr>
    </w:tbl>
    <w:p w14:paraId="2F36DBF4" w14:textId="77777777" w:rsidR="00EB1DF4" w:rsidRPr="00FA3F57" w:rsidRDefault="00EB1DF4" w:rsidP="00EB1DF4">
      <w:pPr>
        <w:jc w:val="right"/>
        <w:rPr>
          <w:sz w:val="20"/>
          <w:szCs w:val="20"/>
        </w:rPr>
      </w:pPr>
      <w:r w:rsidRPr="00FA3F57">
        <w:rPr>
          <w:sz w:val="20"/>
          <w:szCs w:val="20"/>
          <w:vertAlign w:val="superscript"/>
        </w:rPr>
        <w:t>*</w:t>
      </w:r>
      <w:r w:rsidRPr="00FA3F57">
        <w:rPr>
          <w:sz w:val="20"/>
          <w:szCs w:val="20"/>
        </w:rPr>
        <w:t xml:space="preserve"> ECS – excavator-conveyor-spreader</w:t>
      </w:r>
    </w:p>
    <w:p w14:paraId="66A0EEB0" w14:textId="77777777" w:rsidR="00EB1DF4" w:rsidRPr="00F07779" w:rsidRDefault="00EB1DF4" w:rsidP="00EB1DF4"/>
    <w:p w14:paraId="46F1C7FA" w14:textId="77777777" w:rsidR="00EB1DF4" w:rsidRPr="00FA3F57" w:rsidRDefault="00EB1DF4" w:rsidP="00EB1DF4">
      <w:r w:rsidRPr="00FA3F57">
        <w:t>Table 2.7.3-3: Activities for the implementation of measure U1 – U1.3</w:t>
      </w:r>
    </w:p>
    <w:tbl>
      <w:tblPr>
        <w:tblStyle w:val="TableGrid"/>
        <w:tblW w:w="0" w:type="auto"/>
        <w:tblLook w:val="04A0" w:firstRow="1" w:lastRow="0" w:firstColumn="1" w:lastColumn="0" w:noHBand="0" w:noVBand="1"/>
      </w:tblPr>
      <w:tblGrid>
        <w:gridCol w:w="3114"/>
        <w:gridCol w:w="5601"/>
      </w:tblGrid>
      <w:tr w:rsidR="00BB29B8" w:rsidRPr="00F07779" w14:paraId="50830823" w14:textId="77777777" w:rsidTr="00615D2C">
        <w:tc>
          <w:tcPr>
            <w:tcW w:w="3114" w:type="dxa"/>
            <w:shd w:val="clear" w:color="auto" w:fill="BFBFBF" w:themeFill="background1" w:themeFillShade="BF"/>
          </w:tcPr>
          <w:p w14:paraId="76CB48DA" w14:textId="1CDE0EB4" w:rsidR="00EB1DF4" w:rsidRPr="00FA3F57" w:rsidRDefault="00EB1DF4" w:rsidP="00615D2C">
            <w:pPr>
              <w:rPr>
                <w:sz w:val="20"/>
                <w:szCs w:val="20"/>
              </w:rPr>
            </w:pPr>
            <w:r w:rsidRPr="00FA3F57">
              <w:rPr>
                <w:sz w:val="20"/>
                <w:szCs w:val="20"/>
              </w:rPr>
              <w:t>Activity U1.3</w:t>
            </w:r>
          </w:p>
        </w:tc>
        <w:tc>
          <w:tcPr>
            <w:tcW w:w="5601" w:type="dxa"/>
            <w:shd w:val="clear" w:color="auto" w:fill="BFBFBF" w:themeFill="background1" w:themeFillShade="BF"/>
          </w:tcPr>
          <w:p w14:paraId="6FB6BD24" w14:textId="77777777" w:rsidR="00EB1DF4" w:rsidRPr="00FA3F57" w:rsidRDefault="00EB1DF4" w:rsidP="00615D2C">
            <w:pPr>
              <w:rPr>
                <w:sz w:val="20"/>
                <w:szCs w:val="20"/>
              </w:rPr>
            </w:pPr>
            <w:r w:rsidRPr="00FA3F57">
              <w:rPr>
                <w:sz w:val="20"/>
                <w:szCs w:val="20"/>
              </w:rPr>
              <w:t>Opening of the Polje E surface mine – Revitalization and modernization of existing basic equipment</w:t>
            </w:r>
          </w:p>
        </w:tc>
      </w:tr>
      <w:tr w:rsidR="00BB29B8" w:rsidRPr="00F07779" w14:paraId="51117C45" w14:textId="77777777" w:rsidTr="00615D2C">
        <w:tc>
          <w:tcPr>
            <w:tcW w:w="3114" w:type="dxa"/>
          </w:tcPr>
          <w:p w14:paraId="4DDBFC82" w14:textId="77777777" w:rsidR="00EB1DF4" w:rsidRPr="00FA3F57" w:rsidRDefault="00EB1DF4" w:rsidP="00615D2C">
            <w:pPr>
              <w:rPr>
                <w:sz w:val="20"/>
                <w:szCs w:val="20"/>
              </w:rPr>
            </w:pPr>
            <w:r w:rsidRPr="00FA3F57">
              <w:rPr>
                <w:sz w:val="20"/>
                <w:szCs w:val="20"/>
              </w:rPr>
              <w:t>Description</w:t>
            </w:r>
          </w:p>
        </w:tc>
        <w:tc>
          <w:tcPr>
            <w:tcW w:w="5601" w:type="dxa"/>
          </w:tcPr>
          <w:p w14:paraId="0B72E03F" w14:textId="77777777" w:rsidR="00EB1DF4" w:rsidRPr="00FA3F57" w:rsidRDefault="00EB1DF4" w:rsidP="00615D2C">
            <w:pPr>
              <w:rPr>
                <w:sz w:val="20"/>
                <w:szCs w:val="20"/>
              </w:rPr>
            </w:pPr>
            <w:r w:rsidRPr="00FA3F57">
              <w:rPr>
                <w:sz w:val="20"/>
                <w:szCs w:val="20"/>
              </w:rPr>
              <w:t>Revitalization and modernization of existing basic equipment</w:t>
            </w:r>
          </w:p>
        </w:tc>
      </w:tr>
      <w:tr w:rsidR="00BB29B8" w:rsidRPr="00F07779" w14:paraId="2B62A385" w14:textId="77777777" w:rsidTr="00615D2C">
        <w:tc>
          <w:tcPr>
            <w:tcW w:w="3114" w:type="dxa"/>
          </w:tcPr>
          <w:p w14:paraId="26D9436D" w14:textId="77777777" w:rsidR="00EB1DF4" w:rsidRPr="00FA3F57" w:rsidRDefault="00EB1DF4" w:rsidP="00615D2C">
            <w:pPr>
              <w:rPr>
                <w:sz w:val="20"/>
                <w:szCs w:val="20"/>
              </w:rPr>
            </w:pPr>
            <w:r w:rsidRPr="00FA3F57">
              <w:rPr>
                <w:sz w:val="20"/>
                <w:szCs w:val="20"/>
              </w:rPr>
              <w:t>Institutions responsible for the implementation of measures and activities</w:t>
            </w:r>
          </w:p>
        </w:tc>
        <w:tc>
          <w:tcPr>
            <w:tcW w:w="5601" w:type="dxa"/>
          </w:tcPr>
          <w:p w14:paraId="77FC76B3" w14:textId="77777777" w:rsidR="00EB1DF4" w:rsidRPr="00FA3F57" w:rsidRDefault="00EB1DF4" w:rsidP="00615D2C">
            <w:pPr>
              <w:rPr>
                <w:sz w:val="20"/>
                <w:szCs w:val="20"/>
              </w:rPr>
            </w:pPr>
            <w:r w:rsidRPr="00FA3F57">
              <w:rPr>
                <w:rFonts w:eastAsia="Calibri"/>
                <w:sz w:val="20"/>
                <w:szCs w:val="20"/>
              </w:rPr>
              <w:t>Joint Stock Company “Electric Power Industry of Serbia”</w:t>
            </w:r>
          </w:p>
        </w:tc>
      </w:tr>
      <w:tr w:rsidR="00BB29B8" w:rsidRPr="00F07779" w14:paraId="45A474A6" w14:textId="77777777" w:rsidTr="00615D2C">
        <w:tc>
          <w:tcPr>
            <w:tcW w:w="3114" w:type="dxa"/>
          </w:tcPr>
          <w:p w14:paraId="0227EDC7" w14:textId="77777777" w:rsidR="00EB1DF4" w:rsidRPr="00FA3F57" w:rsidRDefault="00EB1DF4" w:rsidP="00615D2C">
            <w:pPr>
              <w:rPr>
                <w:sz w:val="20"/>
                <w:szCs w:val="20"/>
              </w:rPr>
            </w:pPr>
            <w:r w:rsidRPr="00FA3F57">
              <w:rPr>
                <w:sz w:val="20"/>
                <w:szCs w:val="20"/>
              </w:rPr>
              <w:t>Institutions responsible for monitoring implementation and reporting on realization</w:t>
            </w:r>
          </w:p>
        </w:tc>
        <w:tc>
          <w:tcPr>
            <w:tcW w:w="5601" w:type="dxa"/>
          </w:tcPr>
          <w:p w14:paraId="50D99135" w14:textId="77777777" w:rsidR="00EB1DF4" w:rsidRPr="00FA3F57" w:rsidRDefault="00EB1DF4" w:rsidP="00615D2C">
            <w:pPr>
              <w:rPr>
                <w:sz w:val="20"/>
                <w:szCs w:val="20"/>
              </w:rPr>
            </w:pPr>
            <w:r w:rsidRPr="00FA3F57">
              <w:rPr>
                <w:sz w:val="20"/>
                <w:szCs w:val="20"/>
              </w:rPr>
              <w:t>Ministry of Mining and Energy</w:t>
            </w:r>
          </w:p>
        </w:tc>
      </w:tr>
      <w:tr w:rsidR="00BB29B8" w:rsidRPr="00F07779" w14:paraId="72B8E72C" w14:textId="77777777" w:rsidTr="00615D2C">
        <w:tc>
          <w:tcPr>
            <w:tcW w:w="3114" w:type="dxa"/>
          </w:tcPr>
          <w:p w14:paraId="511BDF58" w14:textId="77777777" w:rsidR="00EB1DF4" w:rsidRPr="00FA3F57" w:rsidRDefault="00EB1DF4" w:rsidP="00615D2C">
            <w:pPr>
              <w:rPr>
                <w:sz w:val="20"/>
                <w:szCs w:val="20"/>
              </w:rPr>
            </w:pPr>
            <w:r w:rsidRPr="00FA3F57">
              <w:rPr>
                <w:sz w:val="20"/>
                <w:szCs w:val="20"/>
              </w:rPr>
              <w:t>Deadline for implementation</w:t>
            </w:r>
          </w:p>
        </w:tc>
        <w:tc>
          <w:tcPr>
            <w:tcW w:w="5601" w:type="dxa"/>
          </w:tcPr>
          <w:p w14:paraId="3554010C" w14:textId="21AC0A3F" w:rsidR="00EB1DF4" w:rsidRPr="00FA3F57" w:rsidRDefault="00EB1DF4" w:rsidP="00615D2C">
            <w:pPr>
              <w:rPr>
                <w:sz w:val="20"/>
                <w:szCs w:val="20"/>
              </w:rPr>
            </w:pPr>
            <w:r w:rsidRPr="00FA3F57">
              <w:rPr>
                <w:sz w:val="20"/>
                <w:szCs w:val="20"/>
              </w:rPr>
              <w:t>2028</w:t>
            </w:r>
            <w:r w:rsidR="008B2A7B" w:rsidRPr="00F07779">
              <w:rPr>
                <w:sz w:val="20"/>
                <w:szCs w:val="20"/>
              </w:rPr>
              <w:t>.</w:t>
            </w:r>
          </w:p>
        </w:tc>
      </w:tr>
      <w:tr w:rsidR="00BB29B8" w:rsidRPr="00F07779" w14:paraId="528ECC54" w14:textId="77777777" w:rsidTr="00615D2C">
        <w:tc>
          <w:tcPr>
            <w:tcW w:w="3114" w:type="dxa"/>
          </w:tcPr>
          <w:p w14:paraId="3A897D91" w14:textId="77777777" w:rsidR="00EB1DF4" w:rsidRPr="00FA3F57" w:rsidRDefault="00EB1DF4" w:rsidP="00615D2C">
            <w:pPr>
              <w:rPr>
                <w:sz w:val="20"/>
                <w:szCs w:val="20"/>
              </w:rPr>
            </w:pPr>
            <w:r w:rsidRPr="00FA3F57">
              <w:rPr>
                <w:sz w:val="20"/>
                <w:szCs w:val="20"/>
              </w:rPr>
              <w:t>Required funds and source of financing</w:t>
            </w:r>
          </w:p>
        </w:tc>
        <w:tc>
          <w:tcPr>
            <w:tcW w:w="5601" w:type="dxa"/>
          </w:tcPr>
          <w:p w14:paraId="47A303CF" w14:textId="6011E528" w:rsidR="00EB1DF4" w:rsidRPr="00FA3F57" w:rsidRDefault="00EB1DF4" w:rsidP="00615D2C">
            <w:pPr>
              <w:rPr>
                <w:sz w:val="20"/>
                <w:szCs w:val="20"/>
              </w:rPr>
            </w:pPr>
            <w:r w:rsidRPr="00FA3F57">
              <w:rPr>
                <w:sz w:val="20"/>
                <w:szCs w:val="20"/>
              </w:rPr>
              <w:t>1,190,000,000 RSD (10.149 million</w:t>
            </w:r>
            <w:r w:rsidR="008B2A7B" w:rsidRPr="00F07779">
              <w:rPr>
                <w:sz w:val="20"/>
                <w:szCs w:val="20"/>
              </w:rPr>
              <w:t xml:space="preserve"> EUR</w:t>
            </w:r>
            <w:r w:rsidRPr="00FA3F57">
              <w:rPr>
                <w:sz w:val="20"/>
                <w:szCs w:val="20"/>
              </w:rPr>
              <w:t>)</w:t>
            </w:r>
          </w:p>
          <w:p w14:paraId="53D5F7C3" w14:textId="77777777" w:rsidR="00EB1DF4" w:rsidRPr="00FA3F57" w:rsidRDefault="00EB1DF4" w:rsidP="00615D2C">
            <w:pPr>
              <w:rPr>
                <w:sz w:val="20"/>
                <w:szCs w:val="20"/>
              </w:rPr>
            </w:pPr>
            <w:r w:rsidRPr="00FA3F57">
              <w:rPr>
                <w:sz w:val="20"/>
                <w:szCs w:val="20"/>
              </w:rPr>
              <w:t>Funded from EPS equity</w:t>
            </w:r>
          </w:p>
        </w:tc>
      </w:tr>
      <w:tr w:rsidR="00BB29B8" w:rsidRPr="00F07779" w14:paraId="1ED5DB55" w14:textId="77777777" w:rsidTr="00615D2C">
        <w:tc>
          <w:tcPr>
            <w:tcW w:w="3114" w:type="dxa"/>
          </w:tcPr>
          <w:p w14:paraId="611C171C" w14:textId="77777777" w:rsidR="00EB1DF4" w:rsidRPr="00FA3F57" w:rsidRDefault="00EB1DF4" w:rsidP="00615D2C">
            <w:pPr>
              <w:rPr>
                <w:sz w:val="20"/>
                <w:szCs w:val="20"/>
              </w:rPr>
            </w:pPr>
            <w:r w:rsidRPr="00FA3F57">
              <w:rPr>
                <w:sz w:val="20"/>
                <w:szCs w:val="20"/>
              </w:rPr>
              <w:t>2026</w:t>
            </w:r>
          </w:p>
        </w:tc>
        <w:tc>
          <w:tcPr>
            <w:tcW w:w="5601" w:type="dxa"/>
          </w:tcPr>
          <w:p w14:paraId="0DAF72DA" w14:textId="29911A4E" w:rsidR="00EB1DF4" w:rsidRPr="00FA3F57" w:rsidRDefault="00EB1DF4" w:rsidP="00615D2C">
            <w:pPr>
              <w:rPr>
                <w:sz w:val="20"/>
                <w:szCs w:val="20"/>
              </w:rPr>
            </w:pPr>
            <w:r w:rsidRPr="00FA3F57">
              <w:rPr>
                <w:sz w:val="20"/>
                <w:szCs w:val="20"/>
              </w:rPr>
              <w:t>176,000,000 RSD (1.501 million</w:t>
            </w:r>
            <w:r w:rsidR="008B2A7B" w:rsidRPr="00F07779">
              <w:rPr>
                <w:sz w:val="20"/>
                <w:szCs w:val="20"/>
              </w:rPr>
              <w:t xml:space="preserve"> EUR</w:t>
            </w:r>
            <w:r w:rsidRPr="00FA3F57">
              <w:rPr>
                <w:sz w:val="20"/>
                <w:szCs w:val="20"/>
              </w:rPr>
              <w:t>)</w:t>
            </w:r>
          </w:p>
        </w:tc>
      </w:tr>
      <w:tr w:rsidR="00BB29B8" w:rsidRPr="00F07779" w14:paraId="201E8973" w14:textId="77777777" w:rsidTr="00615D2C">
        <w:tc>
          <w:tcPr>
            <w:tcW w:w="3114" w:type="dxa"/>
          </w:tcPr>
          <w:p w14:paraId="0D4BFFF5" w14:textId="77777777" w:rsidR="00EB1DF4" w:rsidRPr="00FA3F57" w:rsidRDefault="00EB1DF4" w:rsidP="00615D2C">
            <w:pPr>
              <w:rPr>
                <w:sz w:val="20"/>
                <w:szCs w:val="20"/>
              </w:rPr>
            </w:pPr>
            <w:r w:rsidRPr="00FA3F57">
              <w:rPr>
                <w:sz w:val="20"/>
                <w:szCs w:val="20"/>
              </w:rPr>
              <w:lastRenderedPageBreak/>
              <w:t>2027</w:t>
            </w:r>
          </w:p>
        </w:tc>
        <w:tc>
          <w:tcPr>
            <w:tcW w:w="5601" w:type="dxa"/>
          </w:tcPr>
          <w:p w14:paraId="37A716B2" w14:textId="3EAAF5F5" w:rsidR="00EB1DF4" w:rsidRPr="00FA3F57" w:rsidRDefault="00EB1DF4" w:rsidP="00615D2C">
            <w:pPr>
              <w:rPr>
                <w:sz w:val="20"/>
                <w:szCs w:val="20"/>
              </w:rPr>
            </w:pPr>
            <w:r w:rsidRPr="00FA3F57">
              <w:rPr>
                <w:sz w:val="20"/>
                <w:szCs w:val="20"/>
              </w:rPr>
              <w:t>230,000,000 RSD (1.962 million</w:t>
            </w:r>
            <w:r w:rsidR="008B2A7B" w:rsidRPr="00F07779">
              <w:rPr>
                <w:sz w:val="20"/>
                <w:szCs w:val="20"/>
              </w:rPr>
              <w:t xml:space="preserve"> EUR</w:t>
            </w:r>
            <w:r w:rsidRPr="00FA3F57">
              <w:rPr>
                <w:sz w:val="20"/>
                <w:szCs w:val="20"/>
              </w:rPr>
              <w:t>)</w:t>
            </w:r>
          </w:p>
        </w:tc>
      </w:tr>
      <w:tr w:rsidR="00BB29B8" w:rsidRPr="00F07779" w14:paraId="6A4A4780" w14:textId="77777777" w:rsidTr="00615D2C">
        <w:tc>
          <w:tcPr>
            <w:tcW w:w="3114" w:type="dxa"/>
          </w:tcPr>
          <w:p w14:paraId="4E8BD200" w14:textId="77777777" w:rsidR="00EB1DF4" w:rsidRPr="00FA3F57" w:rsidRDefault="00EB1DF4" w:rsidP="00615D2C">
            <w:pPr>
              <w:rPr>
                <w:sz w:val="20"/>
                <w:szCs w:val="20"/>
              </w:rPr>
            </w:pPr>
            <w:r w:rsidRPr="00FA3F57">
              <w:rPr>
                <w:sz w:val="20"/>
                <w:szCs w:val="20"/>
              </w:rPr>
              <w:t>2028</w:t>
            </w:r>
          </w:p>
        </w:tc>
        <w:tc>
          <w:tcPr>
            <w:tcW w:w="5601" w:type="dxa"/>
          </w:tcPr>
          <w:p w14:paraId="65041FF1" w14:textId="3FAA86C1" w:rsidR="00EB1DF4" w:rsidRPr="00FA3F57" w:rsidRDefault="00EB1DF4" w:rsidP="00615D2C">
            <w:pPr>
              <w:rPr>
                <w:sz w:val="20"/>
                <w:szCs w:val="20"/>
              </w:rPr>
            </w:pPr>
            <w:r w:rsidRPr="00FA3F57">
              <w:rPr>
                <w:sz w:val="20"/>
                <w:szCs w:val="20"/>
              </w:rPr>
              <w:t>784,000,000 RSD (6.687 million</w:t>
            </w:r>
            <w:r w:rsidR="008B2A7B" w:rsidRPr="00F07779">
              <w:rPr>
                <w:sz w:val="20"/>
                <w:szCs w:val="20"/>
              </w:rPr>
              <w:t xml:space="preserve"> EUR</w:t>
            </w:r>
            <w:r w:rsidRPr="00FA3F57">
              <w:rPr>
                <w:sz w:val="20"/>
                <w:szCs w:val="20"/>
              </w:rPr>
              <w:t>)</w:t>
            </w:r>
          </w:p>
        </w:tc>
      </w:tr>
      <w:tr w:rsidR="00BB29B8" w:rsidRPr="00F07779" w14:paraId="78D55309" w14:textId="77777777" w:rsidTr="00615D2C">
        <w:tc>
          <w:tcPr>
            <w:tcW w:w="3114" w:type="dxa"/>
          </w:tcPr>
          <w:p w14:paraId="3EA5E95E" w14:textId="77777777" w:rsidR="00EB1DF4" w:rsidRPr="00FA3F57" w:rsidRDefault="00EB1DF4" w:rsidP="00615D2C">
            <w:pPr>
              <w:rPr>
                <w:sz w:val="20"/>
                <w:szCs w:val="20"/>
              </w:rPr>
            </w:pPr>
            <w:r w:rsidRPr="00FA3F57">
              <w:rPr>
                <w:sz w:val="20"/>
                <w:szCs w:val="20"/>
              </w:rPr>
              <w:t>Implementation indicator</w:t>
            </w:r>
          </w:p>
        </w:tc>
        <w:tc>
          <w:tcPr>
            <w:tcW w:w="5601" w:type="dxa"/>
          </w:tcPr>
          <w:p w14:paraId="7DF69C41" w14:textId="77777777" w:rsidR="00EB1DF4" w:rsidRPr="00FA3F57" w:rsidRDefault="00EB1DF4" w:rsidP="00615D2C">
            <w:pPr>
              <w:rPr>
                <w:sz w:val="20"/>
                <w:szCs w:val="20"/>
              </w:rPr>
            </w:pPr>
            <w:r w:rsidRPr="00FA3F57">
              <w:rPr>
                <w:sz w:val="20"/>
                <w:szCs w:val="20"/>
              </w:rPr>
              <w:t>Through the revitalization and modernization of existing basic machines, it will be possible after 2027 to achieve temporal and capacity efficiency, thereby increasing the excavated quantities of coal and overburden from the current 22,900,000 m³ to 31,500,000 m³ using the existing equipment.</w:t>
            </w:r>
          </w:p>
        </w:tc>
      </w:tr>
      <w:tr w:rsidR="00BB29B8" w:rsidRPr="00F07779" w14:paraId="73F0A0CD" w14:textId="77777777" w:rsidTr="00615D2C">
        <w:tc>
          <w:tcPr>
            <w:tcW w:w="3114" w:type="dxa"/>
          </w:tcPr>
          <w:p w14:paraId="2ADF6FFD" w14:textId="77777777" w:rsidR="00EB1DF4" w:rsidRPr="00FA3F57" w:rsidRDefault="00EB1DF4" w:rsidP="00615D2C">
            <w:pPr>
              <w:rPr>
                <w:sz w:val="20"/>
                <w:szCs w:val="20"/>
              </w:rPr>
            </w:pPr>
            <w:r w:rsidRPr="00FA3F57">
              <w:rPr>
                <w:sz w:val="20"/>
                <w:szCs w:val="20"/>
              </w:rPr>
              <w:t>Impact of the activity on the achievement of the objective</w:t>
            </w:r>
          </w:p>
        </w:tc>
        <w:tc>
          <w:tcPr>
            <w:tcW w:w="5601" w:type="dxa"/>
          </w:tcPr>
          <w:p w14:paraId="58D81028" w14:textId="77777777" w:rsidR="00EB1DF4" w:rsidRPr="00FA3F57" w:rsidRDefault="00EB1DF4" w:rsidP="00615D2C">
            <w:pPr>
              <w:jc w:val="both"/>
              <w:rPr>
                <w:sz w:val="20"/>
                <w:szCs w:val="20"/>
              </w:rPr>
            </w:pPr>
            <w:r w:rsidRPr="00FA3F57">
              <w:rPr>
                <w:sz w:val="20"/>
                <w:szCs w:val="20"/>
              </w:rPr>
              <w:t>Excavation of the required quantities of overburden</w:t>
            </w:r>
          </w:p>
        </w:tc>
      </w:tr>
      <w:tr w:rsidR="00BB29B8" w:rsidRPr="00F07779" w14:paraId="0A9EF8ED" w14:textId="77777777" w:rsidTr="00615D2C">
        <w:tc>
          <w:tcPr>
            <w:tcW w:w="3114" w:type="dxa"/>
          </w:tcPr>
          <w:p w14:paraId="7155C33E" w14:textId="77777777" w:rsidR="00EB1DF4" w:rsidRPr="00FA3F57" w:rsidRDefault="00EB1DF4" w:rsidP="00615D2C">
            <w:pPr>
              <w:rPr>
                <w:sz w:val="20"/>
                <w:szCs w:val="20"/>
              </w:rPr>
            </w:pPr>
            <w:r w:rsidRPr="00FA3F57">
              <w:rPr>
                <w:sz w:val="20"/>
                <w:szCs w:val="20"/>
              </w:rPr>
              <w:t>Impact on EE, climate, and environmental protection</w:t>
            </w:r>
          </w:p>
        </w:tc>
        <w:tc>
          <w:tcPr>
            <w:tcW w:w="5601" w:type="dxa"/>
          </w:tcPr>
          <w:p w14:paraId="02301B96" w14:textId="77777777" w:rsidR="00EB1DF4" w:rsidRPr="00FA3F57" w:rsidRDefault="00EB1DF4" w:rsidP="00615D2C">
            <w:pPr>
              <w:rPr>
                <w:sz w:val="20"/>
                <w:szCs w:val="20"/>
              </w:rPr>
            </w:pPr>
            <w:r w:rsidRPr="00FA3F57">
              <w:rPr>
                <w:sz w:val="20"/>
                <w:szCs w:val="20"/>
              </w:rPr>
              <w:t>No direct impact</w:t>
            </w:r>
          </w:p>
        </w:tc>
      </w:tr>
    </w:tbl>
    <w:p w14:paraId="0FC04EC1" w14:textId="77777777" w:rsidR="00EB1DF4" w:rsidRPr="00F07779" w:rsidRDefault="00EB1DF4" w:rsidP="00EB1DF4"/>
    <w:p w14:paraId="5F9A047D" w14:textId="77777777" w:rsidR="00EB1DF4" w:rsidRPr="00FA3F57" w:rsidRDefault="00EB1DF4" w:rsidP="00EB1DF4">
      <w:r w:rsidRPr="00FA3F57">
        <w:t>Table 5.7.3-4: Activities for the implementation of measure U1 – U1.4</w:t>
      </w:r>
    </w:p>
    <w:tbl>
      <w:tblPr>
        <w:tblStyle w:val="TableGrid"/>
        <w:tblW w:w="0" w:type="auto"/>
        <w:tblLook w:val="04A0" w:firstRow="1" w:lastRow="0" w:firstColumn="1" w:lastColumn="0" w:noHBand="0" w:noVBand="1"/>
      </w:tblPr>
      <w:tblGrid>
        <w:gridCol w:w="3114"/>
        <w:gridCol w:w="5601"/>
      </w:tblGrid>
      <w:tr w:rsidR="00BB29B8" w:rsidRPr="00F07779" w14:paraId="47E49DEE" w14:textId="77777777" w:rsidTr="00615D2C">
        <w:tc>
          <w:tcPr>
            <w:tcW w:w="3114" w:type="dxa"/>
            <w:shd w:val="clear" w:color="auto" w:fill="BFBFBF" w:themeFill="background1" w:themeFillShade="BF"/>
          </w:tcPr>
          <w:p w14:paraId="09ADEDA2" w14:textId="06891F9F" w:rsidR="00EB1DF4" w:rsidRPr="00FA3F57" w:rsidRDefault="00EB1DF4" w:rsidP="00615D2C">
            <w:pPr>
              <w:rPr>
                <w:sz w:val="20"/>
                <w:szCs w:val="20"/>
              </w:rPr>
            </w:pPr>
            <w:r w:rsidRPr="00FA3F57">
              <w:rPr>
                <w:sz w:val="20"/>
                <w:szCs w:val="20"/>
              </w:rPr>
              <w:t>Activity U1.4</w:t>
            </w:r>
          </w:p>
        </w:tc>
        <w:tc>
          <w:tcPr>
            <w:tcW w:w="5601" w:type="dxa"/>
            <w:shd w:val="clear" w:color="auto" w:fill="BFBFBF" w:themeFill="background1" w:themeFillShade="BF"/>
          </w:tcPr>
          <w:p w14:paraId="70820AC8" w14:textId="77777777" w:rsidR="00EB1DF4" w:rsidRPr="00FA3F57" w:rsidRDefault="00EB1DF4" w:rsidP="00615D2C">
            <w:pPr>
              <w:rPr>
                <w:sz w:val="20"/>
                <w:szCs w:val="20"/>
              </w:rPr>
            </w:pPr>
            <w:r w:rsidRPr="00FA3F57">
              <w:rPr>
                <w:sz w:val="20"/>
                <w:szCs w:val="20"/>
              </w:rPr>
              <w:t>Opening of the Polje E surface mine – Construction of infrastructure facilities</w:t>
            </w:r>
          </w:p>
        </w:tc>
      </w:tr>
      <w:tr w:rsidR="00BB29B8" w:rsidRPr="00F07779" w14:paraId="512CFA36" w14:textId="77777777" w:rsidTr="00615D2C">
        <w:tc>
          <w:tcPr>
            <w:tcW w:w="3114" w:type="dxa"/>
          </w:tcPr>
          <w:p w14:paraId="288B964B" w14:textId="77777777" w:rsidR="00EB1DF4" w:rsidRPr="00FA3F57" w:rsidRDefault="00EB1DF4" w:rsidP="00615D2C">
            <w:pPr>
              <w:rPr>
                <w:sz w:val="20"/>
                <w:szCs w:val="20"/>
              </w:rPr>
            </w:pPr>
            <w:r w:rsidRPr="00FA3F57">
              <w:rPr>
                <w:sz w:val="20"/>
                <w:szCs w:val="20"/>
              </w:rPr>
              <w:t>Description</w:t>
            </w:r>
          </w:p>
        </w:tc>
        <w:tc>
          <w:tcPr>
            <w:tcW w:w="5601" w:type="dxa"/>
          </w:tcPr>
          <w:p w14:paraId="0E118521" w14:textId="77777777" w:rsidR="00EB1DF4" w:rsidRPr="00FA3F57" w:rsidRDefault="00EB1DF4" w:rsidP="00615D2C">
            <w:pPr>
              <w:rPr>
                <w:sz w:val="20"/>
                <w:szCs w:val="20"/>
              </w:rPr>
            </w:pPr>
            <w:r w:rsidRPr="00FA3F57">
              <w:rPr>
                <w:sz w:val="20"/>
                <w:szCs w:val="20"/>
              </w:rPr>
              <w:t xml:space="preserve">Construction of infrastructure facilities (construction of the main channel – relocation of the </w:t>
            </w:r>
            <w:proofErr w:type="spellStart"/>
            <w:r w:rsidRPr="00FA3F57">
              <w:rPr>
                <w:sz w:val="20"/>
                <w:szCs w:val="20"/>
              </w:rPr>
              <w:t>Peštan</w:t>
            </w:r>
            <w:proofErr w:type="spellEnd"/>
            <w:r w:rsidRPr="00FA3F57">
              <w:rPr>
                <w:sz w:val="20"/>
                <w:szCs w:val="20"/>
              </w:rPr>
              <w:t xml:space="preserve"> River, construction of assembly yard, relocation of water supply, construction of public facilities – relocation of the cemetery, etc.), geological surveys, expropriation, preparation of technical documentation, drainage facilities, electrical power supply, and other related works</w:t>
            </w:r>
          </w:p>
        </w:tc>
      </w:tr>
      <w:tr w:rsidR="00BB29B8" w:rsidRPr="00F07779" w14:paraId="6997AE0F" w14:textId="77777777" w:rsidTr="00615D2C">
        <w:tc>
          <w:tcPr>
            <w:tcW w:w="3114" w:type="dxa"/>
          </w:tcPr>
          <w:p w14:paraId="4587BE70" w14:textId="77777777" w:rsidR="00EB1DF4" w:rsidRPr="00FA3F57" w:rsidRDefault="00EB1DF4" w:rsidP="00615D2C">
            <w:pPr>
              <w:rPr>
                <w:sz w:val="20"/>
                <w:szCs w:val="20"/>
              </w:rPr>
            </w:pPr>
            <w:r w:rsidRPr="00FA3F57">
              <w:rPr>
                <w:sz w:val="20"/>
                <w:szCs w:val="20"/>
              </w:rPr>
              <w:t>Institutions responsible for the implementation of measures and activities</w:t>
            </w:r>
          </w:p>
        </w:tc>
        <w:tc>
          <w:tcPr>
            <w:tcW w:w="5601" w:type="dxa"/>
          </w:tcPr>
          <w:p w14:paraId="03A199D8" w14:textId="77777777" w:rsidR="00EB1DF4" w:rsidRPr="00FA3F57" w:rsidRDefault="00EB1DF4" w:rsidP="00615D2C">
            <w:pPr>
              <w:rPr>
                <w:sz w:val="20"/>
                <w:szCs w:val="20"/>
              </w:rPr>
            </w:pPr>
            <w:r w:rsidRPr="00FA3F57">
              <w:rPr>
                <w:rFonts w:eastAsia="Calibri"/>
                <w:sz w:val="20"/>
                <w:szCs w:val="20"/>
              </w:rPr>
              <w:t>Joint Stock Company “Electric Power Industry of Serbia”</w:t>
            </w:r>
          </w:p>
        </w:tc>
      </w:tr>
      <w:tr w:rsidR="00BB29B8" w:rsidRPr="00F07779" w14:paraId="0B585198" w14:textId="77777777" w:rsidTr="00615D2C">
        <w:tc>
          <w:tcPr>
            <w:tcW w:w="3114" w:type="dxa"/>
          </w:tcPr>
          <w:p w14:paraId="7AFD774C" w14:textId="77777777" w:rsidR="00EB1DF4" w:rsidRPr="00FA3F57" w:rsidRDefault="00EB1DF4" w:rsidP="00615D2C">
            <w:pPr>
              <w:rPr>
                <w:sz w:val="20"/>
                <w:szCs w:val="20"/>
              </w:rPr>
            </w:pPr>
            <w:r w:rsidRPr="00FA3F57">
              <w:rPr>
                <w:sz w:val="20"/>
                <w:szCs w:val="20"/>
              </w:rPr>
              <w:t>Institutions responsible for monitoring implementation and reporting on realization</w:t>
            </w:r>
          </w:p>
        </w:tc>
        <w:tc>
          <w:tcPr>
            <w:tcW w:w="5601" w:type="dxa"/>
          </w:tcPr>
          <w:p w14:paraId="68D6967E" w14:textId="77777777" w:rsidR="00EB1DF4" w:rsidRPr="00FA3F57" w:rsidRDefault="00EB1DF4" w:rsidP="00615D2C">
            <w:pPr>
              <w:rPr>
                <w:sz w:val="20"/>
                <w:szCs w:val="20"/>
              </w:rPr>
            </w:pPr>
            <w:r w:rsidRPr="00FA3F57">
              <w:rPr>
                <w:sz w:val="20"/>
                <w:szCs w:val="20"/>
              </w:rPr>
              <w:t>Ministry of Mining and Energy</w:t>
            </w:r>
          </w:p>
        </w:tc>
      </w:tr>
      <w:tr w:rsidR="00BB29B8" w:rsidRPr="00F07779" w14:paraId="73B4448D" w14:textId="77777777" w:rsidTr="00615D2C">
        <w:tc>
          <w:tcPr>
            <w:tcW w:w="3114" w:type="dxa"/>
          </w:tcPr>
          <w:p w14:paraId="563EE452" w14:textId="77777777" w:rsidR="00EB1DF4" w:rsidRPr="00FA3F57" w:rsidRDefault="00EB1DF4" w:rsidP="00615D2C">
            <w:pPr>
              <w:rPr>
                <w:sz w:val="20"/>
                <w:szCs w:val="20"/>
              </w:rPr>
            </w:pPr>
            <w:r w:rsidRPr="00FA3F57">
              <w:rPr>
                <w:sz w:val="20"/>
                <w:szCs w:val="20"/>
              </w:rPr>
              <w:t>Deadline for implementation</w:t>
            </w:r>
          </w:p>
        </w:tc>
        <w:tc>
          <w:tcPr>
            <w:tcW w:w="5601" w:type="dxa"/>
          </w:tcPr>
          <w:p w14:paraId="45CA0F28" w14:textId="0C007049" w:rsidR="00EB1DF4" w:rsidRPr="00FA3F57" w:rsidRDefault="00EB1DF4" w:rsidP="00615D2C">
            <w:pPr>
              <w:rPr>
                <w:sz w:val="20"/>
                <w:szCs w:val="20"/>
              </w:rPr>
            </w:pPr>
            <w:r w:rsidRPr="00FA3F57">
              <w:rPr>
                <w:sz w:val="20"/>
                <w:szCs w:val="20"/>
              </w:rPr>
              <w:t>2028</w:t>
            </w:r>
            <w:r w:rsidR="008B2A7B" w:rsidRPr="00F07779">
              <w:rPr>
                <w:sz w:val="20"/>
                <w:szCs w:val="20"/>
              </w:rPr>
              <w:t>.</w:t>
            </w:r>
          </w:p>
        </w:tc>
      </w:tr>
      <w:tr w:rsidR="00BB29B8" w:rsidRPr="00F07779" w14:paraId="3752EB92" w14:textId="77777777" w:rsidTr="00615D2C">
        <w:tc>
          <w:tcPr>
            <w:tcW w:w="3114" w:type="dxa"/>
          </w:tcPr>
          <w:p w14:paraId="65B6B8F3" w14:textId="77777777" w:rsidR="00EB1DF4" w:rsidRPr="00FA3F57" w:rsidRDefault="00EB1DF4" w:rsidP="00615D2C">
            <w:pPr>
              <w:rPr>
                <w:sz w:val="20"/>
                <w:szCs w:val="20"/>
              </w:rPr>
            </w:pPr>
            <w:r w:rsidRPr="00FA3F57">
              <w:rPr>
                <w:sz w:val="20"/>
                <w:szCs w:val="20"/>
              </w:rPr>
              <w:t>Required funds and source of financing</w:t>
            </w:r>
          </w:p>
        </w:tc>
        <w:tc>
          <w:tcPr>
            <w:tcW w:w="5601" w:type="dxa"/>
          </w:tcPr>
          <w:p w14:paraId="2DE2397D" w14:textId="07E04FA7" w:rsidR="00EB1DF4" w:rsidRPr="00FA3F57" w:rsidRDefault="00EB1DF4" w:rsidP="00615D2C">
            <w:pPr>
              <w:rPr>
                <w:sz w:val="20"/>
                <w:szCs w:val="20"/>
              </w:rPr>
            </w:pPr>
            <w:r w:rsidRPr="00FA3F57">
              <w:rPr>
                <w:sz w:val="20"/>
                <w:szCs w:val="22"/>
              </w:rPr>
              <w:t xml:space="preserve">6,785,000,000 </w:t>
            </w:r>
            <w:r w:rsidRPr="00FA3F57">
              <w:rPr>
                <w:sz w:val="20"/>
                <w:szCs w:val="20"/>
              </w:rPr>
              <w:t>RSD (57.868 million</w:t>
            </w:r>
            <w:r w:rsidR="008B2A7B" w:rsidRPr="00F07779">
              <w:rPr>
                <w:sz w:val="20"/>
                <w:szCs w:val="20"/>
              </w:rPr>
              <w:t xml:space="preserve"> EUR</w:t>
            </w:r>
            <w:r w:rsidRPr="00FA3F57">
              <w:rPr>
                <w:sz w:val="20"/>
                <w:szCs w:val="20"/>
              </w:rPr>
              <w:t>)</w:t>
            </w:r>
          </w:p>
          <w:p w14:paraId="5AC449E0" w14:textId="77777777" w:rsidR="00EB1DF4" w:rsidRPr="00FA3F57" w:rsidRDefault="00EB1DF4" w:rsidP="00615D2C">
            <w:pPr>
              <w:rPr>
                <w:sz w:val="20"/>
                <w:szCs w:val="20"/>
              </w:rPr>
            </w:pPr>
            <w:r w:rsidRPr="00FA3F57">
              <w:rPr>
                <w:sz w:val="20"/>
                <w:szCs w:val="20"/>
              </w:rPr>
              <w:t>Funded from EPS equity</w:t>
            </w:r>
          </w:p>
        </w:tc>
      </w:tr>
      <w:tr w:rsidR="00BB29B8" w:rsidRPr="00F07779" w14:paraId="0616A07A" w14:textId="77777777" w:rsidTr="00615D2C">
        <w:tc>
          <w:tcPr>
            <w:tcW w:w="3114" w:type="dxa"/>
          </w:tcPr>
          <w:p w14:paraId="591C7AB9" w14:textId="77777777" w:rsidR="00EB1DF4" w:rsidRPr="00FA3F57" w:rsidRDefault="00EB1DF4" w:rsidP="00615D2C">
            <w:pPr>
              <w:rPr>
                <w:sz w:val="20"/>
                <w:szCs w:val="20"/>
              </w:rPr>
            </w:pPr>
            <w:r w:rsidRPr="00FA3F57">
              <w:rPr>
                <w:sz w:val="20"/>
                <w:szCs w:val="20"/>
              </w:rPr>
              <w:t>2026</w:t>
            </w:r>
          </w:p>
        </w:tc>
        <w:tc>
          <w:tcPr>
            <w:tcW w:w="5601" w:type="dxa"/>
          </w:tcPr>
          <w:p w14:paraId="349D0005" w14:textId="435C76CF" w:rsidR="00EB1DF4" w:rsidRPr="00FA3F57" w:rsidRDefault="00EB1DF4" w:rsidP="00615D2C">
            <w:pPr>
              <w:rPr>
                <w:sz w:val="20"/>
                <w:szCs w:val="20"/>
              </w:rPr>
            </w:pPr>
            <w:r w:rsidRPr="00FA3F57">
              <w:rPr>
                <w:sz w:val="20"/>
                <w:szCs w:val="20"/>
              </w:rPr>
              <w:t>3,457,000,000 RSD (29.484 million</w:t>
            </w:r>
            <w:r w:rsidR="008B2A7B" w:rsidRPr="00F07779">
              <w:rPr>
                <w:sz w:val="20"/>
                <w:szCs w:val="20"/>
              </w:rPr>
              <w:t xml:space="preserve"> EUR</w:t>
            </w:r>
            <w:r w:rsidRPr="00FA3F57">
              <w:rPr>
                <w:sz w:val="20"/>
                <w:szCs w:val="20"/>
              </w:rPr>
              <w:t>)</w:t>
            </w:r>
          </w:p>
        </w:tc>
      </w:tr>
      <w:tr w:rsidR="00BB29B8" w:rsidRPr="00F07779" w14:paraId="4E41FE55" w14:textId="77777777" w:rsidTr="00615D2C">
        <w:tc>
          <w:tcPr>
            <w:tcW w:w="3114" w:type="dxa"/>
          </w:tcPr>
          <w:p w14:paraId="2D1727F0" w14:textId="77777777" w:rsidR="00EB1DF4" w:rsidRPr="00FA3F57" w:rsidRDefault="00EB1DF4" w:rsidP="00615D2C">
            <w:pPr>
              <w:rPr>
                <w:sz w:val="20"/>
                <w:szCs w:val="20"/>
              </w:rPr>
            </w:pPr>
            <w:r w:rsidRPr="00FA3F57">
              <w:rPr>
                <w:sz w:val="20"/>
                <w:szCs w:val="20"/>
              </w:rPr>
              <w:t>2027.</w:t>
            </w:r>
          </w:p>
        </w:tc>
        <w:tc>
          <w:tcPr>
            <w:tcW w:w="5601" w:type="dxa"/>
          </w:tcPr>
          <w:p w14:paraId="6C63DDD4" w14:textId="4D46C56E" w:rsidR="00EB1DF4" w:rsidRPr="00FA3F57" w:rsidRDefault="00EB1DF4" w:rsidP="00615D2C">
            <w:pPr>
              <w:rPr>
                <w:sz w:val="20"/>
                <w:szCs w:val="20"/>
              </w:rPr>
            </w:pPr>
            <w:r w:rsidRPr="00FA3F57">
              <w:rPr>
                <w:sz w:val="20"/>
                <w:szCs w:val="20"/>
              </w:rPr>
              <w:t>2,494,000,000 RSD (21.271 million</w:t>
            </w:r>
            <w:r w:rsidR="008B2A7B" w:rsidRPr="00F07779">
              <w:rPr>
                <w:sz w:val="20"/>
                <w:szCs w:val="20"/>
              </w:rPr>
              <w:t xml:space="preserve"> EUR</w:t>
            </w:r>
            <w:r w:rsidRPr="00FA3F57">
              <w:rPr>
                <w:sz w:val="20"/>
                <w:szCs w:val="20"/>
              </w:rPr>
              <w:t>)</w:t>
            </w:r>
          </w:p>
        </w:tc>
      </w:tr>
      <w:tr w:rsidR="00BB29B8" w:rsidRPr="00F07779" w14:paraId="03CF419A" w14:textId="77777777" w:rsidTr="00615D2C">
        <w:trPr>
          <w:trHeight w:val="251"/>
        </w:trPr>
        <w:tc>
          <w:tcPr>
            <w:tcW w:w="3114" w:type="dxa"/>
          </w:tcPr>
          <w:p w14:paraId="54C6E782" w14:textId="77777777" w:rsidR="00EB1DF4" w:rsidRPr="00FA3F57" w:rsidRDefault="00EB1DF4" w:rsidP="00615D2C">
            <w:pPr>
              <w:rPr>
                <w:sz w:val="20"/>
                <w:szCs w:val="20"/>
              </w:rPr>
            </w:pPr>
            <w:r w:rsidRPr="00FA3F57">
              <w:rPr>
                <w:sz w:val="20"/>
                <w:szCs w:val="20"/>
              </w:rPr>
              <w:t>2028.</w:t>
            </w:r>
          </w:p>
        </w:tc>
        <w:tc>
          <w:tcPr>
            <w:tcW w:w="5601" w:type="dxa"/>
          </w:tcPr>
          <w:p w14:paraId="6DAC3DE4" w14:textId="2F10EBD2" w:rsidR="00EB1DF4" w:rsidRPr="00FA3F57" w:rsidRDefault="00EB1DF4" w:rsidP="00615D2C">
            <w:pPr>
              <w:rPr>
                <w:sz w:val="20"/>
                <w:szCs w:val="20"/>
                <w:lang w:eastAsia="en-US"/>
              </w:rPr>
            </w:pPr>
            <w:r w:rsidRPr="00FA3F57">
              <w:rPr>
                <w:sz w:val="20"/>
                <w:szCs w:val="20"/>
              </w:rPr>
              <w:t>834,000,000 RSD (7.113 million</w:t>
            </w:r>
            <w:r w:rsidR="008B2A7B" w:rsidRPr="00F07779">
              <w:rPr>
                <w:sz w:val="20"/>
                <w:szCs w:val="20"/>
              </w:rPr>
              <w:t xml:space="preserve"> EUR</w:t>
            </w:r>
            <w:r w:rsidRPr="00FA3F57">
              <w:rPr>
                <w:sz w:val="20"/>
                <w:szCs w:val="20"/>
              </w:rPr>
              <w:t>)</w:t>
            </w:r>
          </w:p>
        </w:tc>
      </w:tr>
      <w:tr w:rsidR="00BB29B8" w:rsidRPr="00F07779" w14:paraId="486977C4" w14:textId="77777777" w:rsidTr="00615D2C">
        <w:tc>
          <w:tcPr>
            <w:tcW w:w="3114" w:type="dxa"/>
          </w:tcPr>
          <w:p w14:paraId="41146878" w14:textId="77777777" w:rsidR="00EB1DF4" w:rsidRPr="00FA3F57" w:rsidRDefault="00EB1DF4" w:rsidP="00615D2C">
            <w:pPr>
              <w:rPr>
                <w:sz w:val="20"/>
                <w:szCs w:val="20"/>
              </w:rPr>
            </w:pPr>
            <w:r w:rsidRPr="00FA3F57">
              <w:rPr>
                <w:sz w:val="20"/>
                <w:szCs w:val="20"/>
              </w:rPr>
              <w:t>Implementation indicator</w:t>
            </w:r>
          </w:p>
        </w:tc>
        <w:tc>
          <w:tcPr>
            <w:tcW w:w="5601" w:type="dxa"/>
          </w:tcPr>
          <w:p w14:paraId="46F88DEC" w14:textId="77777777" w:rsidR="00EB1DF4" w:rsidRPr="00FA3F57" w:rsidRDefault="00EB1DF4" w:rsidP="00615D2C">
            <w:pPr>
              <w:rPr>
                <w:sz w:val="20"/>
                <w:szCs w:val="20"/>
              </w:rPr>
            </w:pPr>
            <w:r w:rsidRPr="00FA3F57">
              <w:rPr>
                <w:sz w:val="20"/>
                <w:szCs w:val="20"/>
              </w:rPr>
              <w:t>Investments in infrastructure facilities, geological surveys, drainage facilities, and other related works create the prerequisites for mine opening and continued exploitation.</w:t>
            </w:r>
          </w:p>
        </w:tc>
      </w:tr>
      <w:tr w:rsidR="00BB29B8" w:rsidRPr="00F07779" w14:paraId="4AE51F22" w14:textId="77777777" w:rsidTr="00615D2C">
        <w:tc>
          <w:tcPr>
            <w:tcW w:w="3114" w:type="dxa"/>
          </w:tcPr>
          <w:p w14:paraId="11247CA9" w14:textId="77777777" w:rsidR="00EB1DF4" w:rsidRPr="00FA3F57" w:rsidRDefault="00EB1DF4" w:rsidP="00615D2C">
            <w:pPr>
              <w:rPr>
                <w:sz w:val="20"/>
                <w:szCs w:val="20"/>
              </w:rPr>
            </w:pPr>
            <w:r w:rsidRPr="00FA3F57">
              <w:rPr>
                <w:sz w:val="20"/>
                <w:szCs w:val="20"/>
              </w:rPr>
              <w:t>Impact of the activity on the achievement of the objective</w:t>
            </w:r>
          </w:p>
        </w:tc>
        <w:tc>
          <w:tcPr>
            <w:tcW w:w="5601" w:type="dxa"/>
          </w:tcPr>
          <w:p w14:paraId="3FCF2CCC" w14:textId="77777777" w:rsidR="00EB1DF4" w:rsidRPr="00FA3F57" w:rsidRDefault="00EB1DF4" w:rsidP="00615D2C">
            <w:pPr>
              <w:jc w:val="both"/>
              <w:rPr>
                <w:sz w:val="20"/>
                <w:szCs w:val="20"/>
              </w:rPr>
            </w:pPr>
            <w:r w:rsidRPr="00FA3F57">
              <w:rPr>
                <w:sz w:val="20"/>
                <w:szCs w:val="20"/>
              </w:rPr>
              <w:t>Ensuring the required coal quantities for thermal power plants</w:t>
            </w:r>
          </w:p>
          <w:p w14:paraId="09F659F1" w14:textId="77777777" w:rsidR="00EB1DF4" w:rsidRPr="00FA3F57" w:rsidRDefault="00EB1DF4" w:rsidP="00615D2C">
            <w:pPr>
              <w:jc w:val="both"/>
              <w:rPr>
                <w:sz w:val="20"/>
                <w:szCs w:val="20"/>
              </w:rPr>
            </w:pPr>
            <w:r w:rsidRPr="00FA3F57">
              <w:rPr>
                <w:sz w:val="20"/>
                <w:szCs w:val="20"/>
              </w:rPr>
              <w:t>Ensuring the required coal quality</w:t>
            </w:r>
          </w:p>
        </w:tc>
      </w:tr>
      <w:tr w:rsidR="00BB29B8" w:rsidRPr="00F07779" w14:paraId="4EB49F15" w14:textId="77777777" w:rsidTr="00615D2C">
        <w:tc>
          <w:tcPr>
            <w:tcW w:w="3114" w:type="dxa"/>
          </w:tcPr>
          <w:p w14:paraId="52E8381D" w14:textId="77777777" w:rsidR="00EB1DF4" w:rsidRPr="00FA3F57" w:rsidRDefault="00EB1DF4" w:rsidP="00615D2C">
            <w:pPr>
              <w:rPr>
                <w:sz w:val="20"/>
                <w:szCs w:val="20"/>
              </w:rPr>
            </w:pPr>
            <w:r w:rsidRPr="00FA3F57">
              <w:rPr>
                <w:sz w:val="20"/>
                <w:szCs w:val="20"/>
              </w:rPr>
              <w:t>Impact on EE, climate, and environmental protection</w:t>
            </w:r>
          </w:p>
        </w:tc>
        <w:tc>
          <w:tcPr>
            <w:tcW w:w="5601" w:type="dxa"/>
          </w:tcPr>
          <w:p w14:paraId="31BD856E" w14:textId="77777777" w:rsidR="00EB1DF4" w:rsidRPr="00FA3F57" w:rsidRDefault="00EB1DF4" w:rsidP="00615D2C">
            <w:pPr>
              <w:rPr>
                <w:sz w:val="20"/>
                <w:szCs w:val="20"/>
              </w:rPr>
            </w:pPr>
            <w:r w:rsidRPr="00FA3F57">
              <w:rPr>
                <w:sz w:val="20"/>
                <w:szCs w:val="20"/>
              </w:rPr>
              <w:t>None</w:t>
            </w:r>
          </w:p>
        </w:tc>
      </w:tr>
    </w:tbl>
    <w:p w14:paraId="0247C578" w14:textId="77777777" w:rsidR="00EB1DF4" w:rsidRPr="00F07779" w:rsidRDefault="00EB1DF4" w:rsidP="00EB1DF4"/>
    <w:p w14:paraId="166F4218" w14:textId="77777777" w:rsidR="00EB1DF4" w:rsidRPr="00FA3F57" w:rsidRDefault="00EB1DF4" w:rsidP="00EB1DF4">
      <w:r w:rsidRPr="00FA3F57">
        <w:t>Table 5.7.3-5: Activities for the implementation of measure U1 – U1.5</w:t>
      </w:r>
    </w:p>
    <w:tbl>
      <w:tblPr>
        <w:tblStyle w:val="TableGrid"/>
        <w:tblW w:w="0" w:type="auto"/>
        <w:tblLook w:val="04A0" w:firstRow="1" w:lastRow="0" w:firstColumn="1" w:lastColumn="0" w:noHBand="0" w:noVBand="1"/>
      </w:tblPr>
      <w:tblGrid>
        <w:gridCol w:w="3114"/>
        <w:gridCol w:w="5601"/>
      </w:tblGrid>
      <w:tr w:rsidR="002B1C18" w:rsidRPr="00F07779" w14:paraId="6B8EAE80" w14:textId="77777777" w:rsidTr="00615D2C">
        <w:tc>
          <w:tcPr>
            <w:tcW w:w="3114" w:type="dxa"/>
            <w:shd w:val="clear" w:color="auto" w:fill="D9D9D9" w:themeFill="background1" w:themeFillShade="D9"/>
          </w:tcPr>
          <w:p w14:paraId="3B386095" w14:textId="167AAA9F" w:rsidR="00EB1DF4" w:rsidRPr="00FA3F57" w:rsidRDefault="00EB1DF4" w:rsidP="00615D2C">
            <w:pPr>
              <w:rPr>
                <w:sz w:val="20"/>
                <w:szCs w:val="20"/>
              </w:rPr>
            </w:pPr>
            <w:r w:rsidRPr="00FA3F57">
              <w:rPr>
                <w:sz w:val="20"/>
                <w:szCs w:val="20"/>
              </w:rPr>
              <w:t xml:space="preserve">Activity U1.5 </w:t>
            </w:r>
          </w:p>
        </w:tc>
        <w:tc>
          <w:tcPr>
            <w:tcW w:w="5601" w:type="dxa"/>
            <w:shd w:val="clear" w:color="auto" w:fill="D9D9D9" w:themeFill="background1" w:themeFillShade="D9"/>
          </w:tcPr>
          <w:p w14:paraId="7CDDFF0E" w14:textId="77777777" w:rsidR="00EB1DF4" w:rsidRPr="00FA3F57" w:rsidRDefault="00EB1DF4" w:rsidP="00615D2C">
            <w:pPr>
              <w:rPr>
                <w:sz w:val="20"/>
                <w:szCs w:val="20"/>
              </w:rPr>
            </w:pPr>
            <w:proofErr w:type="spellStart"/>
            <w:r w:rsidRPr="00FA3F57">
              <w:rPr>
                <w:sz w:val="20"/>
                <w:szCs w:val="20"/>
              </w:rPr>
              <w:t>Отварање</w:t>
            </w:r>
            <w:proofErr w:type="spellEnd"/>
            <w:r w:rsidRPr="00FA3F57">
              <w:rPr>
                <w:sz w:val="20"/>
                <w:szCs w:val="20"/>
              </w:rPr>
              <w:t xml:space="preserve"> </w:t>
            </w:r>
            <w:proofErr w:type="spellStart"/>
            <w:r w:rsidRPr="00FA3F57">
              <w:rPr>
                <w:sz w:val="20"/>
                <w:szCs w:val="20"/>
              </w:rPr>
              <w:t>површинског</w:t>
            </w:r>
            <w:proofErr w:type="spellEnd"/>
            <w:r w:rsidRPr="00FA3F57">
              <w:rPr>
                <w:sz w:val="20"/>
                <w:szCs w:val="20"/>
              </w:rPr>
              <w:t xml:space="preserve"> </w:t>
            </w:r>
            <w:proofErr w:type="spellStart"/>
            <w:r w:rsidRPr="00FA3F57">
              <w:rPr>
                <w:sz w:val="20"/>
                <w:szCs w:val="20"/>
              </w:rPr>
              <w:t>копа</w:t>
            </w:r>
            <w:proofErr w:type="spellEnd"/>
            <w:r w:rsidRPr="00FA3F57">
              <w:rPr>
                <w:sz w:val="20"/>
                <w:szCs w:val="20"/>
              </w:rPr>
              <w:t xml:space="preserve"> </w:t>
            </w:r>
            <w:proofErr w:type="spellStart"/>
            <w:r w:rsidRPr="00FA3F57">
              <w:rPr>
                <w:sz w:val="20"/>
                <w:szCs w:val="20"/>
              </w:rPr>
              <w:t>Поље</w:t>
            </w:r>
            <w:proofErr w:type="spellEnd"/>
            <w:r w:rsidRPr="00FA3F57">
              <w:rPr>
                <w:sz w:val="20"/>
                <w:szCs w:val="20"/>
              </w:rPr>
              <w:t xml:space="preserve"> </w:t>
            </w:r>
            <w:proofErr w:type="spellStart"/>
            <w:r w:rsidRPr="00FA3F57">
              <w:rPr>
                <w:sz w:val="20"/>
                <w:szCs w:val="20"/>
              </w:rPr>
              <w:t>Радљево</w:t>
            </w:r>
            <w:proofErr w:type="spellEnd"/>
            <w:r w:rsidRPr="00FA3F57">
              <w:rPr>
                <w:sz w:val="20"/>
                <w:szCs w:val="20"/>
              </w:rPr>
              <w:t xml:space="preserve"> - </w:t>
            </w:r>
            <w:proofErr w:type="spellStart"/>
            <w:r w:rsidRPr="00FA3F57">
              <w:rPr>
                <w:sz w:val="20"/>
                <w:szCs w:val="20"/>
              </w:rPr>
              <w:t>Набавка</w:t>
            </w:r>
            <w:proofErr w:type="spellEnd"/>
            <w:r w:rsidRPr="00FA3F57">
              <w:rPr>
                <w:sz w:val="20"/>
                <w:szCs w:val="20"/>
              </w:rPr>
              <w:t xml:space="preserve"> </w:t>
            </w:r>
            <w:proofErr w:type="spellStart"/>
            <w:r w:rsidRPr="00FA3F57">
              <w:rPr>
                <w:sz w:val="20"/>
                <w:szCs w:val="20"/>
              </w:rPr>
              <w:t>нове</w:t>
            </w:r>
            <w:proofErr w:type="spellEnd"/>
            <w:r w:rsidRPr="00FA3F57">
              <w:rPr>
                <w:sz w:val="20"/>
                <w:szCs w:val="20"/>
              </w:rPr>
              <w:t xml:space="preserve"> </w:t>
            </w:r>
            <w:proofErr w:type="spellStart"/>
            <w:r w:rsidRPr="00FA3F57">
              <w:rPr>
                <w:sz w:val="20"/>
                <w:szCs w:val="20"/>
              </w:rPr>
              <w:t>недостајуће</w:t>
            </w:r>
            <w:proofErr w:type="spellEnd"/>
            <w:r w:rsidRPr="00FA3F57">
              <w:rPr>
                <w:sz w:val="20"/>
                <w:szCs w:val="20"/>
              </w:rPr>
              <w:t xml:space="preserve"> </w:t>
            </w:r>
            <w:proofErr w:type="spellStart"/>
            <w:r w:rsidRPr="00FA3F57">
              <w:rPr>
                <w:sz w:val="20"/>
                <w:szCs w:val="20"/>
              </w:rPr>
              <w:t>основне</w:t>
            </w:r>
            <w:proofErr w:type="spellEnd"/>
            <w:r w:rsidRPr="00FA3F57">
              <w:rPr>
                <w:sz w:val="20"/>
                <w:szCs w:val="20"/>
              </w:rPr>
              <w:t xml:space="preserve"> </w:t>
            </w:r>
            <w:proofErr w:type="spellStart"/>
            <w:r w:rsidRPr="00FA3F57">
              <w:rPr>
                <w:sz w:val="20"/>
                <w:szCs w:val="20"/>
              </w:rPr>
              <w:t>механизације</w:t>
            </w:r>
            <w:proofErr w:type="spellEnd"/>
            <w:r w:rsidRPr="00FA3F57">
              <w:rPr>
                <w:sz w:val="20"/>
                <w:szCs w:val="20"/>
              </w:rPr>
              <w:t xml:space="preserve"> Opening of </w:t>
            </w:r>
            <w:proofErr w:type="spellStart"/>
            <w:r w:rsidRPr="00FA3F57">
              <w:rPr>
                <w:sz w:val="20"/>
                <w:szCs w:val="20"/>
              </w:rPr>
              <w:t>Radljevo</w:t>
            </w:r>
            <w:proofErr w:type="spellEnd"/>
            <w:r w:rsidRPr="00FA3F57">
              <w:rPr>
                <w:sz w:val="20"/>
                <w:szCs w:val="20"/>
              </w:rPr>
              <w:t xml:space="preserve"> surface mine – Procurement of new missing basic machines</w:t>
            </w:r>
          </w:p>
        </w:tc>
      </w:tr>
      <w:tr w:rsidR="002B1C18" w:rsidRPr="00F07779" w14:paraId="2B7E5D80" w14:textId="77777777" w:rsidTr="00615D2C">
        <w:tc>
          <w:tcPr>
            <w:tcW w:w="3114" w:type="dxa"/>
          </w:tcPr>
          <w:p w14:paraId="5BC94C6D" w14:textId="77777777" w:rsidR="00EB1DF4" w:rsidRPr="00FA3F57" w:rsidRDefault="00EB1DF4" w:rsidP="00615D2C">
            <w:pPr>
              <w:rPr>
                <w:sz w:val="20"/>
                <w:szCs w:val="20"/>
              </w:rPr>
            </w:pPr>
            <w:r w:rsidRPr="00FA3F57">
              <w:rPr>
                <w:sz w:val="20"/>
                <w:szCs w:val="20"/>
              </w:rPr>
              <w:t>Description</w:t>
            </w:r>
          </w:p>
        </w:tc>
        <w:tc>
          <w:tcPr>
            <w:tcW w:w="5601" w:type="dxa"/>
          </w:tcPr>
          <w:p w14:paraId="5485C90A" w14:textId="77777777" w:rsidR="00EB1DF4" w:rsidRPr="00FA3F57" w:rsidRDefault="00EB1DF4" w:rsidP="00615D2C">
            <w:pPr>
              <w:rPr>
                <w:sz w:val="20"/>
                <w:szCs w:val="20"/>
              </w:rPr>
            </w:pPr>
            <w:r w:rsidRPr="00FA3F57">
              <w:rPr>
                <w:sz w:val="20"/>
                <w:szCs w:val="20"/>
              </w:rPr>
              <w:t>Procurement of a new ECS system (bucket-wheel excavator with a capacity of 6,600 m³/h, spreader with a capacity of 8,500 m³/h, conveyor with B 2,000 mm belt), completion of the ECS system (final assembly of a used excavator and spreader, procurement of a self-propelled conveyor and conveyors with B 1,600 mm belt), procurement of missing equipment for the coal system.</w:t>
            </w:r>
          </w:p>
        </w:tc>
      </w:tr>
      <w:tr w:rsidR="002B1C18" w:rsidRPr="00F07779" w14:paraId="484E8954" w14:textId="77777777" w:rsidTr="00615D2C">
        <w:tc>
          <w:tcPr>
            <w:tcW w:w="3114" w:type="dxa"/>
          </w:tcPr>
          <w:p w14:paraId="29D5BB50" w14:textId="77777777" w:rsidR="00EB1DF4" w:rsidRPr="00FA3F57" w:rsidRDefault="00EB1DF4" w:rsidP="00615D2C">
            <w:pPr>
              <w:rPr>
                <w:sz w:val="20"/>
                <w:szCs w:val="20"/>
              </w:rPr>
            </w:pPr>
            <w:r w:rsidRPr="00FA3F57">
              <w:rPr>
                <w:sz w:val="20"/>
                <w:szCs w:val="20"/>
              </w:rPr>
              <w:t>Institutions responsible for the implementation of measures and activities</w:t>
            </w:r>
          </w:p>
        </w:tc>
        <w:tc>
          <w:tcPr>
            <w:tcW w:w="5601" w:type="dxa"/>
          </w:tcPr>
          <w:p w14:paraId="077FAE4E" w14:textId="77777777" w:rsidR="00EB1DF4" w:rsidRPr="00FA3F57" w:rsidRDefault="00EB1DF4" w:rsidP="00615D2C">
            <w:pPr>
              <w:rPr>
                <w:sz w:val="20"/>
                <w:szCs w:val="20"/>
              </w:rPr>
            </w:pPr>
            <w:r w:rsidRPr="00FA3F57">
              <w:rPr>
                <w:rFonts w:eastAsia="Calibri"/>
                <w:sz w:val="20"/>
                <w:szCs w:val="20"/>
              </w:rPr>
              <w:t>Joint Stock Company “Electric Power Industry of Serbia”</w:t>
            </w:r>
          </w:p>
        </w:tc>
      </w:tr>
      <w:tr w:rsidR="002B1C18" w:rsidRPr="00F07779" w14:paraId="58BBD00E" w14:textId="77777777" w:rsidTr="00615D2C">
        <w:tc>
          <w:tcPr>
            <w:tcW w:w="3114" w:type="dxa"/>
          </w:tcPr>
          <w:p w14:paraId="07F72EB1" w14:textId="77777777" w:rsidR="00EB1DF4" w:rsidRPr="00FA3F57" w:rsidRDefault="00EB1DF4" w:rsidP="00615D2C">
            <w:pPr>
              <w:rPr>
                <w:sz w:val="20"/>
                <w:szCs w:val="20"/>
              </w:rPr>
            </w:pPr>
            <w:r w:rsidRPr="00FA3F57">
              <w:rPr>
                <w:sz w:val="20"/>
                <w:szCs w:val="20"/>
              </w:rPr>
              <w:t>Institutions responsible for monitoring implementation and reporting on realization</w:t>
            </w:r>
          </w:p>
        </w:tc>
        <w:tc>
          <w:tcPr>
            <w:tcW w:w="5601" w:type="dxa"/>
          </w:tcPr>
          <w:p w14:paraId="30C6E13E" w14:textId="77777777" w:rsidR="00EB1DF4" w:rsidRPr="00FA3F57" w:rsidRDefault="00EB1DF4" w:rsidP="00615D2C">
            <w:pPr>
              <w:rPr>
                <w:sz w:val="20"/>
                <w:szCs w:val="20"/>
              </w:rPr>
            </w:pPr>
            <w:r w:rsidRPr="00FA3F57">
              <w:rPr>
                <w:sz w:val="20"/>
                <w:szCs w:val="20"/>
              </w:rPr>
              <w:t>Ministry of Mining and Energy</w:t>
            </w:r>
          </w:p>
        </w:tc>
      </w:tr>
      <w:tr w:rsidR="002B1C18" w:rsidRPr="00F07779" w14:paraId="7BB3EB93" w14:textId="77777777" w:rsidTr="00615D2C">
        <w:tc>
          <w:tcPr>
            <w:tcW w:w="3114" w:type="dxa"/>
          </w:tcPr>
          <w:p w14:paraId="38297C55" w14:textId="77777777" w:rsidR="00EB1DF4" w:rsidRPr="00FA3F57" w:rsidRDefault="00EB1DF4" w:rsidP="00615D2C">
            <w:pPr>
              <w:rPr>
                <w:sz w:val="20"/>
                <w:szCs w:val="20"/>
              </w:rPr>
            </w:pPr>
            <w:r w:rsidRPr="00FA3F57">
              <w:rPr>
                <w:sz w:val="20"/>
                <w:szCs w:val="20"/>
              </w:rPr>
              <w:t>Deadline for implementation</w:t>
            </w:r>
          </w:p>
        </w:tc>
        <w:tc>
          <w:tcPr>
            <w:tcW w:w="5601" w:type="dxa"/>
          </w:tcPr>
          <w:p w14:paraId="2A939B27" w14:textId="3733AF7B" w:rsidR="00EB1DF4" w:rsidRPr="00FA3F57" w:rsidRDefault="00EB1DF4" w:rsidP="00615D2C">
            <w:pPr>
              <w:rPr>
                <w:sz w:val="20"/>
                <w:szCs w:val="20"/>
              </w:rPr>
            </w:pPr>
            <w:r w:rsidRPr="00FA3F57">
              <w:rPr>
                <w:sz w:val="20"/>
                <w:szCs w:val="20"/>
              </w:rPr>
              <w:t>2028</w:t>
            </w:r>
            <w:r w:rsidR="008B2A7B" w:rsidRPr="00F07779">
              <w:rPr>
                <w:sz w:val="20"/>
                <w:szCs w:val="20"/>
              </w:rPr>
              <w:t>.</w:t>
            </w:r>
          </w:p>
        </w:tc>
      </w:tr>
      <w:tr w:rsidR="002B1C18" w:rsidRPr="00F07779" w14:paraId="744053CC" w14:textId="77777777" w:rsidTr="00615D2C">
        <w:tc>
          <w:tcPr>
            <w:tcW w:w="3114" w:type="dxa"/>
          </w:tcPr>
          <w:p w14:paraId="40616063" w14:textId="77777777" w:rsidR="00EB1DF4" w:rsidRPr="00FA3F57" w:rsidRDefault="00EB1DF4" w:rsidP="00615D2C">
            <w:pPr>
              <w:rPr>
                <w:sz w:val="20"/>
                <w:szCs w:val="20"/>
              </w:rPr>
            </w:pPr>
            <w:r w:rsidRPr="00FA3F57">
              <w:rPr>
                <w:sz w:val="20"/>
                <w:szCs w:val="20"/>
              </w:rPr>
              <w:t>Required funds and source of financing</w:t>
            </w:r>
          </w:p>
        </w:tc>
        <w:tc>
          <w:tcPr>
            <w:tcW w:w="5601" w:type="dxa"/>
          </w:tcPr>
          <w:p w14:paraId="72BB84B6" w14:textId="54DFD381" w:rsidR="00EB1DF4" w:rsidRPr="00FA3F57" w:rsidRDefault="00EB1DF4" w:rsidP="00615D2C">
            <w:pPr>
              <w:rPr>
                <w:sz w:val="20"/>
                <w:szCs w:val="20"/>
              </w:rPr>
            </w:pPr>
            <w:r w:rsidRPr="00FA3F57">
              <w:rPr>
                <w:sz w:val="20"/>
                <w:szCs w:val="22"/>
              </w:rPr>
              <w:t xml:space="preserve">2,779,000,000 RSD </w:t>
            </w:r>
            <w:r w:rsidRPr="00FA3F57">
              <w:rPr>
                <w:sz w:val="20"/>
                <w:szCs w:val="20"/>
              </w:rPr>
              <w:t>(23.701 million</w:t>
            </w:r>
            <w:r w:rsidR="0095439A" w:rsidRPr="00F07779">
              <w:rPr>
                <w:sz w:val="20"/>
                <w:szCs w:val="20"/>
              </w:rPr>
              <w:t xml:space="preserve"> EUR</w:t>
            </w:r>
            <w:r w:rsidRPr="00FA3F57">
              <w:rPr>
                <w:sz w:val="20"/>
                <w:szCs w:val="20"/>
              </w:rPr>
              <w:t>)</w:t>
            </w:r>
          </w:p>
          <w:p w14:paraId="1EDF36A6" w14:textId="77777777" w:rsidR="00EB1DF4" w:rsidRPr="00FA3F57" w:rsidRDefault="00EB1DF4" w:rsidP="00615D2C">
            <w:pPr>
              <w:rPr>
                <w:sz w:val="20"/>
                <w:szCs w:val="20"/>
              </w:rPr>
            </w:pPr>
            <w:r w:rsidRPr="00FA3F57">
              <w:rPr>
                <w:sz w:val="20"/>
                <w:szCs w:val="20"/>
              </w:rPr>
              <w:t>Funded from EPS equity</w:t>
            </w:r>
          </w:p>
        </w:tc>
      </w:tr>
      <w:tr w:rsidR="002B1C18" w:rsidRPr="00F07779" w14:paraId="323F2AE7" w14:textId="77777777" w:rsidTr="00615D2C">
        <w:tc>
          <w:tcPr>
            <w:tcW w:w="3114" w:type="dxa"/>
          </w:tcPr>
          <w:p w14:paraId="7B025C80" w14:textId="77777777" w:rsidR="00EB1DF4" w:rsidRPr="00FA3F57" w:rsidRDefault="00EB1DF4" w:rsidP="00615D2C">
            <w:pPr>
              <w:rPr>
                <w:sz w:val="20"/>
                <w:szCs w:val="20"/>
              </w:rPr>
            </w:pPr>
            <w:r w:rsidRPr="00FA3F57">
              <w:rPr>
                <w:sz w:val="20"/>
                <w:szCs w:val="20"/>
              </w:rPr>
              <w:t>2026</w:t>
            </w:r>
          </w:p>
        </w:tc>
        <w:tc>
          <w:tcPr>
            <w:tcW w:w="5601" w:type="dxa"/>
          </w:tcPr>
          <w:p w14:paraId="24A392B0" w14:textId="29C1E331" w:rsidR="00EB1DF4" w:rsidRPr="00FA3F57" w:rsidRDefault="00EB1DF4" w:rsidP="00615D2C">
            <w:pPr>
              <w:rPr>
                <w:sz w:val="20"/>
                <w:szCs w:val="20"/>
              </w:rPr>
            </w:pPr>
            <w:r w:rsidRPr="00FA3F57">
              <w:rPr>
                <w:sz w:val="20"/>
                <w:szCs w:val="20"/>
              </w:rPr>
              <w:t>1,615,000,000 RSD (13.774 million</w:t>
            </w:r>
            <w:r w:rsidR="0095439A" w:rsidRPr="00F07779">
              <w:rPr>
                <w:sz w:val="20"/>
                <w:szCs w:val="20"/>
              </w:rPr>
              <w:t xml:space="preserve"> EUR</w:t>
            </w:r>
            <w:r w:rsidRPr="00FA3F57">
              <w:rPr>
                <w:sz w:val="20"/>
                <w:szCs w:val="20"/>
              </w:rPr>
              <w:t>)</w:t>
            </w:r>
          </w:p>
        </w:tc>
      </w:tr>
      <w:tr w:rsidR="002B1C18" w:rsidRPr="00F07779" w14:paraId="286A032C" w14:textId="77777777" w:rsidTr="00615D2C">
        <w:tc>
          <w:tcPr>
            <w:tcW w:w="3114" w:type="dxa"/>
          </w:tcPr>
          <w:p w14:paraId="3C5DA5E7" w14:textId="77777777" w:rsidR="00EB1DF4" w:rsidRPr="00FA3F57" w:rsidRDefault="00EB1DF4" w:rsidP="00615D2C">
            <w:pPr>
              <w:rPr>
                <w:sz w:val="20"/>
                <w:szCs w:val="20"/>
              </w:rPr>
            </w:pPr>
            <w:r w:rsidRPr="00FA3F57">
              <w:rPr>
                <w:sz w:val="20"/>
                <w:szCs w:val="20"/>
              </w:rPr>
              <w:lastRenderedPageBreak/>
              <w:t>2027</w:t>
            </w:r>
          </w:p>
        </w:tc>
        <w:tc>
          <w:tcPr>
            <w:tcW w:w="5601" w:type="dxa"/>
          </w:tcPr>
          <w:p w14:paraId="6FB25B6B" w14:textId="0E3594CA" w:rsidR="00EB1DF4" w:rsidRPr="00FA3F57" w:rsidRDefault="00EB1DF4" w:rsidP="00615D2C">
            <w:pPr>
              <w:rPr>
                <w:sz w:val="20"/>
                <w:szCs w:val="20"/>
              </w:rPr>
            </w:pPr>
            <w:r w:rsidRPr="00FA3F57">
              <w:rPr>
                <w:sz w:val="20"/>
                <w:szCs w:val="20"/>
              </w:rPr>
              <w:t>1,164,000,000 RSD (9.927 million</w:t>
            </w:r>
            <w:r w:rsidR="0095439A" w:rsidRPr="00F07779">
              <w:rPr>
                <w:sz w:val="20"/>
                <w:szCs w:val="20"/>
              </w:rPr>
              <w:t xml:space="preserve"> EUR</w:t>
            </w:r>
            <w:r w:rsidRPr="00FA3F57">
              <w:rPr>
                <w:sz w:val="20"/>
                <w:szCs w:val="20"/>
              </w:rPr>
              <w:t>)</w:t>
            </w:r>
          </w:p>
        </w:tc>
      </w:tr>
      <w:tr w:rsidR="002B1C18" w:rsidRPr="00F07779" w14:paraId="268C2367" w14:textId="77777777" w:rsidTr="00615D2C">
        <w:tc>
          <w:tcPr>
            <w:tcW w:w="3114" w:type="dxa"/>
          </w:tcPr>
          <w:p w14:paraId="060866A9" w14:textId="77777777" w:rsidR="00EB1DF4" w:rsidRPr="00FA3F57" w:rsidRDefault="00EB1DF4" w:rsidP="00615D2C">
            <w:pPr>
              <w:rPr>
                <w:sz w:val="20"/>
                <w:szCs w:val="20"/>
              </w:rPr>
            </w:pPr>
            <w:r w:rsidRPr="00FA3F57">
              <w:rPr>
                <w:sz w:val="20"/>
                <w:szCs w:val="20"/>
              </w:rPr>
              <w:t>2028</w:t>
            </w:r>
          </w:p>
        </w:tc>
        <w:tc>
          <w:tcPr>
            <w:tcW w:w="5601" w:type="dxa"/>
          </w:tcPr>
          <w:p w14:paraId="0B57134D" w14:textId="77777777" w:rsidR="00EB1DF4" w:rsidRPr="00FA3F57" w:rsidRDefault="00EB1DF4" w:rsidP="00615D2C">
            <w:pPr>
              <w:rPr>
                <w:strike/>
                <w:sz w:val="20"/>
                <w:szCs w:val="20"/>
              </w:rPr>
            </w:pPr>
          </w:p>
        </w:tc>
      </w:tr>
      <w:tr w:rsidR="002B1C18" w:rsidRPr="00F07779" w14:paraId="54006702" w14:textId="77777777" w:rsidTr="00615D2C">
        <w:tc>
          <w:tcPr>
            <w:tcW w:w="3114" w:type="dxa"/>
          </w:tcPr>
          <w:p w14:paraId="6936E342" w14:textId="77777777" w:rsidR="00EB1DF4" w:rsidRPr="00FA3F57" w:rsidRDefault="00EB1DF4" w:rsidP="00615D2C">
            <w:pPr>
              <w:rPr>
                <w:sz w:val="20"/>
                <w:szCs w:val="20"/>
              </w:rPr>
            </w:pPr>
            <w:r w:rsidRPr="00FA3F57">
              <w:rPr>
                <w:sz w:val="20"/>
                <w:szCs w:val="20"/>
              </w:rPr>
              <w:t>Implementation indicator</w:t>
            </w:r>
          </w:p>
        </w:tc>
        <w:tc>
          <w:tcPr>
            <w:tcW w:w="5601" w:type="dxa"/>
          </w:tcPr>
          <w:p w14:paraId="79B947B2" w14:textId="77777777" w:rsidR="00EB1DF4" w:rsidRPr="00FA3F57" w:rsidRDefault="00EB1DF4" w:rsidP="00615D2C">
            <w:pPr>
              <w:rPr>
                <w:sz w:val="20"/>
                <w:szCs w:val="20"/>
              </w:rPr>
            </w:pPr>
            <w:r w:rsidRPr="00FA3F57">
              <w:rPr>
                <w:sz w:val="20"/>
                <w:szCs w:val="20"/>
              </w:rPr>
              <w:t>Increase of overburden production by 500,000 m³ in 2026 and 8,000,000 m³ in 2027, which will enable an increase in excavated coal quantities by 1,000,000 tons in 2026 and 1,050,000 tons in 2027 (including the effects of the second ECS system on coal excavation).</w:t>
            </w:r>
          </w:p>
        </w:tc>
      </w:tr>
      <w:tr w:rsidR="002B1C18" w:rsidRPr="00F07779" w14:paraId="4C5332FE" w14:textId="77777777" w:rsidTr="00615D2C">
        <w:tc>
          <w:tcPr>
            <w:tcW w:w="3114" w:type="dxa"/>
          </w:tcPr>
          <w:p w14:paraId="2E7C8E6C" w14:textId="77777777" w:rsidR="00EB1DF4" w:rsidRPr="00FA3F57" w:rsidRDefault="00EB1DF4" w:rsidP="00615D2C">
            <w:pPr>
              <w:rPr>
                <w:sz w:val="20"/>
                <w:szCs w:val="20"/>
              </w:rPr>
            </w:pPr>
            <w:r w:rsidRPr="00FA3F57">
              <w:rPr>
                <w:sz w:val="20"/>
                <w:szCs w:val="20"/>
              </w:rPr>
              <w:t>Impact of the activity on the achievement of the objective</w:t>
            </w:r>
          </w:p>
        </w:tc>
        <w:tc>
          <w:tcPr>
            <w:tcW w:w="5601" w:type="dxa"/>
          </w:tcPr>
          <w:p w14:paraId="7B707EC7" w14:textId="77777777" w:rsidR="00EB1DF4" w:rsidRPr="00FA3F57" w:rsidRDefault="00EB1DF4" w:rsidP="00615D2C">
            <w:pPr>
              <w:rPr>
                <w:sz w:val="20"/>
                <w:szCs w:val="20"/>
              </w:rPr>
            </w:pPr>
            <w:r w:rsidRPr="00FA3F57">
              <w:rPr>
                <w:sz w:val="20"/>
                <w:szCs w:val="20"/>
              </w:rPr>
              <w:t>Ensuring the required coal quantities for thermal power plants</w:t>
            </w:r>
          </w:p>
          <w:p w14:paraId="25BC8551" w14:textId="77777777" w:rsidR="00EB1DF4" w:rsidRPr="00FA3F57" w:rsidRDefault="00EB1DF4" w:rsidP="00615D2C">
            <w:pPr>
              <w:rPr>
                <w:sz w:val="20"/>
                <w:szCs w:val="20"/>
              </w:rPr>
            </w:pPr>
            <w:r w:rsidRPr="00FA3F57">
              <w:rPr>
                <w:sz w:val="20"/>
                <w:szCs w:val="20"/>
              </w:rPr>
              <w:t>Excavation of the required quantities of overburden</w:t>
            </w:r>
          </w:p>
        </w:tc>
      </w:tr>
      <w:tr w:rsidR="002B1C18" w:rsidRPr="00F07779" w14:paraId="6A7CD91E" w14:textId="77777777" w:rsidTr="00615D2C">
        <w:tc>
          <w:tcPr>
            <w:tcW w:w="3114" w:type="dxa"/>
          </w:tcPr>
          <w:p w14:paraId="2ED80773" w14:textId="77777777" w:rsidR="00EB1DF4" w:rsidRPr="00FA3F57" w:rsidRDefault="00EB1DF4" w:rsidP="00615D2C">
            <w:pPr>
              <w:rPr>
                <w:sz w:val="20"/>
                <w:szCs w:val="20"/>
              </w:rPr>
            </w:pPr>
            <w:r w:rsidRPr="00FA3F57">
              <w:rPr>
                <w:sz w:val="20"/>
                <w:szCs w:val="20"/>
              </w:rPr>
              <w:t>Impact on EE, climate, and environmental protection</w:t>
            </w:r>
          </w:p>
        </w:tc>
        <w:tc>
          <w:tcPr>
            <w:tcW w:w="5601" w:type="dxa"/>
          </w:tcPr>
          <w:p w14:paraId="30A2A410" w14:textId="77777777" w:rsidR="00EB1DF4" w:rsidRPr="00FA3F57" w:rsidRDefault="00EB1DF4" w:rsidP="00615D2C">
            <w:pPr>
              <w:rPr>
                <w:sz w:val="20"/>
                <w:szCs w:val="20"/>
              </w:rPr>
            </w:pPr>
            <w:r w:rsidRPr="00FA3F57">
              <w:rPr>
                <w:sz w:val="20"/>
                <w:szCs w:val="20"/>
              </w:rPr>
              <w:t>No direct impact</w:t>
            </w:r>
          </w:p>
        </w:tc>
      </w:tr>
    </w:tbl>
    <w:p w14:paraId="52A255E6" w14:textId="77777777" w:rsidR="00EB1DF4" w:rsidRPr="00F07779" w:rsidRDefault="00EB1DF4" w:rsidP="00EB1DF4"/>
    <w:p w14:paraId="38C63804" w14:textId="77777777" w:rsidR="00EB1DF4" w:rsidRPr="00FA3F57" w:rsidRDefault="00EB1DF4" w:rsidP="00EB1DF4">
      <w:r w:rsidRPr="00FA3F57">
        <w:t>Table 5.7.3-6: Activities for the implementation of measure U1 – U1.6</w:t>
      </w:r>
    </w:p>
    <w:tbl>
      <w:tblPr>
        <w:tblStyle w:val="TableGrid"/>
        <w:tblW w:w="0" w:type="auto"/>
        <w:tblLook w:val="04A0" w:firstRow="1" w:lastRow="0" w:firstColumn="1" w:lastColumn="0" w:noHBand="0" w:noVBand="1"/>
      </w:tblPr>
      <w:tblGrid>
        <w:gridCol w:w="3114"/>
        <w:gridCol w:w="5601"/>
      </w:tblGrid>
      <w:tr w:rsidR="002B1C18" w:rsidRPr="00F07779" w14:paraId="6DF895F0" w14:textId="77777777" w:rsidTr="00615D2C">
        <w:tc>
          <w:tcPr>
            <w:tcW w:w="3114" w:type="dxa"/>
            <w:shd w:val="clear" w:color="auto" w:fill="BFBFBF" w:themeFill="background1" w:themeFillShade="BF"/>
          </w:tcPr>
          <w:p w14:paraId="76BAF5F6" w14:textId="6A7A8315" w:rsidR="00EB1DF4" w:rsidRPr="00FA3F57" w:rsidRDefault="00EB1DF4" w:rsidP="00615D2C">
            <w:pPr>
              <w:rPr>
                <w:sz w:val="20"/>
                <w:szCs w:val="20"/>
              </w:rPr>
            </w:pPr>
            <w:r w:rsidRPr="00FA3F57">
              <w:rPr>
                <w:sz w:val="20"/>
                <w:szCs w:val="20"/>
              </w:rPr>
              <w:t>Activity U1.6</w:t>
            </w:r>
          </w:p>
        </w:tc>
        <w:tc>
          <w:tcPr>
            <w:tcW w:w="5601" w:type="dxa"/>
            <w:shd w:val="clear" w:color="auto" w:fill="BFBFBF" w:themeFill="background1" w:themeFillShade="BF"/>
          </w:tcPr>
          <w:p w14:paraId="7D7AE037" w14:textId="77777777" w:rsidR="00EB1DF4" w:rsidRPr="00FA3F57" w:rsidRDefault="00EB1DF4" w:rsidP="00615D2C">
            <w:pPr>
              <w:rPr>
                <w:sz w:val="20"/>
                <w:szCs w:val="20"/>
              </w:rPr>
            </w:pPr>
            <w:r w:rsidRPr="00FA3F57">
              <w:rPr>
                <w:sz w:val="20"/>
                <w:szCs w:val="20"/>
              </w:rPr>
              <w:t xml:space="preserve">Opening of the </w:t>
            </w:r>
            <w:proofErr w:type="spellStart"/>
            <w:r w:rsidRPr="00FA3F57">
              <w:rPr>
                <w:sz w:val="20"/>
                <w:szCs w:val="20"/>
              </w:rPr>
              <w:t>Radljevo</w:t>
            </w:r>
            <w:proofErr w:type="spellEnd"/>
            <w:r w:rsidRPr="00FA3F57">
              <w:rPr>
                <w:sz w:val="20"/>
                <w:szCs w:val="20"/>
              </w:rPr>
              <w:t xml:space="preserve"> surface mine – Construction of infrastructure facilities and drainage</w:t>
            </w:r>
          </w:p>
        </w:tc>
      </w:tr>
      <w:tr w:rsidR="002B1C18" w:rsidRPr="00F07779" w14:paraId="4FD8DE0D" w14:textId="77777777" w:rsidTr="00615D2C">
        <w:tc>
          <w:tcPr>
            <w:tcW w:w="3114" w:type="dxa"/>
          </w:tcPr>
          <w:p w14:paraId="749D110B" w14:textId="77777777" w:rsidR="00EB1DF4" w:rsidRPr="00FA3F57" w:rsidRDefault="00EB1DF4" w:rsidP="00615D2C">
            <w:pPr>
              <w:rPr>
                <w:sz w:val="20"/>
                <w:szCs w:val="20"/>
              </w:rPr>
            </w:pPr>
            <w:r w:rsidRPr="00FA3F57">
              <w:rPr>
                <w:sz w:val="20"/>
                <w:szCs w:val="20"/>
              </w:rPr>
              <w:t>Description</w:t>
            </w:r>
          </w:p>
        </w:tc>
        <w:tc>
          <w:tcPr>
            <w:tcW w:w="5601" w:type="dxa"/>
          </w:tcPr>
          <w:p w14:paraId="48A3D2C0" w14:textId="77777777" w:rsidR="00EB1DF4" w:rsidRPr="00FA3F57" w:rsidRDefault="00EB1DF4" w:rsidP="00615D2C">
            <w:pPr>
              <w:rPr>
                <w:sz w:val="20"/>
                <w:szCs w:val="20"/>
              </w:rPr>
            </w:pPr>
            <w:r w:rsidRPr="00FA3F57">
              <w:rPr>
                <w:sz w:val="20"/>
                <w:szCs w:val="20"/>
              </w:rPr>
              <w:t>Construction and reconstruction of infrastructure facilities, expropriation, preparation of technical documentation, drainage facilities, relocation of watercourses, and other related works</w:t>
            </w:r>
          </w:p>
        </w:tc>
      </w:tr>
      <w:tr w:rsidR="002B1C18" w:rsidRPr="00F07779" w14:paraId="7B748452" w14:textId="77777777" w:rsidTr="00615D2C">
        <w:tc>
          <w:tcPr>
            <w:tcW w:w="3114" w:type="dxa"/>
          </w:tcPr>
          <w:p w14:paraId="4DCB6B71" w14:textId="77777777" w:rsidR="00EB1DF4" w:rsidRPr="00FA3F57" w:rsidRDefault="00EB1DF4" w:rsidP="00615D2C">
            <w:pPr>
              <w:rPr>
                <w:sz w:val="20"/>
                <w:szCs w:val="20"/>
              </w:rPr>
            </w:pPr>
            <w:r w:rsidRPr="00FA3F57">
              <w:rPr>
                <w:sz w:val="20"/>
                <w:szCs w:val="20"/>
              </w:rPr>
              <w:t>Institutions responsible for the implementation of measures and activities</w:t>
            </w:r>
          </w:p>
        </w:tc>
        <w:tc>
          <w:tcPr>
            <w:tcW w:w="5601" w:type="dxa"/>
          </w:tcPr>
          <w:p w14:paraId="0FE5BC46" w14:textId="77777777" w:rsidR="00EB1DF4" w:rsidRPr="00FA3F57" w:rsidRDefault="00EB1DF4" w:rsidP="00615D2C">
            <w:pPr>
              <w:rPr>
                <w:sz w:val="20"/>
                <w:szCs w:val="20"/>
              </w:rPr>
            </w:pPr>
            <w:r w:rsidRPr="00FA3F57">
              <w:rPr>
                <w:rFonts w:eastAsia="Calibri"/>
                <w:sz w:val="20"/>
                <w:szCs w:val="20"/>
              </w:rPr>
              <w:t>Joint Stock Company “Electric Power Industry of Serbia”</w:t>
            </w:r>
          </w:p>
        </w:tc>
      </w:tr>
      <w:tr w:rsidR="002B1C18" w:rsidRPr="00F07779" w14:paraId="5AC6D013" w14:textId="77777777" w:rsidTr="00615D2C">
        <w:tc>
          <w:tcPr>
            <w:tcW w:w="3114" w:type="dxa"/>
          </w:tcPr>
          <w:p w14:paraId="40053526" w14:textId="77777777" w:rsidR="00EB1DF4" w:rsidRPr="00FA3F57" w:rsidRDefault="00EB1DF4" w:rsidP="00615D2C">
            <w:pPr>
              <w:rPr>
                <w:sz w:val="20"/>
                <w:szCs w:val="20"/>
              </w:rPr>
            </w:pPr>
            <w:r w:rsidRPr="00FA3F57">
              <w:rPr>
                <w:sz w:val="20"/>
                <w:szCs w:val="20"/>
              </w:rPr>
              <w:t>Institutions responsible for monitoring implementation and reporting on realization</w:t>
            </w:r>
          </w:p>
        </w:tc>
        <w:tc>
          <w:tcPr>
            <w:tcW w:w="5601" w:type="dxa"/>
          </w:tcPr>
          <w:p w14:paraId="22D4DA48" w14:textId="77777777" w:rsidR="00EB1DF4" w:rsidRPr="00FA3F57" w:rsidRDefault="00EB1DF4" w:rsidP="00615D2C">
            <w:pPr>
              <w:rPr>
                <w:sz w:val="20"/>
                <w:szCs w:val="20"/>
              </w:rPr>
            </w:pPr>
            <w:r w:rsidRPr="00FA3F57">
              <w:rPr>
                <w:sz w:val="20"/>
                <w:szCs w:val="20"/>
              </w:rPr>
              <w:t>Ministry of Mining and Energy</w:t>
            </w:r>
          </w:p>
        </w:tc>
      </w:tr>
      <w:tr w:rsidR="002B1C18" w:rsidRPr="00F07779" w14:paraId="43DEE190" w14:textId="77777777" w:rsidTr="00615D2C">
        <w:tc>
          <w:tcPr>
            <w:tcW w:w="3114" w:type="dxa"/>
          </w:tcPr>
          <w:p w14:paraId="18295387" w14:textId="77777777" w:rsidR="00EB1DF4" w:rsidRPr="00FA3F57" w:rsidRDefault="00EB1DF4" w:rsidP="00615D2C">
            <w:pPr>
              <w:rPr>
                <w:sz w:val="20"/>
                <w:szCs w:val="20"/>
              </w:rPr>
            </w:pPr>
            <w:r w:rsidRPr="00FA3F57">
              <w:rPr>
                <w:sz w:val="20"/>
                <w:szCs w:val="20"/>
              </w:rPr>
              <w:t>Deadline for implementation</w:t>
            </w:r>
          </w:p>
        </w:tc>
        <w:tc>
          <w:tcPr>
            <w:tcW w:w="5601" w:type="dxa"/>
          </w:tcPr>
          <w:p w14:paraId="047627BB" w14:textId="3899AF86" w:rsidR="00EB1DF4" w:rsidRPr="00FA3F57" w:rsidRDefault="00EB1DF4" w:rsidP="00615D2C">
            <w:pPr>
              <w:rPr>
                <w:sz w:val="20"/>
                <w:szCs w:val="20"/>
              </w:rPr>
            </w:pPr>
            <w:r w:rsidRPr="00FA3F57">
              <w:rPr>
                <w:sz w:val="20"/>
                <w:szCs w:val="20"/>
              </w:rPr>
              <w:t>2028</w:t>
            </w:r>
            <w:r w:rsidR="008B2A7B" w:rsidRPr="00F07779">
              <w:rPr>
                <w:sz w:val="20"/>
                <w:szCs w:val="20"/>
              </w:rPr>
              <w:t>.</w:t>
            </w:r>
          </w:p>
        </w:tc>
      </w:tr>
      <w:tr w:rsidR="002B1C18" w:rsidRPr="00F07779" w14:paraId="54F30F66" w14:textId="77777777" w:rsidTr="00615D2C">
        <w:tc>
          <w:tcPr>
            <w:tcW w:w="3114" w:type="dxa"/>
          </w:tcPr>
          <w:p w14:paraId="588026BB" w14:textId="77777777" w:rsidR="00EB1DF4" w:rsidRPr="00FA3F57" w:rsidRDefault="00EB1DF4" w:rsidP="00615D2C">
            <w:pPr>
              <w:rPr>
                <w:sz w:val="20"/>
                <w:szCs w:val="20"/>
              </w:rPr>
            </w:pPr>
            <w:r w:rsidRPr="00FA3F57">
              <w:rPr>
                <w:sz w:val="20"/>
                <w:szCs w:val="20"/>
              </w:rPr>
              <w:t>Required funds and source of financing</w:t>
            </w:r>
          </w:p>
        </w:tc>
        <w:tc>
          <w:tcPr>
            <w:tcW w:w="5601" w:type="dxa"/>
          </w:tcPr>
          <w:p w14:paraId="475AB078" w14:textId="7AEF6C9C" w:rsidR="00EB1DF4" w:rsidRPr="00FA3F57" w:rsidRDefault="00EB1DF4" w:rsidP="00615D2C">
            <w:pPr>
              <w:rPr>
                <w:sz w:val="20"/>
                <w:szCs w:val="20"/>
              </w:rPr>
            </w:pPr>
            <w:r w:rsidRPr="00FA3F57">
              <w:rPr>
                <w:sz w:val="20"/>
                <w:szCs w:val="20"/>
              </w:rPr>
              <w:t>3,056,000,000 RSD (26.064 million</w:t>
            </w:r>
            <w:r w:rsidR="0095439A" w:rsidRPr="00F07779">
              <w:rPr>
                <w:sz w:val="20"/>
                <w:szCs w:val="20"/>
              </w:rPr>
              <w:t xml:space="preserve"> EUR</w:t>
            </w:r>
            <w:r w:rsidRPr="00FA3F57">
              <w:rPr>
                <w:sz w:val="20"/>
                <w:szCs w:val="20"/>
              </w:rPr>
              <w:t>)</w:t>
            </w:r>
          </w:p>
          <w:p w14:paraId="7D30D1F1" w14:textId="77777777" w:rsidR="00EB1DF4" w:rsidRPr="00FA3F57" w:rsidRDefault="00EB1DF4" w:rsidP="00615D2C">
            <w:pPr>
              <w:rPr>
                <w:sz w:val="20"/>
                <w:szCs w:val="20"/>
              </w:rPr>
            </w:pPr>
            <w:r w:rsidRPr="00FA3F57">
              <w:rPr>
                <w:sz w:val="20"/>
                <w:szCs w:val="20"/>
              </w:rPr>
              <w:t>Funded from EPS equity</w:t>
            </w:r>
          </w:p>
        </w:tc>
      </w:tr>
      <w:tr w:rsidR="002B1C18" w:rsidRPr="00F07779" w14:paraId="58443278" w14:textId="77777777" w:rsidTr="00615D2C">
        <w:tc>
          <w:tcPr>
            <w:tcW w:w="3114" w:type="dxa"/>
          </w:tcPr>
          <w:p w14:paraId="32F4366C" w14:textId="77777777" w:rsidR="00EB1DF4" w:rsidRPr="00FA3F57" w:rsidRDefault="00EB1DF4" w:rsidP="00615D2C">
            <w:pPr>
              <w:rPr>
                <w:sz w:val="20"/>
                <w:szCs w:val="20"/>
              </w:rPr>
            </w:pPr>
            <w:r w:rsidRPr="00FA3F57">
              <w:rPr>
                <w:sz w:val="20"/>
                <w:szCs w:val="20"/>
              </w:rPr>
              <w:t>2026</w:t>
            </w:r>
          </w:p>
        </w:tc>
        <w:tc>
          <w:tcPr>
            <w:tcW w:w="5601" w:type="dxa"/>
          </w:tcPr>
          <w:p w14:paraId="5DD8911F" w14:textId="4E26A112" w:rsidR="00EB1DF4" w:rsidRPr="00FA3F57" w:rsidRDefault="00EB1DF4" w:rsidP="00615D2C">
            <w:pPr>
              <w:rPr>
                <w:sz w:val="20"/>
                <w:szCs w:val="20"/>
              </w:rPr>
            </w:pPr>
            <w:r w:rsidRPr="00FA3F57">
              <w:rPr>
                <w:sz w:val="20"/>
                <w:szCs w:val="20"/>
              </w:rPr>
              <w:t>742,000,000 RSD (6.328 million</w:t>
            </w:r>
            <w:r w:rsidR="0095439A" w:rsidRPr="00F07779">
              <w:rPr>
                <w:sz w:val="20"/>
                <w:szCs w:val="20"/>
              </w:rPr>
              <w:t xml:space="preserve"> EUR</w:t>
            </w:r>
            <w:r w:rsidRPr="00FA3F57">
              <w:rPr>
                <w:sz w:val="20"/>
                <w:szCs w:val="20"/>
              </w:rPr>
              <w:t>)</w:t>
            </w:r>
          </w:p>
        </w:tc>
      </w:tr>
      <w:tr w:rsidR="002B1C18" w:rsidRPr="00F07779" w14:paraId="7BBB0957" w14:textId="77777777" w:rsidTr="00615D2C">
        <w:tc>
          <w:tcPr>
            <w:tcW w:w="3114" w:type="dxa"/>
          </w:tcPr>
          <w:p w14:paraId="4B510820" w14:textId="77777777" w:rsidR="00EB1DF4" w:rsidRPr="00FA3F57" w:rsidRDefault="00EB1DF4" w:rsidP="00615D2C">
            <w:pPr>
              <w:rPr>
                <w:sz w:val="20"/>
                <w:szCs w:val="20"/>
              </w:rPr>
            </w:pPr>
            <w:r w:rsidRPr="00FA3F57">
              <w:rPr>
                <w:sz w:val="20"/>
                <w:szCs w:val="20"/>
              </w:rPr>
              <w:t>2027</w:t>
            </w:r>
          </w:p>
        </w:tc>
        <w:tc>
          <w:tcPr>
            <w:tcW w:w="5601" w:type="dxa"/>
          </w:tcPr>
          <w:p w14:paraId="7EB187FE" w14:textId="3AFE07E1" w:rsidR="00EB1DF4" w:rsidRPr="00FA3F57" w:rsidRDefault="00EB1DF4" w:rsidP="00615D2C">
            <w:pPr>
              <w:rPr>
                <w:sz w:val="20"/>
                <w:szCs w:val="20"/>
              </w:rPr>
            </w:pPr>
            <w:r w:rsidRPr="00FA3F57">
              <w:rPr>
                <w:sz w:val="20"/>
                <w:szCs w:val="20"/>
              </w:rPr>
              <w:t>737,000,000 RSD (6.286 million</w:t>
            </w:r>
            <w:r w:rsidR="0095439A" w:rsidRPr="00F07779">
              <w:rPr>
                <w:sz w:val="20"/>
                <w:szCs w:val="20"/>
              </w:rPr>
              <w:t xml:space="preserve"> EUR</w:t>
            </w:r>
            <w:r w:rsidRPr="00FA3F57">
              <w:rPr>
                <w:sz w:val="20"/>
                <w:szCs w:val="20"/>
              </w:rPr>
              <w:t>)</w:t>
            </w:r>
          </w:p>
        </w:tc>
      </w:tr>
      <w:tr w:rsidR="002B1C18" w:rsidRPr="00F07779" w14:paraId="1BFF8DAD" w14:textId="77777777" w:rsidTr="00615D2C">
        <w:tc>
          <w:tcPr>
            <w:tcW w:w="3114" w:type="dxa"/>
          </w:tcPr>
          <w:p w14:paraId="5162485D" w14:textId="77777777" w:rsidR="00EB1DF4" w:rsidRPr="00FA3F57" w:rsidRDefault="00EB1DF4" w:rsidP="00615D2C">
            <w:pPr>
              <w:rPr>
                <w:sz w:val="20"/>
                <w:szCs w:val="20"/>
              </w:rPr>
            </w:pPr>
            <w:r w:rsidRPr="00FA3F57">
              <w:rPr>
                <w:sz w:val="20"/>
                <w:szCs w:val="20"/>
              </w:rPr>
              <w:t>2028</w:t>
            </w:r>
          </w:p>
        </w:tc>
        <w:tc>
          <w:tcPr>
            <w:tcW w:w="5601" w:type="dxa"/>
          </w:tcPr>
          <w:p w14:paraId="427EF811" w14:textId="3E81227F" w:rsidR="00EB1DF4" w:rsidRPr="00FA3F57" w:rsidRDefault="00EB1DF4" w:rsidP="00615D2C">
            <w:pPr>
              <w:rPr>
                <w:sz w:val="20"/>
                <w:szCs w:val="20"/>
                <w:lang w:eastAsia="en-US"/>
              </w:rPr>
            </w:pPr>
            <w:r w:rsidRPr="00FA3F57">
              <w:rPr>
                <w:sz w:val="20"/>
                <w:szCs w:val="20"/>
              </w:rPr>
              <w:t>1,577,000,000 RSD (13.450 million</w:t>
            </w:r>
            <w:r w:rsidR="0095439A" w:rsidRPr="00F07779">
              <w:rPr>
                <w:sz w:val="20"/>
                <w:szCs w:val="20"/>
              </w:rPr>
              <w:t xml:space="preserve"> EUR</w:t>
            </w:r>
            <w:r w:rsidRPr="00FA3F57">
              <w:rPr>
                <w:sz w:val="20"/>
                <w:szCs w:val="20"/>
              </w:rPr>
              <w:t>)</w:t>
            </w:r>
          </w:p>
        </w:tc>
      </w:tr>
      <w:tr w:rsidR="002B1C18" w:rsidRPr="00F07779" w14:paraId="3B374C0F" w14:textId="77777777" w:rsidTr="00615D2C">
        <w:tc>
          <w:tcPr>
            <w:tcW w:w="3114" w:type="dxa"/>
          </w:tcPr>
          <w:p w14:paraId="35EAF619" w14:textId="77777777" w:rsidR="00EB1DF4" w:rsidRPr="00FA3F57" w:rsidRDefault="00EB1DF4" w:rsidP="00615D2C">
            <w:pPr>
              <w:rPr>
                <w:sz w:val="20"/>
                <w:szCs w:val="20"/>
              </w:rPr>
            </w:pPr>
            <w:r w:rsidRPr="00FA3F57">
              <w:rPr>
                <w:sz w:val="20"/>
                <w:szCs w:val="20"/>
              </w:rPr>
              <w:t>Implementation indicator</w:t>
            </w:r>
          </w:p>
        </w:tc>
        <w:tc>
          <w:tcPr>
            <w:tcW w:w="5601" w:type="dxa"/>
          </w:tcPr>
          <w:p w14:paraId="11EFE52B" w14:textId="77777777" w:rsidR="00EB1DF4" w:rsidRPr="00FA3F57" w:rsidRDefault="00EB1DF4" w:rsidP="00615D2C">
            <w:pPr>
              <w:rPr>
                <w:sz w:val="20"/>
                <w:szCs w:val="20"/>
              </w:rPr>
            </w:pPr>
            <w:r w:rsidRPr="00FA3F57">
              <w:rPr>
                <w:sz w:val="20"/>
                <w:szCs w:val="20"/>
              </w:rPr>
              <w:t xml:space="preserve">Investments in infrastructure facilities, drainage systems, and other related works create </w:t>
            </w:r>
            <w:proofErr w:type="gramStart"/>
            <w:r w:rsidRPr="00FA3F57">
              <w:rPr>
                <w:sz w:val="20"/>
                <w:szCs w:val="20"/>
              </w:rPr>
              <w:t>the prerequisites</w:t>
            </w:r>
            <w:proofErr w:type="gramEnd"/>
            <w:r w:rsidRPr="00FA3F57">
              <w:rPr>
                <w:sz w:val="20"/>
                <w:szCs w:val="20"/>
              </w:rPr>
              <w:t xml:space="preserve"> for mine opening and continued exploitation.</w:t>
            </w:r>
          </w:p>
        </w:tc>
      </w:tr>
      <w:tr w:rsidR="002B1C18" w:rsidRPr="00F07779" w14:paraId="6B94ECA9" w14:textId="77777777" w:rsidTr="00615D2C">
        <w:tc>
          <w:tcPr>
            <w:tcW w:w="3114" w:type="dxa"/>
          </w:tcPr>
          <w:p w14:paraId="536DA015" w14:textId="77777777" w:rsidR="00EB1DF4" w:rsidRPr="00FA3F57" w:rsidRDefault="00EB1DF4" w:rsidP="00615D2C">
            <w:pPr>
              <w:rPr>
                <w:sz w:val="20"/>
                <w:szCs w:val="20"/>
              </w:rPr>
            </w:pPr>
            <w:r w:rsidRPr="00FA3F57">
              <w:rPr>
                <w:sz w:val="20"/>
                <w:szCs w:val="20"/>
              </w:rPr>
              <w:t>Impact of the activity on the achievement of the objective</w:t>
            </w:r>
          </w:p>
        </w:tc>
        <w:tc>
          <w:tcPr>
            <w:tcW w:w="5601" w:type="dxa"/>
          </w:tcPr>
          <w:p w14:paraId="2FA32E28" w14:textId="77777777" w:rsidR="00EB1DF4" w:rsidRPr="00FA3F57" w:rsidRDefault="00EB1DF4" w:rsidP="00615D2C">
            <w:pPr>
              <w:rPr>
                <w:sz w:val="20"/>
                <w:szCs w:val="20"/>
              </w:rPr>
            </w:pPr>
            <w:r w:rsidRPr="00FA3F57">
              <w:rPr>
                <w:sz w:val="20"/>
                <w:szCs w:val="20"/>
              </w:rPr>
              <w:t>Ensuring the required coal quantities for thermal power plants</w:t>
            </w:r>
          </w:p>
          <w:p w14:paraId="222E76EB" w14:textId="77777777" w:rsidR="00EB1DF4" w:rsidRPr="00FA3F57" w:rsidRDefault="00EB1DF4" w:rsidP="00615D2C">
            <w:pPr>
              <w:rPr>
                <w:sz w:val="20"/>
                <w:szCs w:val="20"/>
              </w:rPr>
            </w:pPr>
            <w:r w:rsidRPr="00FA3F57">
              <w:rPr>
                <w:sz w:val="20"/>
                <w:szCs w:val="20"/>
              </w:rPr>
              <w:t>Ensuring the required coal quality</w:t>
            </w:r>
          </w:p>
        </w:tc>
      </w:tr>
      <w:tr w:rsidR="002B1C18" w:rsidRPr="00F07779" w14:paraId="0C5770C4" w14:textId="77777777" w:rsidTr="00615D2C">
        <w:tc>
          <w:tcPr>
            <w:tcW w:w="3114" w:type="dxa"/>
          </w:tcPr>
          <w:p w14:paraId="4B4800B0" w14:textId="77777777" w:rsidR="00EB1DF4" w:rsidRPr="00FA3F57" w:rsidRDefault="00EB1DF4" w:rsidP="00615D2C">
            <w:pPr>
              <w:rPr>
                <w:sz w:val="20"/>
                <w:szCs w:val="20"/>
              </w:rPr>
            </w:pPr>
            <w:r w:rsidRPr="00FA3F57">
              <w:rPr>
                <w:sz w:val="20"/>
                <w:szCs w:val="20"/>
              </w:rPr>
              <w:t>Impact on EE, climate, and environmental protection</w:t>
            </w:r>
          </w:p>
        </w:tc>
        <w:tc>
          <w:tcPr>
            <w:tcW w:w="5601" w:type="dxa"/>
          </w:tcPr>
          <w:p w14:paraId="244F2BFE" w14:textId="77777777" w:rsidR="00EB1DF4" w:rsidRPr="00FA3F57" w:rsidRDefault="00EB1DF4" w:rsidP="00615D2C">
            <w:pPr>
              <w:rPr>
                <w:sz w:val="20"/>
                <w:szCs w:val="20"/>
              </w:rPr>
            </w:pPr>
            <w:r w:rsidRPr="00FA3F57">
              <w:rPr>
                <w:sz w:val="20"/>
                <w:szCs w:val="20"/>
              </w:rPr>
              <w:t>No direct impact</w:t>
            </w:r>
          </w:p>
        </w:tc>
      </w:tr>
    </w:tbl>
    <w:p w14:paraId="118DB93E" w14:textId="77777777" w:rsidR="00EB1DF4" w:rsidRPr="00F07779" w:rsidRDefault="00EB1DF4" w:rsidP="00EB1DF4"/>
    <w:p w14:paraId="05082F2F" w14:textId="77777777" w:rsidR="00EB1DF4" w:rsidRPr="00FA3F57" w:rsidRDefault="00EB1DF4" w:rsidP="00EB1DF4">
      <w:r w:rsidRPr="00FA3F57">
        <w:t>Table 5.7.3-7: Activities for the implementation of measure U1 – U1.7</w:t>
      </w:r>
    </w:p>
    <w:tbl>
      <w:tblPr>
        <w:tblStyle w:val="TableGrid"/>
        <w:tblW w:w="0" w:type="auto"/>
        <w:tblLook w:val="04A0" w:firstRow="1" w:lastRow="0" w:firstColumn="1" w:lastColumn="0" w:noHBand="0" w:noVBand="1"/>
      </w:tblPr>
      <w:tblGrid>
        <w:gridCol w:w="3114"/>
        <w:gridCol w:w="5601"/>
      </w:tblGrid>
      <w:tr w:rsidR="002B1C18" w:rsidRPr="00F07779" w14:paraId="2E9174CC" w14:textId="77777777" w:rsidTr="00615D2C">
        <w:tc>
          <w:tcPr>
            <w:tcW w:w="3114" w:type="dxa"/>
            <w:shd w:val="clear" w:color="auto" w:fill="BFBFBF" w:themeFill="background1" w:themeFillShade="BF"/>
          </w:tcPr>
          <w:p w14:paraId="362C231B" w14:textId="718DD3EA" w:rsidR="00EB1DF4" w:rsidRPr="00FA3F57" w:rsidRDefault="00EB1DF4" w:rsidP="00615D2C">
            <w:pPr>
              <w:rPr>
                <w:sz w:val="20"/>
                <w:szCs w:val="20"/>
              </w:rPr>
            </w:pPr>
            <w:r w:rsidRPr="00FA3F57">
              <w:rPr>
                <w:sz w:val="20"/>
                <w:szCs w:val="20"/>
              </w:rPr>
              <w:t>Activity U1.7</w:t>
            </w:r>
          </w:p>
        </w:tc>
        <w:tc>
          <w:tcPr>
            <w:tcW w:w="5601" w:type="dxa"/>
            <w:shd w:val="clear" w:color="auto" w:fill="BFBFBF" w:themeFill="background1" w:themeFillShade="BF"/>
          </w:tcPr>
          <w:p w14:paraId="564BA1F7" w14:textId="77777777" w:rsidR="00EB1DF4" w:rsidRPr="00FA3F57" w:rsidRDefault="00EB1DF4" w:rsidP="00615D2C">
            <w:pPr>
              <w:rPr>
                <w:sz w:val="20"/>
                <w:szCs w:val="20"/>
              </w:rPr>
            </w:pPr>
            <w:r w:rsidRPr="00FA3F57">
              <w:rPr>
                <w:sz w:val="20"/>
              </w:rPr>
              <w:t xml:space="preserve">Opening of the </w:t>
            </w:r>
            <w:proofErr w:type="spellStart"/>
            <w:r w:rsidRPr="00FA3F57">
              <w:rPr>
                <w:sz w:val="20"/>
              </w:rPr>
              <w:t>Kostolac</w:t>
            </w:r>
            <w:proofErr w:type="spellEnd"/>
            <w:r w:rsidRPr="00FA3F57">
              <w:rPr>
                <w:sz w:val="20"/>
              </w:rPr>
              <w:t xml:space="preserve"> West surface mine – Mine opening, project implementation, permits, expropriation, equipment revitalization, preliminary drainage, procurement of basic and auxiliary equipment</w:t>
            </w:r>
          </w:p>
        </w:tc>
      </w:tr>
      <w:tr w:rsidR="002B1C18" w:rsidRPr="00F07779" w14:paraId="4E71B76B" w14:textId="77777777" w:rsidTr="00615D2C">
        <w:tc>
          <w:tcPr>
            <w:tcW w:w="3114" w:type="dxa"/>
          </w:tcPr>
          <w:p w14:paraId="1D3A7773" w14:textId="77777777" w:rsidR="00EB1DF4" w:rsidRPr="00FA3F57" w:rsidRDefault="00EB1DF4" w:rsidP="00615D2C">
            <w:pPr>
              <w:rPr>
                <w:sz w:val="20"/>
                <w:szCs w:val="20"/>
              </w:rPr>
            </w:pPr>
            <w:r w:rsidRPr="00FA3F57">
              <w:rPr>
                <w:sz w:val="20"/>
                <w:szCs w:val="20"/>
              </w:rPr>
              <w:t>Description</w:t>
            </w:r>
          </w:p>
        </w:tc>
        <w:tc>
          <w:tcPr>
            <w:tcW w:w="5601" w:type="dxa"/>
          </w:tcPr>
          <w:p w14:paraId="6705393D" w14:textId="77777777" w:rsidR="00EB1DF4" w:rsidRPr="00FA3F57" w:rsidRDefault="00EB1DF4" w:rsidP="00615D2C">
            <w:pPr>
              <w:rPr>
                <w:sz w:val="20"/>
                <w:szCs w:val="20"/>
              </w:rPr>
            </w:pPr>
            <w:r w:rsidRPr="00FA3F57">
              <w:rPr>
                <w:sz w:val="20"/>
                <w:szCs w:val="20"/>
              </w:rPr>
              <w:t xml:space="preserve">The </w:t>
            </w:r>
            <w:proofErr w:type="spellStart"/>
            <w:r w:rsidRPr="00FA3F57">
              <w:rPr>
                <w:sz w:val="20"/>
                <w:szCs w:val="20"/>
              </w:rPr>
              <w:t>Kostolac</w:t>
            </w:r>
            <w:proofErr w:type="spellEnd"/>
            <w:r w:rsidRPr="00FA3F57">
              <w:rPr>
                <w:sz w:val="20"/>
                <w:szCs w:val="20"/>
              </w:rPr>
              <w:t xml:space="preserve"> West surface mine is planned as a replacement capacity for the </w:t>
            </w:r>
            <w:proofErr w:type="spellStart"/>
            <w:r w:rsidRPr="00FA3F57">
              <w:rPr>
                <w:sz w:val="20"/>
                <w:szCs w:val="20"/>
              </w:rPr>
              <w:t>Drmno</w:t>
            </w:r>
            <w:proofErr w:type="spellEnd"/>
            <w:r w:rsidRPr="00FA3F57">
              <w:rPr>
                <w:sz w:val="20"/>
                <w:szCs w:val="20"/>
              </w:rPr>
              <w:t xml:space="preserve"> surface mine and to supplement capacity for TENT in the first period. Planned activities include project preparation, obtaining permits, expropriation, preliminary drainage, and revitalization of dredgers.</w:t>
            </w:r>
          </w:p>
        </w:tc>
      </w:tr>
      <w:tr w:rsidR="002B1C18" w:rsidRPr="00F07779" w14:paraId="7DD4368F" w14:textId="77777777" w:rsidTr="00615D2C">
        <w:tc>
          <w:tcPr>
            <w:tcW w:w="3114" w:type="dxa"/>
          </w:tcPr>
          <w:p w14:paraId="7B96710A" w14:textId="77777777" w:rsidR="00EB1DF4" w:rsidRPr="00FA3F57" w:rsidRDefault="00EB1DF4" w:rsidP="00615D2C">
            <w:pPr>
              <w:rPr>
                <w:sz w:val="20"/>
                <w:szCs w:val="20"/>
              </w:rPr>
            </w:pPr>
            <w:r w:rsidRPr="00FA3F57">
              <w:rPr>
                <w:sz w:val="20"/>
                <w:szCs w:val="20"/>
              </w:rPr>
              <w:t>Institutions responsible for the implementation of measures and activities</w:t>
            </w:r>
          </w:p>
        </w:tc>
        <w:tc>
          <w:tcPr>
            <w:tcW w:w="5601" w:type="dxa"/>
          </w:tcPr>
          <w:p w14:paraId="557B7F6C" w14:textId="77777777" w:rsidR="00EB1DF4" w:rsidRPr="00FA3F57" w:rsidRDefault="00EB1DF4" w:rsidP="00615D2C">
            <w:pPr>
              <w:rPr>
                <w:sz w:val="20"/>
                <w:szCs w:val="20"/>
              </w:rPr>
            </w:pPr>
            <w:r w:rsidRPr="00FA3F57">
              <w:rPr>
                <w:rFonts w:eastAsia="Calibri"/>
                <w:sz w:val="20"/>
                <w:szCs w:val="20"/>
              </w:rPr>
              <w:t>Joint Stock Company “Electric Power Industry of Serbia”</w:t>
            </w:r>
          </w:p>
        </w:tc>
      </w:tr>
      <w:tr w:rsidR="002B1C18" w:rsidRPr="00F07779" w14:paraId="1325CC5D" w14:textId="77777777" w:rsidTr="00615D2C">
        <w:tc>
          <w:tcPr>
            <w:tcW w:w="3114" w:type="dxa"/>
          </w:tcPr>
          <w:p w14:paraId="513E1478" w14:textId="77777777" w:rsidR="00EB1DF4" w:rsidRPr="00FA3F57" w:rsidRDefault="00EB1DF4" w:rsidP="00615D2C">
            <w:pPr>
              <w:rPr>
                <w:sz w:val="20"/>
                <w:szCs w:val="20"/>
              </w:rPr>
            </w:pPr>
            <w:r w:rsidRPr="00FA3F57">
              <w:rPr>
                <w:sz w:val="20"/>
                <w:szCs w:val="20"/>
              </w:rPr>
              <w:t>Institutions responsible for monitoring implementation and reporting on realization</w:t>
            </w:r>
          </w:p>
        </w:tc>
        <w:tc>
          <w:tcPr>
            <w:tcW w:w="5601" w:type="dxa"/>
          </w:tcPr>
          <w:p w14:paraId="55A4177C" w14:textId="77777777" w:rsidR="00EB1DF4" w:rsidRPr="00FA3F57" w:rsidRDefault="00EB1DF4" w:rsidP="00615D2C">
            <w:pPr>
              <w:rPr>
                <w:sz w:val="20"/>
                <w:szCs w:val="20"/>
              </w:rPr>
            </w:pPr>
            <w:r w:rsidRPr="00FA3F57">
              <w:rPr>
                <w:sz w:val="20"/>
                <w:szCs w:val="20"/>
              </w:rPr>
              <w:t>Ministry of Mining and Energy</w:t>
            </w:r>
          </w:p>
        </w:tc>
      </w:tr>
      <w:tr w:rsidR="002B1C18" w:rsidRPr="00F07779" w14:paraId="3292DBBA" w14:textId="77777777" w:rsidTr="00615D2C">
        <w:tc>
          <w:tcPr>
            <w:tcW w:w="3114" w:type="dxa"/>
          </w:tcPr>
          <w:p w14:paraId="2C1DB6DF" w14:textId="77777777" w:rsidR="00EB1DF4" w:rsidRPr="00FA3F57" w:rsidRDefault="00EB1DF4" w:rsidP="00615D2C">
            <w:pPr>
              <w:rPr>
                <w:sz w:val="20"/>
                <w:szCs w:val="20"/>
              </w:rPr>
            </w:pPr>
            <w:r w:rsidRPr="00FA3F57">
              <w:rPr>
                <w:sz w:val="20"/>
                <w:szCs w:val="20"/>
              </w:rPr>
              <w:t>Deadline for implementation</w:t>
            </w:r>
          </w:p>
        </w:tc>
        <w:tc>
          <w:tcPr>
            <w:tcW w:w="5601" w:type="dxa"/>
          </w:tcPr>
          <w:p w14:paraId="0AFD4D80" w14:textId="7B154138" w:rsidR="00EB1DF4" w:rsidRPr="00FA3F57" w:rsidRDefault="00EB1DF4" w:rsidP="00615D2C">
            <w:pPr>
              <w:rPr>
                <w:sz w:val="20"/>
                <w:szCs w:val="20"/>
              </w:rPr>
            </w:pPr>
            <w:r w:rsidRPr="00FA3F57">
              <w:rPr>
                <w:sz w:val="20"/>
                <w:szCs w:val="20"/>
              </w:rPr>
              <w:t>2030</w:t>
            </w:r>
            <w:r w:rsidR="0095439A" w:rsidRPr="00F07779">
              <w:rPr>
                <w:sz w:val="20"/>
                <w:szCs w:val="20"/>
              </w:rPr>
              <w:t>.</w:t>
            </w:r>
          </w:p>
        </w:tc>
      </w:tr>
      <w:tr w:rsidR="002B1C18" w:rsidRPr="00F07779" w14:paraId="0EDC147E" w14:textId="77777777" w:rsidTr="00615D2C">
        <w:tc>
          <w:tcPr>
            <w:tcW w:w="3114" w:type="dxa"/>
          </w:tcPr>
          <w:p w14:paraId="47043933" w14:textId="77777777" w:rsidR="00EB1DF4" w:rsidRPr="00FA3F57" w:rsidRDefault="00EB1DF4" w:rsidP="00615D2C">
            <w:pPr>
              <w:rPr>
                <w:sz w:val="20"/>
                <w:szCs w:val="20"/>
              </w:rPr>
            </w:pPr>
            <w:r w:rsidRPr="00FA3F57">
              <w:rPr>
                <w:sz w:val="20"/>
                <w:szCs w:val="20"/>
              </w:rPr>
              <w:t>Required funds and source of financing</w:t>
            </w:r>
          </w:p>
        </w:tc>
        <w:tc>
          <w:tcPr>
            <w:tcW w:w="5601" w:type="dxa"/>
          </w:tcPr>
          <w:p w14:paraId="08133013" w14:textId="7973EE70" w:rsidR="00EB1DF4" w:rsidRPr="00FA3F57" w:rsidRDefault="00EB1DF4" w:rsidP="00615D2C">
            <w:pPr>
              <w:rPr>
                <w:sz w:val="20"/>
                <w:szCs w:val="20"/>
              </w:rPr>
            </w:pPr>
            <w:r w:rsidRPr="00FA3F57">
              <w:rPr>
                <w:sz w:val="20"/>
                <w:szCs w:val="20"/>
                <w:lang w:eastAsia="en-US"/>
              </w:rPr>
              <w:t xml:space="preserve">2,357,000,000 </w:t>
            </w:r>
            <w:r w:rsidRPr="00FA3F57">
              <w:rPr>
                <w:sz w:val="20"/>
                <w:szCs w:val="20"/>
              </w:rPr>
              <w:t>RSD (20.102 million</w:t>
            </w:r>
            <w:r w:rsidR="0095439A" w:rsidRPr="00F07779">
              <w:rPr>
                <w:sz w:val="20"/>
                <w:szCs w:val="20"/>
              </w:rPr>
              <w:t xml:space="preserve"> EUR</w:t>
            </w:r>
            <w:r w:rsidRPr="00FA3F57">
              <w:rPr>
                <w:sz w:val="20"/>
                <w:szCs w:val="20"/>
              </w:rPr>
              <w:t xml:space="preserve">) </w:t>
            </w:r>
          </w:p>
          <w:p w14:paraId="6327F482" w14:textId="77777777" w:rsidR="00EB1DF4" w:rsidRPr="00FA3F57" w:rsidRDefault="00EB1DF4" w:rsidP="00615D2C">
            <w:pPr>
              <w:rPr>
                <w:sz w:val="20"/>
                <w:szCs w:val="20"/>
              </w:rPr>
            </w:pPr>
            <w:r w:rsidRPr="00FA3F57">
              <w:rPr>
                <w:sz w:val="20"/>
                <w:szCs w:val="20"/>
              </w:rPr>
              <w:t>Funded from EPS equity</w:t>
            </w:r>
          </w:p>
        </w:tc>
      </w:tr>
      <w:tr w:rsidR="002B1C18" w:rsidRPr="00F07779" w14:paraId="432BE370" w14:textId="77777777" w:rsidTr="00615D2C">
        <w:tc>
          <w:tcPr>
            <w:tcW w:w="3114" w:type="dxa"/>
          </w:tcPr>
          <w:p w14:paraId="7FB465A0" w14:textId="77777777" w:rsidR="00EB1DF4" w:rsidRPr="00FA3F57" w:rsidRDefault="00EB1DF4" w:rsidP="00615D2C">
            <w:pPr>
              <w:rPr>
                <w:sz w:val="20"/>
                <w:szCs w:val="20"/>
              </w:rPr>
            </w:pPr>
            <w:r w:rsidRPr="00FA3F57">
              <w:rPr>
                <w:sz w:val="20"/>
                <w:szCs w:val="20"/>
              </w:rPr>
              <w:t>2026</w:t>
            </w:r>
          </w:p>
        </w:tc>
        <w:tc>
          <w:tcPr>
            <w:tcW w:w="5601" w:type="dxa"/>
          </w:tcPr>
          <w:p w14:paraId="46ABAD80" w14:textId="625EA5C0" w:rsidR="00EB1DF4" w:rsidRPr="00FA3F57" w:rsidRDefault="00EB1DF4" w:rsidP="00615D2C">
            <w:pPr>
              <w:rPr>
                <w:sz w:val="20"/>
                <w:szCs w:val="20"/>
              </w:rPr>
            </w:pPr>
            <w:r w:rsidRPr="00FA3F57">
              <w:rPr>
                <w:sz w:val="20"/>
                <w:szCs w:val="20"/>
              </w:rPr>
              <w:t xml:space="preserve">80,000,000 RSD (0.682 million </w:t>
            </w:r>
            <w:r w:rsidR="0095439A" w:rsidRPr="00F07779">
              <w:rPr>
                <w:sz w:val="20"/>
                <w:szCs w:val="20"/>
              </w:rPr>
              <w:t>EUR</w:t>
            </w:r>
            <w:r w:rsidRPr="00FA3F57">
              <w:rPr>
                <w:sz w:val="20"/>
                <w:szCs w:val="20"/>
              </w:rPr>
              <w:t>)</w:t>
            </w:r>
          </w:p>
        </w:tc>
      </w:tr>
      <w:tr w:rsidR="002B1C18" w:rsidRPr="00F07779" w14:paraId="19225FFB" w14:textId="77777777" w:rsidTr="00615D2C">
        <w:tc>
          <w:tcPr>
            <w:tcW w:w="3114" w:type="dxa"/>
          </w:tcPr>
          <w:p w14:paraId="05C114A9" w14:textId="77777777" w:rsidR="00EB1DF4" w:rsidRPr="00FA3F57" w:rsidRDefault="00EB1DF4" w:rsidP="00615D2C">
            <w:pPr>
              <w:rPr>
                <w:sz w:val="20"/>
                <w:szCs w:val="20"/>
              </w:rPr>
            </w:pPr>
            <w:r w:rsidRPr="00FA3F57">
              <w:rPr>
                <w:sz w:val="20"/>
                <w:szCs w:val="20"/>
              </w:rPr>
              <w:t>2027</w:t>
            </w:r>
          </w:p>
        </w:tc>
        <w:tc>
          <w:tcPr>
            <w:tcW w:w="5601" w:type="dxa"/>
          </w:tcPr>
          <w:p w14:paraId="5B424A1F" w14:textId="603BA8A9" w:rsidR="00EB1DF4" w:rsidRPr="00FA3F57" w:rsidRDefault="00EB1DF4" w:rsidP="00615D2C">
            <w:pPr>
              <w:rPr>
                <w:sz w:val="20"/>
                <w:szCs w:val="20"/>
              </w:rPr>
            </w:pPr>
            <w:r w:rsidRPr="00FA3F57">
              <w:rPr>
                <w:sz w:val="20"/>
                <w:szCs w:val="20"/>
              </w:rPr>
              <w:t xml:space="preserve">276,000,000 RSD (2.354 million </w:t>
            </w:r>
            <w:r w:rsidR="0095439A" w:rsidRPr="00F07779">
              <w:rPr>
                <w:sz w:val="20"/>
                <w:szCs w:val="20"/>
              </w:rPr>
              <w:t>EUR</w:t>
            </w:r>
            <w:r w:rsidRPr="00FA3F57">
              <w:rPr>
                <w:sz w:val="20"/>
                <w:szCs w:val="20"/>
              </w:rPr>
              <w:t>)</w:t>
            </w:r>
          </w:p>
        </w:tc>
      </w:tr>
      <w:tr w:rsidR="002B1C18" w:rsidRPr="00F07779" w14:paraId="3EAABE11" w14:textId="77777777" w:rsidTr="00615D2C">
        <w:tc>
          <w:tcPr>
            <w:tcW w:w="3114" w:type="dxa"/>
          </w:tcPr>
          <w:p w14:paraId="56C8D60E" w14:textId="77777777" w:rsidR="00EB1DF4" w:rsidRPr="00FA3F57" w:rsidRDefault="00EB1DF4" w:rsidP="00615D2C">
            <w:pPr>
              <w:rPr>
                <w:sz w:val="20"/>
                <w:szCs w:val="20"/>
              </w:rPr>
            </w:pPr>
            <w:r w:rsidRPr="00FA3F57">
              <w:rPr>
                <w:sz w:val="20"/>
                <w:szCs w:val="20"/>
              </w:rPr>
              <w:t>2028</w:t>
            </w:r>
          </w:p>
        </w:tc>
        <w:tc>
          <w:tcPr>
            <w:tcW w:w="5601" w:type="dxa"/>
          </w:tcPr>
          <w:p w14:paraId="71C8C7ED" w14:textId="1766AF1B" w:rsidR="00EB1DF4" w:rsidRPr="00FA3F57" w:rsidRDefault="00EB1DF4" w:rsidP="00615D2C">
            <w:pPr>
              <w:rPr>
                <w:sz w:val="20"/>
                <w:szCs w:val="20"/>
                <w:lang w:eastAsia="en-US"/>
              </w:rPr>
            </w:pPr>
            <w:r w:rsidRPr="00FA3F57">
              <w:rPr>
                <w:sz w:val="20"/>
                <w:szCs w:val="20"/>
              </w:rPr>
              <w:t xml:space="preserve">2,001,000,000 RSD (17.066 million </w:t>
            </w:r>
            <w:r w:rsidR="0095439A" w:rsidRPr="00F07779">
              <w:rPr>
                <w:sz w:val="20"/>
                <w:szCs w:val="20"/>
              </w:rPr>
              <w:t>EUR</w:t>
            </w:r>
            <w:r w:rsidRPr="00FA3F57">
              <w:rPr>
                <w:sz w:val="20"/>
                <w:szCs w:val="20"/>
              </w:rPr>
              <w:t>)</w:t>
            </w:r>
          </w:p>
        </w:tc>
      </w:tr>
      <w:tr w:rsidR="002B1C18" w:rsidRPr="00F07779" w14:paraId="71A4CB5B" w14:textId="77777777" w:rsidTr="00615D2C">
        <w:tc>
          <w:tcPr>
            <w:tcW w:w="3114" w:type="dxa"/>
          </w:tcPr>
          <w:p w14:paraId="374A6C77" w14:textId="77777777" w:rsidR="00EB1DF4" w:rsidRPr="00FA3F57" w:rsidRDefault="00EB1DF4" w:rsidP="00615D2C">
            <w:pPr>
              <w:rPr>
                <w:sz w:val="20"/>
                <w:szCs w:val="20"/>
              </w:rPr>
            </w:pPr>
            <w:r w:rsidRPr="00FA3F57">
              <w:rPr>
                <w:sz w:val="20"/>
                <w:szCs w:val="20"/>
              </w:rPr>
              <w:t>Implementation indicator</w:t>
            </w:r>
          </w:p>
        </w:tc>
        <w:tc>
          <w:tcPr>
            <w:tcW w:w="5601" w:type="dxa"/>
          </w:tcPr>
          <w:p w14:paraId="3D2FE659" w14:textId="59585CC6" w:rsidR="00EB1DF4" w:rsidRPr="00FA3F57" w:rsidRDefault="00EB1DF4" w:rsidP="00615D2C">
            <w:pPr>
              <w:rPr>
                <w:sz w:val="20"/>
                <w:szCs w:val="20"/>
              </w:rPr>
            </w:pPr>
            <w:r w:rsidRPr="00FA3F57">
              <w:rPr>
                <w:sz w:val="20"/>
                <w:szCs w:val="20"/>
              </w:rPr>
              <w:t>2,000,000 tons of coal in 203</w:t>
            </w:r>
            <w:r w:rsidR="0095439A" w:rsidRPr="00F07779">
              <w:rPr>
                <w:sz w:val="20"/>
                <w:szCs w:val="20"/>
              </w:rPr>
              <w:t>3</w:t>
            </w:r>
          </w:p>
        </w:tc>
      </w:tr>
      <w:tr w:rsidR="002B1C18" w:rsidRPr="00F07779" w14:paraId="55B27625" w14:textId="77777777" w:rsidTr="00615D2C">
        <w:tc>
          <w:tcPr>
            <w:tcW w:w="3114" w:type="dxa"/>
          </w:tcPr>
          <w:p w14:paraId="5A1A58E5" w14:textId="77777777" w:rsidR="00EB1DF4" w:rsidRPr="00FA3F57" w:rsidRDefault="00EB1DF4" w:rsidP="00615D2C">
            <w:pPr>
              <w:rPr>
                <w:sz w:val="20"/>
                <w:szCs w:val="20"/>
              </w:rPr>
            </w:pPr>
            <w:r w:rsidRPr="00FA3F57">
              <w:rPr>
                <w:sz w:val="20"/>
                <w:szCs w:val="20"/>
              </w:rPr>
              <w:lastRenderedPageBreak/>
              <w:t>Impact of the activity on the achievement of the objective</w:t>
            </w:r>
          </w:p>
        </w:tc>
        <w:tc>
          <w:tcPr>
            <w:tcW w:w="5601" w:type="dxa"/>
          </w:tcPr>
          <w:p w14:paraId="3FD1262E" w14:textId="77777777" w:rsidR="00EB1DF4" w:rsidRPr="00FA3F57" w:rsidRDefault="00EB1DF4" w:rsidP="00615D2C">
            <w:pPr>
              <w:jc w:val="both"/>
              <w:rPr>
                <w:sz w:val="20"/>
                <w:szCs w:val="20"/>
              </w:rPr>
            </w:pPr>
            <w:r w:rsidRPr="00FA3F57">
              <w:rPr>
                <w:sz w:val="20"/>
                <w:szCs w:val="20"/>
              </w:rPr>
              <w:t xml:space="preserve">Ensuring the required coal quantities as a replacement capacity for the </w:t>
            </w:r>
            <w:proofErr w:type="spellStart"/>
            <w:r w:rsidRPr="00FA3F57">
              <w:rPr>
                <w:sz w:val="20"/>
                <w:szCs w:val="20"/>
              </w:rPr>
              <w:t>Drmno</w:t>
            </w:r>
            <w:proofErr w:type="spellEnd"/>
            <w:r w:rsidRPr="00FA3F57">
              <w:rPr>
                <w:sz w:val="20"/>
                <w:szCs w:val="20"/>
              </w:rPr>
              <w:t xml:space="preserve"> surface mine and supply to TENT in the first phase</w:t>
            </w:r>
          </w:p>
        </w:tc>
      </w:tr>
      <w:tr w:rsidR="002B1C18" w:rsidRPr="00F07779" w14:paraId="1A8D75BB" w14:textId="77777777" w:rsidTr="00615D2C">
        <w:tc>
          <w:tcPr>
            <w:tcW w:w="3114" w:type="dxa"/>
          </w:tcPr>
          <w:p w14:paraId="3A6B5590" w14:textId="77777777" w:rsidR="00EB1DF4" w:rsidRPr="00FA3F57" w:rsidRDefault="00EB1DF4" w:rsidP="00615D2C">
            <w:pPr>
              <w:rPr>
                <w:sz w:val="20"/>
                <w:szCs w:val="20"/>
              </w:rPr>
            </w:pPr>
            <w:r w:rsidRPr="00FA3F57">
              <w:rPr>
                <w:sz w:val="20"/>
                <w:szCs w:val="20"/>
              </w:rPr>
              <w:t>Impact on EE, climate, and environmental protection</w:t>
            </w:r>
          </w:p>
        </w:tc>
        <w:tc>
          <w:tcPr>
            <w:tcW w:w="5601" w:type="dxa"/>
          </w:tcPr>
          <w:p w14:paraId="42BE5346" w14:textId="77777777" w:rsidR="00EB1DF4" w:rsidRPr="00FA3F57" w:rsidRDefault="00EB1DF4" w:rsidP="00615D2C">
            <w:pPr>
              <w:rPr>
                <w:sz w:val="20"/>
                <w:szCs w:val="20"/>
              </w:rPr>
            </w:pPr>
            <w:r w:rsidRPr="00FA3F57">
              <w:rPr>
                <w:sz w:val="20"/>
                <w:szCs w:val="20"/>
              </w:rPr>
              <w:t>No direct impact</w:t>
            </w:r>
          </w:p>
        </w:tc>
      </w:tr>
    </w:tbl>
    <w:p w14:paraId="3FEA3D7B" w14:textId="77777777" w:rsidR="00EB1DF4" w:rsidRPr="00F07779" w:rsidRDefault="00EB1DF4" w:rsidP="00EB1DF4"/>
    <w:p w14:paraId="7570BB8C" w14:textId="77777777" w:rsidR="00EB1DF4" w:rsidRPr="00F07779" w:rsidRDefault="00EB1DF4" w:rsidP="00EB1DF4"/>
    <w:tbl>
      <w:tblPr>
        <w:tblStyle w:val="TableGrid"/>
        <w:tblW w:w="0" w:type="auto"/>
        <w:tblLook w:val="04A0" w:firstRow="1" w:lastRow="0" w:firstColumn="1" w:lastColumn="0" w:noHBand="0" w:noVBand="1"/>
      </w:tblPr>
      <w:tblGrid>
        <w:gridCol w:w="3823"/>
        <w:gridCol w:w="4892"/>
      </w:tblGrid>
      <w:tr w:rsidR="00EB1DF4" w:rsidRPr="00F07779" w14:paraId="6B32F0BC" w14:textId="77777777" w:rsidTr="00615D2C">
        <w:tc>
          <w:tcPr>
            <w:tcW w:w="3823" w:type="dxa"/>
            <w:shd w:val="clear" w:color="auto" w:fill="D9D9D9" w:themeFill="background1" w:themeFillShade="D9"/>
          </w:tcPr>
          <w:p w14:paraId="00D7DB61" w14:textId="77777777" w:rsidR="00EB1DF4" w:rsidRPr="00FA3F57" w:rsidRDefault="00EB1DF4" w:rsidP="00615D2C">
            <w:pPr>
              <w:rPr>
                <w:sz w:val="20"/>
                <w:szCs w:val="20"/>
              </w:rPr>
            </w:pPr>
            <w:r w:rsidRPr="00FA3F57">
              <w:rPr>
                <w:sz w:val="20"/>
                <w:szCs w:val="20"/>
              </w:rPr>
              <w:t xml:space="preserve">Total funds for measure U1 (2026-2028.) </w:t>
            </w:r>
          </w:p>
        </w:tc>
        <w:tc>
          <w:tcPr>
            <w:tcW w:w="4892" w:type="dxa"/>
            <w:shd w:val="clear" w:color="auto" w:fill="D9D9D9" w:themeFill="background1" w:themeFillShade="D9"/>
          </w:tcPr>
          <w:p w14:paraId="7407D2E7" w14:textId="2DEBFA16" w:rsidR="00EB1DF4" w:rsidRPr="00FA3F57" w:rsidRDefault="00EB1DF4" w:rsidP="00615D2C">
            <w:pPr>
              <w:rPr>
                <w:sz w:val="20"/>
                <w:szCs w:val="20"/>
              </w:rPr>
            </w:pPr>
            <w:r w:rsidRPr="00FA3F57">
              <w:rPr>
                <w:sz w:val="20"/>
                <w:szCs w:val="20"/>
              </w:rPr>
              <w:t>33,980,000,000 RSD (289.8</w:t>
            </w:r>
            <w:r w:rsidR="0095439A" w:rsidRPr="00F07779">
              <w:rPr>
                <w:sz w:val="20"/>
                <w:szCs w:val="20"/>
              </w:rPr>
              <w:t>08</w:t>
            </w:r>
            <w:r w:rsidRPr="00FA3F57">
              <w:rPr>
                <w:sz w:val="20"/>
                <w:szCs w:val="20"/>
              </w:rPr>
              <w:t xml:space="preserve"> million</w:t>
            </w:r>
            <w:r w:rsidR="0095439A" w:rsidRPr="00F07779">
              <w:rPr>
                <w:sz w:val="20"/>
                <w:szCs w:val="20"/>
              </w:rPr>
              <w:t xml:space="preserve"> EUR</w:t>
            </w:r>
            <w:r w:rsidRPr="00FA3F57">
              <w:rPr>
                <w:sz w:val="20"/>
                <w:szCs w:val="20"/>
              </w:rPr>
              <w:t>)</w:t>
            </w:r>
          </w:p>
        </w:tc>
      </w:tr>
    </w:tbl>
    <w:p w14:paraId="1C4A5B9A" w14:textId="77777777" w:rsidR="00EB1DF4" w:rsidRPr="00F07779" w:rsidRDefault="00EB1DF4" w:rsidP="00EB1DF4"/>
    <w:p w14:paraId="6BA8EDCC" w14:textId="77777777" w:rsidR="00EB1DF4" w:rsidRPr="00F07779" w:rsidRDefault="00EB1DF4" w:rsidP="00EB1DF4"/>
    <w:p w14:paraId="4AB7968E" w14:textId="77777777" w:rsidR="00EB1DF4" w:rsidRPr="00FA3F57" w:rsidRDefault="00EB1DF4" w:rsidP="00EB1DF4">
      <w:pPr>
        <w:rPr>
          <w:rFonts w:eastAsia="Calibri"/>
        </w:rPr>
      </w:pPr>
      <w:r w:rsidRPr="00FA3F57">
        <w:t>Table 5.7.4-1: Activities for the implementation of measure U2</w:t>
      </w:r>
    </w:p>
    <w:tbl>
      <w:tblPr>
        <w:tblStyle w:val="TableGrid"/>
        <w:tblW w:w="0" w:type="auto"/>
        <w:tblLook w:val="04A0" w:firstRow="1" w:lastRow="0" w:firstColumn="1" w:lastColumn="0" w:noHBand="0" w:noVBand="1"/>
      </w:tblPr>
      <w:tblGrid>
        <w:gridCol w:w="2965"/>
        <w:gridCol w:w="5750"/>
      </w:tblGrid>
      <w:tr w:rsidR="002B1C18" w:rsidRPr="00F07779" w14:paraId="2AF74C00" w14:textId="77777777" w:rsidTr="00615D2C">
        <w:tc>
          <w:tcPr>
            <w:tcW w:w="2965" w:type="dxa"/>
            <w:shd w:val="clear" w:color="auto" w:fill="D9D9D9" w:themeFill="background1" w:themeFillShade="D9"/>
          </w:tcPr>
          <w:p w14:paraId="0017B190" w14:textId="68861D89" w:rsidR="00EB1DF4" w:rsidRPr="00FA3F57" w:rsidRDefault="00EB1DF4" w:rsidP="00615D2C">
            <w:pPr>
              <w:rPr>
                <w:sz w:val="20"/>
                <w:szCs w:val="20"/>
              </w:rPr>
            </w:pPr>
            <w:r w:rsidRPr="00FA3F57">
              <w:rPr>
                <w:sz w:val="20"/>
                <w:szCs w:val="20"/>
              </w:rPr>
              <w:t>Activity U2.1</w:t>
            </w:r>
          </w:p>
        </w:tc>
        <w:tc>
          <w:tcPr>
            <w:tcW w:w="5750" w:type="dxa"/>
            <w:shd w:val="clear" w:color="auto" w:fill="D9D9D9" w:themeFill="background1" w:themeFillShade="D9"/>
          </w:tcPr>
          <w:p w14:paraId="28038AF9" w14:textId="77777777" w:rsidR="00EB1DF4" w:rsidRPr="00FA3F57" w:rsidRDefault="00EB1DF4" w:rsidP="00615D2C">
            <w:pPr>
              <w:rPr>
                <w:sz w:val="20"/>
                <w:szCs w:val="20"/>
              </w:rPr>
            </w:pPr>
            <w:bookmarkStart w:id="19" w:name="_Hlk209441729"/>
            <w:r w:rsidRPr="00FA3F57">
              <w:rPr>
                <w:sz w:val="20"/>
                <w:szCs w:val="20"/>
              </w:rPr>
              <w:t xml:space="preserve">Construction of a coal quality management system in RB </w:t>
            </w:r>
            <w:proofErr w:type="spellStart"/>
            <w:r w:rsidRPr="00FA3F57">
              <w:rPr>
                <w:sz w:val="20"/>
                <w:szCs w:val="20"/>
              </w:rPr>
              <w:t>Kolubara</w:t>
            </w:r>
            <w:bookmarkEnd w:id="19"/>
            <w:proofErr w:type="spellEnd"/>
          </w:p>
        </w:tc>
      </w:tr>
      <w:tr w:rsidR="002B1C18" w:rsidRPr="00F07779" w14:paraId="2C1F2073" w14:textId="77777777" w:rsidTr="00615D2C">
        <w:tc>
          <w:tcPr>
            <w:tcW w:w="2965" w:type="dxa"/>
          </w:tcPr>
          <w:p w14:paraId="6C2B5F6F" w14:textId="77777777" w:rsidR="00EB1DF4" w:rsidRPr="00FA3F57" w:rsidRDefault="00EB1DF4" w:rsidP="00615D2C">
            <w:pPr>
              <w:rPr>
                <w:sz w:val="20"/>
                <w:szCs w:val="20"/>
              </w:rPr>
            </w:pPr>
            <w:r w:rsidRPr="00FA3F57">
              <w:rPr>
                <w:sz w:val="20"/>
                <w:szCs w:val="20"/>
              </w:rPr>
              <w:t>Description</w:t>
            </w:r>
          </w:p>
        </w:tc>
        <w:tc>
          <w:tcPr>
            <w:tcW w:w="5750" w:type="dxa"/>
          </w:tcPr>
          <w:p w14:paraId="56F91172" w14:textId="77777777" w:rsidR="00EB1DF4" w:rsidRPr="00FA3F57" w:rsidRDefault="00EB1DF4" w:rsidP="00615D2C">
            <w:pPr>
              <w:jc w:val="both"/>
              <w:rPr>
                <w:sz w:val="20"/>
                <w:szCs w:val="20"/>
              </w:rPr>
            </w:pPr>
            <w:r w:rsidRPr="00FA3F57">
              <w:rPr>
                <w:sz w:val="20"/>
                <w:szCs w:val="20"/>
              </w:rPr>
              <w:t xml:space="preserve">Completion of the construction of the </w:t>
            </w:r>
            <w:proofErr w:type="spellStart"/>
            <w:r w:rsidRPr="00FA3F57">
              <w:rPr>
                <w:sz w:val="20"/>
                <w:szCs w:val="20"/>
              </w:rPr>
              <w:t>Tamnava</w:t>
            </w:r>
            <w:proofErr w:type="spellEnd"/>
            <w:r w:rsidRPr="00FA3F57">
              <w:rPr>
                <w:sz w:val="20"/>
                <w:szCs w:val="20"/>
              </w:rPr>
              <w:t xml:space="preserve"> crusher and depot (construction of SUP2 and T7 conveyors, distribution devices between SUP1 and SUP2, connection of the eastern and western parts of the basin via conveyors to the technological bridge, coal quality measurement in the eastern part of the basin – online analyzers and scales, reconstruction of the sampling system). The average coal quality delivered from RB </w:t>
            </w:r>
            <w:proofErr w:type="spellStart"/>
            <w:r w:rsidRPr="00FA3F57">
              <w:rPr>
                <w:sz w:val="20"/>
                <w:szCs w:val="20"/>
              </w:rPr>
              <w:t>Kolubara</w:t>
            </w:r>
            <w:proofErr w:type="spellEnd"/>
            <w:r w:rsidRPr="00FA3F57">
              <w:rPr>
                <w:sz w:val="20"/>
                <w:szCs w:val="20"/>
              </w:rPr>
              <w:t xml:space="preserve"> in 2023 was 6,599 kJ/kg; out of a total of 8,324 trains, 2,542 trains (31%) were out of range. During 2024, out of 8,294 trains, 3,327 were out of the optimal range for combustion in thermal power plants (above 7,500 kJ/kg or below 6,100 kJ/kg). A particular issue was the BTS system, where in 2024 the percentage of trains out of range was 75%. Considering the expected coal quality in the upcoming period in the western part of the basin, it is necessary to connect the eastern and western parts of the </w:t>
            </w:r>
            <w:proofErr w:type="spellStart"/>
            <w:r w:rsidRPr="00FA3F57">
              <w:rPr>
                <w:sz w:val="20"/>
                <w:szCs w:val="20"/>
              </w:rPr>
              <w:t>Kolubara</w:t>
            </w:r>
            <w:proofErr w:type="spellEnd"/>
            <w:r w:rsidRPr="00FA3F57">
              <w:rPr>
                <w:sz w:val="20"/>
                <w:szCs w:val="20"/>
              </w:rPr>
              <w:t xml:space="preserve"> basin to achieve homogenization. Investments in 2028 relate to the procurement of software and equipment at Polje E and the </w:t>
            </w:r>
            <w:proofErr w:type="spellStart"/>
            <w:r w:rsidRPr="00FA3F57">
              <w:rPr>
                <w:sz w:val="20"/>
                <w:szCs w:val="20"/>
              </w:rPr>
              <w:t>Radljevo</w:t>
            </w:r>
            <w:proofErr w:type="spellEnd"/>
            <w:r w:rsidRPr="00FA3F57">
              <w:rPr>
                <w:sz w:val="20"/>
                <w:szCs w:val="20"/>
              </w:rPr>
              <w:t xml:space="preserve"> surface mine.</w:t>
            </w:r>
          </w:p>
        </w:tc>
      </w:tr>
      <w:tr w:rsidR="002B1C18" w:rsidRPr="00F07779" w14:paraId="0F201C3A" w14:textId="77777777" w:rsidTr="00615D2C">
        <w:tc>
          <w:tcPr>
            <w:tcW w:w="2965" w:type="dxa"/>
          </w:tcPr>
          <w:p w14:paraId="412CB40B" w14:textId="77777777" w:rsidR="00EB1DF4" w:rsidRPr="00FA3F57" w:rsidRDefault="00EB1DF4" w:rsidP="00615D2C">
            <w:pPr>
              <w:rPr>
                <w:sz w:val="20"/>
                <w:szCs w:val="20"/>
              </w:rPr>
            </w:pPr>
            <w:r w:rsidRPr="00FA3F57">
              <w:rPr>
                <w:sz w:val="20"/>
                <w:szCs w:val="20"/>
              </w:rPr>
              <w:t>Institutions responsible for the implementation of measures and activities</w:t>
            </w:r>
          </w:p>
        </w:tc>
        <w:tc>
          <w:tcPr>
            <w:tcW w:w="5750" w:type="dxa"/>
          </w:tcPr>
          <w:p w14:paraId="6B03E2C9" w14:textId="77777777" w:rsidR="00EB1DF4" w:rsidRPr="00FA3F57" w:rsidRDefault="00EB1DF4" w:rsidP="00615D2C">
            <w:pPr>
              <w:rPr>
                <w:sz w:val="20"/>
                <w:szCs w:val="20"/>
              </w:rPr>
            </w:pPr>
            <w:r w:rsidRPr="00FA3F57">
              <w:rPr>
                <w:rFonts w:eastAsia="Calibri"/>
                <w:sz w:val="20"/>
                <w:szCs w:val="20"/>
              </w:rPr>
              <w:t>Joint Stock Company “Electric Power Industry of Serbia”</w:t>
            </w:r>
          </w:p>
        </w:tc>
      </w:tr>
      <w:tr w:rsidR="002B1C18" w:rsidRPr="00F07779" w14:paraId="2820A33F" w14:textId="77777777" w:rsidTr="00615D2C">
        <w:tc>
          <w:tcPr>
            <w:tcW w:w="2965" w:type="dxa"/>
          </w:tcPr>
          <w:p w14:paraId="5DE7A36D" w14:textId="77777777" w:rsidR="00EB1DF4" w:rsidRPr="00FA3F57" w:rsidRDefault="00EB1DF4" w:rsidP="00615D2C">
            <w:pPr>
              <w:rPr>
                <w:sz w:val="20"/>
                <w:szCs w:val="20"/>
              </w:rPr>
            </w:pPr>
            <w:r w:rsidRPr="00FA3F57">
              <w:rPr>
                <w:sz w:val="20"/>
                <w:szCs w:val="20"/>
              </w:rPr>
              <w:t>Institutions responsible for monitoring implementation and reporting on realization</w:t>
            </w:r>
          </w:p>
        </w:tc>
        <w:tc>
          <w:tcPr>
            <w:tcW w:w="5750" w:type="dxa"/>
          </w:tcPr>
          <w:p w14:paraId="1A757BF2" w14:textId="77777777" w:rsidR="00EB1DF4" w:rsidRPr="00FA3F57" w:rsidRDefault="00EB1DF4" w:rsidP="00615D2C">
            <w:pPr>
              <w:rPr>
                <w:sz w:val="20"/>
                <w:szCs w:val="20"/>
              </w:rPr>
            </w:pPr>
            <w:r w:rsidRPr="00FA3F57">
              <w:rPr>
                <w:sz w:val="20"/>
                <w:szCs w:val="20"/>
              </w:rPr>
              <w:t>Ministry of Mining and Energy</w:t>
            </w:r>
          </w:p>
        </w:tc>
      </w:tr>
      <w:tr w:rsidR="002B1C18" w:rsidRPr="00F07779" w14:paraId="6AB57309" w14:textId="77777777" w:rsidTr="00615D2C">
        <w:tc>
          <w:tcPr>
            <w:tcW w:w="2965" w:type="dxa"/>
          </w:tcPr>
          <w:p w14:paraId="0723616F" w14:textId="77777777" w:rsidR="00EB1DF4" w:rsidRPr="00FA3F57" w:rsidRDefault="00EB1DF4" w:rsidP="00615D2C">
            <w:pPr>
              <w:rPr>
                <w:sz w:val="20"/>
                <w:szCs w:val="20"/>
              </w:rPr>
            </w:pPr>
            <w:r w:rsidRPr="00FA3F57">
              <w:rPr>
                <w:sz w:val="20"/>
                <w:szCs w:val="20"/>
              </w:rPr>
              <w:t>Deadline for implementation</w:t>
            </w:r>
          </w:p>
        </w:tc>
        <w:tc>
          <w:tcPr>
            <w:tcW w:w="5750" w:type="dxa"/>
          </w:tcPr>
          <w:p w14:paraId="735DA5FB" w14:textId="270AAE57" w:rsidR="00EB1DF4" w:rsidRPr="00FA3F57" w:rsidRDefault="00EB1DF4" w:rsidP="00615D2C">
            <w:pPr>
              <w:rPr>
                <w:sz w:val="20"/>
                <w:szCs w:val="20"/>
              </w:rPr>
            </w:pPr>
            <w:r w:rsidRPr="00FA3F57">
              <w:rPr>
                <w:sz w:val="20"/>
                <w:szCs w:val="20"/>
              </w:rPr>
              <w:t>2028</w:t>
            </w:r>
            <w:r w:rsidR="0095439A" w:rsidRPr="00F07779">
              <w:rPr>
                <w:sz w:val="20"/>
                <w:szCs w:val="20"/>
              </w:rPr>
              <w:t>.</w:t>
            </w:r>
          </w:p>
        </w:tc>
      </w:tr>
      <w:tr w:rsidR="002B1C18" w:rsidRPr="00F07779" w14:paraId="1D6450D7" w14:textId="77777777" w:rsidTr="00615D2C">
        <w:tc>
          <w:tcPr>
            <w:tcW w:w="2965" w:type="dxa"/>
          </w:tcPr>
          <w:p w14:paraId="4E0B0CD7" w14:textId="77777777" w:rsidR="00EB1DF4" w:rsidRPr="00FA3F57" w:rsidRDefault="00EB1DF4" w:rsidP="00615D2C">
            <w:pPr>
              <w:rPr>
                <w:sz w:val="20"/>
                <w:szCs w:val="20"/>
              </w:rPr>
            </w:pPr>
            <w:r w:rsidRPr="00FA3F57">
              <w:rPr>
                <w:sz w:val="20"/>
                <w:szCs w:val="20"/>
              </w:rPr>
              <w:t>Required funds and source of financing</w:t>
            </w:r>
          </w:p>
        </w:tc>
        <w:tc>
          <w:tcPr>
            <w:tcW w:w="5750" w:type="dxa"/>
          </w:tcPr>
          <w:p w14:paraId="18F87584" w14:textId="5FCEF9D3" w:rsidR="00EB1DF4" w:rsidRPr="00FA3F57" w:rsidRDefault="00EB1DF4" w:rsidP="00615D2C">
            <w:pPr>
              <w:rPr>
                <w:sz w:val="20"/>
                <w:szCs w:val="20"/>
              </w:rPr>
            </w:pPr>
            <w:r w:rsidRPr="00FA3F57">
              <w:rPr>
                <w:sz w:val="20"/>
                <w:szCs w:val="22"/>
              </w:rPr>
              <w:t>574,877,480</w:t>
            </w:r>
            <w:r w:rsidRPr="00FA3F57">
              <w:rPr>
                <w:rFonts w:ascii="Calibri" w:hAnsi="Calibri"/>
                <w:sz w:val="20"/>
                <w:szCs w:val="22"/>
              </w:rPr>
              <w:t xml:space="preserve"> </w:t>
            </w:r>
            <w:r w:rsidRPr="00FA3F57">
              <w:rPr>
                <w:sz w:val="20"/>
                <w:szCs w:val="20"/>
              </w:rPr>
              <w:t>RSD (4.9</w:t>
            </w:r>
            <w:r w:rsidR="0095439A" w:rsidRPr="00F07779">
              <w:rPr>
                <w:sz w:val="20"/>
                <w:szCs w:val="20"/>
              </w:rPr>
              <w:t>03</w:t>
            </w:r>
            <w:r w:rsidRPr="00FA3F57">
              <w:rPr>
                <w:sz w:val="20"/>
                <w:szCs w:val="20"/>
              </w:rPr>
              <w:t xml:space="preserve"> million</w:t>
            </w:r>
            <w:r w:rsidR="0095439A" w:rsidRPr="00F07779">
              <w:rPr>
                <w:sz w:val="20"/>
                <w:szCs w:val="20"/>
              </w:rPr>
              <w:t xml:space="preserve"> EUR</w:t>
            </w:r>
            <w:r w:rsidRPr="00FA3F57">
              <w:rPr>
                <w:sz w:val="20"/>
                <w:szCs w:val="20"/>
              </w:rPr>
              <w:t>)</w:t>
            </w:r>
          </w:p>
          <w:p w14:paraId="0EC10187" w14:textId="77777777" w:rsidR="00EB1DF4" w:rsidRPr="00FA3F57" w:rsidRDefault="00EB1DF4" w:rsidP="00615D2C">
            <w:pPr>
              <w:rPr>
                <w:sz w:val="20"/>
                <w:szCs w:val="20"/>
              </w:rPr>
            </w:pPr>
            <w:r w:rsidRPr="00FA3F57">
              <w:rPr>
                <w:sz w:val="20"/>
                <w:szCs w:val="20"/>
              </w:rPr>
              <w:t>Funded from EPS equity</w:t>
            </w:r>
          </w:p>
        </w:tc>
      </w:tr>
      <w:tr w:rsidR="002B1C18" w:rsidRPr="00F07779" w14:paraId="511B2D17" w14:textId="77777777" w:rsidTr="00615D2C">
        <w:tc>
          <w:tcPr>
            <w:tcW w:w="2965" w:type="dxa"/>
          </w:tcPr>
          <w:p w14:paraId="7B54348D" w14:textId="77777777" w:rsidR="00EB1DF4" w:rsidRPr="00FA3F57" w:rsidRDefault="00EB1DF4" w:rsidP="00615D2C">
            <w:pPr>
              <w:rPr>
                <w:sz w:val="20"/>
                <w:szCs w:val="20"/>
              </w:rPr>
            </w:pPr>
            <w:r w:rsidRPr="00FA3F57">
              <w:rPr>
                <w:sz w:val="20"/>
                <w:szCs w:val="20"/>
              </w:rPr>
              <w:t>2026</w:t>
            </w:r>
          </w:p>
        </w:tc>
        <w:tc>
          <w:tcPr>
            <w:tcW w:w="5750" w:type="dxa"/>
          </w:tcPr>
          <w:p w14:paraId="6870F95C" w14:textId="2252F2AA" w:rsidR="00EB1DF4" w:rsidRPr="00FA3F57" w:rsidRDefault="00EB1DF4" w:rsidP="00615D2C">
            <w:pPr>
              <w:rPr>
                <w:sz w:val="20"/>
                <w:szCs w:val="20"/>
              </w:rPr>
            </w:pPr>
            <w:r w:rsidRPr="00FA3F57">
              <w:rPr>
                <w:sz w:val="20"/>
                <w:szCs w:val="20"/>
              </w:rPr>
              <w:t>37,703,000 RSD (0.321 million</w:t>
            </w:r>
            <w:r w:rsidR="0095439A" w:rsidRPr="00F07779">
              <w:rPr>
                <w:sz w:val="20"/>
                <w:szCs w:val="20"/>
              </w:rPr>
              <w:t xml:space="preserve"> EUR</w:t>
            </w:r>
            <w:r w:rsidRPr="00FA3F57">
              <w:rPr>
                <w:sz w:val="20"/>
                <w:szCs w:val="20"/>
              </w:rPr>
              <w:t>)</w:t>
            </w:r>
          </w:p>
        </w:tc>
      </w:tr>
      <w:tr w:rsidR="002B1C18" w:rsidRPr="00F07779" w14:paraId="4EC12547" w14:textId="77777777" w:rsidTr="00615D2C">
        <w:tc>
          <w:tcPr>
            <w:tcW w:w="2965" w:type="dxa"/>
          </w:tcPr>
          <w:p w14:paraId="1A9DB010" w14:textId="77777777" w:rsidR="00EB1DF4" w:rsidRPr="00FA3F57" w:rsidRDefault="00EB1DF4" w:rsidP="00615D2C">
            <w:pPr>
              <w:rPr>
                <w:sz w:val="20"/>
                <w:szCs w:val="20"/>
              </w:rPr>
            </w:pPr>
            <w:r w:rsidRPr="00FA3F57">
              <w:rPr>
                <w:sz w:val="20"/>
                <w:szCs w:val="20"/>
              </w:rPr>
              <w:t>2027</w:t>
            </w:r>
          </w:p>
        </w:tc>
        <w:tc>
          <w:tcPr>
            <w:tcW w:w="5750" w:type="dxa"/>
          </w:tcPr>
          <w:p w14:paraId="2E780E16" w14:textId="77777777" w:rsidR="00EB1DF4" w:rsidRPr="00FA3F57" w:rsidRDefault="00EB1DF4" w:rsidP="00615D2C">
            <w:pPr>
              <w:rPr>
                <w:sz w:val="20"/>
                <w:szCs w:val="20"/>
              </w:rPr>
            </w:pPr>
          </w:p>
        </w:tc>
      </w:tr>
      <w:tr w:rsidR="002B1C18" w:rsidRPr="00F07779" w14:paraId="428681BA" w14:textId="77777777" w:rsidTr="00615D2C">
        <w:tc>
          <w:tcPr>
            <w:tcW w:w="2965" w:type="dxa"/>
          </w:tcPr>
          <w:p w14:paraId="62BFF2FA" w14:textId="77777777" w:rsidR="00EB1DF4" w:rsidRPr="00FA3F57" w:rsidRDefault="00EB1DF4" w:rsidP="00615D2C">
            <w:pPr>
              <w:rPr>
                <w:sz w:val="20"/>
                <w:szCs w:val="20"/>
              </w:rPr>
            </w:pPr>
            <w:r w:rsidRPr="00FA3F57">
              <w:rPr>
                <w:sz w:val="20"/>
                <w:szCs w:val="20"/>
              </w:rPr>
              <w:t>2028</w:t>
            </w:r>
          </w:p>
        </w:tc>
        <w:tc>
          <w:tcPr>
            <w:tcW w:w="5750" w:type="dxa"/>
          </w:tcPr>
          <w:p w14:paraId="78D94705" w14:textId="63342385" w:rsidR="00EB1DF4" w:rsidRPr="00FA3F57" w:rsidRDefault="00EB1DF4" w:rsidP="00615D2C">
            <w:pPr>
              <w:rPr>
                <w:sz w:val="20"/>
                <w:szCs w:val="20"/>
              </w:rPr>
            </w:pPr>
            <w:r w:rsidRPr="00FA3F57">
              <w:rPr>
                <w:sz w:val="20"/>
                <w:szCs w:val="20"/>
              </w:rPr>
              <w:t>537,174,480 RSD (4.583 million</w:t>
            </w:r>
            <w:r w:rsidR="0095439A" w:rsidRPr="00F07779">
              <w:rPr>
                <w:sz w:val="20"/>
                <w:szCs w:val="20"/>
              </w:rPr>
              <w:t xml:space="preserve"> EUR</w:t>
            </w:r>
            <w:r w:rsidRPr="00FA3F57">
              <w:rPr>
                <w:sz w:val="20"/>
                <w:szCs w:val="20"/>
              </w:rPr>
              <w:t>)</w:t>
            </w:r>
          </w:p>
        </w:tc>
      </w:tr>
      <w:tr w:rsidR="002B1C18" w:rsidRPr="00F07779" w14:paraId="65D86B72" w14:textId="77777777" w:rsidTr="00615D2C">
        <w:tc>
          <w:tcPr>
            <w:tcW w:w="2965" w:type="dxa"/>
          </w:tcPr>
          <w:p w14:paraId="3D2BA09A" w14:textId="77777777" w:rsidR="00EB1DF4" w:rsidRPr="00FA3F57" w:rsidRDefault="00EB1DF4" w:rsidP="00615D2C">
            <w:pPr>
              <w:rPr>
                <w:sz w:val="20"/>
                <w:szCs w:val="20"/>
              </w:rPr>
            </w:pPr>
            <w:r w:rsidRPr="00FA3F57">
              <w:rPr>
                <w:sz w:val="20"/>
                <w:szCs w:val="20"/>
              </w:rPr>
              <w:t>Implementation indicator</w:t>
            </w:r>
          </w:p>
        </w:tc>
        <w:tc>
          <w:tcPr>
            <w:tcW w:w="5750" w:type="dxa"/>
          </w:tcPr>
          <w:p w14:paraId="4DBCFA3A" w14:textId="77777777" w:rsidR="00EB1DF4" w:rsidRPr="00FA3F57" w:rsidRDefault="00EB1DF4" w:rsidP="00615D2C">
            <w:pPr>
              <w:rPr>
                <w:sz w:val="20"/>
                <w:szCs w:val="20"/>
              </w:rPr>
            </w:pPr>
            <w:r w:rsidRPr="00FA3F57">
              <w:rPr>
                <w:sz w:val="20"/>
                <w:szCs w:val="20"/>
              </w:rPr>
              <w:t xml:space="preserve">Reduction </w:t>
            </w:r>
            <w:proofErr w:type="gramStart"/>
            <w:r w:rsidRPr="00FA3F57">
              <w:rPr>
                <w:sz w:val="20"/>
                <w:szCs w:val="20"/>
              </w:rPr>
              <w:t>of</w:t>
            </w:r>
            <w:proofErr w:type="gramEnd"/>
            <w:r w:rsidRPr="00FA3F57">
              <w:rPr>
                <w:sz w:val="20"/>
                <w:szCs w:val="20"/>
              </w:rPr>
              <w:t xml:space="preserve"> the number of trains out of range</w:t>
            </w:r>
          </w:p>
        </w:tc>
      </w:tr>
      <w:tr w:rsidR="002B1C18" w:rsidRPr="00F07779" w14:paraId="5BDCDB7C" w14:textId="77777777" w:rsidTr="00615D2C">
        <w:tc>
          <w:tcPr>
            <w:tcW w:w="2965" w:type="dxa"/>
          </w:tcPr>
          <w:p w14:paraId="3A9ECF3A" w14:textId="77777777" w:rsidR="00EB1DF4" w:rsidRPr="00FA3F57" w:rsidRDefault="00EB1DF4" w:rsidP="00615D2C">
            <w:pPr>
              <w:rPr>
                <w:sz w:val="20"/>
                <w:szCs w:val="20"/>
              </w:rPr>
            </w:pPr>
            <w:r w:rsidRPr="00FA3F57">
              <w:rPr>
                <w:sz w:val="20"/>
                <w:szCs w:val="20"/>
              </w:rPr>
              <w:t>Impact of the activity on the achievement of the objective</w:t>
            </w:r>
          </w:p>
        </w:tc>
        <w:tc>
          <w:tcPr>
            <w:tcW w:w="5750" w:type="dxa"/>
          </w:tcPr>
          <w:p w14:paraId="7980C39A" w14:textId="77777777" w:rsidR="00EB1DF4" w:rsidRPr="00FA3F57" w:rsidRDefault="00EB1DF4" w:rsidP="00615D2C">
            <w:pPr>
              <w:rPr>
                <w:sz w:val="20"/>
                <w:szCs w:val="20"/>
              </w:rPr>
            </w:pPr>
            <w:r w:rsidRPr="00FA3F57">
              <w:rPr>
                <w:sz w:val="20"/>
                <w:szCs w:val="20"/>
              </w:rPr>
              <w:t>Ensuring the required coal quality</w:t>
            </w:r>
          </w:p>
        </w:tc>
      </w:tr>
      <w:tr w:rsidR="002B1C18" w:rsidRPr="00F07779" w14:paraId="203808F7" w14:textId="77777777" w:rsidTr="00615D2C">
        <w:tc>
          <w:tcPr>
            <w:tcW w:w="2965" w:type="dxa"/>
          </w:tcPr>
          <w:p w14:paraId="42DD1D81" w14:textId="77777777" w:rsidR="00EB1DF4" w:rsidRPr="00FA3F57" w:rsidRDefault="00EB1DF4" w:rsidP="00615D2C">
            <w:pPr>
              <w:rPr>
                <w:sz w:val="20"/>
                <w:szCs w:val="20"/>
              </w:rPr>
            </w:pPr>
            <w:r w:rsidRPr="00FA3F57">
              <w:rPr>
                <w:sz w:val="20"/>
                <w:szCs w:val="20"/>
              </w:rPr>
              <w:t>Impact on EE, climate, and environmental protection</w:t>
            </w:r>
          </w:p>
        </w:tc>
        <w:tc>
          <w:tcPr>
            <w:tcW w:w="5750" w:type="dxa"/>
          </w:tcPr>
          <w:p w14:paraId="37C1C890" w14:textId="77777777" w:rsidR="00EB1DF4" w:rsidRPr="00FA3F57" w:rsidRDefault="00EB1DF4" w:rsidP="00615D2C">
            <w:pPr>
              <w:rPr>
                <w:sz w:val="20"/>
                <w:szCs w:val="20"/>
              </w:rPr>
            </w:pPr>
            <w:r w:rsidRPr="00FA3F57">
              <w:rPr>
                <w:sz w:val="20"/>
                <w:szCs w:val="20"/>
              </w:rPr>
              <w:t>Increased utilization of thermal power plant units and reduced coal consumption</w:t>
            </w:r>
          </w:p>
        </w:tc>
      </w:tr>
    </w:tbl>
    <w:p w14:paraId="20BCBE9A" w14:textId="77777777" w:rsidR="00EB1DF4" w:rsidRPr="00F07779" w:rsidRDefault="00EB1DF4" w:rsidP="00EB1DF4">
      <w:pPr>
        <w:rPr>
          <w:b/>
        </w:rPr>
      </w:pPr>
    </w:p>
    <w:p w14:paraId="03E8EFBE" w14:textId="77777777" w:rsidR="00EB1DF4" w:rsidRPr="00FA3F57" w:rsidRDefault="00EB1DF4" w:rsidP="00EB1DF4">
      <w:r w:rsidRPr="00FA3F57">
        <w:t>Table 5.7.5-1: Activities for the implementation of measure U3-U3.1</w:t>
      </w:r>
    </w:p>
    <w:tbl>
      <w:tblPr>
        <w:tblW w:w="8612" w:type="dxa"/>
        <w:tblInd w:w="-5" w:type="dxa"/>
        <w:tblLayout w:type="fixed"/>
        <w:tblCellMar>
          <w:left w:w="10" w:type="dxa"/>
          <w:right w:w="10" w:type="dxa"/>
        </w:tblCellMar>
        <w:tblLook w:val="04A0" w:firstRow="1" w:lastRow="0" w:firstColumn="1" w:lastColumn="0" w:noHBand="0" w:noVBand="1"/>
      </w:tblPr>
      <w:tblGrid>
        <w:gridCol w:w="3010"/>
        <w:gridCol w:w="5602"/>
      </w:tblGrid>
      <w:tr w:rsidR="002B1C18" w:rsidRPr="00F07779" w14:paraId="2ECCBAF3" w14:textId="77777777" w:rsidTr="00615D2C">
        <w:tc>
          <w:tcPr>
            <w:tcW w:w="3010"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7F60C781" w14:textId="63159B27" w:rsidR="00EB1DF4" w:rsidRPr="00FA3F57" w:rsidRDefault="00EB1DF4" w:rsidP="00615D2C">
            <w:pPr>
              <w:pStyle w:val="Standard"/>
            </w:pPr>
            <w:r w:rsidRPr="00FA3F57">
              <w:rPr>
                <w:sz w:val="20"/>
                <w:szCs w:val="20"/>
              </w:rPr>
              <w:t>Activity U3.1</w:t>
            </w:r>
          </w:p>
        </w:tc>
        <w:tc>
          <w:tcPr>
            <w:tcW w:w="5602"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3ED28F35" w14:textId="77777777" w:rsidR="00EB1DF4" w:rsidRPr="00FA3F57" w:rsidRDefault="00EB1DF4" w:rsidP="00615D2C">
            <w:pPr>
              <w:pStyle w:val="Standard"/>
            </w:pPr>
            <w:r w:rsidRPr="00FA3F57">
              <w:rPr>
                <w:sz w:val="20"/>
                <w:szCs w:val="20"/>
              </w:rPr>
              <w:t>Investment in mine modernization – construction of facilities and capital maintenance</w:t>
            </w:r>
          </w:p>
        </w:tc>
      </w:tr>
      <w:tr w:rsidR="002B1C18" w:rsidRPr="00F07779" w14:paraId="77F289A0" w14:textId="77777777" w:rsidTr="00615D2C">
        <w:tc>
          <w:tcPr>
            <w:tcW w:w="30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F2CB5D2" w14:textId="77777777" w:rsidR="00EB1DF4" w:rsidRPr="00FA3F57" w:rsidRDefault="00EB1DF4" w:rsidP="00615D2C">
            <w:pPr>
              <w:pStyle w:val="Standard"/>
            </w:pPr>
            <w:r w:rsidRPr="00FA3F57">
              <w:rPr>
                <w:sz w:val="20"/>
                <w:szCs w:val="20"/>
              </w:rPr>
              <w:t>Description</w:t>
            </w:r>
          </w:p>
        </w:tc>
        <w:tc>
          <w:tcPr>
            <w:tcW w:w="56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148264F" w14:textId="77777777" w:rsidR="00EB1DF4" w:rsidRPr="00FA3F57" w:rsidRDefault="00EB1DF4" w:rsidP="00615D2C">
            <w:pPr>
              <w:pStyle w:val="Standard"/>
            </w:pPr>
            <w:r w:rsidRPr="00FA3F57">
              <w:rPr>
                <w:sz w:val="20"/>
                <w:szCs w:val="20"/>
              </w:rPr>
              <w:t xml:space="preserve">Investments in </w:t>
            </w:r>
            <w:proofErr w:type="gramStart"/>
            <w:r w:rsidRPr="00FA3F57">
              <w:rPr>
                <w:sz w:val="20"/>
                <w:szCs w:val="20"/>
              </w:rPr>
              <w:t>mine</w:t>
            </w:r>
            <w:proofErr w:type="gramEnd"/>
            <w:r w:rsidRPr="00FA3F57">
              <w:rPr>
                <w:sz w:val="20"/>
                <w:szCs w:val="20"/>
              </w:rPr>
              <w:t xml:space="preserve"> modernization, including facility construction and capital maintenance, total 7,290 meters. To concentrate production, planned investments are as follows: </w:t>
            </w:r>
            <w:proofErr w:type="spellStart"/>
            <w:r w:rsidRPr="00FA3F57">
              <w:rPr>
                <w:sz w:val="20"/>
                <w:szCs w:val="20"/>
              </w:rPr>
              <w:t>Rembas</w:t>
            </w:r>
            <w:proofErr w:type="spellEnd"/>
            <w:r w:rsidRPr="00FA3F57">
              <w:rPr>
                <w:sz w:val="20"/>
                <w:szCs w:val="20"/>
              </w:rPr>
              <w:t xml:space="preserve"> mine – 2,100 meters of new facilities (550 meters in </w:t>
            </w:r>
            <w:proofErr w:type="spellStart"/>
            <w:r w:rsidRPr="00FA3F57">
              <w:rPr>
                <w:sz w:val="20"/>
                <w:szCs w:val="20"/>
              </w:rPr>
              <w:t>Strmosten</w:t>
            </w:r>
            <w:proofErr w:type="spellEnd"/>
            <w:r w:rsidRPr="00FA3F57">
              <w:rPr>
                <w:sz w:val="20"/>
                <w:szCs w:val="20"/>
              </w:rPr>
              <w:t xml:space="preserve"> and 1,550 meters in IV Block); Soko mine – 2,880 meters (2,400 meters for facility construction and 480 meters for capital maintenance); </w:t>
            </w:r>
            <w:proofErr w:type="spellStart"/>
            <w:r w:rsidRPr="00FA3F57">
              <w:rPr>
                <w:sz w:val="20"/>
                <w:szCs w:val="20"/>
              </w:rPr>
              <w:t>Lubnica</w:t>
            </w:r>
            <w:proofErr w:type="spellEnd"/>
            <w:r w:rsidRPr="00FA3F57">
              <w:rPr>
                <w:sz w:val="20"/>
                <w:szCs w:val="20"/>
              </w:rPr>
              <w:t xml:space="preserve"> mine – 1,410 meters; and </w:t>
            </w:r>
            <w:proofErr w:type="spellStart"/>
            <w:r w:rsidRPr="00FA3F57">
              <w:rPr>
                <w:sz w:val="20"/>
                <w:szCs w:val="20"/>
              </w:rPr>
              <w:t>Štavalj</w:t>
            </w:r>
            <w:proofErr w:type="spellEnd"/>
            <w:r w:rsidRPr="00FA3F57">
              <w:rPr>
                <w:sz w:val="20"/>
                <w:szCs w:val="20"/>
              </w:rPr>
              <w:t xml:space="preserve"> mine – 900 meters</w:t>
            </w:r>
          </w:p>
        </w:tc>
      </w:tr>
      <w:tr w:rsidR="002B1C18" w:rsidRPr="00F07779" w14:paraId="3AEB2C11" w14:textId="77777777" w:rsidTr="00615D2C">
        <w:tc>
          <w:tcPr>
            <w:tcW w:w="30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E96B2BE" w14:textId="77777777" w:rsidR="00EB1DF4" w:rsidRPr="00FA3F57" w:rsidRDefault="00EB1DF4" w:rsidP="00615D2C">
            <w:pPr>
              <w:pStyle w:val="Standard"/>
            </w:pPr>
            <w:r w:rsidRPr="00FA3F57">
              <w:rPr>
                <w:sz w:val="20"/>
                <w:szCs w:val="20"/>
              </w:rPr>
              <w:t>Institutions responsible for the implementation of measures and activities</w:t>
            </w:r>
          </w:p>
        </w:tc>
        <w:tc>
          <w:tcPr>
            <w:tcW w:w="56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653E0FD" w14:textId="77777777" w:rsidR="00EB1DF4" w:rsidRPr="00FA3F57" w:rsidRDefault="00EB1DF4" w:rsidP="00615D2C">
            <w:pPr>
              <w:pStyle w:val="Standard"/>
            </w:pPr>
            <w:r w:rsidRPr="00FA3F57">
              <w:rPr>
                <w:sz w:val="20"/>
                <w:szCs w:val="20"/>
              </w:rPr>
              <w:t>Public Enterprise for Underground Coal Mining</w:t>
            </w:r>
          </w:p>
        </w:tc>
      </w:tr>
      <w:tr w:rsidR="002B1C18" w:rsidRPr="00F07779" w14:paraId="1609B4DC" w14:textId="77777777" w:rsidTr="00615D2C">
        <w:tc>
          <w:tcPr>
            <w:tcW w:w="30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B066010" w14:textId="77777777" w:rsidR="00EB1DF4" w:rsidRPr="00FA3F57" w:rsidRDefault="00EB1DF4" w:rsidP="00615D2C">
            <w:pPr>
              <w:pStyle w:val="Standard"/>
            </w:pPr>
            <w:r w:rsidRPr="00FA3F57">
              <w:rPr>
                <w:sz w:val="20"/>
                <w:szCs w:val="20"/>
              </w:rPr>
              <w:lastRenderedPageBreak/>
              <w:t>Institutions responsible for monitoring implementation and reporting on realization</w:t>
            </w:r>
          </w:p>
        </w:tc>
        <w:tc>
          <w:tcPr>
            <w:tcW w:w="56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EA0487C" w14:textId="77777777" w:rsidR="00EB1DF4" w:rsidRPr="00FA3F57" w:rsidRDefault="00EB1DF4" w:rsidP="00615D2C">
            <w:pPr>
              <w:pStyle w:val="Standard"/>
            </w:pPr>
            <w:r w:rsidRPr="00FA3F57">
              <w:rPr>
                <w:sz w:val="20"/>
                <w:szCs w:val="20"/>
              </w:rPr>
              <w:t>Ministry of Mining and Energy</w:t>
            </w:r>
          </w:p>
        </w:tc>
      </w:tr>
      <w:tr w:rsidR="002B1C18" w:rsidRPr="00F07779" w14:paraId="58DB4108" w14:textId="77777777" w:rsidTr="00615D2C">
        <w:tc>
          <w:tcPr>
            <w:tcW w:w="30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D6C207C" w14:textId="77777777" w:rsidR="00EB1DF4" w:rsidRPr="00FA3F57" w:rsidRDefault="00EB1DF4" w:rsidP="00615D2C">
            <w:pPr>
              <w:pStyle w:val="Standard"/>
            </w:pPr>
            <w:r w:rsidRPr="00FA3F57">
              <w:rPr>
                <w:sz w:val="20"/>
                <w:szCs w:val="20"/>
              </w:rPr>
              <w:t>Deadline for implementation</w:t>
            </w:r>
          </w:p>
        </w:tc>
        <w:tc>
          <w:tcPr>
            <w:tcW w:w="56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826F03E" w14:textId="62439542" w:rsidR="00EB1DF4" w:rsidRPr="00FA3F57" w:rsidRDefault="00EB1DF4" w:rsidP="00615D2C">
            <w:pPr>
              <w:pStyle w:val="Standard"/>
            </w:pPr>
            <w:r w:rsidRPr="00FA3F57">
              <w:rPr>
                <w:sz w:val="20"/>
                <w:szCs w:val="20"/>
              </w:rPr>
              <w:t>2028</w:t>
            </w:r>
            <w:r w:rsidR="0095439A" w:rsidRPr="00F07779">
              <w:rPr>
                <w:sz w:val="20"/>
                <w:szCs w:val="20"/>
              </w:rPr>
              <w:t>.</w:t>
            </w:r>
          </w:p>
        </w:tc>
      </w:tr>
      <w:tr w:rsidR="002B1C18" w:rsidRPr="00F07779" w14:paraId="2E5F6C4B" w14:textId="77777777" w:rsidTr="00615D2C">
        <w:tc>
          <w:tcPr>
            <w:tcW w:w="30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E5AA6D2" w14:textId="77777777" w:rsidR="00EB1DF4" w:rsidRPr="00FA3F57" w:rsidRDefault="00EB1DF4" w:rsidP="00615D2C">
            <w:pPr>
              <w:pStyle w:val="Standard"/>
            </w:pPr>
            <w:r w:rsidRPr="00FA3F57">
              <w:rPr>
                <w:sz w:val="20"/>
                <w:szCs w:val="20"/>
              </w:rPr>
              <w:t>Required funds and source of financing</w:t>
            </w:r>
          </w:p>
        </w:tc>
        <w:tc>
          <w:tcPr>
            <w:tcW w:w="56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6BEBB1B" w14:textId="55C1ED0D" w:rsidR="00EB1DF4" w:rsidRPr="00FA3F57" w:rsidRDefault="00EB1DF4" w:rsidP="00615D2C">
            <w:pPr>
              <w:spacing w:line="256" w:lineRule="auto"/>
            </w:pPr>
            <w:r w:rsidRPr="00FA3F57">
              <w:rPr>
                <w:sz w:val="20"/>
              </w:rPr>
              <w:t xml:space="preserve">3,120,493,000 </w:t>
            </w:r>
            <w:r w:rsidRPr="00FA3F57">
              <w:rPr>
                <w:sz w:val="20"/>
                <w:szCs w:val="20"/>
              </w:rPr>
              <w:t>RSD (26.614 million</w:t>
            </w:r>
            <w:r w:rsidR="0095439A" w:rsidRPr="00F07779">
              <w:rPr>
                <w:sz w:val="20"/>
                <w:szCs w:val="20"/>
              </w:rPr>
              <w:t xml:space="preserve"> EUR</w:t>
            </w:r>
            <w:r w:rsidRPr="00FA3F57">
              <w:rPr>
                <w:sz w:val="20"/>
                <w:szCs w:val="20"/>
              </w:rPr>
              <w:t>)</w:t>
            </w:r>
          </w:p>
          <w:p w14:paraId="7E1CB52D" w14:textId="77777777" w:rsidR="00EB1DF4" w:rsidRPr="00FA3F57" w:rsidRDefault="00EB1DF4" w:rsidP="00615D2C">
            <w:pPr>
              <w:spacing w:line="256" w:lineRule="auto"/>
            </w:pPr>
            <w:r w:rsidRPr="00FA3F57">
              <w:rPr>
                <w:sz w:val="20"/>
                <w:szCs w:val="20"/>
              </w:rPr>
              <w:t>Equity of the Public Enterprise for Underground Coal Mining</w:t>
            </w:r>
          </w:p>
        </w:tc>
      </w:tr>
      <w:tr w:rsidR="002B1C18" w:rsidRPr="00F07779" w14:paraId="497B8F36" w14:textId="77777777" w:rsidTr="00615D2C">
        <w:tc>
          <w:tcPr>
            <w:tcW w:w="30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144F60E" w14:textId="77777777" w:rsidR="00EB1DF4" w:rsidRPr="00FA3F57" w:rsidRDefault="00EB1DF4" w:rsidP="00615D2C">
            <w:pPr>
              <w:pStyle w:val="Standard"/>
            </w:pPr>
            <w:r w:rsidRPr="00FA3F57">
              <w:rPr>
                <w:sz w:val="20"/>
                <w:szCs w:val="20"/>
              </w:rPr>
              <w:t>2026</w:t>
            </w:r>
          </w:p>
        </w:tc>
        <w:tc>
          <w:tcPr>
            <w:tcW w:w="56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DA04B75" w14:textId="0BAFF107" w:rsidR="00EB1DF4" w:rsidRPr="00FA3F57" w:rsidRDefault="00EB1DF4" w:rsidP="00615D2C">
            <w:pPr>
              <w:pStyle w:val="Standard"/>
            </w:pPr>
            <w:r w:rsidRPr="00FA3F57">
              <w:rPr>
                <w:sz w:val="20"/>
                <w:szCs w:val="20"/>
              </w:rPr>
              <w:t>1,100,647,000 RSD (9.387 million</w:t>
            </w:r>
            <w:r w:rsidR="0095439A" w:rsidRPr="00F07779">
              <w:rPr>
                <w:sz w:val="20"/>
                <w:szCs w:val="20"/>
              </w:rPr>
              <w:t xml:space="preserve"> EUR</w:t>
            </w:r>
            <w:r w:rsidRPr="00FA3F57">
              <w:rPr>
                <w:sz w:val="20"/>
                <w:szCs w:val="20"/>
              </w:rPr>
              <w:t>)</w:t>
            </w:r>
          </w:p>
        </w:tc>
      </w:tr>
      <w:tr w:rsidR="002B1C18" w:rsidRPr="00F07779" w14:paraId="59085140" w14:textId="77777777" w:rsidTr="00615D2C">
        <w:tc>
          <w:tcPr>
            <w:tcW w:w="30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431DDF1" w14:textId="77777777" w:rsidR="00EB1DF4" w:rsidRPr="00FA3F57" w:rsidRDefault="00EB1DF4" w:rsidP="00615D2C">
            <w:pPr>
              <w:pStyle w:val="Standard"/>
            </w:pPr>
            <w:r w:rsidRPr="00FA3F57">
              <w:rPr>
                <w:sz w:val="20"/>
                <w:szCs w:val="20"/>
              </w:rPr>
              <w:t>2027</w:t>
            </w:r>
          </w:p>
        </w:tc>
        <w:tc>
          <w:tcPr>
            <w:tcW w:w="56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81C196E" w14:textId="77BE6332" w:rsidR="00EB1DF4" w:rsidRPr="00FA3F57" w:rsidRDefault="00EB1DF4" w:rsidP="00615D2C">
            <w:pPr>
              <w:pStyle w:val="Standard"/>
            </w:pPr>
            <w:r w:rsidRPr="00FA3F57">
              <w:rPr>
                <w:sz w:val="20"/>
                <w:szCs w:val="20"/>
              </w:rPr>
              <w:t>947,775,000 RSD (8.083 million</w:t>
            </w:r>
            <w:r w:rsidR="0095439A" w:rsidRPr="00F07779">
              <w:rPr>
                <w:sz w:val="20"/>
                <w:szCs w:val="20"/>
              </w:rPr>
              <w:t xml:space="preserve"> EUR</w:t>
            </w:r>
            <w:r w:rsidRPr="00FA3F57">
              <w:rPr>
                <w:sz w:val="20"/>
                <w:szCs w:val="20"/>
              </w:rPr>
              <w:t>)</w:t>
            </w:r>
          </w:p>
        </w:tc>
      </w:tr>
      <w:tr w:rsidR="002B1C18" w:rsidRPr="00F07779" w14:paraId="6517A475" w14:textId="77777777" w:rsidTr="00615D2C">
        <w:tc>
          <w:tcPr>
            <w:tcW w:w="30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F21D83F" w14:textId="77777777" w:rsidR="00EB1DF4" w:rsidRPr="00FA3F57" w:rsidRDefault="00EB1DF4" w:rsidP="00615D2C">
            <w:pPr>
              <w:pStyle w:val="Standard"/>
            </w:pPr>
            <w:r w:rsidRPr="00FA3F57">
              <w:rPr>
                <w:sz w:val="20"/>
                <w:szCs w:val="20"/>
              </w:rPr>
              <w:t>2028</w:t>
            </w:r>
          </w:p>
        </w:tc>
        <w:tc>
          <w:tcPr>
            <w:tcW w:w="56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071B41D" w14:textId="5DF06435" w:rsidR="00EB1DF4" w:rsidRPr="00FA3F57" w:rsidRDefault="00EB1DF4" w:rsidP="00615D2C">
            <w:pPr>
              <w:pStyle w:val="Standard"/>
            </w:pPr>
            <w:r w:rsidRPr="00FA3F57">
              <w:rPr>
                <w:sz w:val="20"/>
                <w:szCs w:val="20"/>
              </w:rPr>
              <w:t>1,072,071,000 RSD (9.147 million</w:t>
            </w:r>
            <w:r w:rsidR="0095439A" w:rsidRPr="00F07779">
              <w:rPr>
                <w:sz w:val="20"/>
                <w:szCs w:val="20"/>
              </w:rPr>
              <w:t xml:space="preserve"> EUR</w:t>
            </w:r>
            <w:r w:rsidRPr="00FA3F57">
              <w:rPr>
                <w:sz w:val="20"/>
                <w:szCs w:val="20"/>
              </w:rPr>
              <w:t>)</w:t>
            </w:r>
          </w:p>
        </w:tc>
      </w:tr>
      <w:tr w:rsidR="002B1C18" w:rsidRPr="00F07779" w14:paraId="1A491199" w14:textId="77777777" w:rsidTr="00615D2C">
        <w:tc>
          <w:tcPr>
            <w:tcW w:w="30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70D1A3C" w14:textId="77777777" w:rsidR="00EB1DF4" w:rsidRPr="00FA3F57" w:rsidRDefault="00EB1DF4" w:rsidP="00615D2C">
            <w:pPr>
              <w:pStyle w:val="Standard"/>
            </w:pPr>
            <w:r w:rsidRPr="00FA3F57">
              <w:rPr>
                <w:sz w:val="20"/>
                <w:szCs w:val="20"/>
              </w:rPr>
              <w:t>Implementation indicator</w:t>
            </w:r>
          </w:p>
        </w:tc>
        <w:tc>
          <w:tcPr>
            <w:tcW w:w="56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B441B2" w14:textId="77777777" w:rsidR="00EB1DF4" w:rsidRPr="00FA3F57" w:rsidRDefault="00EB1DF4" w:rsidP="00615D2C">
            <w:pPr>
              <w:pStyle w:val="Standard"/>
            </w:pPr>
            <w:r w:rsidRPr="00FA3F57">
              <w:rPr>
                <w:sz w:val="20"/>
                <w:szCs w:val="20"/>
              </w:rPr>
              <w:t>Increase in production from the Public Enterprise for Underground Coal Mining (JP for PEU) by 100,000 tons by 2027 compared to 2023.</w:t>
            </w:r>
          </w:p>
        </w:tc>
      </w:tr>
      <w:tr w:rsidR="002B1C18" w:rsidRPr="00F07779" w14:paraId="386BD4A9" w14:textId="77777777" w:rsidTr="00615D2C">
        <w:tc>
          <w:tcPr>
            <w:tcW w:w="30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034DC73" w14:textId="77777777" w:rsidR="00EB1DF4" w:rsidRPr="00FA3F57" w:rsidRDefault="00EB1DF4" w:rsidP="00615D2C">
            <w:pPr>
              <w:pStyle w:val="Standard"/>
            </w:pPr>
            <w:r w:rsidRPr="00FA3F57">
              <w:rPr>
                <w:sz w:val="20"/>
                <w:szCs w:val="20"/>
              </w:rPr>
              <w:t>Impact of the activity on the achievement of the objective</w:t>
            </w:r>
          </w:p>
        </w:tc>
        <w:tc>
          <w:tcPr>
            <w:tcW w:w="56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9CE4B" w14:textId="77777777" w:rsidR="00EB1DF4" w:rsidRPr="00FA3F57" w:rsidRDefault="00EB1DF4" w:rsidP="00615D2C">
            <w:pPr>
              <w:pStyle w:val="Standard"/>
            </w:pPr>
            <w:r w:rsidRPr="00FA3F57">
              <w:rPr>
                <w:sz w:val="20"/>
                <w:szCs w:val="20"/>
              </w:rPr>
              <w:t>Increase of 3% in coal quantities for industrial and general consumption from domestic production.</w:t>
            </w:r>
          </w:p>
        </w:tc>
      </w:tr>
    </w:tbl>
    <w:p w14:paraId="1BCA2F34" w14:textId="77777777" w:rsidR="00EB1DF4" w:rsidRPr="00F07779" w:rsidRDefault="00EB1DF4" w:rsidP="00EB1DF4">
      <w:pPr>
        <w:pStyle w:val="Standard"/>
      </w:pPr>
    </w:p>
    <w:p w14:paraId="3681A3F3" w14:textId="77777777" w:rsidR="00EB1DF4" w:rsidRPr="00FA3F57" w:rsidRDefault="00EB1DF4" w:rsidP="00EB1DF4">
      <w:pPr>
        <w:pStyle w:val="Standard"/>
      </w:pPr>
      <w:r w:rsidRPr="00FA3F57">
        <w:t>Table 5.7.5-2: Activities for the implementation of measure U3-U3.2</w:t>
      </w:r>
    </w:p>
    <w:tbl>
      <w:tblPr>
        <w:tblW w:w="8612" w:type="dxa"/>
        <w:tblInd w:w="-5" w:type="dxa"/>
        <w:tblLayout w:type="fixed"/>
        <w:tblCellMar>
          <w:left w:w="10" w:type="dxa"/>
          <w:right w:w="10" w:type="dxa"/>
        </w:tblCellMar>
        <w:tblLook w:val="04A0" w:firstRow="1" w:lastRow="0" w:firstColumn="1" w:lastColumn="0" w:noHBand="0" w:noVBand="1"/>
      </w:tblPr>
      <w:tblGrid>
        <w:gridCol w:w="3010"/>
        <w:gridCol w:w="5602"/>
      </w:tblGrid>
      <w:tr w:rsidR="002B1C18" w:rsidRPr="00F07779" w14:paraId="363ED449" w14:textId="77777777" w:rsidTr="00615D2C">
        <w:tc>
          <w:tcPr>
            <w:tcW w:w="3010"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3C1DAC99" w14:textId="1E7DDAD0" w:rsidR="00EB1DF4" w:rsidRPr="00FA3F57" w:rsidRDefault="00EB1DF4" w:rsidP="00615D2C">
            <w:pPr>
              <w:pStyle w:val="Standard"/>
            </w:pPr>
            <w:r w:rsidRPr="00FA3F57">
              <w:rPr>
                <w:sz w:val="20"/>
                <w:szCs w:val="20"/>
              </w:rPr>
              <w:t>Activity U3.2</w:t>
            </w:r>
          </w:p>
        </w:tc>
        <w:tc>
          <w:tcPr>
            <w:tcW w:w="5602"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59734585" w14:textId="77777777" w:rsidR="00EB1DF4" w:rsidRPr="00FA3F57" w:rsidRDefault="00EB1DF4" w:rsidP="00615D2C">
            <w:pPr>
              <w:pStyle w:val="Standard"/>
            </w:pPr>
            <w:r w:rsidRPr="00FA3F57">
              <w:rPr>
                <w:sz w:val="20"/>
                <w:szCs w:val="20"/>
              </w:rPr>
              <w:t>Investment in exploration works</w:t>
            </w:r>
          </w:p>
        </w:tc>
      </w:tr>
      <w:tr w:rsidR="002B1C18" w:rsidRPr="00F07779" w14:paraId="04A65C35" w14:textId="77777777" w:rsidTr="00615D2C">
        <w:tc>
          <w:tcPr>
            <w:tcW w:w="30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362CD9D" w14:textId="77777777" w:rsidR="00EB1DF4" w:rsidRPr="00FA3F57" w:rsidRDefault="00EB1DF4" w:rsidP="00615D2C">
            <w:pPr>
              <w:pStyle w:val="Standard"/>
            </w:pPr>
            <w:r w:rsidRPr="00FA3F57">
              <w:rPr>
                <w:sz w:val="20"/>
                <w:szCs w:val="20"/>
              </w:rPr>
              <w:t>Description</w:t>
            </w:r>
          </w:p>
        </w:tc>
        <w:tc>
          <w:tcPr>
            <w:tcW w:w="56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076B264" w14:textId="77777777" w:rsidR="00EB1DF4" w:rsidRPr="00FA3F57" w:rsidRDefault="00EB1DF4" w:rsidP="00615D2C">
            <w:pPr>
              <w:pStyle w:val="Standard"/>
            </w:pPr>
            <w:r w:rsidRPr="00FA3F57">
              <w:rPr>
                <w:sz w:val="20"/>
                <w:szCs w:val="20"/>
              </w:rPr>
              <w:t>Investments in geological exploration for the purpose of opening new mining sites. For new geological exploration, a total of 14,610 meters of drilling from the surface and 15,230 meters from shafts are planned, amounting to a total of 29,840 meters by 2027 (10,225 meters in 2025; 10,550 meters in 2026; and 9,060 meters in 2027). The largest portion of this work is planned for the Soko mine (54%), including 4,410 meters of surface drilling and 11,750 meters from shafts.</w:t>
            </w:r>
          </w:p>
        </w:tc>
      </w:tr>
      <w:tr w:rsidR="002B1C18" w:rsidRPr="00F07779" w14:paraId="79E9F32F" w14:textId="77777777" w:rsidTr="00615D2C">
        <w:tc>
          <w:tcPr>
            <w:tcW w:w="30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D2C015E" w14:textId="77777777" w:rsidR="00EB1DF4" w:rsidRPr="00FA3F57" w:rsidRDefault="00EB1DF4" w:rsidP="00615D2C">
            <w:pPr>
              <w:pStyle w:val="Standard"/>
            </w:pPr>
            <w:r w:rsidRPr="00FA3F57">
              <w:rPr>
                <w:sz w:val="20"/>
                <w:szCs w:val="20"/>
              </w:rPr>
              <w:t>Institutions responsible for the implementation of measures and activities</w:t>
            </w:r>
          </w:p>
        </w:tc>
        <w:tc>
          <w:tcPr>
            <w:tcW w:w="56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3D621F" w14:textId="77777777" w:rsidR="00EB1DF4" w:rsidRPr="00FA3F57" w:rsidRDefault="00EB1DF4" w:rsidP="00615D2C">
            <w:pPr>
              <w:pStyle w:val="Standard"/>
            </w:pPr>
            <w:r w:rsidRPr="00FA3F57">
              <w:rPr>
                <w:sz w:val="20"/>
                <w:szCs w:val="20"/>
              </w:rPr>
              <w:t>Public Enterprise for Underground Coal Mining</w:t>
            </w:r>
          </w:p>
        </w:tc>
      </w:tr>
      <w:tr w:rsidR="002B1C18" w:rsidRPr="00F07779" w14:paraId="7EF38281" w14:textId="77777777" w:rsidTr="00615D2C">
        <w:tc>
          <w:tcPr>
            <w:tcW w:w="30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F234D8F" w14:textId="77777777" w:rsidR="00EB1DF4" w:rsidRPr="00FA3F57" w:rsidRDefault="00EB1DF4" w:rsidP="00615D2C">
            <w:pPr>
              <w:pStyle w:val="Standard"/>
            </w:pPr>
            <w:r w:rsidRPr="00FA3F57">
              <w:rPr>
                <w:sz w:val="20"/>
                <w:szCs w:val="20"/>
              </w:rPr>
              <w:t>Institutions responsible for monitoring implementation and reporting on realization</w:t>
            </w:r>
          </w:p>
        </w:tc>
        <w:tc>
          <w:tcPr>
            <w:tcW w:w="56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863279D" w14:textId="77777777" w:rsidR="00EB1DF4" w:rsidRPr="00FA3F57" w:rsidRDefault="00EB1DF4" w:rsidP="00615D2C">
            <w:pPr>
              <w:pStyle w:val="Standard"/>
            </w:pPr>
            <w:r w:rsidRPr="00FA3F57">
              <w:rPr>
                <w:sz w:val="20"/>
                <w:szCs w:val="20"/>
              </w:rPr>
              <w:t>Ministry of Mining and Energy</w:t>
            </w:r>
          </w:p>
        </w:tc>
      </w:tr>
      <w:tr w:rsidR="002B1C18" w:rsidRPr="00F07779" w14:paraId="4395AD80" w14:textId="77777777" w:rsidTr="00615D2C">
        <w:tc>
          <w:tcPr>
            <w:tcW w:w="30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EE29236" w14:textId="77777777" w:rsidR="00EB1DF4" w:rsidRPr="00FA3F57" w:rsidRDefault="00EB1DF4" w:rsidP="00615D2C">
            <w:pPr>
              <w:pStyle w:val="Standard"/>
            </w:pPr>
            <w:r w:rsidRPr="00FA3F57">
              <w:rPr>
                <w:sz w:val="20"/>
                <w:szCs w:val="20"/>
              </w:rPr>
              <w:t>Deadline for implementation</w:t>
            </w:r>
          </w:p>
        </w:tc>
        <w:tc>
          <w:tcPr>
            <w:tcW w:w="56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5100B7E" w14:textId="6A41266F" w:rsidR="00EB1DF4" w:rsidRPr="00FA3F57" w:rsidRDefault="00EB1DF4" w:rsidP="00615D2C">
            <w:pPr>
              <w:pStyle w:val="Standard"/>
            </w:pPr>
            <w:r w:rsidRPr="00FA3F57">
              <w:rPr>
                <w:sz w:val="20"/>
                <w:szCs w:val="20"/>
              </w:rPr>
              <w:t>2028</w:t>
            </w:r>
            <w:r w:rsidR="0095439A" w:rsidRPr="00F07779">
              <w:rPr>
                <w:sz w:val="20"/>
                <w:szCs w:val="20"/>
              </w:rPr>
              <w:t>.</w:t>
            </w:r>
          </w:p>
        </w:tc>
      </w:tr>
      <w:tr w:rsidR="002B1C18" w:rsidRPr="00F07779" w14:paraId="5DD39A4C" w14:textId="77777777" w:rsidTr="00615D2C">
        <w:tc>
          <w:tcPr>
            <w:tcW w:w="30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02DE156" w14:textId="77777777" w:rsidR="00EB1DF4" w:rsidRPr="00FA3F57" w:rsidRDefault="00EB1DF4" w:rsidP="00615D2C">
            <w:pPr>
              <w:pStyle w:val="Standard"/>
            </w:pPr>
            <w:r w:rsidRPr="00FA3F57">
              <w:rPr>
                <w:sz w:val="20"/>
                <w:szCs w:val="20"/>
              </w:rPr>
              <w:t>Required funds and source of financing</w:t>
            </w:r>
          </w:p>
        </w:tc>
        <w:tc>
          <w:tcPr>
            <w:tcW w:w="56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B2A9847" w14:textId="606C60B7" w:rsidR="00EB1DF4" w:rsidRPr="00FA3F57" w:rsidRDefault="00EB1DF4" w:rsidP="00615D2C">
            <w:r w:rsidRPr="00FA3F57">
              <w:rPr>
                <w:sz w:val="20"/>
                <w:szCs w:val="20"/>
              </w:rPr>
              <w:t>118,979,200 RSD (1.014 million</w:t>
            </w:r>
            <w:r w:rsidR="0095439A" w:rsidRPr="00F07779">
              <w:rPr>
                <w:sz w:val="20"/>
                <w:szCs w:val="20"/>
              </w:rPr>
              <w:t xml:space="preserve"> EUR</w:t>
            </w:r>
            <w:r w:rsidRPr="00FA3F57">
              <w:rPr>
                <w:sz w:val="20"/>
                <w:szCs w:val="20"/>
              </w:rPr>
              <w:t>)</w:t>
            </w:r>
          </w:p>
          <w:p w14:paraId="0C20B530" w14:textId="77777777" w:rsidR="00EB1DF4" w:rsidRPr="00FA3F57" w:rsidRDefault="00EB1DF4" w:rsidP="00615D2C">
            <w:pPr>
              <w:pStyle w:val="Standard"/>
            </w:pPr>
            <w:r w:rsidRPr="00FA3F57">
              <w:rPr>
                <w:sz w:val="20"/>
                <w:szCs w:val="20"/>
              </w:rPr>
              <w:t>Equity of the Public Enterprise for Underground Coal Mining</w:t>
            </w:r>
          </w:p>
        </w:tc>
      </w:tr>
      <w:tr w:rsidR="002B1C18" w:rsidRPr="00F07779" w14:paraId="714E0428" w14:textId="77777777" w:rsidTr="00615D2C">
        <w:tc>
          <w:tcPr>
            <w:tcW w:w="30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0BD828C" w14:textId="77777777" w:rsidR="00EB1DF4" w:rsidRPr="00FA3F57" w:rsidRDefault="00EB1DF4" w:rsidP="00615D2C">
            <w:pPr>
              <w:pStyle w:val="Standard"/>
            </w:pPr>
            <w:r w:rsidRPr="00FA3F57">
              <w:rPr>
                <w:sz w:val="20"/>
                <w:szCs w:val="20"/>
              </w:rPr>
              <w:t>2026</w:t>
            </w:r>
          </w:p>
        </w:tc>
        <w:tc>
          <w:tcPr>
            <w:tcW w:w="56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45E425" w14:textId="38C73801" w:rsidR="00EB1DF4" w:rsidRPr="00FA3F57" w:rsidRDefault="00EB1DF4" w:rsidP="00615D2C">
            <w:pPr>
              <w:pStyle w:val="Standard"/>
            </w:pPr>
            <w:r w:rsidRPr="00FA3F57">
              <w:rPr>
                <w:sz w:val="20"/>
                <w:szCs w:val="20"/>
              </w:rPr>
              <w:t>39,203,600 RSD (0.335 million</w:t>
            </w:r>
            <w:r w:rsidR="0095439A" w:rsidRPr="00F07779">
              <w:rPr>
                <w:sz w:val="20"/>
                <w:szCs w:val="20"/>
              </w:rPr>
              <w:t xml:space="preserve"> EUR</w:t>
            </w:r>
            <w:r w:rsidRPr="00FA3F57">
              <w:rPr>
                <w:sz w:val="20"/>
                <w:szCs w:val="20"/>
              </w:rPr>
              <w:t>)</w:t>
            </w:r>
          </w:p>
        </w:tc>
      </w:tr>
      <w:tr w:rsidR="002B1C18" w:rsidRPr="00F07779" w14:paraId="3939F01A" w14:textId="77777777" w:rsidTr="00615D2C">
        <w:tc>
          <w:tcPr>
            <w:tcW w:w="30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9025805" w14:textId="77777777" w:rsidR="00EB1DF4" w:rsidRPr="00FA3F57" w:rsidRDefault="00EB1DF4" w:rsidP="00615D2C">
            <w:pPr>
              <w:pStyle w:val="Standard"/>
            </w:pPr>
            <w:r w:rsidRPr="00FA3F57">
              <w:rPr>
                <w:sz w:val="20"/>
                <w:szCs w:val="20"/>
              </w:rPr>
              <w:t>2027</w:t>
            </w:r>
          </w:p>
        </w:tc>
        <w:tc>
          <w:tcPr>
            <w:tcW w:w="56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9F78F1C" w14:textId="4DBC4AF1" w:rsidR="00EB1DF4" w:rsidRPr="00FA3F57" w:rsidRDefault="00EB1DF4" w:rsidP="00615D2C">
            <w:pPr>
              <w:pStyle w:val="Standard"/>
            </w:pPr>
            <w:r w:rsidRPr="00FA3F57">
              <w:rPr>
                <w:sz w:val="20"/>
                <w:szCs w:val="20"/>
              </w:rPr>
              <w:t>41,077,800 RSD (0.350 million</w:t>
            </w:r>
            <w:r w:rsidR="0095439A" w:rsidRPr="00F07779">
              <w:rPr>
                <w:sz w:val="20"/>
                <w:szCs w:val="20"/>
              </w:rPr>
              <w:t xml:space="preserve"> EUR</w:t>
            </w:r>
            <w:r w:rsidRPr="00FA3F57">
              <w:rPr>
                <w:sz w:val="20"/>
                <w:szCs w:val="20"/>
              </w:rPr>
              <w:t>)</w:t>
            </w:r>
          </w:p>
        </w:tc>
      </w:tr>
      <w:tr w:rsidR="002B1C18" w:rsidRPr="00F07779" w14:paraId="06B03650" w14:textId="77777777" w:rsidTr="00615D2C">
        <w:tc>
          <w:tcPr>
            <w:tcW w:w="30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EBCE17E" w14:textId="77777777" w:rsidR="00EB1DF4" w:rsidRPr="00FA3F57" w:rsidRDefault="00EB1DF4" w:rsidP="00615D2C">
            <w:pPr>
              <w:pStyle w:val="Standard"/>
            </w:pPr>
            <w:r w:rsidRPr="00FA3F57">
              <w:rPr>
                <w:sz w:val="20"/>
                <w:szCs w:val="20"/>
              </w:rPr>
              <w:t>2028</w:t>
            </w:r>
          </w:p>
        </w:tc>
        <w:tc>
          <w:tcPr>
            <w:tcW w:w="56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F23ACFD" w14:textId="4B93CB74" w:rsidR="00EB1DF4" w:rsidRPr="00FA3F57" w:rsidRDefault="00EB1DF4" w:rsidP="00615D2C">
            <w:pPr>
              <w:pStyle w:val="Standard"/>
            </w:pPr>
            <w:r w:rsidRPr="00FA3F57">
              <w:rPr>
                <w:sz w:val="20"/>
                <w:szCs w:val="20"/>
              </w:rPr>
              <w:t>38,697,800 RSD (0.330 million</w:t>
            </w:r>
            <w:r w:rsidR="0095439A" w:rsidRPr="00F07779">
              <w:rPr>
                <w:sz w:val="20"/>
                <w:szCs w:val="20"/>
              </w:rPr>
              <w:t xml:space="preserve"> EUR</w:t>
            </w:r>
            <w:r w:rsidRPr="00FA3F57">
              <w:rPr>
                <w:sz w:val="20"/>
                <w:szCs w:val="20"/>
              </w:rPr>
              <w:t>)</w:t>
            </w:r>
          </w:p>
        </w:tc>
      </w:tr>
      <w:tr w:rsidR="002B1C18" w:rsidRPr="00F07779" w14:paraId="151D00CE" w14:textId="77777777" w:rsidTr="00615D2C">
        <w:tc>
          <w:tcPr>
            <w:tcW w:w="30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1204AB8" w14:textId="77777777" w:rsidR="00EB1DF4" w:rsidRPr="00FA3F57" w:rsidRDefault="00EB1DF4" w:rsidP="00615D2C">
            <w:pPr>
              <w:pStyle w:val="Standard"/>
            </w:pPr>
            <w:r w:rsidRPr="00FA3F57">
              <w:rPr>
                <w:sz w:val="20"/>
                <w:szCs w:val="20"/>
              </w:rPr>
              <w:t>Implementation indicator</w:t>
            </w:r>
          </w:p>
        </w:tc>
        <w:tc>
          <w:tcPr>
            <w:tcW w:w="56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EDF3C67" w14:textId="77777777" w:rsidR="00EB1DF4" w:rsidRPr="00FA3F57" w:rsidRDefault="00EB1DF4" w:rsidP="00615D2C">
            <w:pPr>
              <w:pStyle w:val="Standard"/>
            </w:pPr>
            <w:r w:rsidRPr="00FA3F57">
              <w:rPr>
                <w:sz w:val="20"/>
                <w:szCs w:val="20"/>
              </w:rPr>
              <w:t>Ensuring the necessary reserves for exploitation in the upcoming period</w:t>
            </w:r>
          </w:p>
        </w:tc>
      </w:tr>
      <w:tr w:rsidR="002B1C18" w:rsidRPr="00F07779" w14:paraId="115EAE8A" w14:textId="77777777" w:rsidTr="00615D2C">
        <w:tc>
          <w:tcPr>
            <w:tcW w:w="30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4B499F5" w14:textId="77777777" w:rsidR="00EB1DF4" w:rsidRPr="00FA3F57" w:rsidRDefault="00EB1DF4" w:rsidP="00615D2C">
            <w:pPr>
              <w:pStyle w:val="Standard"/>
            </w:pPr>
            <w:r w:rsidRPr="00FA3F57">
              <w:rPr>
                <w:sz w:val="20"/>
                <w:szCs w:val="20"/>
              </w:rPr>
              <w:t>Impact of the activity on the achievement of the objective</w:t>
            </w:r>
          </w:p>
        </w:tc>
        <w:tc>
          <w:tcPr>
            <w:tcW w:w="56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830B8A" w14:textId="77777777" w:rsidR="00EB1DF4" w:rsidRPr="00FA3F57" w:rsidRDefault="00EB1DF4" w:rsidP="00615D2C">
            <w:pPr>
              <w:pStyle w:val="Standard"/>
            </w:pPr>
            <w:r w:rsidRPr="00FA3F57">
              <w:rPr>
                <w:sz w:val="20"/>
                <w:szCs w:val="20"/>
              </w:rPr>
              <w:t>Increase in coal quantities for industrial and general consumption from domestic production</w:t>
            </w:r>
          </w:p>
        </w:tc>
      </w:tr>
      <w:tr w:rsidR="002B1C18" w:rsidRPr="00F07779" w14:paraId="2D5F3B6B" w14:textId="77777777" w:rsidTr="00615D2C">
        <w:tc>
          <w:tcPr>
            <w:tcW w:w="30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85A8BEB" w14:textId="77777777" w:rsidR="00EB1DF4" w:rsidRPr="00FA3F57" w:rsidRDefault="00EB1DF4" w:rsidP="00615D2C">
            <w:pPr>
              <w:pStyle w:val="Standard"/>
            </w:pPr>
            <w:r w:rsidRPr="00FA3F57">
              <w:rPr>
                <w:sz w:val="20"/>
                <w:szCs w:val="20"/>
              </w:rPr>
              <w:t>Impact on EE, climate, and environmental protection</w:t>
            </w:r>
          </w:p>
        </w:tc>
        <w:tc>
          <w:tcPr>
            <w:tcW w:w="56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4B6A185" w14:textId="77777777" w:rsidR="00EB1DF4" w:rsidRPr="00FA3F57" w:rsidRDefault="00EB1DF4" w:rsidP="00615D2C">
            <w:pPr>
              <w:pStyle w:val="Standard"/>
            </w:pPr>
            <w:r w:rsidRPr="00FA3F57">
              <w:rPr>
                <w:sz w:val="20"/>
                <w:szCs w:val="20"/>
              </w:rPr>
              <w:t>None</w:t>
            </w:r>
          </w:p>
        </w:tc>
      </w:tr>
    </w:tbl>
    <w:p w14:paraId="39773204" w14:textId="77777777" w:rsidR="00EB1DF4" w:rsidRPr="00F07779" w:rsidRDefault="00EB1DF4" w:rsidP="00EB1DF4">
      <w:pPr>
        <w:pStyle w:val="Standard"/>
      </w:pPr>
    </w:p>
    <w:p w14:paraId="2CC69B7F" w14:textId="77777777" w:rsidR="00EB1DF4" w:rsidRPr="00F07779" w:rsidRDefault="00EB1DF4" w:rsidP="00EB1DF4">
      <w:pPr>
        <w:pStyle w:val="Standard"/>
      </w:pPr>
    </w:p>
    <w:tbl>
      <w:tblPr>
        <w:tblW w:w="8715" w:type="dxa"/>
        <w:tblInd w:w="-108" w:type="dxa"/>
        <w:tblLayout w:type="fixed"/>
        <w:tblCellMar>
          <w:left w:w="10" w:type="dxa"/>
          <w:right w:w="10" w:type="dxa"/>
        </w:tblCellMar>
        <w:tblLook w:val="04A0" w:firstRow="1" w:lastRow="0" w:firstColumn="1" w:lastColumn="0" w:noHBand="0" w:noVBand="1"/>
      </w:tblPr>
      <w:tblGrid>
        <w:gridCol w:w="4072"/>
        <w:gridCol w:w="4643"/>
      </w:tblGrid>
      <w:tr w:rsidR="00EB1DF4" w:rsidRPr="00F07779" w14:paraId="3A9A6133" w14:textId="77777777" w:rsidTr="00615D2C">
        <w:tc>
          <w:tcPr>
            <w:tcW w:w="4072"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5A481B05" w14:textId="77777777" w:rsidR="00EB1DF4" w:rsidRPr="00FA3F57" w:rsidRDefault="00EB1DF4" w:rsidP="00615D2C">
            <w:pPr>
              <w:pStyle w:val="Standard"/>
            </w:pPr>
            <w:r w:rsidRPr="00FA3F57">
              <w:rPr>
                <w:sz w:val="20"/>
                <w:szCs w:val="20"/>
              </w:rPr>
              <w:t>Total funds for measure U3 (2026-2028)</w:t>
            </w:r>
          </w:p>
        </w:tc>
        <w:tc>
          <w:tcPr>
            <w:tcW w:w="4643"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1B417E63" w14:textId="7FF0FB0D" w:rsidR="00EB1DF4" w:rsidRPr="00FA3F57" w:rsidRDefault="00EB1DF4" w:rsidP="00615D2C">
            <w:pPr>
              <w:jc w:val="center"/>
              <w:rPr>
                <w:sz w:val="20"/>
                <w:szCs w:val="20"/>
              </w:rPr>
            </w:pPr>
            <w:r w:rsidRPr="00FA3F57">
              <w:rPr>
                <w:sz w:val="20"/>
                <w:szCs w:val="20"/>
              </w:rPr>
              <w:t>3,239,472,200 RSD (27.6</w:t>
            </w:r>
            <w:r w:rsidR="0095439A" w:rsidRPr="00F07779">
              <w:rPr>
                <w:sz w:val="20"/>
                <w:szCs w:val="20"/>
              </w:rPr>
              <w:t>29</w:t>
            </w:r>
            <w:r w:rsidRPr="00FA3F57">
              <w:rPr>
                <w:sz w:val="20"/>
                <w:szCs w:val="20"/>
              </w:rPr>
              <w:t xml:space="preserve"> million</w:t>
            </w:r>
            <w:r w:rsidR="0095439A" w:rsidRPr="00F07779">
              <w:rPr>
                <w:sz w:val="20"/>
                <w:szCs w:val="20"/>
              </w:rPr>
              <w:t xml:space="preserve"> EUR</w:t>
            </w:r>
            <w:r w:rsidRPr="00FA3F57">
              <w:rPr>
                <w:sz w:val="20"/>
                <w:szCs w:val="20"/>
              </w:rPr>
              <w:t>)</w:t>
            </w:r>
          </w:p>
        </w:tc>
      </w:tr>
    </w:tbl>
    <w:p w14:paraId="011543DF" w14:textId="77777777" w:rsidR="00EB1DF4" w:rsidRPr="00F07779" w:rsidRDefault="00EB1DF4" w:rsidP="00BF16BE">
      <w:pPr>
        <w:jc w:val="both"/>
        <w:rPr>
          <w:color w:val="FF0000"/>
        </w:rPr>
      </w:pPr>
    </w:p>
    <w:p w14:paraId="36225280" w14:textId="77777777" w:rsidR="00BF16BE" w:rsidRPr="00F07779" w:rsidRDefault="00BF16BE" w:rsidP="007269B0">
      <w:pPr>
        <w:tabs>
          <w:tab w:val="left" w:pos="284"/>
        </w:tabs>
      </w:pPr>
    </w:p>
    <w:p w14:paraId="735A6860" w14:textId="185728BC" w:rsidR="003D6235" w:rsidRPr="00F07779" w:rsidRDefault="002E7267" w:rsidP="00164148">
      <w:pPr>
        <w:pStyle w:val="Heading2"/>
        <w:ind w:left="820"/>
      </w:pPr>
      <w:r w:rsidRPr="00F07779">
        <w:br w:type="page"/>
      </w:r>
    </w:p>
    <w:p w14:paraId="590208DA" w14:textId="77777777" w:rsidR="00164148" w:rsidRPr="00F07779" w:rsidRDefault="00164148" w:rsidP="00164148">
      <w:pPr>
        <w:pStyle w:val="Heading2"/>
        <w:ind w:left="820"/>
        <w:rPr>
          <w:rFonts w:ascii="Times New Roman" w:hAnsi="Times New Roman" w:cs="Times New Roman"/>
        </w:rPr>
      </w:pPr>
      <w:r w:rsidRPr="00F07779">
        <w:rPr>
          <w:rFonts w:ascii="Times New Roman" w:hAnsi="Times New Roman" w:cs="Times New Roman"/>
        </w:rPr>
        <w:lastRenderedPageBreak/>
        <w:t>5.8. Just Transition and Energy Poverty</w:t>
      </w:r>
    </w:p>
    <w:p w14:paraId="3E1A73DA" w14:textId="77777777" w:rsidR="00164148" w:rsidRPr="00F07779" w:rsidRDefault="00164148" w:rsidP="00164148"/>
    <w:p w14:paraId="17DB582D" w14:textId="287CF0BA" w:rsidR="00164148" w:rsidRPr="00F07779" w:rsidRDefault="00164148" w:rsidP="00164148">
      <w:pPr>
        <w:jc w:val="both"/>
      </w:pPr>
      <w:r w:rsidRPr="00F07779">
        <w:t>The new energy policy introduced by the Strategy and the INECP represents complex activities aimed at reducing dependence on fossil fuels, improving the security, quality, and efficiency of energy supply by turning to renewable energy sources and increasing energy efficiency. However, it also has a significant impact on the entire economy</w:t>
      </w:r>
      <w:r w:rsidR="009A4049" w:rsidRPr="00F07779">
        <w:t xml:space="preserve"> and society. </w:t>
      </w:r>
      <w:r w:rsidRPr="00F07779">
        <w:t xml:space="preserve">In fact, the complexity of the energy sector and the definition and implementation of new policies in this area require the establishment of two new </w:t>
      </w:r>
      <w:r w:rsidR="009A4049" w:rsidRPr="00F07779">
        <w:t>subfields for consideration in Program</w:t>
      </w:r>
      <w:r w:rsidRPr="00F07779">
        <w:t>: just transition and energy poverty.</w:t>
      </w:r>
    </w:p>
    <w:p w14:paraId="54D271FD" w14:textId="77777777" w:rsidR="00164148" w:rsidRPr="00F07779" w:rsidRDefault="00164148" w:rsidP="00164148">
      <w:pPr>
        <w:jc w:val="both"/>
      </w:pPr>
    </w:p>
    <w:p w14:paraId="286BE73B" w14:textId="77777777" w:rsidR="00164148" w:rsidRPr="00F07779" w:rsidRDefault="00164148" w:rsidP="00164148">
      <w:pPr>
        <w:jc w:val="both"/>
      </w:pPr>
      <w:r w:rsidRPr="00F07779">
        <w:t>5.8.1. Just transition</w:t>
      </w:r>
    </w:p>
    <w:p w14:paraId="4E9280A0" w14:textId="77777777" w:rsidR="00164148" w:rsidRPr="00F07779" w:rsidRDefault="00164148" w:rsidP="00164148">
      <w:pPr>
        <w:jc w:val="both"/>
      </w:pPr>
    </w:p>
    <w:p w14:paraId="655D4AD2" w14:textId="77777777" w:rsidR="00164148" w:rsidRPr="00F07779" w:rsidRDefault="00164148" w:rsidP="00164148">
      <w:pPr>
        <w:jc w:val="both"/>
      </w:pPr>
      <w:r w:rsidRPr="00F07779">
        <w:t>The process of just transition implies the social acceptability of measures for restructuring, the shift towards new technologies and processes</w:t>
      </w:r>
      <w:proofErr w:type="gramStart"/>
      <w:r w:rsidRPr="00F07779">
        <w:t>, and, in particular,</w:t>
      </w:r>
      <w:proofErr w:type="gramEnd"/>
      <w:r w:rsidRPr="00F07779">
        <w:t xml:space="preserve"> the gradual reduction of electricity generation from coal. The goal of just transition is to promote an environmentally sustainable economy in a manner that is fair and inclusive for all – workers, enterprises, and the community. </w:t>
      </w:r>
    </w:p>
    <w:p w14:paraId="470C4C2E" w14:textId="77777777" w:rsidR="00164148" w:rsidRPr="00F07779" w:rsidRDefault="00164148" w:rsidP="00164148">
      <w:pPr>
        <w:jc w:val="both"/>
      </w:pPr>
    </w:p>
    <w:p w14:paraId="3DD35E26" w14:textId="77777777" w:rsidR="00164148" w:rsidRPr="00F07779" w:rsidRDefault="00164148" w:rsidP="00164148">
      <w:pPr>
        <w:jc w:val="both"/>
      </w:pPr>
      <w:r w:rsidRPr="00F07779">
        <w:t xml:space="preserve">The key activities necessary for establishing just transition governance are defined in the Just Energy Transition Plan of the Republic of Serbia for the period until 2030, adopted by the Government’s Conclusion No. 05 312-7419/2025-2 of July 24, 2025.  </w:t>
      </w:r>
    </w:p>
    <w:p w14:paraId="70CF9EAF" w14:textId="77777777" w:rsidR="00164148" w:rsidRPr="00F07779" w:rsidRDefault="00164148" w:rsidP="00164148"/>
    <w:p w14:paraId="68079955" w14:textId="77777777" w:rsidR="00164148" w:rsidRPr="00F07779" w:rsidRDefault="00164148" w:rsidP="00164148">
      <w:pPr>
        <w:jc w:val="both"/>
      </w:pPr>
      <w:r w:rsidRPr="00F07779">
        <w:t xml:space="preserve">For easier and more effective management of the just transition process, and for the successful implementation of measures and activities from the Just Energy Transition Plan, it is necessary to establish an adequate institutional and infrastructural framework. </w:t>
      </w:r>
    </w:p>
    <w:p w14:paraId="0692322A" w14:textId="77777777" w:rsidR="00164148" w:rsidRPr="00F07779" w:rsidRDefault="00164148" w:rsidP="00164148">
      <w:pPr>
        <w:jc w:val="both"/>
      </w:pPr>
    </w:p>
    <w:p w14:paraId="4B3B4D4B" w14:textId="57C60EDF" w:rsidR="009A4049" w:rsidRPr="00F07779" w:rsidRDefault="00164148" w:rsidP="00164148">
      <w:pPr>
        <w:jc w:val="both"/>
      </w:pPr>
      <w:r w:rsidRPr="00F07779">
        <w:t>The Ministry of Mining and Energy coordinates activities in the field of just transition. Within the Ministry of Mining and Energy, it is necessary to establish a dedicated Just Transition Unit, which will be operationally responsible for implementing the activities set out in the Just Energy Transition Plan. However, given the impact that the just transition process has on the overall socio-economic development of the Republic of Serbia, it is necessary for the Government of the Republic of Serbia to establish a special body – an Inter-Ministerial Committee for Just Transition. The Committee’s mandate would be to provide high-level support, guidance, and/or enhancement of the implementation and monitoring of all activities required for the realization of the Just Energy Transition Plan, as well as to propose and establish financing mechanisms for the activities under the Plan and other measures related to the just transition process.</w:t>
      </w:r>
    </w:p>
    <w:p w14:paraId="2ACF4AF1" w14:textId="77777777" w:rsidR="00164148" w:rsidRPr="00F07779" w:rsidRDefault="00164148" w:rsidP="00164148">
      <w:pPr>
        <w:jc w:val="both"/>
      </w:pPr>
    </w:p>
    <w:p w14:paraId="6D7AC7A1" w14:textId="77777777" w:rsidR="00164148" w:rsidRPr="00F07779" w:rsidRDefault="00164148" w:rsidP="00164148">
      <w:pPr>
        <w:jc w:val="both"/>
      </w:pPr>
      <w:r w:rsidRPr="00F07779">
        <w:t>In addition to the Government’s Inter-Ministerial Committee for Just Transition, it is necessary to establish an inter-sectoral working group composed of representatives of relevant ministries, as well as representatives of other national, regional, and local institutions and civil society organizations.</w:t>
      </w:r>
    </w:p>
    <w:p w14:paraId="1A4961A7" w14:textId="77777777" w:rsidR="00164148" w:rsidRPr="00F07779" w:rsidRDefault="00164148" w:rsidP="00164148">
      <w:pPr>
        <w:jc w:val="both"/>
      </w:pPr>
    </w:p>
    <w:p w14:paraId="0C340861" w14:textId="77777777" w:rsidR="00164148" w:rsidRPr="00F07779" w:rsidRDefault="00164148" w:rsidP="00164148">
      <w:pPr>
        <w:jc w:val="both"/>
      </w:pPr>
      <w:r w:rsidRPr="00F07779">
        <w:t>Furthermore, in addition to the measures defined in the Just Energy Transition Plan, the following measures should also be implemented:</w:t>
      </w:r>
    </w:p>
    <w:p w14:paraId="43323A5E" w14:textId="77777777" w:rsidR="00164148" w:rsidRPr="00F07779" w:rsidRDefault="00164148" w:rsidP="00164148">
      <w:pPr>
        <w:jc w:val="both"/>
      </w:pPr>
      <w:r w:rsidRPr="00F07779">
        <w:t>PT1 – Establishment of an Information System for monitoring the indicators of implementation of measures and activities from the Just Transition Action Plan</w:t>
      </w:r>
    </w:p>
    <w:p w14:paraId="78F60CC6" w14:textId="77777777" w:rsidR="00164148" w:rsidRPr="00F07779" w:rsidRDefault="00164148" w:rsidP="00164148">
      <w:pPr>
        <w:jc w:val="both"/>
      </w:pPr>
      <w:r w:rsidRPr="00F07779">
        <w:t>PT2 – Amendments and supplements to the Just Transition Action Plan</w:t>
      </w:r>
    </w:p>
    <w:p w14:paraId="125505F6" w14:textId="77777777" w:rsidR="00164148" w:rsidRPr="00F07779" w:rsidRDefault="00164148" w:rsidP="00164148">
      <w:pPr>
        <w:jc w:val="both"/>
      </w:pPr>
    </w:p>
    <w:p w14:paraId="62D275EC" w14:textId="77777777" w:rsidR="00164148" w:rsidRPr="00F07779" w:rsidRDefault="00164148" w:rsidP="00164148">
      <w:pPr>
        <w:jc w:val="both"/>
      </w:pPr>
      <w:r w:rsidRPr="00F07779">
        <w:t>Detailed data for each of the previously mentioned measures are presented in Tables 5.8.1 and 5.8.2.</w:t>
      </w:r>
    </w:p>
    <w:p w14:paraId="3F02CA7B" w14:textId="77777777" w:rsidR="00164148" w:rsidRPr="00F07779" w:rsidRDefault="00164148" w:rsidP="00164148"/>
    <w:p w14:paraId="691EB22A" w14:textId="77777777" w:rsidR="00164148" w:rsidRPr="00F07779" w:rsidRDefault="00164148" w:rsidP="00164148">
      <w:pPr>
        <w:rPr>
          <w:rFonts w:eastAsia="Calibri"/>
        </w:rPr>
      </w:pPr>
      <w:r w:rsidRPr="00F07779">
        <w:lastRenderedPageBreak/>
        <w:t>Table 5.8.1: Activities for the implementation of measure PT1</w:t>
      </w:r>
    </w:p>
    <w:tbl>
      <w:tblPr>
        <w:tblStyle w:val="TableGrid"/>
        <w:tblW w:w="0" w:type="auto"/>
        <w:tblLook w:val="04A0" w:firstRow="1" w:lastRow="0" w:firstColumn="1" w:lastColumn="0" w:noHBand="0" w:noVBand="1"/>
      </w:tblPr>
      <w:tblGrid>
        <w:gridCol w:w="3114"/>
        <w:gridCol w:w="5601"/>
      </w:tblGrid>
      <w:tr w:rsidR="00164148" w:rsidRPr="00F07779" w14:paraId="7DD934E5" w14:textId="77777777" w:rsidTr="005E3573">
        <w:tc>
          <w:tcPr>
            <w:tcW w:w="3114" w:type="dxa"/>
            <w:shd w:val="clear" w:color="auto" w:fill="D9D9D9" w:themeFill="background1" w:themeFillShade="D9"/>
          </w:tcPr>
          <w:p w14:paraId="59A5DB29" w14:textId="77777777" w:rsidR="00164148" w:rsidRPr="00F07779" w:rsidRDefault="00164148" w:rsidP="005E3573">
            <w:pPr>
              <w:rPr>
                <w:sz w:val="20"/>
                <w:szCs w:val="20"/>
              </w:rPr>
            </w:pPr>
            <w:r w:rsidRPr="00F07779">
              <w:rPr>
                <w:sz w:val="20"/>
                <w:szCs w:val="20"/>
              </w:rPr>
              <w:t>Title</w:t>
            </w:r>
          </w:p>
        </w:tc>
        <w:tc>
          <w:tcPr>
            <w:tcW w:w="5601" w:type="dxa"/>
            <w:shd w:val="clear" w:color="auto" w:fill="D9D9D9" w:themeFill="background1" w:themeFillShade="D9"/>
          </w:tcPr>
          <w:p w14:paraId="4AD58EEF" w14:textId="77777777" w:rsidR="00164148" w:rsidRPr="00F07779" w:rsidRDefault="00164148" w:rsidP="005E3573">
            <w:pPr>
              <w:rPr>
                <w:sz w:val="20"/>
                <w:szCs w:val="20"/>
              </w:rPr>
            </w:pPr>
            <w:r w:rsidRPr="00F07779">
              <w:rPr>
                <w:sz w:val="20"/>
                <w:szCs w:val="20"/>
              </w:rPr>
              <w:t>Establishment of an Information System for monitoring the indicators of implementation of measures and activities from the Just Transition Action Plan</w:t>
            </w:r>
          </w:p>
        </w:tc>
      </w:tr>
      <w:tr w:rsidR="00164148" w:rsidRPr="00F07779" w14:paraId="4443FEF5" w14:textId="77777777" w:rsidTr="005E3573">
        <w:tc>
          <w:tcPr>
            <w:tcW w:w="3114" w:type="dxa"/>
          </w:tcPr>
          <w:p w14:paraId="10CF3FBD" w14:textId="77777777" w:rsidR="00164148" w:rsidRPr="00F07779" w:rsidRDefault="00164148" w:rsidP="005E3573">
            <w:pPr>
              <w:rPr>
                <w:sz w:val="20"/>
                <w:szCs w:val="20"/>
              </w:rPr>
            </w:pPr>
            <w:r w:rsidRPr="00F07779">
              <w:rPr>
                <w:sz w:val="20"/>
                <w:szCs w:val="20"/>
              </w:rPr>
              <w:t xml:space="preserve">Type </w:t>
            </w:r>
          </w:p>
        </w:tc>
        <w:tc>
          <w:tcPr>
            <w:tcW w:w="5601" w:type="dxa"/>
          </w:tcPr>
          <w:p w14:paraId="79CCE397" w14:textId="77777777" w:rsidR="00164148" w:rsidRPr="00F07779" w:rsidRDefault="00164148" w:rsidP="005E3573">
            <w:pPr>
              <w:rPr>
                <w:sz w:val="20"/>
                <w:szCs w:val="20"/>
              </w:rPr>
            </w:pPr>
            <w:r w:rsidRPr="00F07779">
              <w:rPr>
                <w:sz w:val="20"/>
                <w:szCs w:val="20"/>
              </w:rPr>
              <w:t>Institutional governance</w:t>
            </w:r>
          </w:p>
        </w:tc>
      </w:tr>
      <w:tr w:rsidR="00164148" w:rsidRPr="00F07779" w14:paraId="15CD781E" w14:textId="77777777" w:rsidTr="005E3573">
        <w:tc>
          <w:tcPr>
            <w:tcW w:w="3114" w:type="dxa"/>
          </w:tcPr>
          <w:p w14:paraId="7F98D471" w14:textId="77777777" w:rsidR="00164148" w:rsidRPr="00F07779" w:rsidRDefault="00164148" w:rsidP="005E3573">
            <w:pPr>
              <w:rPr>
                <w:sz w:val="20"/>
                <w:szCs w:val="20"/>
              </w:rPr>
            </w:pPr>
            <w:r w:rsidRPr="00F07779">
              <w:rPr>
                <w:sz w:val="20"/>
                <w:szCs w:val="20"/>
              </w:rPr>
              <w:t>Description</w:t>
            </w:r>
          </w:p>
        </w:tc>
        <w:tc>
          <w:tcPr>
            <w:tcW w:w="5601" w:type="dxa"/>
          </w:tcPr>
          <w:p w14:paraId="251AF248" w14:textId="77777777" w:rsidR="00164148" w:rsidRPr="00F07779" w:rsidRDefault="00164148" w:rsidP="005E3573">
            <w:pPr>
              <w:rPr>
                <w:sz w:val="20"/>
                <w:szCs w:val="20"/>
              </w:rPr>
            </w:pPr>
            <w:r w:rsidRPr="00F07779">
              <w:rPr>
                <w:sz w:val="20"/>
                <w:szCs w:val="20"/>
              </w:rPr>
              <w:t>The information system would ensure the functional integration of all actors in the just transition process (the Ministry of Mining and Energy, the Ministry of Labor, Employment, Veteran and Social Affairs, the Ministry of Economy, and other relevant national authorities, local self-governments, companies – such as the Public Enterprise for Underground Coal Mining, EPS, and others).</w:t>
            </w:r>
          </w:p>
        </w:tc>
      </w:tr>
      <w:tr w:rsidR="00164148" w:rsidRPr="00F07779" w14:paraId="1441BE60" w14:textId="77777777" w:rsidTr="005E3573">
        <w:tc>
          <w:tcPr>
            <w:tcW w:w="3114" w:type="dxa"/>
          </w:tcPr>
          <w:p w14:paraId="0685E713" w14:textId="77777777" w:rsidR="00164148" w:rsidRPr="00F07779" w:rsidRDefault="00164148" w:rsidP="005E3573">
            <w:pPr>
              <w:rPr>
                <w:sz w:val="20"/>
                <w:szCs w:val="20"/>
              </w:rPr>
            </w:pPr>
            <w:r w:rsidRPr="00F07779">
              <w:rPr>
                <w:sz w:val="20"/>
                <w:szCs w:val="20"/>
              </w:rPr>
              <w:t>Institutions responsible for the implementation of measures and activities</w:t>
            </w:r>
          </w:p>
        </w:tc>
        <w:tc>
          <w:tcPr>
            <w:tcW w:w="5601" w:type="dxa"/>
          </w:tcPr>
          <w:p w14:paraId="59FE8504" w14:textId="77777777" w:rsidR="00164148" w:rsidRPr="00F07779" w:rsidRDefault="00164148" w:rsidP="005E3573">
            <w:pPr>
              <w:rPr>
                <w:sz w:val="20"/>
                <w:szCs w:val="20"/>
              </w:rPr>
            </w:pPr>
            <w:r w:rsidRPr="00F07779">
              <w:rPr>
                <w:color w:val="000000"/>
                <w:sz w:val="20"/>
                <w:szCs w:val="20"/>
              </w:rPr>
              <w:t>Government of the Republic of Serbia – Project Management Unit – Ministry of Mining and Energy</w:t>
            </w:r>
          </w:p>
        </w:tc>
      </w:tr>
      <w:tr w:rsidR="00164148" w:rsidRPr="00F07779" w14:paraId="6614E90B" w14:textId="77777777" w:rsidTr="005E3573">
        <w:tc>
          <w:tcPr>
            <w:tcW w:w="3114" w:type="dxa"/>
          </w:tcPr>
          <w:p w14:paraId="39312D23" w14:textId="77777777" w:rsidR="00164148" w:rsidRPr="00F07779" w:rsidRDefault="00164148" w:rsidP="005E3573">
            <w:pPr>
              <w:rPr>
                <w:sz w:val="20"/>
                <w:szCs w:val="20"/>
              </w:rPr>
            </w:pPr>
            <w:r w:rsidRPr="00F07779">
              <w:rPr>
                <w:sz w:val="20"/>
                <w:szCs w:val="20"/>
              </w:rPr>
              <w:t>Deadline for implementation</w:t>
            </w:r>
          </w:p>
        </w:tc>
        <w:tc>
          <w:tcPr>
            <w:tcW w:w="5601" w:type="dxa"/>
          </w:tcPr>
          <w:p w14:paraId="2E9D5D66" w14:textId="0BD337EC" w:rsidR="00164148" w:rsidRPr="00F07779" w:rsidRDefault="00164148" w:rsidP="005E3573">
            <w:pPr>
              <w:rPr>
                <w:sz w:val="20"/>
                <w:szCs w:val="20"/>
              </w:rPr>
            </w:pPr>
            <w:r w:rsidRPr="00F07779">
              <w:rPr>
                <w:sz w:val="20"/>
                <w:szCs w:val="20"/>
              </w:rPr>
              <w:t>2027</w:t>
            </w:r>
            <w:r w:rsidR="0095439A" w:rsidRPr="00F07779">
              <w:rPr>
                <w:sz w:val="20"/>
                <w:szCs w:val="20"/>
              </w:rPr>
              <w:t>.</w:t>
            </w:r>
            <w:r w:rsidRPr="00F07779">
              <w:rPr>
                <w:sz w:val="20"/>
                <w:szCs w:val="20"/>
              </w:rPr>
              <w:t xml:space="preserve"> </w:t>
            </w:r>
          </w:p>
        </w:tc>
      </w:tr>
      <w:tr w:rsidR="00164148" w:rsidRPr="00F07779" w14:paraId="4D920FA2" w14:textId="77777777" w:rsidTr="005E3573">
        <w:tc>
          <w:tcPr>
            <w:tcW w:w="3114" w:type="dxa"/>
          </w:tcPr>
          <w:p w14:paraId="4B3D46C7" w14:textId="77777777" w:rsidR="00164148" w:rsidRPr="00F07779" w:rsidRDefault="00164148" w:rsidP="005E3573">
            <w:pPr>
              <w:rPr>
                <w:sz w:val="20"/>
                <w:szCs w:val="20"/>
              </w:rPr>
            </w:pPr>
            <w:r w:rsidRPr="00F07779">
              <w:rPr>
                <w:sz w:val="20"/>
                <w:szCs w:val="20"/>
              </w:rPr>
              <w:t>Required funds and source of financing</w:t>
            </w:r>
          </w:p>
        </w:tc>
        <w:tc>
          <w:tcPr>
            <w:tcW w:w="5601" w:type="dxa"/>
          </w:tcPr>
          <w:p w14:paraId="08D11CD5" w14:textId="77777777" w:rsidR="00164148" w:rsidRPr="00F07779" w:rsidRDefault="00164148" w:rsidP="005E3573">
            <w:pPr>
              <w:rPr>
                <w:sz w:val="20"/>
                <w:szCs w:val="20"/>
              </w:rPr>
            </w:pPr>
            <w:r w:rsidRPr="00F07779">
              <w:rPr>
                <w:sz w:val="20"/>
                <w:szCs w:val="20"/>
              </w:rPr>
              <w:t>EUR 200,000 (RSD 23,450,000)</w:t>
            </w:r>
          </w:p>
          <w:p w14:paraId="594BD75E" w14:textId="77777777" w:rsidR="00164148" w:rsidRPr="00F07779" w:rsidRDefault="00164148" w:rsidP="005E3573">
            <w:pPr>
              <w:rPr>
                <w:sz w:val="20"/>
                <w:szCs w:val="20"/>
              </w:rPr>
            </w:pPr>
            <w:r w:rsidRPr="00F07779">
              <w:rPr>
                <w:sz w:val="20"/>
                <w:szCs w:val="20"/>
              </w:rPr>
              <w:t>Budget of the Republic of Serbia and other sources in accordance with the law</w:t>
            </w:r>
          </w:p>
        </w:tc>
      </w:tr>
      <w:tr w:rsidR="00164148" w:rsidRPr="00F07779" w14:paraId="299F8731" w14:textId="77777777" w:rsidTr="005E3573">
        <w:tc>
          <w:tcPr>
            <w:tcW w:w="3114" w:type="dxa"/>
          </w:tcPr>
          <w:p w14:paraId="776E9590" w14:textId="77777777" w:rsidR="00164148" w:rsidRPr="00F07779" w:rsidRDefault="00164148" w:rsidP="005E3573">
            <w:pPr>
              <w:rPr>
                <w:sz w:val="20"/>
                <w:szCs w:val="20"/>
              </w:rPr>
            </w:pPr>
            <w:r w:rsidRPr="00F07779">
              <w:rPr>
                <w:sz w:val="20"/>
                <w:szCs w:val="20"/>
              </w:rPr>
              <w:t>Implementation indicator</w:t>
            </w:r>
          </w:p>
        </w:tc>
        <w:tc>
          <w:tcPr>
            <w:tcW w:w="5601" w:type="dxa"/>
          </w:tcPr>
          <w:p w14:paraId="686C9BBD" w14:textId="77777777" w:rsidR="00164148" w:rsidRPr="00F07779" w:rsidRDefault="00164148" w:rsidP="005E3573">
            <w:pPr>
              <w:rPr>
                <w:sz w:val="20"/>
                <w:szCs w:val="20"/>
              </w:rPr>
            </w:pPr>
            <w:r w:rsidRPr="00F07779">
              <w:rPr>
                <w:sz w:val="20"/>
                <w:szCs w:val="20"/>
              </w:rPr>
              <w:t>Established and functional information system</w:t>
            </w:r>
          </w:p>
        </w:tc>
      </w:tr>
      <w:tr w:rsidR="00164148" w:rsidRPr="00F07779" w14:paraId="0BC784BC" w14:textId="77777777" w:rsidTr="005E3573">
        <w:tc>
          <w:tcPr>
            <w:tcW w:w="3114" w:type="dxa"/>
          </w:tcPr>
          <w:p w14:paraId="68121AFF" w14:textId="77777777" w:rsidR="00164148" w:rsidRPr="00F07779" w:rsidRDefault="00164148" w:rsidP="005E3573">
            <w:pPr>
              <w:rPr>
                <w:sz w:val="20"/>
                <w:szCs w:val="20"/>
              </w:rPr>
            </w:pPr>
            <w:r w:rsidRPr="00F07779">
              <w:rPr>
                <w:sz w:val="20"/>
                <w:szCs w:val="20"/>
              </w:rPr>
              <w:t>Impact of the activity on the achievement of the objective</w:t>
            </w:r>
          </w:p>
        </w:tc>
        <w:tc>
          <w:tcPr>
            <w:tcW w:w="5601" w:type="dxa"/>
          </w:tcPr>
          <w:p w14:paraId="19A28B52" w14:textId="77777777" w:rsidR="00164148" w:rsidRPr="00F07779" w:rsidRDefault="00164148" w:rsidP="005E3573">
            <w:pPr>
              <w:rPr>
                <w:sz w:val="20"/>
                <w:szCs w:val="20"/>
              </w:rPr>
            </w:pPr>
            <w:r w:rsidRPr="00F07779">
              <w:rPr>
                <w:sz w:val="20"/>
                <w:szCs w:val="20"/>
              </w:rPr>
              <w:t xml:space="preserve">The implementation of a just transition has a positive impact on the decarbonization of the energy sector. </w:t>
            </w:r>
          </w:p>
        </w:tc>
      </w:tr>
    </w:tbl>
    <w:p w14:paraId="003BDFC4" w14:textId="77777777" w:rsidR="00164148" w:rsidRPr="00F07779" w:rsidRDefault="00164148" w:rsidP="00164148"/>
    <w:p w14:paraId="14040FEA" w14:textId="77777777" w:rsidR="00164148" w:rsidRPr="00F07779" w:rsidRDefault="00164148" w:rsidP="00164148">
      <w:pPr>
        <w:rPr>
          <w:rFonts w:eastAsia="Calibri"/>
        </w:rPr>
      </w:pPr>
      <w:r w:rsidRPr="00F07779">
        <w:t>Table 5.8.2: Activities for the implementation of measure PТ2</w:t>
      </w:r>
    </w:p>
    <w:tbl>
      <w:tblPr>
        <w:tblStyle w:val="TableGrid"/>
        <w:tblW w:w="0" w:type="auto"/>
        <w:tblLook w:val="04A0" w:firstRow="1" w:lastRow="0" w:firstColumn="1" w:lastColumn="0" w:noHBand="0" w:noVBand="1"/>
      </w:tblPr>
      <w:tblGrid>
        <w:gridCol w:w="3114"/>
        <w:gridCol w:w="5601"/>
      </w:tblGrid>
      <w:tr w:rsidR="00164148" w:rsidRPr="00F07779" w14:paraId="75CEA7AE" w14:textId="77777777" w:rsidTr="005E3573">
        <w:tc>
          <w:tcPr>
            <w:tcW w:w="3114" w:type="dxa"/>
            <w:shd w:val="clear" w:color="auto" w:fill="D9D9D9" w:themeFill="background1" w:themeFillShade="D9"/>
          </w:tcPr>
          <w:p w14:paraId="7AE32FD7" w14:textId="77777777" w:rsidR="00164148" w:rsidRPr="00F07779" w:rsidRDefault="00164148" w:rsidP="005E3573">
            <w:pPr>
              <w:rPr>
                <w:sz w:val="20"/>
                <w:szCs w:val="20"/>
              </w:rPr>
            </w:pPr>
            <w:r w:rsidRPr="00F07779">
              <w:rPr>
                <w:sz w:val="20"/>
                <w:szCs w:val="20"/>
              </w:rPr>
              <w:t>Title</w:t>
            </w:r>
          </w:p>
        </w:tc>
        <w:tc>
          <w:tcPr>
            <w:tcW w:w="5601" w:type="dxa"/>
            <w:shd w:val="clear" w:color="auto" w:fill="D9D9D9" w:themeFill="background1" w:themeFillShade="D9"/>
          </w:tcPr>
          <w:p w14:paraId="78AF3D46" w14:textId="77777777" w:rsidR="00164148" w:rsidRPr="00F07779" w:rsidRDefault="00164148" w:rsidP="005E3573">
            <w:pPr>
              <w:rPr>
                <w:sz w:val="20"/>
                <w:szCs w:val="20"/>
              </w:rPr>
            </w:pPr>
            <w:r w:rsidRPr="00F07779">
              <w:rPr>
                <w:sz w:val="20"/>
                <w:szCs w:val="20"/>
              </w:rPr>
              <w:t>Amendments and supplements to the Just Transition Action Plan</w:t>
            </w:r>
          </w:p>
        </w:tc>
      </w:tr>
      <w:tr w:rsidR="00164148" w:rsidRPr="00F07779" w14:paraId="2160B95E" w14:textId="77777777" w:rsidTr="005E3573">
        <w:tc>
          <w:tcPr>
            <w:tcW w:w="3114" w:type="dxa"/>
          </w:tcPr>
          <w:p w14:paraId="1403A4CA" w14:textId="77777777" w:rsidR="00164148" w:rsidRPr="00F07779" w:rsidRDefault="00164148" w:rsidP="005E3573">
            <w:pPr>
              <w:rPr>
                <w:sz w:val="20"/>
                <w:szCs w:val="20"/>
              </w:rPr>
            </w:pPr>
            <w:r w:rsidRPr="00F07779">
              <w:rPr>
                <w:sz w:val="20"/>
                <w:szCs w:val="20"/>
              </w:rPr>
              <w:t xml:space="preserve">Type </w:t>
            </w:r>
          </w:p>
        </w:tc>
        <w:tc>
          <w:tcPr>
            <w:tcW w:w="5601" w:type="dxa"/>
          </w:tcPr>
          <w:p w14:paraId="6AD5A67B" w14:textId="77777777" w:rsidR="00164148" w:rsidRPr="00F07779" w:rsidRDefault="00164148" w:rsidP="005E3573">
            <w:pPr>
              <w:rPr>
                <w:sz w:val="20"/>
                <w:szCs w:val="20"/>
              </w:rPr>
            </w:pPr>
            <w:r w:rsidRPr="00F07779">
              <w:rPr>
                <w:sz w:val="20"/>
                <w:szCs w:val="20"/>
              </w:rPr>
              <w:t>Regulatory</w:t>
            </w:r>
          </w:p>
        </w:tc>
      </w:tr>
      <w:tr w:rsidR="00164148" w:rsidRPr="00F07779" w14:paraId="48B88A81" w14:textId="77777777" w:rsidTr="005E3573">
        <w:tc>
          <w:tcPr>
            <w:tcW w:w="3114" w:type="dxa"/>
          </w:tcPr>
          <w:p w14:paraId="16B40838" w14:textId="77777777" w:rsidR="00164148" w:rsidRPr="00F07779" w:rsidRDefault="00164148" w:rsidP="005E3573">
            <w:pPr>
              <w:rPr>
                <w:sz w:val="20"/>
                <w:szCs w:val="20"/>
              </w:rPr>
            </w:pPr>
            <w:r w:rsidRPr="00F07779">
              <w:rPr>
                <w:sz w:val="20"/>
                <w:szCs w:val="20"/>
              </w:rPr>
              <w:t>Description</w:t>
            </w:r>
          </w:p>
        </w:tc>
        <w:tc>
          <w:tcPr>
            <w:tcW w:w="5601" w:type="dxa"/>
          </w:tcPr>
          <w:p w14:paraId="13AC013F" w14:textId="77777777" w:rsidR="00164148" w:rsidRPr="00F07779" w:rsidRDefault="00164148" w:rsidP="005E3573">
            <w:pPr>
              <w:rPr>
                <w:sz w:val="20"/>
                <w:szCs w:val="20"/>
              </w:rPr>
            </w:pPr>
            <w:r w:rsidRPr="00F07779">
              <w:rPr>
                <w:sz w:val="20"/>
                <w:szCs w:val="20"/>
              </w:rPr>
              <w:t>Revision of the existing Just Transition Action Plan during the Program period, in case of significant deviations in the timelines and modalities of coal mine closures and the decommissioning of thermal power plants.</w:t>
            </w:r>
            <w:r w:rsidRPr="00F07779">
              <w:t xml:space="preserve"> </w:t>
            </w:r>
          </w:p>
        </w:tc>
      </w:tr>
      <w:tr w:rsidR="00164148" w:rsidRPr="00F07779" w14:paraId="74DDA327" w14:textId="77777777" w:rsidTr="005E3573">
        <w:tc>
          <w:tcPr>
            <w:tcW w:w="3114" w:type="dxa"/>
          </w:tcPr>
          <w:p w14:paraId="6AA64EAD" w14:textId="77777777" w:rsidR="00164148" w:rsidRPr="00F07779" w:rsidRDefault="00164148" w:rsidP="005E3573">
            <w:pPr>
              <w:rPr>
                <w:sz w:val="20"/>
                <w:szCs w:val="20"/>
              </w:rPr>
            </w:pPr>
            <w:r w:rsidRPr="00F07779">
              <w:rPr>
                <w:sz w:val="20"/>
                <w:szCs w:val="20"/>
              </w:rPr>
              <w:t>Institutions responsible for the implementation of measures and activities</w:t>
            </w:r>
          </w:p>
        </w:tc>
        <w:tc>
          <w:tcPr>
            <w:tcW w:w="5601" w:type="dxa"/>
          </w:tcPr>
          <w:p w14:paraId="09253E8F" w14:textId="77777777" w:rsidR="00164148" w:rsidRPr="00F07779" w:rsidRDefault="00164148" w:rsidP="005E3573">
            <w:pPr>
              <w:rPr>
                <w:sz w:val="20"/>
                <w:szCs w:val="20"/>
              </w:rPr>
            </w:pPr>
            <w:r w:rsidRPr="00F07779">
              <w:rPr>
                <w:color w:val="000000"/>
                <w:sz w:val="20"/>
                <w:szCs w:val="20"/>
              </w:rPr>
              <w:t>Government of the Republic of Serbia – Project Management Unit – Ministry of Mining and Energy</w:t>
            </w:r>
          </w:p>
        </w:tc>
      </w:tr>
      <w:tr w:rsidR="00164148" w:rsidRPr="00F07779" w14:paraId="282AAD1E" w14:textId="77777777" w:rsidTr="005E3573">
        <w:tc>
          <w:tcPr>
            <w:tcW w:w="3114" w:type="dxa"/>
          </w:tcPr>
          <w:p w14:paraId="75C8F9A3" w14:textId="77777777" w:rsidR="00164148" w:rsidRPr="00F07779" w:rsidRDefault="00164148" w:rsidP="005E3573">
            <w:pPr>
              <w:rPr>
                <w:sz w:val="20"/>
                <w:szCs w:val="20"/>
              </w:rPr>
            </w:pPr>
            <w:r w:rsidRPr="00F07779">
              <w:rPr>
                <w:sz w:val="20"/>
                <w:szCs w:val="20"/>
              </w:rPr>
              <w:t>Deadline for implementation</w:t>
            </w:r>
          </w:p>
        </w:tc>
        <w:tc>
          <w:tcPr>
            <w:tcW w:w="5601" w:type="dxa"/>
          </w:tcPr>
          <w:p w14:paraId="3A1DE6C4" w14:textId="77777777" w:rsidR="00164148" w:rsidRPr="00F07779" w:rsidRDefault="00164148" w:rsidP="005E3573">
            <w:pPr>
              <w:rPr>
                <w:sz w:val="20"/>
                <w:szCs w:val="20"/>
              </w:rPr>
            </w:pPr>
            <w:r w:rsidRPr="00F07779">
              <w:rPr>
                <w:sz w:val="20"/>
                <w:szCs w:val="20"/>
              </w:rPr>
              <w:t>If required</w:t>
            </w:r>
          </w:p>
        </w:tc>
      </w:tr>
      <w:tr w:rsidR="00164148" w:rsidRPr="00F07779" w14:paraId="1AD32602" w14:textId="77777777" w:rsidTr="005E3573">
        <w:tc>
          <w:tcPr>
            <w:tcW w:w="3114" w:type="dxa"/>
          </w:tcPr>
          <w:p w14:paraId="08402F6B" w14:textId="77777777" w:rsidR="00164148" w:rsidRPr="00F07779" w:rsidRDefault="00164148" w:rsidP="005E3573">
            <w:pPr>
              <w:rPr>
                <w:sz w:val="20"/>
                <w:szCs w:val="20"/>
              </w:rPr>
            </w:pPr>
            <w:r w:rsidRPr="00F07779">
              <w:rPr>
                <w:sz w:val="20"/>
                <w:szCs w:val="20"/>
              </w:rPr>
              <w:t>Required funds and source of financing</w:t>
            </w:r>
          </w:p>
        </w:tc>
        <w:tc>
          <w:tcPr>
            <w:tcW w:w="5601" w:type="dxa"/>
          </w:tcPr>
          <w:p w14:paraId="2167D558" w14:textId="77777777" w:rsidR="00164148" w:rsidRPr="00F07779" w:rsidRDefault="00164148" w:rsidP="005E3573">
            <w:pPr>
              <w:rPr>
                <w:sz w:val="20"/>
                <w:szCs w:val="20"/>
              </w:rPr>
            </w:pPr>
            <w:r w:rsidRPr="00F07779">
              <w:rPr>
                <w:sz w:val="20"/>
                <w:szCs w:val="20"/>
              </w:rPr>
              <w:t>EUR 200,000 (RSD 23,450,000)</w:t>
            </w:r>
          </w:p>
          <w:p w14:paraId="277050A9" w14:textId="77777777" w:rsidR="00164148" w:rsidRPr="00F07779" w:rsidRDefault="00164148" w:rsidP="005E3573">
            <w:pPr>
              <w:rPr>
                <w:sz w:val="20"/>
                <w:szCs w:val="20"/>
              </w:rPr>
            </w:pPr>
            <w:r w:rsidRPr="00F07779">
              <w:rPr>
                <w:sz w:val="20"/>
                <w:szCs w:val="20"/>
              </w:rPr>
              <w:t>Budget of the Republic of Serbia and other sources in accordance with the law</w:t>
            </w:r>
          </w:p>
        </w:tc>
      </w:tr>
      <w:tr w:rsidR="00164148" w:rsidRPr="00F07779" w14:paraId="2E2F2EEA" w14:textId="77777777" w:rsidTr="005E3573">
        <w:tc>
          <w:tcPr>
            <w:tcW w:w="3114" w:type="dxa"/>
          </w:tcPr>
          <w:p w14:paraId="3165E090" w14:textId="77777777" w:rsidR="00164148" w:rsidRPr="00F07779" w:rsidRDefault="00164148" w:rsidP="005E3573">
            <w:pPr>
              <w:rPr>
                <w:sz w:val="20"/>
                <w:szCs w:val="20"/>
              </w:rPr>
            </w:pPr>
            <w:r w:rsidRPr="00F07779">
              <w:rPr>
                <w:sz w:val="20"/>
                <w:szCs w:val="20"/>
              </w:rPr>
              <w:t>Implementation indicator</w:t>
            </w:r>
          </w:p>
        </w:tc>
        <w:tc>
          <w:tcPr>
            <w:tcW w:w="5601" w:type="dxa"/>
          </w:tcPr>
          <w:p w14:paraId="2C64B2E1" w14:textId="77777777" w:rsidR="00164148" w:rsidRPr="00F07779" w:rsidRDefault="00164148" w:rsidP="005E3573">
            <w:pPr>
              <w:rPr>
                <w:sz w:val="20"/>
                <w:szCs w:val="20"/>
              </w:rPr>
            </w:pPr>
            <w:r w:rsidRPr="00F07779">
              <w:rPr>
                <w:sz w:val="20"/>
                <w:szCs w:val="20"/>
              </w:rPr>
              <w:t>Adopted amendments and supplements to the Just Transition Action Plan</w:t>
            </w:r>
          </w:p>
        </w:tc>
      </w:tr>
      <w:tr w:rsidR="00164148" w:rsidRPr="00F07779" w14:paraId="0140133A" w14:textId="77777777" w:rsidTr="005E3573">
        <w:tc>
          <w:tcPr>
            <w:tcW w:w="3114" w:type="dxa"/>
          </w:tcPr>
          <w:p w14:paraId="6327A44B" w14:textId="77777777" w:rsidR="00164148" w:rsidRPr="00F07779" w:rsidRDefault="00164148" w:rsidP="005E3573">
            <w:pPr>
              <w:rPr>
                <w:sz w:val="20"/>
                <w:szCs w:val="20"/>
              </w:rPr>
            </w:pPr>
            <w:r w:rsidRPr="00F07779">
              <w:rPr>
                <w:sz w:val="20"/>
                <w:szCs w:val="20"/>
              </w:rPr>
              <w:t>Impact of the activity on the achievement of the objective</w:t>
            </w:r>
          </w:p>
        </w:tc>
        <w:tc>
          <w:tcPr>
            <w:tcW w:w="5601" w:type="dxa"/>
          </w:tcPr>
          <w:p w14:paraId="02D6B08F" w14:textId="77777777" w:rsidR="00164148" w:rsidRPr="00F07779" w:rsidRDefault="00164148" w:rsidP="005E3573">
            <w:pPr>
              <w:rPr>
                <w:sz w:val="20"/>
                <w:szCs w:val="20"/>
              </w:rPr>
            </w:pPr>
            <w:r w:rsidRPr="00F07779">
              <w:rPr>
                <w:sz w:val="20"/>
                <w:szCs w:val="20"/>
              </w:rPr>
              <w:t>The implementation of a just transition has a positive impact on the decarbonization of the energy sector</w:t>
            </w:r>
          </w:p>
        </w:tc>
      </w:tr>
    </w:tbl>
    <w:p w14:paraId="122E512C" w14:textId="77777777" w:rsidR="00164148" w:rsidRPr="00F07779" w:rsidRDefault="00164148" w:rsidP="00164148"/>
    <w:p w14:paraId="15ECB8D5" w14:textId="77777777" w:rsidR="00164148" w:rsidRPr="00F07779" w:rsidRDefault="00164148" w:rsidP="00164148">
      <w:pPr>
        <w:jc w:val="both"/>
      </w:pPr>
      <w:r w:rsidRPr="00F07779">
        <w:t>5.8.2. Energy poverty</w:t>
      </w:r>
    </w:p>
    <w:p w14:paraId="357B7E68" w14:textId="77777777" w:rsidR="00164148" w:rsidRPr="00F07779" w:rsidRDefault="00164148" w:rsidP="00164148">
      <w:pPr>
        <w:jc w:val="both"/>
      </w:pPr>
    </w:p>
    <w:p w14:paraId="5DAD1C33" w14:textId="0D6F5652" w:rsidR="00164148" w:rsidRPr="00F07779" w:rsidRDefault="00164148" w:rsidP="00164148">
      <w:pPr>
        <w:jc w:val="both"/>
      </w:pPr>
      <w:r w:rsidRPr="00F07779">
        <w:t>In addition to the just transition, energy poverty is another issue linked to the social acceptability of the planned energy development. One of the key measures envisaged by the Strategy, as well as by the Reform Agenda of the Republic of Serbia</w:t>
      </w:r>
      <w:r w:rsidR="0095439A" w:rsidRPr="00FA3F57">
        <w:rPr>
          <w:rStyle w:val="FootnoteReference"/>
        </w:rPr>
        <w:footnoteReference w:id="58"/>
      </w:r>
      <w:r w:rsidRPr="00F07779">
        <w:t>, is to ensure that household electricity prices are set so that the average tariff covers the cost of electricity supply. However, the implementation of this measure presents Serbia’s energy policy with challenges related to energy poverty and the need to support vulnerable energy consumers by ensuring access to electricity at affordable prices. A similar problem also arises in the supply of natural gas and district heating.</w:t>
      </w:r>
    </w:p>
    <w:p w14:paraId="551FBA53" w14:textId="77777777" w:rsidR="00164148" w:rsidRPr="00F07779" w:rsidRDefault="00164148" w:rsidP="00164148">
      <w:pPr>
        <w:jc w:val="both"/>
      </w:pPr>
    </w:p>
    <w:p w14:paraId="3D3BEE46" w14:textId="77777777" w:rsidR="00164148" w:rsidRPr="00F07779" w:rsidRDefault="00164148" w:rsidP="00164148">
      <w:pPr>
        <w:jc w:val="both"/>
      </w:pPr>
      <w:r w:rsidRPr="00F07779">
        <w:t xml:space="preserve">As </w:t>
      </w:r>
      <w:proofErr w:type="gramStart"/>
      <w:r w:rsidRPr="00F07779">
        <w:t>in the area of</w:t>
      </w:r>
      <w:proofErr w:type="gramEnd"/>
      <w:r w:rsidRPr="00F07779">
        <w:t xml:space="preserve"> just transition, the issue of energy poverty is a new field that requires the establishment of an appropriate institutional and financial framework, as well as the following measures:</w:t>
      </w:r>
    </w:p>
    <w:p w14:paraId="3F30D164" w14:textId="698CE573" w:rsidR="00164148" w:rsidRPr="00F07779" w:rsidRDefault="009A4049" w:rsidP="009A4049">
      <w:pPr>
        <w:jc w:val="both"/>
      </w:pPr>
      <w:r w:rsidRPr="00F07779">
        <w:lastRenderedPageBreak/>
        <w:t>PT3</w:t>
      </w:r>
      <w:r w:rsidR="00164148" w:rsidRPr="00F07779">
        <w:t xml:space="preserve"> - Defining the necessary activities through the development and adoption of an Action Plan for reducing energy poverty</w:t>
      </w:r>
    </w:p>
    <w:p w14:paraId="4EDDBAA0" w14:textId="1E4BD962" w:rsidR="00164148" w:rsidRPr="00F07779" w:rsidRDefault="009A4049" w:rsidP="009A4049">
      <w:pPr>
        <w:jc w:val="both"/>
      </w:pPr>
      <w:r w:rsidRPr="00F07779">
        <w:t>PT4</w:t>
      </w:r>
      <w:r w:rsidR="00164148" w:rsidRPr="00F07779">
        <w:t xml:space="preserve"> - Establishing a database that consolidates data from various ministries and institutions related to vulnerable consumers, social welfare beneficiaries, and others, which is necessary for a clear definition and fuller understanding of the problem, along with an information system for their monitoring and updating.</w:t>
      </w:r>
    </w:p>
    <w:p w14:paraId="2B4D690A" w14:textId="2EEEAE7D" w:rsidR="00164148" w:rsidRPr="00F07779" w:rsidRDefault="009A4049" w:rsidP="009A4049">
      <w:pPr>
        <w:pStyle w:val="ListParagraph"/>
        <w:tabs>
          <w:tab w:val="left" w:pos="3283"/>
        </w:tabs>
        <w:jc w:val="both"/>
        <w:rPr>
          <w:rFonts w:ascii="Times New Roman" w:hAnsi="Times New Roman" w:cs="Times New Roman"/>
          <w:noProof w:val="0"/>
        </w:rPr>
      </w:pPr>
      <w:r w:rsidRPr="00F07779">
        <w:rPr>
          <w:rFonts w:ascii="Times New Roman" w:hAnsi="Times New Roman" w:cs="Times New Roman"/>
          <w:noProof w:val="0"/>
        </w:rPr>
        <w:tab/>
      </w:r>
    </w:p>
    <w:p w14:paraId="53C36119" w14:textId="5ADC20BA" w:rsidR="00164148" w:rsidRPr="00F07779" w:rsidRDefault="00164148" w:rsidP="00164148">
      <w:pPr>
        <w:jc w:val="both"/>
      </w:pPr>
      <w:r w:rsidRPr="00F07779">
        <w:t xml:space="preserve">Detailed data for each of the </w:t>
      </w:r>
      <w:r w:rsidR="0095439A" w:rsidRPr="00F07779">
        <w:t>above-mentioned</w:t>
      </w:r>
      <w:r w:rsidRPr="00F07779">
        <w:t xml:space="preserve"> measures are presented in Tables 5.8.3. and 5.8.4.</w:t>
      </w:r>
    </w:p>
    <w:p w14:paraId="0970EC54" w14:textId="77777777" w:rsidR="00164148" w:rsidRPr="00F07779" w:rsidRDefault="00164148" w:rsidP="00164148"/>
    <w:p w14:paraId="4C2709BD" w14:textId="77777777" w:rsidR="00164148" w:rsidRPr="00F07779" w:rsidRDefault="00164148" w:rsidP="00164148">
      <w:pPr>
        <w:rPr>
          <w:rFonts w:eastAsia="Calibri"/>
        </w:rPr>
      </w:pPr>
      <w:r w:rsidRPr="00F07779">
        <w:t>Table 5.8.3: Activities for the implementation of measure PТ3</w:t>
      </w:r>
    </w:p>
    <w:tbl>
      <w:tblPr>
        <w:tblStyle w:val="TableGrid"/>
        <w:tblW w:w="0" w:type="auto"/>
        <w:tblLook w:val="04A0" w:firstRow="1" w:lastRow="0" w:firstColumn="1" w:lastColumn="0" w:noHBand="0" w:noVBand="1"/>
      </w:tblPr>
      <w:tblGrid>
        <w:gridCol w:w="3114"/>
        <w:gridCol w:w="5601"/>
      </w:tblGrid>
      <w:tr w:rsidR="00164148" w:rsidRPr="00F07779" w14:paraId="4CE073B3" w14:textId="77777777" w:rsidTr="005E3573">
        <w:tc>
          <w:tcPr>
            <w:tcW w:w="3114" w:type="dxa"/>
            <w:shd w:val="clear" w:color="auto" w:fill="D9D9D9" w:themeFill="background1" w:themeFillShade="D9"/>
          </w:tcPr>
          <w:p w14:paraId="10AD6C7B" w14:textId="77777777" w:rsidR="00164148" w:rsidRPr="00F07779" w:rsidRDefault="00164148" w:rsidP="005E3573">
            <w:pPr>
              <w:rPr>
                <w:sz w:val="20"/>
                <w:szCs w:val="20"/>
              </w:rPr>
            </w:pPr>
            <w:r w:rsidRPr="00F07779">
              <w:rPr>
                <w:sz w:val="20"/>
                <w:szCs w:val="20"/>
              </w:rPr>
              <w:t>Title</w:t>
            </w:r>
          </w:p>
        </w:tc>
        <w:tc>
          <w:tcPr>
            <w:tcW w:w="5601" w:type="dxa"/>
            <w:shd w:val="clear" w:color="auto" w:fill="D9D9D9" w:themeFill="background1" w:themeFillShade="D9"/>
          </w:tcPr>
          <w:p w14:paraId="682775D6" w14:textId="77777777" w:rsidR="00164148" w:rsidRPr="00F07779" w:rsidRDefault="00164148" w:rsidP="005E3573">
            <w:pPr>
              <w:rPr>
                <w:sz w:val="20"/>
                <w:szCs w:val="20"/>
              </w:rPr>
            </w:pPr>
            <w:r w:rsidRPr="00F07779">
              <w:rPr>
                <w:sz w:val="20"/>
                <w:szCs w:val="20"/>
              </w:rPr>
              <w:t>Preparation and adoption of the Action Plan for Reducing Energy Poverty</w:t>
            </w:r>
          </w:p>
        </w:tc>
      </w:tr>
      <w:tr w:rsidR="00164148" w:rsidRPr="00F07779" w14:paraId="5F8485C6" w14:textId="77777777" w:rsidTr="005E3573">
        <w:tc>
          <w:tcPr>
            <w:tcW w:w="3114" w:type="dxa"/>
          </w:tcPr>
          <w:p w14:paraId="59C37583" w14:textId="77777777" w:rsidR="00164148" w:rsidRPr="00F07779" w:rsidRDefault="00164148" w:rsidP="005E3573">
            <w:pPr>
              <w:rPr>
                <w:sz w:val="20"/>
                <w:szCs w:val="20"/>
              </w:rPr>
            </w:pPr>
            <w:r w:rsidRPr="00F07779">
              <w:rPr>
                <w:sz w:val="20"/>
                <w:szCs w:val="20"/>
              </w:rPr>
              <w:t xml:space="preserve">Type </w:t>
            </w:r>
          </w:p>
        </w:tc>
        <w:tc>
          <w:tcPr>
            <w:tcW w:w="5601" w:type="dxa"/>
          </w:tcPr>
          <w:p w14:paraId="3A801A7A" w14:textId="77777777" w:rsidR="00164148" w:rsidRPr="00F07779" w:rsidRDefault="00164148" w:rsidP="005E3573">
            <w:pPr>
              <w:rPr>
                <w:sz w:val="20"/>
                <w:szCs w:val="20"/>
              </w:rPr>
            </w:pPr>
            <w:r w:rsidRPr="00F07779">
              <w:rPr>
                <w:sz w:val="20"/>
                <w:szCs w:val="20"/>
              </w:rPr>
              <w:t>Regulatory</w:t>
            </w:r>
          </w:p>
        </w:tc>
      </w:tr>
      <w:tr w:rsidR="00164148" w:rsidRPr="00F07779" w14:paraId="5813018B" w14:textId="77777777" w:rsidTr="005E3573">
        <w:tc>
          <w:tcPr>
            <w:tcW w:w="3114" w:type="dxa"/>
          </w:tcPr>
          <w:p w14:paraId="7A0CD365" w14:textId="77777777" w:rsidR="00164148" w:rsidRPr="00F07779" w:rsidRDefault="00164148" w:rsidP="005E3573">
            <w:pPr>
              <w:rPr>
                <w:sz w:val="20"/>
                <w:szCs w:val="20"/>
              </w:rPr>
            </w:pPr>
            <w:r w:rsidRPr="00F07779">
              <w:rPr>
                <w:sz w:val="20"/>
                <w:szCs w:val="20"/>
              </w:rPr>
              <w:t>Description</w:t>
            </w:r>
          </w:p>
        </w:tc>
        <w:tc>
          <w:tcPr>
            <w:tcW w:w="5601" w:type="dxa"/>
          </w:tcPr>
          <w:p w14:paraId="5916BB0F" w14:textId="77777777" w:rsidR="00164148" w:rsidRPr="00F07779" w:rsidRDefault="00164148" w:rsidP="005E3573">
            <w:pPr>
              <w:rPr>
                <w:sz w:val="20"/>
                <w:szCs w:val="20"/>
              </w:rPr>
            </w:pPr>
            <w:r w:rsidRPr="00F07779">
              <w:rPr>
                <w:sz w:val="20"/>
                <w:szCs w:val="20"/>
              </w:rPr>
              <w:t>The document elaborates measures and activities to support vulnerable energy consumers by ensuring access to electricity (and potentially other forms of energy) at affordable prices.</w:t>
            </w:r>
          </w:p>
        </w:tc>
      </w:tr>
      <w:tr w:rsidR="00164148" w:rsidRPr="00F07779" w14:paraId="113002E0" w14:textId="77777777" w:rsidTr="005E3573">
        <w:tc>
          <w:tcPr>
            <w:tcW w:w="3114" w:type="dxa"/>
          </w:tcPr>
          <w:p w14:paraId="6C2F1C31" w14:textId="77777777" w:rsidR="00164148" w:rsidRPr="00F07779" w:rsidRDefault="00164148" w:rsidP="005E3573">
            <w:pPr>
              <w:rPr>
                <w:sz w:val="20"/>
                <w:szCs w:val="20"/>
              </w:rPr>
            </w:pPr>
            <w:r w:rsidRPr="00F07779">
              <w:rPr>
                <w:sz w:val="20"/>
                <w:szCs w:val="20"/>
              </w:rPr>
              <w:t>Institutions responsible for the implementation of measures and activities</w:t>
            </w:r>
          </w:p>
        </w:tc>
        <w:tc>
          <w:tcPr>
            <w:tcW w:w="5601" w:type="dxa"/>
          </w:tcPr>
          <w:p w14:paraId="665976D0" w14:textId="77777777" w:rsidR="00164148" w:rsidRPr="00F07779" w:rsidRDefault="00164148" w:rsidP="005E3573">
            <w:pPr>
              <w:rPr>
                <w:sz w:val="20"/>
                <w:szCs w:val="20"/>
              </w:rPr>
            </w:pPr>
            <w:r w:rsidRPr="00F07779">
              <w:rPr>
                <w:color w:val="000000"/>
                <w:sz w:val="20"/>
                <w:szCs w:val="20"/>
              </w:rPr>
              <w:t>Government of Serbia – Project Management Unit – Ministry of Mining and Energy</w:t>
            </w:r>
          </w:p>
        </w:tc>
      </w:tr>
      <w:tr w:rsidR="00164148" w:rsidRPr="00F07779" w14:paraId="40DDB9D9" w14:textId="77777777" w:rsidTr="005E3573">
        <w:tc>
          <w:tcPr>
            <w:tcW w:w="3114" w:type="dxa"/>
          </w:tcPr>
          <w:p w14:paraId="79EB01C5" w14:textId="77777777" w:rsidR="00164148" w:rsidRPr="00F07779" w:rsidRDefault="00164148" w:rsidP="005E3573">
            <w:pPr>
              <w:rPr>
                <w:sz w:val="20"/>
                <w:szCs w:val="20"/>
              </w:rPr>
            </w:pPr>
            <w:r w:rsidRPr="00F07779">
              <w:rPr>
                <w:sz w:val="20"/>
                <w:szCs w:val="20"/>
              </w:rPr>
              <w:t>Deadline for implementation</w:t>
            </w:r>
          </w:p>
        </w:tc>
        <w:tc>
          <w:tcPr>
            <w:tcW w:w="5601" w:type="dxa"/>
          </w:tcPr>
          <w:p w14:paraId="47AFDDD3" w14:textId="77777777" w:rsidR="00164148" w:rsidRPr="00F07779" w:rsidRDefault="00164148" w:rsidP="005E3573">
            <w:pPr>
              <w:rPr>
                <w:sz w:val="20"/>
                <w:szCs w:val="20"/>
              </w:rPr>
            </w:pPr>
            <w:r w:rsidRPr="00F07779">
              <w:rPr>
                <w:sz w:val="20"/>
                <w:szCs w:val="20"/>
              </w:rPr>
              <w:t>If required</w:t>
            </w:r>
          </w:p>
        </w:tc>
      </w:tr>
      <w:tr w:rsidR="00164148" w:rsidRPr="00F07779" w14:paraId="68E328ED" w14:textId="77777777" w:rsidTr="005E3573">
        <w:tc>
          <w:tcPr>
            <w:tcW w:w="3114" w:type="dxa"/>
          </w:tcPr>
          <w:p w14:paraId="152F9DA4" w14:textId="77777777" w:rsidR="00164148" w:rsidRPr="00F07779" w:rsidRDefault="00164148" w:rsidP="005E3573">
            <w:pPr>
              <w:rPr>
                <w:sz w:val="20"/>
                <w:szCs w:val="20"/>
              </w:rPr>
            </w:pPr>
            <w:r w:rsidRPr="00F07779">
              <w:rPr>
                <w:sz w:val="20"/>
                <w:szCs w:val="20"/>
              </w:rPr>
              <w:t>Required funds and source of financing</w:t>
            </w:r>
          </w:p>
        </w:tc>
        <w:tc>
          <w:tcPr>
            <w:tcW w:w="5601" w:type="dxa"/>
          </w:tcPr>
          <w:p w14:paraId="5EBF4DF4" w14:textId="77777777" w:rsidR="00164148" w:rsidRPr="00F07779" w:rsidRDefault="00164148" w:rsidP="005E3573">
            <w:pPr>
              <w:rPr>
                <w:sz w:val="20"/>
                <w:szCs w:val="20"/>
              </w:rPr>
            </w:pPr>
            <w:r w:rsidRPr="00F07779">
              <w:rPr>
                <w:sz w:val="20"/>
                <w:szCs w:val="20"/>
              </w:rPr>
              <w:t>EUR 200,000 (RSD 23,450,000)</w:t>
            </w:r>
          </w:p>
          <w:p w14:paraId="6C1E7E60" w14:textId="77777777" w:rsidR="00164148" w:rsidRPr="00F07779" w:rsidRDefault="00164148" w:rsidP="005E3573">
            <w:pPr>
              <w:rPr>
                <w:sz w:val="20"/>
                <w:szCs w:val="20"/>
              </w:rPr>
            </w:pPr>
            <w:r w:rsidRPr="00F07779">
              <w:rPr>
                <w:sz w:val="20"/>
                <w:szCs w:val="20"/>
              </w:rPr>
              <w:t>Budget of the Republic of Serbia and other sources in accordance with the law</w:t>
            </w:r>
          </w:p>
        </w:tc>
      </w:tr>
      <w:tr w:rsidR="00164148" w:rsidRPr="00F07779" w14:paraId="0DDE727B" w14:textId="77777777" w:rsidTr="005E3573">
        <w:tc>
          <w:tcPr>
            <w:tcW w:w="3114" w:type="dxa"/>
          </w:tcPr>
          <w:p w14:paraId="6DA5F645" w14:textId="77777777" w:rsidR="00164148" w:rsidRPr="00F07779" w:rsidRDefault="00164148" w:rsidP="005E3573">
            <w:pPr>
              <w:rPr>
                <w:sz w:val="20"/>
                <w:szCs w:val="20"/>
              </w:rPr>
            </w:pPr>
            <w:r w:rsidRPr="00F07779">
              <w:rPr>
                <w:sz w:val="20"/>
                <w:szCs w:val="20"/>
              </w:rPr>
              <w:t>Implementation indicator</w:t>
            </w:r>
          </w:p>
        </w:tc>
        <w:tc>
          <w:tcPr>
            <w:tcW w:w="5601" w:type="dxa"/>
          </w:tcPr>
          <w:p w14:paraId="12E59DAB" w14:textId="77777777" w:rsidR="00164148" w:rsidRPr="00F07779" w:rsidRDefault="00164148" w:rsidP="005E3573">
            <w:pPr>
              <w:rPr>
                <w:sz w:val="20"/>
                <w:szCs w:val="20"/>
              </w:rPr>
            </w:pPr>
            <w:r w:rsidRPr="00F07779">
              <w:rPr>
                <w:sz w:val="20"/>
                <w:szCs w:val="20"/>
              </w:rPr>
              <w:t>Adopted Action Plan for Reducing Energy Poverty</w:t>
            </w:r>
          </w:p>
        </w:tc>
      </w:tr>
      <w:tr w:rsidR="00164148" w:rsidRPr="00F07779" w14:paraId="15030DCD" w14:textId="77777777" w:rsidTr="005E3573">
        <w:tc>
          <w:tcPr>
            <w:tcW w:w="3114" w:type="dxa"/>
          </w:tcPr>
          <w:p w14:paraId="29DA857E" w14:textId="77777777" w:rsidR="00164148" w:rsidRPr="00F07779" w:rsidRDefault="00164148" w:rsidP="005E3573">
            <w:pPr>
              <w:rPr>
                <w:sz w:val="20"/>
                <w:szCs w:val="20"/>
              </w:rPr>
            </w:pPr>
            <w:r w:rsidRPr="00F07779">
              <w:rPr>
                <w:sz w:val="20"/>
                <w:szCs w:val="20"/>
              </w:rPr>
              <w:t>Impact of the activity on the achievement of the objective</w:t>
            </w:r>
          </w:p>
        </w:tc>
        <w:tc>
          <w:tcPr>
            <w:tcW w:w="5601" w:type="dxa"/>
          </w:tcPr>
          <w:p w14:paraId="3F3FFE14" w14:textId="77777777" w:rsidR="00164148" w:rsidRPr="00F07779" w:rsidRDefault="00164148" w:rsidP="005E3573">
            <w:pPr>
              <w:rPr>
                <w:sz w:val="20"/>
                <w:szCs w:val="20"/>
              </w:rPr>
            </w:pPr>
            <w:r w:rsidRPr="00F07779">
              <w:rPr>
                <w:sz w:val="20"/>
                <w:szCs w:val="20"/>
              </w:rPr>
              <w:t>Reducing energy poverty positively contributes to enhancing the competitiveness of the energy sector.</w:t>
            </w:r>
          </w:p>
        </w:tc>
      </w:tr>
    </w:tbl>
    <w:p w14:paraId="31351E5B" w14:textId="77777777" w:rsidR="00164148" w:rsidRPr="00F07779" w:rsidRDefault="00164148" w:rsidP="00164148"/>
    <w:p w14:paraId="5DDA5B54" w14:textId="77777777" w:rsidR="00164148" w:rsidRPr="00F07779" w:rsidRDefault="00164148" w:rsidP="00164148">
      <w:pPr>
        <w:rPr>
          <w:rFonts w:eastAsia="Calibri"/>
        </w:rPr>
      </w:pPr>
      <w:r w:rsidRPr="00F07779">
        <w:t>Table 5.8.4: Activities for the implementation of measure PТ4</w:t>
      </w:r>
    </w:p>
    <w:tbl>
      <w:tblPr>
        <w:tblStyle w:val="TableGrid"/>
        <w:tblW w:w="0" w:type="auto"/>
        <w:tblLook w:val="04A0" w:firstRow="1" w:lastRow="0" w:firstColumn="1" w:lastColumn="0" w:noHBand="0" w:noVBand="1"/>
      </w:tblPr>
      <w:tblGrid>
        <w:gridCol w:w="3114"/>
        <w:gridCol w:w="5601"/>
      </w:tblGrid>
      <w:tr w:rsidR="00164148" w:rsidRPr="00F07779" w14:paraId="472B359D" w14:textId="77777777" w:rsidTr="005E3573">
        <w:tc>
          <w:tcPr>
            <w:tcW w:w="3114" w:type="dxa"/>
            <w:shd w:val="clear" w:color="auto" w:fill="D9D9D9" w:themeFill="background1" w:themeFillShade="D9"/>
          </w:tcPr>
          <w:p w14:paraId="1CEE904A" w14:textId="77777777" w:rsidR="00164148" w:rsidRPr="00F07779" w:rsidRDefault="00164148" w:rsidP="005E3573">
            <w:pPr>
              <w:rPr>
                <w:sz w:val="20"/>
                <w:szCs w:val="20"/>
              </w:rPr>
            </w:pPr>
            <w:r w:rsidRPr="00F07779">
              <w:rPr>
                <w:sz w:val="20"/>
                <w:szCs w:val="20"/>
              </w:rPr>
              <w:t>Title</w:t>
            </w:r>
          </w:p>
        </w:tc>
        <w:tc>
          <w:tcPr>
            <w:tcW w:w="5601" w:type="dxa"/>
            <w:shd w:val="clear" w:color="auto" w:fill="D9D9D9" w:themeFill="background1" w:themeFillShade="D9"/>
          </w:tcPr>
          <w:p w14:paraId="07223A82" w14:textId="77777777" w:rsidR="00164148" w:rsidRPr="00F07779" w:rsidRDefault="00164148" w:rsidP="005E3573">
            <w:pPr>
              <w:rPr>
                <w:sz w:val="20"/>
                <w:szCs w:val="20"/>
              </w:rPr>
            </w:pPr>
            <w:r w:rsidRPr="00F07779">
              <w:rPr>
                <w:sz w:val="20"/>
                <w:szCs w:val="20"/>
              </w:rPr>
              <w:t>Establishment of an Information System with a Database on Energy Poverty</w:t>
            </w:r>
          </w:p>
        </w:tc>
      </w:tr>
      <w:tr w:rsidR="00164148" w:rsidRPr="00F07779" w14:paraId="60CFC11B" w14:textId="77777777" w:rsidTr="005E3573">
        <w:tc>
          <w:tcPr>
            <w:tcW w:w="3114" w:type="dxa"/>
          </w:tcPr>
          <w:p w14:paraId="5FB49E33" w14:textId="77777777" w:rsidR="00164148" w:rsidRPr="00F07779" w:rsidRDefault="00164148" w:rsidP="005E3573">
            <w:pPr>
              <w:rPr>
                <w:sz w:val="20"/>
                <w:szCs w:val="20"/>
              </w:rPr>
            </w:pPr>
            <w:r w:rsidRPr="00F07779">
              <w:rPr>
                <w:sz w:val="20"/>
                <w:szCs w:val="20"/>
              </w:rPr>
              <w:t xml:space="preserve">Type </w:t>
            </w:r>
          </w:p>
        </w:tc>
        <w:tc>
          <w:tcPr>
            <w:tcW w:w="5601" w:type="dxa"/>
          </w:tcPr>
          <w:p w14:paraId="2F260663" w14:textId="77777777" w:rsidR="00164148" w:rsidRPr="00F07779" w:rsidRDefault="00164148" w:rsidP="005E3573">
            <w:pPr>
              <w:rPr>
                <w:sz w:val="20"/>
                <w:szCs w:val="20"/>
              </w:rPr>
            </w:pPr>
            <w:r w:rsidRPr="00F07779">
              <w:rPr>
                <w:sz w:val="20"/>
                <w:szCs w:val="20"/>
              </w:rPr>
              <w:t>Institutional governance</w:t>
            </w:r>
          </w:p>
        </w:tc>
      </w:tr>
      <w:tr w:rsidR="00164148" w:rsidRPr="00F07779" w14:paraId="292382F7" w14:textId="77777777" w:rsidTr="005E3573">
        <w:tc>
          <w:tcPr>
            <w:tcW w:w="3114" w:type="dxa"/>
          </w:tcPr>
          <w:p w14:paraId="1D300B0B" w14:textId="77777777" w:rsidR="00164148" w:rsidRPr="00F07779" w:rsidRDefault="00164148" w:rsidP="005E3573">
            <w:pPr>
              <w:rPr>
                <w:sz w:val="20"/>
                <w:szCs w:val="20"/>
              </w:rPr>
            </w:pPr>
            <w:r w:rsidRPr="00F07779">
              <w:rPr>
                <w:sz w:val="20"/>
                <w:szCs w:val="20"/>
              </w:rPr>
              <w:t>Description</w:t>
            </w:r>
          </w:p>
        </w:tc>
        <w:tc>
          <w:tcPr>
            <w:tcW w:w="5601" w:type="dxa"/>
          </w:tcPr>
          <w:p w14:paraId="57245D7E" w14:textId="77777777" w:rsidR="00164148" w:rsidRPr="00F07779" w:rsidRDefault="00164148" w:rsidP="005E3573">
            <w:pPr>
              <w:rPr>
                <w:sz w:val="20"/>
                <w:szCs w:val="20"/>
              </w:rPr>
            </w:pPr>
            <w:r w:rsidRPr="00F07779">
              <w:rPr>
                <w:sz w:val="20"/>
                <w:szCs w:val="20"/>
              </w:rPr>
              <w:t>The information system would ensure the functional integration of all actors involved in the process of adopting regulations related to energy poverty (the Ministry of Mining and Energy, the Ministry of Labor, Employment, Veteran and Social Affairs, the Ministry of Economy, and other relevant national authorities, as well as local self-governments, etc.).</w:t>
            </w:r>
          </w:p>
        </w:tc>
      </w:tr>
      <w:tr w:rsidR="00164148" w:rsidRPr="00F07779" w14:paraId="44519635" w14:textId="77777777" w:rsidTr="005E3573">
        <w:tc>
          <w:tcPr>
            <w:tcW w:w="3114" w:type="dxa"/>
          </w:tcPr>
          <w:p w14:paraId="52640F8D" w14:textId="77777777" w:rsidR="00164148" w:rsidRPr="00F07779" w:rsidRDefault="00164148" w:rsidP="005E3573">
            <w:pPr>
              <w:rPr>
                <w:sz w:val="20"/>
                <w:szCs w:val="20"/>
              </w:rPr>
            </w:pPr>
            <w:r w:rsidRPr="00F07779">
              <w:rPr>
                <w:sz w:val="20"/>
                <w:szCs w:val="20"/>
              </w:rPr>
              <w:t>Institutions responsible for the implementation of measures and activities</w:t>
            </w:r>
          </w:p>
        </w:tc>
        <w:tc>
          <w:tcPr>
            <w:tcW w:w="5601" w:type="dxa"/>
          </w:tcPr>
          <w:p w14:paraId="63B57B8C" w14:textId="77777777" w:rsidR="00164148" w:rsidRPr="00F07779" w:rsidRDefault="00164148" w:rsidP="005E3573">
            <w:pPr>
              <w:rPr>
                <w:sz w:val="20"/>
                <w:szCs w:val="20"/>
              </w:rPr>
            </w:pPr>
            <w:r w:rsidRPr="00F07779">
              <w:rPr>
                <w:color w:val="000000"/>
                <w:sz w:val="20"/>
                <w:szCs w:val="20"/>
              </w:rPr>
              <w:t>Government of Serbia – Project Management Unit – Ministry of Mining and Energy</w:t>
            </w:r>
          </w:p>
        </w:tc>
      </w:tr>
      <w:tr w:rsidR="00164148" w:rsidRPr="00F07779" w14:paraId="79D3082D" w14:textId="77777777" w:rsidTr="005E3573">
        <w:tc>
          <w:tcPr>
            <w:tcW w:w="3114" w:type="dxa"/>
          </w:tcPr>
          <w:p w14:paraId="08FC3BC2" w14:textId="77777777" w:rsidR="00164148" w:rsidRPr="00F07779" w:rsidRDefault="00164148" w:rsidP="005E3573">
            <w:pPr>
              <w:rPr>
                <w:sz w:val="20"/>
                <w:szCs w:val="20"/>
              </w:rPr>
            </w:pPr>
            <w:r w:rsidRPr="00F07779">
              <w:rPr>
                <w:sz w:val="20"/>
                <w:szCs w:val="20"/>
              </w:rPr>
              <w:t>Deadline for implementation</w:t>
            </w:r>
          </w:p>
        </w:tc>
        <w:tc>
          <w:tcPr>
            <w:tcW w:w="5601" w:type="dxa"/>
          </w:tcPr>
          <w:p w14:paraId="4F8D4669" w14:textId="544590AD" w:rsidR="00164148" w:rsidRPr="00F07779" w:rsidRDefault="00164148" w:rsidP="005E3573">
            <w:pPr>
              <w:rPr>
                <w:sz w:val="20"/>
                <w:szCs w:val="20"/>
              </w:rPr>
            </w:pPr>
            <w:r w:rsidRPr="00F07779">
              <w:rPr>
                <w:sz w:val="20"/>
                <w:szCs w:val="20"/>
              </w:rPr>
              <w:t>2027</w:t>
            </w:r>
            <w:r w:rsidR="0095439A" w:rsidRPr="00F07779">
              <w:rPr>
                <w:sz w:val="20"/>
                <w:szCs w:val="20"/>
              </w:rPr>
              <w:t>.</w:t>
            </w:r>
            <w:r w:rsidRPr="00F07779">
              <w:rPr>
                <w:sz w:val="20"/>
                <w:szCs w:val="20"/>
              </w:rPr>
              <w:t xml:space="preserve"> </w:t>
            </w:r>
          </w:p>
        </w:tc>
      </w:tr>
      <w:tr w:rsidR="00164148" w:rsidRPr="00F07779" w14:paraId="6970E3E0" w14:textId="77777777" w:rsidTr="005E3573">
        <w:tc>
          <w:tcPr>
            <w:tcW w:w="3114" w:type="dxa"/>
          </w:tcPr>
          <w:p w14:paraId="2FEDA4FA" w14:textId="77777777" w:rsidR="00164148" w:rsidRPr="00F07779" w:rsidRDefault="00164148" w:rsidP="005E3573">
            <w:pPr>
              <w:rPr>
                <w:sz w:val="20"/>
                <w:szCs w:val="20"/>
              </w:rPr>
            </w:pPr>
            <w:r w:rsidRPr="00F07779">
              <w:rPr>
                <w:sz w:val="20"/>
                <w:szCs w:val="20"/>
              </w:rPr>
              <w:t>Required funds and source of financing</w:t>
            </w:r>
          </w:p>
        </w:tc>
        <w:tc>
          <w:tcPr>
            <w:tcW w:w="5601" w:type="dxa"/>
          </w:tcPr>
          <w:p w14:paraId="4ADEE3C3" w14:textId="77777777" w:rsidR="00164148" w:rsidRPr="00F07779" w:rsidRDefault="00164148" w:rsidP="005E3573">
            <w:pPr>
              <w:rPr>
                <w:sz w:val="20"/>
                <w:szCs w:val="20"/>
              </w:rPr>
            </w:pPr>
            <w:r w:rsidRPr="00F07779">
              <w:rPr>
                <w:sz w:val="20"/>
                <w:szCs w:val="20"/>
              </w:rPr>
              <w:t>EUR 200,000 (RSD 23,450,000)</w:t>
            </w:r>
          </w:p>
          <w:p w14:paraId="63D47A9E" w14:textId="77777777" w:rsidR="00164148" w:rsidRPr="00F07779" w:rsidRDefault="00164148" w:rsidP="005E3573">
            <w:pPr>
              <w:rPr>
                <w:sz w:val="20"/>
                <w:szCs w:val="20"/>
              </w:rPr>
            </w:pPr>
            <w:r w:rsidRPr="00F07779">
              <w:rPr>
                <w:sz w:val="20"/>
                <w:szCs w:val="20"/>
              </w:rPr>
              <w:t>Budget of the Republic of Serbia and other sources in accordance with the law</w:t>
            </w:r>
          </w:p>
        </w:tc>
      </w:tr>
      <w:tr w:rsidR="00164148" w:rsidRPr="00F07779" w14:paraId="4CB49E95" w14:textId="77777777" w:rsidTr="005E3573">
        <w:tc>
          <w:tcPr>
            <w:tcW w:w="3114" w:type="dxa"/>
          </w:tcPr>
          <w:p w14:paraId="2AE2F878" w14:textId="77777777" w:rsidR="00164148" w:rsidRPr="00F07779" w:rsidRDefault="00164148" w:rsidP="005E3573">
            <w:pPr>
              <w:rPr>
                <w:sz w:val="20"/>
                <w:szCs w:val="20"/>
              </w:rPr>
            </w:pPr>
            <w:r w:rsidRPr="00F07779">
              <w:rPr>
                <w:sz w:val="20"/>
                <w:szCs w:val="20"/>
              </w:rPr>
              <w:t>Implementation indicator</w:t>
            </w:r>
          </w:p>
        </w:tc>
        <w:tc>
          <w:tcPr>
            <w:tcW w:w="5601" w:type="dxa"/>
          </w:tcPr>
          <w:p w14:paraId="6062E33E" w14:textId="77777777" w:rsidR="00164148" w:rsidRPr="00F07779" w:rsidRDefault="00164148" w:rsidP="005E3573">
            <w:pPr>
              <w:rPr>
                <w:sz w:val="20"/>
                <w:szCs w:val="20"/>
              </w:rPr>
            </w:pPr>
            <w:r w:rsidRPr="00F07779">
              <w:rPr>
                <w:sz w:val="20"/>
                <w:szCs w:val="20"/>
              </w:rPr>
              <w:t>Established and functional information system and database</w:t>
            </w:r>
          </w:p>
        </w:tc>
      </w:tr>
      <w:tr w:rsidR="00164148" w:rsidRPr="00F07779" w14:paraId="668D6522" w14:textId="77777777" w:rsidTr="005E3573">
        <w:tc>
          <w:tcPr>
            <w:tcW w:w="3114" w:type="dxa"/>
          </w:tcPr>
          <w:p w14:paraId="4834AAE5" w14:textId="77777777" w:rsidR="00164148" w:rsidRPr="00F07779" w:rsidRDefault="00164148" w:rsidP="005E3573">
            <w:pPr>
              <w:rPr>
                <w:sz w:val="20"/>
                <w:szCs w:val="20"/>
              </w:rPr>
            </w:pPr>
            <w:r w:rsidRPr="00F07779">
              <w:rPr>
                <w:sz w:val="20"/>
                <w:szCs w:val="20"/>
              </w:rPr>
              <w:t>Impact of the activity on the achievement of the objective</w:t>
            </w:r>
          </w:p>
        </w:tc>
        <w:tc>
          <w:tcPr>
            <w:tcW w:w="5601" w:type="dxa"/>
          </w:tcPr>
          <w:p w14:paraId="278CFB32" w14:textId="77777777" w:rsidR="00164148" w:rsidRPr="00F07779" w:rsidRDefault="00164148" w:rsidP="005E3573">
            <w:pPr>
              <w:rPr>
                <w:sz w:val="20"/>
                <w:szCs w:val="20"/>
              </w:rPr>
            </w:pPr>
            <w:r w:rsidRPr="00F07779">
              <w:rPr>
                <w:sz w:val="20"/>
                <w:szCs w:val="20"/>
              </w:rPr>
              <w:t xml:space="preserve">Reducing energy poverty positively contributes to the decarbonization of the energy sector. </w:t>
            </w:r>
          </w:p>
        </w:tc>
      </w:tr>
    </w:tbl>
    <w:p w14:paraId="03827FF0" w14:textId="77777777" w:rsidR="002E7267" w:rsidRPr="00F07779" w:rsidRDefault="002E7267"/>
    <w:p w14:paraId="3F48FE36" w14:textId="01EDB555" w:rsidR="002E7267" w:rsidRPr="00F07779" w:rsidRDefault="003B1199" w:rsidP="003B1199">
      <w:pPr>
        <w:pStyle w:val="Heading1"/>
        <w:numPr>
          <w:ilvl w:val="0"/>
          <w:numId w:val="7"/>
        </w:numPr>
        <w:rPr>
          <w:rFonts w:ascii="Times New Roman" w:hAnsi="Times New Roman" w:cs="Times New Roman"/>
          <w:sz w:val="28"/>
          <w:szCs w:val="28"/>
        </w:rPr>
      </w:pPr>
      <w:bookmarkStart w:id="20" w:name="_Toc199155516"/>
      <w:r w:rsidRPr="00F07779">
        <w:rPr>
          <w:rFonts w:ascii="Times New Roman" w:hAnsi="Times New Roman" w:cs="Times New Roman"/>
          <w:sz w:val="28"/>
          <w:szCs w:val="28"/>
        </w:rPr>
        <w:t>EFFECTS OF PROGRAM IMPLEMENTATION</w:t>
      </w:r>
      <w:bookmarkEnd w:id="20"/>
    </w:p>
    <w:p w14:paraId="48BFDA69" w14:textId="77777777" w:rsidR="003B1199" w:rsidRPr="00F07779" w:rsidRDefault="003B1199" w:rsidP="0047127B">
      <w:pPr>
        <w:jc w:val="both"/>
      </w:pPr>
    </w:p>
    <w:p w14:paraId="34A3944A" w14:textId="46454C60" w:rsidR="003B1199" w:rsidRPr="00F07779" w:rsidRDefault="003B1199" w:rsidP="0047127B">
      <w:pPr>
        <w:jc w:val="both"/>
      </w:pPr>
      <w:r w:rsidRPr="00F07779">
        <w:t xml:space="preserve">All the measures, activities, and projects envisaged for implementation in the period 2025–2028, and presented by energy sectors, pursue the achievement of three overarching strategic objectives of energy development. In this regard, the </w:t>
      </w:r>
      <w:proofErr w:type="gramStart"/>
      <w:r w:rsidRPr="00F07779">
        <w:t>foreseen activities</w:t>
      </w:r>
      <w:proofErr w:type="gramEnd"/>
      <w:r w:rsidRPr="00F07779">
        <w:t xml:space="preserve"> in the renewable energy and energy efficiency sectors contribute positively to all three objectives.</w:t>
      </w:r>
    </w:p>
    <w:p w14:paraId="1A40AA9B" w14:textId="77777777" w:rsidR="003B1199" w:rsidRPr="00F07779" w:rsidRDefault="003B1199" w:rsidP="003B1199">
      <w:pPr>
        <w:snapToGrid w:val="0"/>
        <w:rPr>
          <w:rStyle w:val="IntenseEmphasis"/>
        </w:rPr>
      </w:pPr>
    </w:p>
    <w:p w14:paraId="75FEAA52" w14:textId="77777777" w:rsidR="003B1199" w:rsidRPr="00F07779" w:rsidRDefault="003B1199" w:rsidP="003B1199">
      <w:pPr>
        <w:snapToGrid w:val="0"/>
        <w:rPr>
          <w:rStyle w:val="IntenseEmphasis"/>
        </w:rPr>
      </w:pPr>
      <w:r w:rsidRPr="00F07779">
        <w:rPr>
          <w:rStyle w:val="IntenseEmphasis"/>
        </w:rPr>
        <w:lastRenderedPageBreak/>
        <w:t>Energy Security</w:t>
      </w:r>
    </w:p>
    <w:p w14:paraId="7A73CDD0" w14:textId="77777777" w:rsidR="003B1199" w:rsidRPr="00F07779" w:rsidRDefault="003B1199" w:rsidP="003B1199">
      <w:pPr>
        <w:snapToGrid w:val="0"/>
        <w:rPr>
          <w:rStyle w:val="IntenseEmphasis"/>
        </w:rPr>
      </w:pPr>
    </w:p>
    <w:p w14:paraId="45D90566" w14:textId="77777777" w:rsidR="003B1199" w:rsidRPr="00F07779" w:rsidRDefault="003B1199" w:rsidP="003B1199">
      <w:pPr>
        <w:jc w:val="both"/>
      </w:pPr>
      <w:r w:rsidRPr="00F07779">
        <w:t xml:space="preserve">Energy security in the transformation sectors (electric power and heat energy) is to be ensured through increasing the efficiency of production systems and reducing energy losses in transmission and distribution networks. It is foreseen that domestic electricity demand will be fully met </w:t>
      </w:r>
      <w:proofErr w:type="gramStart"/>
      <w:r w:rsidRPr="00F07779">
        <w:t>from</w:t>
      </w:r>
      <w:proofErr w:type="gramEnd"/>
      <w:r w:rsidRPr="00F07779">
        <w:t xml:space="preserve"> domestic production. Furthermore, energy security in the electricity sector will be enhanced by increasing transmission and distribution capacities, improving the management of these capacities, as well as by the integration of the electricity market. In both sectors, a higher share of renewable energy sources will be achieved.</w:t>
      </w:r>
    </w:p>
    <w:p w14:paraId="1DF6CF4C" w14:textId="77777777" w:rsidR="003B1199" w:rsidRPr="00F07779" w:rsidRDefault="003B1199" w:rsidP="003B1199">
      <w:pPr>
        <w:jc w:val="both"/>
      </w:pPr>
    </w:p>
    <w:p w14:paraId="31B0EC67" w14:textId="62D373E0" w:rsidR="003B1199" w:rsidRPr="00F07779" w:rsidRDefault="003B1199" w:rsidP="004929F1">
      <w:pPr>
        <w:jc w:val="both"/>
      </w:pPr>
      <w:proofErr w:type="gramStart"/>
      <w:r w:rsidRPr="00F07779">
        <w:t>With regard to</w:t>
      </w:r>
      <w:proofErr w:type="gramEnd"/>
      <w:r w:rsidRPr="00F07779">
        <w:t xml:space="preserve"> fossil fuel sectors, in the natural gas sector, energy security will be strengthened through the expansion of underground gas storage capacities, the construction of interconnections with North Macedonia and Romania, as well as through the revitalization and development of the </w:t>
      </w:r>
      <w:r w:rsidR="008C777E" w:rsidRPr="00F07779">
        <w:t>transport</w:t>
      </w:r>
      <w:r w:rsidRPr="00F07779">
        <w:t xml:space="preserve"> network. In the oil sector, the defined objective concerning </w:t>
      </w:r>
      <w:r w:rsidR="004929F1" w:rsidRPr="00F07779">
        <w:t>the stored quantities of mandatory oil and petroleum product reserves is being met, and a new supply route from Hungary is being opened. In the coal sector, ensuring a reliable domestic coal supply for the operation of thermal power plants is of crucial importance for maintaining energy security</w:t>
      </w:r>
      <w:r w:rsidRPr="00F07779">
        <w:t>.</w:t>
      </w:r>
    </w:p>
    <w:p w14:paraId="7798EFBE" w14:textId="77777777" w:rsidR="004A1687" w:rsidRPr="00F07779" w:rsidRDefault="004A1687" w:rsidP="002E7267"/>
    <w:p w14:paraId="1A7F550F" w14:textId="77777777" w:rsidR="008C777E" w:rsidRPr="00F07779" w:rsidRDefault="008C777E" w:rsidP="008C777E">
      <w:pPr>
        <w:snapToGrid w:val="0"/>
        <w:rPr>
          <w:rStyle w:val="IntenseEmphasis"/>
        </w:rPr>
      </w:pPr>
      <w:r w:rsidRPr="00F07779">
        <w:rPr>
          <w:rStyle w:val="IntenseEmphasis"/>
        </w:rPr>
        <w:t>Decarbonization</w:t>
      </w:r>
    </w:p>
    <w:p w14:paraId="21EED520" w14:textId="77777777" w:rsidR="008C777E" w:rsidRPr="00F07779" w:rsidRDefault="008C777E" w:rsidP="008C777E"/>
    <w:p w14:paraId="6272FAB3" w14:textId="40E48C34" w:rsidR="008C777E" w:rsidRPr="00F07779" w:rsidRDefault="008C777E" w:rsidP="008C777E">
      <w:pPr>
        <w:jc w:val="both"/>
      </w:pPr>
      <w:r w:rsidRPr="00F07779">
        <w:t>Decarbonization of the energy sector will be achieved through increased utilization of renewable energy sources for electricity and heat generation, improvements in energy efficiency across all stages of the energy chain, while the revitalization of the natural gas transport and distribution network, as well as the development of product pipeline systems, will result in the reduction of fugitive emissions.</w:t>
      </w:r>
    </w:p>
    <w:p w14:paraId="70088934" w14:textId="77777777" w:rsidR="008C777E" w:rsidRPr="00F07779" w:rsidRDefault="008C777E" w:rsidP="008C777E"/>
    <w:p w14:paraId="1D9C35D5" w14:textId="7185CCBF" w:rsidR="008C777E" w:rsidRPr="00F07779" w:rsidRDefault="008C777E" w:rsidP="008C777E">
      <w:pPr>
        <w:jc w:val="both"/>
      </w:pPr>
      <w:r w:rsidRPr="00F07779">
        <w:t xml:space="preserve">For a more intensive decarbonization of the energy sector, </w:t>
      </w:r>
      <w:proofErr w:type="gramStart"/>
      <w:r w:rsidRPr="00F07779">
        <w:t>in particular</w:t>
      </w:r>
      <w:proofErr w:type="gramEnd"/>
      <w:r w:rsidRPr="00F07779">
        <w:t xml:space="preserve"> the electricity sector, the simultaneous implementation of measures in the field of just transition is of paramount importance, especially those aimed at mitigating the adverse social impacts of potential coal mine closures.</w:t>
      </w:r>
    </w:p>
    <w:p w14:paraId="36DC3EBF" w14:textId="77777777" w:rsidR="005D7F76" w:rsidRPr="00F07779" w:rsidRDefault="005D7F76" w:rsidP="00A9439B">
      <w:pPr>
        <w:jc w:val="both"/>
      </w:pPr>
    </w:p>
    <w:p w14:paraId="33FF43C0" w14:textId="77777777" w:rsidR="005D7F76" w:rsidRPr="00F07779" w:rsidRDefault="005D7F76" w:rsidP="005D7F76">
      <w:pPr>
        <w:snapToGrid w:val="0"/>
        <w:rPr>
          <w:rStyle w:val="IntenseEmphasis"/>
        </w:rPr>
      </w:pPr>
      <w:r w:rsidRPr="00F07779">
        <w:rPr>
          <w:rStyle w:val="IntenseEmphasis"/>
        </w:rPr>
        <w:t>Competitiveness of the Energy Sector</w:t>
      </w:r>
    </w:p>
    <w:p w14:paraId="29780D13" w14:textId="77777777" w:rsidR="005D7F76" w:rsidRPr="00F07779" w:rsidRDefault="005D7F76" w:rsidP="005D7F76">
      <w:pPr>
        <w:jc w:val="both"/>
      </w:pPr>
    </w:p>
    <w:p w14:paraId="62D6EFB2" w14:textId="6511367C" w:rsidR="005D7F76" w:rsidRPr="00F07779" w:rsidRDefault="00004CCF" w:rsidP="005D7F76">
      <w:pPr>
        <w:jc w:val="both"/>
      </w:pPr>
      <w:r w:rsidRPr="00F07779">
        <w:t>The e</w:t>
      </w:r>
      <w:r w:rsidR="005D7F76" w:rsidRPr="00F07779">
        <w:t>nhanced competitiveness of the electricity sector will be reflected in improved reliability of the transmission and distribution system</w:t>
      </w:r>
      <w:r w:rsidRPr="00F07779">
        <w:t>s,</w:t>
      </w:r>
      <w:r w:rsidR="005D7F76" w:rsidRPr="00F07779">
        <w:t xml:space="preserve"> a</w:t>
      </w:r>
      <w:r w:rsidRPr="00F07779">
        <w:t>s well as in the</w:t>
      </w:r>
      <w:r w:rsidR="005D7F76" w:rsidRPr="00F07779">
        <w:t xml:space="preserve"> security of consumer supply, a</w:t>
      </w:r>
      <w:r w:rsidRPr="00F07779">
        <w:t>nd</w:t>
      </w:r>
      <w:r w:rsidR="005D7F76" w:rsidRPr="00F07779">
        <w:t xml:space="preserve"> in faster and more efficient integration of renewable energy sources. In the district heating sector, a significant increase in the number of systems with consumption-based billing of delivered heat is anticipated, along with an expansion in the number of </w:t>
      </w:r>
      <w:r w:rsidR="00260DCF" w:rsidRPr="00F07779">
        <w:t xml:space="preserve">connected </w:t>
      </w:r>
      <w:r w:rsidR="005D7F76" w:rsidRPr="00F07779">
        <w:t xml:space="preserve">users. The development of </w:t>
      </w:r>
      <w:r w:rsidR="0095439A" w:rsidRPr="00F07779">
        <w:t>natural</w:t>
      </w:r>
      <w:r w:rsidR="005D7F76" w:rsidRPr="00F07779">
        <w:t xml:space="preserve"> gas </w:t>
      </w:r>
      <w:r w:rsidR="00260DCF" w:rsidRPr="00F07779">
        <w:t>transport</w:t>
      </w:r>
      <w:r w:rsidR="005D7F76" w:rsidRPr="00F07779">
        <w:t xml:space="preserve"> and distribution networks will enable greater utilization of natural gas, while more efficient transportation of derivatives via product pipelines will contribute to reducing distribution costs for derivative suppliers.</w:t>
      </w:r>
    </w:p>
    <w:p w14:paraId="25D9C414" w14:textId="77777777" w:rsidR="005D7F76" w:rsidRPr="00F07779" w:rsidRDefault="005D7F76" w:rsidP="005D7F76">
      <w:pPr>
        <w:jc w:val="both"/>
      </w:pPr>
    </w:p>
    <w:p w14:paraId="0FD768E1" w14:textId="1A168D11" w:rsidR="005D7F76" w:rsidRPr="00F07779" w:rsidRDefault="005D7F76" w:rsidP="00A9439B">
      <w:pPr>
        <w:jc w:val="both"/>
      </w:pPr>
      <w:r w:rsidRPr="00F07779">
        <w:t xml:space="preserve">Table 6.1 </w:t>
      </w:r>
      <w:r w:rsidR="00004CCF" w:rsidRPr="00F07779">
        <w:t>outlines the key impacts of implementing the measures, activities, and projects envisioned under the Program in the energy sector on energy security, decarbonization, and enhancing the sector's competitiveness.</w:t>
      </w:r>
    </w:p>
    <w:p w14:paraId="413E88F5" w14:textId="03DF9480" w:rsidR="00E24A83" w:rsidRPr="00F07779" w:rsidRDefault="00E24A83" w:rsidP="00B20448">
      <w:pPr>
        <w:jc w:val="both"/>
      </w:pPr>
    </w:p>
    <w:p w14:paraId="58A87AF3" w14:textId="4F30B20B" w:rsidR="00FA5B96" w:rsidRPr="00F07779" w:rsidRDefault="00004CCF" w:rsidP="00FA5B96">
      <w:r w:rsidRPr="00F07779">
        <w:t>Table</w:t>
      </w:r>
      <w:r w:rsidR="00FA5B96" w:rsidRPr="00F07779">
        <w:t xml:space="preserve"> 6.1: </w:t>
      </w:r>
      <w:r w:rsidRPr="00F07779">
        <w:t>Impacts of Program implementation on the achievement of strategic goals</w:t>
      </w:r>
      <w:r w:rsidR="0026034F" w:rsidRPr="00F07779">
        <w:rPr>
          <w:rStyle w:val="FootnoteReference"/>
        </w:rPr>
        <w:footnoteReference w:id="59"/>
      </w:r>
    </w:p>
    <w:tbl>
      <w:tblPr>
        <w:tblStyle w:val="TableGrid"/>
        <w:tblW w:w="0" w:type="auto"/>
        <w:tblLook w:val="04A0" w:firstRow="1" w:lastRow="0" w:firstColumn="1" w:lastColumn="0" w:noHBand="0" w:noVBand="1"/>
      </w:tblPr>
      <w:tblGrid>
        <w:gridCol w:w="2178"/>
        <w:gridCol w:w="2179"/>
        <w:gridCol w:w="2179"/>
        <w:gridCol w:w="2179"/>
      </w:tblGrid>
      <w:tr w:rsidR="00FA5B96" w:rsidRPr="00F07779" w14:paraId="2C068EB7" w14:textId="77777777" w:rsidTr="00DD1FBC">
        <w:tc>
          <w:tcPr>
            <w:tcW w:w="2178" w:type="dxa"/>
            <w:tcMar>
              <w:left w:w="0" w:type="dxa"/>
              <w:right w:w="0" w:type="dxa"/>
            </w:tcMar>
            <w:vAlign w:val="center"/>
          </w:tcPr>
          <w:p w14:paraId="5281AA1F" w14:textId="7361BA79" w:rsidR="00FA5B96" w:rsidRPr="00F07779" w:rsidRDefault="00004CCF" w:rsidP="00DD1FBC">
            <w:pPr>
              <w:rPr>
                <w:sz w:val="22"/>
                <w:szCs w:val="22"/>
              </w:rPr>
            </w:pPr>
            <w:r w:rsidRPr="00F07779">
              <w:rPr>
                <w:sz w:val="22"/>
                <w:szCs w:val="22"/>
              </w:rPr>
              <w:t>Sector</w:t>
            </w:r>
          </w:p>
        </w:tc>
        <w:tc>
          <w:tcPr>
            <w:tcW w:w="2179" w:type="dxa"/>
            <w:tcMar>
              <w:left w:w="0" w:type="dxa"/>
              <w:right w:w="0" w:type="dxa"/>
            </w:tcMar>
            <w:vAlign w:val="center"/>
          </w:tcPr>
          <w:p w14:paraId="53684C0A" w14:textId="719CC6F2" w:rsidR="00FA5B96" w:rsidRPr="00F07779" w:rsidRDefault="00004CCF" w:rsidP="00DD1FBC">
            <w:pPr>
              <w:jc w:val="center"/>
              <w:rPr>
                <w:sz w:val="22"/>
                <w:szCs w:val="22"/>
              </w:rPr>
            </w:pPr>
            <w:r w:rsidRPr="00F07779">
              <w:rPr>
                <w:sz w:val="22"/>
                <w:szCs w:val="22"/>
              </w:rPr>
              <w:t>Energy Security</w:t>
            </w:r>
          </w:p>
        </w:tc>
        <w:tc>
          <w:tcPr>
            <w:tcW w:w="2179" w:type="dxa"/>
            <w:tcMar>
              <w:left w:w="0" w:type="dxa"/>
              <w:right w:w="0" w:type="dxa"/>
            </w:tcMar>
            <w:vAlign w:val="center"/>
          </w:tcPr>
          <w:p w14:paraId="633A013C" w14:textId="3046DABB" w:rsidR="00FA5B96" w:rsidRPr="00F07779" w:rsidRDefault="00004CCF" w:rsidP="00DD1FBC">
            <w:pPr>
              <w:jc w:val="center"/>
              <w:rPr>
                <w:sz w:val="22"/>
                <w:szCs w:val="22"/>
              </w:rPr>
            </w:pPr>
            <w:r w:rsidRPr="00F07779">
              <w:rPr>
                <w:sz w:val="22"/>
                <w:szCs w:val="22"/>
              </w:rPr>
              <w:t>Decarbonization</w:t>
            </w:r>
          </w:p>
        </w:tc>
        <w:tc>
          <w:tcPr>
            <w:tcW w:w="2179" w:type="dxa"/>
            <w:tcMar>
              <w:left w:w="0" w:type="dxa"/>
              <w:right w:w="0" w:type="dxa"/>
            </w:tcMar>
            <w:vAlign w:val="center"/>
          </w:tcPr>
          <w:p w14:paraId="434E4053" w14:textId="3DCC4F33" w:rsidR="00FA5B96" w:rsidRPr="00F07779" w:rsidRDefault="00004CCF" w:rsidP="00DD1FBC">
            <w:pPr>
              <w:jc w:val="center"/>
              <w:rPr>
                <w:sz w:val="22"/>
                <w:szCs w:val="22"/>
              </w:rPr>
            </w:pPr>
            <w:r w:rsidRPr="00F07779">
              <w:rPr>
                <w:sz w:val="22"/>
                <w:szCs w:val="22"/>
              </w:rPr>
              <w:t>Competitiveness of the Energy Sector</w:t>
            </w:r>
          </w:p>
        </w:tc>
      </w:tr>
      <w:tr w:rsidR="00004CCF" w:rsidRPr="00F07779" w14:paraId="5CC06A6E" w14:textId="77777777" w:rsidTr="00DD1FBC">
        <w:tc>
          <w:tcPr>
            <w:tcW w:w="2178" w:type="dxa"/>
            <w:tcMar>
              <w:left w:w="0" w:type="dxa"/>
              <w:right w:w="0" w:type="dxa"/>
            </w:tcMar>
            <w:vAlign w:val="center"/>
          </w:tcPr>
          <w:p w14:paraId="129DBECD" w14:textId="68C2B79E" w:rsidR="00004CCF" w:rsidRPr="00F07779" w:rsidRDefault="00004CCF" w:rsidP="00004CCF">
            <w:pPr>
              <w:rPr>
                <w:sz w:val="22"/>
                <w:szCs w:val="22"/>
              </w:rPr>
            </w:pPr>
            <w:r w:rsidRPr="00F07779">
              <w:rPr>
                <w:sz w:val="22"/>
                <w:szCs w:val="22"/>
              </w:rPr>
              <w:lastRenderedPageBreak/>
              <w:t>Electric power sector</w:t>
            </w:r>
          </w:p>
        </w:tc>
        <w:tc>
          <w:tcPr>
            <w:tcW w:w="2179" w:type="dxa"/>
            <w:tcMar>
              <w:left w:w="0" w:type="dxa"/>
              <w:right w:w="0" w:type="dxa"/>
            </w:tcMar>
          </w:tcPr>
          <w:p w14:paraId="12B24A15" w14:textId="02AEDB21" w:rsidR="00004CCF" w:rsidRPr="00F07779" w:rsidRDefault="00004CCF" w:rsidP="00004CCF">
            <w:pPr>
              <w:pStyle w:val="ListParagraph"/>
              <w:numPr>
                <w:ilvl w:val="0"/>
                <w:numId w:val="3"/>
              </w:numPr>
              <w:ind w:left="229" w:hanging="142"/>
              <w:rPr>
                <w:rFonts w:ascii="Times New Roman" w:hAnsi="Times New Roman" w:cs="Times New Roman"/>
                <w:noProof w:val="0"/>
                <w:sz w:val="22"/>
                <w:szCs w:val="22"/>
              </w:rPr>
            </w:pPr>
            <w:r w:rsidRPr="00F07779">
              <w:rPr>
                <w:rFonts w:ascii="Times New Roman" w:hAnsi="Times New Roman" w:cs="Times New Roman"/>
                <w:noProof w:val="0"/>
                <w:sz w:val="22"/>
                <w:szCs w:val="22"/>
              </w:rPr>
              <w:t>Indigenous production fully covers domestic needs</w:t>
            </w:r>
          </w:p>
          <w:p w14:paraId="5CD0AFF0" w14:textId="25803C1B" w:rsidR="00004CCF" w:rsidRPr="00F07779" w:rsidRDefault="00004CCF" w:rsidP="00004CCF">
            <w:pPr>
              <w:pStyle w:val="ListParagraph"/>
              <w:numPr>
                <w:ilvl w:val="0"/>
                <w:numId w:val="3"/>
              </w:numPr>
              <w:ind w:left="229" w:hanging="142"/>
              <w:rPr>
                <w:rFonts w:ascii="Times New Roman" w:hAnsi="Times New Roman" w:cs="Times New Roman"/>
                <w:noProof w:val="0"/>
                <w:sz w:val="22"/>
                <w:szCs w:val="22"/>
              </w:rPr>
            </w:pPr>
            <w:r w:rsidRPr="00F07779">
              <w:rPr>
                <w:rFonts w:ascii="Times New Roman" w:hAnsi="Times New Roman" w:cs="Times New Roman"/>
                <w:noProof w:val="0"/>
                <w:sz w:val="22"/>
                <w:szCs w:val="22"/>
              </w:rPr>
              <w:t>Increased transmission and distribution capacities and mitigation of the impact of aging infrastructure</w:t>
            </w:r>
          </w:p>
          <w:p w14:paraId="6385294F" w14:textId="5389AB47" w:rsidR="00004CCF" w:rsidRPr="00F07779" w:rsidRDefault="00004CCF" w:rsidP="00004CCF">
            <w:pPr>
              <w:pStyle w:val="ListParagraph"/>
              <w:numPr>
                <w:ilvl w:val="0"/>
                <w:numId w:val="3"/>
              </w:numPr>
              <w:ind w:left="229" w:hanging="142"/>
              <w:rPr>
                <w:rFonts w:ascii="Times New Roman" w:hAnsi="Times New Roman" w:cs="Times New Roman"/>
                <w:noProof w:val="0"/>
                <w:sz w:val="22"/>
                <w:szCs w:val="22"/>
              </w:rPr>
            </w:pPr>
            <w:r w:rsidRPr="00F07779">
              <w:rPr>
                <w:rFonts w:ascii="Times New Roman" w:hAnsi="Times New Roman" w:cs="Times New Roman"/>
                <w:noProof w:val="0"/>
                <w:sz w:val="22"/>
                <w:szCs w:val="22"/>
              </w:rPr>
              <w:t>More efficient management of the transmission and distribution system, integration of the electricity market</w:t>
            </w:r>
          </w:p>
        </w:tc>
        <w:tc>
          <w:tcPr>
            <w:tcW w:w="2179" w:type="dxa"/>
            <w:tcMar>
              <w:left w:w="0" w:type="dxa"/>
              <w:right w:w="0" w:type="dxa"/>
            </w:tcMar>
          </w:tcPr>
          <w:p w14:paraId="068EB443" w14:textId="57A639E2" w:rsidR="00004CCF" w:rsidRPr="00F07779" w:rsidRDefault="00004CCF" w:rsidP="00004CCF">
            <w:pPr>
              <w:pStyle w:val="ListParagraph"/>
              <w:numPr>
                <w:ilvl w:val="0"/>
                <w:numId w:val="3"/>
              </w:numPr>
              <w:ind w:left="229" w:hanging="142"/>
              <w:rPr>
                <w:noProof w:val="0"/>
                <w:sz w:val="22"/>
                <w:szCs w:val="22"/>
              </w:rPr>
            </w:pPr>
            <w:r w:rsidRPr="00F07779">
              <w:rPr>
                <w:rFonts w:ascii="Times New Roman" w:hAnsi="Times New Roman" w:cs="Times New Roman"/>
                <w:noProof w:val="0"/>
                <w:sz w:val="22"/>
                <w:szCs w:val="22"/>
              </w:rPr>
              <w:t xml:space="preserve">Growth in the share of RES in electricity production </w:t>
            </w:r>
            <w:r w:rsidRPr="00FA3F57">
              <w:rPr>
                <w:rFonts w:ascii="Times New Roman" w:hAnsi="Times New Roman" w:cs="Times New Roman"/>
                <w:noProof w:val="0"/>
                <w:sz w:val="22"/>
                <w:szCs w:val="22"/>
              </w:rPr>
              <w:t xml:space="preserve">by </w:t>
            </w:r>
            <w:r w:rsidR="00E75649" w:rsidRPr="00FA3F57">
              <w:rPr>
                <w:rFonts w:ascii="Times New Roman" w:hAnsi="Times New Roman" w:cs="Times New Roman"/>
                <w:noProof w:val="0"/>
                <w:sz w:val="22"/>
                <w:szCs w:val="22"/>
              </w:rPr>
              <w:t>8</w:t>
            </w:r>
            <w:r w:rsidRPr="00FA3F57">
              <w:rPr>
                <w:rFonts w:ascii="Times New Roman" w:hAnsi="Times New Roman" w:cs="Times New Roman"/>
                <w:noProof w:val="0"/>
                <w:sz w:val="22"/>
                <w:szCs w:val="22"/>
              </w:rPr>
              <w:t>.</w:t>
            </w:r>
            <w:r w:rsidR="00E75649" w:rsidRPr="00FA3F57">
              <w:rPr>
                <w:rFonts w:ascii="Times New Roman" w:hAnsi="Times New Roman" w:cs="Times New Roman"/>
                <w:noProof w:val="0"/>
                <w:sz w:val="22"/>
                <w:szCs w:val="22"/>
              </w:rPr>
              <w:t>05</w:t>
            </w:r>
            <w:r w:rsidRPr="00FA3F57">
              <w:rPr>
                <w:rFonts w:ascii="Times New Roman" w:hAnsi="Times New Roman" w:cs="Times New Roman"/>
                <w:noProof w:val="0"/>
                <w:sz w:val="22"/>
                <w:szCs w:val="22"/>
              </w:rPr>
              <w:t>%</w:t>
            </w:r>
          </w:p>
        </w:tc>
        <w:tc>
          <w:tcPr>
            <w:tcW w:w="2179" w:type="dxa"/>
            <w:tcMar>
              <w:left w:w="0" w:type="dxa"/>
              <w:right w:w="0" w:type="dxa"/>
            </w:tcMar>
          </w:tcPr>
          <w:p w14:paraId="61D8B879" w14:textId="2CD1E60A" w:rsidR="00004CCF" w:rsidRPr="00F07779" w:rsidRDefault="00004CCF" w:rsidP="00004CCF">
            <w:pPr>
              <w:pStyle w:val="ListParagraph"/>
              <w:numPr>
                <w:ilvl w:val="0"/>
                <w:numId w:val="3"/>
              </w:numPr>
              <w:ind w:left="229" w:hanging="142"/>
              <w:rPr>
                <w:rFonts w:ascii="Times New Roman" w:hAnsi="Times New Roman" w:cs="Times New Roman"/>
                <w:noProof w:val="0"/>
                <w:sz w:val="22"/>
                <w:szCs w:val="22"/>
              </w:rPr>
            </w:pPr>
            <w:r w:rsidRPr="00F07779">
              <w:rPr>
                <w:rFonts w:ascii="Times New Roman" w:hAnsi="Times New Roman" w:cs="Times New Roman"/>
                <w:noProof w:val="0"/>
                <w:sz w:val="22"/>
                <w:szCs w:val="22"/>
              </w:rPr>
              <w:t>Increased reliability of the transmission and distribution system and security of supply to consumers</w:t>
            </w:r>
          </w:p>
          <w:p w14:paraId="20EA6F66" w14:textId="51944539" w:rsidR="00004CCF" w:rsidRPr="00F07779" w:rsidRDefault="00004CCF" w:rsidP="00004CCF">
            <w:pPr>
              <w:pStyle w:val="ListParagraph"/>
              <w:numPr>
                <w:ilvl w:val="0"/>
                <w:numId w:val="3"/>
              </w:numPr>
              <w:ind w:left="229" w:hanging="142"/>
              <w:rPr>
                <w:noProof w:val="0"/>
                <w:sz w:val="22"/>
                <w:szCs w:val="22"/>
              </w:rPr>
            </w:pPr>
            <w:r w:rsidRPr="00F07779">
              <w:rPr>
                <w:rFonts w:ascii="Times New Roman" w:hAnsi="Times New Roman" w:cs="Times New Roman"/>
                <w:noProof w:val="0"/>
                <w:sz w:val="22"/>
                <w:szCs w:val="22"/>
              </w:rPr>
              <w:t>Faster and more efficient integration of renewable energy sources</w:t>
            </w:r>
          </w:p>
        </w:tc>
      </w:tr>
      <w:tr w:rsidR="00004CCF" w:rsidRPr="00F07779" w14:paraId="1D400AD4" w14:textId="77777777" w:rsidTr="00DD1FBC">
        <w:tc>
          <w:tcPr>
            <w:tcW w:w="2178" w:type="dxa"/>
            <w:tcMar>
              <w:left w:w="0" w:type="dxa"/>
              <w:right w:w="0" w:type="dxa"/>
            </w:tcMar>
            <w:vAlign w:val="center"/>
          </w:tcPr>
          <w:p w14:paraId="5CBFD7A6" w14:textId="714FEE13" w:rsidR="00004CCF" w:rsidRPr="00F07779" w:rsidRDefault="00004CCF" w:rsidP="00004CCF">
            <w:pPr>
              <w:rPr>
                <w:sz w:val="22"/>
                <w:szCs w:val="22"/>
              </w:rPr>
            </w:pPr>
            <w:r w:rsidRPr="00F07779">
              <w:rPr>
                <w:sz w:val="22"/>
                <w:szCs w:val="22"/>
              </w:rPr>
              <w:t>Heat energy sector</w:t>
            </w:r>
          </w:p>
        </w:tc>
        <w:tc>
          <w:tcPr>
            <w:tcW w:w="4358" w:type="dxa"/>
            <w:gridSpan w:val="2"/>
            <w:tcMar>
              <w:left w:w="0" w:type="dxa"/>
              <w:right w:w="0" w:type="dxa"/>
            </w:tcMar>
          </w:tcPr>
          <w:p w14:paraId="66FBB19C" w14:textId="77777777" w:rsidR="00004CCF" w:rsidRPr="00F07779" w:rsidRDefault="00004CCF" w:rsidP="00004CCF">
            <w:pPr>
              <w:pStyle w:val="ListParagraph"/>
              <w:numPr>
                <w:ilvl w:val="0"/>
                <w:numId w:val="3"/>
              </w:numPr>
              <w:ind w:left="229" w:hanging="142"/>
              <w:rPr>
                <w:rFonts w:ascii="Times New Roman" w:hAnsi="Times New Roman" w:cs="Times New Roman"/>
                <w:noProof w:val="0"/>
                <w:sz w:val="22"/>
                <w:szCs w:val="22"/>
              </w:rPr>
            </w:pPr>
            <w:r w:rsidRPr="00F07779">
              <w:rPr>
                <w:rFonts w:ascii="Times New Roman" w:hAnsi="Times New Roman" w:cs="Times New Roman"/>
                <w:noProof w:val="0"/>
                <w:sz w:val="22"/>
                <w:szCs w:val="22"/>
              </w:rPr>
              <w:t>- Increased efficiency of the DH production systems by 1.3%</w:t>
            </w:r>
          </w:p>
          <w:p w14:paraId="60D9A6C1" w14:textId="77777777" w:rsidR="00004CCF" w:rsidRPr="00F07779" w:rsidRDefault="00004CCF" w:rsidP="00004CCF">
            <w:pPr>
              <w:pStyle w:val="ListParagraph"/>
              <w:numPr>
                <w:ilvl w:val="0"/>
                <w:numId w:val="3"/>
              </w:numPr>
              <w:ind w:left="229" w:hanging="142"/>
              <w:rPr>
                <w:rFonts w:ascii="Times New Roman" w:hAnsi="Times New Roman" w:cs="Times New Roman"/>
                <w:noProof w:val="0"/>
                <w:sz w:val="22"/>
                <w:szCs w:val="22"/>
              </w:rPr>
            </w:pPr>
            <w:r w:rsidRPr="00F07779">
              <w:rPr>
                <w:rFonts w:ascii="Times New Roman" w:hAnsi="Times New Roman" w:cs="Times New Roman"/>
                <w:noProof w:val="0"/>
                <w:sz w:val="22"/>
                <w:szCs w:val="22"/>
              </w:rPr>
              <w:t>- Reduced losses in DH distribution networks by 1.7%</w:t>
            </w:r>
          </w:p>
          <w:p w14:paraId="79E2FA32" w14:textId="7B8DAD15" w:rsidR="00004CCF" w:rsidRPr="00F07779" w:rsidRDefault="00004CCF" w:rsidP="00004CCF">
            <w:pPr>
              <w:pStyle w:val="ListParagraph"/>
              <w:numPr>
                <w:ilvl w:val="0"/>
                <w:numId w:val="3"/>
              </w:numPr>
              <w:ind w:left="229" w:hanging="142"/>
              <w:rPr>
                <w:rFonts w:ascii="Times New Roman" w:hAnsi="Times New Roman" w:cs="Times New Roman"/>
                <w:noProof w:val="0"/>
                <w:sz w:val="22"/>
                <w:szCs w:val="22"/>
              </w:rPr>
            </w:pPr>
            <w:r w:rsidRPr="00F07779">
              <w:rPr>
                <w:rFonts w:ascii="Times New Roman" w:hAnsi="Times New Roman" w:cs="Times New Roman"/>
                <w:noProof w:val="0"/>
                <w:sz w:val="22"/>
                <w:szCs w:val="22"/>
              </w:rPr>
              <w:t xml:space="preserve">- Share of RES for heat production in DHSs increased by 3.3% </w:t>
            </w:r>
          </w:p>
        </w:tc>
        <w:tc>
          <w:tcPr>
            <w:tcW w:w="2179" w:type="dxa"/>
            <w:tcMar>
              <w:left w:w="0" w:type="dxa"/>
              <w:right w:w="0" w:type="dxa"/>
            </w:tcMar>
          </w:tcPr>
          <w:p w14:paraId="6466D6F1" w14:textId="77777777" w:rsidR="00004CCF" w:rsidRPr="00F07779" w:rsidRDefault="00004CCF" w:rsidP="00004CCF">
            <w:pPr>
              <w:pStyle w:val="ListParagraph"/>
              <w:numPr>
                <w:ilvl w:val="0"/>
                <w:numId w:val="3"/>
              </w:numPr>
              <w:ind w:left="229" w:hanging="142"/>
              <w:rPr>
                <w:rFonts w:ascii="Times New Roman" w:hAnsi="Times New Roman" w:cs="Times New Roman"/>
                <w:noProof w:val="0"/>
                <w:sz w:val="22"/>
                <w:szCs w:val="22"/>
              </w:rPr>
            </w:pPr>
            <w:r w:rsidRPr="00F07779">
              <w:rPr>
                <w:rFonts w:ascii="Times New Roman" w:hAnsi="Times New Roman" w:cs="Times New Roman"/>
                <w:noProof w:val="0"/>
                <w:sz w:val="22"/>
                <w:szCs w:val="22"/>
              </w:rPr>
              <w:t>- Increased number of DHS users by 3.67%</w:t>
            </w:r>
          </w:p>
          <w:p w14:paraId="46FAC40D" w14:textId="5850D383" w:rsidR="00004CCF" w:rsidRPr="00F07779" w:rsidRDefault="00004CCF" w:rsidP="00004CCF">
            <w:pPr>
              <w:pStyle w:val="ListParagraph"/>
              <w:numPr>
                <w:ilvl w:val="0"/>
                <w:numId w:val="3"/>
              </w:numPr>
              <w:ind w:left="229" w:hanging="142"/>
              <w:rPr>
                <w:rFonts w:ascii="Times New Roman" w:hAnsi="Times New Roman" w:cs="Times New Roman"/>
                <w:noProof w:val="0"/>
                <w:sz w:val="22"/>
                <w:szCs w:val="22"/>
              </w:rPr>
            </w:pPr>
            <w:r w:rsidRPr="00F07779">
              <w:rPr>
                <w:rFonts w:ascii="Times New Roman" w:hAnsi="Times New Roman" w:cs="Times New Roman"/>
                <w:noProof w:val="0"/>
                <w:sz w:val="22"/>
                <w:szCs w:val="22"/>
              </w:rPr>
              <w:t>- Increased the number of DHSs with metered billing by 10%</w:t>
            </w:r>
          </w:p>
        </w:tc>
      </w:tr>
      <w:tr w:rsidR="00004CCF" w:rsidRPr="00F07779" w14:paraId="27E1F5D1" w14:textId="77777777" w:rsidTr="00DD1FBC">
        <w:tc>
          <w:tcPr>
            <w:tcW w:w="2178" w:type="dxa"/>
            <w:tcMar>
              <w:left w:w="0" w:type="dxa"/>
              <w:right w:w="0" w:type="dxa"/>
            </w:tcMar>
            <w:vAlign w:val="center"/>
          </w:tcPr>
          <w:p w14:paraId="3CEC3444" w14:textId="5638B3B6" w:rsidR="00004CCF" w:rsidRPr="00F07779" w:rsidRDefault="00004CCF" w:rsidP="00004CCF">
            <w:pPr>
              <w:rPr>
                <w:sz w:val="22"/>
                <w:szCs w:val="22"/>
              </w:rPr>
            </w:pPr>
            <w:r w:rsidRPr="00F07779">
              <w:rPr>
                <w:sz w:val="22"/>
                <w:szCs w:val="22"/>
              </w:rPr>
              <w:t xml:space="preserve">RES </w:t>
            </w:r>
          </w:p>
        </w:tc>
        <w:tc>
          <w:tcPr>
            <w:tcW w:w="6537" w:type="dxa"/>
            <w:gridSpan w:val="3"/>
            <w:tcMar>
              <w:left w:w="0" w:type="dxa"/>
              <w:right w:w="0" w:type="dxa"/>
            </w:tcMar>
          </w:tcPr>
          <w:p w14:paraId="09711D55" w14:textId="56C1DF91" w:rsidR="00004CCF" w:rsidRPr="00F07779" w:rsidRDefault="00004CCF" w:rsidP="00004CCF">
            <w:pPr>
              <w:pStyle w:val="ListParagraph"/>
              <w:numPr>
                <w:ilvl w:val="0"/>
                <w:numId w:val="3"/>
              </w:numPr>
              <w:ind w:left="229" w:hanging="142"/>
              <w:rPr>
                <w:rFonts w:ascii="Times New Roman" w:hAnsi="Times New Roman" w:cs="Times New Roman"/>
                <w:noProof w:val="0"/>
                <w:sz w:val="22"/>
                <w:szCs w:val="22"/>
              </w:rPr>
            </w:pPr>
            <w:r w:rsidRPr="00F07779">
              <w:rPr>
                <w:rFonts w:ascii="Times New Roman" w:hAnsi="Times New Roman" w:cs="Times New Roman"/>
                <w:noProof w:val="0"/>
                <w:sz w:val="22"/>
                <w:szCs w:val="22"/>
              </w:rPr>
              <w:t>Growth of the share of RES in electricity production by 8.05%</w:t>
            </w:r>
          </w:p>
          <w:p w14:paraId="6364AA31" w14:textId="3D71875D" w:rsidR="00004CCF" w:rsidRPr="00F07779" w:rsidRDefault="00004CCF" w:rsidP="00004CCF">
            <w:pPr>
              <w:pStyle w:val="ListParagraph"/>
              <w:numPr>
                <w:ilvl w:val="0"/>
                <w:numId w:val="3"/>
              </w:numPr>
              <w:ind w:left="229" w:hanging="142"/>
              <w:rPr>
                <w:rFonts w:ascii="Times New Roman" w:hAnsi="Times New Roman" w:cs="Times New Roman"/>
                <w:noProof w:val="0"/>
                <w:sz w:val="22"/>
                <w:szCs w:val="22"/>
              </w:rPr>
            </w:pPr>
            <w:r w:rsidRPr="00F07779">
              <w:rPr>
                <w:rFonts w:ascii="Times New Roman" w:hAnsi="Times New Roman" w:cs="Times New Roman"/>
                <w:noProof w:val="0"/>
                <w:sz w:val="22"/>
                <w:szCs w:val="22"/>
              </w:rPr>
              <w:t>Growth of the share of RES in heat energy production in DHSs by 3.3%</w:t>
            </w:r>
          </w:p>
        </w:tc>
      </w:tr>
      <w:tr w:rsidR="00004CCF" w:rsidRPr="00F07779" w14:paraId="7F8B995C" w14:textId="77777777" w:rsidTr="00DD1FBC">
        <w:tc>
          <w:tcPr>
            <w:tcW w:w="2178" w:type="dxa"/>
            <w:tcMar>
              <w:left w:w="0" w:type="dxa"/>
              <w:right w:w="0" w:type="dxa"/>
            </w:tcMar>
            <w:vAlign w:val="center"/>
          </w:tcPr>
          <w:p w14:paraId="22A00880" w14:textId="0CEA0A10" w:rsidR="00004CCF" w:rsidRPr="00F07779" w:rsidRDefault="00004CCF" w:rsidP="00004CCF">
            <w:pPr>
              <w:rPr>
                <w:sz w:val="22"/>
                <w:szCs w:val="22"/>
              </w:rPr>
            </w:pPr>
            <w:r w:rsidRPr="00F07779">
              <w:rPr>
                <w:sz w:val="22"/>
                <w:szCs w:val="22"/>
              </w:rPr>
              <w:t>Energy efficiency</w:t>
            </w:r>
          </w:p>
        </w:tc>
        <w:tc>
          <w:tcPr>
            <w:tcW w:w="6537" w:type="dxa"/>
            <w:gridSpan w:val="3"/>
            <w:tcMar>
              <w:left w:w="0" w:type="dxa"/>
              <w:right w:w="0" w:type="dxa"/>
            </w:tcMar>
            <w:vAlign w:val="center"/>
          </w:tcPr>
          <w:p w14:paraId="34DD6240" w14:textId="260BF206" w:rsidR="00004CCF" w:rsidRPr="00F07779" w:rsidRDefault="00004CCF" w:rsidP="00004CCF">
            <w:pPr>
              <w:pStyle w:val="ListParagraph"/>
              <w:numPr>
                <w:ilvl w:val="0"/>
                <w:numId w:val="3"/>
              </w:numPr>
              <w:ind w:left="229" w:hanging="142"/>
              <w:rPr>
                <w:rFonts w:ascii="Times New Roman" w:hAnsi="Times New Roman" w:cs="Times New Roman"/>
                <w:noProof w:val="0"/>
                <w:sz w:val="22"/>
                <w:szCs w:val="22"/>
              </w:rPr>
            </w:pPr>
            <w:r w:rsidRPr="00F07779">
              <w:rPr>
                <w:rFonts w:ascii="Times New Roman" w:hAnsi="Times New Roman" w:cs="Times New Roman"/>
                <w:noProof w:val="0"/>
                <w:sz w:val="22"/>
                <w:szCs w:val="22"/>
              </w:rPr>
              <w:t xml:space="preserve">Primary energy consumption reduced by 392.1 thousand </w:t>
            </w:r>
            <w:proofErr w:type="gramStart"/>
            <w:r w:rsidRPr="00F07779">
              <w:rPr>
                <w:rFonts w:ascii="Times New Roman" w:hAnsi="Times New Roman" w:cs="Times New Roman"/>
                <w:noProof w:val="0"/>
                <w:sz w:val="22"/>
                <w:szCs w:val="22"/>
              </w:rPr>
              <w:t>toe</w:t>
            </w:r>
            <w:proofErr w:type="gramEnd"/>
          </w:p>
          <w:p w14:paraId="03C033B0" w14:textId="381E98EC" w:rsidR="00004CCF" w:rsidRPr="00F07779" w:rsidRDefault="00004CCF" w:rsidP="00004CCF">
            <w:pPr>
              <w:pStyle w:val="ListParagraph"/>
              <w:numPr>
                <w:ilvl w:val="0"/>
                <w:numId w:val="3"/>
              </w:numPr>
              <w:ind w:left="229" w:hanging="142"/>
              <w:rPr>
                <w:rFonts w:ascii="Times New Roman" w:hAnsi="Times New Roman" w:cs="Times New Roman"/>
                <w:noProof w:val="0"/>
                <w:sz w:val="22"/>
                <w:szCs w:val="22"/>
              </w:rPr>
            </w:pPr>
            <w:r w:rsidRPr="00F07779">
              <w:rPr>
                <w:rFonts w:ascii="Times New Roman" w:hAnsi="Times New Roman" w:cs="Times New Roman"/>
                <w:noProof w:val="0"/>
                <w:sz w:val="22"/>
                <w:szCs w:val="22"/>
              </w:rPr>
              <w:t xml:space="preserve">Final energy consumption for energy purposes reduced by 69.6 thousand </w:t>
            </w:r>
            <w:proofErr w:type="gramStart"/>
            <w:r w:rsidRPr="00F07779">
              <w:rPr>
                <w:rFonts w:ascii="Times New Roman" w:hAnsi="Times New Roman" w:cs="Times New Roman"/>
                <w:noProof w:val="0"/>
                <w:sz w:val="22"/>
                <w:szCs w:val="22"/>
              </w:rPr>
              <w:t>toe</w:t>
            </w:r>
            <w:proofErr w:type="gramEnd"/>
          </w:p>
        </w:tc>
      </w:tr>
      <w:tr w:rsidR="00004CCF" w:rsidRPr="00F07779" w14:paraId="25A4886C" w14:textId="77777777" w:rsidTr="00DD1FBC">
        <w:tc>
          <w:tcPr>
            <w:tcW w:w="2178" w:type="dxa"/>
            <w:tcMar>
              <w:left w:w="0" w:type="dxa"/>
              <w:right w:w="0" w:type="dxa"/>
            </w:tcMar>
            <w:vAlign w:val="center"/>
          </w:tcPr>
          <w:p w14:paraId="298767FE" w14:textId="10037C58" w:rsidR="00004CCF" w:rsidRPr="00F07779" w:rsidRDefault="00004CCF" w:rsidP="00004CCF">
            <w:pPr>
              <w:rPr>
                <w:sz w:val="22"/>
                <w:szCs w:val="22"/>
              </w:rPr>
            </w:pPr>
            <w:r w:rsidRPr="00F07779">
              <w:rPr>
                <w:sz w:val="22"/>
                <w:szCs w:val="22"/>
              </w:rPr>
              <w:t>Natural gas sector</w:t>
            </w:r>
          </w:p>
        </w:tc>
        <w:tc>
          <w:tcPr>
            <w:tcW w:w="2179" w:type="dxa"/>
            <w:tcMar>
              <w:left w:w="0" w:type="dxa"/>
              <w:right w:w="0" w:type="dxa"/>
            </w:tcMar>
          </w:tcPr>
          <w:p w14:paraId="2CE45C5D" w14:textId="45E928EB" w:rsidR="00004CCF" w:rsidRPr="00F07779" w:rsidRDefault="00004CCF" w:rsidP="00004CCF">
            <w:pPr>
              <w:pStyle w:val="ListParagraph"/>
              <w:numPr>
                <w:ilvl w:val="0"/>
                <w:numId w:val="3"/>
              </w:numPr>
              <w:ind w:left="229" w:hanging="142"/>
              <w:rPr>
                <w:rFonts w:ascii="Times New Roman" w:hAnsi="Times New Roman" w:cs="Times New Roman"/>
                <w:noProof w:val="0"/>
                <w:sz w:val="22"/>
                <w:szCs w:val="22"/>
              </w:rPr>
            </w:pPr>
            <w:r w:rsidRPr="00F07779">
              <w:rPr>
                <w:rFonts w:ascii="Times New Roman" w:hAnsi="Times New Roman" w:cs="Times New Roman"/>
                <w:noProof w:val="0"/>
                <w:sz w:val="22"/>
                <w:szCs w:val="22"/>
              </w:rPr>
              <w:t>Storage of an additional 400 million m</w:t>
            </w:r>
            <w:r w:rsidRPr="00F07779">
              <w:rPr>
                <w:rFonts w:ascii="Times New Roman" w:hAnsi="Times New Roman" w:cs="Times New Roman"/>
                <w:noProof w:val="0"/>
                <w:sz w:val="22"/>
                <w:szCs w:val="22"/>
                <w:vertAlign w:val="superscript"/>
              </w:rPr>
              <w:t>3</w:t>
            </w:r>
            <w:r w:rsidRPr="00F07779">
              <w:rPr>
                <w:rFonts w:ascii="Times New Roman" w:hAnsi="Times New Roman" w:cs="Times New Roman"/>
                <w:noProof w:val="0"/>
                <w:sz w:val="22"/>
                <w:szCs w:val="22"/>
              </w:rPr>
              <w:t xml:space="preserve"> enabled</w:t>
            </w:r>
          </w:p>
          <w:p w14:paraId="4FB836BF" w14:textId="7EDCE4F0" w:rsidR="00004CCF" w:rsidRPr="00F07779" w:rsidRDefault="00004CCF" w:rsidP="00004CCF">
            <w:pPr>
              <w:pStyle w:val="ListParagraph"/>
              <w:numPr>
                <w:ilvl w:val="0"/>
                <w:numId w:val="3"/>
              </w:numPr>
              <w:ind w:left="229" w:hanging="142"/>
              <w:rPr>
                <w:rFonts w:ascii="Times New Roman" w:hAnsi="Times New Roman" w:cs="Times New Roman"/>
                <w:noProof w:val="0"/>
                <w:sz w:val="22"/>
                <w:szCs w:val="22"/>
              </w:rPr>
            </w:pPr>
            <w:r w:rsidRPr="00F07779">
              <w:rPr>
                <w:rFonts w:ascii="Times New Roman" w:hAnsi="Times New Roman" w:cs="Times New Roman"/>
                <w:noProof w:val="0"/>
                <w:sz w:val="22"/>
                <w:szCs w:val="22"/>
              </w:rPr>
              <w:t>Annual import of 1.1 billion Sm3 from Romania and 1.2 billion Sm3 from N. Macedonia enabled</w:t>
            </w:r>
          </w:p>
          <w:p w14:paraId="01E23E13" w14:textId="0BF0D17A" w:rsidR="00004CCF" w:rsidRPr="00F07779" w:rsidRDefault="00004CCF" w:rsidP="00004CCF">
            <w:pPr>
              <w:pStyle w:val="ListParagraph"/>
              <w:numPr>
                <w:ilvl w:val="0"/>
                <w:numId w:val="3"/>
              </w:numPr>
              <w:ind w:left="229" w:hanging="142"/>
              <w:rPr>
                <w:rFonts w:ascii="Times New Roman" w:hAnsi="Times New Roman" w:cs="Times New Roman"/>
                <w:noProof w:val="0"/>
                <w:sz w:val="22"/>
                <w:szCs w:val="22"/>
              </w:rPr>
            </w:pPr>
            <w:r w:rsidRPr="00F07779">
              <w:rPr>
                <w:rFonts w:ascii="Times New Roman" w:hAnsi="Times New Roman" w:cs="Times New Roman"/>
                <w:noProof w:val="0"/>
                <w:sz w:val="22"/>
                <w:szCs w:val="22"/>
              </w:rPr>
              <w:t>Revitalized transport network</w:t>
            </w:r>
          </w:p>
        </w:tc>
        <w:tc>
          <w:tcPr>
            <w:tcW w:w="2179" w:type="dxa"/>
            <w:tcMar>
              <w:left w:w="0" w:type="dxa"/>
              <w:right w:w="0" w:type="dxa"/>
            </w:tcMar>
          </w:tcPr>
          <w:p w14:paraId="5F741885" w14:textId="77777777" w:rsidR="00004CCF" w:rsidRPr="00F07779" w:rsidRDefault="00004CCF" w:rsidP="00004CCF">
            <w:pPr>
              <w:pStyle w:val="ListParagraph"/>
              <w:numPr>
                <w:ilvl w:val="0"/>
                <w:numId w:val="3"/>
              </w:numPr>
              <w:ind w:left="229" w:hanging="142"/>
              <w:rPr>
                <w:rFonts w:ascii="Times New Roman" w:hAnsi="Times New Roman" w:cs="Times New Roman"/>
                <w:noProof w:val="0"/>
                <w:sz w:val="22"/>
                <w:szCs w:val="22"/>
              </w:rPr>
            </w:pPr>
          </w:p>
        </w:tc>
        <w:tc>
          <w:tcPr>
            <w:tcW w:w="2179" w:type="dxa"/>
            <w:tcMar>
              <w:left w:w="0" w:type="dxa"/>
              <w:right w:w="0" w:type="dxa"/>
            </w:tcMar>
          </w:tcPr>
          <w:p w14:paraId="26E65E5C" w14:textId="1477D1D3" w:rsidR="00004CCF" w:rsidRPr="00F07779" w:rsidRDefault="00004CCF" w:rsidP="00004CCF">
            <w:pPr>
              <w:pStyle w:val="ListParagraph"/>
              <w:numPr>
                <w:ilvl w:val="0"/>
                <w:numId w:val="3"/>
              </w:numPr>
              <w:ind w:left="229" w:hanging="142"/>
              <w:rPr>
                <w:rFonts w:ascii="Times New Roman" w:hAnsi="Times New Roman" w:cs="Times New Roman"/>
                <w:noProof w:val="0"/>
                <w:sz w:val="22"/>
                <w:szCs w:val="22"/>
              </w:rPr>
            </w:pPr>
            <w:r w:rsidRPr="00F07779">
              <w:rPr>
                <w:rFonts w:ascii="Times New Roman" w:hAnsi="Times New Roman" w:cs="Times New Roman"/>
                <w:noProof w:val="0"/>
                <w:sz w:val="22"/>
                <w:szCs w:val="22"/>
              </w:rPr>
              <w:t>Growth of the share of natural gas sales on the free market by 1%</w:t>
            </w:r>
          </w:p>
          <w:p w14:paraId="67759A12" w14:textId="0386F45F" w:rsidR="00004CCF" w:rsidRPr="00F07779" w:rsidRDefault="00004CCF" w:rsidP="00004CCF">
            <w:pPr>
              <w:pStyle w:val="ListParagraph"/>
              <w:numPr>
                <w:ilvl w:val="0"/>
                <w:numId w:val="3"/>
              </w:numPr>
              <w:ind w:left="229" w:hanging="142"/>
              <w:rPr>
                <w:noProof w:val="0"/>
                <w:sz w:val="22"/>
                <w:szCs w:val="22"/>
              </w:rPr>
            </w:pPr>
            <w:r w:rsidRPr="00F07779">
              <w:rPr>
                <w:rFonts w:ascii="Times New Roman" w:hAnsi="Times New Roman" w:cs="Times New Roman"/>
                <w:noProof w:val="0"/>
                <w:sz w:val="22"/>
                <w:szCs w:val="22"/>
              </w:rPr>
              <w:t>Transport system built in eastern, southern, and western Serbia</w:t>
            </w:r>
          </w:p>
        </w:tc>
      </w:tr>
      <w:tr w:rsidR="00004CCF" w:rsidRPr="00F07779" w14:paraId="60D3C46A" w14:textId="77777777" w:rsidTr="00DD1FBC">
        <w:tc>
          <w:tcPr>
            <w:tcW w:w="2178" w:type="dxa"/>
            <w:tcMar>
              <w:left w:w="0" w:type="dxa"/>
              <w:right w:w="0" w:type="dxa"/>
            </w:tcMar>
            <w:vAlign w:val="center"/>
          </w:tcPr>
          <w:p w14:paraId="34124F95" w14:textId="74491C8A" w:rsidR="00004CCF" w:rsidRPr="00F07779" w:rsidRDefault="00004CCF" w:rsidP="00004CCF">
            <w:pPr>
              <w:rPr>
                <w:sz w:val="22"/>
                <w:szCs w:val="22"/>
              </w:rPr>
            </w:pPr>
            <w:r w:rsidRPr="00F07779">
              <w:rPr>
                <w:sz w:val="22"/>
                <w:szCs w:val="22"/>
              </w:rPr>
              <w:t>Oil sector</w:t>
            </w:r>
          </w:p>
        </w:tc>
        <w:tc>
          <w:tcPr>
            <w:tcW w:w="2179" w:type="dxa"/>
            <w:tcMar>
              <w:left w:w="0" w:type="dxa"/>
              <w:right w:w="0" w:type="dxa"/>
            </w:tcMar>
          </w:tcPr>
          <w:p w14:paraId="3AB80CEA" w14:textId="3D6B8B06" w:rsidR="00004CCF" w:rsidRPr="00F07779" w:rsidRDefault="00004CCF" w:rsidP="00004CCF">
            <w:pPr>
              <w:pStyle w:val="ListParagraph"/>
              <w:numPr>
                <w:ilvl w:val="0"/>
                <w:numId w:val="3"/>
              </w:numPr>
              <w:ind w:left="229" w:hanging="142"/>
              <w:rPr>
                <w:rFonts w:ascii="Times New Roman" w:hAnsi="Times New Roman" w:cs="Times New Roman"/>
                <w:noProof w:val="0"/>
                <w:sz w:val="22"/>
                <w:szCs w:val="22"/>
              </w:rPr>
            </w:pPr>
            <w:r w:rsidRPr="00F07779">
              <w:rPr>
                <w:rFonts w:ascii="Times New Roman" w:hAnsi="Times New Roman" w:cs="Times New Roman"/>
                <w:noProof w:val="0"/>
                <w:sz w:val="22"/>
                <w:szCs w:val="22"/>
              </w:rPr>
              <w:t xml:space="preserve">Storage of mandatory reserves of oil and oil derivatives in the amount corresponding to 61 days of domestic consumption or 90 days of net imports has been ensured </w:t>
            </w:r>
          </w:p>
          <w:p w14:paraId="050476AB" w14:textId="09FFC6C3" w:rsidR="00004CCF" w:rsidRPr="00F07779" w:rsidRDefault="00004CCF" w:rsidP="00004CCF">
            <w:pPr>
              <w:pStyle w:val="ListParagraph"/>
              <w:numPr>
                <w:ilvl w:val="0"/>
                <w:numId w:val="3"/>
              </w:numPr>
              <w:ind w:left="229" w:hanging="142"/>
              <w:rPr>
                <w:rFonts w:ascii="Times New Roman" w:hAnsi="Times New Roman" w:cs="Times New Roman"/>
                <w:noProof w:val="0"/>
                <w:sz w:val="22"/>
                <w:szCs w:val="22"/>
              </w:rPr>
            </w:pPr>
            <w:r w:rsidRPr="00F07779">
              <w:rPr>
                <w:rFonts w:ascii="Times New Roman" w:hAnsi="Times New Roman" w:cs="Times New Roman"/>
                <w:noProof w:val="0"/>
                <w:sz w:val="22"/>
                <w:szCs w:val="22"/>
              </w:rPr>
              <w:t xml:space="preserve">Annual import of 5.5 million tons from Hungary has been enabled </w:t>
            </w:r>
          </w:p>
        </w:tc>
        <w:tc>
          <w:tcPr>
            <w:tcW w:w="2179" w:type="dxa"/>
            <w:tcMar>
              <w:left w:w="0" w:type="dxa"/>
              <w:right w:w="0" w:type="dxa"/>
            </w:tcMar>
          </w:tcPr>
          <w:p w14:paraId="17493E56" w14:textId="4D5CD4D8" w:rsidR="00004CCF" w:rsidRPr="00F07779" w:rsidRDefault="00004CCF" w:rsidP="00004CCF">
            <w:pPr>
              <w:pStyle w:val="ListParagraph"/>
              <w:numPr>
                <w:ilvl w:val="0"/>
                <w:numId w:val="3"/>
              </w:numPr>
              <w:ind w:left="229" w:hanging="142"/>
              <w:rPr>
                <w:rFonts w:ascii="Times New Roman" w:hAnsi="Times New Roman" w:cs="Times New Roman"/>
                <w:noProof w:val="0"/>
                <w:sz w:val="22"/>
                <w:szCs w:val="22"/>
              </w:rPr>
            </w:pPr>
            <w:r w:rsidRPr="00F07779">
              <w:rPr>
                <w:rFonts w:ascii="Times New Roman" w:hAnsi="Times New Roman" w:cs="Times New Roman"/>
                <w:noProof w:val="0"/>
                <w:sz w:val="22"/>
                <w:szCs w:val="22"/>
              </w:rPr>
              <w:t xml:space="preserve">Lower emissions due to more efficient operation of the </w:t>
            </w:r>
            <w:proofErr w:type="spellStart"/>
            <w:r w:rsidRPr="00F07779">
              <w:rPr>
                <w:rFonts w:ascii="Times New Roman" w:hAnsi="Times New Roman" w:cs="Times New Roman"/>
                <w:noProof w:val="0"/>
                <w:sz w:val="22"/>
                <w:szCs w:val="22"/>
              </w:rPr>
              <w:t>Pančevo</w:t>
            </w:r>
            <w:proofErr w:type="spellEnd"/>
            <w:r w:rsidRPr="00F07779">
              <w:rPr>
                <w:rFonts w:ascii="Times New Roman" w:hAnsi="Times New Roman" w:cs="Times New Roman"/>
                <w:noProof w:val="0"/>
                <w:sz w:val="22"/>
                <w:szCs w:val="22"/>
              </w:rPr>
              <w:t xml:space="preserve"> Oil Refinery </w:t>
            </w:r>
          </w:p>
        </w:tc>
        <w:tc>
          <w:tcPr>
            <w:tcW w:w="2179" w:type="dxa"/>
            <w:tcMar>
              <w:left w:w="0" w:type="dxa"/>
              <w:right w:w="0" w:type="dxa"/>
            </w:tcMar>
          </w:tcPr>
          <w:p w14:paraId="6FE93644" w14:textId="52500260" w:rsidR="00004CCF" w:rsidRPr="00F07779" w:rsidRDefault="00004CCF" w:rsidP="00004CCF">
            <w:pPr>
              <w:pStyle w:val="ListParagraph"/>
              <w:numPr>
                <w:ilvl w:val="0"/>
                <w:numId w:val="3"/>
              </w:numPr>
              <w:ind w:left="229" w:hanging="142"/>
              <w:rPr>
                <w:rFonts w:ascii="Times New Roman" w:hAnsi="Times New Roman" w:cs="Times New Roman"/>
                <w:noProof w:val="0"/>
                <w:sz w:val="22"/>
                <w:szCs w:val="22"/>
              </w:rPr>
            </w:pPr>
            <w:r w:rsidRPr="00F07779">
              <w:rPr>
                <w:rFonts w:ascii="Times New Roman" w:hAnsi="Times New Roman" w:cs="Times New Roman"/>
                <w:noProof w:val="0"/>
                <w:sz w:val="22"/>
                <w:szCs w:val="22"/>
              </w:rPr>
              <w:t xml:space="preserve">More efficient transport of derivatives on the </w:t>
            </w:r>
            <w:proofErr w:type="spellStart"/>
            <w:r w:rsidRPr="00F07779">
              <w:rPr>
                <w:rFonts w:ascii="Times New Roman" w:hAnsi="Times New Roman" w:cs="Times New Roman"/>
                <w:noProof w:val="0"/>
                <w:sz w:val="22"/>
                <w:szCs w:val="22"/>
              </w:rPr>
              <w:t>Pančevo</w:t>
            </w:r>
            <w:proofErr w:type="spellEnd"/>
            <w:r w:rsidRPr="00F07779">
              <w:rPr>
                <w:rFonts w:ascii="Times New Roman" w:hAnsi="Times New Roman" w:cs="Times New Roman"/>
                <w:noProof w:val="0"/>
                <w:sz w:val="22"/>
                <w:szCs w:val="22"/>
              </w:rPr>
              <w:t xml:space="preserve"> - Smederevo and </w:t>
            </w:r>
            <w:proofErr w:type="spellStart"/>
            <w:r w:rsidRPr="00F07779">
              <w:rPr>
                <w:rFonts w:ascii="Times New Roman" w:hAnsi="Times New Roman" w:cs="Times New Roman"/>
                <w:noProof w:val="0"/>
                <w:sz w:val="22"/>
                <w:szCs w:val="22"/>
              </w:rPr>
              <w:t>Pančevo</w:t>
            </w:r>
            <w:proofErr w:type="spellEnd"/>
            <w:r w:rsidRPr="00F07779">
              <w:rPr>
                <w:rFonts w:ascii="Times New Roman" w:hAnsi="Times New Roman" w:cs="Times New Roman"/>
                <w:noProof w:val="0"/>
                <w:sz w:val="22"/>
                <w:szCs w:val="22"/>
              </w:rPr>
              <w:t xml:space="preserve"> - Novi Sad routes</w:t>
            </w:r>
          </w:p>
        </w:tc>
      </w:tr>
      <w:tr w:rsidR="00004CCF" w:rsidRPr="00F07779" w14:paraId="05C92242" w14:textId="77777777" w:rsidTr="00DD1FBC">
        <w:tc>
          <w:tcPr>
            <w:tcW w:w="2178" w:type="dxa"/>
            <w:tcMar>
              <w:left w:w="0" w:type="dxa"/>
              <w:right w:w="0" w:type="dxa"/>
            </w:tcMar>
            <w:vAlign w:val="center"/>
          </w:tcPr>
          <w:p w14:paraId="3722FE22" w14:textId="784CBF4E" w:rsidR="00004CCF" w:rsidRPr="00F07779" w:rsidRDefault="00004CCF" w:rsidP="00004CCF">
            <w:pPr>
              <w:rPr>
                <w:sz w:val="22"/>
                <w:szCs w:val="22"/>
              </w:rPr>
            </w:pPr>
            <w:r w:rsidRPr="00F07779">
              <w:rPr>
                <w:sz w:val="22"/>
                <w:szCs w:val="22"/>
              </w:rPr>
              <w:t>Coal sector</w:t>
            </w:r>
          </w:p>
        </w:tc>
        <w:tc>
          <w:tcPr>
            <w:tcW w:w="2179" w:type="dxa"/>
            <w:tcMar>
              <w:left w:w="0" w:type="dxa"/>
              <w:right w:w="0" w:type="dxa"/>
            </w:tcMar>
          </w:tcPr>
          <w:p w14:paraId="547C4035" w14:textId="797C80BD" w:rsidR="00004CCF" w:rsidRPr="00F07779" w:rsidRDefault="00004CCF" w:rsidP="00004CCF">
            <w:pPr>
              <w:pStyle w:val="ListParagraph"/>
              <w:numPr>
                <w:ilvl w:val="0"/>
                <w:numId w:val="3"/>
              </w:numPr>
              <w:ind w:left="229" w:hanging="142"/>
              <w:rPr>
                <w:rFonts w:ascii="Times New Roman" w:hAnsi="Times New Roman" w:cs="Times New Roman"/>
                <w:noProof w:val="0"/>
                <w:sz w:val="22"/>
                <w:szCs w:val="22"/>
              </w:rPr>
            </w:pPr>
            <w:r w:rsidRPr="00F07779">
              <w:rPr>
                <w:rFonts w:ascii="Times New Roman" w:hAnsi="Times New Roman" w:cs="Times New Roman"/>
                <w:noProof w:val="0"/>
                <w:sz w:val="22"/>
                <w:szCs w:val="22"/>
              </w:rPr>
              <w:t>Coal for the operation of the TPP is fully provided from indigenous production</w:t>
            </w:r>
          </w:p>
        </w:tc>
        <w:tc>
          <w:tcPr>
            <w:tcW w:w="2179" w:type="dxa"/>
            <w:tcMar>
              <w:left w:w="0" w:type="dxa"/>
              <w:right w:w="0" w:type="dxa"/>
            </w:tcMar>
          </w:tcPr>
          <w:p w14:paraId="3DB813A3" w14:textId="77777777" w:rsidR="00004CCF" w:rsidRPr="00F07779" w:rsidRDefault="00004CCF" w:rsidP="00004CCF">
            <w:pPr>
              <w:pStyle w:val="ListParagraph"/>
              <w:numPr>
                <w:ilvl w:val="0"/>
                <w:numId w:val="3"/>
              </w:numPr>
              <w:ind w:left="229" w:hanging="142"/>
              <w:rPr>
                <w:rFonts w:ascii="Times New Roman" w:hAnsi="Times New Roman" w:cs="Times New Roman"/>
                <w:noProof w:val="0"/>
                <w:sz w:val="22"/>
                <w:szCs w:val="22"/>
              </w:rPr>
            </w:pPr>
          </w:p>
        </w:tc>
        <w:tc>
          <w:tcPr>
            <w:tcW w:w="2179" w:type="dxa"/>
            <w:tcMar>
              <w:left w:w="0" w:type="dxa"/>
              <w:right w:w="0" w:type="dxa"/>
            </w:tcMar>
          </w:tcPr>
          <w:p w14:paraId="59D61AA5" w14:textId="77777777" w:rsidR="00004CCF" w:rsidRPr="00F07779" w:rsidRDefault="00004CCF" w:rsidP="00004CCF">
            <w:pPr>
              <w:pStyle w:val="ListParagraph"/>
              <w:numPr>
                <w:ilvl w:val="0"/>
                <w:numId w:val="3"/>
              </w:numPr>
              <w:ind w:left="229" w:hanging="142"/>
              <w:rPr>
                <w:rFonts w:ascii="Times New Roman" w:hAnsi="Times New Roman" w:cs="Times New Roman"/>
                <w:noProof w:val="0"/>
                <w:sz w:val="22"/>
                <w:szCs w:val="22"/>
              </w:rPr>
            </w:pPr>
          </w:p>
        </w:tc>
      </w:tr>
    </w:tbl>
    <w:p w14:paraId="2190F1BA" w14:textId="77777777" w:rsidR="008C421D" w:rsidRPr="00F07779" w:rsidRDefault="008C421D" w:rsidP="00FA5B96"/>
    <w:p w14:paraId="3DC7D20A" w14:textId="14F51311" w:rsidR="00004CCF" w:rsidRPr="00F07779" w:rsidRDefault="00004CCF" w:rsidP="00004CCF">
      <w:pPr>
        <w:jc w:val="both"/>
      </w:pPr>
      <w:r w:rsidRPr="00F07779">
        <w:lastRenderedPageBreak/>
        <w:t>The total value of investments required for the implementation of the measures from the Program is shown in Table 6.2. Of the total required 850.</w:t>
      </w:r>
      <w:r w:rsidR="004929F1" w:rsidRPr="00F07779">
        <w:t xml:space="preserve">55 </w:t>
      </w:r>
      <w:proofErr w:type="spellStart"/>
      <w:proofErr w:type="gramStart"/>
      <w:r w:rsidRPr="00F07779">
        <w:t>billion</w:t>
      </w:r>
      <w:r w:rsidR="00B80FDD" w:rsidRPr="00F07779">
        <w:t>s</w:t>
      </w:r>
      <w:proofErr w:type="spellEnd"/>
      <w:proofErr w:type="gramEnd"/>
      <w:r w:rsidRPr="00F07779">
        <w:t xml:space="preserve"> dinars, the largest part of the funds, about 67.</w:t>
      </w:r>
      <w:r w:rsidR="004929F1" w:rsidRPr="00F07779">
        <w:t>7</w:t>
      </w:r>
      <w:r w:rsidRPr="00F07779">
        <w:t>%, will be provided from loans from commercial banks and international financial institutions, about 24.7% are the own funds of energy companies, while about 8.1% of the funds are planned to be provided from the Budget of the Republic of Serbia. Viewed by sector, the electricity power sector accounts for about 76.</w:t>
      </w:r>
      <w:r w:rsidR="00B80FDD" w:rsidRPr="00F07779">
        <w:t>7</w:t>
      </w:r>
      <w:r w:rsidRPr="00F07779">
        <w:t>% of the required funds, with about 44.5% of investments related to projects using RES for electricity production. The share of all other sectors is individually less than 10%: natural gas sector 8.</w:t>
      </w:r>
      <w:r w:rsidR="00B80FDD" w:rsidRPr="00F07779">
        <w:t>4</w:t>
      </w:r>
      <w:r w:rsidRPr="00F07779">
        <w:t xml:space="preserve">%, oil sector </w:t>
      </w:r>
      <w:r w:rsidR="00B80FDD" w:rsidRPr="00F07779">
        <w:t>5</w:t>
      </w:r>
      <w:r w:rsidRPr="00F07779">
        <w:t>.</w:t>
      </w:r>
      <w:r w:rsidR="00B80FDD" w:rsidRPr="00F07779">
        <w:t>2</w:t>
      </w:r>
      <w:r w:rsidRPr="00F07779">
        <w:t xml:space="preserve">%, </w:t>
      </w:r>
      <w:r w:rsidR="00B80FDD" w:rsidRPr="00F07779">
        <w:t xml:space="preserve">coal sector 4.4%, </w:t>
      </w:r>
      <w:r w:rsidRPr="00F07779">
        <w:t>heat energy sector 4% and energy efficiency sector 1.3%.</w:t>
      </w:r>
    </w:p>
    <w:p w14:paraId="458D753C" w14:textId="77777777" w:rsidR="00004CCF" w:rsidRPr="00F07779" w:rsidRDefault="00004CCF" w:rsidP="00FA5B96"/>
    <w:p w14:paraId="32ABED5C" w14:textId="4830F7EE" w:rsidR="00FA5B96" w:rsidRPr="00F07779" w:rsidRDefault="00004CCF" w:rsidP="00FA5B96">
      <w:r w:rsidRPr="00F07779">
        <w:t>Table</w:t>
      </w:r>
      <w:r w:rsidR="00FA5B96" w:rsidRPr="00F07779">
        <w:t xml:space="preserve"> 6.2: </w:t>
      </w:r>
      <w:r w:rsidRPr="00F07779">
        <w:t xml:space="preserve">Investment value of the measures from the Program </w:t>
      </w:r>
      <w:r w:rsidR="00FA5B96" w:rsidRPr="00F07779">
        <w:t>(</w:t>
      </w:r>
      <w:r w:rsidRPr="00F07779">
        <w:t xml:space="preserve">1,000 </w:t>
      </w:r>
      <w:r w:rsidR="00FA5B96" w:rsidRPr="00F07779">
        <w:t>RSD)</w:t>
      </w:r>
      <w:r w:rsidR="00FA5B96" w:rsidRPr="00F07779">
        <w:rPr>
          <w:rStyle w:val="FootnoteReference"/>
          <w:sz w:val="22"/>
          <w:szCs w:val="22"/>
        </w:rPr>
        <w:footnoteReference w:id="60"/>
      </w:r>
    </w:p>
    <w:tbl>
      <w:tblPr>
        <w:tblStyle w:val="TableGrid"/>
        <w:tblW w:w="0" w:type="auto"/>
        <w:tblLayout w:type="fixed"/>
        <w:tblLook w:val="04A0" w:firstRow="1" w:lastRow="0" w:firstColumn="1" w:lastColumn="0" w:noHBand="0" w:noVBand="1"/>
      </w:tblPr>
      <w:tblGrid>
        <w:gridCol w:w="2012"/>
        <w:gridCol w:w="1385"/>
        <w:gridCol w:w="1701"/>
        <w:gridCol w:w="1560"/>
        <w:gridCol w:w="2057"/>
      </w:tblGrid>
      <w:tr w:rsidR="00FA5B96" w:rsidRPr="00F07779" w14:paraId="12C54262" w14:textId="77777777" w:rsidTr="00DD1FBC">
        <w:tc>
          <w:tcPr>
            <w:tcW w:w="2012" w:type="dxa"/>
            <w:vAlign w:val="center"/>
          </w:tcPr>
          <w:p w14:paraId="08BDA590" w14:textId="48069563" w:rsidR="00FA5B96" w:rsidRPr="00F07779" w:rsidRDefault="009A539A" w:rsidP="00DD1FBC">
            <w:pPr>
              <w:jc w:val="center"/>
              <w:rPr>
                <w:sz w:val="22"/>
                <w:szCs w:val="22"/>
              </w:rPr>
            </w:pPr>
            <w:r w:rsidRPr="00F07779">
              <w:rPr>
                <w:sz w:val="22"/>
                <w:szCs w:val="22"/>
              </w:rPr>
              <w:t>Sector/</w:t>
            </w:r>
            <w:r w:rsidRPr="00F07779">
              <w:rPr>
                <w:sz w:val="22"/>
                <w:szCs w:val="22"/>
              </w:rPr>
              <w:br/>
              <w:t>Area of activity</w:t>
            </w:r>
          </w:p>
        </w:tc>
        <w:tc>
          <w:tcPr>
            <w:tcW w:w="1385" w:type="dxa"/>
            <w:vAlign w:val="center"/>
          </w:tcPr>
          <w:p w14:paraId="6E852F32" w14:textId="3CAB0D30" w:rsidR="00FA5B96" w:rsidRPr="00F07779" w:rsidRDefault="009A539A" w:rsidP="00DD1FBC">
            <w:pPr>
              <w:jc w:val="center"/>
              <w:rPr>
                <w:sz w:val="22"/>
                <w:szCs w:val="22"/>
              </w:rPr>
            </w:pPr>
            <w:r w:rsidRPr="00F07779">
              <w:rPr>
                <w:sz w:val="22"/>
                <w:szCs w:val="22"/>
              </w:rPr>
              <w:t>Budget</w:t>
            </w:r>
            <w:r w:rsidR="00FA5B96" w:rsidRPr="00F07779">
              <w:rPr>
                <w:sz w:val="22"/>
                <w:szCs w:val="22"/>
              </w:rPr>
              <w:t xml:space="preserve"> </w:t>
            </w:r>
            <w:r w:rsidRPr="00F07779">
              <w:rPr>
                <w:sz w:val="22"/>
                <w:szCs w:val="22"/>
              </w:rPr>
              <w:t>RS</w:t>
            </w:r>
            <w:r w:rsidR="00FA5B96" w:rsidRPr="00F07779">
              <w:rPr>
                <w:sz w:val="22"/>
                <w:szCs w:val="22"/>
              </w:rPr>
              <w:t>/</w:t>
            </w:r>
            <w:r w:rsidRPr="00F07779">
              <w:rPr>
                <w:sz w:val="22"/>
                <w:szCs w:val="22"/>
              </w:rPr>
              <w:t>LSG</w:t>
            </w:r>
          </w:p>
        </w:tc>
        <w:tc>
          <w:tcPr>
            <w:tcW w:w="1701" w:type="dxa"/>
            <w:vAlign w:val="center"/>
          </w:tcPr>
          <w:p w14:paraId="06707F9D" w14:textId="1559CAC1" w:rsidR="00FA5B96" w:rsidRPr="00F07779" w:rsidRDefault="009A539A" w:rsidP="00DD1FBC">
            <w:pPr>
              <w:jc w:val="center"/>
              <w:rPr>
                <w:sz w:val="22"/>
                <w:szCs w:val="22"/>
              </w:rPr>
            </w:pPr>
            <w:r w:rsidRPr="00F07779">
              <w:rPr>
                <w:sz w:val="22"/>
                <w:szCs w:val="22"/>
              </w:rPr>
              <w:t>Own funds of business entities</w:t>
            </w:r>
          </w:p>
        </w:tc>
        <w:tc>
          <w:tcPr>
            <w:tcW w:w="1560" w:type="dxa"/>
            <w:vAlign w:val="center"/>
          </w:tcPr>
          <w:p w14:paraId="24DC5379" w14:textId="7BD5DC47" w:rsidR="00FA5B96" w:rsidRPr="00F07779" w:rsidRDefault="009A539A" w:rsidP="00DD1FBC">
            <w:pPr>
              <w:jc w:val="center"/>
              <w:rPr>
                <w:sz w:val="22"/>
                <w:szCs w:val="22"/>
              </w:rPr>
            </w:pPr>
            <w:r w:rsidRPr="00F07779">
              <w:rPr>
                <w:sz w:val="22"/>
                <w:szCs w:val="22"/>
              </w:rPr>
              <w:t>Other sources</w:t>
            </w:r>
          </w:p>
        </w:tc>
        <w:tc>
          <w:tcPr>
            <w:tcW w:w="2057" w:type="dxa"/>
            <w:vAlign w:val="center"/>
          </w:tcPr>
          <w:p w14:paraId="337B0D98" w14:textId="12860554" w:rsidR="00FA5B96" w:rsidRPr="00F07779" w:rsidRDefault="009A539A" w:rsidP="00DD1FBC">
            <w:pPr>
              <w:jc w:val="center"/>
              <w:rPr>
                <w:sz w:val="22"/>
                <w:szCs w:val="22"/>
              </w:rPr>
            </w:pPr>
            <w:r w:rsidRPr="00F07779">
              <w:rPr>
                <w:sz w:val="22"/>
                <w:szCs w:val="22"/>
              </w:rPr>
              <w:t>Total</w:t>
            </w:r>
          </w:p>
        </w:tc>
      </w:tr>
      <w:tr w:rsidR="009A539A" w:rsidRPr="00F07779" w14:paraId="2A72D2E7" w14:textId="77777777" w:rsidTr="00555340">
        <w:tc>
          <w:tcPr>
            <w:tcW w:w="2012" w:type="dxa"/>
            <w:vAlign w:val="center"/>
          </w:tcPr>
          <w:p w14:paraId="34906BFD" w14:textId="2766101D" w:rsidR="009A539A" w:rsidRPr="00F07779" w:rsidRDefault="009A539A" w:rsidP="009A539A">
            <w:pPr>
              <w:rPr>
                <w:sz w:val="22"/>
                <w:szCs w:val="22"/>
              </w:rPr>
            </w:pPr>
            <w:r w:rsidRPr="00F07779">
              <w:rPr>
                <w:sz w:val="22"/>
                <w:szCs w:val="22"/>
              </w:rPr>
              <w:t>Electric power sector</w:t>
            </w:r>
          </w:p>
        </w:tc>
        <w:tc>
          <w:tcPr>
            <w:tcW w:w="1385" w:type="dxa"/>
            <w:vAlign w:val="center"/>
          </w:tcPr>
          <w:p w14:paraId="238BA034" w14:textId="5892719A" w:rsidR="009A539A" w:rsidRPr="00F07779" w:rsidRDefault="009A539A" w:rsidP="009A539A">
            <w:pPr>
              <w:snapToGrid w:val="0"/>
              <w:jc w:val="right"/>
              <w:rPr>
                <w:sz w:val="22"/>
                <w:szCs w:val="22"/>
              </w:rPr>
            </w:pPr>
            <w:r w:rsidRPr="00F07779">
              <w:rPr>
                <w:sz w:val="22"/>
                <w:szCs w:val="22"/>
              </w:rPr>
              <w:t>33,125,399</w:t>
            </w:r>
          </w:p>
        </w:tc>
        <w:tc>
          <w:tcPr>
            <w:tcW w:w="1701" w:type="dxa"/>
            <w:vAlign w:val="center"/>
          </w:tcPr>
          <w:p w14:paraId="3E8DB5D2" w14:textId="24B9403D" w:rsidR="009A539A" w:rsidRPr="00F07779" w:rsidRDefault="009A539A" w:rsidP="009A539A">
            <w:pPr>
              <w:snapToGrid w:val="0"/>
              <w:jc w:val="right"/>
              <w:rPr>
                <w:sz w:val="22"/>
                <w:szCs w:val="22"/>
              </w:rPr>
            </w:pPr>
            <w:r w:rsidRPr="00F07779">
              <w:rPr>
                <w:sz w:val="22"/>
                <w:szCs w:val="22"/>
              </w:rPr>
              <w:t>141,818,014</w:t>
            </w:r>
          </w:p>
        </w:tc>
        <w:tc>
          <w:tcPr>
            <w:tcW w:w="1560" w:type="dxa"/>
            <w:vAlign w:val="center"/>
          </w:tcPr>
          <w:p w14:paraId="5D850557" w14:textId="23106E49" w:rsidR="009A539A" w:rsidRPr="00F07779" w:rsidRDefault="009A539A" w:rsidP="009A539A">
            <w:pPr>
              <w:snapToGrid w:val="0"/>
              <w:jc w:val="right"/>
              <w:rPr>
                <w:sz w:val="22"/>
                <w:szCs w:val="22"/>
              </w:rPr>
            </w:pPr>
            <w:r w:rsidRPr="00F07779">
              <w:rPr>
                <w:sz w:val="22"/>
                <w:szCs w:val="22"/>
              </w:rPr>
              <w:t>477,793,993</w:t>
            </w:r>
          </w:p>
        </w:tc>
        <w:tc>
          <w:tcPr>
            <w:tcW w:w="2057" w:type="dxa"/>
            <w:vAlign w:val="center"/>
          </w:tcPr>
          <w:p w14:paraId="532AC275" w14:textId="2A4D00F0" w:rsidR="009A539A" w:rsidRPr="00F07779" w:rsidRDefault="009A539A" w:rsidP="009A539A">
            <w:pPr>
              <w:snapToGrid w:val="0"/>
              <w:jc w:val="right"/>
              <w:rPr>
                <w:sz w:val="22"/>
                <w:szCs w:val="22"/>
              </w:rPr>
            </w:pPr>
            <w:r w:rsidRPr="00F07779">
              <w:rPr>
                <w:sz w:val="22"/>
                <w:szCs w:val="22"/>
              </w:rPr>
              <w:t>652,737,406</w:t>
            </w:r>
          </w:p>
        </w:tc>
      </w:tr>
      <w:tr w:rsidR="009A539A" w:rsidRPr="00F07779" w14:paraId="29937961" w14:textId="77777777" w:rsidTr="00555340">
        <w:tc>
          <w:tcPr>
            <w:tcW w:w="2012" w:type="dxa"/>
            <w:vAlign w:val="center"/>
          </w:tcPr>
          <w:p w14:paraId="1211BDF0" w14:textId="319D0964" w:rsidR="009A539A" w:rsidRPr="00F07779" w:rsidRDefault="009A539A" w:rsidP="009A539A">
            <w:pPr>
              <w:rPr>
                <w:sz w:val="22"/>
                <w:szCs w:val="22"/>
              </w:rPr>
            </w:pPr>
            <w:r w:rsidRPr="00F07779">
              <w:rPr>
                <w:sz w:val="22"/>
                <w:szCs w:val="22"/>
              </w:rPr>
              <w:t>Heat energy sector</w:t>
            </w:r>
          </w:p>
        </w:tc>
        <w:tc>
          <w:tcPr>
            <w:tcW w:w="1385" w:type="dxa"/>
            <w:vAlign w:val="center"/>
          </w:tcPr>
          <w:p w14:paraId="4DB067BE" w14:textId="47596CD7" w:rsidR="009A539A" w:rsidRPr="00F07779" w:rsidRDefault="009A539A" w:rsidP="009A539A">
            <w:pPr>
              <w:snapToGrid w:val="0"/>
              <w:jc w:val="right"/>
              <w:rPr>
                <w:sz w:val="22"/>
                <w:szCs w:val="22"/>
              </w:rPr>
            </w:pPr>
            <w:r w:rsidRPr="00F07779">
              <w:rPr>
                <w:sz w:val="22"/>
                <w:szCs w:val="22"/>
              </w:rPr>
              <w:t>11,725</w:t>
            </w:r>
          </w:p>
        </w:tc>
        <w:tc>
          <w:tcPr>
            <w:tcW w:w="1701" w:type="dxa"/>
            <w:vAlign w:val="center"/>
          </w:tcPr>
          <w:p w14:paraId="0388CFC6" w14:textId="50553518" w:rsidR="009A539A" w:rsidRPr="00F07779" w:rsidRDefault="009A539A" w:rsidP="009A539A">
            <w:pPr>
              <w:snapToGrid w:val="0"/>
              <w:jc w:val="right"/>
              <w:rPr>
                <w:sz w:val="22"/>
                <w:szCs w:val="22"/>
              </w:rPr>
            </w:pPr>
            <w:r w:rsidRPr="00F07779">
              <w:rPr>
                <w:sz w:val="22"/>
                <w:szCs w:val="22"/>
              </w:rPr>
              <w:t>0</w:t>
            </w:r>
          </w:p>
        </w:tc>
        <w:tc>
          <w:tcPr>
            <w:tcW w:w="1560" w:type="dxa"/>
            <w:vAlign w:val="center"/>
          </w:tcPr>
          <w:p w14:paraId="32979A0D" w14:textId="6679A8CF" w:rsidR="009A539A" w:rsidRPr="00F07779" w:rsidRDefault="009A539A" w:rsidP="009A539A">
            <w:pPr>
              <w:snapToGrid w:val="0"/>
              <w:jc w:val="right"/>
              <w:rPr>
                <w:sz w:val="22"/>
                <w:szCs w:val="22"/>
              </w:rPr>
            </w:pPr>
            <w:r w:rsidRPr="00F07779">
              <w:rPr>
                <w:sz w:val="22"/>
                <w:szCs w:val="22"/>
              </w:rPr>
              <w:t>33,594,633</w:t>
            </w:r>
          </w:p>
        </w:tc>
        <w:tc>
          <w:tcPr>
            <w:tcW w:w="2057" w:type="dxa"/>
            <w:vAlign w:val="center"/>
          </w:tcPr>
          <w:p w14:paraId="7CFDA442" w14:textId="45F6E17D" w:rsidR="009A539A" w:rsidRPr="00F07779" w:rsidRDefault="009A539A" w:rsidP="009A539A">
            <w:pPr>
              <w:snapToGrid w:val="0"/>
              <w:jc w:val="right"/>
              <w:rPr>
                <w:sz w:val="22"/>
                <w:szCs w:val="22"/>
              </w:rPr>
            </w:pPr>
            <w:r w:rsidRPr="00F07779">
              <w:rPr>
                <w:sz w:val="22"/>
                <w:szCs w:val="22"/>
              </w:rPr>
              <w:t>33,606,358</w:t>
            </w:r>
          </w:p>
        </w:tc>
      </w:tr>
      <w:tr w:rsidR="009A539A" w:rsidRPr="00F07779" w14:paraId="662ECA1A" w14:textId="77777777" w:rsidTr="00555340">
        <w:trPr>
          <w:trHeight w:val="482"/>
        </w:trPr>
        <w:tc>
          <w:tcPr>
            <w:tcW w:w="2012" w:type="dxa"/>
            <w:vAlign w:val="center"/>
          </w:tcPr>
          <w:p w14:paraId="4F135D1D" w14:textId="301EBB38" w:rsidR="009A539A" w:rsidRPr="00F07779" w:rsidRDefault="009A539A" w:rsidP="009A539A">
            <w:pPr>
              <w:rPr>
                <w:sz w:val="22"/>
                <w:szCs w:val="22"/>
              </w:rPr>
            </w:pPr>
            <w:r w:rsidRPr="00F07779">
              <w:rPr>
                <w:sz w:val="22"/>
                <w:szCs w:val="22"/>
              </w:rPr>
              <w:t xml:space="preserve">RES </w:t>
            </w:r>
          </w:p>
        </w:tc>
        <w:tc>
          <w:tcPr>
            <w:tcW w:w="1385" w:type="dxa"/>
            <w:vAlign w:val="center"/>
          </w:tcPr>
          <w:p w14:paraId="34E7F1A2" w14:textId="35CF87E0" w:rsidR="009A539A" w:rsidRPr="00F07779" w:rsidRDefault="009A539A" w:rsidP="009A539A">
            <w:pPr>
              <w:snapToGrid w:val="0"/>
              <w:jc w:val="right"/>
              <w:rPr>
                <w:sz w:val="22"/>
                <w:szCs w:val="22"/>
              </w:rPr>
            </w:pPr>
            <w:r w:rsidRPr="00F07779">
              <w:rPr>
                <w:sz w:val="22"/>
                <w:szCs w:val="22"/>
              </w:rPr>
              <w:t>23,450</w:t>
            </w:r>
          </w:p>
        </w:tc>
        <w:tc>
          <w:tcPr>
            <w:tcW w:w="1701" w:type="dxa"/>
            <w:vAlign w:val="center"/>
          </w:tcPr>
          <w:p w14:paraId="412DB45C" w14:textId="77777777" w:rsidR="009A539A" w:rsidRPr="00F07779" w:rsidRDefault="009A539A" w:rsidP="009A539A">
            <w:pPr>
              <w:snapToGrid w:val="0"/>
              <w:jc w:val="right"/>
              <w:rPr>
                <w:sz w:val="22"/>
                <w:szCs w:val="22"/>
              </w:rPr>
            </w:pPr>
            <w:r w:rsidRPr="00F07779">
              <w:rPr>
                <w:sz w:val="22"/>
                <w:szCs w:val="22"/>
              </w:rPr>
              <w:t>0</w:t>
            </w:r>
          </w:p>
        </w:tc>
        <w:tc>
          <w:tcPr>
            <w:tcW w:w="1560" w:type="dxa"/>
            <w:vAlign w:val="center"/>
          </w:tcPr>
          <w:p w14:paraId="116D0577" w14:textId="5CE9C369" w:rsidR="009A539A" w:rsidRPr="00F07779" w:rsidRDefault="009A539A" w:rsidP="009A539A">
            <w:pPr>
              <w:snapToGrid w:val="0"/>
              <w:jc w:val="right"/>
              <w:rPr>
                <w:sz w:val="22"/>
                <w:szCs w:val="22"/>
              </w:rPr>
            </w:pPr>
            <w:r w:rsidRPr="00F07779">
              <w:rPr>
                <w:sz w:val="22"/>
                <w:szCs w:val="22"/>
              </w:rPr>
              <w:t>378,352,853</w:t>
            </w:r>
            <w:r w:rsidRPr="00F07779">
              <w:rPr>
                <w:rStyle w:val="FootnoteReference"/>
                <w:sz w:val="22"/>
                <w:szCs w:val="22"/>
              </w:rPr>
              <w:footnoteReference w:id="61"/>
            </w:r>
          </w:p>
        </w:tc>
        <w:tc>
          <w:tcPr>
            <w:tcW w:w="2057" w:type="dxa"/>
            <w:vAlign w:val="center"/>
          </w:tcPr>
          <w:p w14:paraId="1E776A1E" w14:textId="37A618E9" w:rsidR="009A539A" w:rsidRPr="00F07779" w:rsidRDefault="009A539A" w:rsidP="009A539A">
            <w:pPr>
              <w:snapToGrid w:val="0"/>
              <w:jc w:val="right"/>
              <w:rPr>
                <w:sz w:val="22"/>
                <w:szCs w:val="22"/>
              </w:rPr>
            </w:pPr>
            <w:r w:rsidRPr="00F07779">
              <w:rPr>
                <w:sz w:val="22"/>
                <w:szCs w:val="22"/>
              </w:rPr>
              <w:t>378,376,303</w:t>
            </w:r>
          </w:p>
        </w:tc>
      </w:tr>
      <w:tr w:rsidR="009A539A" w:rsidRPr="00F07779" w14:paraId="3C52526A" w14:textId="77777777" w:rsidTr="00555340">
        <w:tc>
          <w:tcPr>
            <w:tcW w:w="2012" w:type="dxa"/>
            <w:vAlign w:val="center"/>
          </w:tcPr>
          <w:p w14:paraId="2C0C330B" w14:textId="53C0E635" w:rsidR="009A539A" w:rsidRPr="00F07779" w:rsidRDefault="009A539A" w:rsidP="009A539A">
            <w:pPr>
              <w:rPr>
                <w:sz w:val="22"/>
                <w:szCs w:val="22"/>
              </w:rPr>
            </w:pPr>
            <w:r w:rsidRPr="00F07779">
              <w:rPr>
                <w:sz w:val="22"/>
                <w:szCs w:val="22"/>
              </w:rPr>
              <w:t>Energy efficiency</w:t>
            </w:r>
            <w:r w:rsidR="00B80FDD" w:rsidRPr="00FA3F57">
              <w:rPr>
                <w:rStyle w:val="FootnoteReference"/>
                <w:sz w:val="22"/>
                <w:szCs w:val="22"/>
              </w:rPr>
              <w:footnoteReference w:id="62"/>
            </w:r>
          </w:p>
        </w:tc>
        <w:tc>
          <w:tcPr>
            <w:tcW w:w="1385" w:type="dxa"/>
            <w:vAlign w:val="center"/>
          </w:tcPr>
          <w:p w14:paraId="6B0F008A" w14:textId="42AF7350" w:rsidR="009A539A" w:rsidRPr="00F07779" w:rsidRDefault="009A539A" w:rsidP="009A539A">
            <w:pPr>
              <w:snapToGrid w:val="0"/>
              <w:jc w:val="right"/>
              <w:rPr>
                <w:sz w:val="22"/>
                <w:szCs w:val="22"/>
              </w:rPr>
            </w:pPr>
            <w:r w:rsidRPr="00F07779">
              <w:rPr>
                <w:sz w:val="22"/>
                <w:szCs w:val="22"/>
              </w:rPr>
              <w:t>8,576,365</w:t>
            </w:r>
          </w:p>
        </w:tc>
        <w:tc>
          <w:tcPr>
            <w:tcW w:w="1701" w:type="dxa"/>
            <w:vAlign w:val="center"/>
          </w:tcPr>
          <w:p w14:paraId="39949C47" w14:textId="77777777" w:rsidR="009A539A" w:rsidRPr="00F07779" w:rsidRDefault="009A539A" w:rsidP="009A539A">
            <w:pPr>
              <w:snapToGrid w:val="0"/>
              <w:jc w:val="right"/>
              <w:rPr>
                <w:sz w:val="22"/>
                <w:szCs w:val="22"/>
              </w:rPr>
            </w:pPr>
            <w:r w:rsidRPr="00F07779">
              <w:rPr>
                <w:sz w:val="22"/>
                <w:szCs w:val="22"/>
              </w:rPr>
              <w:t>0</w:t>
            </w:r>
          </w:p>
        </w:tc>
        <w:tc>
          <w:tcPr>
            <w:tcW w:w="1560" w:type="dxa"/>
            <w:vAlign w:val="center"/>
          </w:tcPr>
          <w:p w14:paraId="153C2A16" w14:textId="11570031" w:rsidR="009A539A" w:rsidRPr="00F07779" w:rsidRDefault="009A539A" w:rsidP="009A539A">
            <w:pPr>
              <w:snapToGrid w:val="0"/>
              <w:jc w:val="right"/>
              <w:rPr>
                <w:sz w:val="22"/>
                <w:szCs w:val="22"/>
              </w:rPr>
            </w:pPr>
            <w:r w:rsidRPr="00F07779">
              <w:rPr>
                <w:sz w:val="22"/>
                <w:szCs w:val="22"/>
              </w:rPr>
              <w:t>2,208,782</w:t>
            </w:r>
          </w:p>
        </w:tc>
        <w:tc>
          <w:tcPr>
            <w:tcW w:w="2057" w:type="dxa"/>
            <w:vAlign w:val="center"/>
          </w:tcPr>
          <w:p w14:paraId="40273CBF" w14:textId="5CB29FE4" w:rsidR="009A539A" w:rsidRPr="00F07779" w:rsidRDefault="009A539A" w:rsidP="009A539A">
            <w:pPr>
              <w:snapToGrid w:val="0"/>
              <w:jc w:val="right"/>
              <w:rPr>
                <w:sz w:val="22"/>
                <w:szCs w:val="22"/>
              </w:rPr>
            </w:pPr>
            <w:r w:rsidRPr="00F07779">
              <w:rPr>
                <w:sz w:val="22"/>
                <w:szCs w:val="22"/>
              </w:rPr>
              <w:t>10,785,147</w:t>
            </w:r>
          </w:p>
        </w:tc>
      </w:tr>
      <w:tr w:rsidR="009A539A" w:rsidRPr="00F07779" w14:paraId="31D3A3A2" w14:textId="77777777" w:rsidTr="00555340">
        <w:tc>
          <w:tcPr>
            <w:tcW w:w="2012" w:type="dxa"/>
            <w:vAlign w:val="center"/>
          </w:tcPr>
          <w:p w14:paraId="0837862C" w14:textId="0004F77A" w:rsidR="009A539A" w:rsidRPr="00F07779" w:rsidRDefault="009A539A" w:rsidP="009A539A">
            <w:pPr>
              <w:rPr>
                <w:sz w:val="22"/>
                <w:szCs w:val="22"/>
              </w:rPr>
            </w:pPr>
            <w:r w:rsidRPr="00F07779">
              <w:rPr>
                <w:sz w:val="22"/>
                <w:szCs w:val="22"/>
              </w:rPr>
              <w:t>Natural gas sector</w:t>
            </w:r>
          </w:p>
        </w:tc>
        <w:tc>
          <w:tcPr>
            <w:tcW w:w="1385" w:type="dxa"/>
            <w:vAlign w:val="center"/>
          </w:tcPr>
          <w:p w14:paraId="5523096B" w14:textId="627BB9F0" w:rsidR="009A539A" w:rsidRPr="00F07779" w:rsidRDefault="009A539A" w:rsidP="009A539A">
            <w:pPr>
              <w:snapToGrid w:val="0"/>
              <w:jc w:val="right"/>
              <w:rPr>
                <w:sz w:val="22"/>
                <w:szCs w:val="22"/>
              </w:rPr>
            </w:pPr>
            <w:r w:rsidRPr="00F07779">
              <w:rPr>
                <w:sz w:val="22"/>
                <w:szCs w:val="22"/>
              </w:rPr>
              <w:t>23,332,500</w:t>
            </w:r>
          </w:p>
        </w:tc>
        <w:tc>
          <w:tcPr>
            <w:tcW w:w="1701" w:type="dxa"/>
            <w:vAlign w:val="center"/>
          </w:tcPr>
          <w:p w14:paraId="3C2D39FE" w14:textId="42ECECCE" w:rsidR="009A539A" w:rsidRPr="00F07779" w:rsidRDefault="00B80FDD" w:rsidP="009A539A">
            <w:pPr>
              <w:snapToGrid w:val="0"/>
              <w:jc w:val="right"/>
              <w:rPr>
                <w:sz w:val="22"/>
                <w:szCs w:val="22"/>
              </w:rPr>
            </w:pPr>
            <w:r w:rsidRPr="00F07779">
              <w:rPr>
                <w:sz w:val="22"/>
                <w:szCs w:val="22"/>
              </w:rPr>
              <w:t>762</w:t>
            </w:r>
            <w:r w:rsidR="009A539A" w:rsidRPr="00F07779">
              <w:rPr>
                <w:sz w:val="22"/>
                <w:szCs w:val="22"/>
              </w:rPr>
              <w:t>,</w:t>
            </w:r>
            <w:r w:rsidRPr="00F07779">
              <w:rPr>
                <w:sz w:val="22"/>
                <w:szCs w:val="22"/>
              </w:rPr>
              <w:t>125</w:t>
            </w:r>
          </w:p>
        </w:tc>
        <w:tc>
          <w:tcPr>
            <w:tcW w:w="1560" w:type="dxa"/>
            <w:vAlign w:val="center"/>
          </w:tcPr>
          <w:p w14:paraId="2E16A33C" w14:textId="0DEBA4F0" w:rsidR="009A539A" w:rsidRPr="00F07779" w:rsidRDefault="009A539A" w:rsidP="009A539A">
            <w:pPr>
              <w:snapToGrid w:val="0"/>
              <w:jc w:val="right"/>
              <w:rPr>
                <w:sz w:val="22"/>
                <w:szCs w:val="22"/>
              </w:rPr>
            </w:pPr>
            <w:r w:rsidRPr="00F07779">
              <w:rPr>
                <w:sz w:val="22"/>
                <w:szCs w:val="22"/>
              </w:rPr>
              <w:t>47,062,000</w:t>
            </w:r>
          </w:p>
        </w:tc>
        <w:tc>
          <w:tcPr>
            <w:tcW w:w="2057" w:type="dxa"/>
            <w:vAlign w:val="center"/>
          </w:tcPr>
          <w:p w14:paraId="35810618" w14:textId="4A2FFD96" w:rsidR="009A539A" w:rsidRPr="00F07779" w:rsidRDefault="00B80FDD" w:rsidP="009A539A">
            <w:pPr>
              <w:snapToGrid w:val="0"/>
              <w:jc w:val="right"/>
              <w:rPr>
                <w:sz w:val="22"/>
                <w:szCs w:val="22"/>
              </w:rPr>
            </w:pPr>
            <w:r w:rsidRPr="00F07779">
              <w:rPr>
                <w:sz w:val="22"/>
                <w:szCs w:val="22"/>
              </w:rPr>
              <w:t>71</w:t>
            </w:r>
            <w:r w:rsidR="009A539A" w:rsidRPr="00F07779">
              <w:rPr>
                <w:sz w:val="22"/>
                <w:szCs w:val="22"/>
              </w:rPr>
              <w:t>,</w:t>
            </w:r>
            <w:r w:rsidRPr="00F07779">
              <w:rPr>
                <w:sz w:val="22"/>
                <w:szCs w:val="22"/>
              </w:rPr>
              <w:t>156</w:t>
            </w:r>
            <w:r w:rsidR="009A539A" w:rsidRPr="00F07779">
              <w:rPr>
                <w:sz w:val="22"/>
                <w:szCs w:val="22"/>
              </w:rPr>
              <w:t>,</w:t>
            </w:r>
            <w:r w:rsidRPr="00F07779">
              <w:rPr>
                <w:sz w:val="22"/>
                <w:szCs w:val="22"/>
              </w:rPr>
              <w:t>625</w:t>
            </w:r>
          </w:p>
        </w:tc>
      </w:tr>
      <w:tr w:rsidR="009A539A" w:rsidRPr="00F07779" w14:paraId="7ED6166E" w14:textId="77777777" w:rsidTr="00555340">
        <w:trPr>
          <w:trHeight w:val="481"/>
        </w:trPr>
        <w:tc>
          <w:tcPr>
            <w:tcW w:w="2012" w:type="dxa"/>
            <w:vAlign w:val="center"/>
          </w:tcPr>
          <w:p w14:paraId="1F393A52" w14:textId="04575427" w:rsidR="009A539A" w:rsidRPr="00F07779" w:rsidRDefault="009A539A" w:rsidP="009A539A">
            <w:pPr>
              <w:rPr>
                <w:sz w:val="22"/>
                <w:szCs w:val="22"/>
              </w:rPr>
            </w:pPr>
            <w:r w:rsidRPr="00F07779">
              <w:rPr>
                <w:sz w:val="22"/>
                <w:szCs w:val="22"/>
              </w:rPr>
              <w:t>Oil sector</w:t>
            </w:r>
          </w:p>
        </w:tc>
        <w:tc>
          <w:tcPr>
            <w:tcW w:w="1385" w:type="dxa"/>
            <w:vAlign w:val="center"/>
          </w:tcPr>
          <w:p w14:paraId="717F25AA" w14:textId="2E20504A" w:rsidR="009A539A" w:rsidRPr="00F07779" w:rsidRDefault="009A539A" w:rsidP="009A539A">
            <w:pPr>
              <w:snapToGrid w:val="0"/>
              <w:jc w:val="right"/>
              <w:rPr>
                <w:sz w:val="22"/>
                <w:szCs w:val="22"/>
              </w:rPr>
            </w:pPr>
            <w:r w:rsidRPr="00F07779">
              <w:rPr>
                <w:sz w:val="22"/>
                <w:szCs w:val="22"/>
              </w:rPr>
              <w:t>4,</w:t>
            </w:r>
            <w:r w:rsidR="00B80FDD" w:rsidRPr="00F07779">
              <w:rPr>
                <w:sz w:val="22"/>
                <w:szCs w:val="22"/>
              </w:rPr>
              <w:t>647</w:t>
            </w:r>
            <w:r w:rsidRPr="00F07779">
              <w:rPr>
                <w:sz w:val="22"/>
                <w:szCs w:val="22"/>
              </w:rPr>
              <w:t>,000</w:t>
            </w:r>
          </w:p>
        </w:tc>
        <w:tc>
          <w:tcPr>
            <w:tcW w:w="1701" w:type="dxa"/>
            <w:vAlign w:val="center"/>
          </w:tcPr>
          <w:p w14:paraId="35D4EEB5" w14:textId="1F57665D" w:rsidR="009A539A" w:rsidRPr="00F07779" w:rsidRDefault="009A539A" w:rsidP="009A539A">
            <w:pPr>
              <w:snapToGrid w:val="0"/>
              <w:jc w:val="right"/>
              <w:rPr>
                <w:sz w:val="22"/>
                <w:szCs w:val="22"/>
              </w:rPr>
            </w:pPr>
            <w:r w:rsidRPr="00F07779">
              <w:rPr>
                <w:sz w:val="22"/>
                <w:szCs w:val="22"/>
              </w:rPr>
              <w:t>24,130,000</w:t>
            </w:r>
          </w:p>
        </w:tc>
        <w:tc>
          <w:tcPr>
            <w:tcW w:w="1560" w:type="dxa"/>
            <w:vAlign w:val="center"/>
          </w:tcPr>
          <w:p w14:paraId="44D66AA6" w14:textId="416E1BF3" w:rsidR="009A539A" w:rsidRPr="00F07779" w:rsidRDefault="00B80FDD" w:rsidP="009A539A">
            <w:pPr>
              <w:snapToGrid w:val="0"/>
              <w:jc w:val="right"/>
              <w:rPr>
                <w:sz w:val="22"/>
                <w:szCs w:val="22"/>
              </w:rPr>
            </w:pPr>
            <w:r w:rsidRPr="00F07779">
              <w:rPr>
                <w:sz w:val="22"/>
                <w:szCs w:val="22"/>
              </w:rPr>
              <w:t>15</w:t>
            </w:r>
            <w:r w:rsidR="009A539A" w:rsidRPr="00F07779">
              <w:rPr>
                <w:sz w:val="22"/>
                <w:szCs w:val="22"/>
              </w:rPr>
              <w:t>,</w:t>
            </w:r>
            <w:r w:rsidRPr="00F07779">
              <w:rPr>
                <w:sz w:val="22"/>
                <w:szCs w:val="22"/>
              </w:rPr>
              <w:t>574</w:t>
            </w:r>
            <w:r w:rsidR="009A539A" w:rsidRPr="00F07779">
              <w:rPr>
                <w:sz w:val="22"/>
                <w:szCs w:val="22"/>
              </w:rPr>
              <w:t>,000</w:t>
            </w:r>
          </w:p>
        </w:tc>
        <w:tc>
          <w:tcPr>
            <w:tcW w:w="2057" w:type="dxa"/>
            <w:vAlign w:val="center"/>
          </w:tcPr>
          <w:p w14:paraId="70C6346C" w14:textId="1B686C73" w:rsidR="009A539A" w:rsidRPr="00F07779" w:rsidRDefault="00B80FDD" w:rsidP="009A539A">
            <w:pPr>
              <w:snapToGrid w:val="0"/>
              <w:jc w:val="right"/>
              <w:rPr>
                <w:sz w:val="22"/>
                <w:szCs w:val="22"/>
              </w:rPr>
            </w:pPr>
            <w:r w:rsidRPr="00F07779">
              <w:rPr>
                <w:sz w:val="22"/>
                <w:szCs w:val="22"/>
              </w:rPr>
              <w:t>44</w:t>
            </w:r>
            <w:r w:rsidR="009A539A" w:rsidRPr="00F07779">
              <w:rPr>
                <w:sz w:val="22"/>
                <w:szCs w:val="22"/>
              </w:rPr>
              <w:t>,</w:t>
            </w:r>
            <w:r w:rsidRPr="00F07779">
              <w:rPr>
                <w:sz w:val="22"/>
                <w:szCs w:val="22"/>
              </w:rPr>
              <w:t>351</w:t>
            </w:r>
            <w:r w:rsidR="009A539A" w:rsidRPr="00F07779">
              <w:rPr>
                <w:sz w:val="22"/>
                <w:szCs w:val="22"/>
              </w:rPr>
              <w:t>,000</w:t>
            </w:r>
          </w:p>
        </w:tc>
      </w:tr>
      <w:tr w:rsidR="009A539A" w:rsidRPr="00F07779" w14:paraId="65475EEA" w14:textId="77777777" w:rsidTr="00555340">
        <w:trPr>
          <w:trHeight w:val="417"/>
        </w:trPr>
        <w:tc>
          <w:tcPr>
            <w:tcW w:w="2012" w:type="dxa"/>
            <w:vAlign w:val="center"/>
          </w:tcPr>
          <w:p w14:paraId="76277C42" w14:textId="3CD178DE" w:rsidR="009A539A" w:rsidRPr="00F07779" w:rsidRDefault="009A539A" w:rsidP="009A539A">
            <w:pPr>
              <w:rPr>
                <w:sz w:val="22"/>
                <w:szCs w:val="22"/>
              </w:rPr>
            </w:pPr>
            <w:r w:rsidRPr="00F07779">
              <w:rPr>
                <w:sz w:val="22"/>
                <w:szCs w:val="22"/>
              </w:rPr>
              <w:t xml:space="preserve">Coal </w:t>
            </w:r>
            <w:proofErr w:type="spellStart"/>
            <w:r w:rsidRPr="00F07779">
              <w:rPr>
                <w:sz w:val="22"/>
                <w:szCs w:val="22"/>
              </w:rPr>
              <w:t>secor</w:t>
            </w:r>
            <w:proofErr w:type="spellEnd"/>
          </w:p>
        </w:tc>
        <w:tc>
          <w:tcPr>
            <w:tcW w:w="1385" w:type="dxa"/>
            <w:vAlign w:val="center"/>
          </w:tcPr>
          <w:p w14:paraId="63D6EB62" w14:textId="5EAE2C56" w:rsidR="009A539A" w:rsidRPr="00F07779" w:rsidRDefault="009A539A" w:rsidP="009A539A">
            <w:pPr>
              <w:snapToGrid w:val="0"/>
              <w:jc w:val="right"/>
              <w:rPr>
                <w:sz w:val="22"/>
                <w:szCs w:val="22"/>
              </w:rPr>
            </w:pPr>
            <w:r w:rsidRPr="00F07779">
              <w:rPr>
                <w:sz w:val="22"/>
                <w:szCs w:val="22"/>
              </w:rPr>
              <w:t>0</w:t>
            </w:r>
          </w:p>
        </w:tc>
        <w:tc>
          <w:tcPr>
            <w:tcW w:w="1701" w:type="dxa"/>
            <w:vAlign w:val="center"/>
          </w:tcPr>
          <w:p w14:paraId="4710EEBC" w14:textId="0B8055ED" w:rsidR="009A539A" w:rsidRPr="00F07779" w:rsidRDefault="00B80FDD" w:rsidP="009A539A">
            <w:pPr>
              <w:snapToGrid w:val="0"/>
              <w:jc w:val="right"/>
              <w:rPr>
                <w:sz w:val="22"/>
                <w:szCs w:val="22"/>
              </w:rPr>
            </w:pPr>
            <w:r w:rsidRPr="00F07779">
              <w:rPr>
                <w:sz w:val="22"/>
                <w:szCs w:val="22"/>
              </w:rPr>
              <w:t>37</w:t>
            </w:r>
            <w:r w:rsidR="009A539A" w:rsidRPr="00F07779">
              <w:rPr>
                <w:sz w:val="22"/>
                <w:szCs w:val="22"/>
              </w:rPr>
              <w:t>,</w:t>
            </w:r>
            <w:r w:rsidRPr="00F07779">
              <w:rPr>
                <w:sz w:val="22"/>
                <w:szCs w:val="22"/>
              </w:rPr>
              <w:t>794</w:t>
            </w:r>
            <w:r w:rsidR="009A539A" w:rsidRPr="00F07779">
              <w:rPr>
                <w:sz w:val="22"/>
                <w:szCs w:val="22"/>
              </w:rPr>
              <w:t>,</w:t>
            </w:r>
            <w:r w:rsidRPr="00F07779">
              <w:rPr>
                <w:sz w:val="22"/>
                <w:szCs w:val="22"/>
              </w:rPr>
              <w:t>350</w:t>
            </w:r>
          </w:p>
        </w:tc>
        <w:tc>
          <w:tcPr>
            <w:tcW w:w="1560" w:type="dxa"/>
            <w:vAlign w:val="center"/>
          </w:tcPr>
          <w:p w14:paraId="6FA37DDB" w14:textId="0CA01EFC" w:rsidR="009A539A" w:rsidRPr="00F07779" w:rsidRDefault="009A539A" w:rsidP="009A539A">
            <w:pPr>
              <w:snapToGrid w:val="0"/>
              <w:jc w:val="right"/>
              <w:rPr>
                <w:sz w:val="22"/>
                <w:szCs w:val="22"/>
              </w:rPr>
            </w:pPr>
            <w:r w:rsidRPr="00F07779">
              <w:rPr>
                <w:sz w:val="22"/>
                <w:szCs w:val="22"/>
              </w:rPr>
              <w:t>0</w:t>
            </w:r>
          </w:p>
        </w:tc>
        <w:tc>
          <w:tcPr>
            <w:tcW w:w="2057" w:type="dxa"/>
            <w:vAlign w:val="center"/>
          </w:tcPr>
          <w:p w14:paraId="6E203969" w14:textId="556D29BB" w:rsidR="009A539A" w:rsidRPr="00F07779" w:rsidRDefault="00B80FDD" w:rsidP="009A539A">
            <w:pPr>
              <w:snapToGrid w:val="0"/>
              <w:jc w:val="right"/>
              <w:rPr>
                <w:sz w:val="22"/>
                <w:szCs w:val="22"/>
              </w:rPr>
            </w:pPr>
            <w:r w:rsidRPr="00F07779">
              <w:rPr>
                <w:sz w:val="22"/>
                <w:szCs w:val="22"/>
              </w:rPr>
              <w:t>37,794,350</w:t>
            </w:r>
          </w:p>
        </w:tc>
      </w:tr>
      <w:tr w:rsidR="009A539A" w:rsidRPr="00F07779" w14:paraId="5BE1509B" w14:textId="77777777" w:rsidTr="00555340">
        <w:tc>
          <w:tcPr>
            <w:tcW w:w="2012" w:type="dxa"/>
            <w:vAlign w:val="center"/>
          </w:tcPr>
          <w:p w14:paraId="7E1114E4" w14:textId="4035D8A9" w:rsidR="009A539A" w:rsidRPr="00F07779" w:rsidRDefault="009A539A" w:rsidP="009A539A">
            <w:pPr>
              <w:rPr>
                <w:sz w:val="22"/>
                <w:szCs w:val="22"/>
              </w:rPr>
            </w:pPr>
            <w:r w:rsidRPr="00F07779">
              <w:rPr>
                <w:sz w:val="22"/>
                <w:szCs w:val="22"/>
              </w:rPr>
              <w:t>Just transition and energy poverty</w:t>
            </w:r>
          </w:p>
        </w:tc>
        <w:tc>
          <w:tcPr>
            <w:tcW w:w="1385" w:type="dxa"/>
            <w:vAlign w:val="center"/>
          </w:tcPr>
          <w:p w14:paraId="705B5F85" w14:textId="419C87E6" w:rsidR="009A539A" w:rsidRPr="00F07779" w:rsidRDefault="009A539A" w:rsidP="009A539A">
            <w:pPr>
              <w:snapToGrid w:val="0"/>
              <w:jc w:val="right"/>
              <w:rPr>
                <w:sz w:val="22"/>
                <w:szCs w:val="22"/>
              </w:rPr>
            </w:pPr>
            <w:r w:rsidRPr="00F07779">
              <w:rPr>
                <w:sz w:val="22"/>
                <w:szCs w:val="22"/>
              </w:rPr>
              <w:t>93,800</w:t>
            </w:r>
          </w:p>
        </w:tc>
        <w:tc>
          <w:tcPr>
            <w:tcW w:w="1701" w:type="dxa"/>
            <w:vAlign w:val="center"/>
          </w:tcPr>
          <w:p w14:paraId="7C6C5258" w14:textId="20B71C31" w:rsidR="009A539A" w:rsidRPr="00F07779" w:rsidRDefault="009A539A" w:rsidP="009A539A">
            <w:pPr>
              <w:snapToGrid w:val="0"/>
              <w:jc w:val="right"/>
              <w:rPr>
                <w:sz w:val="22"/>
                <w:szCs w:val="22"/>
              </w:rPr>
            </w:pPr>
            <w:r w:rsidRPr="00F07779">
              <w:rPr>
                <w:sz w:val="22"/>
                <w:szCs w:val="22"/>
              </w:rPr>
              <w:t>0</w:t>
            </w:r>
          </w:p>
        </w:tc>
        <w:tc>
          <w:tcPr>
            <w:tcW w:w="1560" w:type="dxa"/>
            <w:vAlign w:val="center"/>
          </w:tcPr>
          <w:p w14:paraId="62A002DC" w14:textId="7D1C562A" w:rsidR="009A539A" w:rsidRPr="00F07779" w:rsidRDefault="009A539A" w:rsidP="009A539A">
            <w:pPr>
              <w:snapToGrid w:val="0"/>
              <w:jc w:val="right"/>
              <w:rPr>
                <w:sz w:val="22"/>
                <w:szCs w:val="22"/>
              </w:rPr>
            </w:pPr>
            <w:r w:rsidRPr="00F07779">
              <w:rPr>
                <w:sz w:val="22"/>
                <w:szCs w:val="22"/>
              </w:rPr>
              <w:t>0</w:t>
            </w:r>
          </w:p>
        </w:tc>
        <w:tc>
          <w:tcPr>
            <w:tcW w:w="2057" w:type="dxa"/>
            <w:vAlign w:val="center"/>
          </w:tcPr>
          <w:p w14:paraId="2F9AACBB" w14:textId="503385B9" w:rsidR="009A539A" w:rsidRPr="00F07779" w:rsidRDefault="009A539A" w:rsidP="009A539A">
            <w:pPr>
              <w:snapToGrid w:val="0"/>
              <w:jc w:val="right"/>
              <w:rPr>
                <w:sz w:val="22"/>
                <w:szCs w:val="22"/>
              </w:rPr>
            </w:pPr>
            <w:r w:rsidRPr="00F07779">
              <w:rPr>
                <w:sz w:val="22"/>
                <w:szCs w:val="22"/>
              </w:rPr>
              <w:t>93,800</w:t>
            </w:r>
          </w:p>
        </w:tc>
      </w:tr>
      <w:tr w:rsidR="009A539A" w:rsidRPr="00F07779" w14:paraId="15A27FDE" w14:textId="77777777" w:rsidTr="00555340">
        <w:trPr>
          <w:trHeight w:val="396"/>
        </w:trPr>
        <w:tc>
          <w:tcPr>
            <w:tcW w:w="2012" w:type="dxa"/>
            <w:vAlign w:val="center"/>
          </w:tcPr>
          <w:p w14:paraId="6DDE3FDE" w14:textId="76EA8EC0" w:rsidR="009A539A" w:rsidRPr="00F07779" w:rsidRDefault="009A539A" w:rsidP="009A539A">
            <w:pPr>
              <w:spacing w:after="60"/>
              <w:rPr>
                <w:b/>
                <w:bCs/>
                <w:sz w:val="22"/>
                <w:szCs w:val="22"/>
              </w:rPr>
            </w:pPr>
            <w:r w:rsidRPr="00F07779">
              <w:rPr>
                <w:sz w:val="22"/>
                <w:szCs w:val="22"/>
              </w:rPr>
              <w:t>Total</w:t>
            </w:r>
          </w:p>
        </w:tc>
        <w:tc>
          <w:tcPr>
            <w:tcW w:w="1385" w:type="dxa"/>
            <w:vAlign w:val="center"/>
          </w:tcPr>
          <w:p w14:paraId="024527A1" w14:textId="57E6D375" w:rsidR="009A539A" w:rsidRPr="00F07779" w:rsidRDefault="009A539A" w:rsidP="009A539A">
            <w:pPr>
              <w:jc w:val="right"/>
              <w:rPr>
                <w:b/>
                <w:bCs/>
                <w:sz w:val="22"/>
                <w:szCs w:val="22"/>
              </w:rPr>
            </w:pPr>
            <w:r w:rsidRPr="00F07779">
              <w:rPr>
                <w:b/>
                <w:bCs/>
                <w:color w:val="000000"/>
              </w:rPr>
              <w:t>69,</w:t>
            </w:r>
            <w:r w:rsidR="00B80FDD" w:rsidRPr="00F07779">
              <w:rPr>
                <w:b/>
                <w:bCs/>
                <w:color w:val="000000"/>
              </w:rPr>
              <w:t>810</w:t>
            </w:r>
            <w:r w:rsidRPr="00F07779">
              <w:rPr>
                <w:b/>
                <w:bCs/>
                <w:color w:val="000000"/>
              </w:rPr>
              <w:t>,239</w:t>
            </w:r>
          </w:p>
        </w:tc>
        <w:tc>
          <w:tcPr>
            <w:tcW w:w="1701" w:type="dxa"/>
            <w:vAlign w:val="center"/>
          </w:tcPr>
          <w:p w14:paraId="320E0842" w14:textId="55092B35" w:rsidR="009A539A" w:rsidRPr="00F07779" w:rsidRDefault="00B80FDD" w:rsidP="009A539A">
            <w:pPr>
              <w:jc w:val="right"/>
              <w:rPr>
                <w:b/>
                <w:bCs/>
                <w:color w:val="000000"/>
              </w:rPr>
            </w:pPr>
            <w:r w:rsidRPr="00F07779">
              <w:rPr>
                <w:b/>
                <w:bCs/>
                <w:color w:val="000000"/>
              </w:rPr>
              <w:t>204</w:t>
            </w:r>
            <w:r w:rsidR="009A539A" w:rsidRPr="00F07779">
              <w:rPr>
                <w:b/>
                <w:bCs/>
                <w:color w:val="000000"/>
              </w:rPr>
              <w:t>,</w:t>
            </w:r>
            <w:r w:rsidRPr="00F07779">
              <w:rPr>
                <w:b/>
                <w:bCs/>
                <w:color w:val="000000"/>
              </w:rPr>
              <w:t>504</w:t>
            </w:r>
            <w:r w:rsidR="009A539A" w:rsidRPr="00F07779">
              <w:rPr>
                <w:b/>
                <w:bCs/>
                <w:color w:val="000000"/>
              </w:rPr>
              <w:t>,</w:t>
            </w:r>
            <w:r w:rsidRPr="00F07779">
              <w:rPr>
                <w:b/>
                <w:bCs/>
                <w:color w:val="000000"/>
              </w:rPr>
              <w:t>489</w:t>
            </w:r>
          </w:p>
        </w:tc>
        <w:tc>
          <w:tcPr>
            <w:tcW w:w="1560" w:type="dxa"/>
            <w:vAlign w:val="center"/>
          </w:tcPr>
          <w:p w14:paraId="5F5F8B5E" w14:textId="2960C1F9" w:rsidR="009A539A" w:rsidRPr="00F07779" w:rsidRDefault="00B80FDD" w:rsidP="009A539A">
            <w:pPr>
              <w:jc w:val="right"/>
              <w:rPr>
                <w:b/>
                <w:bCs/>
                <w:color w:val="000000"/>
              </w:rPr>
            </w:pPr>
            <w:r w:rsidRPr="00F07779">
              <w:rPr>
                <w:b/>
                <w:bCs/>
                <w:color w:val="000000"/>
              </w:rPr>
              <w:t>576</w:t>
            </w:r>
            <w:r w:rsidR="009A539A" w:rsidRPr="00F07779">
              <w:rPr>
                <w:b/>
                <w:bCs/>
                <w:color w:val="000000"/>
              </w:rPr>
              <w:t>,</w:t>
            </w:r>
            <w:r w:rsidRPr="00F07779">
              <w:rPr>
                <w:b/>
                <w:bCs/>
                <w:color w:val="000000"/>
              </w:rPr>
              <w:t>233</w:t>
            </w:r>
            <w:r w:rsidR="009A539A" w:rsidRPr="00F07779">
              <w:rPr>
                <w:b/>
                <w:bCs/>
                <w:color w:val="000000"/>
              </w:rPr>
              <w:t>,408</w:t>
            </w:r>
          </w:p>
        </w:tc>
        <w:tc>
          <w:tcPr>
            <w:tcW w:w="2057" w:type="dxa"/>
            <w:vAlign w:val="center"/>
          </w:tcPr>
          <w:p w14:paraId="6F727940" w14:textId="5797D093" w:rsidR="009A539A" w:rsidRPr="00F07779" w:rsidRDefault="009A539A" w:rsidP="009A539A">
            <w:pPr>
              <w:jc w:val="right"/>
              <w:rPr>
                <w:b/>
                <w:bCs/>
                <w:color w:val="000000"/>
              </w:rPr>
            </w:pPr>
            <w:r w:rsidRPr="00F07779">
              <w:rPr>
                <w:b/>
                <w:bCs/>
                <w:color w:val="000000"/>
              </w:rPr>
              <w:t>850,</w:t>
            </w:r>
            <w:r w:rsidR="00B80FDD" w:rsidRPr="00F07779">
              <w:rPr>
                <w:b/>
                <w:bCs/>
                <w:color w:val="000000"/>
              </w:rPr>
              <w:t>548</w:t>
            </w:r>
            <w:r w:rsidRPr="00F07779">
              <w:rPr>
                <w:b/>
                <w:bCs/>
                <w:color w:val="000000"/>
              </w:rPr>
              <w:t>,</w:t>
            </w:r>
            <w:r w:rsidR="00B80FDD" w:rsidRPr="00F07779">
              <w:rPr>
                <w:b/>
                <w:bCs/>
                <w:color w:val="000000"/>
              </w:rPr>
              <w:t>136</w:t>
            </w:r>
          </w:p>
        </w:tc>
      </w:tr>
    </w:tbl>
    <w:p w14:paraId="422C8A47" w14:textId="77777777" w:rsidR="00FA5B96" w:rsidRPr="00F07779" w:rsidRDefault="00FA5B96" w:rsidP="00B20448">
      <w:pPr>
        <w:jc w:val="both"/>
      </w:pPr>
    </w:p>
    <w:p w14:paraId="12476FB0" w14:textId="59F21740" w:rsidR="00127CA8" w:rsidRPr="00F07779" w:rsidRDefault="00004CCF" w:rsidP="00127CA8">
      <w:pPr>
        <w:jc w:val="both"/>
      </w:pPr>
      <w:r w:rsidRPr="00F07779">
        <w:t xml:space="preserve">Table 6.3 shows the distribution of the types of measures and activities implemented by energy sub-sectors. The largest number of measures, about 77% of the total number, is of an investment type. </w:t>
      </w:r>
      <w:r w:rsidR="00B80FDD" w:rsidRPr="00F07779">
        <w:t xml:space="preserve">Six </w:t>
      </w:r>
      <w:r w:rsidRPr="00F07779">
        <w:t xml:space="preserve">regulatory measures include the adoption of </w:t>
      </w:r>
      <w:r w:rsidR="00B80FDD" w:rsidRPr="00F07779">
        <w:t xml:space="preserve">one </w:t>
      </w:r>
      <w:r w:rsidRPr="00F07779">
        <w:t xml:space="preserve">new law and a significant improvement of the regulatory framework of the energy sector through new and innovative by-laws and other regulations. Incentives and information measures are characteristic of the RES and energy efficiency </w:t>
      </w:r>
      <w:proofErr w:type="gramStart"/>
      <w:r w:rsidRPr="00F07779">
        <w:t>sector</w:t>
      </w:r>
      <w:proofErr w:type="gramEnd"/>
      <w:r w:rsidRPr="00F07779">
        <w:t>. Institutional or governance measures are of a different nature, but they all relate to strengthening institutions and building the necessary capacities in the sector.</w:t>
      </w:r>
    </w:p>
    <w:p w14:paraId="5F7C6AF3" w14:textId="77777777" w:rsidR="00004CCF" w:rsidRPr="00F07779" w:rsidRDefault="00004CCF" w:rsidP="00127CA8">
      <w:pPr>
        <w:jc w:val="both"/>
      </w:pPr>
    </w:p>
    <w:p w14:paraId="0B9911E1" w14:textId="2B1814C5" w:rsidR="006D0B1C" w:rsidRPr="00F07779" w:rsidRDefault="009A539A" w:rsidP="006D0B1C">
      <w:r w:rsidRPr="00F07779">
        <w:t>Table</w:t>
      </w:r>
      <w:r w:rsidR="006D0B1C" w:rsidRPr="00F07779">
        <w:t xml:space="preserve"> 6.3: </w:t>
      </w:r>
      <w:r w:rsidRPr="00F07779">
        <w:t>Distribution of measures and activities in the Program according to types and energy sectors</w:t>
      </w:r>
    </w:p>
    <w:tbl>
      <w:tblPr>
        <w:tblStyle w:val="TableGrid"/>
        <w:tblW w:w="5000" w:type="pct"/>
        <w:tblLook w:val="04A0" w:firstRow="1" w:lastRow="0" w:firstColumn="1" w:lastColumn="0" w:noHBand="0" w:noVBand="1"/>
      </w:tblPr>
      <w:tblGrid>
        <w:gridCol w:w="5130"/>
        <w:gridCol w:w="537"/>
        <w:gridCol w:w="512"/>
        <w:gridCol w:w="537"/>
        <w:gridCol w:w="826"/>
        <w:gridCol w:w="612"/>
        <w:gridCol w:w="561"/>
      </w:tblGrid>
      <w:tr w:rsidR="006D0B1C" w:rsidRPr="00F07779" w14:paraId="2FC7093E" w14:textId="77777777" w:rsidTr="003B4095">
        <w:trPr>
          <w:cantSplit/>
          <w:trHeight w:val="294"/>
        </w:trPr>
        <w:tc>
          <w:tcPr>
            <w:tcW w:w="2943" w:type="pct"/>
            <w:vMerge w:val="restart"/>
            <w:vAlign w:val="center"/>
          </w:tcPr>
          <w:p w14:paraId="0A4FAE06" w14:textId="473323E9" w:rsidR="006D0B1C" w:rsidRPr="00F07779" w:rsidRDefault="00260DCF" w:rsidP="009A03AE">
            <w:pPr>
              <w:jc w:val="center"/>
              <w:rPr>
                <w:sz w:val="22"/>
                <w:szCs w:val="22"/>
              </w:rPr>
            </w:pPr>
            <w:r w:rsidRPr="00F07779">
              <w:rPr>
                <w:sz w:val="22"/>
                <w:szCs w:val="22"/>
              </w:rPr>
              <w:t>Sector</w:t>
            </w:r>
            <w:r w:rsidR="006D0B1C" w:rsidRPr="00F07779">
              <w:rPr>
                <w:sz w:val="22"/>
                <w:szCs w:val="22"/>
              </w:rPr>
              <w:t>/</w:t>
            </w:r>
            <w:r w:rsidR="006D0B1C" w:rsidRPr="00F07779">
              <w:rPr>
                <w:sz w:val="22"/>
                <w:szCs w:val="22"/>
              </w:rPr>
              <w:br/>
            </w:r>
            <w:r w:rsidR="00096662" w:rsidRPr="00F07779">
              <w:rPr>
                <w:sz w:val="22"/>
                <w:szCs w:val="22"/>
              </w:rPr>
              <w:t>Area</w:t>
            </w:r>
            <w:r w:rsidRPr="00F07779">
              <w:rPr>
                <w:sz w:val="22"/>
                <w:szCs w:val="22"/>
              </w:rPr>
              <w:t xml:space="preserve"> of acti</w:t>
            </w:r>
            <w:r w:rsidR="00096662" w:rsidRPr="00F07779">
              <w:rPr>
                <w:sz w:val="22"/>
                <w:szCs w:val="22"/>
              </w:rPr>
              <w:t>vity</w:t>
            </w:r>
          </w:p>
        </w:tc>
        <w:tc>
          <w:tcPr>
            <w:tcW w:w="2057" w:type="pct"/>
            <w:gridSpan w:val="6"/>
            <w:vAlign w:val="center"/>
          </w:tcPr>
          <w:p w14:paraId="2DD3C205" w14:textId="15881890" w:rsidR="006D0B1C" w:rsidRPr="00F07779" w:rsidRDefault="009A539A" w:rsidP="009A03AE">
            <w:pPr>
              <w:jc w:val="center"/>
              <w:rPr>
                <w:rFonts w:eastAsia="Calibri"/>
                <w:color w:val="001132"/>
              </w:rPr>
            </w:pPr>
            <w:r w:rsidRPr="00F07779">
              <w:rPr>
                <w:rFonts w:eastAsia="Calibri"/>
                <w:color w:val="001132"/>
              </w:rPr>
              <w:t>Measures and activities</w:t>
            </w:r>
          </w:p>
        </w:tc>
      </w:tr>
      <w:tr w:rsidR="00127CA8" w:rsidRPr="00F07779" w14:paraId="11F35C34" w14:textId="77777777" w:rsidTr="003B4095">
        <w:trPr>
          <w:cantSplit/>
          <w:trHeight w:val="2275"/>
        </w:trPr>
        <w:tc>
          <w:tcPr>
            <w:tcW w:w="2943" w:type="pct"/>
            <w:vMerge/>
            <w:vAlign w:val="center"/>
          </w:tcPr>
          <w:p w14:paraId="01BA57AF" w14:textId="77777777" w:rsidR="00127CA8" w:rsidRPr="00F07779" w:rsidRDefault="00127CA8" w:rsidP="009A03AE">
            <w:pPr>
              <w:jc w:val="center"/>
              <w:rPr>
                <w:sz w:val="22"/>
                <w:szCs w:val="22"/>
              </w:rPr>
            </w:pPr>
          </w:p>
        </w:tc>
        <w:tc>
          <w:tcPr>
            <w:tcW w:w="308" w:type="pct"/>
            <w:textDirection w:val="btLr"/>
            <w:vAlign w:val="center"/>
          </w:tcPr>
          <w:p w14:paraId="64C284FA" w14:textId="24BEA167" w:rsidR="00127CA8" w:rsidRPr="00F07779" w:rsidRDefault="009A539A" w:rsidP="009A03AE">
            <w:pPr>
              <w:ind w:left="113" w:right="113"/>
              <w:jc w:val="center"/>
              <w:rPr>
                <w:rFonts w:eastAsia="Calibri"/>
                <w:color w:val="001132"/>
              </w:rPr>
            </w:pPr>
            <w:r w:rsidRPr="00F07779">
              <w:rPr>
                <w:rFonts w:eastAsia="Calibri"/>
                <w:color w:val="001132"/>
              </w:rPr>
              <w:t>Regulatory</w:t>
            </w:r>
          </w:p>
        </w:tc>
        <w:tc>
          <w:tcPr>
            <w:tcW w:w="294" w:type="pct"/>
            <w:textDirection w:val="btLr"/>
            <w:vAlign w:val="center"/>
          </w:tcPr>
          <w:p w14:paraId="157451B4" w14:textId="374909F2" w:rsidR="00127CA8" w:rsidRPr="00F07779" w:rsidRDefault="009A539A" w:rsidP="009A03AE">
            <w:pPr>
              <w:ind w:left="113" w:right="113"/>
              <w:jc w:val="center"/>
              <w:rPr>
                <w:sz w:val="22"/>
                <w:szCs w:val="22"/>
              </w:rPr>
            </w:pPr>
            <w:r w:rsidRPr="00F07779">
              <w:rPr>
                <w:sz w:val="22"/>
                <w:szCs w:val="22"/>
              </w:rPr>
              <w:t>Incentive</w:t>
            </w:r>
          </w:p>
        </w:tc>
        <w:tc>
          <w:tcPr>
            <w:tcW w:w="308" w:type="pct"/>
            <w:textDirection w:val="btLr"/>
            <w:vAlign w:val="center"/>
          </w:tcPr>
          <w:p w14:paraId="2A6F1991" w14:textId="30622194" w:rsidR="00127CA8" w:rsidRPr="00F07779" w:rsidRDefault="009A539A" w:rsidP="009A03AE">
            <w:pPr>
              <w:ind w:left="113" w:right="113"/>
              <w:jc w:val="center"/>
              <w:rPr>
                <w:rFonts w:eastAsia="Calibri"/>
                <w:color w:val="001132"/>
              </w:rPr>
            </w:pPr>
            <w:r w:rsidRPr="00F07779">
              <w:rPr>
                <w:rFonts w:eastAsia="Calibri"/>
                <w:color w:val="001132"/>
              </w:rPr>
              <w:t>Informative</w:t>
            </w:r>
          </w:p>
        </w:tc>
        <w:tc>
          <w:tcPr>
            <w:tcW w:w="474" w:type="pct"/>
            <w:textDirection w:val="btLr"/>
            <w:vAlign w:val="center"/>
          </w:tcPr>
          <w:p w14:paraId="0334ABD7" w14:textId="255EF379" w:rsidR="00127CA8" w:rsidRPr="00F07779" w:rsidRDefault="009A539A" w:rsidP="009A03AE">
            <w:pPr>
              <w:ind w:left="113" w:right="113"/>
              <w:jc w:val="center"/>
              <w:rPr>
                <w:rFonts w:eastAsia="Calibri"/>
                <w:color w:val="001132"/>
              </w:rPr>
            </w:pPr>
            <w:r w:rsidRPr="00F07779">
              <w:rPr>
                <w:rFonts w:eastAsia="Calibri"/>
                <w:color w:val="001132"/>
              </w:rPr>
              <w:t>Institutional/ governance</w:t>
            </w:r>
          </w:p>
        </w:tc>
        <w:tc>
          <w:tcPr>
            <w:tcW w:w="351" w:type="pct"/>
            <w:textDirection w:val="btLr"/>
          </w:tcPr>
          <w:p w14:paraId="2356EC21" w14:textId="3A9983F4" w:rsidR="00127CA8" w:rsidRPr="00F07779" w:rsidRDefault="009A539A" w:rsidP="009A03AE">
            <w:pPr>
              <w:ind w:left="113" w:right="113"/>
              <w:jc w:val="center"/>
              <w:rPr>
                <w:rFonts w:eastAsia="Calibri"/>
                <w:color w:val="001132"/>
              </w:rPr>
            </w:pPr>
            <w:r w:rsidRPr="00F07779">
              <w:rPr>
                <w:rFonts w:eastAsia="Calibri"/>
                <w:color w:val="001132"/>
              </w:rPr>
              <w:t>Investment</w:t>
            </w:r>
          </w:p>
        </w:tc>
        <w:tc>
          <w:tcPr>
            <w:tcW w:w="321" w:type="pct"/>
            <w:textDirection w:val="btLr"/>
          </w:tcPr>
          <w:p w14:paraId="58AD7877" w14:textId="68D935FF" w:rsidR="00127CA8" w:rsidRPr="00F07779" w:rsidRDefault="009A539A" w:rsidP="009A03AE">
            <w:pPr>
              <w:ind w:left="113" w:right="113"/>
              <w:jc w:val="center"/>
              <w:rPr>
                <w:rFonts w:eastAsia="Calibri"/>
                <w:color w:val="001132"/>
              </w:rPr>
            </w:pPr>
            <w:r w:rsidRPr="00F07779">
              <w:rPr>
                <w:rFonts w:eastAsia="Calibri"/>
                <w:color w:val="001132"/>
              </w:rPr>
              <w:t>Total</w:t>
            </w:r>
          </w:p>
        </w:tc>
      </w:tr>
      <w:tr w:rsidR="00127CA8" w:rsidRPr="00F07779" w14:paraId="417FF688" w14:textId="77777777" w:rsidTr="003B4095">
        <w:tc>
          <w:tcPr>
            <w:tcW w:w="2943" w:type="pct"/>
            <w:vAlign w:val="center"/>
          </w:tcPr>
          <w:p w14:paraId="4024EABE" w14:textId="0F85FC08" w:rsidR="00127CA8" w:rsidRPr="00F07779" w:rsidRDefault="009A539A" w:rsidP="00E66E45">
            <w:pPr>
              <w:rPr>
                <w:sz w:val="22"/>
                <w:szCs w:val="22"/>
              </w:rPr>
            </w:pPr>
            <w:r w:rsidRPr="00F07779">
              <w:rPr>
                <w:sz w:val="22"/>
                <w:szCs w:val="22"/>
              </w:rPr>
              <w:t>Electric power sector</w:t>
            </w:r>
          </w:p>
        </w:tc>
        <w:tc>
          <w:tcPr>
            <w:tcW w:w="308" w:type="pct"/>
            <w:vAlign w:val="center"/>
          </w:tcPr>
          <w:p w14:paraId="634E492C" w14:textId="39676326" w:rsidR="00127CA8" w:rsidRPr="00F07779" w:rsidRDefault="008E4BA3" w:rsidP="003B4095">
            <w:pPr>
              <w:jc w:val="right"/>
              <w:rPr>
                <w:sz w:val="22"/>
                <w:szCs w:val="22"/>
              </w:rPr>
            </w:pPr>
            <w:r w:rsidRPr="00F07779">
              <w:rPr>
                <w:sz w:val="22"/>
                <w:szCs w:val="22"/>
              </w:rPr>
              <w:t>2</w:t>
            </w:r>
          </w:p>
        </w:tc>
        <w:tc>
          <w:tcPr>
            <w:tcW w:w="294" w:type="pct"/>
            <w:vAlign w:val="center"/>
          </w:tcPr>
          <w:p w14:paraId="4D5A0822" w14:textId="77777777" w:rsidR="00127CA8" w:rsidRPr="00F07779" w:rsidRDefault="00127CA8" w:rsidP="003B4095">
            <w:pPr>
              <w:jc w:val="right"/>
              <w:rPr>
                <w:sz w:val="22"/>
                <w:szCs w:val="22"/>
              </w:rPr>
            </w:pPr>
          </w:p>
        </w:tc>
        <w:tc>
          <w:tcPr>
            <w:tcW w:w="308" w:type="pct"/>
            <w:vAlign w:val="center"/>
          </w:tcPr>
          <w:p w14:paraId="11F6D074" w14:textId="77777777" w:rsidR="00127CA8" w:rsidRPr="00F07779" w:rsidRDefault="00127CA8" w:rsidP="003B4095">
            <w:pPr>
              <w:jc w:val="right"/>
              <w:rPr>
                <w:sz w:val="22"/>
                <w:szCs w:val="22"/>
              </w:rPr>
            </w:pPr>
          </w:p>
        </w:tc>
        <w:tc>
          <w:tcPr>
            <w:tcW w:w="474" w:type="pct"/>
            <w:vAlign w:val="center"/>
          </w:tcPr>
          <w:p w14:paraId="44A7AC49" w14:textId="77777777" w:rsidR="00127CA8" w:rsidRPr="00F07779" w:rsidRDefault="00127CA8" w:rsidP="003B4095">
            <w:pPr>
              <w:jc w:val="right"/>
              <w:rPr>
                <w:sz w:val="22"/>
                <w:szCs w:val="22"/>
              </w:rPr>
            </w:pPr>
          </w:p>
        </w:tc>
        <w:tc>
          <w:tcPr>
            <w:tcW w:w="351" w:type="pct"/>
            <w:vAlign w:val="center"/>
          </w:tcPr>
          <w:p w14:paraId="00180C34" w14:textId="4E53815F" w:rsidR="00127CA8" w:rsidRPr="00F07779" w:rsidRDefault="008E4BA3" w:rsidP="003B4095">
            <w:pPr>
              <w:jc w:val="right"/>
              <w:rPr>
                <w:sz w:val="22"/>
                <w:szCs w:val="22"/>
              </w:rPr>
            </w:pPr>
            <w:r w:rsidRPr="00F07779">
              <w:rPr>
                <w:sz w:val="22"/>
                <w:szCs w:val="22"/>
              </w:rPr>
              <w:t>13</w:t>
            </w:r>
          </w:p>
        </w:tc>
        <w:tc>
          <w:tcPr>
            <w:tcW w:w="321" w:type="pct"/>
            <w:vAlign w:val="center"/>
          </w:tcPr>
          <w:p w14:paraId="3598C9BC" w14:textId="7496E7CF" w:rsidR="00127CA8" w:rsidRPr="00F07779" w:rsidRDefault="008E4BA3" w:rsidP="002F6296">
            <w:pPr>
              <w:jc w:val="right"/>
              <w:rPr>
                <w:sz w:val="22"/>
                <w:szCs w:val="22"/>
              </w:rPr>
            </w:pPr>
            <w:r w:rsidRPr="00F07779">
              <w:rPr>
                <w:sz w:val="22"/>
                <w:szCs w:val="22"/>
              </w:rPr>
              <w:t>15</w:t>
            </w:r>
          </w:p>
        </w:tc>
      </w:tr>
      <w:tr w:rsidR="00127CA8" w:rsidRPr="00F07779" w14:paraId="1CF0453C" w14:textId="77777777" w:rsidTr="003B4095">
        <w:tc>
          <w:tcPr>
            <w:tcW w:w="2943" w:type="pct"/>
            <w:vAlign w:val="center"/>
          </w:tcPr>
          <w:p w14:paraId="6521A096" w14:textId="2824C4A2" w:rsidR="00127CA8" w:rsidRPr="00F07779" w:rsidRDefault="009A539A" w:rsidP="009A03AE">
            <w:pPr>
              <w:rPr>
                <w:sz w:val="22"/>
                <w:szCs w:val="22"/>
              </w:rPr>
            </w:pPr>
            <w:r w:rsidRPr="00F07779">
              <w:rPr>
                <w:sz w:val="22"/>
                <w:szCs w:val="22"/>
              </w:rPr>
              <w:lastRenderedPageBreak/>
              <w:t>Heat energy sector</w:t>
            </w:r>
          </w:p>
        </w:tc>
        <w:tc>
          <w:tcPr>
            <w:tcW w:w="308" w:type="pct"/>
            <w:vAlign w:val="center"/>
          </w:tcPr>
          <w:p w14:paraId="561A8AE2" w14:textId="77777777" w:rsidR="00127CA8" w:rsidRPr="00F07779" w:rsidRDefault="00127CA8" w:rsidP="003B4095">
            <w:pPr>
              <w:jc w:val="right"/>
              <w:rPr>
                <w:sz w:val="22"/>
                <w:szCs w:val="22"/>
              </w:rPr>
            </w:pPr>
            <w:r w:rsidRPr="00F07779">
              <w:rPr>
                <w:sz w:val="22"/>
                <w:szCs w:val="22"/>
              </w:rPr>
              <w:t>1</w:t>
            </w:r>
          </w:p>
        </w:tc>
        <w:tc>
          <w:tcPr>
            <w:tcW w:w="294" w:type="pct"/>
            <w:vAlign w:val="center"/>
          </w:tcPr>
          <w:p w14:paraId="534EEB9F" w14:textId="77777777" w:rsidR="00127CA8" w:rsidRPr="00F07779" w:rsidRDefault="00127CA8" w:rsidP="003B4095">
            <w:pPr>
              <w:jc w:val="right"/>
              <w:rPr>
                <w:sz w:val="22"/>
                <w:szCs w:val="22"/>
              </w:rPr>
            </w:pPr>
          </w:p>
        </w:tc>
        <w:tc>
          <w:tcPr>
            <w:tcW w:w="308" w:type="pct"/>
            <w:vAlign w:val="center"/>
          </w:tcPr>
          <w:p w14:paraId="15B225B4" w14:textId="77777777" w:rsidR="00127CA8" w:rsidRPr="00F07779" w:rsidRDefault="00127CA8" w:rsidP="003B4095">
            <w:pPr>
              <w:jc w:val="right"/>
              <w:rPr>
                <w:sz w:val="22"/>
                <w:szCs w:val="22"/>
              </w:rPr>
            </w:pPr>
          </w:p>
        </w:tc>
        <w:tc>
          <w:tcPr>
            <w:tcW w:w="474" w:type="pct"/>
            <w:vAlign w:val="center"/>
          </w:tcPr>
          <w:p w14:paraId="6E5D364A" w14:textId="77777777" w:rsidR="00127CA8" w:rsidRPr="00F07779" w:rsidRDefault="00127CA8" w:rsidP="003B4095">
            <w:pPr>
              <w:jc w:val="right"/>
              <w:rPr>
                <w:sz w:val="22"/>
                <w:szCs w:val="22"/>
              </w:rPr>
            </w:pPr>
            <w:r w:rsidRPr="00F07779">
              <w:rPr>
                <w:sz w:val="22"/>
                <w:szCs w:val="22"/>
              </w:rPr>
              <w:t>1</w:t>
            </w:r>
          </w:p>
        </w:tc>
        <w:tc>
          <w:tcPr>
            <w:tcW w:w="351" w:type="pct"/>
            <w:vAlign w:val="center"/>
          </w:tcPr>
          <w:p w14:paraId="484ABE89" w14:textId="118A596A" w:rsidR="00127CA8" w:rsidRPr="00F07779" w:rsidRDefault="00127CA8" w:rsidP="003B4095">
            <w:pPr>
              <w:jc w:val="right"/>
              <w:rPr>
                <w:sz w:val="22"/>
                <w:szCs w:val="22"/>
              </w:rPr>
            </w:pPr>
            <w:r w:rsidRPr="00F07779">
              <w:rPr>
                <w:sz w:val="22"/>
                <w:szCs w:val="22"/>
              </w:rPr>
              <w:t>14</w:t>
            </w:r>
          </w:p>
        </w:tc>
        <w:tc>
          <w:tcPr>
            <w:tcW w:w="321" w:type="pct"/>
            <w:vAlign w:val="center"/>
          </w:tcPr>
          <w:p w14:paraId="767C6309" w14:textId="02C85A11" w:rsidR="00127CA8" w:rsidRPr="00F07779" w:rsidRDefault="00127CA8" w:rsidP="003B4095">
            <w:pPr>
              <w:jc w:val="right"/>
              <w:rPr>
                <w:sz w:val="22"/>
                <w:szCs w:val="22"/>
              </w:rPr>
            </w:pPr>
            <w:r w:rsidRPr="00F07779">
              <w:rPr>
                <w:sz w:val="22"/>
                <w:szCs w:val="22"/>
              </w:rPr>
              <w:t>16</w:t>
            </w:r>
          </w:p>
        </w:tc>
      </w:tr>
      <w:tr w:rsidR="00127CA8" w:rsidRPr="00F07779" w14:paraId="55C38E3E" w14:textId="77777777" w:rsidTr="003B4095">
        <w:tc>
          <w:tcPr>
            <w:tcW w:w="2943" w:type="pct"/>
            <w:vAlign w:val="center"/>
          </w:tcPr>
          <w:p w14:paraId="489CD71A" w14:textId="13157023" w:rsidR="00127CA8" w:rsidRPr="00F07779" w:rsidRDefault="009A539A" w:rsidP="008C421D">
            <w:pPr>
              <w:rPr>
                <w:sz w:val="22"/>
                <w:szCs w:val="22"/>
              </w:rPr>
            </w:pPr>
            <w:r w:rsidRPr="00F07779">
              <w:rPr>
                <w:sz w:val="22"/>
                <w:szCs w:val="22"/>
              </w:rPr>
              <w:t xml:space="preserve">RES </w:t>
            </w:r>
          </w:p>
        </w:tc>
        <w:tc>
          <w:tcPr>
            <w:tcW w:w="308" w:type="pct"/>
            <w:vAlign w:val="center"/>
          </w:tcPr>
          <w:p w14:paraId="43F4E526" w14:textId="1E7ADBCD" w:rsidR="00127CA8" w:rsidRPr="00F07779" w:rsidRDefault="00127CA8" w:rsidP="003B4095">
            <w:pPr>
              <w:jc w:val="right"/>
              <w:rPr>
                <w:sz w:val="22"/>
                <w:szCs w:val="22"/>
              </w:rPr>
            </w:pPr>
            <w:r w:rsidRPr="00F07779">
              <w:rPr>
                <w:sz w:val="22"/>
                <w:szCs w:val="22"/>
              </w:rPr>
              <w:t>1</w:t>
            </w:r>
          </w:p>
        </w:tc>
        <w:tc>
          <w:tcPr>
            <w:tcW w:w="294" w:type="pct"/>
            <w:vAlign w:val="center"/>
          </w:tcPr>
          <w:p w14:paraId="2507C171" w14:textId="6A4F1206" w:rsidR="00127CA8" w:rsidRPr="00F07779" w:rsidRDefault="00127CA8" w:rsidP="003B4095">
            <w:pPr>
              <w:jc w:val="right"/>
              <w:rPr>
                <w:sz w:val="22"/>
                <w:szCs w:val="22"/>
              </w:rPr>
            </w:pPr>
            <w:r w:rsidRPr="00F07779">
              <w:rPr>
                <w:sz w:val="22"/>
                <w:szCs w:val="22"/>
              </w:rPr>
              <w:t>3</w:t>
            </w:r>
          </w:p>
        </w:tc>
        <w:tc>
          <w:tcPr>
            <w:tcW w:w="308" w:type="pct"/>
            <w:vAlign w:val="center"/>
          </w:tcPr>
          <w:p w14:paraId="3594CF56" w14:textId="7673661D" w:rsidR="00127CA8" w:rsidRPr="00F07779" w:rsidRDefault="00127CA8" w:rsidP="003B4095">
            <w:pPr>
              <w:jc w:val="right"/>
              <w:rPr>
                <w:sz w:val="22"/>
                <w:szCs w:val="22"/>
              </w:rPr>
            </w:pPr>
            <w:r w:rsidRPr="00F07779">
              <w:rPr>
                <w:sz w:val="22"/>
                <w:szCs w:val="22"/>
              </w:rPr>
              <w:t>1</w:t>
            </w:r>
          </w:p>
        </w:tc>
        <w:tc>
          <w:tcPr>
            <w:tcW w:w="474" w:type="pct"/>
            <w:vAlign w:val="center"/>
          </w:tcPr>
          <w:p w14:paraId="28E2F46E" w14:textId="442162FE" w:rsidR="00127CA8" w:rsidRPr="00F07779" w:rsidRDefault="00127CA8" w:rsidP="003B4095">
            <w:pPr>
              <w:jc w:val="right"/>
              <w:rPr>
                <w:sz w:val="22"/>
                <w:szCs w:val="22"/>
              </w:rPr>
            </w:pPr>
            <w:r w:rsidRPr="00F07779">
              <w:rPr>
                <w:sz w:val="22"/>
                <w:szCs w:val="22"/>
              </w:rPr>
              <w:t>2</w:t>
            </w:r>
          </w:p>
        </w:tc>
        <w:tc>
          <w:tcPr>
            <w:tcW w:w="351" w:type="pct"/>
            <w:vAlign w:val="center"/>
          </w:tcPr>
          <w:p w14:paraId="7FE18C04" w14:textId="4FDF78DF" w:rsidR="00127CA8" w:rsidRPr="00F07779" w:rsidRDefault="00127CA8" w:rsidP="003B4095">
            <w:pPr>
              <w:jc w:val="right"/>
              <w:rPr>
                <w:sz w:val="22"/>
                <w:szCs w:val="22"/>
              </w:rPr>
            </w:pPr>
            <w:r w:rsidRPr="00F07779">
              <w:rPr>
                <w:sz w:val="22"/>
                <w:szCs w:val="22"/>
              </w:rPr>
              <w:t>3</w:t>
            </w:r>
          </w:p>
        </w:tc>
        <w:tc>
          <w:tcPr>
            <w:tcW w:w="321" w:type="pct"/>
            <w:vAlign w:val="center"/>
          </w:tcPr>
          <w:p w14:paraId="0AC57FC6" w14:textId="4B2CF19B" w:rsidR="00127CA8" w:rsidRPr="00F07779" w:rsidRDefault="00127CA8" w:rsidP="003B4095">
            <w:pPr>
              <w:jc w:val="right"/>
              <w:rPr>
                <w:sz w:val="22"/>
                <w:szCs w:val="22"/>
              </w:rPr>
            </w:pPr>
            <w:r w:rsidRPr="00F07779">
              <w:rPr>
                <w:sz w:val="22"/>
                <w:szCs w:val="22"/>
              </w:rPr>
              <w:t>10</w:t>
            </w:r>
          </w:p>
        </w:tc>
      </w:tr>
      <w:tr w:rsidR="00127CA8" w:rsidRPr="00F07779" w14:paraId="5622F492" w14:textId="77777777" w:rsidTr="003B4095">
        <w:tc>
          <w:tcPr>
            <w:tcW w:w="2943" w:type="pct"/>
            <w:vAlign w:val="center"/>
          </w:tcPr>
          <w:p w14:paraId="4A34CD05" w14:textId="35AEEF0C" w:rsidR="00127CA8" w:rsidRPr="00F07779" w:rsidRDefault="009A539A" w:rsidP="008C421D">
            <w:pPr>
              <w:rPr>
                <w:sz w:val="22"/>
                <w:szCs w:val="22"/>
              </w:rPr>
            </w:pPr>
            <w:r w:rsidRPr="00F07779">
              <w:rPr>
                <w:sz w:val="22"/>
                <w:szCs w:val="22"/>
              </w:rPr>
              <w:t>Energy efficiency</w:t>
            </w:r>
          </w:p>
        </w:tc>
        <w:tc>
          <w:tcPr>
            <w:tcW w:w="308" w:type="pct"/>
            <w:vAlign w:val="center"/>
          </w:tcPr>
          <w:p w14:paraId="66AA1341" w14:textId="163DA50C" w:rsidR="00127CA8" w:rsidRPr="00F07779" w:rsidRDefault="00127CA8" w:rsidP="003B4095">
            <w:pPr>
              <w:jc w:val="right"/>
              <w:rPr>
                <w:sz w:val="22"/>
                <w:szCs w:val="22"/>
              </w:rPr>
            </w:pPr>
            <w:r w:rsidRPr="00F07779">
              <w:rPr>
                <w:sz w:val="22"/>
                <w:szCs w:val="22"/>
              </w:rPr>
              <w:t>1</w:t>
            </w:r>
          </w:p>
        </w:tc>
        <w:tc>
          <w:tcPr>
            <w:tcW w:w="294" w:type="pct"/>
            <w:vAlign w:val="center"/>
          </w:tcPr>
          <w:p w14:paraId="25B187AC" w14:textId="77777777" w:rsidR="00127CA8" w:rsidRPr="00F07779" w:rsidRDefault="00127CA8" w:rsidP="003B4095">
            <w:pPr>
              <w:jc w:val="right"/>
              <w:rPr>
                <w:sz w:val="22"/>
                <w:szCs w:val="22"/>
              </w:rPr>
            </w:pPr>
          </w:p>
        </w:tc>
        <w:tc>
          <w:tcPr>
            <w:tcW w:w="308" w:type="pct"/>
            <w:vAlign w:val="center"/>
          </w:tcPr>
          <w:p w14:paraId="26AE89E8" w14:textId="55F179C0" w:rsidR="00127CA8" w:rsidRPr="00F07779" w:rsidRDefault="00127CA8" w:rsidP="003B4095">
            <w:pPr>
              <w:jc w:val="right"/>
              <w:rPr>
                <w:sz w:val="22"/>
                <w:szCs w:val="22"/>
              </w:rPr>
            </w:pPr>
            <w:r w:rsidRPr="00F07779">
              <w:rPr>
                <w:sz w:val="22"/>
                <w:szCs w:val="22"/>
              </w:rPr>
              <w:t>3</w:t>
            </w:r>
          </w:p>
        </w:tc>
        <w:tc>
          <w:tcPr>
            <w:tcW w:w="474" w:type="pct"/>
            <w:vAlign w:val="center"/>
          </w:tcPr>
          <w:p w14:paraId="10ED5A82" w14:textId="77777777" w:rsidR="00127CA8" w:rsidRPr="00F07779" w:rsidRDefault="00127CA8" w:rsidP="003B4095">
            <w:pPr>
              <w:jc w:val="right"/>
              <w:rPr>
                <w:sz w:val="22"/>
                <w:szCs w:val="22"/>
              </w:rPr>
            </w:pPr>
          </w:p>
        </w:tc>
        <w:tc>
          <w:tcPr>
            <w:tcW w:w="351" w:type="pct"/>
            <w:vAlign w:val="center"/>
          </w:tcPr>
          <w:p w14:paraId="67E4B1C9" w14:textId="2BD8A407" w:rsidR="00127CA8" w:rsidRPr="00F07779" w:rsidRDefault="00127CA8" w:rsidP="003B4095">
            <w:pPr>
              <w:jc w:val="right"/>
              <w:rPr>
                <w:sz w:val="22"/>
                <w:szCs w:val="22"/>
              </w:rPr>
            </w:pPr>
            <w:r w:rsidRPr="00F07779">
              <w:rPr>
                <w:sz w:val="22"/>
                <w:szCs w:val="22"/>
              </w:rPr>
              <w:t>20</w:t>
            </w:r>
          </w:p>
        </w:tc>
        <w:tc>
          <w:tcPr>
            <w:tcW w:w="321" w:type="pct"/>
            <w:vAlign w:val="center"/>
          </w:tcPr>
          <w:p w14:paraId="4B855BE3" w14:textId="31195BE3" w:rsidR="00127CA8" w:rsidRPr="00F07779" w:rsidRDefault="00127CA8" w:rsidP="003B4095">
            <w:pPr>
              <w:jc w:val="right"/>
              <w:rPr>
                <w:sz w:val="22"/>
                <w:szCs w:val="22"/>
              </w:rPr>
            </w:pPr>
            <w:r w:rsidRPr="00F07779">
              <w:rPr>
                <w:sz w:val="22"/>
                <w:szCs w:val="22"/>
              </w:rPr>
              <w:t>24</w:t>
            </w:r>
          </w:p>
        </w:tc>
      </w:tr>
      <w:tr w:rsidR="00127CA8" w:rsidRPr="00F07779" w14:paraId="1B34FDE1" w14:textId="77777777" w:rsidTr="003B4095">
        <w:tc>
          <w:tcPr>
            <w:tcW w:w="2943" w:type="pct"/>
            <w:vAlign w:val="center"/>
          </w:tcPr>
          <w:p w14:paraId="160D6E77" w14:textId="1BB47BEA" w:rsidR="00127CA8" w:rsidRPr="00F07779" w:rsidRDefault="009A539A" w:rsidP="009A03AE">
            <w:pPr>
              <w:rPr>
                <w:sz w:val="22"/>
                <w:szCs w:val="22"/>
              </w:rPr>
            </w:pPr>
            <w:r w:rsidRPr="00F07779">
              <w:rPr>
                <w:sz w:val="22"/>
                <w:szCs w:val="22"/>
              </w:rPr>
              <w:t>Natural gas sector</w:t>
            </w:r>
          </w:p>
        </w:tc>
        <w:tc>
          <w:tcPr>
            <w:tcW w:w="308" w:type="pct"/>
            <w:vAlign w:val="center"/>
          </w:tcPr>
          <w:p w14:paraId="1C539483" w14:textId="3772D827" w:rsidR="00127CA8" w:rsidRPr="00F07779" w:rsidRDefault="00127CA8" w:rsidP="003B4095">
            <w:pPr>
              <w:jc w:val="right"/>
              <w:rPr>
                <w:sz w:val="22"/>
                <w:szCs w:val="22"/>
              </w:rPr>
            </w:pPr>
          </w:p>
        </w:tc>
        <w:tc>
          <w:tcPr>
            <w:tcW w:w="294" w:type="pct"/>
            <w:vAlign w:val="center"/>
          </w:tcPr>
          <w:p w14:paraId="4D7531CB" w14:textId="77777777" w:rsidR="00127CA8" w:rsidRPr="00F07779" w:rsidRDefault="00127CA8" w:rsidP="003B4095">
            <w:pPr>
              <w:jc w:val="right"/>
              <w:rPr>
                <w:sz w:val="22"/>
                <w:szCs w:val="22"/>
              </w:rPr>
            </w:pPr>
          </w:p>
        </w:tc>
        <w:tc>
          <w:tcPr>
            <w:tcW w:w="308" w:type="pct"/>
            <w:vAlign w:val="center"/>
          </w:tcPr>
          <w:p w14:paraId="2404082C" w14:textId="77777777" w:rsidR="00127CA8" w:rsidRPr="00F07779" w:rsidRDefault="00127CA8" w:rsidP="003B4095">
            <w:pPr>
              <w:jc w:val="right"/>
              <w:rPr>
                <w:sz w:val="22"/>
                <w:szCs w:val="22"/>
              </w:rPr>
            </w:pPr>
          </w:p>
        </w:tc>
        <w:tc>
          <w:tcPr>
            <w:tcW w:w="474" w:type="pct"/>
            <w:vAlign w:val="center"/>
          </w:tcPr>
          <w:p w14:paraId="49BA4824" w14:textId="77777777" w:rsidR="00127CA8" w:rsidRPr="00F07779" w:rsidRDefault="00127CA8" w:rsidP="003B4095">
            <w:pPr>
              <w:jc w:val="right"/>
              <w:rPr>
                <w:sz w:val="22"/>
                <w:szCs w:val="22"/>
              </w:rPr>
            </w:pPr>
            <w:r w:rsidRPr="00F07779">
              <w:rPr>
                <w:sz w:val="22"/>
                <w:szCs w:val="22"/>
              </w:rPr>
              <w:t>1</w:t>
            </w:r>
          </w:p>
        </w:tc>
        <w:tc>
          <w:tcPr>
            <w:tcW w:w="351" w:type="pct"/>
            <w:vAlign w:val="center"/>
          </w:tcPr>
          <w:p w14:paraId="47F93C58" w14:textId="740A21ED" w:rsidR="00127CA8" w:rsidRPr="00F07779" w:rsidRDefault="00127CA8" w:rsidP="003B4095">
            <w:pPr>
              <w:jc w:val="right"/>
              <w:rPr>
                <w:sz w:val="22"/>
                <w:szCs w:val="22"/>
              </w:rPr>
            </w:pPr>
            <w:r w:rsidRPr="00F07779">
              <w:rPr>
                <w:sz w:val="22"/>
                <w:szCs w:val="22"/>
              </w:rPr>
              <w:t>11</w:t>
            </w:r>
          </w:p>
        </w:tc>
        <w:tc>
          <w:tcPr>
            <w:tcW w:w="321" w:type="pct"/>
            <w:vAlign w:val="center"/>
          </w:tcPr>
          <w:p w14:paraId="3F8CE4DE" w14:textId="4BDB2B35" w:rsidR="00127CA8" w:rsidRPr="00F07779" w:rsidRDefault="00B80FDD" w:rsidP="003B4095">
            <w:pPr>
              <w:jc w:val="right"/>
              <w:rPr>
                <w:sz w:val="22"/>
                <w:szCs w:val="22"/>
              </w:rPr>
            </w:pPr>
            <w:r w:rsidRPr="00F07779">
              <w:rPr>
                <w:sz w:val="22"/>
                <w:szCs w:val="22"/>
              </w:rPr>
              <w:t>12</w:t>
            </w:r>
          </w:p>
        </w:tc>
      </w:tr>
      <w:tr w:rsidR="00127CA8" w:rsidRPr="00F07779" w14:paraId="3DD9C5DD" w14:textId="77777777" w:rsidTr="003B4095">
        <w:tc>
          <w:tcPr>
            <w:tcW w:w="2943" w:type="pct"/>
            <w:vAlign w:val="center"/>
          </w:tcPr>
          <w:p w14:paraId="5AFC636C" w14:textId="2E85870E" w:rsidR="00127CA8" w:rsidRPr="00F07779" w:rsidRDefault="009A539A" w:rsidP="009A03AE">
            <w:pPr>
              <w:rPr>
                <w:sz w:val="22"/>
                <w:szCs w:val="22"/>
              </w:rPr>
            </w:pPr>
            <w:r w:rsidRPr="00F07779">
              <w:rPr>
                <w:sz w:val="22"/>
                <w:szCs w:val="22"/>
              </w:rPr>
              <w:t>Oil sector</w:t>
            </w:r>
          </w:p>
        </w:tc>
        <w:tc>
          <w:tcPr>
            <w:tcW w:w="308" w:type="pct"/>
            <w:vAlign w:val="center"/>
          </w:tcPr>
          <w:p w14:paraId="1F7F1967" w14:textId="32155E55" w:rsidR="00127CA8" w:rsidRPr="00F07779" w:rsidRDefault="00127CA8" w:rsidP="003B4095">
            <w:pPr>
              <w:jc w:val="right"/>
              <w:rPr>
                <w:sz w:val="22"/>
                <w:szCs w:val="22"/>
              </w:rPr>
            </w:pPr>
          </w:p>
        </w:tc>
        <w:tc>
          <w:tcPr>
            <w:tcW w:w="294" w:type="pct"/>
            <w:vAlign w:val="center"/>
          </w:tcPr>
          <w:p w14:paraId="69FE3EDC" w14:textId="77777777" w:rsidR="00127CA8" w:rsidRPr="00F07779" w:rsidRDefault="00127CA8" w:rsidP="003B4095">
            <w:pPr>
              <w:jc w:val="right"/>
              <w:rPr>
                <w:sz w:val="22"/>
                <w:szCs w:val="22"/>
              </w:rPr>
            </w:pPr>
          </w:p>
        </w:tc>
        <w:tc>
          <w:tcPr>
            <w:tcW w:w="308" w:type="pct"/>
            <w:vAlign w:val="center"/>
          </w:tcPr>
          <w:p w14:paraId="59BE71D6" w14:textId="77777777" w:rsidR="00127CA8" w:rsidRPr="00F07779" w:rsidRDefault="00127CA8" w:rsidP="003B4095">
            <w:pPr>
              <w:jc w:val="right"/>
              <w:rPr>
                <w:sz w:val="22"/>
                <w:szCs w:val="22"/>
              </w:rPr>
            </w:pPr>
          </w:p>
        </w:tc>
        <w:tc>
          <w:tcPr>
            <w:tcW w:w="474" w:type="pct"/>
            <w:vAlign w:val="center"/>
          </w:tcPr>
          <w:p w14:paraId="7A21F881" w14:textId="77777777" w:rsidR="00127CA8" w:rsidRPr="00F07779" w:rsidRDefault="00127CA8" w:rsidP="003B4095">
            <w:pPr>
              <w:jc w:val="right"/>
              <w:rPr>
                <w:sz w:val="22"/>
                <w:szCs w:val="22"/>
              </w:rPr>
            </w:pPr>
          </w:p>
        </w:tc>
        <w:tc>
          <w:tcPr>
            <w:tcW w:w="351" w:type="pct"/>
            <w:vAlign w:val="center"/>
          </w:tcPr>
          <w:p w14:paraId="40EB510C" w14:textId="77777777" w:rsidR="00127CA8" w:rsidRPr="00F07779" w:rsidRDefault="00127CA8" w:rsidP="003B4095">
            <w:pPr>
              <w:jc w:val="right"/>
              <w:rPr>
                <w:sz w:val="22"/>
                <w:szCs w:val="22"/>
              </w:rPr>
            </w:pPr>
            <w:r w:rsidRPr="00F07779">
              <w:rPr>
                <w:sz w:val="22"/>
                <w:szCs w:val="22"/>
              </w:rPr>
              <w:t>4</w:t>
            </w:r>
          </w:p>
        </w:tc>
        <w:tc>
          <w:tcPr>
            <w:tcW w:w="321" w:type="pct"/>
            <w:vAlign w:val="center"/>
          </w:tcPr>
          <w:p w14:paraId="1E910E2E" w14:textId="78D0A0B1" w:rsidR="00127CA8" w:rsidRPr="00F07779" w:rsidRDefault="00B80FDD" w:rsidP="003B4095">
            <w:pPr>
              <w:jc w:val="right"/>
              <w:rPr>
                <w:sz w:val="22"/>
                <w:szCs w:val="22"/>
              </w:rPr>
            </w:pPr>
            <w:r w:rsidRPr="00F07779">
              <w:rPr>
                <w:sz w:val="22"/>
                <w:szCs w:val="22"/>
              </w:rPr>
              <w:t>4</w:t>
            </w:r>
          </w:p>
        </w:tc>
      </w:tr>
      <w:tr w:rsidR="00127CA8" w:rsidRPr="00F07779" w14:paraId="3AD61FB6" w14:textId="77777777" w:rsidTr="003B4095">
        <w:tc>
          <w:tcPr>
            <w:tcW w:w="2943" w:type="pct"/>
            <w:vAlign w:val="center"/>
          </w:tcPr>
          <w:p w14:paraId="6688903E" w14:textId="61FE1457" w:rsidR="00127CA8" w:rsidRPr="00F07779" w:rsidRDefault="009A539A" w:rsidP="009A03AE">
            <w:pPr>
              <w:rPr>
                <w:sz w:val="22"/>
                <w:szCs w:val="22"/>
              </w:rPr>
            </w:pPr>
            <w:r w:rsidRPr="00F07779">
              <w:rPr>
                <w:sz w:val="22"/>
                <w:szCs w:val="22"/>
              </w:rPr>
              <w:t xml:space="preserve">Coal </w:t>
            </w:r>
            <w:proofErr w:type="spellStart"/>
            <w:r w:rsidRPr="00F07779">
              <w:rPr>
                <w:sz w:val="22"/>
                <w:szCs w:val="22"/>
              </w:rPr>
              <w:t>secor</w:t>
            </w:r>
            <w:proofErr w:type="spellEnd"/>
          </w:p>
        </w:tc>
        <w:tc>
          <w:tcPr>
            <w:tcW w:w="308" w:type="pct"/>
            <w:vAlign w:val="center"/>
          </w:tcPr>
          <w:p w14:paraId="20127603" w14:textId="77777777" w:rsidR="00127CA8" w:rsidRPr="00F07779" w:rsidRDefault="00127CA8" w:rsidP="003B4095">
            <w:pPr>
              <w:jc w:val="right"/>
              <w:rPr>
                <w:sz w:val="22"/>
                <w:szCs w:val="22"/>
              </w:rPr>
            </w:pPr>
          </w:p>
        </w:tc>
        <w:tc>
          <w:tcPr>
            <w:tcW w:w="294" w:type="pct"/>
            <w:vAlign w:val="center"/>
          </w:tcPr>
          <w:p w14:paraId="7F46229C" w14:textId="77777777" w:rsidR="00127CA8" w:rsidRPr="00F07779" w:rsidRDefault="00127CA8" w:rsidP="003B4095">
            <w:pPr>
              <w:jc w:val="right"/>
              <w:rPr>
                <w:sz w:val="22"/>
                <w:szCs w:val="22"/>
              </w:rPr>
            </w:pPr>
          </w:p>
        </w:tc>
        <w:tc>
          <w:tcPr>
            <w:tcW w:w="308" w:type="pct"/>
            <w:vAlign w:val="center"/>
          </w:tcPr>
          <w:p w14:paraId="40AAAC7D" w14:textId="77777777" w:rsidR="00127CA8" w:rsidRPr="00F07779" w:rsidRDefault="00127CA8" w:rsidP="003B4095">
            <w:pPr>
              <w:jc w:val="right"/>
              <w:rPr>
                <w:sz w:val="22"/>
                <w:szCs w:val="22"/>
              </w:rPr>
            </w:pPr>
          </w:p>
        </w:tc>
        <w:tc>
          <w:tcPr>
            <w:tcW w:w="474" w:type="pct"/>
            <w:vAlign w:val="center"/>
          </w:tcPr>
          <w:p w14:paraId="6EA80DF3" w14:textId="77777777" w:rsidR="00127CA8" w:rsidRPr="00F07779" w:rsidRDefault="00127CA8" w:rsidP="003B4095">
            <w:pPr>
              <w:jc w:val="right"/>
              <w:rPr>
                <w:sz w:val="22"/>
                <w:szCs w:val="22"/>
              </w:rPr>
            </w:pPr>
          </w:p>
        </w:tc>
        <w:tc>
          <w:tcPr>
            <w:tcW w:w="351" w:type="pct"/>
            <w:vAlign w:val="center"/>
          </w:tcPr>
          <w:p w14:paraId="772C24EE" w14:textId="77777777" w:rsidR="00127CA8" w:rsidRPr="00F07779" w:rsidRDefault="00127CA8" w:rsidP="003B4095">
            <w:pPr>
              <w:jc w:val="right"/>
              <w:rPr>
                <w:sz w:val="22"/>
                <w:szCs w:val="22"/>
              </w:rPr>
            </w:pPr>
            <w:r w:rsidRPr="00F07779">
              <w:rPr>
                <w:sz w:val="22"/>
                <w:szCs w:val="22"/>
              </w:rPr>
              <w:t>10</w:t>
            </w:r>
          </w:p>
        </w:tc>
        <w:tc>
          <w:tcPr>
            <w:tcW w:w="321" w:type="pct"/>
            <w:vAlign w:val="center"/>
          </w:tcPr>
          <w:p w14:paraId="7391C8ED" w14:textId="77777777" w:rsidR="00127CA8" w:rsidRPr="00F07779" w:rsidRDefault="00127CA8" w:rsidP="003B4095">
            <w:pPr>
              <w:jc w:val="right"/>
              <w:rPr>
                <w:sz w:val="22"/>
                <w:szCs w:val="22"/>
              </w:rPr>
            </w:pPr>
            <w:r w:rsidRPr="00F07779">
              <w:rPr>
                <w:sz w:val="22"/>
                <w:szCs w:val="22"/>
              </w:rPr>
              <w:t>10</w:t>
            </w:r>
          </w:p>
        </w:tc>
      </w:tr>
      <w:tr w:rsidR="00127CA8" w:rsidRPr="00F07779" w14:paraId="692D6433" w14:textId="77777777" w:rsidTr="003B4095">
        <w:trPr>
          <w:trHeight w:val="417"/>
        </w:trPr>
        <w:tc>
          <w:tcPr>
            <w:tcW w:w="2943" w:type="pct"/>
            <w:vAlign w:val="center"/>
          </w:tcPr>
          <w:p w14:paraId="438B6D72" w14:textId="7F010848" w:rsidR="00127CA8" w:rsidRPr="00F07779" w:rsidRDefault="009A539A" w:rsidP="009A03AE">
            <w:pPr>
              <w:rPr>
                <w:sz w:val="22"/>
                <w:szCs w:val="22"/>
              </w:rPr>
            </w:pPr>
            <w:r w:rsidRPr="00F07779">
              <w:rPr>
                <w:sz w:val="22"/>
                <w:szCs w:val="22"/>
              </w:rPr>
              <w:t>Just transition and energy poverty</w:t>
            </w:r>
          </w:p>
        </w:tc>
        <w:tc>
          <w:tcPr>
            <w:tcW w:w="308" w:type="pct"/>
            <w:vAlign w:val="center"/>
          </w:tcPr>
          <w:p w14:paraId="56F29092" w14:textId="77777777" w:rsidR="00127CA8" w:rsidRPr="00F07779" w:rsidRDefault="00127CA8" w:rsidP="003B4095">
            <w:pPr>
              <w:jc w:val="right"/>
              <w:rPr>
                <w:sz w:val="22"/>
                <w:szCs w:val="22"/>
              </w:rPr>
            </w:pPr>
            <w:r w:rsidRPr="00F07779">
              <w:rPr>
                <w:sz w:val="22"/>
                <w:szCs w:val="22"/>
              </w:rPr>
              <w:t>2</w:t>
            </w:r>
          </w:p>
        </w:tc>
        <w:tc>
          <w:tcPr>
            <w:tcW w:w="294" w:type="pct"/>
            <w:vAlign w:val="center"/>
          </w:tcPr>
          <w:p w14:paraId="32A108EE" w14:textId="77777777" w:rsidR="00127CA8" w:rsidRPr="00F07779" w:rsidRDefault="00127CA8" w:rsidP="003B4095">
            <w:pPr>
              <w:snapToGrid w:val="0"/>
              <w:jc w:val="right"/>
              <w:rPr>
                <w:sz w:val="22"/>
                <w:szCs w:val="22"/>
              </w:rPr>
            </w:pPr>
          </w:p>
        </w:tc>
        <w:tc>
          <w:tcPr>
            <w:tcW w:w="308" w:type="pct"/>
            <w:vAlign w:val="center"/>
          </w:tcPr>
          <w:p w14:paraId="66E06EC5" w14:textId="77777777" w:rsidR="00127CA8" w:rsidRPr="00F07779" w:rsidRDefault="00127CA8" w:rsidP="003B4095">
            <w:pPr>
              <w:jc w:val="right"/>
              <w:rPr>
                <w:sz w:val="22"/>
                <w:szCs w:val="22"/>
              </w:rPr>
            </w:pPr>
          </w:p>
        </w:tc>
        <w:tc>
          <w:tcPr>
            <w:tcW w:w="474" w:type="pct"/>
            <w:vAlign w:val="center"/>
          </w:tcPr>
          <w:p w14:paraId="4B067360" w14:textId="77777777" w:rsidR="00127CA8" w:rsidRPr="00F07779" w:rsidRDefault="00127CA8" w:rsidP="003B4095">
            <w:pPr>
              <w:jc w:val="right"/>
              <w:rPr>
                <w:sz w:val="22"/>
                <w:szCs w:val="22"/>
              </w:rPr>
            </w:pPr>
            <w:r w:rsidRPr="00F07779">
              <w:rPr>
                <w:sz w:val="22"/>
                <w:szCs w:val="22"/>
              </w:rPr>
              <w:t>2</w:t>
            </w:r>
          </w:p>
        </w:tc>
        <w:tc>
          <w:tcPr>
            <w:tcW w:w="351" w:type="pct"/>
            <w:vAlign w:val="center"/>
          </w:tcPr>
          <w:p w14:paraId="7978D7CB" w14:textId="77777777" w:rsidR="00127CA8" w:rsidRPr="00F07779" w:rsidRDefault="00127CA8" w:rsidP="003B4095">
            <w:pPr>
              <w:jc w:val="right"/>
              <w:rPr>
                <w:sz w:val="22"/>
                <w:szCs w:val="22"/>
              </w:rPr>
            </w:pPr>
          </w:p>
        </w:tc>
        <w:tc>
          <w:tcPr>
            <w:tcW w:w="321" w:type="pct"/>
            <w:vAlign w:val="center"/>
          </w:tcPr>
          <w:p w14:paraId="2BFB77BD" w14:textId="77777777" w:rsidR="00127CA8" w:rsidRPr="00F07779" w:rsidRDefault="00127CA8" w:rsidP="003B4095">
            <w:pPr>
              <w:jc w:val="right"/>
              <w:rPr>
                <w:sz w:val="22"/>
                <w:szCs w:val="22"/>
              </w:rPr>
            </w:pPr>
            <w:r w:rsidRPr="00F07779">
              <w:rPr>
                <w:sz w:val="22"/>
                <w:szCs w:val="22"/>
              </w:rPr>
              <w:t>4</w:t>
            </w:r>
          </w:p>
        </w:tc>
      </w:tr>
      <w:tr w:rsidR="00127CA8" w:rsidRPr="00F07779" w14:paraId="55C00305" w14:textId="77777777" w:rsidTr="003B4095">
        <w:trPr>
          <w:trHeight w:val="417"/>
        </w:trPr>
        <w:tc>
          <w:tcPr>
            <w:tcW w:w="2943" w:type="pct"/>
            <w:vAlign w:val="center"/>
          </w:tcPr>
          <w:p w14:paraId="0D69F0DE" w14:textId="74A3EB52" w:rsidR="00127CA8" w:rsidRPr="00F07779" w:rsidRDefault="009A539A" w:rsidP="00127CA8">
            <w:pPr>
              <w:rPr>
                <w:sz w:val="22"/>
                <w:szCs w:val="22"/>
              </w:rPr>
            </w:pPr>
            <w:r w:rsidRPr="00F07779">
              <w:rPr>
                <w:sz w:val="22"/>
                <w:szCs w:val="22"/>
              </w:rPr>
              <w:t>Total</w:t>
            </w:r>
          </w:p>
        </w:tc>
        <w:tc>
          <w:tcPr>
            <w:tcW w:w="308" w:type="pct"/>
            <w:vAlign w:val="center"/>
          </w:tcPr>
          <w:p w14:paraId="344A1D30" w14:textId="76B1A0E1" w:rsidR="00127CA8" w:rsidRPr="00F07779" w:rsidRDefault="0095439A" w:rsidP="003B4095">
            <w:pPr>
              <w:jc w:val="right"/>
              <w:rPr>
                <w:b/>
                <w:bCs/>
                <w:sz w:val="22"/>
                <w:szCs w:val="22"/>
              </w:rPr>
            </w:pPr>
            <w:r w:rsidRPr="00F07779">
              <w:rPr>
                <w:b/>
                <w:bCs/>
                <w:color w:val="000000"/>
              </w:rPr>
              <w:t>7</w:t>
            </w:r>
          </w:p>
        </w:tc>
        <w:tc>
          <w:tcPr>
            <w:tcW w:w="294" w:type="pct"/>
            <w:vAlign w:val="center"/>
          </w:tcPr>
          <w:p w14:paraId="1A4E782E" w14:textId="6BB59A7D" w:rsidR="00127CA8" w:rsidRPr="00F07779" w:rsidRDefault="00127CA8" w:rsidP="003B4095">
            <w:pPr>
              <w:snapToGrid w:val="0"/>
              <w:jc w:val="right"/>
              <w:rPr>
                <w:b/>
                <w:bCs/>
                <w:sz w:val="22"/>
                <w:szCs w:val="22"/>
              </w:rPr>
            </w:pPr>
            <w:r w:rsidRPr="00F07779">
              <w:rPr>
                <w:b/>
                <w:bCs/>
                <w:color w:val="000000"/>
              </w:rPr>
              <w:t>3</w:t>
            </w:r>
          </w:p>
        </w:tc>
        <w:tc>
          <w:tcPr>
            <w:tcW w:w="308" w:type="pct"/>
            <w:vAlign w:val="center"/>
          </w:tcPr>
          <w:p w14:paraId="4F6549F6" w14:textId="30F49E1B" w:rsidR="00127CA8" w:rsidRPr="00F07779" w:rsidRDefault="00127CA8" w:rsidP="003B4095">
            <w:pPr>
              <w:jc w:val="right"/>
              <w:rPr>
                <w:b/>
                <w:bCs/>
                <w:sz w:val="22"/>
                <w:szCs w:val="22"/>
              </w:rPr>
            </w:pPr>
            <w:r w:rsidRPr="00F07779">
              <w:rPr>
                <w:b/>
                <w:bCs/>
                <w:color w:val="000000"/>
              </w:rPr>
              <w:t>4</w:t>
            </w:r>
          </w:p>
        </w:tc>
        <w:tc>
          <w:tcPr>
            <w:tcW w:w="474" w:type="pct"/>
            <w:vAlign w:val="center"/>
          </w:tcPr>
          <w:p w14:paraId="7BD3469E" w14:textId="33622C7B" w:rsidR="00127CA8" w:rsidRPr="00F07779" w:rsidRDefault="00127CA8" w:rsidP="003B4095">
            <w:pPr>
              <w:jc w:val="right"/>
              <w:rPr>
                <w:b/>
                <w:bCs/>
                <w:sz w:val="22"/>
                <w:szCs w:val="22"/>
              </w:rPr>
            </w:pPr>
            <w:r w:rsidRPr="00F07779">
              <w:rPr>
                <w:b/>
                <w:bCs/>
                <w:color w:val="000000"/>
              </w:rPr>
              <w:t>6</w:t>
            </w:r>
          </w:p>
        </w:tc>
        <w:tc>
          <w:tcPr>
            <w:tcW w:w="351" w:type="pct"/>
            <w:vAlign w:val="center"/>
          </w:tcPr>
          <w:p w14:paraId="56E8725D" w14:textId="4DCD5D60" w:rsidR="00127CA8" w:rsidRPr="00F07779" w:rsidRDefault="008E4BA3" w:rsidP="003B4095">
            <w:pPr>
              <w:jc w:val="right"/>
              <w:rPr>
                <w:b/>
                <w:bCs/>
                <w:sz w:val="22"/>
                <w:szCs w:val="22"/>
              </w:rPr>
            </w:pPr>
            <w:r w:rsidRPr="00F07779">
              <w:rPr>
                <w:b/>
                <w:bCs/>
                <w:color w:val="000000"/>
              </w:rPr>
              <w:t>75</w:t>
            </w:r>
          </w:p>
        </w:tc>
        <w:tc>
          <w:tcPr>
            <w:tcW w:w="321" w:type="pct"/>
            <w:vAlign w:val="center"/>
          </w:tcPr>
          <w:p w14:paraId="2E783CC4" w14:textId="1FDB7F70" w:rsidR="00127CA8" w:rsidRPr="00F07779" w:rsidRDefault="0095439A" w:rsidP="003B4095">
            <w:pPr>
              <w:jc w:val="right"/>
              <w:rPr>
                <w:b/>
                <w:bCs/>
                <w:sz w:val="22"/>
                <w:szCs w:val="22"/>
              </w:rPr>
            </w:pPr>
            <w:r w:rsidRPr="00F07779">
              <w:rPr>
                <w:b/>
                <w:bCs/>
                <w:color w:val="000000"/>
              </w:rPr>
              <w:t>95</w:t>
            </w:r>
          </w:p>
        </w:tc>
      </w:tr>
    </w:tbl>
    <w:p w14:paraId="3A6C54FE" w14:textId="77777777" w:rsidR="00BE5C5E" w:rsidRDefault="00BE5C5E"/>
    <w:p w14:paraId="6CE5DF52" w14:textId="77777777" w:rsidR="006E3F36" w:rsidRDefault="006E3F36"/>
    <w:p w14:paraId="60761629" w14:textId="2D3D1FA7" w:rsidR="006E3F36" w:rsidRPr="002F2636" w:rsidRDefault="006E3F36" w:rsidP="006E3F36">
      <w:pPr>
        <w:pStyle w:val="ListParagraph"/>
        <w:numPr>
          <w:ilvl w:val="0"/>
          <w:numId w:val="7"/>
        </w:numPr>
        <w:ind w:left="270" w:hanging="270"/>
        <w:rPr>
          <w:rStyle w:val="rynqvb"/>
          <w:rFonts w:ascii="Times New Roman" w:hAnsi="Times New Roman" w:cs="Times New Roman"/>
          <w:lang w:val="en"/>
        </w:rPr>
      </w:pPr>
      <w:r w:rsidRPr="002F2636">
        <w:rPr>
          <w:rStyle w:val="rynqvb"/>
          <w:rFonts w:ascii="Times New Roman" w:hAnsi="Times New Roman" w:cs="Times New Roman"/>
          <w:lang w:val="en"/>
        </w:rPr>
        <w:t xml:space="preserve">FINAL PROVISIONS </w:t>
      </w:r>
    </w:p>
    <w:p w14:paraId="09274605" w14:textId="77777777" w:rsidR="006E3F36" w:rsidRDefault="006E3F36" w:rsidP="006E3F36">
      <w:pPr>
        <w:pStyle w:val="ListParagraph"/>
        <w:ind w:left="928"/>
        <w:rPr>
          <w:rStyle w:val="rynqvb"/>
          <w:lang w:val="en"/>
        </w:rPr>
      </w:pPr>
    </w:p>
    <w:p w14:paraId="47BFA768" w14:textId="794FE594" w:rsidR="006E3F36" w:rsidRPr="006E3F36" w:rsidRDefault="006E3F36" w:rsidP="006E3F36">
      <w:pPr>
        <w:pStyle w:val="ListParagraph"/>
        <w:ind w:left="-810"/>
        <w:jc w:val="both"/>
        <w:rPr>
          <w:rFonts w:ascii="Times New Roman" w:hAnsi="Times New Roman" w:cs="Times New Roman"/>
        </w:rPr>
      </w:pPr>
      <w:r w:rsidRPr="006E3F36">
        <w:rPr>
          <w:rStyle w:val="rynqvb"/>
          <w:rFonts w:ascii="Times New Roman" w:hAnsi="Times New Roman" w:cs="Times New Roman"/>
          <w:lang w:val="en"/>
        </w:rPr>
        <w:t>This Program shall be published in the "Official Gazette of the Republic of Serbia", on the website of the Government of the Republic of Serbia and on the website of the Ministry of Mining and Energy.</w:t>
      </w:r>
    </w:p>
    <w:sectPr w:rsidR="006E3F36" w:rsidRPr="006E3F36" w:rsidSect="005E4EAB">
      <w:footerReference w:type="even" r:id="rId18"/>
      <w:footerReference w:type="default" r:id="rId19"/>
      <w:pgSz w:w="11900" w:h="16840"/>
      <w:pgMar w:top="1134" w:right="1134" w:bottom="1134" w:left="1134" w:header="709" w:footer="709" w:gutter="90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FDC9C" w14:textId="77777777" w:rsidR="004F7F2C" w:rsidRDefault="004F7F2C" w:rsidP="00DC270E">
      <w:r>
        <w:separator/>
      </w:r>
    </w:p>
  </w:endnote>
  <w:endnote w:type="continuationSeparator" w:id="0">
    <w:p w14:paraId="0E4BF9C4" w14:textId="77777777" w:rsidR="004F7F2C" w:rsidRDefault="004F7F2C" w:rsidP="00DC2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43269666"/>
      <w:docPartObj>
        <w:docPartGallery w:val="Page Numbers (Bottom of Page)"/>
        <w:docPartUnique/>
      </w:docPartObj>
    </w:sdtPr>
    <w:sdtEndPr>
      <w:rPr>
        <w:rStyle w:val="PageNumber"/>
      </w:rPr>
    </w:sdtEndPr>
    <w:sdtContent>
      <w:p w14:paraId="68D2C8ED" w14:textId="77777777" w:rsidR="0094644B" w:rsidRDefault="0094644B" w:rsidP="00EA5BF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79731FDC" w14:textId="77777777" w:rsidR="0094644B" w:rsidRDefault="0094644B" w:rsidP="005E4EA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imes New Roman" w:hAnsi="Times New Roman" w:cs="Times New Roman"/>
      </w:rPr>
      <w:id w:val="-1856560279"/>
      <w:docPartObj>
        <w:docPartGallery w:val="Page Numbers (Bottom of Page)"/>
        <w:docPartUnique/>
      </w:docPartObj>
    </w:sdtPr>
    <w:sdtEndPr>
      <w:rPr>
        <w:rStyle w:val="PageNumber"/>
      </w:rPr>
    </w:sdtEndPr>
    <w:sdtContent>
      <w:p w14:paraId="45C1847B" w14:textId="77777777" w:rsidR="0094644B" w:rsidRPr="001C7C76" w:rsidRDefault="0094644B" w:rsidP="00EA5BFE">
        <w:pPr>
          <w:pStyle w:val="Footer"/>
          <w:framePr w:wrap="none" w:vAnchor="text" w:hAnchor="margin" w:xAlign="center" w:y="1"/>
          <w:rPr>
            <w:rStyle w:val="PageNumber"/>
            <w:rFonts w:ascii="Times New Roman" w:hAnsi="Times New Roman" w:cs="Times New Roman"/>
          </w:rPr>
        </w:pPr>
        <w:r w:rsidRPr="001C7C76">
          <w:rPr>
            <w:rStyle w:val="PageNumber"/>
            <w:rFonts w:ascii="Times New Roman" w:hAnsi="Times New Roman" w:cs="Times New Roman"/>
          </w:rPr>
          <w:fldChar w:fldCharType="begin"/>
        </w:r>
        <w:r w:rsidRPr="001C7C76">
          <w:rPr>
            <w:rStyle w:val="PageNumber"/>
            <w:rFonts w:ascii="Times New Roman" w:hAnsi="Times New Roman" w:cs="Times New Roman"/>
          </w:rPr>
          <w:instrText xml:space="preserve"> PAGE </w:instrText>
        </w:r>
        <w:r w:rsidRPr="001C7C76">
          <w:rPr>
            <w:rStyle w:val="PageNumber"/>
            <w:rFonts w:ascii="Times New Roman" w:hAnsi="Times New Roman" w:cs="Times New Roman"/>
          </w:rPr>
          <w:fldChar w:fldCharType="separate"/>
        </w:r>
        <w:r>
          <w:rPr>
            <w:rStyle w:val="PageNumber"/>
            <w:rFonts w:ascii="Times New Roman" w:hAnsi="Times New Roman" w:cs="Times New Roman"/>
            <w:noProof/>
          </w:rPr>
          <w:t>12</w:t>
        </w:r>
        <w:r w:rsidRPr="001C7C76">
          <w:rPr>
            <w:rStyle w:val="PageNumber"/>
            <w:rFonts w:ascii="Times New Roman" w:hAnsi="Times New Roman" w:cs="Times New Roman"/>
          </w:rPr>
          <w:fldChar w:fldCharType="end"/>
        </w:r>
      </w:p>
    </w:sdtContent>
  </w:sdt>
  <w:p w14:paraId="2C043F72" w14:textId="77777777" w:rsidR="0094644B" w:rsidRDefault="0094644B" w:rsidP="005E4EA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60760745"/>
      <w:docPartObj>
        <w:docPartGallery w:val="Page Numbers (Bottom of Page)"/>
        <w:docPartUnique/>
      </w:docPartObj>
    </w:sdtPr>
    <w:sdtEndPr>
      <w:rPr>
        <w:rStyle w:val="PageNumber"/>
      </w:rPr>
    </w:sdtEndPr>
    <w:sdtContent>
      <w:p w14:paraId="4C7FF821" w14:textId="18E6A514" w:rsidR="00A24981" w:rsidRDefault="00A24981" w:rsidP="00EA5BF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4D1C29E4" w14:textId="77777777" w:rsidR="00A24981" w:rsidRDefault="00A24981" w:rsidP="005E4EAB">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imes New Roman" w:hAnsi="Times New Roman" w:cs="Times New Roman"/>
      </w:rPr>
      <w:id w:val="-2100549705"/>
      <w:docPartObj>
        <w:docPartGallery w:val="Page Numbers (Bottom of Page)"/>
        <w:docPartUnique/>
      </w:docPartObj>
    </w:sdtPr>
    <w:sdtEndPr>
      <w:rPr>
        <w:rStyle w:val="PageNumber"/>
      </w:rPr>
    </w:sdtEndPr>
    <w:sdtContent>
      <w:p w14:paraId="56A14E89" w14:textId="6216A5D4" w:rsidR="00A24981" w:rsidRPr="001C7C76" w:rsidRDefault="00A24981" w:rsidP="00EA5BFE">
        <w:pPr>
          <w:pStyle w:val="Footer"/>
          <w:framePr w:wrap="none" w:vAnchor="text" w:hAnchor="margin" w:xAlign="center" w:y="1"/>
          <w:rPr>
            <w:rStyle w:val="PageNumber"/>
            <w:rFonts w:ascii="Times New Roman" w:hAnsi="Times New Roman" w:cs="Times New Roman"/>
          </w:rPr>
        </w:pPr>
        <w:r w:rsidRPr="001C7C76">
          <w:rPr>
            <w:rStyle w:val="PageNumber"/>
            <w:rFonts w:ascii="Times New Roman" w:hAnsi="Times New Roman" w:cs="Times New Roman"/>
          </w:rPr>
          <w:fldChar w:fldCharType="begin"/>
        </w:r>
        <w:r w:rsidRPr="001C7C76">
          <w:rPr>
            <w:rStyle w:val="PageNumber"/>
            <w:rFonts w:ascii="Times New Roman" w:hAnsi="Times New Roman" w:cs="Times New Roman"/>
          </w:rPr>
          <w:instrText xml:space="preserve"> PAGE </w:instrText>
        </w:r>
        <w:r w:rsidRPr="001C7C76">
          <w:rPr>
            <w:rStyle w:val="PageNumber"/>
            <w:rFonts w:ascii="Times New Roman" w:hAnsi="Times New Roman" w:cs="Times New Roman"/>
          </w:rPr>
          <w:fldChar w:fldCharType="separate"/>
        </w:r>
        <w:r w:rsidR="00674736">
          <w:rPr>
            <w:rStyle w:val="PageNumber"/>
            <w:rFonts w:ascii="Times New Roman" w:hAnsi="Times New Roman" w:cs="Times New Roman"/>
            <w:noProof/>
          </w:rPr>
          <w:t>21</w:t>
        </w:r>
        <w:r w:rsidRPr="001C7C76">
          <w:rPr>
            <w:rStyle w:val="PageNumber"/>
            <w:rFonts w:ascii="Times New Roman" w:hAnsi="Times New Roman" w:cs="Times New Roman"/>
          </w:rPr>
          <w:fldChar w:fldCharType="end"/>
        </w:r>
      </w:p>
    </w:sdtContent>
  </w:sdt>
  <w:p w14:paraId="5AF3D0E2" w14:textId="77777777" w:rsidR="00A24981" w:rsidRDefault="00A24981" w:rsidP="005E4EAB">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49108903"/>
      <w:docPartObj>
        <w:docPartGallery w:val="Page Numbers (Bottom of Page)"/>
        <w:docPartUnique/>
      </w:docPartObj>
    </w:sdtPr>
    <w:sdtEndPr>
      <w:rPr>
        <w:rStyle w:val="PageNumber"/>
      </w:rPr>
    </w:sdtEndPr>
    <w:sdtContent>
      <w:p w14:paraId="22B9FFCE" w14:textId="77777777" w:rsidR="0094644B" w:rsidRDefault="0094644B" w:rsidP="00EA5BF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54974FAF" w14:textId="77777777" w:rsidR="0094644B" w:rsidRDefault="0094644B" w:rsidP="005E4EAB">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imes New Roman" w:hAnsi="Times New Roman" w:cs="Times New Roman"/>
      </w:rPr>
      <w:id w:val="-1011680314"/>
      <w:docPartObj>
        <w:docPartGallery w:val="Page Numbers (Bottom of Page)"/>
        <w:docPartUnique/>
      </w:docPartObj>
    </w:sdtPr>
    <w:sdtEndPr>
      <w:rPr>
        <w:rStyle w:val="PageNumber"/>
      </w:rPr>
    </w:sdtEndPr>
    <w:sdtContent>
      <w:p w14:paraId="5A6B1233" w14:textId="77777777" w:rsidR="0094644B" w:rsidRPr="001C7C76" w:rsidRDefault="0094644B" w:rsidP="00EA5BFE">
        <w:pPr>
          <w:pStyle w:val="Footer"/>
          <w:framePr w:wrap="none" w:vAnchor="text" w:hAnchor="margin" w:xAlign="center" w:y="1"/>
          <w:rPr>
            <w:rStyle w:val="PageNumber"/>
            <w:rFonts w:ascii="Times New Roman" w:hAnsi="Times New Roman" w:cs="Times New Roman"/>
          </w:rPr>
        </w:pPr>
        <w:r w:rsidRPr="001C7C76">
          <w:rPr>
            <w:rStyle w:val="PageNumber"/>
            <w:rFonts w:ascii="Times New Roman" w:hAnsi="Times New Roman" w:cs="Times New Roman"/>
          </w:rPr>
          <w:fldChar w:fldCharType="begin"/>
        </w:r>
        <w:r w:rsidRPr="001C7C76">
          <w:rPr>
            <w:rStyle w:val="PageNumber"/>
            <w:rFonts w:ascii="Times New Roman" w:hAnsi="Times New Roman" w:cs="Times New Roman"/>
          </w:rPr>
          <w:instrText xml:space="preserve"> PAGE </w:instrText>
        </w:r>
        <w:r w:rsidRPr="001C7C76">
          <w:rPr>
            <w:rStyle w:val="PageNumber"/>
            <w:rFonts w:ascii="Times New Roman" w:hAnsi="Times New Roman" w:cs="Times New Roman"/>
          </w:rPr>
          <w:fldChar w:fldCharType="separate"/>
        </w:r>
        <w:r>
          <w:rPr>
            <w:rStyle w:val="PageNumber"/>
            <w:rFonts w:ascii="Times New Roman" w:hAnsi="Times New Roman" w:cs="Times New Roman"/>
            <w:noProof/>
          </w:rPr>
          <w:t>176</w:t>
        </w:r>
        <w:r w:rsidRPr="001C7C76">
          <w:rPr>
            <w:rStyle w:val="PageNumber"/>
            <w:rFonts w:ascii="Times New Roman" w:hAnsi="Times New Roman" w:cs="Times New Roman"/>
          </w:rPr>
          <w:fldChar w:fldCharType="end"/>
        </w:r>
      </w:p>
    </w:sdtContent>
  </w:sdt>
  <w:p w14:paraId="58A60D89" w14:textId="77777777" w:rsidR="0094644B" w:rsidRDefault="0094644B" w:rsidP="005E4EAB">
    <w:pPr>
      <w:pStyle w:val="Footer"/>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4328391"/>
      <w:docPartObj>
        <w:docPartGallery w:val="Page Numbers (Bottom of Page)"/>
        <w:docPartUnique/>
      </w:docPartObj>
    </w:sdtPr>
    <w:sdtEndPr>
      <w:rPr>
        <w:rStyle w:val="PageNumber"/>
      </w:rPr>
    </w:sdtEndPr>
    <w:sdtContent>
      <w:p w14:paraId="6B540965" w14:textId="77777777" w:rsidR="00A24981" w:rsidRDefault="00A24981" w:rsidP="00EA5BF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11F96AD2" w14:textId="77777777" w:rsidR="00A24981" w:rsidRDefault="00A24981" w:rsidP="005E4EAB">
    <w:pPr>
      <w:pStyle w:val="Footer"/>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imes New Roman" w:hAnsi="Times New Roman" w:cs="Times New Roman"/>
      </w:rPr>
      <w:id w:val="-1142960341"/>
      <w:docPartObj>
        <w:docPartGallery w:val="Page Numbers (Bottom of Page)"/>
        <w:docPartUnique/>
      </w:docPartObj>
    </w:sdtPr>
    <w:sdtEndPr>
      <w:rPr>
        <w:rStyle w:val="PageNumber"/>
      </w:rPr>
    </w:sdtEndPr>
    <w:sdtContent>
      <w:p w14:paraId="0F60130D" w14:textId="58C6F862" w:rsidR="00A24981" w:rsidRPr="001C7C76" w:rsidRDefault="00A24981" w:rsidP="00EA5BFE">
        <w:pPr>
          <w:pStyle w:val="Footer"/>
          <w:framePr w:wrap="none" w:vAnchor="text" w:hAnchor="margin" w:xAlign="center" w:y="1"/>
          <w:rPr>
            <w:rStyle w:val="PageNumber"/>
            <w:rFonts w:ascii="Times New Roman" w:hAnsi="Times New Roman" w:cs="Times New Roman"/>
          </w:rPr>
        </w:pPr>
        <w:r w:rsidRPr="001C7C76">
          <w:rPr>
            <w:rStyle w:val="PageNumber"/>
            <w:rFonts w:ascii="Times New Roman" w:hAnsi="Times New Roman" w:cs="Times New Roman"/>
          </w:rPr>
          <w:fldChar w:fldCharType="begin"/>
        </w:r>
        <w:r w:rsidRPr="001C7C76">
          <w:rPr>
            <w:rStyle w:val="PageNumber"/>
            <w:rFonts w:ascii="Times New Roman" w:hAnsi="Times New Roman" w:cs="Times New Roman"/>
          </w:rPr>
          <w:instrText xml:space="preserve"> PAGE </w:instrText>
        </w:r>
        <w:r w:rsidRPr="001C7C76">
          <w:rPr>
            <w:rStyle w:val="PageNumber"/>
            <w:rFonts w:ascii="Times New Roman" w:hAnsi="Times New Roman" w:cs="Times New Roman"/>
          </w:rPr>
          <w:fldChar w:fldCharType="separate"/>
        </w:r>
        <w:r w:rsidR="00674736">
          <w:rPr>
            <w:rStyle w:val="PageNumber"/>
            <w:rFonts w:ascii="Times New Roman" w:hAnsi="Times New Roman" w:cs="Times New Roman"/>
            <w:noProof/>
          </w:rPr>
          <w:t>176</w:t>
        </w:r>
        <w:r w:rsidRPr="001C7C76">
          <w:rPr>
            <w:rStyle w:val="PageNumber"/>
            <w:rFonts w:ascii="Times New Roman" w:hAnsi="Times New Roman" w:cs="Times New Roman"/>
          </w:rPr>
          <w:fldChar w:fldCharType="end"/>
        </w:r>
      </w:p>
    </w:sdtContent>
  </w:sdt>
  <w:p w14:paraId="73C7815B" w14:textId="77777777" w:rsidR="00A24981" w:rsidRDefault="00A24981" w:rsidP="005E4EA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2F5A3" w14:textId="77777777" w:rsidR="004F7F2C" w:rsidRDefault="004F7F2C" w:rsidP="00DC270E">
      <w:r>
        <w:separator/>
      </w:r>
    </w:p>
  </w:footnote>
  <w:footnote w:type="continuationSeparator" w:id="0">
    <w:p w14:paraId="5556B33C" w14:textId="77777777" w:rsidR="004F7F2C" w:rsidRDefault="004F7F2C" w:rsidP="00DC270E">
      <w:r>
        <w:continuationSeparator/>
      </w:r>
    </w:p>
  </w:footnote>
  <w:footnote w:id="1">
    <w:p w14:paraId="17F86762" w14:textId="419EE9FF" w:rsidR="00FD58FC" w:rsidRDefault="00FD58FC" w:rsidP="00FD58FC">
      <w:pPr>
        <w:pStyle w:val="FootnoteText"/>
        <w:rPr>
          <w:rFonts w:ascii="Times New Roman" w:hAnsi="Times New Roman" w:cs="Times New Roman"/>
          <w:sz w:val="16"/>
          <w:szCs w:val="16"/>
        </w:rPr>
      </w:pPr>
      <w:bookmarkStart w:id="1" w:name="_Ref207101667"/>
      <w:r w:rsidRPr="006739CC">
        <w:rPr>
          <w:rStyle w:val="FootnoteReference"/>
          <w:rFonts w:ascii="Times New Roman" w:hAnsi="Times New Roman" w:cs="Times New Roman"/>
          <w:sz w:val="16"/>
          <w:szCs w:val="16"/>
        </w:rPr>
        <w:footnoteRef/>
      </w:r>
      <w:r w:rsidRPr="006739CC">
        <w:rPr>
          <w:rFonts w:ascii="Times New Roman" w:hAnsi="Times New Roman" w:cs="Times New Roman"/>
          <w:sz w:val="16"/>
          <w:szCs w:val="16"/>
        </w:rPr>
        <w:t xml:space="preserve"> </w:t>
      </w:r>
      <w:r w:rsidRPr="00FD58FC">
        <w:rPr>
          <w:rFonts w:ascii="Times New Roman" w:hAnsi="Times New Roman" w:cs="Times New Roman"/>
          <w:sz w:val="16"/>
          <w:szCs w:val="16"/>
        </w:rPr>
        <w:t xml:space="preserve">The </w:t>
      </w:r>
      <w:r w:rsidR="003925AD" w:rsidRPr="00FD58FC">
        <w:rPr>
          <w:rFonts w:ascii="Times New Roman" w:hAnsi="Times New Roman" w:cs="Times New Roman"/>
          <w:sz w:val="16"/>
          <w:szCs w:val="16"/>
        </w:rPr>
        <w:t xml:space="preserve">competent </w:t>
      </w:r>
      <w:r w:rsidRPr="00FD58FC">
        <w:rPr>
          <w:rFonts w:ascii="Times New Roman" w:hAnsi="Times New Roman" w:cs="Times New Roman"/>
          <w:sz w:val="16"/>
          <w:szCs w:val="16"/>
        </w:rPr>
        <w:t>Working Group for monitoring and participation in the process of  Strategy and Program preparation was established in June 2021.</w:t>
      </w:r>
    </w:p>
    <w:p w14:paraId="20572B5E" w14:textId="454F5491" w:rsidR="00FD58FC" w:rsidRPr="006739CC" w:rsidRDefault="00FD58FC" w:rsidP="00FD58FC">
      <w:pPr>
        <w:pStyle w:val="FootnoteText"/>
        <w:rPr>
          <w:rFonts w:ascii="Times New Roman" w:hAnsi="Times New Roman" w:cs="Times New Roman"/>
          <w:sz w:val="16"/>
          <w:szCs w:val="16"/>
        </w:rPr>
      </w:pPr>
    </w:p>
    <w:bookmarkEnd w:id="1"/>
  </w:footnote>
  <w:footnote w:id="2">
    <w:p w14:paraId="3ADAA467" w14:textId="4EB444C9" w:rsidR="005C6AD0" w:rsidRPr="005C6AD0" w:rsidRDefault="005C6AD0" w:rsidP="005C6AD0">
      <w:pPr>
        <w:spacing w:after="120" w:line="276" w:lineRule="auto"/>
        <w:jc w:val="both"/>
        <w:rPr>
          <w:rFonts w:eastAsia="Calibri"/>
          <w:noProof/>
          <w:color w:val="001132"/>
          <w:sz w:val="16"/>
          <w:szCs w:val="16"/>
        </w:rPr>
      </w:pPr>
      <w:r w:rsidRPr="006739CC">
        <w:rPr>
          <w:rStyle w:val="FootnoteReference"/>
          <w:sz w:val="16"/>
          <w:szCs w:val="16"/>
        </w:rPr>
        <w:footnoteRef/>
      </w:r>
      <w:r w:rsidRPr="006739CC">
        <w:rPr>
          <w:sz w:val="16"/>
          <w:szCs w:val="16"/>
        </w:rPr>
        <w:t xml:space="preserve"> </w:t>
      </w:r>
      <w:r w:rsidRPr="005C6AD0">
        <w:rPr>
          <w:rFonts w:eastAsia="Calibri"/>
          <w:noProof/>
          <w:color w:val="001132"/>
          <w:sz w:val="16"/>
          <w:szCs w:val="16"/>
        </w:rPr>
        <w:t>The reference year for all indicators in the Program is 2023. This year was selected as it is the most recent year with fully processed statistical data on the state of the energy sector of the Republic of Serbia, and it also represents the last year covered by the previous Program.</w:t>
      </w:r>
    </w:p>
  </w:footnote>
  <w:footnote w:id="3">
    <w:p w14:paraId="5F0EBC35" w14:textId="77777777" w:rsidR="0094644B" w:rsidRPr="007D576A" w:rsidRDefault="0094644B" w:rsidP="0094644B">
      <w:pPr>
        <w:pStyle w:val="FootnoteText"/>
        <w:rPr>
          <w:rFonts w:ascii="Times New Roman" w:hAnsi="Times New Roman" w:cs="Times New Roman"/>
          <w:sz w:val="16"/>
          <w:szCs w:val="16"/>
          <w:lang w:val="sr-Latn-RS"/>
        </w:rPr>
      </w:pPr>
      <w:r w:rsidRPr="006739CC">
        <w:rPr>
          <w:rStyle w:val="FootnoteReference"/>
          <w:rFonts w:ascii="Times New Roman" w:hAnsi="Times New Roman" w:cs="Times New Roman"/>
          <w:sz w:val="16"/>
          <w:szCs w:val="16"/>
        </w:rPr>
        <w:footnoteRef/>
      </w:r>
      <w:r w:rsidRPr="006739CC">
        <w:rPr>
          <w:rFonts w:ascii="Times New Roman" w:hAnsi="Times New Roman" w:cs="Times New Roman"/>
          <w:sz w:val="16"/>
          <w:szCs w:val="16"/>
        </w:rPr>
        <w:t xml:space="preserve"> </w:t>
      </w:r>
      <w:r w:rsidRPr="008A7CD3">
        <w:rPr>
          <w:rFonts w:ascii="Times New Roman" w:hAnsi="Times New Roman" w:cs="Times New Roman"/>
          <w:sz w:val="16"/>
          <w:szCs w:val="16"/>
        </w:rPr>
        <w:t>The data is not final and refers only to those projects/activities for which values</w:t>
      </w:r>
      <w:r>
        <w:rPr>
          <w:rFonts w:ascii="Times New Roman" w:hAnsi="Times New Roman" w:cs="Times New Roman"/>
          <w:sz w:val="16"/>
          <w:szCs w:val="16"/>
        </w:rPr>
        <w:t xml:space="preserve"> </w:t>
      </w:r>
      <w:r w:rsidRPr="008A7CD3">
        <w:rPr>
          <w:rFonts w:ascii="Times New Roman" w:hAnsi="Times New Roman" w:cs="Times New Roman"/>
          <w:sz w:val="16"/>
          <w:szCs w:val="16"/>
        </w:rPr>
        <w:t>are known.</w:t>
      </w:r>
      <w:r w:rsidRPr="008A7CD3" w:rsidDel="008A7CD3">
        <w:rPr>
          <w:rFonts w:ascii="Times New Roman" w:hAnsi="Times New Roman" w:cs="Times New Roman"/>
          <w:sz w:val="16"/>
          <w:szCs w:val="16"/>
        </w:rPr>
        <w:t xml:space="preserve"> </w:t>
      </w:r>
    </w:p>
  </w:footnote>
  <w:footnote w:id="4">
    <w:p w14:paraId="535721BB" w14:textId="77777777" w:rsidR="0094644B" w:rsidRPr="006739CC" w:rsidRDefault="0094644B" w:rsidP="0094644B">
      <w:pPr>
        <w:pStyle w:val="FootnoteText"/>
        <w:rPr>
          <w:rFonts w:ascii="Times New Roman" w:hAnsi="Times New Roman" w:cs="Times New Roman"/>
          <w:sz w:val="16"/>
          <w:szCs w:val="16"/>
          <w:lang w:val="sr-Cyrl-RS"/>
        </w:rPr>
      </w:pPr>
      <w:r w:rsidRPr="006739CC">
        <w:rPr>
          <w:rStyle w:val="FootnoteReference"/>
          <w:rFonts w:ascii="Times New Roman" w:hAnsi="Times New Roman" w:cs="Times New Roman"/>
          <w:sz w:val="16"/>
          <w:szCs w:val="16"/>
        </w:rPr>
        <w:footnoteRef/>
      </w:r>
      <w:r w:rsidRPr="006739CC">
        <w:rPr>
          <w:rFonts w:ascii="Times New Roman" w:hAnsi="Times New Roman" w:cs="Times New Roman"/>
          <w:sz w:val="16"/>
          <w:szCs w:val="16"/>
        </w:rPr>
        <w:t xml:space="preserve"> </w:t>
      </w:r>
      <w:r w:rsidRPr="00881458">
        <w:rPr>
          <w:rFonts w:ascii="Times New Roman" w:hAnsi="Times New Roman" w:cs="Times New Roman"/>
          <w:sz w:val="16"/>
          <w:szCs w:val="16"/>
        </w:rPr>
        <w:t>The ratio of the amount of greenhouse gases emitted in the production of electricity to the total amount of electricity produced (measured in kg</w:t>
      </w:r>
      <w:r w:rsidRPr="00881458" w:rsidDel="00881458">
        <w:rPr>
          <w:rFonts w:ascii="Times New Roman" w:hAnsi="Times New Roman" w:cs="Times New Roman"/>
          <w:sz w:val="16"/>
          <w:szCs w:val="16"/>
        </w:rPr>
        <w:t xml:space="preserve"> </w:t>
      </w:r>
      <w:r w:rsidRPr="006739CC">
        <w:rPr>
          <w:rFonts w:ascii="Times New Roman" w:eastAsia="Calibri" w:hAnsi="Times New Roman" w:cs="Times New Roman"/>
          <w:sz w:val="16"/>
          <w:szCs w:val="16"/>
          <w:lang w:val="sr-Cyrl-RS"/>
        </w:rPr>
        <w:t>CO</w:t>
      </w:r>
      <w:r w:rsidRPr="00AC3212">
        <w:rPr>
          <w:rFonts w:ascii="Times New Roman" w:eastAsia="Calibri" w:hAnsi="Times New Roman" w:cs="Times New Roman"/>
          <w:sz w:val="16"/>
          <w:szCs w:val="16"/>
          <w:vertAlign w:val="subscript"/>
          <w:lang w:val="sr-Cyrl-RS"/>
        </w:rPr>
        <w:t>2</w:t>
      </w:r>
      <w:r w:rsidRPr="006739CC">
        <w:rPr>
          <w:rFonts w:ascii="Times New Roman" w:eastAsia="Calibri" w:hAnsi="Times New Roman" w:cs="Times New Roman"/>
          <w:sz w:val="16"/>
          <w:szCs w:val="16"/>
          <w:lang w:val="sr-Cyrl-RS"/>
        </w:rPr>
        <w:t>/kWh)</w:t>
      </w:r>
    </w:p>
  </w:footnote>
  <w:footnote w:id="5">
    <w:p w14:paraId="50B5F307" w14:textId="77777777" w:rsidR="0094644B" w:rsidRPr="006739CC" w:rsidRDefault="0094644B" w:rsidP="0094644B">
      <w:pPr>
        <w:pStyle w:val="FootnoteText"/>
        <w:rPr>
          <w:rFonts w:ascii="Times New Roman" w:hAnsi="Times New Roman" w:cs="Times New Roman"/>
          <w:sz w:val="16"/>
          <w:szCs w:val="16"/>
          <w:lang w:val="sr-Cyrl-RS"/>
        </w:rPr>
      </w:pPr>
      <w:r w:rsidRPr="006739CC">
        <w:rPr>
          <w:rStyle w:val="FootnoteReference"/>
          <w:rFonts w:ascii="Times New Roman" w:hAnsi="Times New Roman" w:cs="Times New Roman"/>
          <w:sz w:val="16"/>
          <w:szCs w:val="16"/>
        </w:rPr>
        <w:footnoteRef/>
      </w:r>
      <w:r w:rsidRPr="006739CC">
        <w:rPr>
          <w:rFonts w:ascii="Times New Roman" w:hAnsi="Times New Roman" w:cs="Times New Roman"/>
          <w:sz w:val="16"/>
          <w:szCs w:val="16"/>
        </w:rPr>
        <w:t xml:space="preserve"> </w:t>
      </w:r>
      <w:r w:rsidRPr="00881458">
        <w:rPr>
          <w:rFonts w:ascii="Times New Roman" w:hAnsi="Times New Roman" w:cs="Times New Roman"/>
          <w:sz w:val="16"/>
          <w:szCs w:val="16"/>
        </w:rPr>
        <w:t>Ratio of electricity produced from RES to total electricity produced</w:t>
      </w:r>
      <w:r w:rsidRPr="00881458" w:rsidDel="00881458">
        <w:rPr>
          <w:rFonts w:ascii="Times New Roman" w:hAnsi="Times New Roman" w:cs="Times New Roman"/>
          <w:sz w:val="16"/>
          <w:szCs w:val="16"/>
        </w:rPr>
        <w:t xml:space="preserve"> </w:t>
      </w:r>
    </w:p>
  </w:footnote>
  <w:footnote w:id="6">
    <w:p w14:paraId="6F392330" w14:textId="77777777" w:rsidR="0094644B" w:rsidRPr="006739CC" w:rsidRDefault="0094644B" w:rsidP="0094644B">
      <w:pPr>
        <w:pStyle w:val="FootnoteText"/>
        <w:rPr>
          <w:rFonts w:ascii="Times New Roman" w:hAnsi="Times New Roman" w:cs="Times New Roman"/>
          <w:sz w:val="16"/>
          <w:szCs w:val="16"/>
          <w:lang w:val="sr-Cyrl-RS"/>
        </w:rPr>
      </w:pPr>
      <w:r w:rsidRPr="006739CC">
        <w:rPr>
          <w:rStyle w:val="FootnoteReference"/>
          <w:rFonts w:ascii="Times New Roman" w:hAnsi="Times New Roman" w:cs="Times New Roman"/>
          <w:sz w:val="16"/>
          <w:szCs w:val="16"/>
        </w:rPr>
        <w:footnoteRef/>
      </w:r>
      <w:r w:rsidRPr="006739CC">
        <w:rPr>
          <w:rFonts w:ascii="Times New Roman" w:hAnsi="Times New Roman" w:cs="Times New Roman"/>
          <w:sz w:val="16"/>
          <w:szCs w:val="16"/>
        </w:rPr>
        <w:t xml:space="preserve"> </w:t>
      </w:r>
      <w:r w:rsidRPr="00BE73F1">
        <w:rPr>
          <w:rFonts w:ascii="Times New Roman" w:hAnsi="Times New Roman" w:cs="Times New Roman"/>
          <w:sz w:val="16"/>
          <w:szCs w:val="16"/>
        </w:rPr>
        <w:t xml:space="preserve">Share of the electricity </w:t>
      </w:r>
      <w:r>
        <w:rPr>
          <w:rFonts w:ascii="Times New Roman" w:hAnsi="Times New Roman" w:cs="Times New Roman"/>
          <w:sz w:val="16"/>
          <w:szCs w:val="16"/>
        </w:rPr>
        <w:t>exports minus imports</w:t>
      </w:r>
      <w:r w:rsidRPr="00BE73F1">
        <w:rPr>
          <w:rFonts w:ascii="Times New Roman" w:hAnsi="Times New Roman" w:cs="Times New Roman"/>
          <w:sz w:val="16"/>
          <w:szCs w:val="16"/>
        </w:rPr>
        <w:t xml:space="preserve"> in total electricity available for consumption</w:t>
      </w:r>
      <w:r w:rsidRPr="00BE73F1" w:rsidDel="00BE73F1">
        <w:rPr>
          <w:rFonts w:ascii="Times New Roman" w:hAnsi="Times New Roman" w:cs="Times New Roman"/>
          <w:sz w:val="16"/>
          <w:szCs w:val="16"/>
        </w:rPr>
        <w:t xml:space="preserve"> </w:t>
      </w:r>
    </w:p>
  </w:footnote>
  <w:footnote w:id="7">
    <w:p w14:paraId="7E07EBDC" w14:textId="77777777" w:rsidR="0094644B" w:rsidRPr="006739CC" w:rsidRDefault="0094644B" w:rsidP="0094644B">
      <w:pPr>
        <w:pStyle w:val="FootnoteText"/>
        <w:rPr>
          <w:rFonts w:ascii="Times New Roman" w:hAnsi="Times New Roman" w:cs="Times New Roman"/>
          <w:sz w:val="16"/>
          <w:szCs w:val="16"/>
          <w:lang w:val="sr-Cyrl-RS"/>
        </w:rPr>
      </w:pPr>
      <w:r w:rsidRPr="006739CC">
        <w:rPr>
          <w:rStyle w:val="FootnoteReference"/>
          <w:rFonts w:ascii="Times New Roman" w:hAnsi="Times New Roman" w:cs="Times New Roman"/>
          <w:sz w:val="16"/>
          <w:szCs w:val="16"/>
        </w:rPr>
        <w:footnoteRef/>
      </w:r>
      <w:r w:rsidRPr="006739CC">
        <w:rPr>
          <w:rFonts w:ascii="Times New Roman" w:hAnsi="Times New Roman" w:cs="Times New Roman"/>
          <w:sz w:val="16"/>
          <w:szCs w:val="16"/>
        </w:rPr>
        <w:t xml:space="preserve"> </w:t>
      </w:r>
      <w:r w:rsidRPr="00CB601C">
        <w:rPr>
          <w:rFonts w:ascii="Times New Roman" w:hAnsi="Times New Roman" w:cs="Times New Roman"/>
          <w:sz w:val="16"/>
          <w:szCs w:val="16"/>
        </w:rPr>
        <w:t>Losses in network elements</w:t>
      </w:r>
      <w:r w:rsidRPr="00CB601C" w:rsidDel="00CB601C">
        <w:rPr>
          <w:rFonts w:ascii="Times New Roman" w:hAnsi="Times New Roman" w:cs="Times New Roman"/>
          <w:sz w:val="16"/>
          <w:szCs w:val="16"/>
        </w:rPr>
        <w:t xml:space="preserve"> </w:t>
      </w:r>
    </w:p>
  </w:footnote>
  <w:footnote w:id="8">
    <w:p w14:paraId="10F047D8" w14:textId="77777777" w:rsidR="0094644B" w:rsidRPr="007D576A" w:rsidRDefault="0094644B" w:rsidP="0094644B">
      <w:pPr>
        <w:pStyle w:val="FootnoteText"/>
        <w:rPr>
          <w:rFonts w:ascii="Times New Roman" w:hAnsi="Times New Roman" w:cs="Times New Roman"/>
          <w:sz w:val="16"/>
          <w:szCs w:val="16"/>
        </w:rPr>
      </w:pPr>
      <w:r w:rsidRPr="006739CC">
        <w:rPr>
          <w:rStyle w:val="FootnoteReference"/>
          <w:rFonts w:ascii="Times New Roman" w:hAnsi="Times New Roman" w:cs="Times New Roman"/>
          <w:sz w:val="16"/>
          <w:szCs w:val="16"/>
        </w:rPr>
        <w:footnoteRef/>
      </w:r>
      <w:r w:rsidRPr="006739CC">
        <w:rPr>
          <w:rFonts w:ascii="Times New Roman" w:hAnsi="Times New Roman" w:cs="Times New Roman"/>
          <w:sz w:val="16"/>
          <w:szCs w:val="16"/>
        </w:rPr>
        <w:t xml:space="preserve"> SAIFI – </w:t>
      </w:r>
      <w:r w:rsidRPr="00925181">
        <w:rPr>
          <w:rFonts w:ascii="Times New Roman" w:hAnsi="Times New Roman" w:cs="Times New Roman"/>
          <w:sz w:val="16"/>
          <w:szCs w:val="16"/>
        </w:rPr>
        <w:t xml:space="preserve">average frequency of power outages per </w:t>
      </w:r>
      <w:r>
        <w:rPr>
          <w:rFonts w:ascii="Times New Roman" w:hAnsi="Times New Roman" w:cs="Times New Roman"/>
          <w:sz w:val="16"/>
          <w:szCs w:val="16"/>
        </w:rPr>
        <w:t>end</w:t>
      </w:r>
      <w:r w:rsidRPr="00925181">
        <w:rPr>
          <w:rFonts w:ascii="Times New Roman" w:hAnsi="Times New Roman" w:cs="Times New Roman"/>
          <w:sz w:val="16"/>
          <w:szCs w:val="16"/>
        </w:rPr>
        <w:t xml:space="preserve"> user based on total losses without excluding outages due to force majeure</w:t>
      </w:r>
      <w:r w:rsidRPr="00925181" w:rsidDel="00925181">
        <w:rPr>
          <w:rFonts w:ascii="Times New Roman" w:hAnsi="Times New Roman" w:cs="Times New Roman"/>
          <w:sz w:val="16"/>
          <w:szCs w:val="16"/>
        </w:rPr>
        <w:t xml:space="preserve"> </w:t>
      </w:r>
    </w:p>
  </w:footnote>
  <w:footnote w:id="9">
    <w:p w14:paraId="6D00D2C0" w14:textId="77777777" w:rsidR="0094644B" w:rsidRPr="006739CC" w:rsidRDefault="0094644B" w:rsidP="0094644B">
      <w:pPr>
        <w:pStyle w:val="FootnoteText"/>
        <w:rPr>
          <w:rFonts w:ascii="Times New Roman" w:hAnsi="Times New Roman" w:cs="Times New Roman"/>
          <w:sz w:val="16"/>
          <w:szCs w:val="16"/>
          <w:lang w:val="sr-Cyrl-RS"/>
        </w:rPr>
      </w:pPr>
      <w:r w:rsidRPr="006739CC">
        <w:rPr>
          <w:rStyle w:val="FootnoteReference"/>
          <w:rFonts w:ascii="Times New Roman" w:hAnsi="Times New Roman" w:cs="Times New Roman"/>
          <w:sz w:val="16"/>
          <w:szCs w:val="16"/>
        </w:rPr>
        <w:footnoteRef/>
      </w:r>
      <w:r w:rsidRPr="006739CC">
        <w:rPr>
          <w:rFonts w:ascii="Times New Roman" w:hAnsi="Times New Roman" w:cs="Times New Roman"/>
          <w:sz w:val="16"/>
          <w:szCs w:val="16"/>
        </w:rPr>
        <w:t xml:space="preserve"> SAIDI – </w:t>
      </w:r>
      <w:r w:rsidRPr="00925181">
        <w:rPr>
          <w:rFonts w:ascii="Times New Roman" w:hAnsi="Times New Roman" w:cs="Times New Roman"/>
          <w:sz w:val="16"/>
          <w:szCs w:val="16"/>
        </w:rPr>
        <w:t xml:space="preserve">average duration of power outages in minutes per </w:t>
      </w:r>
      <w:r>
        <w:rPr>
          <w:rFonts w:ascii="Times New Roman" w:hAnsi="Times New Roman" w:cs="Times New Roman"/>
          <w:sz w:val="16"/>
          <w:szCs w:val="16"/>
        </w:rPr>
        <w:t xml:space="preserve">end </w:t>
      </w:r>
      <w:r w:rsidRPr="00925181">
        <w:rPr>
          <w:rFonts w:ascii="Times New Roman" w:hAnsi="Times New Roman" w:cs="Times New Roman"/>
          <w:sz w:val="16"/>
          <w:szCs w:val="16"/>
        </w:rPr>
        <w:t>user based on total losses without excluding outages resulting from force majeure</w:t>
      </w:r>
      <w:r w:rsidRPr="00925181" w:rsidDel="00925181">
        <w:rPr>
          <w:rFonts w:ascii="Times New Roman" w:hAnsi="Times New Roman" w:cs="Times New Roman"/>
          <w:sz w:val="16"/>
          <w:szCs w:val="16"/>
        </w:rPr>
        <w:t xml:space="preserve"> </w:t>
      </w:r>
    </w:p>
  </w:footnote>
  <w:footnote w:id="10">
    <w:p w14:paraId="53A2132C" w14:textId="77777777" w:rsidR="0094644B" w:rsidRPr="00555340" w:rsidRDefault="0094644B" w:rsidP="0094644B">
      <w:pPr>
        <w:pStyle w:val="FootnoteText"/>
        <w:rPr>
          <w:rFonts w:ascii="Times New Roman" w:hAnsi="Times New Roman" w:cs="Times New Roman"/>
          <w:sz w:val="16"/>
          <w:szCs w:val="16"/>
          <w:lang w:val="sr-Cyrl-CS"/>
        </w:rPr>
      </w:pPr>
      <w:r w:rsidRPr="006739CC">
        <w:rPr>
          <w:rStyle w:val="FootnoteReference"/>
          <w:rFonts w:ascii="Times New Roman" w:hAnsi="Times New Roman" w:cs="Times New Roman"/>
          <w:sz w:val="16"/>
          <w:szCs w:val="16"/>
        </w:rPr>
        <w:footnoteRef/>
      </w:r>
      <w:r w:rsidRPr="006739CC">
        <w:rPr>
          <w:rFonts w:ascii="Times New Roman" w:hAnsi="Times New Roman" w:cs="Times New Roman"/>
          <w:sz w:val="16"/>
          <w:szCs w:val="16"/>
        </w:rPr>
        <w:t xml:space="preserve"> </w:t>
      </w:r>
      <w:r w:rsidRPr="001B014B">
        <w:rPr>
          <w:rFonts w:ascii="Times New Roman" w:hAnsi="Times New Roman" w:cs="Times New Roman"/>
          <w:sz w:val="16"/>
          <w:szCs w:val="16"/>
        </w:rPr>
        <w:t>Power outage [MW] – total power outage at all metering points that were left without power due to an outage</w:t>
      </w:r>
      <w:r w:rsidRPr="006739CC">
        <w:rPr>
          <w:rFonts w:ascii="Times New Roman" w:hAnsi="Times New Roman" w:cs="Times New Roman"/>
          <w:sz w:val="16"/>
          <w:szCs w:val="16"/>
        </w:rPr>
        <w:t>,</w:t>
      </w:r>
      <w:r w:rsidRPr="006739CC">
        <w:rPr>
          <w:rFonts w:ascii="Times New Roman" w:hAnsi="Times New Roman" w:cs="Times New Roman"/>
          <w:sz w:val="16"/>
          <w:szCs w:val="16"/>
          <w:lang w:val="sr-Cyrl-CS"/>
        </w:rPr>
        <w:t xml:space="preserve"> </w:t>
      </w:r>
    </w:p>
  </w:footnote>
  <w:footnote w:id="11">
    <w:p w14:paraId="0BC66FE8" w14:textId="77777777" w:rsidR="0094644B" w:rsidRPr="007D576A" w:rsidRDefault="0094644B" w:rsidP="0094644B">
      <w:pPr>
        <w:pStyle w:val="FootnoteText"/>
        <w:rPr>
          <w:rFonts w:ascii="Times New Roman" w:hAnsi="Times New Roman" w:cs="Times New Roman"/>
          <w:sz w:val="16"/>
          <w:szCs w:val="16"/>
        </w:rPr>
      </w:pPr>
      <w:r w:rsidRPr="006739CC">
        <w:rPr>
          <w:rStyle w:val="FootnoteReference"/>
          <w:rFonts w:ascii="Times New Roman" w:hAnsi="Times New Roman" w:cs="Times New Roman"/>
          <w:sz w:val="16"/>
          <w:szCs w:val="16"/>
        </w:rPr>
        <w:footnoteRef/>
      </w:r>
      <w:r w:rsidRPr="006739CC">
        <w:rPr>
          <w:rFonts w:ascii="Times New Roman" w:hAnsi="Times New Roman" w:cs="Times New Roman"/>
          <w:sz w:val="16"/>
          <w:szCs w:val="16"/>
        </w:rPr>
        <w:t xml:space="preserve"> </w:t>
      </w:r>
      <w:r w:rsidRPr="001B014B">
        <w:rPr>
          <w:rFonts w:ascii="Times New Roman" w:hAnsi="Times New Roman" w:cs="Times New Roman"/>
          <w:sz w:val="16"/>
          <w:szCs w:val="16"/>
        </w:rPr>
        <w:t>ENS [MWh] – total un</w:t>
      </w:r>
      <w:r>
        <w:rPr>
          <w:rFonts w:ascii="Times New Roman" w:hAnsi="Times New Roman" w:cs="Times New Roman"/>
          <w:sz w:val="16"/>
          <w:szCs w:val="16"/>
        </w:rPr>
        <w:t>supplied</w:t>
      </w:r>
      <w:r w:rsidRPr="001B014B">
        <w:rPr>
          <w:rFonts w:ascii="Times New Roman" w:hAnsi="Times New Roman" w:cs="Times New Roman"/>
          <w:sz w:val="16"/>
          <w:szCs w:val="16"/>
        </w:rPr>
        <w:t xml:space="preserve"> electricity, which represents the total un</w:t>
      </w:r>
      <w:r>
        <w:rPr>
          <w:rFonts w:ascii="Times New Roman" w:hAnsi="Times New Roman" w:cs="Times New Roman"/>
          <w:sz w:val="16"/>
          <w:szCs w:val="16"/>
        </w:rPr>
        <w:t>supplied</w:t>
      </w:r>
      <w:r w:rsidRPr="001B014B">
        <w:rPr>
          <w:rFonts w:ascii="Times New Roman" w:hAnsi="Times New Roman" w:cs="Times New Roman"/>
          <w:sz w:val="16"/>
          <w:szCs w:val="16"/>
        </w:rPr>
        <w:t xml:space="preserve"> electricity during all outages</w:t>
      </w:r>
      <w:r w:rsidRPr="001B014B" w:rsidDel="001B014B">
        <w:rPr>
          <w:rFonts w:ascii="Times New Roman" w:hAnsi="Times New Roman" w:cs="Times New Roman"/>
          <w:sz w:val="16"/>
          <w:szCs w:val="16"/>
        </w:rPr>
        <w:t xml:space="preserve"> </w:t>
      </w:r>
    </w:p>
  </w:footnote>
  <w:footnote w:id="12">
    <w:p w14:paraId="56BFC07E" w14:textId="77777777" w:rsidR="0094644B" w:rsidRPr="007D576A" w:rsidRDefault="0094644B" w:rsidP="0094644B">
      <w:pPr>
        <w:pStyle w:val="FootnoteText"/>
        <w:rPr>
          <w:rFonts w:ascii="Times New Roman" w:hAnsi="Times New Roman" w:cs="Times New Roman"/>
          <w:sz w:val="16"/>
          <w:szCs w:val="16"/>
        </w:rPr>
      </w:pPr>
      <w:r w:rsidRPr="006739CC">
        <w:rPr>
          <w:rStyle w:val="FootnoteReference"/>
          <w:rFonts w:ascii="Times New Roman" w:hAnsi="Times New Roman" w:cs="Times New Roman"/>
          <w:sz w:val="16"/>
          <w:szCs w:val="16"/>
        </w:rPr>
        <w:footnoteRef/>
      </w:r>
      <w:r w:rsidRPr="006739CC">
        <w:rPr>
          <w:rFonts w:ascii="Times New Roman" w:hAnsi="Times New Roman" w:cs="Times New Roman"/>
          <w:sz w:val="16"/>
          <w:szCs w:val="16"/>
        </w:rPr>
        <w:t xml:space="preserve"> </w:t>
      </w:r>
      <w:r w:rsidRPr="001B014B">
        <w:rPr>
          <w:rFonts w:ascii="Times New Roman" w:hAnsi="Times New Roman" w:cs="Times New Roman"/>
          <w:sz w:val="16"/>
          <w:szCs w:val="16"/>
        </w:rPr>
        <w:t>ENS [%] – share of un</w:t>
      </w:r>
      <w:r>
        <w:rPr>
          <w:rFonts w:ascii="Times New Roman" w:hAnsi="Times New Roman" w:cs="Times New Roman"/>
          <w:sz w:val="16"/>
          <w:szCs w:val="16"/>
        </w:rPr>
        <w:t>supplied</w:t>
      </w:r>
      <w:r w:rsidRPr="001B014B">
        <w:rPr>
          <w:rFonts w:ascii="Times New Roman" w:hAnsi="Times New Roman" w:cs="Times New Roman"/>
          <w:sz w:val="16"/>
          <w:szCs w:val="16"/>
        </w:rPr>
        <w:t xml:space="preserve"> electricity in total delivered electricity</w:t>
      </w:r>
    </w:p>
  </w:footnote>
  <w:footnote w:id="13">
    <w:p w14:paraId="154877DE" w14:textId="77777777" w:rsidR="0094644B" w:rsidRPr="006739CC" w:rsidRDefault="0094644B" w:rsidP="0094644B">
      <w:pPr>
        <w:pStyle w:val="FootnoteText"/>
        <w:rPr>
          <w:rFonts w:ascii="Times New Roman" w:hAnsi="Times New Roman" w:cs="Times New Roman"/>
          <w:sz w:val="16"/>
          <w:szCs w:val="16"/>
          <w:lang w:val="sr-Cyrl-RS"/>
        </w:rPr>
      </w:pPr>
      <w:r w:rsidRPr="006739CC">
        <w:rPr>
          <w:rStyle w:val="FootnoteReference"/>
          <w:rFonts w:ascii="Times New Roman" w:hAnsi="Times New Roman" w:cs="Times New Roman"/>
          <w:sz w:val="16"/>
          <w:szCs w:val="16"/>
        </w:rPr>
        <w:footnoteRef/>
      </w:r>
      <w:r w:rsidRPr="006739CC">
        <w:rPr>
          <w:rFonts w:ascii="Times New Roman" w:hAnsi="Times New Roman" w:cs="Times New Roman"/>
          <w:sz w:val="16"/>
          <w:szCs w:val="16"/>
        </w:rPr>
        <w:t xml:space="preserve"> АIT – </w:t>
      </w:r>
      <w:r w:rsidRPr="00925181">
        <w:rPr>
          <w:rFonts w:ascii="Times New Roman" w:hAnsi="Times New Roman" w:cs="Times New Roman"/>
          <w:sz w:val="16"/>
          <w:szCs w:val="16"/>
        </w:rPr>
        <w:t xml:space="preserve">average </w:t>
      </w:r>
      <w:r>
        <w:rPr>
          <w:rFonts w:ascii="Times New Roman" w:hAnsi="Times New Roman" w:cs="Times New Roman"/>
          <w:sz w:val="16"/>
          <w:szCs w:val="16"/>
        </w:rPr>
        <w:t>supply</w:t>
      </w:r>
      <w:r w:rsidRPr="00925181">
        <w:rPr>
          <w:rFonts w:ascii="Times New Roman" w:hAnsi="Times New Roman" w:cs="Times New Roman"/>
          <w:sz w:val="16"/>
          <w:szCs w:val="16"/>
        </w:rPr>
        <w:t xml:space="preserve"> interruption time due to transmission system events</w:t>
      </w:r>
    </w:p>
  </w:footnote>
  <w:footnote w:id="14">
    <w:p w14:paraId="182B4E2D" w14:textId="77777777" w:rsidR="0094644B" w:rsidRPr="006739CC" w:rsidRDefault="0094644B" w:rsidP="0094644B">
      <w:pPr>
        <w:pStyle w:val="FootnoteText"/>
        <w:rPr>
          <w:rFonts w:ascii="Times New Roman" w:hAnsi="Times New Roman" w:cs="Times New Roman"/>
          <w:noProof w:val="0"/>
          <w:sz w:val="16"/>
          <w:szCs w:val="16"/>
          <w:lang w:val="sr-Cyrl-RS"/>
        </w:rPr>
      </w:pPr>
      <w:r w:rsidRPr="006739CC">
        <w:rPr>
          <w:rStyle w:val="FootnoteReference"/>
          <w:rFonts w:ascii="Times New Roman" w:hAnsi="Times New Roman" w:cs="Times New Roman"/>
          <w:noProof w:val="0"/>
          <w:sz w:val="16"/>
          <w:szCs w:val="16"/>
          <w:lang w:val="sr-Cyrl-RS"/>
        </w:rPr>
        <w:footnoteRef/>
      </w:r>
      <w:r w:rsidRPr="006739CC">
        <w:rPr>
          <w:rFonts w:ascii="Times New Roman" w:hAnsi="Times New Roman" w:cs="Times New Roman"/>
          <w:noProof w:val="0"/>
          <w:sz w:val="16"/>
          <w:szCs w:val="16"/>
          <w:lang w:val="sr-Cyrl-RS"/>
        </w:rPr>
        <w:t xml:space="preserve"> </w:t>
      </w:r>
      <w:proofErr w:type="spellStart"/>
      <w:r w:rsidRPr="00BE73F1">
        <w:rPr>
          <w:rFonts w:ascii="Times New Roman" w:hAnsi="Times New Roman" w:cs="Times New Roman"/>
          <w:noProof w:val="0"/>
          <w:sz w:val="16"/>
          <w:szCs w:val="16"/>
          <w:lang w:val="sr-Cyrl-RS"/>
        </w:rPr>
        <w:t>Electricity</w:t>
      </w:r>
      <w:proofErr w:type="spellEnd"/>
      <w:r w:rsidRPr="00BE73F1">
        <w:rPr>
          <w:rFonts w:ascii="Times New Roman" w:hAnsi="Times New Roman" w:cs="Times New Roman"/>
          <w:noProof w:val="0"/>
          <w:sz w:val="16"/>
          <w:szCs w:val="16"/>
          <w:lang w:val="sr-Cyrl-RS"/>
        </w:rPr>
        <w:t xml:space="preserve"> </w:t>
      </w:r>
      <w:proofErr w:type="spellStart"/>
      <w:r w:rsidRPr="00BE73F1">
        <w:rPr>
          <w:rFonts w:ascii="Times New Roman" w:hAnsi="Times New Roman" w:cs="Times New Roman"/>
          <w:noProof w:val="0"/>
          <w:sz w:val="16"/>
          <w:szCs w:val="16"/>
          <w:lang w:val="sr-Cyrl-RS"/>
        </w:rPr>
        <w:t>production</w:t>
      </w:r>
      <w:proofErr w:type="spellEnd"/>
      <w:r w:rsidRPr="00BE73F1">
        <w:rPr>
          <w:rFonts w:ascii="Times New Roman" w:hAnsi="Times New Roman" w:cs="Times New Roman"/>
          <w:noProof w:val="0"/>
          <w:sz w:val="16"/>
          <w:szCs w:val="16"/>
          <w:lang w:val="sr-Cyrl-RS"/>
        </w:rPr>
        <w:t xml:space="preserve"> </w:t>
      </w:r>
      <w:proofErr w:type="spellStart"/>
      <w:r w:rsidRPr="00BE73F1">
        <w:rPr>
          <w:rFonts w:ascii="Times New Roman" w:hAnsi="Times New Roman" w:cs="Times New Roman"/>
          <w:noProof w:val="0"/>
          <w:sz w:val="16"/>
          <w:szCs w:val="16"/>
          <w:lang w:val="sr-Cyrl-RS"/>
        </w:rPr>
        <w:t>from</w:t>
      </w:r>
      <w:proofErr w:type="spellEnd"/>
      <w:r w:rsidRPr="00BE73F1">
        <w:rPr>
          <w:rFonts w:ascii="Times New Roman" w:hAnsi="Times New Roman" w:cs="Times New Roman"/>
          <w:noProof w:val="0"/>
          <w:sz w:val="16"/>
          <w:szCs w:val="16"/>
          <w:lang w:val="sr-Cyrl-RS"/>
        </w:rPr>
        <w:t xml:space="preserve"> </w:t>
      </w:r>
      <w:proofErr w:type="spellStart"/>
      <w:r w:rsidRPr="00BE73F1">
        <w:rPr>
          <w:rFonts w:ascii="Times New Roman" w:hAnsi="Times New Roman" w:cs="Times New Roman"/>
          <w:noProof w:val="0"/>
          <w:sz w:val="16"/>
          <w:szCs w:val="16"/>
          <w:lang w:val="sr-Cyrl-RS"/>
        </w:rPr>
        <w:t>hydro</w:t>
      </w:r>
      <w:proofErr w:type="spellEnd"/>
      <w:r w:rsidRPr="00BE73F1">
        <w:rPr>
          <w:rFonts w:ascii="Times New Roman" w:hAnsi="Times New Roman" w:cs="Times New Roman"/>
          <w:noProof w:val="0"/>
          <w:sz w:val="16"/>
          <w:szCs w:val="16"/>
          <w:lang w:val="sr-Cyrl-RS"/>
        </w:rPr>
        <w:t xml:space="preserve"> </w:t>
      </w:r>
      <w:proofErr w:type="spellStart"/>
      <w:r w:rsidRPr="00BE73F1">
        <w:rPr>
          <w:rFonts w:ascii="Times New Roman" w:hAnsi="Times New Roman" w:cs="Times New Roman"/>
          <w:noProof w:val="0"/>
          <w:sz w:val="16"/>
          <w:szCs w:val="16"/>
          <w:lang w:val="sr-Cyrl-RS"/>
        </w:rPr>
        <w:t>power</w:t>
      </w:r>
      <w:proofErr w:type="spellEnd"/>
      <w:r w:rsidRPr="00BE73F1">
        <w:rPr>
          <w:rFonts w:ascii="Times New Roman" w:hAnsi="Times New Roman" w:cs="Times New Roman"/>
          <w:noProof w:val="0"/>
          <w:sz w:val="16"/>
          <w:szCs w:val="16"/>
          <w:lang w:val="sr-Cyrl-RS"/>
        </w:rPr>
        <w:t xml:space="preserve"> </w:t>
      </w:r>
      <w:proofErr w:type="spellStart"/>
      <w:r w:rsidRPr="00BE73F1">
        <w:rPr>
          <w:rFonts w:ascii="Times New Roman" w:hAnsi="Times New Roman" w:cs="Times New Roman"/>
          <w:noProof w:val="0"/>
          <w:sz w:val="16"/>
          <w:szCs w:val="16"/>
          <w:lang w:val="sr-Cyrl-RS"/>
        </w:rPr>
        <w:t>plants</w:t>
      </w:r>
      <w:proofErr w:type="spellEnd"/>
      <w:r w:rsidRPr="00BE73F1">
        <w:rPr>
          <w:rFonts w:ascii="Times New Roman" w:hAnsi="Times New Roman" w:cs="Times New Roman"/>
          <w:noProof w:val="0"/>
          <w:sz w:val="16"/>
          <w:szCs w:val="16"/>
          <w:lang w:val="sr-Cyrl-RS"/>
        </w:rPr>
        <w:t xml:space="preserve"> </w:t>
      </w:r>
      <w:proofErr w:type="spellStart"/>
      <w:r w:rsidRPr="00BE73F1">
        <w:rPr>
          <w:rFonts w:ascii="Times New Roman" w:hAnsi="Times New Roman" w:cs="Times New Roman"/>
          <w:noProof w:val="0"/>
          <w:sz w:val="16"/>
          <w:szCs w:val="16"/>
          <w:lang w:val="sr-Cyrl-RS"/>
        </w:rPr>
        <w:t>in</w:t>
      </w:r>
      <w:proofErr w:type="spellEnd"/>
      <w:r w:rsidRPr="00BE73F1">
        <w:rPr>
          <w:rFonts w:ascii="Times New Roman" w:hAnsi="Times New Roman" w:cs="Times New Roman"/>
          <w:noProof w:val="0"/>
          <w:sz w:val="16"/>
          <w:szCs w:val="16"/>
          <w:lang w:val="sr-Cyrl-RS"/>
        </w:rPr>
        <w:t xml:space="preserve"> 2023 </w:t>
      </w:r>
      <w:proofErr w:type="spellStart"/>
      <w:r w:rsidRPr="00BE73F1">
        <w:rPr>
          <w:rFonts w:ascii="Times New Roman" w:hAnsi="Times New Roman" w:cs="Times New Roman"/>
          <w:noProof w:val="0"/>
          <w:sz w:val="16"/>
          <w:szCs w:val="16"/>
          <w:lang w:val="sr-Cyrl-RS"/>
        </w:rPr>
        <w:t>was</w:t>
      </w:r>
      <w:proofErr w:type="spellEnd"/>
      <w:r w:rsidRPr="00BE73F1">
        <w:rPr>
          <w:rFonts w:ascii="Times New Roman" w:hAnsi="Times New Roman" w:cs="Times New Roman"/>
          <w:noProof w:val="0"/>
          <w:sz w:val="16"/>
          <w:szCs w:val="16"/>
          <w:lang w:val="sr-Cyrl-RS"/>
        </w:rPr>
        <w:t xml:space="preserve"> 23.3% </w:t>
      </w:r>
      <w:proofErr w:type="spellStart"/>
      <w:r w:rsidRPr="00BE73F1">
        <w:rPr>
          <w:rFonts w:ascii="Times New Roman" w:hAnsi="Times New Roman" w:cs="Times New Roman"/>
          <w:noProof w:val="0"/>
          <w:sz w:val="16"/>
          <w:szCs w:val="16"/>
          <w:lang w:val="sr-Cyrl-RS"/>
        </w:rPr>
        <w:t>above</w:t>
      </w:r>
      <w:proofErr w:type="spellEnd"/>
      <w:r w:rsidRPr="00BE73F1">
        <w:rPr>
          <w:rFonts w:ascii="Times New Roman" w:hAnsi="Times New Roman" w:cs="Times New Roman"/>
          <w:noProof w:val="0"/>
          <w:sz w:val="16"/>
          <w:szCs w:val="16"/>
          <w:lang w:val="sr-Cyrl-RS"/>
        </w:rPr>
        <w:t xml:space="preserve"> </w:t>
      </w:r>
      <w:proofErr w:type="spellStart"/>
      <w:r w:rsidRPr="00BE73F1">
        <w:rPr>
          <w:rFonts w:ascii="Times New Roman" w:hAnsi="Times New Roman" w:cs="Times New Roman"/>
          <w:noProof w:val="0"/>
          <w:sz w:val="16"/>
          <w:szCs w:val="16"/>
          <w:lang w:val="sr-Cyrl-RS"/>
        </w:rPr>
        <w:t>average</w:t>
      </w:r>
      <w:proofErr w:type="spellEnd"/>
      <w:r w:rsidRPr="00BE73F1" w:rsidDel="00BE73F1">
        <w:rPr>
          <w:rFonts w:ascii="Times New Roman" w:hAnsi="Times New Roman" w:cs="Times New Roman"/>
          <w:noProof w:val="0"/>
          <w:sz w:val="16"/>
          <w:szCs w:val="16"/>
          <w:lang w:val="sr-Cyrl-RS"/>
        </w:rPr>
        <w:t xml:space="preserve"> </w:t>
      </w:r>
    </w:p>
  </w:footnote>
  <w:footnote w:id="15">
    <w:p w14:paraId="5062D59C" w14:textId="77777777" w:rsidR="0094644B" w:rsidRPr="006739CC" w:rsidRDefault="0094644B" w:rsidP="0094644B">
      <w:pPr>
        <w:pStyle w:val="FootnoteText"/>
        <w:rPr>
          <w:rFonts w:ascii="Times New Roman" w:hAnsi="Times New Roman" w:cs="Times New Roman"/>
          <w:sz w:val="16"/>
          <w:szCs w:val="16"/>
          <w:lang w:val="sr-Cyrl-RS"/>
        </w:rPr>
      </w:pPr>
      <w:r w:rsidRPr="006739CC">
        <w:rPr>
          <w:rStyle w:val="FootnoteReference"/>
          <w:rFonts w:ascii="Times New Roman" w:hAnsi="Times New Roman" w:cs="Times New Roman"/>
          <w:noProof w:val="0"/>
          <w:sz w:val="16"/>
          <w:szCs w:val="16"/>
        </w:rPr>
        <w:footnoteRef/>
      </w:r>
      <w:r w:rsidRPr="006739CC">
        <w:rPr>
          <w:rFonts w:ascii="Times New Roman" w:eastAsia="Calibri" w:hAnsi="Times New Roman" w:cs="Times New Roman"/>
          <w:sz w:val="16"/>
          <w:szCs w:val="16"/>
          <w:lang w:val="sr-Cyrl-RS"/>
        </w:rPr>
        <w:t xml:space="preserve"> </w:t>
      </w:r>
      <w:r w:rsidRPr="00CB601C">
        <w:rPr>
          <w:rFonts w:ascii="Times New Roman" w:eastAsia="Calibri" w:hAnsi="Times New Roman" w:cs="Times New Roman"/>
          <w:sz w:val="16"/>
          <w:szCs w:val="16"/>
          <w:lang w:val="sr-Cyrl-RS"/>
        </w:rPr>
        <w:t>Estimated value</w:t>
      </w:r>
      <w:r w:rsidRPr="00CB601C" w:rsidDel="00CB601C">
        <w:rPr>
          <w:rFonts w:ascii="Times New Roman" w:eastAsia="Calibri" w:hAnsi="Times New Roman" w:cs="Times New Roman"/>
          <w:sz w:val="16"/>
          <w:szCs w:val="16"/>
          <w:lang w:val="sr-Cyrl-RS"/>
        </w:rPr>
        <w:t xml:space="preserve"> </w:t>
      </w:r>
    </w:p>
  </w:footnote>
  <w:footnote w:id="16">
    <w:p w14:paraId="7AA9A386" w14:textId="77777777" w:rsidR="0094644B" w:rsidRPr="006739CC" w:rsidRDefault="0094644B" w:rsidP="0094644B">
      <w:pPr>
        <w:pStyle w:val="FootnoteText"/>
        <w:rPr>
          <w:rFonts w:ascii="Times New Roman" w:hAnsi="Times New Roman" w:cs="Times New Roman"/>
          <w:sz w:val="16"/>
          <w:szCs w:val="16"/>
          <w:lang w:val="sr-Cyrl-RS"/>
        </w:rPr>
      </w:pPr>
      <w:r w:rsidRPr="006739CC">
        <w:rPr>
          <w:rStyle w:val="FootnoteReference"/>
          <w:rFonts w:ascii="Times New Roman" w:hAnsi="Times New Roman" w:cs="Times New Roman"/>
          <w:noProof w:val="0"/>
          <w:sz w:val="16"/>
          <w:szCs w:val="16"/>
        </w:rPr>
        <w:footnoteRef/>
      </w:r>
      <w:r w:rsidRPr="006739CC">
        <w:rPr>
          <w:rFonts w:ascii="Times New Roman" w:eastAsia="Calibri" w:hAnsi="Times New Roman" w:cs="Times New Roman"/>
          <w:sz w:val="16"/>
          <w:szCs w:val="16"/>
          <w:lang w:val="sr-Cyrl-RS"/>
        </w:rPr>
        <w:t xml:space="preserve"> </w:t>
      </w:r>
      <w:r w:rsidRPr="00CB601C">
        <w:rPr>
          <w:rFonts w:ascii="Times New Roman" w:eastAsia="Calibri" w:hAnsi="Times New Roman" w:cs="Times New Roman"/>
          <w:sz w:val="16"/>
          <w:szCs w:val="16"/>
          <w:lang w:val="sr-Cyrl-RS"/>
        </w:rPr>
        <w:t>Estimated value</w:t>
      </w:r>
      <w:r w:rsidRPr="00CB601C" w:rsidDel="00CB601C">
        <w:rPr>
          <w:rFonts w:ascii="Times New Roman" w:eastAsia="Calibri" w:hAnsi="Times New Roman" w:cs="Times New Roman"/>
          <w:sz w:val="16"/>
          <w:szCs w:val="16"/>
          <w:lang w:val="sr-Cyrl-RS"/>
        </w:rPr>
        <w:t xml:space="preserve"> </w:t>
      </w:r>
    </w:p>
  </w:footnote>
  <w:footnote w:id="17">
    <w:p w14:paraId="58F3546C" w14:textId="77777777" w:rsidR="0094644B" w:rsidRPr="006739CC" w:rsidRDefault="0094644B" w:rsidP="0094644B">
      <w:pPr>
        <w:pStyle w:val="FootnoteText"/>
        <w:rPr>
          <w:rFonts w:ascii="Times New Roman" w:hAnsi="Times New Roman" w:cs="Times New Roman"/>
          <w:sz w:val="16"/>
          <w:szCs w:val="16"/>
          <w:lang w:val="sr-Cyrl-RS"/>
        </w:rPr>
      </w:pPr>
      <w:r w:rsidRPr="006739CC">
        <w:rPr>
          <w:rStyle w:val="FootnoteReference"/>
          <w:rFonts w:ascii="Times New Roman" w:hAnsi="Times New Roman" w:cs="Times New Roman"/>
          <w:noProof w:val="0"/>
          <w:sz w:val="16"/>
          <w:szCs w:val="16"/>
        </w:rPr>
        <w:footnoteRef/>
      </w:r>
      <w:r w:rsidRPr="006739CC">
        <w:rPr>
          <w:rFonts w:ascii="Times New Roman" w:eastAsia="Calibri" w:hAnsi="Times New Roman" w:cs="Times New Roman"/>
          <w:sz w:val="16"/>
          <w:szCs w:val="16"/>
          <w:lang w:val="sr-Cyrl-RS"/>
        </w:rPr>
        <w:t xml:space="preserve"> </w:t>
      </w:r>
      <w:r w:rsidRPr="00CB601C">
        <w:rPr>
          <w:rFonts w:ascii="Times New Roman" w:eastAsia="Calibri" w:hAnsi="Times New Roman" w:cs="Times New Roman"/>
          <w:sz w:val="16"/>
          <w:szCs w:val="16"/>
          <w:lang w:val="sr-Cyrl-RS"/>
        </w:rPr>
        <w:t>Estimated value</w:t>
      </w:r>
      <w:r w:rsidRPr="00CB601C" w:rsidDel="00CB601C">
        <w:rPr>
          <w:rFonts w:ascii="Times New Roman" w:eastAsia="Calibri" w:hAnsi="Times New Roman" w:cs="Times New Roman"/>
          <w:sz w:val="16"/>
          <w:szCs w:val="16"/>
          <w:lang w:val="sr-Cyrl-RS"/>
        </w:rPr>
        <w:t xml:space="preserve"> </w:t>
      </w:r>
    </w:p>
  </w:footnote>
  <w:footnote w:id="18">
    <w:p w14:paraId="09FAA01C" w14:textId="77777777" w:rsidR="0094644B" w:rsidRPr="006739CC" w:rsidRDefault="0094644B" w:rsidP="0094644B">
      <w:pPr>
        <w:pStyle w:val="FootnoteText"/>
        <w:rPr>
          <w:rFonts w:ascii="Times New Roman" w:hAnsi="Times New Roman" w:cs="Times New Roman"/>
          <w:sz w:val="16"/>
          <w:szCs w:val="16"/>
          <w:lang w:val="sr-Cyrl-RS"/>
        </w:rPr>
      </w:pPr>
      <w:r w:rsidRPr="006739CC">
        <w:rPr>
          <w:rStyle w:val="FootnoteReference"/>
          <w:rFonts w:ascii="Times New Roman" w:hAnsi="Times New Roman" w:cs="Times New Roman"/>
          <w:sz w:val="16"/>
          <w:szCs w:val="16"/>
        </w:rPr>
        <w:footnoteRef/>
      </w:r>
      <w:r w:rsidRPr="006739CC">
        <w:rPr>
          <w:rFonts w:ascii="Times New Roman" w:hAnsi="Times New Roman" w:cs="Times New Roman"/>
          <w:sz w:val="16"/>
          <w:szCs w:val="16"/>
          <w:lang w:val="ru-RU"/>
        </w:rPr>
        <w:t xml:space="preserve"> </w:t>
      </w:r>
      <w:r w:rsidRPr="007019E9">
        <w:rPr>
          <w:rFonts w:ascii="Times New Roman" w:hAnsi="Times New Roman" w:cs="Times New Roman"/>
          <w:sz w:val="16"/>
          <w:szCs w:val="16"/>
          <w:lang w:val="ru-RU"/>
        </w:rPr>
        <w:t xml:space="preserve">The project is linked to the investment in opening the </w:t>
      </w:r>
      <w:r>
        <w:rPr>
          <w:rFonts w:ascii="Times New Roman" w:hAnsi="Times New Roman" w:cs="Times New Roman"/>
          <w:sz w:val="16"/>
          <w:szCs w:val="16"/>
        </w:rPr>
        <w:t>surface</w:t>
      </w:r>
      <w:r w:rsidRPr="007019E9">
        <w:rPr>
          <w:rFonts w:ascii="Times New Roman" w:hAnsi="Times New Roman" w:cs="Times New Roman"/>
          <w:sz w:val="16"/>
          <w:szCs w:val="16"/>
          <w:lang w:val="ru-RU"/>
        </w:rPr>
        <w:t xml:space="preserve"> mine in Dubravica, as securing a longer lifespan for </w:t>
      </w:r>
      <w:r>
        <w:rPr>
          <w:rFonts w:ascii="Times New Roman" w:hAnsi="Times New Roman" w:cs="Times New Roman"/>
          <w:sz w:val="16"/>
          <w:szCs w:val="16"/>
          <w:lang w:val="sr-Latn-RS"/>
        </w:rPr>
        <w:t>unit</w:t>
      </w:r>
      <w:r w:rsidRPr="007019E9">
        <w:rPr>
          <w:rFonts w:ascii="Times New Roman" w:hAnsi="Times New Roman" w:cs="Times New Roman"/>
          <w:sz w:val="16"/>
          <w:szCs w:val="16"/>
          <w:lang w:val="ru-RU"/>
        </w:rPr>
        <w:t>s A1 and A2 through revitalization and implementation of environmental measures requires ensuring coal supply for operation beyond 2035.</w:t>
      </w:r>
      <w:r w:rsidRPr="006739CC" w:rsidDel="00A70789">
        <w:rPr>
          <w:rFonts w:ascii="Times New Roman" w:hAnsi="Times New Roman" w:cs="Times New Roman"/>
          <w:sz w:val="16"/>
          <w:szCs w:val="16"/>
          <w:lang w:val="ru-RU"/>
        </w:rPr>
        <w:t xml:space="preserve"> </w:t>
      </w:r>
    </w:p>
  </w:footnote>
  <w:footnote w:id="19">
    <w:p w14:paraId="6EDD02B9" w14:textId="77777777" w:rsidR="0094644B" w:rsidRPr="006739CC" w:rsidRDefault="0094644B" w:rsidP="0094644B">
      <w:pPr>
        <w:pStyle w:val="FootnoteText"/>
        <w:rPr>
          <w:rFonts w:ascii="Times New Roman" w:hAnsi="Times New Roman" w:cs="Times New Roman"/>
          <w:sz w:val="16"/>
          <w:szCs w:val="16"/>
          <w:lang w:val="sr-Cyrl-RS"/>
        </w:rPr>
      </w:pPr>
      <w:r w:rsidRPr="006739CC">
        <w:rPr>
          <w:rStyle w:val="FootnoteReference"/>
          <w:rFonts w:ascii="Times New Roman" w:hAnsi="Times New Roman" w:cs="Times New Roman"/>
          <w:sz w:val="16"/>
          <w:szCs w:val="16"/>
        </w:rPr>
        <w:footnoteRef/>
      </w:r>
      <w:r w:rsidRPr="006739CC">
        <w:rPr>
          <w:rFonts w:ascii="Times New Roman" w:hAnsi="Times New Roman" w:cs="Times New Roman"/>
          <w:sz w:val="16"/>
          <w:szCs w:val="16"/>
          <w:lang w:val="ru-RU"/>
        </w:rPr>
        <w:t xml:space="preserve"> </w:t>
      </w:r>
      <w:r w:rsidRPr="007019E9">
        <w:rPr>
          <w:rFonts w:ascii="Times New Roman" w:hAnsi="Times New Roman" w:cs="Times New Roman"/>
          <w:sz w:val="16"/>
          <w:szCs w:val="16"/>
          <w:lang w:val="ru-RU"/>
        </w:rPr>
        <w:t xml:space="preserve">The project is linked to the investment in opening the </w:t>
      </w:r>
      <w:r>
        <w:rPr>
          <w:rFonts w:ascii="Times New Roman" w:hAnsi="Times New Roman" w:cs="Times New Roman"/>
          <w:sz w:val="16"/>
          <w:szCs w:val="16"/>
        </w:rPr>
        <w:t>surface</w:t>
      </w:r>
      <w:r w:rsidRPr="007019E9">
        <w:rPr>
          <w:rFonts w:ascii="Times New Roman" w:hAnsi="Times New Roman" w:cs="Times New Roman"/>
          <w:sz w:val="16"/>
          <w:szCs w:val="16"/>
          <w:lang w:val="ru-RU"/>
        </w:rPr>
        <w:t xml:space="preserve"> mine in Dubravica, as securing a longer lifespan for </w:t>
      </w:r>
      <w:r>
        <w:rPr>
          <w:rFonts w:ascii="Times New Roman" w:hAnsi="Times New Roman" w:cs="Times New Roman"/>
          <w:sz w:val="16"/>
          <w:szCs w:val="16"/>
          <w:lang w:val="sr-Latn-RS"/>
        </w:rPr>
        <w:t>unit</w:t>
      </w:r>
      <w:r w:rsidRPr="007019E9">
        <w:rPr>
          <w:rFonts w:ascii="Times New Roman" w:hAnsi="Times New Roman" w:cs="Times New Roman"/>
          <w:sz w:val="16"/>
          <w:szCs w:val="16"/>
          <w:lang w:val="ru-RU"/>
        </w:rPr>
        <w:t>s A1 and A2 through revitalization and implementation of environmental measures requires ensuring coal supply for operation beyond 2035.</w:t>
      </w:r>
    </w:p>
  </w:footnote>
  <w:footnote w:id="20">
    <w:p w14:paraId="2FBE6806" w14:textId="77777777" w:rsidR="0094644B" w:rsidRPr="006739CC" w:rsidRDefault="0094644B" w:rsidP="0094644B">
      <w:pPr>
        <w:pStyle w:val="FootnoteText"/>
        <w:rPr>
          <w:rFonts w:ascii="Times New Roman" w:hAnsi="Times New Roman" w:cs="Times New Roman"/>
          <w:sz w:val="16"/>
          <w:szCs w:val="16"/>
          <w:lang w:val="sr-Cyrl-RS"/>
        </w:rPr>
      </w:pPr>
      <w:r w:rsidRPr="006739CC">
        <w:rPr>
          <w:rStyle w:val="FootnoteReference"/>
          <w:rFonts w:ascii="Times New Roman" w:hAnsi="Times New Roman" w:cs="Times New Roman"/>
          <w:sz w:val="16"/>
          <w:szCs w:val="16"/>
        </w:rPr>
        <w:footnoteRef/>
      </w:r>
      <w:r w:rsidRPr="006739CC">
        <w:rPr>
          <w:rFonts w:ascii="Times New Roman" w:hAnsi="Times New Roman" w:cs="Times New Roman"/>
          <w:sz w:val="16"/>
          <w:szCs w:val="16"/>
        </w:rPr>
        <w:t xml:space="preserve"> </w:t>
      </w:r>
      <w:r w:rsidRPr="007019E9">
        <w:rPr>
          <w:rFonts w:ascii="Times New Roman" w:hAnsi="Times New Roman" w:cs="Times New Roman"/>
          <w:sz w:val="16"/>
          <w:szCs w:val="16"/>
          <w:lang w:val="ru-RU"/>
        </w:rPr>
        <w:t xml:space="preserve">The project is linked to the investment in opening the PK mine in Dubravica, as securing a longer lifespan for </w:t>
      </w:r>
      <w:r>
        <w:rPr>
          <w:rFonts w:ascii="Times New Roman" w:hAnsi="Times New Roman" w:cs="Times New Roman"/>
          <w:sz w:val="16"/>
          <w:szCs w:val="16"/>
          <w:lang w:val="sr-Latn-RS"/>
        </w:rPr>
        <w:t>unit</w:t>
      </w:r>
      <w:r w:rsidRPr="007019E9">
        <w:rPr>
          <w:rFonts w:ascii="Times New Roman" w:hAnsi="Times New Roman" w:cs="Times New Roman"/>
          <w:sz w:val="16"/>
          <w:szCs w:val="16"/>
          <w:lang w:val="ru-RU"/>
        </w:rPr>
        <w:t>s A1 and A2 through revitalization and implementation of environmental measures requires ensuring coal supply for operation beyond 2035.</w:t>
      </w:r>
    </w:p>
  </w:footnote>
  <w:footnote w:id="21">
    <w:p w14:paraId="36A9688D" w14:textId="77777777" w:rsidR="0094644B" w:rsidRPr="006739CC" w:rsidRDefault="0094644B" w:rsidP="0094644B">
      <w:pPr>
        <w:pStyle w:val="FootnoteText"/>
        <w:jc w:val="both"/>
        <w:rPr>
          <w:rFonts w:ascii="Times New Roman" w:hAnsi="Times New Roman" w:cs="Times New Roman"/>
          <w:noProof w:val="0"/>
          <w:sz w:val="16"/>
          <w:szCs w:val="16"/>
          <w:lang w:val="sr-Cyrl-RS"/>
        </w:rPr>
      </w:pPr>
      <w:r w:rsidRPr="006739CC">
        <w:rPr>
          <w:rStyle w:val="FootnoteReference"/>
          <w:rFonts w:ascii="Times New Roman" w:hAnsi="Times New Roman" w:cs="Times New Roman"/>
          <w:noProof w:val="0"/>
          <w:sz w:val="16"/>
          <w:szCs w:val="16"/>
          <w:lang w:val="sr-Cyrl-RS"/>
        </w:rPr>
        <w:footnoteRef/>
      </w:r>
      <w:r w:rsidRPr="006739CC">
        <w:rPr>
          <w:rFonts w:ascii="Times New Roman" w:hAnsi="Times New Roman" w:cs="Times New Roman"/>
          <w:noProof w:val="0"/>
          <w:sz w:val="16"/>
          <w:szCs w:val="16"/>
          <w:lang w:val="sr-Cyrl-RS"/>
        </w:rPr>
        <w:t xml:space="preserve"> </w:t>
      </w:r>
      <w:r w:rsidRPr="00C37D57">
        <w:rPr>
          <w:rFonts w:ascii="Times New Roman" w:hAnsi="Times New Roman" w:cs="Times New Roman"/>
          <w:noProof w:val="0"/>
          <w:sz w:val="16"/>
          <w:szCs w:val="16"/>
        </w:rPr>
        <w:t xml:space="preserve">Given that EMS </w:t>
      </w:r>
      <w:r>
        <w:rPr>
          <w:rFonts w:ascii="Times New Roman" w:hAnsi="Times New Roman" w:cs="Times New Roman"/>
          <w:noProof w:val="0"/>
          <w:sz w:val="16"/>
          <w:szCs w:val="16"/>
        </w:rPr>
        <w:t>JSC</w:t>
      </w:r>
      <w:r w:rsidRPr="00C37D57">
        <w:rPr>
          <w:rFonts w:ascii="Times New Roman" w:hAnsi="Times New Roman" w:cs="Times New Roman"/>
          <w:noProof w:val="0"/>
          <w:sz w:val="16"/>
          <w:szCs w:val="16"/>
        </w:rPr>
        <w:t xml:space="preserve"> has no prior experience with the installation of such equipment on which accurate budgeting could be based, the preliminary project value has been estimated based on the conceptual design from a similar project involving the installation of a shunt reactor at </w:t>
      </w:r>
      <w:r>
        <w:rPr>
          <w:rFonts w:ascii="Times New Roman" w:hAnsi="Times New Roman" w:cs="Times New Roman"/>
          <w:noProof w:val="0"/>
          <w:sz w:val="16"/>
          <w:szCs w:val="16"/>
        </w:rPr>
        <w:t>T</w:t>
      </w:r>
      <w:r w:rsidRPr="00C37D57">
        <w:rPr>
          <w:rFonts w:ascii="Times New Roman" w:hAnsi="Times New Roman" w:cs="Times New Roman"/>
          <w:noProof w:val="0"/>
          <w:sz w:val="16"/>
          <w:szCs w:val="16"/>
        </w:rPr>
        <w:t>S Vranje 4, and amounts to 1,647,820,000 RSD.</w:t>
      </w:r>
    </w:p>
  </w:footnote>
  <w:footnote w:id="22">
    <w:p w14:paraId="20EA7278" w14:textId="77777777" w:rsidR="0094644B" w:rsidRPr="006739CC" w:rsidRDefault="0094644B" w:rsidP="0094644B">
      <w:pPr>
        <w:pStyle w:val="FootnoteText"/>
        <w:jc w:val="both"/>
        <w:rPr>
          <w:rFonts w:ascii="Times New Roman" w:hAnsi="Times New Roman" w:cs="Times New Roman"/>
          <w:sz w:val="16"/>
          <w:szCs w:val="16"/>
          <w:lang w:val="sr-Cyrl-RS"/>
        </w:rPr>
      </w:pPr>
      <w:r w:rsidRPr="006739CC">
        <w:rPr>
          <w:rStyle w:val="FootnoteReference"/>
          <w:rFonts w:ascii="Times New Roman" w:hAnsi="Times New Roman" w:cs="Times New Roman"/>
          <w:sz w:val="16"/>
          <w:szCs w:val="16"/>
        </w:rPr>
        <w:footnoteRef/>
      </w:r>
      <w:r w:rsidRPr="006739CC">
        <w:rPr>
          <w:rFonts w:ascii="Times New Roman" w:hAnsi="Times New Roman" w:cs="Times New Roman"/>
          <w:sz w:val="16"/>
          <w:szCs w:val="16"/>
        </w:rPr>
        <w:t xml:space="preserve"> </w:t>
      </w:r>
      <w:r w:rsidRPr="0071164B">
        <w:rPr>
          <w:rFonts w:ascii="Times New Roman" w:hAnsi="Times New Roman" w:cs="Times New Roman"/>
          <w:sz w:val="16"/>
          <w:szCs w:val="16"/>
        </w:rPr>
        <w:t>Connection to the grid by 2028 should also be expected for five solar power plants, with individual capacities of less than 10 MW, and a total capacity of 30.68 MW.</w:t>
      </w:r>
    </w:p>
  </w:footnote>
  <w:footnote w:id="23">
    <w:p w14:paraId="5D362F3F" w14:textId="77777777" w:rsidR="0094644B" w:rsidRPr="006739CC" w:rsidRDefault="0094644B" w:rsidP="0094644B">
      <w:pPr>
        <w:pStyle w:val="FootnoteText"/>
        <w:rPr>
          <w:rFonts w:ascii="Times New Roman" w:hAnsi="Times New Roman" w:cs="Times New Roman"/>
          <w:sz w:val="16"/>
          <w:szCs w:val="16"/>
          <w:lang w:val="sr-Cyrl-RS"/>
        </w:rPr>
      </w:pPr>
      <w:r w:rsidRPr="006739CC">
        <w:rPr>
          <w:rStyle w:val="FootnoteReference"/>
          <w:rFonts w:ascii="Times New Roman" w:hAnsi="Times New Roman" w:cs="Times New Roman"/>
          <w:sz w:val="16"/>
          <w:szCs w:val="16"/>
        </w:rPr>
        <w:footnoteRef/>
      </w:r>
      <w:r w:rsidRPr="006739CC">
        <w:rPr>
          <w:rFonts w:ascii="Times New Roman" w:hAnsi="Times New Roman" w:cs="Times New Roman"/>
          <w:sz w:val="16"/>
          <w:szCs w:val="16"/>
        </w:rPr>
        <w:t xml:space="preserve"> </w:t>
      </w:r>
      <w:r w:rsidRPr="003A49EF">
        <w:rPr>
          <w:rFonts w:ascii="Times New Roman" w:hAnsi="Times New Roman" w:cs="Times New Roman"/>
          <w:sz w:val="16"/>
          <w:szCs w:val="16"/>
        </w:rPr>
        <w:t>The table does not include projects, i.e.</w:t>
      </w:r>
      <w:r>
        <w:rPr>
          <w:rFonts w:ascii="Times New Roman" w:hAnsi="Times New Roman" w:cs="Times New Roman"/>
          <w:sz w:val="16"/>
          <w:szCs w:val="16"/>
        </w:rPr>
        <w:t>,</w:t>
      </w:r>
      <w:r w:rsidRPr="003A49EF">
        <w:rPr>
          <w:rFonts w:ascii="Times New Roman" w:hAnsi="Times New Roman" w:cs="Times New Roman"/>
          <w:sz w:val="16"/>
          <w:szCs w:val="16"/>
        </w:rPr>
        <w:t xml:space="preserve"> investments for which the Ministry of Mining and Energy is not responsible.</w:t>
      </w:r>
    </w:p>
  </w:footnote>
  <w:footnote w:id="24">
    <w:p w14:paraId="02BF72EF" w14:textId="77777777" w:rsidR="0094644B" w:rsidRPr="006739CC" w:rsidRDefault="0094644B" w:rsidP="0094644B">
      <w:pPr>
        <w:pStyle w:val="FootnoteText"/>
        <w:rPr>
          <w:rFonts w:ascii="Times New Roman" w:hAnsi="Times New Roman" w:cs="Times New Roman"/>
          <w:sz w:val="16"/>
          <w:szCs w:val="16"/>
          <w:lang w:val="sr-Cyrl-RS"/>
        </w:rPr>
      </w:pPr>
      <w:r w:rsidRPr="006739CC">
        <w:rPr>
          <w:rStyle w:val="FootnoteReference"/>
          <w:rFonts w:ascii="Times New Roman" w:hAnsi="Times New Roman" w:cs="Times New Roman"/>
          <w:sz w:val="16"/>
          <w:szCs w:val="16"/>
        </w:rPr>
        <w:footnoteRef/>
      </w:r>
      <w:r w:rsidRPr="006739CC">
        <w:rPr>
          <w:rFonts w:ascii="Times New Roman" w:hAnsi="Times New Roman" w:cs="Times New Roman"/>
          <w:sz w:val="16"/>
          <w:szCs w:val="16"/>
        </w:rPr>
        <w:t xml:space="preserve"> </w:t>
      </w:r>
      <w:r w:rsidRPr="003A49EF">
        <w:rPr>
          <w:rFonts w:ascii="Times New Roman" w:hAnsi="Times New Roman" w:cs="Times New Roman"/>
          <w:sz w:val="16"/>
          <w:szCs w:val="16"/>
        </w:rPr>
        <w:t>The table includes only those projects for which funding by year was known.</w:t>
      </w:r>
    </w:p>
  </w:footnote>
  <w:footnote w:id="25">
    <w:p w14:paraId="05A8F5A6" w14:textId="77777777" w:rsidR="0094644B" w:rsidRPr="006739CC" w:rsidRDefault="0094644B" w:rsidP="0094644B">
      <w:pPr>
        <w:pStyle w:val="FootnoteText"/>
        <w:rPr>
          <w:rFonts w:ascii="Times New Roman" w:hAnsi="Times New Roman" w:cs="Times New Roman"/>
          <w:sz w:val="16"/>
          <w:szCs w:val="16"/>
          <w:lang w:val="sr-Cyrl-RS"/>
        </w:rPr>
      </w:pPr>
      <w:r w:rsidRPr="006739CC">
        <w:rPr>
          <w:rStyle w:val="FootnoteReference"/>
          <w:rFonts w:ascii="Times New Roman" w:hAnsi="Times New Roman" w:cs="Times New Roman"/>
          <w:sz w:val="16"/>
          <w:szCs w:val="16"/>
        </w:rPr>
        <w:footnoteRef/>
      </w:r>
      <w:r w:rsidRPr="006739CC">
        <w:rPr>
          <w:rFonts w:ascii="Times New Roman" w:hAnsi="Times New Roman" w:cs="Times New Roman"/>
          <w:sz w:val="16"/>
          <w:szCs w:val="16"/>
        </w:rPr>
        <w:t xml:space="preserve"> </w:t>
      </w:r>
      <w:r w:rsidRPr="003A49EF">
        <w:rPr>
          <w:rFonts w:ascii="Times New Roman" w:hAnsi="Times New Roman" w:cs="Times New Roman"/>
          <w:sz w:val="16"/>
          <w:szCs w:val="16"/>
        </w:rPr>
        <w:t>Values marked in gray are those that are also covered by measures from the thermal energy sector.</w:t>
      </w:r>
      <w:r w:rsidRPr="003A49EF" w:rsidDel="003A49EF">
        <w:rPr>
          <w:rFonts w:ascii="Times New Roman" w:hAnsi="Times New Roman" w:cs="Times New Roman"/>
          <w:sz w:val="16"/>
          <w:szCs w:val="16"/>
        </w:rPr>
        <w:t xml:space="preserve"> </w:t>
      </w:r>
      <w:r w:rsidRPr="006739CC">
        <w:rPr>
          <w:rFonts w:ascii="Times New Roman" w:hAnsi="Times New Roman" w:cs="Times New Roman"/>
          <w:sz w:val="16"/>
          <w:szCs w:val="16"/>
          <w:lang w:val="sr-Cyrl-RS"/>
        </w:rPr>
        <w:t xml:space="preserve"> </w:t>
      </w:r>
    </w:p>
  </w:footnote>
  <w:footnote w:id="26">
    <w:p w14:paraId="3DE484F9" w14:textId="77777777" w:rsidR="0094644B" w:rsidRPr="007D576A" w:rsidRDefault="0094644B" w:rsidP="0094644B">
      <w:pPr>
        <w:pStyle w:val="FootnoteText"/>
        <w:rPr>
          <w:rFonts w:ascii="Times New Roman" w:hAnsi="Times New Roman" w:cs="Times New Roman"/>
          <w:sz w:val="16"/>
          <w:szCs w:val="16"/>
          <w:lang w:val="sr-Latn-RS"/>
        </w:rPr>
      </w:pPr>
      <w:r w:rsidRPr="006739CC">
        <w:rPr>
          <w:rStyle w:val="FootnoteReference"/>
          <w:rFonts w:ascii="Times New Roman" w:hAnsi="Times New Roman" w:cs="Times New Roman"/>
          <w:sz w:val="16"/>
          <w:szCs w:val="16"/>
        </w:rPr>
        <w:footnoteRef/>
      </w:r>
      <w:r w:rsidRPr="006739CC">
        <w:rPr>
          <w:rFonts w:ascii="Times New Roman" w:hAnsi="Times New Roman" w:cs="Times New Roman"/>
          <w:sz w:val="16"/>
          <w:szCs w:val="16"/>
        </w:rPr>
        <w:t xml:space="preserve"> </w:t>
      </w:r>
      <w:r w:rsidRPr="003A49EF">
        <w:rPr>
          <w:rFonts w:ascii="Times New Roman" w:hAnsi="Times New Roman" w:cs="Times New Roman"/>
          <w:sz w:val="16"/>
          <w:szCs w:val="16"/>
        </w:rPr>
        <w:t>Values that are also included in the EE1 measure are marked in italics.</w:t>
      </w:r>
    </w:p>
  </w:footnote>
  <w:footnote w:id="27">
    <w:p w14:paraId="02CE209D" w14:textId="77777777" w:rsidR="0094644B" w:rsidRPr="007D576A" w:rsidRDefault="0094644B" w:rsidP="0094644B">
      <w:pPr>
        <w:pStyle w:val="FootnoteText"/>
        <w:rPr>
          <w:rFonts w:ascii="Times New Roman" w:hAnsi="Times New Roman" w:cs="Times New Roman"/>
          <w:sz w:val="16"/>
          <w:szCs w:val="16"/>
          <w:lang w:val="sr-Cyrl-RS"/>
        </w:rPr>
      </w:pPr>
      <w:r w:rsidRPr="006739CC">
        <w:rPr>
          <w:rStyle w:val="FootnoteReference"/>
          <w:rFonts w:ascii="Times New Roman" w:hAnsi="Times New Roman" w:cs="Times New Roman"/>
          <w:sz w:val="16"/>
          <w:szCs w:val="16"/>
          <w:lang w:val="sr-Cyrl-RS"/>
        </w:rPr>
        <w:footnoteRef/>
      </w:r>
      <w:r w:rsidRPr="006739CC">
        <w:rPr>
          <w:rFonts w:ascii="Times New Roman" w:hAnsi="Times New Roman" w:cs="Times New Roman"/>
          <w:sz w:val="16"/>
          <w:szCs w:val="16"/>
          <w:lang w:val="sr-Cyrl-RS"/>
        </w:rPr>
        <w:t xml:space="preserve"> </w:t>
      </w:r>
      <w:r>
        <w:rPr>
          <w:rFonts w:ascii="Times New Roman" w:hAnsi="Times New Roman" w:cs="Times New Roman"/>
          <w:sz w:val="16"/>
          <w:szCs w:val="16"/>
          <w:lang w:val="sr-Latn-RS"/>
        </w:rPr>
        <w:t xml:space="preserve">Activity previously described in </w:t>
      </w:r>
      <w:r>
        <w:rPr>
          <w:rFonts w:ascii="Times New Roman" w:hAnsi="Times New Roman" w:cs="Times New Roman"/>
          <w:sz w:val="16"/>
          <w:szCs w:val="16"/>
          <w:lang w:val="sr-Cyrl-RS"/>
        </w:rPr>
        <w:t>Т</w:t>
      </w:r>
      <w:r>
        <w:rPr>
          <w:rFonts w:ascii="Times New Roman" w:hAnsi="Times New Roman" w:cs="Times New Roman"/>
          <w:sz w:val="16"/>
          <w:szCs w:val="16"/>
          <w:lang w:val="sr-Latn-RS"/>
        </w:rPr>
        <w:t>able</w:t>
      </w:r>
      <w:r w:rsidRPr="006739CC">
        <w:rPr>
          <w:rFonts w:ascii="Times New Roman" w:hAnsi="Times New Roman" w:cs="Times New Roman"/>
          <w:sz w:val="16"/>
          <w:szCs w:val="16"/>
          <w:lang w:val="sr-Cyrl-RS"/>
        </w:rPr>
        <w:t xml:space="preserve"> 5.</w:t>
      </w:r>
      <w:r w:rsidRPr="006739CC">
        <w:rPr>
          <w:rFonts w:ascii="Times New Roman" w:hAnsi="Times New Roman" w:cs="Times New Roman"/>
          <w:sz w:val="16"/>
          <w:szCs w:val="16"/>
          <w:lang w:val="sr-Latn-RS"/>
        </w:rPr>
        <w:t>2</w:t>
      </w:r>
      <w:r w:rsidRPr="006739CC">
        <w:rPr>
          <w:rFonts w:ascii="Times New Roman" w:hAnsi="Times New Roman" w:cs="Times New Roman"/>
          <w:sz w:val="16"/>
          <w:szCs w:val="16"/>
          <w:lang w:val="sr-Cyrl-RS"/>
        </w:rPr>
        <w:t>.3-1</w:t>
      </w:r>
      <w:r>
        <w:rPr>
          <w:rFonts w:ascii="Times New Roman" w:hAnsi="Times New Roman" w:cs="Times New Roman"/>
          <w:sz w:val="16"/>
          <w:szCs w:val="16"/>
          <w:lang w:val="sr-Cyrl-RS"/>
        </w:rPr>
        <w:t>0</w:t>
      </w:r>
    </w:p>
  </w:footnote>
  <w:footnote w:id="28">
    <w:p w14:paraId="38C5DB43" w14:textId="77777777" w:rsidR="0094644B" w:rsidRPr="006739CC" w:rsidRDefault="0094644B" w:rsidP="0094644B">
      <w:pPr>
        <w:pStyle w:val="FootnoteText"/>
        <w:rPr>
          <w:rFonts w:ascii="Times New Roman" w:hAnsi="Times New Roman" w:cs="Times New Roman"/>
          <w:sz w:val="16"/>
          <w:szCs w:val="16"/>
          <w:lang w:val="sr-Latn-RS"/>
        </w:rPr>
      </w:pPr>
      <w:r w:rsidRPr="006739CC">
        <w:rPr>
          <w:rStyle w:val="FootnoteReference"/>
          <w:rFonts w:ascii="Times New Roman" w:hAnsi="Times New Roman" w:cs="Times New Roman"/>
          <w:sz w:val="16"/>
          <w:szCs w:val="16"/>
          <w:lang w:val="sr-Cyrl-RS"/>
        </w:rPr>
        <w:footnoteRef/>
      </w:r>
      <w:r w:rsidRPr="006739CC">
        <w:rPr>
          <w:rFonts w:ascii="Times New Roman" w:hAnsi="Times New Roman" w:cs="Times New Roman"/>
          <w:sz w:val="16"/>
          <w:szCs w:val="16"/>
          <w:lang w:val="sr-Cyrl-RS"/>
        </w:rPr>
        <w:t xml:space="preserve"> </w:t>
      </w:r>
      <w:r>
        <w:rPr>
          <w:rFonts w:ascii="Times New Roman" w:hAnsi="Times New Roman" w:cs="Times New Roman"/>
          <w:sz w:val="16"/>
          <w:szCs w:val="16"/>
          <w:lang w:val="sr-Latn-RS"/>
        </w:rPr>
        <w:t>Activity previously described in Table</w:t>
      </w:r>
      <w:r w:rsidRPr="006739CC">
        <w:rPr>
          <w:rFonts w:ascii="Times New Roman" w:hAnsi="Times New Roman" w:cs="Times New Roman"/>
          <w:sz w:val="16"/>
          <w:szCs w:val="16"/>
          <w:lang w:val="sr-Cyrl-RS"/>
        </w:rPr>
        <w:t xml:space="preserve"> 5.</w:t>
      </w:r>
      <w:r w:rsidRPr="006739CC">
        <w:rPr>
          <w:rFonts w:ascii="Times New Roman" w:hAnsi="Times New Roman" w:cs="Times New Roman"/>
          <w:sz w:val="16"/>
          <w:szCs w:val="16"/>
          <w:lang w:val="sr-Latn-RS"/>
        </w:rPr>
        <w:t>2</w:t>
      </w:r>
      <w:r w:rsidRPr="006739CC">
        <w:rPr>
          <w:rFonts w:ascii="Times New Roman" w:hAnsi="Times New Roman" w:cs="Times New Roman"/>
          <w:sz w:val="16"/>
          <w:szCs w:val="16"/>
          <w:lang w:val="sr-Cyrl-RS"/>
        </w:rPr>
        <w:t>.</w:t>
      </w:r>
      <w:r w:rsidRPr="006739CC">
        <w:rPr>
          <w:rFonts w:ascii="Times New Roman" w:hAnsi="Times New Roman" w:cs="Times New Roman"/>
          <w:sz w:val="16"/>
          <w:szCs w:val="16"/>
          <w:lang w:val="sr-Latn-RS"/>
        </w:rPr>
        <w:t>4</w:t>
      </w:r>
      <w:r w:rsidRPr="006739CC">
        <w:rPr>
          <w:rFonts w:ascii="Times New Roman" w:hAnsi="Times New Roman" w:cs="Times New Roman"/>
          <w:sz w:val="16"/>
          <w:szCs w:val="16"/>
          <w:lang w:val="sr-Cyrl-RS"/>
        </w:rPr>
        <w:t>-</w:t>
      </w:r>
      <w:r w:rsidRPr="006739CC">
        <w:rPr>
          <w:rFonts w:ascii="Times New Roman" w:hAnsi="Times New Roman" w:cs="Times New Roman"/>
          <w:sz w:val="16"/>
          <w:szCs w:val="16"/>
          <w:lang w:val="sr-Latn-RS"/>
        </w:rPr>
        <w:t>1</w:t>
      </w:r>
    </w:p>
  </w:footnote>
  <w:footnote w:id="29">
    <w:p w14:paraId="197963F9" w14:textId="77777777" w:rsidR="0094644B" w:rsidRPr="006739CC" w:rsidRDefault="0094644B" w:rsidP="0094644B">
      <w:pPr>
        <w:pStyle w:val="FootnoteText"/>
        <w:rPr>
          <w:rFonts w:ascii="Times New Roman" w:hAnsi="Times New Roman" w:cs="Times New Roman"/>
          <w:sz w:val="16"/>
          <w:szCs w:val="16"/>
          <w:lang w:val="sr-Cyrl-RS"/>
        </w:rPr>
      </w:pPr>
      <w:r w:rsidRPr="006739CC">
        <w:rPr>
          <w:rStyle w:val="FootnoteReference"/>
          <w:rFonts w:ascii="Times New Roman" w:hAnsi="Times New Roman" w:cs="Times New Roman"/>
          <w:sz w:val="16"/>
          <w:szCs w:val="16"/>
          <w:lang w:val="sr-Cyrl-RS"/>
        </w:rPr>
        <w:footnoteRef/>
      </w:r>
      <w:r w:rsidRPr="006739CC">
        <w:rPr>
          <w:rFonts w:ascii="Times New Roman" w:hAnsi="Times New Roman" w:cs="Times New Roman"/>
          <w:sz w:val="16"/>
          <w:szCs w:val="16"/>
          <w:lang w:val="sr-Cyrl-RS"/>
        </w:rPr>
        <w:t xml:space="preserve"> </w:t>
      </w:r>
      <w:r>
        <w:rPr>
          <w:rFonts w:ascii="Times New Roman" w:hAnsi="Times New Roman" w:cs="Times New Roman"/>
          <w:sz w:val="16"/>
          <w:szCs w:val="16"/>
          <w:lang w:val="sr-Latn-RS"/>
        </w:rPr>
        <w:t>Activity previously described in Table</w:t>
      </w:r>
      <w:r w:rsidRPr="006739CC">
        <w:rPr>
          <w:rFonts w:ascii="Times New Roman" w:hAnsi="Times New Roman" w:cs="Times New Roman"/>
          <w:sz w:val="16"/>
          <w:szCs w:val="16"/>
          <w:lang w:val="sr-Cyrl-RS"/>
        </w:rPr>
        <w:t xml:space="preserve"> 5.2.4-2</w:t>
      </w:r>
    </w:p>
  </w:footnote>
  <w:footnote w:id="30">
    <w:p w14:paraId="60FD0EA3" w14:textId="77777777" w:rsidR="0094644B" w:rsidRPr="006739CC" w:rsidRDefault="0094644B" w:rsidP="0094644B">
      <w:pPr>
        <w:pStyle w:val="FootnoteText"/>
        <w:rPr>
          <w:rFonts w:ascii="Times New Roman" w:hAnsi="Times New Roman" w:cs="Times New Roman"/>
          <w:sz w:val="16"/>
          <w:szCs w:val="16"/>
          <w:lang w:val="sr-Cyrl-RS"/>
        </w:rPr>
      </w:pPr>
      <w:r w:rsidRPr="006739CC">
        <w:rPr>
          <w:rStyle w:val="FootnoteReference"/>
          <w:rFonts w:ascii="Times New Roman" w:hAnsi="Times New Roman" w:cs="Times New Roman"/>
          <w:sz w:val="16"/>
          <w:szCs w:val="16"/>
          <w:lang w:val="sr-Cyrl-RS"/>
        </w:rPr>
        <w:footnoteRef/>
      </w:r>
      <w:r w:rsidRPr="006739CC">
        <w:rPr>
          <w:rFonts w:ascii="Times New Roman" w:hAnsi="Times New Roman" w:cs="Times New Roman"/>
          <w:sz w:val="16"/>
          <w:szCs w:val="16"/>
          <w:lang w:val="sr-Cyrl-RS"/>
        </w:rPr>
        <w:t xml:space="preserve"> </w:t>
      </w:r>
      <w:r>
        <w:rPr>
          <w:rFonts w:ascii="Times New Roman" w:hAnsi="Times New Roman" w:cs="Times New Roman"/>
          <w:sz w:val="16"/>
          <w:szCs w:val="16"/>
          <w:lang w:val="sr-Latn-RS"/>
        </w:rPr>
        <w:t>Activity previously described in Table</w:t>
      </w:r>
      <w:r w:rsidRPr="006739CC">
        <w:rPr>
          <w:rFonts w:ascii="Times New Roman" w:hAnsi="Times New Roman" w:cs="Times New Roman"/>
          <w:sz w:val="16"/>
          <w:szCs w:val="16"/>
          <w:lang w:val="sr-Cyrl-RS"/>
        </w:rPr>
        <w:t xml:space="preserve"> 5.2.4-4</w:t>
      </w:r>
    </w:p>
  </w:footnote>
  <w:footnote w:id="31">
    <w:p w14:paraId="6727727B" w14:textId="77777777" w:rsidR="0094644B" w:rsidRPr="006739CC" w:rsidRDefault="0094644B" w:rsidP="0094644B">
      <w:pPr>
        <w:pStyle w:val="FootnoteText"/>
        <w:rPr>
          <w:rFonts w:ascii="Times New Roman" w:hAnsi="Times New Roman" w:cs="Times New Roman"/>
          <w:sz w:val="16"/>
          <w:szCs w:val="16"/>
          <w:lang w:val="sr-Latn-RS"/>
        </w:rPr>
      </w:pPr>
      <w:r w:rsidRPr="006739CC">
        <w:rPr>
          <w:rStyle w:val="FootnoteReference"/>
          <w:rFonts w:ascii="Times New Roman" w:hAnsi="Times New Roman" w:cs="Times New Roman"/>
          <w:sz w:val="16"/>
          <w:szCs w:val="16"/>
        </w:rPr>
        <w:footnoteRef/>
      </w:r>
      <w:r w:rsidRPr="006739CC">
        <w:rPr>
          <w:rFonts w:ascii="Times New Roman" w:hAnsi="Times New Roman" w:cs="Times New Roman"/>
          <w:sz w:val="16"/>
          <w:szCs w:val="16"/>
        </w:rPr>
        <w:t xml:space="preserve"> </w:t>
      </w:r>
      <w:r>
        <w:rPr>
          <w:rFonts w:ascii="Times New Roman" w:hAnsi="Times New Roman" w:cs="Times New Roman"/>
          <w:sz w:val="16"/>
          <w:szCs w:val="16"/>
          <w:lang w:val="sr-Latn-RS"/>
        </w:rPr>
        <w:t>Activity previously described in Table</w:t>
      </w:r>
      <w:r w:rsidRPr="006739CC">
        <w:rPr>
          <w:rFonts w:ascii="Times New Roman" w:hAnsi="Times New Roman" w:cs="Times New Roman"/>
          <w:sz w:val="16"/>
          <w:szCs w:val="16"/>
          <w:lang w:val="sr-Cyrl-RS"/>
        </w:rPr>
        <w:t xml:space="preserve"> 5.2.4-</w:t>
      </w:r>
      <w:r w:rsidRPr="006739CC">
        <w:rPr>
          <w:rFonts w:ascii="Times New Roman" w:hAnsi="Times New Roman" w:cs="Times New Roman"/>
          <w:sz w:val="16"/>
          <w:szCs w:val="16"/>
          <w:lang w:val="sr-Latn-RS"/>
        </w:rPr>
        <w:t>5</w:t>
      </w:r>
    </w:p>
  </w:footnote>
  <w:footnote w:id="32">
    <w:p w14:paraId="6F5FCEC5" w14:textId="77777777" w:rsidR="0094644B" w:rsidRPr="006739CC" w:rsidRDefault="0094644B" w:rsidP="0094644B">
      <w:pPr>
        <w:pStyle w:val="FootnoteText"/>
        <w:rPr>
          <w:rFonts w:ascii="Times New Roman" w:hAnsi="Times New Roman" w:cs="Times New Roman"/>
          <w:sz w:val="16"/>
          <w:szCs w:val="16"/>
          <w:lang w:val="sr-Cyrl-RS"/>
        </w:rPr>
      </w:pPr>
      <w:r w:rsidRPr="006739CC">
        <w:rPr>
          <w:rStyle w:val="FootnoteReference"/>
          <w:rFonts w:ascii="Times New Roman" w:hAnsi="Times New Roman" w:cs="Times New Roman"/>
          <w:sz w:val="16"/>
          <w:szCs w:val="16"/>
          <w:lang w:val="sr-Cyrl-RS"/>
        </w:rPr>
        <w:footnoteRef/>
      </w:r>
      <w:r w:rsidRPr="006739CC">
        <w:rPr>
          <w:rFonts w:ascii="Times New Roman" w:hAnsi="Times New Roman" w:cs="Times New Roman"/>
          <w:sz w:val="16"/>
          <w:szCs w:val="16"/>
          <w:lang w:val="sr-Cyrl-RS"/>
        </w:rPr>
        <w:t xml:space="preserve"> </w:t>
      </w:r>
      <w:r>
        <w:rPr>
          <w:rFonts w:ascii="Times New Roman" w:hAnsi="Times New Roman" w:cs="Times New Roman"/>
          <w:sz w:val="16"/>
          <w:szCs w:val="16"/>
          <w:lang w:val="sr-Latn-RS"/>
        </w:rPr>
        <w:t>Activity previously described in Table</w:t>
      </w:r>
      <w:r w:rsidRPr="006739CC">
        <w:rPr>
          <w:rFonts w:ascii="Times New Roman" w:hAnsi="Times New Roman" w:cs="Times New Roman"/>
          <w:sz w:val="16"/>
          <w:szCs w:val="16"/>
          <w:lang w:val="sr-Cyrl-RS"/>
        </w:rPr>
        <w:t xml:space="preserve"> 5.4.</w:t>
      </w:r>
      <w:r w:rsidRPr="006739CC">
        <w:rPr>
          <w:rFonts w:ascii="Times New Roman" w:hAnsi="Times New Roman" w:cs="Times New Roman"/>
          <w:sz w:val="16"/>
          <w:szCs w:val="16"/>
        </w:rPr>
        <w:t>3</w:t>
      </w:r>
      <w:r w:rsidRPr="006739CC">
        <w:rPr>
          <w:rFonts w:ascii="Times New Roman" w:hAnsi="Times New Roman" w:cs="Times New Roman"/>
          <w:sz w:val="16"/>
          <w:szCs w:val="16"/>
          <w:lang w:val="sr-Cyrl-RS"/>
        </w:rPr>
        <w:t>-4</w:t>
      </w:r>
    </w:p>
  </w:footnote>
  <w:footnote w:id="33">
    <w:p w14:paraId="498C3F98" w14:textId="77777777" w:rsidR="0094644B" w:rsidRPr="006739CC" w:rsidRDefault="0094644B" w:rsidP="0094644B">
      <w:pPr>
        <w:pStyle w:val="FootnoteText"/>
        <w:rPr>
          <w:rFonts w:ascii="Times New Roman" w:hAnsi="Times New Roman" w:cs="Times New Roman"/>
          <w:sz w:val="16"/>
          <w:szCs w:val="16"/>
          <w:lang w:val="sr-Cyrl-RS"/>
        </w:rPr>
      </w:pPr>
      <w:r w:rsidRPr="006739CC">
        <w:rPr>
          <w:rStyle w:val="FootnoteReference"/>
          <w:rFonts w:ascii="Times New Roman" w:hAnsi="Times New Roman" w:cs="Times New Roman"/>
          <w:sz w:val="16"/>
          <w:szCs w:val="16"/>
          <w:lang w:val="sr-Cyrl-RS"/>
        </w:rPr>
        <w:footnoteRef/>
      </w:r>
      <w:r w:rsidRPr="006739CC">
        <w:rPr>
          <w:rFonts w:ascii="Times New Roman" w:hAnsi="Times New Roman" w:cs="Times New Roman"/>
          <w:sz w:val="16"/>
          <w:szCs w:val="16"/>
          <w:lang w:val="sr-Cyrl-RS"/>
        </w:rPr>
        <w:t xml:space="preserve"> </w:t>
      </w:r>
      <w:r>
        <w:rPr>
          <w:rFonts w:ascii="Times New Roman" w:hAnsi="Times New Roman" w:cs="Times New Roman"/>
          <w:sz w:val="16"/>
          <w:szCs w:val="16"/>
          <w:lang w:val="sr-Latn-RS"/>
        </w:rPr>
        <w:t>Activity previously described in Table</w:t>
      </w:r>
      <w:r w:rsidRPr="006739CC">
        <w:rPr>
          <w:rFonts w:ascii="Times New Roman" w:hAnsi="Times New Roman" w:cs="Times New Roman"/>
          <w:sz w:val="16"/>
          <w:szCs w:val="16"/>
          <w:lang w:val="sr-Cyrl-RS"/>
        </w:rPr>
        <w:t xml:space="preserve"> 5.4.</w:t>
      </w:r>
      <w:r w:rsidRPr="006739CC">
        <w:rPr>
          <w:rFonts w:ascii="Times New Roman" w:hAnsi="Times New Roman" w:cs="Times New Roman"/>
          <w:sz w:val="16"/>
          <w:szCs w:val="16"/>
          <w:lang w:val="sr-Latn-RS"/>
        </w:rPr>
        <w:t>3</w:t>
      </w:r>
      <w:r w:rsidRPr="006739CC">
        <w:rPr>
          <w:rFonts w:ascii="Times New Roman" w:hAnsi="Times New Roman" w:cs="Times New Roman"/>
          <w:sz w:val="16"/>
          <w:szCs w:val="16"/>
          <w:lang w:val="sr-Cyrl-RS"/>
        </w:rPr>
        <w:t>-6</w:t>
      </w:r>
    </w:p>
  </w:footnote>
  <w:footnote w:id="34">
    <w:p w14:paraId="247096F1" w14:textId="77777777" w:rsidR="0094644B" w:rsidRPr="006739CC" w:rsidRDefault="0094644B" w:rsidP="0094644B">
      <w:pPr>
        <w:pStyle w:val="FootnoteText"/>
        <w:rPr>
          <w:rFonts w:ascii="Times New Roman" w:hAnsi="Times New Roman" w:cs="Times New Roman"/>
          <w:sz w:val="16"/>
          <w:szCs w:val="16"/>
          <w:lang w:val="sr-Latn-RS"/>
        </w:rPr>
      </w:pPr>
      <w:r w:rsidRPr="006739CC">
        <w:rPr>
          <w:rStyle w:val="FootnoteReference"/>
          <w:rFonts w:ascii="Times New Roman" w:hAnsi="Times New Roman" w:cs="Times New Roman"/>
          <w:sz w:val="16"/>
          <w:szCs w:val="16"/>
          <w:lang w:val="sr-Cyrl-RS"/>
        </w:rPr>
        <w:footnoteRef/>
      </w:r>
      <w:r w:rsidRPr="006739CC">
        <w:rPr>
          <w:rFonts w:ascii="Times New Roman" w:hAnsi="Times New Roman" w:cs="Times New Roman"/>
          <w:sz w:val="16"/>
          <w:szCs w:val="16"/>
          <w:lang w:val="sr-Cyrl-RS"/>
        </w:rPr>
        <w:t xml:space="preserve"> </w:t>
      </w:r>
      <w:r>
        <w:rPr>
          <w:rFonts w:ascii="Times New Roman" w:hAnsi="Times New Roman" w:cs="Times New Roman"/>
          <w:sz w:val="16"/>
          <w:szCs w:val="16"/>
          <w:lang w:val="sr-Latn-RS"/>
        </w:rPr>
        <w:t>Activity previously described in Table</w:t>
      </w:r>
      <w:r w:rsidRPr="006739CC">
        <w:rPr>
          <w:rFonts w:ascii="Times New Roman" w:hAnsi="Times New Roman" w:cs="Times New Roman"/>
          <w:sz w:val="16"/>
          <w:szCs w:val="16"/>
          <w:lang w:val="sr-Cyrl-RS"/>
        </w:rPr>
        <w:t xml:space="preserve"> 5.4.</w:t>
      </w:r>
      <w:r w:rsidRPr="006739CC">
        <w:rPr>
          <w:rFonts w:ascii="Times New Roman" w:hAnsi="Times New Roman" w:cs="Times New Roman"/>
          <w:sz w:val="16"/>
          <w:szCs w:val="16"/>
          <w:lang w:val="sr-Latn-RS"/>
        </w:rPr>
        <w:t>3</w:t>
      </w:r>
      <w:r w:rsidRPr="006739CC">
        <w:rPr>
          <w:rFonts w:ascii="Times New Roman" w:hAnsi="Times New Roman" w:cs="Times New Roman"/>
          <w:sz w:val="16"/>
          <w:szCs w:val="16"/>
          <w:lang w:val="sr-Cyrl-RS"/>
        </w:rPr>
        <w:t>-</w:t>
      </w:r>
      <w:r w:rsidRPr="006739CC">
        <w:rPr>
          <w:rFonts w:ascii="Times New Roman" w:hAnsi="Times New Roman" w:cs="Times New Roman"/>
          <w:sz w:val="16"/>
          <w:szCs w:val="16"/>
          <w:lang w:val="sr-Latn-RS"/>
        </w:rPr>
        <w:t>7</w:t>
      </w:r>
    </w:p>
  </w:footnote>
  <w:footnote w:id="35">
    <w:p w14:paraId="0E5B6489" w14:textId="77777777" w:rsidR="0094644B" w:rsidRPr="006739CC" w:rsidRDefault="0094644B" w:rsidP="0094644B">
      <w:pPr>
        <w:pStyle w:val="FootnoteText"/>
        <w:rPr>
          <w:rFonts w:ascii="Times New Roman" w:hAnsi="Times New Roman" w:cs="Times New Roman"/>
          <w:sz w:val="16"/>
          <w:szCs w:val="16"/>
          <w:lang w:val="sr-Latn-RS"/>
        </w:rPr>
      </w:pPr>
      <w:r w:rsidRPr="006739CC">
        <w:rPr>
          <w:rStyle w:val="FootnoteReference"/>
          <w:rFonts w:ascii="Times New Roman" w:hAnsi="Times New Roman" w:cs="Times New Roman"/>
          <w:sz w:val="16"/>
          <w:szCs w:val="16"/>
          <w:lang w:val="sr-Cyrl-RS"/>
        </w:rPr>
        <w:footnoteRef/>
      </w:r>
      <w:r w:rsidRPr="006739CC">
        <w:rPr>
          <w:rFonts w:ascii="Times New Roman" w:hAnsi="Times New Roman" w:cs="Times New Roman"/>
          <w:sz w:val="16"/>
          <w:szCs w:val="16"/>
          <w:lang w:val="sr-Cyrl-RS"/>
        </w:rPr>
        <w:t xml:space="preserve"> </w:t>
      </w:r>
      <w:r>
        <w:rPr>
          <w:rFonts w:ascii="Times New Roman" w:hAnsi="Times New Roman" w:cs="Times New Roman"/>
          <w:sz w:val="16"/>
          <w:szCs w:val="16"/>
          <w:lang w:val="sr-Latn-RS"/>
        </w:rPr>
        <w:t>Activity previously described in Table</w:t>
      </w:r>
      <w:r w:rsidRPr="006739CC">
        <w:rPr>
          <w:rFonts w:ascii="Times New Roman" w:hAnsi="Times New Roman" w:cs="Times New Roman"/>
          <w:sz w:val="16"/>
          <w:szCs w:val="16"/>
          <w:lang w:val="sr-Cyrl-RS"/>
        </w:rPr>
        <w:t xml:space="preserve"> 5.4.</w:t>
      </w:r>
      <w:r w:rsidRPr="006739CC">
        <w:rPr>
          <w:rFonts w:ascii="Times New Roman" w:hAnsi="Times New Roman" w:cs="Times New Roman"/>
          <w:sz w:val="16"/>
          <w:szCs w:val="16"/>
          <w:lang w:val="sr-Latn-RS"/>
        </w:rPr>
        <w:t>3</w:t>
      </w:r>
      <w:r w:rsidRPr="006739CC">
        <w:rPr>
          <w:rFonts w:ascii="Times New Roman" w:hAnsi="Times New Roman" w:cs="Times New Roman"/>
          <w:sz w:val="16"/>
          <w:szCs w:val="16"/>
          <w:lang w:val="sr-Cyrl-RS"/>
        </w:rPr>
        <w:t>-</w:t>
      </w:r>
      <w:r w:rsidRPr="006739CC">
        <w:rPr>
          <w:rFonts w:ascii="Times New Roman" w:hAnsi="Times New Roman" w:cs="Times New Roman"/>
          <w:sz w:val="16"/>
          <w:szCs w:val="16"/>
          <w:lang w:val="sr-Latn-RS"/>
        </w:rPr>
        <w:t>8</w:t>
      </w:r>
    </w:p>
  </w:footnote>
  <w:footnote w:id="36">
    <w:p w14:paraId="632C8C19" w14:textId="77777777" w:rsidR="0094644B" w:rsidRPr="006739CC" w:rsidRDefault="0094644B" w:rsidP="0094644B">
      <w:pPr>
        <w:pStyle w:val="FootnoteText"/>
        <w:rPr>
          <w:rFonts w:ascii="Times New Roman" w:hAnsi="Times New Roman" w:cs="Times New Roman"/>
          <w:sz w:val="16"/>
          <w:szCs w:val="16"/>
          <w:lang w:val="sr-Cyrl-RS"/>
        </w:rPr>
      </w:pPr>
      <w:r w:rsidRPr="006739CC">
        <w:rPr>
          <w:rStyle w:val="FootnoteReference"/>
          <w:rFonts w:ascii="Times New Roman" w:hAnsi="Times New Roman" w:cs="Times New Roman"/>
          <w:sz w:val="16"/>
          <w:szCs w:val="16"/>
        </w:rPr>
        <w:footnoteRef/>
      </w:r>
      <w:r w:rsidRPr="006739CC">
        <w:rPr>
          <w:rFonts w:ascii="Times New Roman" w:hAnsi="Times New Roman" w:cs="Times New Roman"/>
          <w:sz w:val="16"/>
          <w:szCs w:val="16"/>
        </w:rPr>
        <w:t xml:space="preserve"> </w:t>
      </w:r>
      <w:r>
        <w:rPr>
          <w:rFonts w:ascii="Times New Roman" w:hAnsi="Times New Roman" w:cs="Times New Roman"/>
          <w:sz w:val="16"/>
          <w:szCs w:val="16"/>
          <w:lang w:val="sr-Latn-RS"/>
        </w:rPr>
        <w:t>Activity previously described in Table</w:t>
      </w:r>
      <w:r w:rsidRPr="006739CC">
        <w:rPr>
          <w:rFonts w:ascii="Times New Roman" w:hAnsi="Times New Roman" w:cs="Times New Roman"/>
          <w:sz w:val="16"/>
          <w:szCs w:val="16"/>
          <w:lang w:val="sr-Cyrl-RS"/>
        </w:rPr>
        <w:t xml:space="preserve"> 5.4.3-9</w:t>
      </w:r>
    </w:p>
  </w:footnote>
  <w:footnote w:id="37">
    <w:p w14:paraId="3F077AFE" w14:textId="77777777" w:rsidR="0094644B" w:rsidRPr="006739CC" w:rsidRDefault="0094644B" w:rsidP="0094644B">
      <w:pPr>
        <w:pStyle w:val="FootnoteText"/>
        <w:rPr>
          <w:rFonts w:ascii="Times New Roman" w:hAnsi="Times New Roman" w:cs="Times New Roman"/>
          <w:sz w:val="16"/>
          <w:szCs w:val="16"/>
          <w:lang w:val="sr-Cyrl-RS"/>
        </w:rPr>
      </w:pPr>
      <w:r w:rsidRPr="006739CC">
        <w:rPr>
          <w:rStyle w:val="FootnoteReference"/>
          <w:rFonts w:ascii="Times New Roman" w:hAnsi="Times New Roman" w:cs="Times New Roman"/>
          <w:sz w:val="16"/>
          <w:szCs w:val="16"/>
        </w:rPr>
        <w:footnoteRef/>
      </w:r>
      <w:r w:rsidRPr="006739CC">
        <w:rPr>
          <w:rFonts w:ascii="Times New Roman" w:hAnsi="Times New Roman" w:cs="Times New Roman"/>
          <w:sz w:val="16"/>
          <w:szCs w:val="16"/>
        </w:rPr>
        <w:t xml:space="preserve"> </w:t>
      </w:r>
      <w:r>
        <w:rPr>
          <w:rFonts w:ascii="Times New Roman" w:hAnsi="Times New Roman" w:cs="Times New Roman"/>
          <w:sz w:val="16"/>
          <w:szCs w:val="16"/>
          <w:lang w:val="sr-Latn-RS"/>
        </w:rPr>
        <w:t>Activity previously described in Table</w:t>
      </w:r>
      <w:r w:rsidRPr="006739CC">
        <w:rPr>
          <w:rFonts w:ascii="Times New Roman" w:hAnsi="Times New Roman" w:cs="Times New Roman"/>
          <w:sz w:val="16"/>
          <w:szCs w:val="16"/>
          <w:lang w:val="sr-Cyrl-RS"/>
        </w:rPr>
        <w:t xml:space="preserve"> 5.4.3-10</w:t>
      </w:r>
    </w:p>
  </w:footnote>
  <w:footnote w:id="38">
    <w:p w14:paraId="1D0628EF" w14:textId="77777777" w:rsidR="0094644B" w:rsidRPr="006739CC" w:rsidRDefault="0094644B" w:rsidP="0094644B">
      <w:pPr>
        <w:pStyle w:val="FootnoteText"/>
        <w:rPr>
          <w:rFonts w:ascii="Times New Roman" w:hAnsi="Times New Roman" w:cs="Times New Roman"/>
          <w:sz w:val="16"/>
          <w:szCs w:val="16"/>
          <w:lang w:val="sr-Cyrl-RS"/>
        </w:rPr>
      </w:pPr>
      <w:r w:rsidRPr="006739CC">
        <w:rPr>
          <w:rStyle w:val="FootnoteReference"/>
          <w:rFonts w:ascii="Times New Roman" w:hAnsi="Times New Roman" w:cs="Times New Roman"/>
          <w:sz w:val="16"/>
          <w:szCs w:val="16"/>
          <w:lang w:val="sr-Cyrl-RS"/>
        </w:rPr>
        <w:footnoteRef/>
      </w:r>
      <w:r w:rsidRPr="006739CC">
        <w:rPr>
          <w:rFonts w:ascii="Times New Roman" w:hAnsi="Times New Roman" w:cs="Times New Roman"/>
          <w:sz w:val="16"/>
          <w:szCs w:val="16"/>
          <w:lang w:val="sr-Cyrl-RS"/>
        </w:rPr>
        <w:t xml:space="preserve"> </w:t>
      </w:r>
      <w:r>
        <w:rPr>
          <w:rFonts w:ascii="Times New Roman" w:hAnsi="Times New Roman" w:cs="Times New Roman"/>
          <w:sz w:val="16"/>
          <w:szCs w:val="16"/>
          <w:lang w:val="sr-Latn-RS"/>
        </w:rPr>
        <w:t>Activity previously described in Table</w:t>
      </w:r>
      <w:r w:rsidRPr="006739CC">
        <w:rPr>
          <w:rFonts w:ascii="Times New Roman" w:hAnsi="Times New Roman" w:cs="Times New Roman"/>
          <w:sz w:val="16"/>
          <w:szCs w:val="16"/>
          <w:lang w:val="sr-Cyrl-RS"/>
        </w:rPr>
        <w:t xml:space="preserve"> 5.4.6-1</w:t>
      </w:r>
    </w:p>
  </w:footnote>
  <w:footnote w:id="39">
    <w:p w14:paraId="044A9D3A" w14:textId="72C3AC28" w:rsidR="00435778" w:rsidRPr="006739CC" w:rsidRDefault="00435778" w:rsidP="00435778">
      <w:pPr>
        <w:pStyle w:val="FootnoteText"/>
        <w:rPr>
          <w:rFonts w:ascii="Times New Roman" w:hAnsi="Times New Roman" w:cs="Times New Roman"/>
          <w:noProof w:val="0"/>
          <w:sz w:val="16"/>
          <w:szCs w:val="16"/>
          <w:lang w:val="sr-Cyrl-RS"/>
        </w:rPr>
      </w:pPr>
      <w:r w:rsidRPr="006739CC">
        <w:rPr>
          <w:rStyle w:val="FootnoteReference"/>
          <w:rFonts w:ascii="Times New Roman" w:hAnsi="Times New Roman" w:cs="Times New Roman"/>
          <w:noProof w:val="0"/>
          <w:sz w:val="16"/>
          <w:szCs w:val="16"/>
          <w:lang w:val="sr-Cyrl-RS"/>
        </w:rPr>
        <w:footnoteRef/>
      </w:r>
      <w:r>
        <w:rPr>
          <w:rFonts w:ascii="Times New Roman" w:hAnsi="Times New Roman" w:cs="Times New Roman"/>
          <w:noProof w:val="0"/>
          <w:sz w:val="16"/>
          <w:szCs w:val="16"/>
          <w:lang w:val="sr-Latn-RS"/>
        </w:rPr>
        <w:t xml:space="preserve"> </w:t>
      </w:r>
      <w:r>
        <w:rPr>
          <w:rFonts w:ascii="Times New Roman" w:hAnsi="Times New Roman" w:cs="Times New Roman"/>
          <w:noProof w:val="0"/>
          <w:sz w:val="16"/>
          <w:szCs w:val="16"/>
          <w:lang w:val="sr-Latn-RS"/>
        </w:rPr>
        <w:t>M</w:t>
      </w:r>
      <w:r w:rsidR="0010715F">
        <w:rPr>
          <w:rFonts w:ascii="Times New Roman" w:hAnsi="Times New Roman" w:cs="Times New Roman"/>
          <w:noProof w:val="0"/>
          <w:sz w:val="16"/>
          <w:szCs w:val="16"/>
          <w:lang w:val="sr-Latn-RS"/>
        </w:rPr>
        <w:t>o</w:t>
      </w:r>
      <w:r>
        <w:rPr>
          <w:rFonts w:ascii="Times New Roman" w:hAnsi="Times New Roman" w:cs="Times New Roman"/>
          <w:noProof w:val="0"/>
          <w:sz w:val="16"/>
          <w:szCs w:val="16"/>
          <w:lang w:val="sr-Latn-RS"/>
        </w:rPr>
        <w:t>ME</w:t>
      </w:r>
      <w:r w:rsidRPr="006739CC">
        <w:rPr>
          <w:rFonts w:ascii="Times New Roman" w:hAnsi="Times New Roman" w:cs="Times New Roman"/>
          <w:noProof w:val="0"/>
          <w:sz w:val="16"/>
          <w:szCs w:val="16"/>
          <w:lang w:val="sr-Cyrl-RS"/>
        </w:rPr>
        <w:t xml:space="preserve">, </w:t>
      </w:r>
      <w:r w:rsidRPr="001A6076">
        <w:rPr>
          <w:rFonts w:ascii="Times New Roman" w:hAnsi="Times New Roman" w:cs="Times New Roman"/>
          <w:noProof w:val="0"/>
          <w:sz w:val="16"/>
          <w:szCs w:val="16"/>
          <w:lang w:val="sr-Cyrl-RS"/>
        </w:rPr>
        <w:t xml:space="preserve">The </w:t>
      </w:r>
      <w:proofErr w:type="spellStart"/>
      <w:r w:rsidRPr="001A6076">
        <w:rPr>
          <w:rFonts w:ascii="Times New Roman" w:hAnsi="Times New Roman" w:cs="Times New Roman"/>
          <w:noProof w:val="0"/>
          <w:sz w:val="16"/>
          <w:szCs w:val="16"/>
          <w:lang w:val="sr-Cyrl-RS"/>
        </w:rPr>
        <w:t>report</w:t>
      </w:r>
      <w:proofErr w:type="spellEnd"/>
      <w:r w:rsidRPr="001A6076">
        <w:rPr>
          <w:rFonts w:ascii="Times New Roman" w:hAnsi="Times New Roman" w:cs="Times New Roman"/>
          <w:noProof w:val="0"/>
          <w:sz w:val="16"/>
          <w:szCs w:val="16"/>
          <w:lang w:val="sr-Cyrl-RS"/>
        </w:rPr>
        <w:t xml:space="preserve"> </w:t>
      </w:r>
      <w:proofErr w:type="spellStart"/>
      <w:r w:rsidRPr="001A6076">
        <w:rPr>
          <w:rFonts w:ascii="Times New Roman" w:hAnsi="Times New Roman" w:cs="Times New Roman"/>
          <w:noProof w:val="0"/>
          <w:sz w:val="16"/>
          <w:szCs w:val="16"/>
          <w:lang w:val="sr-Cyrl-RS"/>
        </w:rPr>
        <w:t>provides</w:t>
      </w:r>
      <w:proofErr w:type="spellEnd"/>
      <w:r w:rsidRPr="001A6076">
        <w:rPr>
          <w:rFonts w:ascii="Times New Roman" w:hAnsi="Times New Roman" w:cs="Times New Roman"/>
          <w:noProof w:val="0"/>
          <w:sz w:val="16"/>
          <w:szCs w:val="16"/>
          <w:lang w:val="sr-Cyrl-RS"/>
        </w:rPr>
        <w:t xml:space="preserve"> the </w:t>
      </w:r>
      <w:proofErr w:type="spellStart"/>
      <w:r w:rsidRPr="001A6076">
        <w:rPr>
          <w:rFonts w:ascii="Times New Roman" w:hAnsi="Times New Roman" w:cs="Times New Roman"/>
          <w:noProof w:val="0"/>
          <w:sz w:val="16"/>
          <w:szCs w:val="16"/>
          <w:lang w:val="sr-Cyrl-RS"/>
        </w:rPr>
        <w:t>foundation</w:t>
      </w:r>
      <w:proofErr w:type="spellEnd"/>
      <w:r w:rsidRPr="001A6076">
        <w:rPr>
          <w:rFonts w:ascii="Times New Roman" w:hAnsi="Times New Roman" w:cs="Times New Roman"/>
          <w:noProof w:val="0"/>
          <w:sz w:val="16"/>
          <w:szCs w:val="16"/>
          <w:lang w:val="sr-Cyrl-RS"/>
        </w:rPr>
        <w:t xml:space="preserve"> for </w:t>
      </w:r>
      <w:proofErr w:type="spellStart"/>
      <w:r w:rsidRPr="001A6076">
        <w:rPr>
          <w:rFonts w:ascii="Times New Roman" w:hAnsi="Times New Roman" w:cs="Times New Roman"/>
          <w:noProof w:val="0"/>
          <w:sz w:val="16"/>
          <w:szCs w:val="16"/>
          <w:lang w:val="sr-Cyrl-RS"/>
        </w:rPr>
        <w:t>drafting</w:t>
      </w:r>
      <w:proofErr w:type="spellEnd"/>
      <w:r w:rsidRPr="001A6076">
        <w:rPr>
          <w:rFonts w:ascii="Times New Roman" w:hAnsi="Times New Roman" w:cs="Times New Roman"/>
          <w:noProof w:val="0"/>
          <w:sz w:val="16"/>
          <w:szCs w:val="16"/>
          <w:lang w:val="sr-Cyrl-RS"/>
        </w:rPr>
        <w:t xml:space="preserve"> the </w:t>
      </w:r>
      <w:proofErr w:type="spellStart"/>
      <w:r w:rsidRPr="001A6076">
        <w:rPr>
          <w:rFonts w:ascii="Times New Roman" w:hAnsi="Times New Roman" w:cs="Times New Roman"/>
          <w:noProof w:val="0"/>
          <w:sz w:val="16"/>
          <w:szCs w:val="16"/>
          <w:lang w:val="sr-Cyrl-RS"/>
        </w:rPr>
        <w:t>report</w:t>
      </w:r>
      <w:proofErr w:type="spellEnd"/>
      <w:r>
        <w:rPr>
          <w:rFonts w:ascii="Times New Roman" w:hAnsi="Times New Roman" w:cs="Times New Roman"/>
          <w:noProof w:val="0"/>
          <w:sz w:val="16"/>
          <w:szCs w:val="16"/>
          <w:lang w:val="sr-Latn-RS"/>
        </w:rPr>
        <w:t xml:space="preserve"> ’’</w:t>
      </w:r>
      <w:r w:rsidRPr="006739CC">
        <w:rPr>
          <w:rFonts w:ascii="Times New Roman" w:hAnsi="Times New Roman" w:cs="Times New Roman"/>
          <w:noProof w:val="0"/>
          <w:sz w:val="16"/>
          <w:szCs w:val="16"/>
          <w:lang w:val="sr-Cyrl-RS"/>
        </w:rPr>
        <w:t xml:space="preserve">SECURITY OF SUPPLY STATEMENT”, 2024. </w:t>
      </w:r>
    </w:p>
  </w:footnote>
  <w:footnote w:id="40">
    <w:p w14:paraId="3D7E7AA9" w14:textId="77777777" w:rsidR="00435778" w:rsidRPr="006739CC" w:rsidRDefault="00435778" w:rsidP="00435778">
      <w:pPr>
        <w:pStyle w:val="FootnoteText"/>
        <w:rPr>
          <w:rFonts w:ascii="Times New Roman" w:hAnsi="Times New Roman" w:cs="Times New Roman"/>
          <w:sz w:val="16"/>
          <w:szCs w:val="16"/>
          <w:lang w:val="sr-Latn-RS"/>
        </w:rPr>
      </w:pPr>
      <w:r w:rsidRPr="006739CC">
        <w:rPr>
          <w:rStyle w:val="FootnoteReference"/>
          <w:rFonts w:ascii="Times New Roman" w:hAnsi="Times New Roman" w:cs="Times New Roman"/>
          <w:sz w:val="16"/>
          <w:szCs w:val="16"/>
        </w:rPr>
        <w:footnoteRef/>
      </w:r>
      <w:r w:rsidRPr="006739CC">
        <w:rPr>
          <w:rFonts w:ascii="Times New Roman" w:hAnsi="Times New Roman" w:cs="Times New Roman"/>
          <w:sz w:val="16"/>
          <w:szCs w:val="16"/>
        </w:rPr>
        <w:t xml:space="preserve"> </w:t>
      </w:r>
      <w:r w:rsidRPr="001A6076">
        <w:rPr>
          <w:rFonts w:ascii="Times New Roman" w:hAnsi="Times New Roman" w:cs="Times New Roman"/>
          <w:sz w:val="16"/>
          <w:szCs w:val="16"/>
        </w:rPr>
        <w:t>Sum of squared percentage shares of each interconnection and LNG terminal supply</w:t>
      </w:r>
    </w:p>
  </w:footnote>
  <w:footnote w:id="41">
    <w:p w14:paraId="38346EE6" w14:textId="0115D2DC" w:rsidR="00435778" w:rsidRPr="006739CC" w:rsidRDefault="00435778" w:rsidP="00435778">
      <w:pPr>
        <w:pStyle w:val="FootnoteText"/>
        <w:rPr>
          <w:rFonts w:ascii="Times New Roman" w:hAnsi="Times New Roman" w:cs="Times New Roman"/>
          <w:noProof w:val="0"/>
          <w:sz w:val="16"/>
          <w:szCs w:val="16"/>
          <w:lang w:val="sr-Cyrl-RS"/>
        </w:rPr>
      </w:pPr>
      <w:r w:rsidRPr="006739CC">
        <w:rPr>
          <w:rStyle w:val="FootnoteReference"/>
          <w:rFonts w:ascii="Times New Roman" w:hAnsi="Times New Roman" w:cs="Times New Roman"/>
          <w:noProof w:val="0"/>
          <w:sz w:val="16"/>
          <w:szCs w:val="16"/>
          <w:lang w:val="sr-Cyrl-RS"/>
        </w:rPr>
        <w:footnoteRef/>
      </w:r>
      <w:r w:rsidRPr="006739CC">
        <w:rPr>
          <w:rFonts w:ascii="Times New Roman" w:hAnsi="Times New Roman" w:cs="Times New Roman"/>
          <w:noProof w:val="0"/>
          <w:sz w:val="16"/>
          <w:szCs w:val="16"/>
          <w:lang w:val="sr-Cyrl-RS"/>
        </w:rPr>
        <w:t xml:space="preserve"> </w:t>
      </w:r>
      <w:r>
        <w:rPr>
          <w:rFonts w:ascii="Times New Roman" w:hAnsi="Times New Roman" w:cs="Times New Roman"/>
          <w:noProof w:val="0"/>
          <w:sz w:val="16"/>
          <w:szCs w:val="16"/>
          <w:lang w:val="sr-Latn-RS"/>
        </w:rPr>
        <w:t>M</w:t>
      </w:r>
      <w:r w:rsidR="0010715F">
        <w:rPr>
          <w:rFonts w:ascii="Times New Roman" w:hAnsi="Times New Roman" w:cs="Times New Roman"/>
          <w:noProof w:val="0"/>
          <w:sz w:val="16"/>
          <w:szCs w:val="16"/>
          <w:lang w:val="sr-Latn-RS"/>
        </w:rPr>
        <w:t>o</w:t>
      </w:r>
      <w:r>
        <w:rPr>
          <w:rFonts w:ascii="Times New Roman" w:hAnsi="Times New Roman" w:cs="Times New Roman"/>
          <w:noProof w:val="0"/>
          <w:sz w:val="16"/>
          <w:szCs w:val="16"/>
          <w:lang w:val="sr-Latn-RS"/>
        </w:rPr>
        <w:t>ME</w:t>
      </w:r>
      <w:r w:rsidRPr="006739CC">
        <w:rPr>
          <w:rFonts w:ascii="Times New Roman" w:hAnsi="Times New Roman" w:cs="Times New Roman"/>
          <w:noProof w:val="0"/>
          <w:sz w:val="16"/>
          <w:szCs w:val="16"/>
          <w:lang w:val="sr-Cyrl-RS"/>
        </w:rPr>
        <w:t xml:space="preserve">, </w:t>
      </w:r>
      <w:r w:rsidRPr="001A6076">
        <w:rPr>
          <w:rFonts w:ascii="Times New Roman" w:hAnsi="Times New Roman" w:cs="Times New Roman"/>
          <w:noProof w:val="0"/>
          <w:sz w:val="16"/>
          <w:szCs w:val="16"/>
          <w:lang w:val="sr-Cyrl-RS"/>
        </w:rPr>
        <w:t xml:space="preserve">The </w:t>
      </w:r>
      <w:proofErr w:type="spellStart"/>
      <w:r w:rsidRPr="001A6076">
        <w:rPr>
          <w:rFonts w:ascii="Times New Roman" w:hAnsi="Times New Roman" w:cs="Times New Roman"/>
          <w:noProof w:val="0"/>
          <w:sz w:val="16"/>
          <w:szCs w:val="16"/>
          <w:lang w:val="sr-Cyrl-RS"/>
        </w:rPr>
        <w:t>report</w:t>
      </w:r>
      <w:proofErr w:type="spellEnd"/>
      <w:r w:rsidRPr="001A6076">
        <w:rPr>
          <w:rFonts w:ascii="Times New Roman" w:hAnsi="Times New Roman" w:cs="Times New Roman"/>
          <w:noProof w:val="0"/>
          <w:sz w:val="16"/>
          <w:szCs w:val="16"/>
          <w:lang w:val="sr-Cyrl-RS"/>
        </w:rPr>
        <w:t xml:space="preserve"> </w:t>
      </w:r>
      <w:proofErr w:type="spellStart"/>
      <w:r w:rsidRPr="001A6076">
        <w:rPr>
          <w:rFonts w:ascii="Times New Roman" w:hAnsi="Times New Roman" w:cs="Times New Roman"/>
          <w:noProof w:val="0"/>
          <w:sz w:val="16"/>
          <w:szCs w:val="16"/>
          <w:lang w:val="sr-Cyrl-RS"/>
        </w:rPr>
        <w:t>provides</w:t>
      </w:r>
      <w:proofErr w:type="spellEnd"/>
      <w:r w:rsidRPr="001A6076">
        <w:rPr>
          <w:rFonts w:ascii="Times New Roman" w:hAnsi="Times New Roman" w:cs="Times New Roman"/>
          <w:noProof w:val="0"/>
          <w:sz w:val="16"/>
          <w:szCs w:val="16"/>
          <w:lang w:val="sr-Cyrl-RS"/>
        </w:rPr>
        <w:t xml:space="preserve"> the </w:t>
      </w:r>
      <w:proofErr w:type="spellStart"/>
      <w:r w:rsidRPr="001A6076">
        <w:rPr>
          <w:rFonts w:ascii="Times New Roman" w:hAnsi="Times New Roman" w:cs="Times New Roman"/>
          <w:noProof w:val="0"/>
          <w:sz w:val="16"/>
          <w:szCs w:val="16"/>
          <w:lang w:val="sr-Cyrl-RS"/>
        </w:rPr>
        <w:t>foundation</w:t>
      </w:r>
      <w:proofErr w:type="spellEnd"/>
      <w:r w:rsidRPr="001A6076">
        <w:rPr>
          <w:rFonts w:ascii="Times New Roman" w:hAnsi="Times New Roman" w:cs="Times New Roman"/>
          <w:noProof w:val="0"/>
          <w:sz w:val="16"/>
          <w:szCs w:val="16"/>
          <w:lang w:val="sr-Cyrl-RS"/>
        </w:rPr>
        <w:t xml:space="preserve"> for </w:t>
      </w:r>
      <w:proofErr w:type="spellStart"/>
      <w:r w:rsidRPr="001A6076">
        <w:rPr>
          <w:rFonts w:ascii="Times New Roman" w:hAnsi="Times New Roman" w:cs="Times New Roman"/>
          <w:noProof w:val="0"/>
          <w:sz w:val="16"/>
          <w:szCs w:val="16"/>
          <w:lang w:val="sr-Cyrl-RS"/>
        </w:rPr>
        <w:t>drafting</w:t>
      </w:r>
      <w:proofErr w:type="spellEnd"/>
      <w:r w:rsidRPr="001A6076">
        <w:rPr>
          <w:rFonts w:ascii="Times New Roman" w:hAnsi="Times New Roman" w:cs="Times New Roman"/>
          <w:noProof w:val="0"/>
          <w:sz w:val="16"/>
          <w:szCs w:val="16"/>
          <w:lang w:val="sr-Cyrl-RS"/>
        </w:rPr>
        <w:t xml:space="preserve"> the </w:t>
      </w:r>
      <w:proofErr w:type="spellStart"/>
      <w:r w:rsidRPr="001A6076">
        <w:rPr>
          <w:rFonts w:ascii="Times New Roman" w:hAnsi="Times New Roman" w:cs="Times New Roman"/>
          <w:noProof w:val="0"/>
          <w:sz w:val="16"/>
          <w:szCs w:val="16"/>
          <w:lang w:val="sr-Cyrl-RS"/>
        </w:rPr>
        <w:t>report</w:t>
      </w:r>
      <w:proofErr w:type="spellEnd"/>
      <w:r>
        <w:rPr>
          <w:rFonts w:ascii="Times New Roman" w:hAnsi="Times New Roman" w:cs="Times New Roman"/>
          <w:noProof w:val="0"/>
          <w:sz w:val="16"/>
          <w:szCs w:val="16"/>
          <w:lang w:val="sr-Latn-RS"/>
        </w:rPr>
        <w:t xml:space="preserve"> ’’S</w:t>
      </w:r>
      <w:r w:rsidRPr="006739CC">
        <w:rPr>
          <w:rFonts w:ascii="Times New Roman" w:hAnsi="Times New Roman" w:cs="Times New Roman"/>
          <w:noProof w:val="0"/>
          <w:sz w:val="16"/>
          <w:szCs w:val="16"/>
          <w:lang w:val="sr-Cyrl-RS"/>
        </w:rPr>
        <w:t xml:space="preserve">ECURITY OF SUPPLY STATEMENT”, 2024. </w:t>
      </w:r>
    </w:p>
  </w:footnote>
  <w:footnote w:id="42">
    <w:p w14:paraId="4E8F4EA9" w14:textId="77777777" w:rsidR="00435778" w:rsidRPr="006739CC" w:rsidRDefault="00435778" w:rsidP="00435778">
      <w:pPr>
        <w:pStyle w:val="FootnoteText"/>
        <w:rPr>
          <w:rFonts w:ascii="Times New Roman" w:hAnsi="Times New Roman" w:cs="Times New Roman"/>
          <w:noProof w:val="0"/>
          <w:sz w:val="16"/>
          <w:szCs w:val="16"/>
          <w:lang w:val="sr-Cyrl-RS"/>
        </w:rPr>
      </w:pPr>
      <w:r w:rsidRPr="006739CC">
        <w:rPr>
          <w:rStyle w:val="FootnoteReference"/>
          <w:rFonts w:ascii="Times New Roman" w:hAnsi="Times New Roman" w:cs="Times New Roman"/>
          <w:noProof w:val="0"/>
          <w:sz w:val="16"/>
          <w:szCs w:val="16"/>
          <w:lang w:val="sr-Cyrl-RS"/>
        </w:rPr>
        <w:footnoteRef/>
      </w:r>
      <w:r>
        <w:rPr>
          <w:rFonts w:ascii="Times New Roman" w:hAnsi="Times New Roman" w:cs="Times New Roman"/>
          <w:noProof w:val="0"/>
          <w:sz w:val="16"/>
          <w:szCs w:val="16"/>
          <w:lang w:val="sr-Latn-RS"/>
        </w:rPr>
        <w:t>AERS</w:t>
      </w:r>
      <w:r w:rsidRPr="006739CC">
        <w:rPr>
          <w:rFonts w:ascii="Times New Roman" w:hAnsi="Times New Roman" w:cs="Times New Roman"/>
          <w:noProof w:val="0"/>
          <w:sz w:val="16"/>
          <w:szCs w:val="16"/>
          <w:lang w:val="sr-Cyrl-RS"/>
        </w:rPr>
        <w:t xml:space="preserve">, </w:t>
      </w:r>
      <w:proofErr w:type="spellStart"/>
      <w:r w:rsidRPr="001A6076">
        <w:rPr>
          <w:rFonts w:ascii="Times New Roman" w:hAnsi="Times New Roman" w:cs="Times New Roman"/>
          <w:noProof w:val="0"/>
          <w:sz w:val="16"/>
          <w:szCs w:val="16"/>
          <w:lang w:val="sr-Cyrl-RS"/>
        </w:rPr>
        <w:t>Report</w:t>
      </w:r>
      <w:proofErr w:type="spellEnd"/>
      <w:r w:rsidRPr="001A6076">
        <w:rPr>
          <w:rFonts w:ascii="Times New Roman" w:hAnsi="Times New Roman" w:cs="Times New Roman"/>
          <w:noProof w:val="0"/>
          <w:sz w:val="16"/>
          <w:szCs w:val="16"/>
          <w:lang w:val="sr-Cyrl-RS"/>
        </w:rPr>
        <w:t xml:space="preserve"> </w:t>
      </w:r>
      <w:proofErr w:type="spellStart"/>
      <w:r w:rsidRPr="001A6076">
        <w:rPr>
          <w:rFonts w:ascii="Times New Roman" w:hAnsi="Times New Roman" w:cs="Times New Roman"/>
          <w:noProof w:val="0"/>
          <w:sz w:val="16"/>
          <w:szCs w:val="16"/>
          <w:lang w:val="sr-Cyrl-RS"/>
        </w:rPr>
        <w:t>on</w:t>
      </w:r>
      <w:proofErr w:type="spellEnd"/>
      <w:r w:rsidRPr="001A6076">
        <w:rPr>
          <w:rFonts w:ascii="Times New Roman" w:hAnsi="Times New Roman" w:cs="Times New Roman"/>
          <w:noProof w:val="0"/>
          <w:sz w:val="16"/>
          <w:szCs w:val="16"/>
          <w:lang w:val="sr-Cyrl-RS"/>
        </w:rPr>
        <w:t xml:space="preserve"> the </w:t>
      </w:r>
      <w:proofErr w:type="spellStart"/>
      <w:r w:rsidRPr="001A6076">
        <w:rPr>
          <w:rFonts w:ascii="Times New Roman" w:hAnsi="Times New Roman" w:cs="Times New Roman"/>
          <w:noProof w:val="0"/>
          <w:sz w:val="16"/>
          <w:szCs w:val="16"/>
          <w:lang w:val="sr-Cyrl-RS"/>
        </w:rPr>
        <w:t>Work</w:t>
      </w:r>
      <w:proofErr w:type="spellEnd"/>
      <w:r w:rsidRPr="001A6076">
        <w:rPr>
          <w:rFonts w:ascii="Times New Roman" w:hAnsi="Times New Roman" w:cs="Times New Roman"/>
          <w:noProof w:val="0"/>
          <w:sz w:val="16"/>
          <w:szCs w:val="16"/>
          <w:lang w:val="sr-Cyrl-RS"/>
        </w:rPr>
        <w:t xml:space="preserve"> </w:t>
      </w:r>
      <w:proofErr w:type="spellStart"/>
      <w:r w:rsidRPr="001A6076">
        <w:rPr>
          <w:rFonts w:ascii="Times New Roman" w:hAnsi="Times New Roman" w:cs="Times New Roman"/>
          <w:noProof w:val="0"/>
          <w:sz w:val="16"/>
          <w:szCs w:val="16"/>
          <w:lang w:val="sr-Cyrl-RS"/>
        </w:rPr>
        <w:t>of</w:t>
      </w:r>
      <w:proofErr w:type="spellEnd"/>
      <w:r w:rsidRPr="001A6076">
        <w:rPr>
          <w:rFonts w:ascii="Times New Roman" w:hAnsi="Times New Roman" w:cs="Times New Roman"/>
          <w:noProof w:val="0"/>
          <w:sz w:val="16"/>
          <w:szCs w:val="16"/>
          <w:lang w:val="sr-Cyrl-RS"/>
        </w:rPr>
        <w:t xml:space="preserve"> the Energy </w:t>
      </w:r>
      <w:proofErr w:type="spellStart"/>
      <w:r w:rsidRPr="001A6076">
        <w:rPr>
          <w:rFonts w:ascii="Times New Roman" w:hAnsi="Times New Roman" w:cs="Times New Roman"/>
          <w:noProof w:val="0"/>
          <w:sz w:val="16"/>
          <w:szCs w:val="16"/>
          <w:lang w:val="sr-Cyrl-RS"/>
        </w:rPr>
        <w:t>Agency</w:t>
      </w:r>
      <w:proofErr w:type="spellEnd"/>
      <w:r w:rsidRPr="001A6076">
        <w:rPr>
          <w:rFonts w:ascii="Times New Roman" w:hAnsi="Times New Roman" w:cs="Times New Roman"/>
          <w:noProof w:val="0"/>
          <w:sz w:val="16"/>
          <w:szCs w:val="16"/>
          <w:lang w:val="sr-Cyrl-RS"/>
        </w:rPr>
        <w:t xml:space="preserve"> for 2023 – </w:t>
      </w:r>
      <w:proofErr w:type="spellStart"/>
      <w:r w:rsidRPr="001A6076">
        <w:rPr>
          <w:rFonts w:ascii="Times New Roman" w:hAnsi="Times New Roman" w:cs="Times New Roman"/>
          <w:noProof w:val="0"/>
          <w:sz w:val="16"/>
          <w:szCs w:val="16"/>
          <w:lang w:val="sr-Cyrl-RS"/>
        </w:rPr>
        <w:t>Report</w:t>
      </w:r>
      <w:proofErr w:type="spellEnd"/>
      <w:r w:rsidRPr="001A6076">
        <w:rPr>
          <w:rFonts w:ascii="Times New Roman" w:hAnsi="Times New Roman" w:cs="Times New Roman"/>
          <w:noProof w:val="0"/>
          <w:sz w:val="16"/>
          <w:szCs w:val="16"/>
          <w:lang w:val="sr-Cyrl-RS"/>
        </w:rPr>
        <w:t xml:space="preserve"> </w:t>
      </w:r>
      <w:proofErr w:type="spellStart"/>
      <w:r w:rsidRPr="001A6076">
        <w:rPr>
          <w:rFonts w:ascii="Times New Roman" w:hAnsi="Times New Roman" w:cs="Times New Roman"/>
          <w:noProof w:val="0"/>
          <w:sz w:val="16"/>
          <w:szCs w:val="16"/>
          <w:lang w:val="sr-Cyrl-RS"/>
        </w:rPr>
        <w:t>on</w:t>
      </w:r>
      <w:proofErr w:type="spellEnd"/>
      <w:r w:rsidRPr="001A6076">
        <w:rPr>
          <w:rFonts w:ascii="Times New Roman" w:hAnsi="Times New Roman" w:cs="Times New Roman"/>
          <w:noProof w:val="0"/>
          <w:sz w:val="16"/>
          <w:szCs w:val="16"/>
          <w:lang w:val="sr-Cyrl-RS"/>
        </w:rPr>
        <w:t xml:space="preserve"> the </w:t>
      </w:r>
      <w:proofErr w:type="spellStart"/>
      <w:r w:rsidRPr="001A6076">
        <w:rPr>
          <w:rFonts w:ascii="Times New Roman" w:hAnsi="Times New Roman" w:cs="Times New Roman"/>
          <w:noProof w:val="0"/>
          <w:sz w:val="16"/>
          <w:szCs w:val="16"/>
          <w:lang w:val="sr-Cyrl-RS"/>
        </w:rPr>
        <w:t>State</w:t>
      </w:r>
      <w:proofErr w:type="spellEnd"/>
      <w:r w:rsidRPr="001A6076">
        <w:rPr>
          <w:rFonts w:ascii="Times New Roman" w:hAnsi="Times New Roman" w:cs="Times New Roman"/>
          <w:noProof w:val="0"/>
          <w:sz w:val="16"/>
          <w:szCs w:val="16"/>
          <w:lang w:val="sr-Cyrl-RS"/>
        </w:rPr>
        <w:t xml:space="preserve"> </w:t>
      </w:r>
      <w:proofErr w:type="spellStart"/>
      <w:r w:rsidRPr="001A6076">
        <w:rPr>
          <w:rFonts w:ascii="Times New Roman" w:hAnsi="Times New Roman" w:cs="Times New Roman"/>
          <w:noProof w:val="0"/>
          <w:sz w:val="16"/>
          <w:szCs w:val="16"/>
          <w:lang w:val="sr-Cyrl-RS"/>
        </w:rPr>
        <w:t>of</w:t>
      </w:r>
      <w:proofErr w:type="spellEnd"/>
      <w:r w:rsidRPr="001A6076">
        <w:rPr>
          <w:rFonts w:ascii="Times New Roman" w:hAnsi="Times New Roman" w:cs="Times New Roman"/>
          <w:noProof w:val="0"/>
          <w:sz w:val="16"/>
          <w:szCs w:val="16"/>
          <w:lang w:val="sr-Cyrl-RS"/>
        </w:rPr>
        <w:t xml:space="preserve"> the Energy </w:t>
      </w:r>
      <w:proofErr w:type="spellStart"/>
      <w:r w:rsidRPr="001A6076">
        <w:rPr>
          <w:rFonts w:ascii="Times New Roman" w:hAnsi="Times New Roman" w:cs="Times New Roman"/>
          <w:noProof w:val="0"/>
          <w:sz w:val="16"/>
          <w:szCs w:val="16"/>
          <w:lang w:val="sr-Cyrl-RS"/>
        </w:rPr>
        <w:t>Sector</w:t>
      </w:r>
      <w:proofErr w:type="spellEnd"/>
      <w:r w:rsidRPr="001A6076">
        <w:rPr>
          <w:rFonts w:ascii="Times New Roman" w:hAnsi="Times New Roman" w:cs="Times New Roman"/>
          <w:noProof w:val="0"/>
          <w:sz w:val="16"/>
          <w:szCs w:val="16"/>
          <w:lang w:val="sr-Cyrl-RS"/>
        </w:rPr>
        <w:t xml:space="preserve"> </w:t>
      </w:r>
      <w:proofErr w:type="spellStart"/>
      <w:r w:rsidRPr="001A6076">
        <w:rPr>
          <w:rFonts w:ascii="Times New Roman" w:hAnsi="Times New Roman" w:cs="Times New Roman"/>
          <w:noProof w:val="0"/>
          <w:sz w:val="16"/>
          <w:szCs w:val="16"/>
          <w:lang w:val="sr-Cyrl-RS"/>
        </w:rPr>
        <w:t>in</w:t>
      </w:r>
      <w:proofErr w:type="spellEnd"/>
      <w:r w:rsidRPr="001A6076">
        <w:rPr>
          <w:rFonts w:ascii="Times New Roman" w:hAnsi="Times New Roman" w:cs="Times New Roman"/>
          <w:noProof w:val="0"/>
          <w:sz w:val="16"/>
          <w:szCs w:val="16"/>
          <w:lang w:val="sr-Cyrl-RS"/>
        </w:rPr>
        <w:t xml:space="preserve"> </w:t>
      </w:r>
      <w:proofErr w:type="spellStart"/>
      <w:r w:rsidRPr="001A6076">
        <w:rPr>
          <w:rFonts w:ascii="Times New Roman" w:hAnsi="Times New Roman" w:cs="Times New Roman"/>
          <w:noProof w:val="0"/>
          <w:sz w:val="16"/>
          <w:szCs w:val="16"/>
          <w:lang w:val="sr-Cyrl-RS"/>
        </w:rPr>
        <w:t>Serbia</w:t>
      </w:r>
      <w:proofErr w:type="spellEnd"/>
      <w:r w:rsidRPr="006739CC">
        <w:rPr>
          <w:rFonts w:ascii="Times New Roman" w:hAnsi="Times New Roman" w:cs="Times New Roman"/>
          <w:noProof w:val="0"/>
          <w:sz w:val="16"/>
          <w:szCs w:val="16"/>
          <w:lang w:val="sr-Cyrl-RS"/>
        </w:rPr>
        <w:t>, 2024.</w:t>
      </w:r>
    </w:p>
  </w:footnote>
  <w:footnote w:id="43">
    <w:p w14:paraId="6AC992D1" w14:textId="77777777" w:rsidR="00435778" w:rsidRPr="006739CC" w:rsidRDefault="00435778" w:rsidP="00435778">
      <w:pPr>
        <w:pStyle w:val="FootnoteText"/>
        <w:rPr>
          <w:rFonts w:ascii="Times New Roman" w:hAnsi="Times New Roman" w:cs="Times New Roman"/>
          <w:noProof w:val="0"/>
          <w:sz w:val="16"/>
          <w:szCs w:val="16"/>
          <w:lang w:val="sr-Cyrl-RS"/>
        </w:rPr>
      </w:pPr>
      <w:r w:rsidRPr="006739CC">
        <w:rPr>
          <w:rStyle w:val="FootnoteReference"/>
          <w:rFonts w:ascii="Times New Roman" w:hAnsi="Times New Roman" w:cs="Times New Roman"/>
          <w:noProof w:val="0"/>
          <w:sz w:val="16"/>
          <w:szCs w:val="16"/>
          <w:lang w:val="sr-Cyrl-RS"/>
        </w:rPr>
        <w:footnoteRef/>
      </w:r>
      <w:proofErr w:type="spellStart"/>
      <w:r w:rsidRPr="001A6076">
        <w:rPr>
          <w:rFonts w:ascii="Times New Roman" w:hAnsi="Times New Roman" w:cs="Times New Roman"/>
          <w:noProof w:val="0"/>
          <w:sz w:val="16"/>
          <w:szCs w:val="16"/>
          <w:lang w:val="sr-Cyrl-RS"/>
        </w:rPr>
        <w:t>Calculated</w:t>
      </w:r>
      <w:proofErr w:type="spellEnd"/>
      <w:r w:rsidRPr="001A6076">
        <w:rPr>
          <w:rFonts w:ascii="Times New Roman" w:hAnsi="Times New Roman" w:cs="Times New Roman"/>
          <w:noProof w:val="0"/>
          <w:sz w:val="16"/>
          <w:szCs w:val="16"/>
          <w:lang w:val="sr-Cyrl-RS"/>
        </w:rPr>
        <w:t xml:space="preserve"> </w:t>
      </w:r>
      <w:proofErr w:type="spellStart"/>
      <w:r w:rsidRPr="001A6076">
        <w:rPr>
          <w:rFonts w:ascii="Times New Roman" w:hAnsi="Times New Roman" w:cs="Times New Roman"/>
          <w:noProof w:val="0"/>
          <w:sz w:val="16"/>
          <w:szCs w:val="16"/>
          <w:lang w:val="sr-Cyrl-RS"/>
        </w:rPr>
        <w:t>based</w:t>
      </w:r>
      <w:proofErr w:type="spellEnd"/>
      <w:r w:rsidRPr="001A6076">
        <w:rPr>
          <w:rFonts w:ascii="Times New Roman" w:hAnsi="Times New Roman" w:cs="Times New Roman"/>
          <w:noProof w:val="0"/>
          <w:sz w:val="16"/>
          <w:szCs w:val="16"/>
          <w:lang w:val="sr-Cyrl-RS"/>
        </w:rPr>
        <w:t xml:space="preserve"> </w:t>
      </w:r>
      <w:proofErr w:type="spellStart"/>
      <w:r w:rsidRPr="001A6076">
        <w:rPr>
          <w:rFonts w:ascii="Times New Roman" w:hAnsi="Times New Roman" w:cs="Times New Roman"/>
          <w:noProof w:val="0"/>
          <w:sz w:val="16"/>
          <w:szCs w:val="16"/>
          <w:lang w:val="sr-Cyrl-RS"/>
        </w:rPr>
        <w:t>on</w:t>
      </w:r>
      <w:proofErr w:type="spellEnd"/>
      <w:r w:rsidRPr="001A6076">
        <w:rPr>
          <w:rFonts w:ascii="Times New Roman" w:hAnsi="Times New Roman" w:cs="Times New Roman"/>
          <w:noProof w:val="0"/>
          <w:sz w:val="16"/>
          <w:szCs w:val="16"/>
          <w:lang w:val="sr-Cyrl-RS"/>
        </w:rPr>
        <w:t xml:space="preserve"> the AERS, </w:t>
      </w:r>
      <w:proofErr w:type="spellStart"/>
      <w:r w:rsidRPr="001A6076">
        <w:rPr>
          <w:rFonts w:ascii="Times New Roman" w:hAnsi="Times New Roman" w:cs="Times New Roman"/>
          <w:noProof w:val="0"/>
          <w:sz w:val="16"/>
          <w:szCs w:val="16"/>
          <w:lang w:val="sr-Cyrl-RS"/>
        </w:rPr>
        <w:t>Report</w:t>
      </w:r>
      <w:proofErr w:type="spellEnd"/>
      <w:r w:rsidRPr="001A6076">
        <w:rPr>
          <w:rFonts w:ascii="Times New Roman" w:hAnsi="Times New Roman" w:cs="Times New Roman"/>
          <w:noProof w:val="0"/>
          <w:sz w:val="16"/>
          <w:szCs w:val="16"/>
          <w:lang w:val="sr-Cyrl-RS"/>
        </w:rPr>
        <w:t xml:space="preserve"> </w:t>
      </w:r>
      <w:proofErr w:type="spellStart"/>
      <w:r w:rsidRPr="001A6076">
        <w:rPr>
          <w:rFonts w:ascii="Times New Roman" w:hAnsi="Times New Roman" w:cs="Times New Roman"/>
          <w:noProof w:val="0"/>
          <w:sz w:val="16"/>
          <w:szCs w:val="16"/>
          <w:lang w:val="sr-Cyrl-RS"/>
        </w:rPr>
        <w:t>on</w:t>
      </w:r>
      <w:proofErr w:type="spellEnd"/>
      <w:r w:rsidRPr="001A6076">
        <w:rPr>
          <w:rFonts w:ascii="Times New Roman" w:hAnsi="Times New Roman" w:cs="Times New Roman"/>
          <w:noProof w:val="0"/>
          <w:sz w:val="16"/>
          <w:szCs w:val="16"/>
          <w:lang w:val="sr-Cyrl-RS"/>
        </w:rPr>
        <w:t xml:space="preserve"> the </w:t>
      </w:r>
      <w:proofErr w:type="spellStart"/>
      <w:r w:rsidRPr="001A6076">
        <w:rPr>
          <w:rFonts w:ascii="Times New Roman" w:hAnsi="Times New Roman" w:cs="Times New Roman"/>
          <w:noProof w:val="0"/>
          <w:sz w:val="16"/>
          <w:szCs w:val="16"/>
          <w:lang w:val="sr-Cyrl-RS"/>
        </w:rPr>
        <w:t>Work</w:t>
      </w:r>
      <w:proofErr w:type="spellEnd"/>
      <w:r w:rsidRPr="001A6076">
        <w:rPr>
          <w:rFonts w:ascii="Times New Roman" w:hAnsi="Times New Roman" w:cs="Times New Roman"/>
          <w:noProof w:val="0"/>
          <w:sz w:val="16"/>
          <w:szCs w:val="16"/>
          <w:lang w:val="sr-Cyrl-RS"/>
        </w:rPr>
        <w:t xml:space="preserve"> </w:t>
      </w:r>
      <w:proofErr w:type="spellStart"/>
      <w:r w:rsidRPr="001A6076">
        <w:rPr>
          <w:rFonts w:ascii="Times New Roman" w:hAnsi="Times New Roman" w:cs="Times New Roman"/>
          <w:noProof w:val="0"/>
          <w:sz w:val="16"/>
          <w:szCs w:val="16"/>
          <w:lang w:val="sr-Cyrl-RS"/>
        </w:rPr>
        <w:t>of</w:t>
      </w:r>
      <w:proofErr w:type="spellEnd"/>
      <w:r w:rsidRPr="001A6076">
        <w:rPr>
          <w:rFonts w:ascii="Times New Roman" w:hAnsi="Times New Roman" w:cs="Times New Roman"/>
          <w:noProof w:val="0"/>
          <w:sz w:val="16"/>
          <w:szCs w:val="16"/>
          <w:lang w:val="sr-Cyrl-RS"/>
        </w:rPr>
        <w:t xml:space="preserve"> the Energy </w:t>
      </w:r>
      <w:proofErr w:type="spellStart"/>
      <w:r w:rsidRPr="001A6076">
        <w:rPr>
          <w:rFonts w:ascii="Times New Roman" w:hAnsi="Times New Roman" w:cs="Times New Roman"/>
          <w:noProof w:val="0"/>
          <w:sz w:val="16"/>
          <w:szCs w:val="16"/>
          <w:lang w:val="sr-Cyrl-RS"/>
        </w:rPr>
        <w:t>Agency</w:t>
      </w:r>
      <w:proofErr w:type="spellEnd"/>
      <w:r w:rsidRPr="001A6076">
        <w:rPr>
          <w:rFonts w:ascii="Times New Roman" w:hAnsi="Times New Roman" w:cs="Times New Roman"/>
          <w:noProof w:val="0"/>
          <w:sz w:val="16"/>
          <w:szCs w:val="16"/>
          <w:lang w:val="sr-Cyrl-RS"/>
        </w:rPr>
        <w:t xml:space="preserve"> for 2023 – </w:t>
      </w:r>
      <w:proofErr w:type="spellStart"/>
      <w:r w:rsidRPr="001A6076">
        <w:rPr>
          <w:rFonts w:ascii="Times New Roman" w:hAnsi="Times New Roman" w:cs="Times New Roman"/>
          <w:noProof w:val="0"/>
          <w:sz w:val="16"/>
          <w:szCs w:val="16"/>
          <w:lang w:val="sr-Cyrl-RS"/>
        </w:rPr>
        <w:t>Report</w:t>
      </w:r>
      <w:proofErr w:type="spellEnd"/>
      <w:r w:rsidRPr="001A6076">
        <w:rPr>
          <w:rFonts w:ascii="Times New Roman" w:hAnsi="Times New Roman" w:cs="Times New Roman"/>
          <w:noProof w:val="0"/>
          <w:sz w:val="16"/>
          <w:szCs w:val="16"/>
          <w:lang w:val="sr-Cyrl-RS"/>
        </w:rPr>
        <w:t xml:space="preserve"> </w:t>
      </w:r>
      <w:proofErr w:type="spellStart"/>
      <w:r w:rsidRPr="001A6076">
        <w:rPr>
          <w:rFonts w:ascii="Times New Roman" w:hAnsi="Times New Roman" w:cs="Times New Roman"/>
          <w:noProof w:val="0"/>
          <w:sz w:val="16"/>
          <w:szCs w:val="16"/>
          <w:lang w:val="sr-Cyrl-RS"/>
        </w:rPr>
        <w:t>on</w:t>
      </w:r>
      <w:proofErr w:type="spellEnd"/>
      <w:r w:rsidRPr="001A6076">
        <w:rPr>
          <w:rFonts w:ascii="Times New Roman" w:hAnsi="Times New Roman" w:cs="Times New Roman"/>
          <w:noProof w:val="0"/>
          <w:sz w:val="16"/>
          <w:szCs w:val="16"/>
          <w:lang w:val="sr-Cyrl-RS"/>
        </w:rPr>
        <w:t xml:space="preserve"> the </w:t>
      </w:r>
      <w:proofErr w:type="spellStart"/>
      <w:r w:rsidRPr="001A6076">
        <w:rPr>
          <w:rFonts w:ascii="Times New Roman" w:hAnsi="Times New Roman" w:cs="Times New Roman"/>
          <w:noProof w:val="0"/>
          <w:sz w:val="16"/>
          <w:szCs w:val="16"/>
          <w:lang w:val="sr-Cyrl-RS"/>
        </w:rPr>
        <w:t>State</w:t>
      </w:r>
      <w:proofErr w:type="spellEnd"/>
      <w:r w:rsidRPr="001A6076">
        <w:rPr>
          <w:rFonts w:ascii="Times New Roman" w:hAnsi="Times New Roman" w:cs="Times New Roman"/>
          <w:noProof w:val="0"/>
          <w:sz w:val="16"/>
          <w:szCs w:val="16"/>
          <w:lang w:val="sr-Cyrl-RS"/>
        </w:rPr>
        <w:t xml:space="preserve"> </w:t>
      </w:r>
      <w:proofErr w:type="spellStart"/>
      <w:r w:rsidRPr="001A6076">
        <w:rPr>
          <w:rFonts w:ascii="Times New Roman" w:hAnsi="Times New Roman" w:cs="Times New Roman"/>
          <w:noProof w:val="0"/>
          <w:sz w:val="16"/>
          <w:szCs w:val="16"/>
          <w:lang w:val="sr-Cyrl-RS"/>
        </w:rPr>
        <w:t>of</w:t>
      </w:r>
      <w:proofErr w:type="spellEnd"/>
      <w:r w:rsidRPr="001A6076">
        <w:rPr>
          <w:rFonts w:ascii="Times New Roman" w:hAnsi="Times New Roman" w:cs="Times New Roman"/>
          <w:noProof w:val="0"/>
          <w:sz w:val="16"/>
          <w:szCs w:val="16"/>
          <w:lang w:val="sr-Cyrl-RS"/>
        </w:rPr>
        <w:t xml:space="preserve"> the Energy </w:t>
      </w:r>
      <w:proofErr w:type="spellStart"/>
      <w:r w:rsidRPr="001A6076">
        <w:rPr>
          <w:rFonts w:ascii="Times New Roman" w:hAnsi="Times New Roman" w:cs="Times New Roman"/>
          <w:noProof w:val="0"/>
          <w:sz w:val="16"/>
          <w:szCs w:val="16"/>
          <w:lang w:val="sr-Cyrl-RS"/>
        </w:rPr>
        <w:t>Sector</w:t>
      </w:r>
      <w:proofErr w:type="spellEnd"/>
      <w:r w:rsidRPr="001A6076">
        <w:rPr>
          <w:rFonts w:ascii="Times New Roman" w:hAnsi="Times New Roman" w:cs="Times New Roman"/>
          <w:noProof w:val="0"/>
          <w:sz w:val="16"/>
          <w:szCs w:val="16"/>
          <w:lang w:val="sr-Cyrl-RS"/>
        </w:rPr>
        <w:t xml:space="preserve"> </w:t>
      </w:r>
      <w:proofErr w:type="spellStart"/>
      <w:r w:rsidRPr="001A6076">
        <w:rPr>
          <w:rFonts w:ascii="Times New Roman" w:hAnsi="Times New Roman" w:cs="Times New Roman"/>
          <w:noProof w:val="0"/>
          <w:sz w:val="16"/>
          <w:szCs w:val="16"/>
          <w:lang w:val="sr-Cyrl-RS"/>
        </w:rPr>
        <w:t>in</w:t>
      </w:r>
      <w:proofErr w:type="spellEnd"/>
      <w:r w:rsidRPr="001A6076">
        <w:rPr>
          <w:rFonts w:ascii="Times New Roman" w:hAnsi="Times New Roman" w:cs="Times New Roman"/>
          <w:noProof w:val="0"/>
          <w:sz w:val="16"/>
          <w:szCs w:val="16"/>
          <w:lang w:val="sr-Cyrl-RS"/>
        </w:rPr>
        <w:t xml:space="preserve"> </w:t>
      </w:r>
      <w:proofErr w:type="spellStart"/>
      <w:r w:rsidRPr="001A6076">
        <w:rPr>
          <w:rFonts w:ascii="Times New Roman" w:hAnsi="Times New Roman" w:cs="Times New Roman"/>
          <w:noProof w:val="0"/>
          <w:sz w:val="16"/>
          <w:szCs w:val="16"/>
          <w:lang w:val="sr-Cyrl-RS"/>
        </w:rPr>
        <w:t>Serbia</w:t>
      </w:r>
      <w:proofErr w:type="spellEnd"/>
      <w:r w:rsidRPr="006739CC">
        <w:rPr>
          <w:rFonts w:ascii="Times New Roman" w:hAnsi="Times New Roman" w:cs="Times New Roman"/>
          <w:noProof w:val="0"/>
          <w:sz w:val="16"/>
          <w:szCs w:val="16"/>
          <w:lang w:val="sr-Cyrl-RS"/>
        </w:rPr>
        <w:t>, 2024.</w:t>
      </w:r>
    </w:p>
  </w:footnote>
  <w:footnote w:id="44">
    <w:p w14:paraId="4BA5CB11" w14:textId="77777777" w:rsidR="0010715F" w:rsidRPr="006739CC" w:rsidRDefault="0010715F" w:rsidP="0010715F">
      <w:pPr>
        <w:pStyle w:val="FootnoteText"/>
        <w:rPr>
          <w:rFonts w:ascii="Times New Roman" w:hAnsi="Times New Roman" w:cs="Times New Roman"/>
          <w:noProof w:val="0"/>
          <w:sz w:val="16"/>
          <w:szCs w:val="16"/>
          <w:lang w:val="sr-Cyrl-RS"/>
        </w:rPr>
      </w:pPr>
      <w:r w:rsidRPr="006739CC">
        <w:rPr>
          <w:rStyle w:val="FootnoteReference"/>
          <w:rFonts w:ascii="Times New Roman" w:hAnsi="Times New Roman" w:cs="Times New Roman"/>
          <w:noProof w:val="0"/>
          <w:sz w:val="16"/>
          <w:szCs w:val="16"/>
          <w:lang w:val="sr-Cyrl-RS"/>
        </w:rPr>
        <w:footnoteRef/>
      </w:r>
      <w:r w:rsidRPr="006739CC">
        <w:rPr>
          <w:rFonts w:ascii="Times New Roman" w:hAnsi="Times New Roman" w:cs="Times New Roman"/>
          <w:noProof w:val="0"/>
          <w:sz w:val="16"/>
          <w:szCs w:val="16"/>
          <w:lang w:val="sr-Cyrl-RS"/>
        </w:rPr>
        <w:t xml:space="preserve"> </w:t>
      </w:r>
      <w:r w:rsidRPr="00B14B58">
        <w:rPr>
          <w:rFonts w:ascii="Times New Roman" w:hAnsi="Times New Roman" w:cs="Times New Roman"/>
          <w:noProof w:val="0"/>
          <w:sz w:val="16"/>
          <w:szCs w:val="16"/>
        </w:rPr>
        <w:t>Emission</w:t>
      </w:r>
      <w:r w:rsidRPr="006739CC">
        <w:rPr>
          <w:rFonts w:ascii="Times New Roman" w:hAnsi="Times New Roman" w:cs="Times New Roman"/>
          <w:noProof w:val="0"/>
          <w:sz w:val="16"/>
          <w:szCs w:val="16"/>
          <w:lang w:val="sr-Cyrl-RS"/>
        </w:rPr>
        <w:t xml:space="preserve"> 8,4 х 10</w:t>
      </w:r>
      <w:r w:rsidRPr="006739CC">
        <w:rPr>
          <w:rFonts w:ascii="Times New Roman" w:hAnsi="Times New Roman" w:cs="Times New Roman"/>
          <w:noProof w:val="0"/>
          <w:sz w:val="16"/>
          <w:szCs w:val="16"/>
          <w:vertAlign w:val="superscript"/>
          <w:lang w:val="sr-Cyrl-RS"/>
        </w:rPr>
        <w:t>-4</w:t>
      </w:r>
      <w:r w:rsidRPr="006739CC">
        <w:rPr>
          <w:rFonts w:ascii="Times New Roman" w:hAnsi="Times New Roman" w:cs="Times New Roman"/>
          <w:noProof w:val="0"/>
          <w:sz w:val="16"/>
          <w:szCs w:val="16"/>
          <w:lang w:val="sr-Cyrl-RS"/>
        </w:rPr>
        <w:t xml:space="preserve"> </w:t>
      </w:r>
      <w:proofErr w:type="spellStart"/>
      <w:r w:rsidRPr="006739CC">
        <w:rPr>
          <w:rFonts w:ascii="Times New Roman" w:hAnsi="Times New Roman" w:cs="Times New Roman"/>
          <w:noProof w:val="0"/>
          <w:sz w:val="16"/>
          <w:szCs w:val="16"/>
          <w:lang w:val="sr-Cyrl-RS"/>
        </w:rPr>
        <w:t>Gg</w:t>
      </w:r>
      <w:proofErr w:type="spellEnd"/>
      <w:r w:rsidRPr="006739CC">
        <w:rPr>
          <w:rFonts w:ascii="Times New Roman" w:hAnsi="Times New Roman" w:cs="Times New Roman"/>
          <w:noProof w:val="0"/>
          <w:sz w:val="16"/>
          <w:szCs w:val="16"/>
          <w:lang w:val="sr-Cyrl-RS"/>
        </w:rPr>
        <w:t xml:space="preserve"> </w:t>
      </w:r>
      <w:r>
        <w:rPr>
          <w:rFonts w:ascii="Times New Roman" w:hAnsi="Times New Roman" w:cs="Times New Roman"/>
          <w:noProof w:val="0"/>
          <w:sz w:val="16"/>
          <w:szCs w:val="16"/>
          <w:lang w:val="sr-Latn-RS"/>
        </w:rPr>
        <w:t>m</w:t>
      </w:r>
      <w:proofErr w:type="spellStart"/>
      <w:r w:rsidRPr="00561EBA">
        <w:rPr>
          <w:rFonts w:ascii="Times New Roman" w:hAnsi="Times New Roman" w:cs="Times New Roman"/>
          <w:noProof w:val="0"/>
          <w:sz w:val="16"/>
          <w:szCs w:val="16"/>
          <w:lang w:val="sr-Cyrl-RS"/>
        </w:rPr>
        <w:t>ethane</w:t>
      </w:r>
      <w:proofErr w:type="spellEnd"/>
      <w:r w:rsidRPr="00561EBA">
        <w:rPr>
          <w:rFonts w:ascii="Times New Roman" w:hAnsi="Times New Roman" w:cs="Times New Roman"/>
          <w:noProof w:val="0"/>
          <w:sz w:val="16"/>
          <w:szCs w:val="16"/>
          <w:lang w:val="sr-Cyrl-RS"/>
        </w:rPr>
        <w:t xml:space="preserve"> </w:t>
      </w:r>
      <w:proofErr w:type="spellStart"/>
      <w:r w:rsidRPr="00561EBA">
        <w:rPr>
          <w:rFonts w:ascii="Times New Roman" w:hAnsi="Times New Roman" w:cs="Times New Roman"/>
          <w:noProof w:val="0"/>
          <w:sz w:val="16"/>
          <w:szCs w:val="16"/>
          <w:lang w:val="sr-Cyrl-RS"/>
        </w:rPr>
        <w:t>per</w:t>
      </w:r>
      <w:proofErr w:type="spellEnd"/>
      <w:r w:rsidRPr="00561EBA">
        <w:rPr>
          <w:rFonts w:ascii="Times New Roman" w:hAnsi="Times New Roman" w:cs="Times New Roman"/>
          <w:noProof w:val="0"/>
          <w:sz w:val="16"/>
          <w:szCs w:val="16"/>
          <w:lang w:val="sr-Cyrl-RS"/>
        </w:rPr>
        <w:t xml:space="preserve"> </w:t>
      </w:r>
      <w:proofErr w:type="spellStart"/>
      <w:r w:rsidRPr="00561EBA">
        <w:rPr>
          <w:rFonts w:ascii="Times New Roman" w:hAnsi="Times New Roman" w:cs="Times New Roman"/>
          <w:noProof w:val="0"/>
          <w:sz w:val="16"/>
          <w:szCs w:val="16"/>
          <w:lang w:val="sr-Cyrl-RS"/>
        </w:rPr>
        <w:t>km</w:t>
      </w:r>
      <w:proofErr w:type="spellEnd"/>
      <w:r w:rsidRPr="00561EBA">
        <w:rPr>
          <w:rFonts w:ascii="Times New Roman" w:hAnsi="Times New Roman" w:cs="Times New Roman"/>
          <w:noProof w:val="0"/>
          <w:sz w:val="16"/>
          <w:szCs w:val="16"/>
          <w:lang w:val="sr-Cyrl-RS"/>
        </w:rPr>
        <w:t xml:space="preserve"> </w:t>
      </w:r>
      <w:proofErr w:type="spellStart"/>
      <w:r w:rsidRPr="00561EBA">
        <w:rPr>
          <w:rFonts w:ascii="Times New Roman" w:hAnsi="Times New Roman" w:cs="Times New Roman"/>
          <w:noProof w:val="0"/>
          <w:sz w:val="16"/>
          <w:szCs w:val="16"/>
          <w:lang w:val="sr-Cyrl-RS"/>
        </w:rPr>
        <w:t>per</w:t>
      </w:r>
      <w:proofErr w:type="spellEnd"/>
      <w:r w:rsidRPr="00561EBA">
        <w:rPr>
          <w:rFonts w:ascii="Times New Roman" w:hAnsi="Times New Roman" w:cs="Times New Roman"/>
          <w:noProof w:val="0"/>
          <w:sz w:val="16"/>
          <w:szCs w:val="16"/>
          <w:lang w:val="sr-Cyrl-RS"/>
        </w:rPr>
        <w:t xml:space="preserve"> </w:t>
      </w:r>
      <w:proofErr w:type="spellStart"/>
      <w:r w:rsidRPr="00561EBA">
        <w:rPr>
          <w:rFonts w:ascii="Times New Roman" w:hAnsi="Times New Roman" w:cs="Times New Roman"/>
          <w:noProof w:val="0"/>
          <w:sz w:val="16"/>
          <w:szCs w:val="16"/>
          <w:lang w:val="sr-Cyrl-RS"/>
        </w:rPr>
        <w:t>million</w:t>
      </w:r>
      <w:proofErr w:type="spellEnd"/>
      <w:r w:rsidRPr="00561EBA">
        <w:rPr>
          <w:rFonts w:ascii="Times New Roman" w:hAnsi="Times New Roman" w:cs="Times New Roman"/>
          <w:noProof w:val="0"/>
          <w:sz w:val="16"/>
          <w:szCs w:val="16"/>
          <w:lang w:val="sr-Cyrl-RS"/>
        </w:rPr>
        <w:t xml:space="preserve"> m³ </w:t>
      </w:r>
      <w:proofErr w:type="spellStart"/>
      <w:r w:rsidRPr="00561EBA">
        <w:rPr>
          <w:rFonts w:ascii="Times New Roman" w:hAnsi="Times New Roman" w:cs="Times New Roman"/>
          <w:noProof w:val="0"/>
          <w:sz w:val="16"/>
          <w:szCs w:val="16"/>
          <w:lang w:val="sr-Cyrl-RS"/>
        </w:rPr>
        <w:t>of</w:t>
      </w:r>
      <w:proofErr w:type="spellEnd"/>
      <w:r w:rsidRPr="00561EBA">
        <w:rPr>
          <w:rFonts w:ascii="Times New Roman" w:hAnsi="Times New Roman" w:cs="Times New Roman"/>
          <w:noProof w:val="0"/>
          <w:sz w:val="16"/>
          <w:szCs w:val="16"/>
          <w:lang w:val="sr-Cyrl-RS"/>
        </w:rPr>
        <w:t xml:space="preserve"> </w:t>
      </w:r>
      <w:proofErr w:type="spellStart"/>
      <w:r w:rsidRPr="00561EBA">
        <w:rPr>
          <w:rFonts w:ascii="Times New Roman" w:hAnsi="Times New Roman" w:cs="Times New Roman"/>
          <w:noProof w:val="0"/>
          <w:sz w:val="16"/>
          <w:szCs w:val="16"/>
          <w:lang w:val="sr-Cyrl-RS"/>
        </w:rPr>
        <w:t>stored</w:t>
      </w:r>
      <w:proofErr w:type="spellEnd"/>
      <w:r w:rsidRPr="00561EBA">
        <w:rPr>
          <w:rFonts w:ascii="Times New Roman" w:hAnsi="Times New Roman" w:cs="Times New Roman"/>
          <w:noProof w:val="0"/>
          <w:sz w:val="16"/>
          <w:szCs w:val="16"/>
          <w:lang w:val="sr-Cyrl-RS"/>
        </w:rPr>
        <w:t xml:space="preserve"> gas</w:t>
      </w:r>
      <w:r w:rsidRPr="006739CC">
        <w:rPr>
          <w:rFonts w:ascii="Times New Roman" w:hAnsi="Times New Roman" w:cs="Times New Roman"/>
          <w:noProof w:val="0"/>
          <w:sz w:val="16"/>
          <w:szCs w:val="16"/>
          <w:lang w:val="sr-Cyrl-RS"/>
        </w:rPr>
        <w:t xml:space="preserve"> </w:t>
      </w:r>
      <w:hyperlink r:id="rId1" w:history="1">
        <w:r w:rsidRPr="006739CC">
          <w:rPr>
            <w:rStyle w:val="Hyperlink"/>
            <w:rFonts w:ascii="Times New Roman" w:hAnsi="Times New Roman" w:cs="Times New Roman"/>
            <w:noProof w:val="0"/>
            <w:sz w:val="16"/>
            <w:szCs w:val="16"/>
            <w:lang w:val="sr-Cyrl-RS"/>
          </w:rPr>
          <w:t>https://www.ipcc-nggip.iges.or.jp/public/gp/bgp/2_6_Fugitive_Emissions_from_Oil_and_Natural_Gas.pdf</w:t>
        </w:r>
      </w:hyperlink>
    </w:p>
  </w:footnote>
  <w:footnote w:id="45">
    <w:p w14:paraId="2CE9C25D" w14:textId="1454A6EE" w:rsidR="00C41C74" w:rsidRPr="00FA3F57" w:rsidRDefault="00C41C74" w:rsidP="00C41C74">
      <w:pPr>
        <w:pStyle w:val="FootnoteText"/>
        <w:rPr>
          <w:rFonts w:ascii="Times New Roman" w:hAnsi="Times New Roman" w:cs="Times New Roman"/>
          <w:sz w:val="16"/>
          <w:szCs w:val="16"/>
        </w:rPr>
      </w:pPr>
      <w:r w:rsidRPr="00FA3F57">
        <w:rPr>
          <w:rStyle w:val="FootnoteReference"/>
          <w:rFonts w:ascii="Times New Roman" w:hAnsi="Times New Roman" w:cs="Times New Roman"/>
          <w:sz w:val="16"/>
          <w:szCs w:val="16"/>
        </w:rPr>
        <w:footnoteRef/>
      </w:r>
      <w:r w:rsidRPr="00FA3F57">
        <w:rPr>
          <w:rFonts w:ascii="Times New Roman" w:hAnsi="Times New Roman" w:cs="Times New Roman"/>
          <w:sz w:val="16"/>
          <w:szCs w:val="16"/>
        </w:rPr>
        <w:t xml:space="preserve"> MS – Metering Station</w:t>
      </w:r>
    </w:p>
  </w:footnote>
  <w:footnote w:id="46">
    <w:p w14:paraId="46E22FC7" w14:textId="12A592F4" w:rsidR="00C41C74" w:rsidRPr="00FA3F57" w:rsidRDefault="00C41C74">
      <w:pPr>
        <w:pStyle w:val="FootnoteText"/>
        <w:rPr>
          <w:lang w:val="sr-Latn-RS"/>
        </w:rPr>
      </w:pPr>
      <w:r w:rsidRPr="00FA3F57">
        <w:rPr>
          <w:rStyle w:val="FootnoteReference"/>
          <w:rFonts w:ascii="Times New Roman" w:hAnsi="Times New Roman" w:cs="Times New Roman"/>
          <w:sz w:val="16"/>
          <w:szCs w:val="16"/>
        </w:rPr>
        <w:footnoteRef/>
      </w:r>
      <w:r w:rsidRPr="00FA3F57">
        <w:rPr>
          <w:rFonts w:ascii="Times New Roman" w:hAnsi="Times New Roman" w:cs="Times New Roman"/>
          <w:sz w:val="16"/>
          <w:szCs w:val="16"/>
        </w:rPr>
        <w:t xml:space="preserve"> MRS – Metering and Regulation Station</w:t>
      </w:r>
    </w:p>
  </w:footnote>
  <w:footnote w:id="47">
    <w:p w14:paraId="326C26E4" w14:textId="2A41ED79" w:rsidR="0010715F" w:rsidRPr="006739CC" w:rsidRDefault="0010715F" w:rsidP="0010715F">
      <w:pPr>
        <w:pStyle w:val="FootnoteText"/>
        <w:rPr>
          <w:rFonts w:ascii="Times New Roman" w:hAnsi="Times New Roman" w:cs="Times New Roman"/>
          <w:noProof w:val="0"/>
          <w:sz w:val="16"/>
          <w:szCs w:val="16"/>
          <w:lang w:val="sr-Cyrl-RS"/>
        </w:rPr>
      </w:pPr>
      <w:r w:rsidRPr="006739CC">
        <w:rPr>
          <w:rStyle w:val="FootnoteReference"/>
          <w:rFonts w:ascii="Times New Roman" w:hAnsi="Times New Roman" w:cs="Times New Roman"/>
          <w:noProof w:val="0"/>
          <w:sz w:val="16"/>
          <w:szCs w:val="16"/>
          <w:lang w:val="sr-Cyrl-RS"/>
        </w:rPr>
        <w:footnoteRef/>
      </w:r>
      <w:r w:rsidRPr="006739CC">
        <w:rPr>
          <w:rFonts w:ascii="Times New Roman" w:hAnsi="Times New Roman" w:cs="Times New Roman"/>
          <w:noProof w:val="0"/>
          <w:sz w:val="16"/>
          <w:szCs w:val="16"/>
          <w:lang w:val="sr-Cyrl-RS"/>
        </w:rPr>
        <w:t xml:space="preserve"> </w:t>
      </w:r>
      <w:r w:rsidRPr="00B14B58">
        <w:rPr>
          <w:rFonts w:ascii="Times New Roman" w:hAnsi="Times New Roman" w:cs="Times New Roman"/>
          <w:noProof w:val="0"/>
          <w:sz w:val="16"/>
          <w:szCs w:val="16"/>
        </w:rPr>
        <w:t>Emission</w:t>
      </w:r>
      <w:r w:rsidRPr="006739CC">
        <w:rPr>
          <w:rFonts w:ascii="Times New Roman" w:hAnsi="Times New Roman" w:cs="Times New Roman"/>
          <w:noProof w:val="0"/>
          <w:sz w:val="16"/>
          <w:szCs w:val="16"/>
          <w:lang w:val="sr-Cyrl-RS"/>
        </w:rPr>
        <w:t xml:space="preserve"> 3,4 х 10</w:t>
      </w:r>
      <w:r w:rsidRPr="006739CC">
        <w:rPr>
          <w:rFonts w:ascii="Times New Roman" w:hAnsi="Times New Roman" w:cs="Times New Roman"/>
          <w:noProof w:val="0"/>
          <w:sz w:val="16"/>
          <w:szCs w:val="16"/>
          <w:vertAlign w:val="superscript"/>
          <w:lang w:val="sr-Cyrl-RS"/>
        </w:rPr>
        <w:t>-3</w:t>
      </w:r>
      <w:r w:rsidRPr="006739CC">
        <w:rPr>
          <w:rFonts w:ascii="Times New Roman" w:hAnsi="Times New Roman" w:cs="Times New Roman"/>
          <w:noProof w:val="0"/>
          <w:sz w:val="16"/>
          <w:szCs w:val="16"/>
          <w:lang w:val="sr-Cyrl-RS"/>
        </w:rPr>
        <w:t xml:space="preserve"> </w:t>
      </w:r>
      <w:proofErr w:type="spellStart"/>
      <w:r w:rsidRPr="006739CC">
        <w:rPr>
          <w:rFonts w:ascii="Times New Roman" w:hAnsi="Times New Roman" w:cs="Times New Roman"/>
          <w:noProof w:val="0"/>
          <w:sz w:val="16"/>
          <w:szCs w:val="16"/>
          <w:lang w:val="sr-Cyrl-RS"/>
        </w:rPr>
        <w:t>Gg</w:t>
      </w:r>
      <w:proofErr w:type="spellEnd"/>
      <w:r w:rsidRPr="006739CC">
        <w:rPr>
          <w:rFonts w:ascii="Times New Roman" w:hAnsi="Times New Roman" w:cs="Times New Roman"/>
          <w:noProof w:val="0"/>
          <w:sz w:val="16"/>
          <w:szCs w:val="16"/>
          <w:lang w:val="sr-Cyrl-RS"/>
        </w:rPr>
        <w:t xml:space="preserve"> </w:t>
      </w:r>
      <w:r>
        <w:rPr>
          <w:rFonts w:ascii="Times New Roman" w:hAnsi="Times New Roman" w:cs="Times New Roman"/>
          <w:noProof w:val="0"/>
          <w:sz w:val="16"/>
          <w:szCs w:val="16"/>
        </w:rPr>
        <w:t>m</w:t>
      </w:r>
      <w:r w:rsidRPr="00B14B58">
        <w:rPr>
          <w:rFonts w:ascii="Times New Roman" w:hAnsi="Times New Roman" w:cs="Times New Roman"/>
          <w:noProof w:val="0"/>
          <w:sz w:val="16"/>
          <w:szCs w:val="16"/>
        </w:rPr>
        <w:t xml:space="preserve">ethane emission per km of </w:t>
      </w:r>
      <w:r w:rsidR="008076AB">
        <w:rPr>
          <w:rFonts w:ascii="Times New Roman" w:hAnsi="Times New Roman" w:cs="Times New Roman"/>
          <w:noProof w:val="0"/>
          <w:sz w:val="16"/>
          <w:szCs w:val="16"/>
        </w:rPr>
        <w:t>transport</w:t>
      </w:r>
      <w:r w:rsidR="00CD59E3">
        <w:rPr>
          <w:rFonts w:ascii="Times New Roman" w:hAnsi="Times New Roman" w:cs="Times New Roman"/>
          <w:noProof w:val="0"/>
          <w:sz w:val="16"/>
          <w:szCs w:val="16"/>
        </w:rPr>
        <w:t xml:space="preserve"> </w:t>
      </w:r>
      <w:r w:rsidRPr="00B14B58">
        <w:rPr>
          <w:rFonts w:ascii="Times New Roman" w:hAnsi="Times New Roman" w:cs="Times New Roman"/>
          <w:noProof w:val="0"/>
          <w:sz w:val="16"/>
          <w:szCs w:val="16"/>
        </w:rPr>
        <w:t xml:space="preserve">pipeline </w:t>
      </w:r>
      <w:hyperlink r:id="rId2" w:history="1">
        <w:r w:rsidRPr="006739CC">
          <w:rPr>
            <w:rStyle w:val="Hyperlink"/>
            <w:rFonts w:ascii="Times New Roman" w:hAnsi="Times New Roman" w:cs="Times New Roman"/>
            <w:noProof w:val="0"/>
            <w:sz w:val="16"/>
            <w:szCs w:val="16"/>
            <w:lang w:val="sr-Cyrl-RS"/>
          </w:rPr>
          <w:t>https://www.ipcc-nggip.iges.or.jp/public/gp/bgp/2_6_Fugitive_Emissions_from_Oil_and_Natural_Gas.pdf</w:t>
        </w:r>
      </w:hyperlink>
    </w:p>
  </w:footnote>
  <w:footnote w:id="48">
    <w:p w14:paraId="7A1CB8E3" w14:textId="3E321D9E" w:rsidR="0010715F" w:rsidRPr="006739CC" w:rsidRDefault="0010715F" w:rsidP="0010715F">
      <w:pPr>
        <w:pStyle w:val="FootnoteText"/>
        <w:rPr>
          <w:rFonts w:ascii="Times New Roman" w:hAnsi="Times New Roman" w:cs="Times New Roman"/>
          <w:noProof w:val="0"/>
          <w:sz w:val="16"/>
          <w:szCs w:val="16"/>
          <w:lang w:val="sr-Cyrl-RS"/>
        </w:rPr>
      </w:pPr>
      <w:r w:rsidRPr="006739CC">
        <w:rPr>
          <w:rStyle w:val="FootnoteReference"/>
          <w:rFonts w:ascii="Times New Roman" w:hAnsi="Times New Roman" w:cs="Times New Roman"/>
          <w:noProof w:val="0"/>
          <w:sz w:val="16"/>
          <w:szCs w:val="16"/>
          <w:lang w:val="sr-Cyrl-RS"/>
        </w:rPr>
        <w:footnoteRef/>
      </w:r>
      <w:r w:rsidRPr="006739CC">
        <w:rPr>
          <w:rFonts w:ascii="Times New Roman" w:hAnsi="Times New Roman" w:cs="Times New Roman"/>
          <w:noProof w:val="0"/>
          <w:sz w:val="16"/>
          <w:szCs w:val="16"/>
          <w:lang w:val="sr-Cyrl-RS"/>
        </w:rPr>
        <w:t xml:space="preserve"> </w:t>
      </w:r>
      <w:r w:rsidR="00CD59E3">
        <w:rPr>
          <w:rFonts w:ascii="Times New Roman" w:hAnsi="Times New Roman" w:cs="Times New Roman"/>
          <w:noProof w:val="0"/>
          <w:sz w:val="16"/>
          <w:szCs w:val="16"/>
        </w:rPr>
        <w:t xml:space="preserve">See footnote </w:t>
      </w:r>
      <w:r w:rsidR="000B40DF">
        <w:rPr>
          <w:rFonts w:ascii="Times New Roman" w:hAnsi="Times New Roman" w:cs="Times New Roman"/>
          <w:noProof w:val="0"/>
          <w:sz w:val="16"/>
          <w:szCs w:val="16"/>
        </w:rPr>
        <w:t>44</w:t>
      </w:r>
    </w:p>
  </w:footnote>
  <w:footnote w:id="49">
    <w:p w14:paraId="3AEDE848" w14:textId="23A705E6" w:rsidR="0010715F" w:rsidRPr="006739CC" w:rsidRDefault="0010715F" w:rsidP="0010715F">
      <w:pPr>
        <w:pStyle w:val="FootnoteText"/>
        <w:rPr>
          <w:rFonts w:ascii="Times New Roman" w:hAnsi="Times New Roman" w:cs="Times New Roman"/>
          <w:noProof w:val="0"/>
          <w:sz w:val="16"/>
          <w:szCs w:val="16"/>
          <w:lang w:val="sr-Cyrl-RS"/>
        </w:rPr>
      </w:pPr>
      <w:r w:rsidRPr="006739CC">
        <w:rPr>
          <w:rStyle w:val="FootnoteReference"/>
          <w:rFonts w:ascii="Times New Roman" w:hAnsi="Times New Roman" w:cs="Times New Roman"/>
          <w:noProof w:val="0"/>
          <w:sz w:val="16"/>
          <w:szCs w:val="16"/>
          <w:lang w:val="sr-Cyrl-RS"/>
        </w:rPr>
        <w:footnoteRef/>
      </w:r>
      <w:r w:rsidRPr="006739CC">
        <w:rPr>
          <w:rFonts w:ascii="Times New Roman" w:hAnsi="Times New Roman" w:cs="Times New Roman"/>
          <w:noProof w:val="0"/>
          <w:sz w:val="16"/>
          <w:szCs w:val="16"/>
          <w:lang w:val="sr-Cyrl-RS"/>
        </w:rPr>
        <w:t xml:space="preserve"> </w:t>
      </w:r>
      <w:r w:rsidR="00603F1D">
        <w:rPr>
          <w:rFonts w:ascii="Times New Roman" w:hAnsi="Times New Roman" w:cs="Times New Roman"/>
          <w:noProof w:val="0"/>
          <w:sz w:val="16"/>
          <w:szCs w:val="16"/>
        </w:rPr>
        <w:t xml:space="preserve">See footnote </w:t>
      </w:r>
      <w:r w:rsidR="009D3D50">
        <w:rPr>
          <w:rFonts w:ascii="Times New Roman" w:hAnsi="Times New Roman" w:cs="Times New Roman"/>
          <w:noProof w:val="0"/>
          <w:sz w:val="16"/>
          <w:szCs w:val="16"/>
        </w:rPr>
        <w:t>44</w:t>
      </w:r>
    </w:p>
  </w:footnote>
  <w:footnote w:id="50">
    <w:p w14:paraId="53F4E9E5" w14:textId="304E63CF" w:rsidR="0010715F" w:rsidRPr="006739CC" w:rsidRDefault="0010715F" w:rsidP="0010715F">
      <w:pPr>
        <w:pStyle w:val="FootnoteText"/>
        <w:rPr>
          <w:rFonts w:ascii="Times New Roman" w:hAnsi="Times New Roman" w:cs="Times New Roman"/>
          <w:noProof w:val="0"/>
          <w:sz w:val="16"/>
          <w:szCs w:val="16"/>
          <w:lang w:val="sr-Cyrl-RS"/>
        </w:rPr>
      </w:pPr>
      <w:r w:rsidRPr="006739CC">
        <w:rPr>
          <w:rStyle w:val="FootnoteReference"/>
          <w:rFonts w:ascii="Times New Roman" w:hAnsi="Times New Roman" w:cs="Times New Roman"/>
          <w:noProof w:val="0"/>
          <w:sz w:val="16"/>
          <w:szCs w:val="16"/>
          <w:lang w:val="sr-Cyrl-RS"/>
        </w:rPr>
        <w:footnoteRef/>
      </w:r>
      <w:r w:rsidRPr="006739CC">
        <w:rPr>
          <w:rFonts w:ascii="Times New Roman" w:hAnsi="Times New Roman" w:cs="Times New Roman"/>
          <w:noProof w:val="0"/>
          <w:sz w:val="16"/>
          <w:szCs w:val="16"/>
          <w:lang w:val="sr-Cyrl-RS"/>
        </w:rPr>
        <w:t xml:space="preserve"> </w:t>
      </w:r>
      <w:r w:rsidR="00603F1D">
        <w:rPr>
          <w:rFonts w:ascii="Times New Roman" w:hAnsi="Times New Roman" w:cs="Times New Roman"/>
          <w:noProof w:val="0"/>
          <w:sz w:val="16"/>
          <w:szCs w:val="16"/>
        </w:rPr>
        <w:t xml:space="preserve">See footnote </w:t>
      </w:r>
      <w:r w:rsidR="009D3D50">
        <w:rPr>
          <w:rFonts w:ascii="Times New Roman" w:hAnsi="Times New Roman" w:cs="Times New Roman"/>
          <w:noProof w:val="0"/>
          <w:sz w:val="16"/>
          <w:szCs w:val="16"/>
        </w:rPr>
        <w:fldChar w:fldCharType="begin"/>
      </w:r>
      <w:r w:rsidR="009D3D50">
        <w:rPr>
          <w:rFonts w:ascii="Times New Roman" w:hAnsi="Times New Roman" w:cs="Times New Roman"/>
          <w:noProof w:val="0"/>
          <w:sz w:val="16"/>
          <w:szCs w:val="16"/>
        </w:rPr>
        <w:instrText xml:space="preserve"> NOTEREF _Ref209350029 \h </w:instrText>
      </w:r>
      <w:r w:rsidR="009D3D50">
        <w:rPr>
          <w:rFonts w:ascii="Times New Roman" w:hAnsi="Times New Roman" w:cs="Times New Roman"/>
          <w:noProof w:val="0"/>
          <w:sz w:val="16"/>
          <w:szCs w:val="16"/>
        </w:rPr>
      </w:r>
      <w:r w:rsidR="009D3D50">
        <w:rPr>
          <w:rFonts w:ascii="Times New Roman" w:hAnsi="Times New Roman" w:cs="Times New Roman"/>
          <w:noProof w:val="0"/>
          <w:sz w:val="16"/>
          <w:szCs w:val="16"/>
        </w:rPr>
        <w:fldChar w:fldCharType="separate"/>
      </w:r>
      <w:r w:rsidR="002F2636">
        <w:rPr>
          <w:rFonts w:ascii="Times New Roman" w:hAnsi="Times New Roman" w:cs="Times New Roman"/>
          <w:noProof w:val="0"/>
          <w:sz w:val="16"/>
          <w:szCs w:val="16"/>
        </w:rPr>
        <w:t>47</w:t>
      </w:r>
      <w:r w:rsidR="009D3D50">
        <w:rPr>
          <w:rFonts w:ascii="Times New Roman" w:hAnsi="Times New Roman" w:cs="Times New Roman"/>
          <w:noProof w:val="0"/>
          <w:sz w:val="16"/>
          <w:szCs w:val="16"/>
        </w:rPr>
        <w:fldChar w:fldCharType="end"/>
      </w:r>
    </w:p>
  </w:footnote>
  <w:footnote w:id="51">
    <w:p w14:paraId="7ADB098A" w14:textId="10E7D3E2" w:rsidR="00430D22" w:rsidRPr="00FA3F57" w:rsidRDefault="00430D22">
      <w:pPr>
        <w:pStyle w:val="FootnoteText"/>
        <w:rPr>
          <w:lang w:val="sr-Latn-RS"/>
        </w:rPr>
      </w:pPr>
      <w:r w:rsidRPr="00C41C74">
        <w:rPr>
          <w:rStyle w:val="FootnoteReference"/>
        </w:rPr>
        <w:footnoteRef/>
      </w:r>
      <w:r w:rsidRPr="00C41C74">
        <w:t xml:space="preserve"> </w:t>
      </w:r>
      <w:r w:rsidRPr="00FA3F57">
        <w:rPr>
          <w:rFonts w:ascii="Times New Roman" w:hAnsi="Times New Roman" w:cs="Times New Roman"/>
          <w:sz w:val="16"/>
          <w:szCs w:val="16"/>
        </w:rPr>
        <w:t xml:space="preserve">GRČ – Main Distribution Junction </w:t>
      </w:r>
    </w:p>
  </w:footnote>
  <w:footnote w:id="52">
    <w:p w14:paraId="75BDEAED" w14:textId="250902D6" w:rsidR="0010715F" w:rsidRPr="006739CC" w:rsidRDefault="0010715F" w:rsidP="0010715F">
      <w:pPr>
        <w:pStyle w:val="FootnoteText"/>
        <w:rPr>
          <w:rFonts w:ascii="Times New Roman" w:hAnsi="Times New Roman" w:cs="Times New Roman"/>
          <w:noProof w:val="0"/>
          <w:sz w:val="16"/>
          <w:szCs w:val="16"/>
          <w:lang w:val="sr-Cyrl-RS"/>
        </w:rPr>
      </w:pPr>
      <w:r w:rsidRPr="006739CC">
        <w:rPr>
          <w:rStyle w:val="FootnoteReference"/>
          <w:rFonts w:ascii="Times New Roman" w:hAnsi="Times New Roman" w:cs="Times New Roman"/>
          <w:noProof w:val="0"/>
          <w:sz w:val="16"/>
          <w:szCs w:val="16"/>
          <w:lang w:val="sr-Cyrl-RS"/>
        </w:rPr>
        <w:footnoteRef/>
      </w:r>
      <w:r w:rsidRPr="006739CC">
        <w:rPr>
          <w:rFonts w:ascii="Times New Roman" w:hAnsi="Times New Roman" w:cs="Times New Roman"/>
          <w:noProof w:val="0"/>
          <w:sz w:val="16"/>
          <w:szCs w:val="16"/>
          <w:lang w:val="sr-Cyrl-RS"/>
        </w:rPr>
        <w:t xml:space="preserve"> </w:t>
      </w:r>
      <w:r w:rsidR="00603F1D">
        <w:rPr>
          <w:rFonts w:ascii="Times New Roman" w:hAnsi="Times New Roman" w:cs="Times New Roman"/>
          <w:noProof w:val="0"/>
          <w:sz w:val="16"/>
          <w:szCs w:val="16"/>
        </w:rPr>
        <w:t xml:space="preserve">See footnote </w:t>
      </w:r>
      <w:r w:rsidR="00430D22">
        <w:rPr>
          <w:rFonts w:ascii="Times New Roman" w:hAnsi="Times New Roman" w:cs="Times New Roman"/>
          <w:noProof w:val="0"/>
          <w:sz w:val="16"/>
          <w:szCs w:val="16"/>
        </w:rPr>
        <w:fldChar w:fldCharType="begin"/>
      </w:r>
      <w:r w:rsidR="00430D22">
        <w:rPr>
          <w:rFonts w:ascii="Times New Roman" w:hAnsi="Times New Roman" w:cs="Times New Roman"/>
          <w:noProof w:val="0"/>
          <w:sz w:val="16"/>
          <w:szCs w:val="16"/>
        </w:rPr>
        <w:instrText xml:space="preserve"> NOTEREF _Ref209350029 \h </w:instrText>
      </w:r>
      <w:r w:rsidR="00430D22">
        <w:rPr>
          <w:rFonts w:ascii="Times New Roman" w:hAnsi="Times New Roman" w:cs="Times New Roman"/>
          <w:noProof w:val="0"/>
          <w:sz w:val="16"/>
          <w:szCs w:val="16"/>
        </w:rPr>
      </w:r>
      <w:r w:rsidR="00430D22">
        <w:rPr>
          <w:rFonts w:ascii="Times New Roman" w:hAnsi="Times New Roman" w:cs="Times New Roman"/>
          <w:noProof w:val="0"/>
          <w:sz w:val="16"/>
          <w:szCs w:val="16"/>
        </w:rPr>
        <w:fldChar w:fldCharType="separate"/>
      </w:r>
      <w:r w:rsidR="002F2636">
        <w:rPr>
          <w:rFonts w:ascii="Times New Roman" w:hAnsi="Times New Roman" w:cs="Times New Roman"/>
          <w:noProof w:val="0"/>
          <w:sz w:val="16"/>
          <w:szCs w:val="16"/>
        </w:rPr>
        <w:t>47</w:t>
      </w:r>
      <w:r w:rsidR="00430D22">
        <w:rPr>
          <w:rFonts w:ascii="Times New Roman" w:hAnsi="Times New Roman" w:cs="Times New Roman"/>
          <w:noProof w:val="0"/>
          <w:sz w:val="16"/>
          <w:szCs w:val="16"/>
        </w:rPr>
        <w:fldChar w:fldCharType="end"/>
      </w:r>
    </w:p>
  </w:footnote>
  <w:footnote w:id="53">
    <w:p w14:paraId="11EA8627" w14:textId="0443F8D0" w:rsidR="0010715F" w:rsidRPr="006739CC" w:rsidRDefault="0010715F" w:rsidP="0010715F">
      <w:pPr>
        <w:pStyle w:val="FootnoteText"/>
        <w:rPr>
          <w:rFonts w:ascii="Times New Roman" w:hAnsi="Times New Roman" w:cs="Times New Roman"/>
          <w:noProof w:val="0"/>
          <w:sz w:val="16"/>
          <w:szCs w:val="16"/>
          <w:lang w:val="sr-Cyrl-RS"/>
        </w:rPr>
      </w:pPr>
      <w:r w:rsidRPr="006739CC">
        <w:rPr>
          <w:rStyle w:val="FootnoteReference"/>
          <w:rFonts w:ascii="Times New Roman" w:hAnsi="Times New Roman" w:cs="Times New Roman"/>
          <w:noProof w:val="0"/>
          <w:sz w:val="16"/>
          <w:szCs w:val="16"/>
          <w:lang w:val="sr-Cyrl-RS"/>
        </w:rPr>
        <w:footnoteRef/>
      </w:r>
      <w:r w:rsidRPr="006739CC">
        <w:rPr>
          <w:rFonts w:ascii="Times New Roman" w:hAnsi="Times New Roman" w:cs="Times New Roman"/>
          <w:noProof w:val="0"/>
          <w:sz w:val="16"/>
          <w:szCs w:val="16"/>
          <w:lang w:val="sr-Cyrl-RS"/>
        </w:rPr>
        <w:t xml:space="preserve"> </w:t>
      </w:r>
      <w:r w:rsidR="00603F1D">
        <w:rPr>
          <w:rFonts w:ascii="Times New Roman" w:hAnsi="Times New Roman" w:cs="Times New Roman"/>
          <w:noProof w:val="0"/>
          <w:sz w:val="16"/>
          <w:szCs w:val="16"/>
        </w:rPr>
        <w:t xml:space="preserve">See footnote </w:t>
      </w:r>
      <w:r w:rsidR="00430D22">
        <w:rPr>
          <w:rFonts w:ascii="Times New Roman" w:hAnsi="Times New Roman" w:cs="Times New Roman"/>
          <w:noProof w:val="0"/>
          <w:sz w:val="16"/>
          <w:szCs w:val="16"/>
        </w:rPr>
        <w:t>44</w:t>
      </w:r>
    </w:p>
  </w:footnote>
  <w:footnote w:id="54">
    <w:p w14:paraId="6D2949FA" w14:textId="3EAD0294" w:rsidR="0010715F" w:rsidRPr="006739CC" w:rsidRDefault="0010715F" w:rsidP="0010715F">
      <w:pPr>
        <w:pStyle w:val="FootnoteText"/>
        <w:rPr>
          <w:rFonts w:ascii="Times New Roman" w:hAnsi="Times New Roman" w:cs="Times New Roman"/>
          <w:noProof w:val="0"/>
          <w:sz w:val="16"/>
          <w:szCs w:val="16"/>
          <w:lang w:val="sr-Cyrl-RS"/>
        </w:rPr>
      </w:pPr>
      <w:r w:rsidRPr="006739CC">
        <w:rPr>
          <w:rStyle w:val="FootnoteReference"/>
          <w:rFonts w:ascii="Times New Roman" w:hAnsi="Times New Roman" w:cs="Times New Roman"/>
          <w:noProof w:val="0"/>
          <w:sz w:val="16"/>
          <w:szCs w:val="16"/>
          <w:lang w:val="sr-Cyrl-RS"/>
        </w:rPr>
        <w:footnoteRef/>
      </w:r>
      <w:r w:rsidRPr="006739CC">
        <w:rPr>
          <w:rFonts w:ascii="Times New Roman" w:hAnsi="Times New Roman" w:cs="Times New Roman"/>
          <w:noProof w:val="0"/>
          <w:sz w:val="16"/>
          <w:szCs w:val="16"/>
          <w:lang w:val="sr-Cyrl-RS"/>
        </w:rPr>
        <w:t xml:space="preserve"> </w:t>
      </w:r>
      <w:r w:rsidR="00603F1D">
        <w:rPr>
          <w:rFonts w:ascii="Times New Roman" w:hAnsi="Times New Roman" w:cs="Times New Roman"/>
          <w:noProof w:val="0"/>
          <w:sz w:val="16"/>
          <w:szCs w:val="16"/>
        </w:rPr>
        <w:t xml:space="preserve">See footnote </w:t>
      </w:r>
      <w:r w:rsidR="00BF2EA9">
        <w:rPr>
          <w:rFonts w:ascii="Times New Roman" w:hAnsi="Times New Roman" w:cs="Times New Roman"/>
          <w:noProof w:val="0"/>
          <w:sz w:val="16"/>
          <w:szCs w:val="16"/>
        </w:rPr>
        <w:t>44</w:t>
      </w:r>
    </w:p>
  </w:footnote>
  <w:footnote w:id="55">
    <w:p w14:paraId="247A1703" w14:textId="0831ABED" w:rsidR="00C41C74" w:rsidRPr="006739CC" w:rsidRDefault="00C41C74" w:rsidP="00C41C74">
      <w:pPr>
        <w:pStyle w:val="FootnoteText"/>
        <w:rPr>
          <w:rFonts w:ascii="Times New Roman" w:hAnsi="Times New Roman" w:cs="Times New Roman"/>
          <w:sz w:val="16"/>
          <w:szCs w:val="16"/>
          <w:lang w:val="sr-Cyrl-RS"/>
        </w:rPr>
      </w:pPr>
      <w:r w:rsidRPr="006739CC">
        <w:rPr>
          <w:rStyle w:val="FootnoteReference"/>
          <w:rFonts w:ascii="Times New Roman" w:hAnsi="Times New Roman" w:cs="Times New Roman"/>
          <w:sz w:val="16"/>
          <w:szCs w:val="16"/>
        </w:rPr>
        <w:footnoteRef/>
      </w:r>
      <w:r w:rsidRPr="006739CC">
        <w:rPr>
          <w:rFonts w:ascii="Times New Roman" w:hAnsi="Times New Roman" w:cs="Times New Roman"/>
          <w:sz w:val="16"/>
          <w:szCs w:val="16"/>
        </w:rPr>
        <w:t xml:space="preserve"> </w:t>
      </w:r>
      <w:r w:rsidRPr="00C41C74">
        <w:rPr>
          <w:rFonts w:ascii="Times New Roman" w:hAnsi="Times New Roman" w:cs="Times New Roman"/>
          <w:sz w:val="16"/>
          <w:szCs w:val="16"/>
        </w:rPr>
        <w:t>Defined by the Decree on the Methodology for Data Collection and Processing and the Calculation of Average Daily Net Imports, Average Daily Consumption, and Quantities of Mandatory Reserves of Oil and Petroleum Products (Official Gazette of the Republic of Serbia, No. 108/2014).</w:t>
      </w:r>
    </w:p>
  </w:footnote>
  <w:footnote w:id="56">
    <w:p w14:paraId="3529C483" w14:textId="4E6E8E95" w:rsidR="00612437" w:rsidRPr="006739CC" w:rsidRDefault="00612437" w:rsidP="00612437">
      <w:pPr>
        <w:pStyle w:val="FootnoteText"/>
        <w:rPr>
          <w:rFonts w:ascii="Times New Roman" w:hAnsi="Times New Roman" w:cs="Times New Roman"/>
          <w:sz w:val="16"/>
          <w:szCs w:val="16"/>
          <w:lang w:val="sr-Cyrl-RS"/>
        </w:rPr>
      </w:pPr>
      <w:r w:rsidRPr="006739CC">
        <w:rPr>
          <w:rStyle w:val="FootnoteReference"/>
          <w:rFonts w:ascii="Times New Roman" w:hAnsi="Times New Roman" w:cs="Times New Roman"/>
          <w:sz w:val="16"/>
          <w:szCs w:val="16"/>
        </w:rPr>
        <w:footnoteRef/>
      </w:r>
      <w:r w:rsidRPr="00031BBF">
        <w:rPr>
          <w:rFonts w:ascii="Times New Roman" w:hAnsi="Times New Roman" w:cs="Times New Roman"/>
          <w:sz w:val="16"/>
          <w:szCs w:val="16"/>
          <w:lang w:val="sr-Cyrl-RS"/>
        </w:rPr>
        <w:t xml:space="preserve"> </w:t>
      </w:r>
      <w:r w:rsidRPr="00612437">
        <w:rPr>
          <w:rFonts w:ascii="Times New Roman" w:hAnsi="Times New Roman" w:cs="Times New Roman"/>
          <w:sz w:val="16"/>
          <w:szCs w:val="16"/>
        </w:rPr>
        <w:t>Ratio of achieved to planned investments</w:t>
      </w:r>
    </w:p>
  </w:footnote>
  <w:footnote w:id="57">
    <w:p w14:paraId="52EB377B" w14:textId="1FBD58F2" w:rsidR="00612437" w:rsidRPr="006739CC" w:rsidRDefault="00612437" w:rsidP="00612437">
      <w:pPr>
        <w:pStyle w:val="FootnoteText"/>
        <w:rPr>
          <w:rFonts w:ascii="Times New Roman" w:hAnsi="Times New Roman" w:cs="Times New Roman"/>
          <w:sz w:val="16"/>
          <w:szCs w:val="16"/>
          <w:lang w:val="sr-Cyrl-RS"/>
        </w:rPr>
      </w:pPr>
      <w:r w:rsidRPr="006739CC">
        <w:rPr>
          <w:rStyle w:val="FootnoteReference"/>
          <w:rFonts w:ascii="Times New Roman" w:hAnsi="Times New Roman" w:cs="Times New Roman"/>
          <w:sz w:val="16"/>
          <w:szCs w:val="16"/>
        </w:rPr>
        <w:footnoteRef/>
      </w:r>
      <w:r w:rsidRPr="00031BBF">
        <w:rPr>
          <w:rFonts w:ascii="Times New Roman" w:hAnsi="Times New Roman" w:cs="Times New Roman"/>
          <w:sz w:val="16"/>
          <w:szCs w:val="16"/>
          <w:lang w:val="sr-Cyrl-RS"/>
        </w:rPr>
        <w:t xml:space="preserve"> </w:t>
      </w:r>
      <w:r w:rsidRPr="00612437">
        <w:rPr>
          <w:rFonts w:ascii="Times New Roman" w:hAnsi="Times New Roman" w:cs="Times New Roman"/>
          <w:sz w:val="16"/>
          <w:szCs w:val="16"/>
        </w:rPr>
        <w:t>Ratio of achieved to planned investments</w:t>
      </w:r>
    </w:p>
  </w:footnote>
  <w:footnote w:id="58">
    <w:p w14:paraId="034F2F5B" w14:textId="0B8D00C6" w:rsidR="0095439A" w:rsidRPr="006739CC" w:rsidRDefault="0095439A" w:rsidP="0095439A">
      <w:pPr>
        <w:pStyle w:val="FootnoteText"/>
        <w:rPr>
          <w:rFonts w:ascii="Times New Roman" w:hAnsi="Times New Roman" w:cs="Times New Roman"/>
          <w:sz w:val="16"/>
          <w:szCs w:val="16"/>
          <w:lang w:val="sr-Cyrl-RS"/>
        </w:rPr>
      </w:pPr>
      <w:r w:rsidRPr="006739CC">
        <w:rPr>
          <w:rStyle w:val="FootnoteReference"/>
          <w:rFonts w:ascii="Times New Roman" w:hAnsi="Times New Roman" w:cs="Times New Roman"/>
          <w:sz w:val="16"/>
          <w:szCs w:val="16"/>
        </w:rPr>
        <w:footnoteRef/>
      </w:r>
      <w:r w:rsidRPr="006739CC">
        <w:rPr>
          <w:rFonts w:ascii="Times New Roman" w:hAnsi="Times New Roman" w:cs="Times New Roman"/>
          <w:sz w:val="16"/>
          <w:szCs w:val="16"/>
        </w:rPr>
        <w:t xml:space="preserve"> </w:t>
      </w:r>
      <w:r w:rsidRPr="0095439A">
        <w:rPr>
          <w:rFonts w:ascii="Times New Roman" w:hAnsi="Times New Roman" w:cs="Times New Roman"/>
          <w:sz w:val="16"/>
          <w:szCs w:val="16"/>
        </w:rPr>
        <w:t>Conclusion on the Adoption of the Reform Agenda of the Republic of Serbia 2024–2027, in accordance with the Growth Plan for the Western Balkans, and on the Acceptance of the Report on the Discussions with the European Commission regarding the preparation of the Reform Agenda, adopted by the Government at the session held on October 3, 2024.</w:t>
      </w:r>
    </w:p>
  </w:footnote>
  <w:footnote w:id="59">
    <w:p w14:paraId="40FC1E68" w14:textId="5956EB2D" w:rsidR="00A24981" w:rsidRPr="00004CCF" w:rsidRDefault="00A24981" w:rsidP="0026034F">
      <w:pPr>
        <w:pStyle w:val="FootnoteText"/>
        <w:rPr>
          <w:rFonts w:ascii="Times New Roman" w:hAnsi="Times New Roman" w:cs="Times New Roman"/>
          <w:sz w:val="16"/>
          <w:szCs w:val="16"/>
        </w:rPr>
      </w:pPr>
      <w:r w:rsidRPr="006739CC">
        <w:rPr>
          <w:rStyle w:val="FootnoteReference"/>
          <w:rFonts w:ascii="Times New Roman" w:hAnsi="Times New Roman" w:cs="Times New Roman"/>
          <w:sz w:val="16"/>
          <w:szCs w:val="16"/>
        </w:rPr>
        <w:footnoteRef/>
      </w:r>
      <w:r w:rsidRPr="00031BBF">
        <w:rPr>
          <w:rFonts w:ascii="Times New Roman" w:hAnsi="Times New Roman" w:cs="Times New Roman"/>
          <w:sz w:val="16"/>
          <w:szCs w:val="16"/>
          <w:lang w:val="sr-Cyrl-RS"/>
        </w:rPr>
        <w:t xml:space="preserve"> </w:t>
      </w:r>
      <w:r w:rsidR="00004CCF">
        <w:rPr>
          <w:rFonts w:ascii="Times New Roman" w:hAnsi="Times New Roman" w:cs="Times New Roman"/>
          <w:sz w:val="16"/>
          <w:szCs w:val="16"/>
        </w:rPr>
        <w:t xml:space="preserve">See footnote </w:t>
      </w:r>
      <w:r w:rsidR="00004CCF">
        <w:rPr>
          <w:rFonts w:ascii="Times New Roman" w:hAnsi="Times New Roman" w:cs="Times New Roman"/>
          <w:sz w:val="16"/>
          <w:szCs w:val="16"/>
        </w:rPr>
        <w:fldChar w:fldCharType="begin"/>
      </w:r>
      <w:r w:rsidR="00004CCF">
        <w:rPr>
          <w:rFonts w:ascii="Times New Roman" w:hAnsi="Times New Roman" w:cs="Times New Roman"/>
          <w:sz w:val="16"/>
          <w:szCs w:val="16"/>
        </w:rPr>
        <w:instrText xml:space="preserve"> NOTEREF _Ref207101655 \h </w:instrText>
      </w:r>
      <w:r w:rsidR="00004CCF">
        <w:rPr>
          <w:rFonts w:ascii="Times New Roman" w:hAnsi="Times New Roman" w:cs="Times New Roman"/>
          <w:sz w:val="16"/>
          <w:szCs w:val="16"/>
        </w:rPr>
      </w:r>
      <w:r w:rsidR="00004CCF">
        <w:rPr>
          <w:rFonts w:ascii="Times New Roman" w:hAnsi="Times New Roman" w:cs="Times New Roman"/>
          <w:sz w:val="16"/>
          <w:szCs w:val="16"/>
        </w:rPr>
        <w:fldChar w:fldCharType="separate"/>
      </w:r>
      <w:r w:rsidR="002F2636">
        <w:rPr>
          <w:rFonts w:ascii="Times New Roman" w:hAnsi="Times New Roman" w:cs="Times New Roman"/>
          <w:sz w:val="16"/>
          <w:szCs w:val="16"/>
        </w:rPr>
        <w:t>2</w:t>
      </w:r>
      <w:r w:rsidR="00004CCF">
        <w:rPr>
          <w:rFonts w:ascii="Times New Roman" w:hAnsi="Times New Roman" w:cs="Times New Roman"/>
          <w:sz w:val="16"/>
          <w:szCs w:val="16"/>
        </w:rPr>
        <w:fldChar w:fldCharType="end"/>
      </w:r>
    </w:p>
  </w:footnote>
  <w:footnote w:id="60">
    <w:p w14:paraId="0FFFB719" w14:textId="2E1CE003" w:rsidR="00A24981" w:rsidRPr="006739CC" w:rsidRDefault="00A24981" w:rsidP="00FA5B96">
      <w:pPr>
        <w:pStyle w:val="FootnoteText"/>
        <w:rPr>
          <w:rFonts w:ascii="Times New Roman" w:hAnsi="Times New Roman" w:cs="Times New Roman"/>
          <w:sz w:val="16"/>
          <w:szCs w:val="16"/>
          <w:lang w:val="sr-Latn-RS"/>
        </w:rPr>
      </w:pPr>
      <w:r w:rsidRPr="006739CC">
        <w:rPr>
          <w:rStyle w:val="FootnoteReference"/>
          <w:rFonts w:ascii="Times New Roman" w:hAnsi="Times New Roman" w:cs="Times New Roman"/>
          <w:sz w:val="16"/>
          <w:szCs w:val="16"/>
        </w:rPr>
        <w:footnoteRef/>
      </w:r>
      <w:r w:rsidRPr="00031BBF">
        <w:rPr>
          <w:rFonts w:ascii="Times New Roman" w:hAnsi="Times New Roman" w:cs="Times New Roman"/>
          <w:sz w:val="16"/>
          <w:szCs w:val="16"/>
          <w:lang w:val="sr-Cyrl-RS"/>
        </w:rPr>
        <w:t xml:space="preserve"> </w:t>
      </w:r>
      <w:r w:rsidR="00B80FDD" w:rsidRPr="00B80FDD">
        <w:rPr>
          <w:rFonts w:ascii="Times New Roman" w:hAnsi="Times New Roman" w:cs="Times New Roman"/>
          <w:sz w:val="16"/>
          <w:szCs w:val="16"/>
          <w:lang w:val="sr-Cyrl-RS"/>
        </w:rPr>
        <w:t>The data are not final and refer only to those projects/activities for which values are known</w:t>
      </w:r>
      <w:r w:rsidRPr="006739CC">
        <w:rPr>
          <w:rFonts w:ascii="Times New Roman" w:hAnsi="Times New Roman" w:cs="Times New Roman"/>
          <w:sz w:val="16"/>
          <w:szCs w:val="16"/>
          <w:lang w:val="sr-Cyrl-RS"/>
        </w:rPr>
        <w:t>.</w:t>
      </w:r>
    </w:p>
  </w:footnote>
  <w:footnote w:id="61">
    <w:p w14:paraId="31EE2881" w14:textId="2DC8C2F2" w:rsidR="009A539A" w:rsidRPr="006739CC" w:rsidRDefault="009A539A" w:rsidP="00F66C82">
      <w:pPr>
        <w:pStyle w:val="FootnoteText"/>
        <w:rPr>
          <w:rFonts w:ascii="Times New Roman" w:hAnsi="Times New Roman" w:cs="Times New Roman"/>
          <w:sz w:val="16"/>
          <w:szCs w:val="16"/>
          <w:lang w:val="sr-Cyrl-RS"/>
        </w:rPr>
      </w:pPr>
      <w:r w:rsidRPr="006739CC">
        <w:rPr>
          <w:rStyle w:val="FootnoteReference"/>
          <w:rFonts w:ascii="Times New Roman" w:hAnsi="Times New Roman" w:cs="Times New Roman"/>
          <w:sz w:val="16"/>
          <w:szCs w:val="16"/>
        </w:rPr>
        <w:footnoteRef/>
      </w:r>
      <w:r w:rsidRPr="00031BBF">
        <w:rPr>
          <w:rFonts w:ascii="Times New Roman" w:hAnsi="Times New Roman" w:cs="Times New Roman"/>
          <w:sz w:val="16"/>
          <w:szCs w:val="16"/>
          <w:lang w:val="sr-Latn-RS"/>
        </w:rPr>
        <w:t xml:space="preserve"> </w:t>
      </w:r>
      <w:r w:rsidR="00B80FDD" w:rsidRPr="00B80FDD">
        <w:rPr>
          <w:rFonts w:ascii="Times New Roman" w:hAnsi="Times New Roman" w:cs="Times New Roman"/>
          <w:sz w:val="16"/>
          <w:szCs w:val="16"/>
          <w:lang w:val="sr-Latn-RS"/>
        </w:rPr>
        <w:t>Already included in the electric power sector.</w:t>
      </w:r>
    </w:p>
  </w:footnote>
  <w:footnote w:id="62">
    <w:p w14:paraId="2A4C556C" w14:textId="180E4982" w:rsidR="00B80FDD" w:rsidRPr="006739CC" w:rsidRDefault="00B80FDD" w:rsidP="00B80FDD">
      <w:pPr>
        <w:pStyle w:val="FootnoteText"/>
        <w:rPr>
          <w:rFonts w:ascii="Times New Roman" w:hAnsi="Times New Roman" w:cs="Times New Roman"/>
          <w:sz w:val="16"/>
          <w:szCs w:val="16"/>
          <w:lang w:val="sr-Cyrl-RS"/>
        </w:rPr>
      </w:pPr>
      <w:r w:rsidRPr="006739CC">
        <w:rPr>
          <w:rStyle w:val="FootnoteReference"/>
          <w:rFonts w:ascii="Times New Roman" w:hAnsi="Times New Roman" w:cs="Times New Roman"/>
          <w:sz w:val="16"/>
          <w:szCs w:val="16"/>
        </w:rPr>
        <w:footnoteRef/>
      </w:r>
      <w:r w:rsidRPr="006739CC">
        <w:rPr>
          <w:rFonts w:ascii="Times New Roman" w:hAnsi="Times New Roman" w:cs="Times New Roman"/>
          <w:sz w:val="16"/>
          <w:szCs w:val="16"/>
        </w:rPr>
        <w:t xml:space="preserve"> </w:t>
      </w:r>
      <w:r w:rsidRPr="00B80FDD">
        <w:rPr>
          <w:rFonts w:ascii="Times New Roman" w:hAnsi="Times New Roman" w:cs="Times New Roman"/>
          <w:sz w:val="16"/>
          <w:szCs w:val="16"/>
        </w:rPr>
        <w:t>Excluding investments that are already accounted for in the heat energy sector.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D952D1B"/>
    <w:multiLevelType w:val="singleLevel"/>
    <w:tmpl w:val="FD952D1B"/>
    <w:lvl w:ilvl="0">
      <w:start w:val="1"/>
      <w:numFmt w:val="decimal"/>
      <w:suff w:val="space"/>
      <w:lvlText w:val="%1."/>
      <w:lvlJc w:val="left"/>
    </w:lvl>
  </w:abstractNum>
  <w:abstractNum w:abstractNumId="1" w15:restartNumberingAfterBreak="0">
    <w:nsid w:val="00CB07BA"/>
    <w:multiLevelType w:val="hybridMultilevel"/>
    <w:tmpl w:val="091A8F22"/>
    <w:lvl w:ilvl="0" w:tplc="780E43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985B29"/>
    <w:multiLevelType w:val="multilevel"/>
    <w:tmpl w:val="608E9C26"/>
    <w:lvl w:ilvl="0">
      <w:start w:val="1"/>
      <w:numFmt w:val="decimal"/>
      <w:lvlText w:val="%1."/>
      <w:lvlJc w:val="left"/>
      <w:pPr>
        <w:ind w:left="720" w:hanging="360"/>
      </w:pPr>
      <w:rPr>
        <w:rFonts w:hint="default"/>
      </w:rPr>
    </w:lvl>
    <w:lvl w:ilvl="1">
      <w:start w:val="239"/>
      <w:numFmt w:val="decimal"/>
      <w:isLgl/>
      <w:lvlText w:val="%1.%2"/>
      <w:lvlJc w:val="left"/>
      <w:pPr>
        <w:ind w:left="1545" w:hanging="1185"/>
      </w:pPr>
      <w:rPr>
        <w:rFonts w:hint="default"/>
      </w:rPr>
    </w:lvl>
    <w:lvl w:ilvl="2">
      <w:start w:val="472"/>
      <w:numFmt w:val="decimal"/>
      <w:isLgl/>
      <w:lvlText w:val="%1.%2.%3"/>
      <w:lvlJc w:val="left"/>
      <w:pPr>
        <w:ind w:left="1545" w:hanging="1185"/>
      </w:pPr>
      <w:rPr>
        <w:rFonts w:hint="default"/>
      </w:rPr>
    </w:lvl>
    <w:lvl w:ilvl="3">
      <w:start w:val="200"/>
      <w:numFmt w:val="decimal"/>
      <w:isLgl/>
      <w:lvlText w:val="%1.%2.%3.%4"/>
      <w:lvlJc w:val="left"/>
      <w:pPr>
        <w:ind w:left="1545" w:hanging="1185"/>
      </w:pPr>
      <w:rPr>
        <w:rFonts w:hint="default"/>
      </w:rPr>
    </w:lvl>
    <w:lvl w:ilvl="4">
      <w:start w:val="1"/>
      <w:numFmt w:val="decimal"/>
      <w:isLgl/>
      <w:lvlText w:val="%1.%2.%3.%4.%5"/>
      <w:lvlJc w:val="left"/>
      <w:pPr>
        <w:ind w:left="1545" w:hanging="1185"/>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68D000D"/>
    <w:multiLevelType w:val="hybridMultilevel"/>
    <w:tmpl w:val="1C02D94A"/>
    <w:lvl w:ilvl="0" w:tplc="032ACAFE">
      <w:start w:val="1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DD3E65"/>
    <w:multiLevelType w:val="multilevel"/>
    <w:tmpl w:val="BA2CE012"/>
    <w:lvl w:ilvl="0">
      <w:start w:val="5"/>
      <w:numFmt w:val="decimal"/>
      <w:lvlText w:val="%1."/>
      <w:lvlJc w:val="left"/>
      <w:pPr>
        <w:ind w:left="360" w:hanging="360"/>
      </w:pPr>
      <w:rPr>
        <w:rFonts w:eastAsia="Times New Roman" w:hint="default"/>
      </w:rPr>
    </w:lvl>
    <w:lvl w:ilvl="1">
      <w:start w:val="6"/>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5" w15:restartNumberingAfterBreak="0">
    <w:nsid w:val="095D7573"/>
    <w:multiLevelType w:val="hybridMultilevel"/>
    <w:tmpl w:val="05306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696D4A"/>
    <w:multiLevelType w:val="hybridMultilevel"/>
    <w:tmpl w:val="6DD61454"/>
    <w:lvl w:ilvl="0" w:tplc="04090001">
      <w:start w:val="1"/>
      <w:numFmt w:val="bullet"/>
      <w:lvlText w:val=""/>
      <w:lvlJc w:val="left"/>
      <w:pPr>
        <w:ind w:left="720" w:hanging="360"/>
      </w:pPr>
      <w:rPr>
        <w:rFonts w:ascii="Symbol" w:hAnsi="Symbol" w:hint="default"/>
        <w:w w:val="103"/>
        <w:sz w:val="20"/>
        <w:szCs w:val="20"/>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A572F7"/>
    <w:multiLevelType w:val="hybridMultilevel"/>
    <w:tmpl w:val="246A82D6"/>
    <w:lvl w:ilvl="0" w:tplc="3E629EC4">
      <w:start w:val="2"/>
      <w:numFmt w:val="bullet"/>
      <w:lvlText w:val="-"/>
      <w:lvlJc w:val="left"/>
      <w:pPr>
        <w:ind w:left="720" w:hanging="360"/>
      </w:pPr>
      <w:rPr>
        <w:rFonts w:ascii="Times New Roman" w:eastAsiaTheme="minorHAnsi"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8" w15:restartNumberingAfterBreak="0">
    <w:nsid w:val="106477E8"/>
    <w:multiLevelType w:val="hybridMultilevel"/>
    <w:tmpl w:val="95CC2BB0"/>
    <w:lvl w:ilvl="0" w:tplc="3E629EC4">
      <w:start w:val="2"/>
      <w:numFmt w:val="bullet"/>
      <w:lvlText w:val="-"/>
      <w:lvlJc w:val="left"/>
      <w:pPr>
        <w:ind w:left="720" w:hanging="360"/>
      </w:pPr>
      <w:rPr>
        <w:rFonts w:ascii="Times New Roman" w:eastAsiaTheme="minorHAnsi"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9" w15:restartNumberingAfterBreak="0">
    <w:nsid w:val="113D1260"/>
    <w:multiLevelType w:val="hybridMultilevel"/>
    <w:tmpl w:val="4266D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524E92"/>
    <w:multiLevelType w:val="multilevel"/>
    <w:tmpl w:val="132CF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9127EB"/>
    <w:multiLevelType w:val="hybridMultilevel"/>
    <w:tmpl w:val="21225A6E"/>
    <w:lvl w:ilvl="0" w:tplc="C2CECD0C">
      <w:start w:val="1"/>
      <w:numFmt w:val="bullet"/>
      <w:lvlText w:val=""/>
      <w:lvlJc w:val="left"/>
      <w:pPr>
        <w:ind w:left="863" w:hanging="360"/>
      </w:pPr>
      <w:rPr>
        <w:rFonts w:ascii="Symbol" w:hAnsi="Symbol" w:hint="default"/>
      </w:rPr>
    </w:lvl>
    <w:lvl w:ilvl="1" w:tplc="04090019">
      <w:start w:val="1"/>
      <w:numFmt w:val="lowerLetter"/>
      <w:lvlText w:val="%2."/>
      <w:lvlJc w:val="left"/>
      <w:pPr>
        <w:ind w:left="1583" w:hanging="360"/>
      </w:pPr>
    </w:lvl>
    <w:lvl w:ilvl="2" w:tplc="0409001B">
      <w:start w:val="1"/>
      <w:numFmt w:val="lowerRoman"/>
      <w:lvlText w:val="%3."/>
      <w:lvlJc w:val="right"/>
      <w:pPr>
        <w:ind w:left="2303" w:hanging="180"/>
      </w:pPr>
    </w:lvl>
    <w:lvl w:ilvl="3" w:tplc="0409000F">
      <w:start w:val="1"/>
      <w:numFmt w:val="decimal"/>
      <w:lvlText w:val="%4."/>
      <w:lvlJc w:val="left"/>
      <w:pPr>
        <w:ind w:left="3023" w:hanging="360"/>
      </w:pPr>
    </w:lvl>
    <w:lvl w:ilvl="4" w:tplc="04090019">
      <w:start w:val="1"/>
      <w:numFmt w:val="lowerLetter"/>
      <w:lvlText w:val="%5."/>
      <w:lvlJc w:val="left"/>
      <w:pPr>
        <w:ind w:left="3743" w:hanging="360"/>
      </w:pPr>
    </w:lvl>
    <w:lvl w:ilvl="5" w:tplc="0409001B">
      <w:start w:val="1"/>
      <w:numFmt w:val="lowerRoman"/>
      <w:lvlText w:val="%6."/>
      <w:lvlJc w:val="right"/>
      <w:pPr>
        <w:ind w:left="4463" w:hanging="180"/>
      </w:pPr>
    </w:lvl>
    <w:lvl w:ilvl="6" w:tplc="0409000F">
      <w:start w:val="1"/>
      <w:numFmt w:val="decimal"/>
      <w:lvlText w:val="%7."/>
      <w:lvlJc w:val="left"/>
      <w:pPr>
        <w:ind w:left="5183" w:hanging="360"/>
      </w:pPr>
    </w:lvl>
    <w:lvl w:ilvl="7" w:tplc="04090019">
      <w:start w:val="1"/>
      <w:numFmt w:val="lowerLetter"/>
      <w:lvlText w:val="%8."/>
      <w:lvlJc w:val="left"/>
      <w:pPr>
        <w:ind w:left="5903" w:hanging="360"/>
      </w:pPr>
    </w:lvl>
    <w:lvl w:ilvl="8" w:tplc="0409001B">
      <w:start w:val="1"/>
      <w:numFmt w:val="lowerRoman"/>
      <w:lvlText w:val="%9."/>
      <w:lvlJc w:val="right"/>
      <w:pPr>
        <w:ind w:left="6623" w:hanging="180"/>
      </w:pPr>
    </w:lvl>
  </w:abstractNum>
  <w:abstractNum w:abstractNumId="12" w15:restartNumberingAfterBreak="0">
    <w:nsid w:val="1CE52458"/>
    <w:multiLevelType w:val="hybridMultilevel"/>
    <w:tmpl w:val="895065C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D1678CE"/>
    <w:multiLevelType w:val="hybridMultilevel"/>
    <w:tmpl w:val="4044FFD8"/>
    <w:lvl w:ilvl="0" w:tplc="9B6C2BD0">
      <w:start w:val="1"/>
      <w:numFmt w:val="decimal"/>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14" w15:restartNumberingAfterBreak="0">
    <w:nsid w:val="1D284DF2"/>
    <w:multiLevelType w:val="hybridMultilevel"/>
    <w:tmpl w:val="F7B8E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B56407"/>
    <w:multiLevelType w:val="multilevel"/>
    <w:tmpl w:val="43C426BE"/>
    <w:lvl w:ilvl="0">
      <w:start w:val="13"/>
      <w:numFmt w:val="bullet"/>
      <w:lvlText w:val="-"/>
      <w:lvlJc w:val="left"/>
      <w:pPr>
        <w:tabs>
          <w:tab w:val="num" w:pos="720"/>
        </w:tabs>
        <w:ind w:left="720" w:hanging="360"/>
      </w:pPr>
      <w:rPr>
        <w:rFonts w:ascii="Times New Roman" w:eastAsia="Calibr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3B004A"/>
    <w:multiLevelType w:val="hybridMultilevel"/>
    <w:tmpl w:val="7BEC8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2B30DD"/>
    <w:multiLevelType w:val="hybridMultilevel"/>
    <w:tmpl w:val="C7DAA1B4"/>
    <w:lvl w:ilvl="0" w:tplc="5F9406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D6D7C2D"/>
    <w:multiLevelType w:val="multilevel"/>
    <w:tmpl w:val="1F764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745961"/>
    <w:multiLevelType w:val="hybridMultilevel"/>
    <w:tmpl w:val="5E042DCC"/>
    <w:lvl w:ilvl="0" w:tplc="3E629EC4">
      <w:start w:val="2"/>
      <w:numFmt w:val="bullet"/>
      <w:lvlText w:val="-"/>
      <w:lvlJc w:val="left"/>
      <w:pPr>
        <w:ind w:left="720" w:hanging="360"/>
      </w:pPr>
      <w:rPr>
        <w:rFonts w:ascii="Times New Roman" w:eastAsiaTheme="minorHAnsi"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0" w15:restartNumberingAfterBreak="0">
    <w:nsid w:val="346F51C3"/>
    <w:multiLevelType w:val="hybridMultilevel"/>
    <w:tmpl w:val="BADC2D54"/>
    <w:lvl w:ilvl="0" w:tplc="032ACAFE">
      <w:start w:val="13"/>
      <w:numFmt w:val="bullet"/>
      <w:lvlText w:val="-"/>
      <w:lvlJc w:val="left"/>
      <w:pPr>
        <w:ind w:left="720" w:hanging="360"/>
      </w:pPr>
      <w:rPr>
        <w:rFonts w:ascii="Times New Roman" w:eastAsia="Calibri"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1" w15:restartNumberingAfterBreak="0">
    <w:nsid w:val="36E6594F"/>
    <w:multiLevelType w:val="hybridMultilevel"/>
    <w:tmpl w:val="02747780"/>
    <w:lvl w:ilvl="0" w:tplc="28689652">
      <w:numFmt w:val="bullet"/>
      <w:lvlText w:val="-"/>
      <w:lvlJc w:val="left"/>
      <w:pPr>
        <w:ind w:left="720" w:hanging="360"/>
      </w:pPr>
      <w:rPr>
        <w:rFonts w:ascii="Microsoft Sans Serif" w:eastAsia="Microsoft Sans Serif" w:hAnsi="Microsoft Sans Serif" w:cs="Microsoft Sans Serif" w:hint="default"/>
        <w:w w:val="103"/>
        <w:sz w:val="20"/>
        <w:szCs w:val="20"/>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007DD8"/>
    <w:multiLevelType w:val="hybridMultilevel"/>
    <w:tmpl w:val="7CA65BE0"/>
    <w:lvl w:ilvl="0" w:tplc="5F9406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AF626DE"/>
    <w:multiLevelType w:val="hybridMultilevel"/>
    <w:tmpl w:val="A392C63A"/>
    <w:lvl w:ilvl="0" w:tplc="5F9406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BF5600E"/>
    <w:multiLevelType w:val="hybridMultilevel"/>
    <w:tmpl w:val="670A735C"/>
    <w:lvl w:ilvl="0" w:tplc="26B2DB2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A96096"/>
    <w:multiLevelType w:val="hybridMultilevel"/>
    <w:tmpl w:val="566E2A42"/>
    <w:lvl w:ilvl="0" w:tplc="1006F876">
      <w:start w:val="1"/>
      <w:numFmt w:val="decimal"/>
      <w:lvlText w:val="(%1)"/>
      <w:lvlJc w:val="left"/>
      <w:pPr>
        <w:ind w:left="72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3E9E7706"/>
    <w:multiLevelType w:val="hybridMultilevel"/>
    <w:tmpl w:val="F1E48232"/>
    <w:lvl w:ilvl="0" w:tplc="28689652">
      <w:numFmt w:val="bullet"/>
      <w:lvlText w:val="-"/>
      <w:lvlJc w:val="left"/>
      <w:pPr>
        <w:ind w:left="1477" w:hanging="342"/>
      </w:pPr>
      <w:rPr>
        <w:rFonts w:ascii="Microsoft Sans Serif" w:eastAsia="Microsoft Sans Serif" w:hAnsi="Microsoft Sans Serif" w:cs="Microsoft Sans Serif" w:hint="default"/>
        <w:w w:val="103"/>
        <w:sz w:val="20"/>
        <w:szCs w:val="20"/>
        <w:lang w:eastAsia="en-US" w:bidi="ar-SA"/>
      </w:rPr>
    </w:lvl>
    <w:lvl w:ilvl="1" w:tplc="5EA2FECE">
      <w:numFmt w:val="bullet"/>
      <w:lvlText w:val="o"/>
      <w:lvlJc w:val="left"/>
      <w:pPr>
        <w:ind w:left="2601" w:hanging="341"/>
      </w:pPr>
      <w:rPr>
        <w:rFonts w:ascii="Courier New" w:eastAsia="Courier New" w:hAnsi="Courier New" w:cs="Courier New" w:hint="default"/>
        <w:w w:val="103"/>
        <w:sz w:val="20"/>
        <w:szCs w:val="20"/>
        <w:lang w:eastAsia="en-US" w:bidi="ar-SA"/>
      </w:rPr>
    </w:lvl>
    <w:lvl w:ilvl="2" w:tplc="BE66E302">
      <w:numFmt w:val="bullet"/>
      <w:lvlText w:val="•"/>
      <w:lvlJc w:val="left"/>
      <w:pPr>
        <w:ind w:left="3504" w:hanging="341"/>
      </w:pPr>
      <w:rPr>
        <w:rFonts w:hint="default"/>
        <w:lang w:eastAsia="en-US" w:bidi="ar-SA"/>
      </w:rPr>
    </w:lvl>
    <w:lvl w:ilvl="3" w:tplc="61D0E314">
      <w:numFmt w:val="bullet"/>
      <w:lvlText w:val="•"/>
      <w:lvlJc w:val="left"/>
      <w:pPr>
        <w:ind w:left="4408" w:hanging="341"/>
      </w:pPr>
      <w:rPr>
        <w:rFonts w:hint="default"/>
        <w:lang w:eastAsia="en-US" w:bidi="ar-SA"/>
      </w:rPr>
    </w:lvl>
    <w:lvl w:ilvl="4" w:tplc="2EEA2DD6">
      <w:numFmt w:val="bullet"/>
      <w:lvlText w:val="•"/>
      <w:lvlJc w:val="left"/>
      <w:pPr>
        <w:ind w:left="5313" w:hanging="341"/>
      </w:pPr>
      <w:rPr>
        <w:rFonts w:hint="default"/>
        <w:lang w:eastAsia="en-US" w:bidi="ar-SA"/>
      </w:rPr>
    </w:lvl>
    <w:lvl w:ilvl="5" w:tplc="B4D4B5D6">
      <w:numFmt w:val="bullet"/>
      <w:lvlText w:val="•"/>
      <w:lvlJc w:val="left"/>
      <w:pPr>
        <w:ind w:left="6217" w:hanging="341"/>
      </w:pPr>
      <w:rPr>
        <w:rFonts w:hint="default"/>
        <w:lang w:eastAsia="en-US" w:bidi="ar-SA"/>
      </w:rPr>
    </w:lvl>
    <w:lvl w:ilvl="6" w:tplc="6436DBFA">
      <w:numFmt w:val="bullet"/>
      <w:lvlText w:val="•"/>
      <w:lvlJc w:val="left"/>
      <w:pPr>
        <w:ind w:left="7122" w:hanging="341"/>
      </w:pPr>
      <w:rPr>
        <w:rFonts w:hint="default"/>
        <w:lang w:eastAsia="en-US" w:bidi="ar-SA"/>
      </w:rPr>
    </w:lvl>
    <w:lvl w:ilvl="7" w:tplc="95102548">
      <w:numFmt w:val="bullet"/>
      <w:lvlText w:val="•"/>
      <w:lvlJc w:val="left"/>
      <w:pPr>
        <w:ind w:left="8026" w:hanging="341"/>
      </w:pPr>
      <w:rPr>
        <w:rFonts w:hint="default"/>
        <w:lang w:eastAsia="en-US" w:bidi="ar-SA"/>
      </w:rPr>
    </w:lvl>
    <w:lvl w:ilvl="8" w:tplc="AD68D9AE">
      <w:numFmt w:val="bullet"/>
      <w:lvlText w:val="•"/>
      <w:lvlJc w:val="left"/>
      <w:pPr>
        <w:ind w:left="8931" w:hanging="341"/>
      </w:pPr>
      <w:rPr>
        <w:rFonts w:hint="default"/>
        <w:lang w:eastAsia="en-US" w:bidi="ar-SA"/>
      </w:rPr>
    </w:lvl>
  </w:abstractNum>
  <w:abstractNum w:abstractNumId="27" w15:restartNumberingAfterBreak="0">
    <w:nsid w:val="41063246"/>
    <w:multiLevelType w:val="multilevel"/>
    <w:tmpl w:val="F6A84C48"/>
    <w:lvl w:ilvl="0">
      <w:start w:val="13"/>
      <w:numFmt w:val="bullet"/>
      <w:lvlText w:val="-"/>
      <w:lvlJc w:val="left"/>
      <w:pPr>
        <w:tabs>
          <w:tab w:val="num" w:pos="720"/>
        </w:tabs>
        <w:ind w:left="720" w:hanging="360"/>
      </w:pPr>
      <w:rPr>
        <w:rFonts w:ascii="Times New Roman" w:eastAsia="Calibr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3681EDF"/>
    <w:multiLevelType w:val="hybridMultilevel"/>
    <w:tmpl w:val="F5208D1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F541ABE"/>
    <w:multiLevelType w:val="multilevel"/>
    <w:tmpl w:val="07CEA6C4"/>
    <w:lvl w:ilvl="0">
      <w:start w:val="1"/>
      <w:numFmt w:val="decimal"/>
      <w:lvlText w:val="%1."/>
      <w:lvlJc w:val="left"/>
      <w:pPr>
        <w:ind w:left="928" w:hanging="360"/>
      </w:pPr>
      <w:rPr>
        <w:rFonts w:hint="default"/>
      </w:rPr>
    </w:lvl>
    <w:lvl w:ilvl="1">
      <w:start w:val="1"/>
      <w:numFmt w:val="decimal"/>
      <w:isLgl/>
      <w:lvlText w:val="%1.%2."/>
      <w:lvlJc w:val="left"/>
      <w:pPr>
        <w:ind w:left="820" w:hanging="4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15C0D2D"/>
    <w:multiLevelType w:val="hybridMultilevel"/>
    <w:tmpl w:val="6CAC8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F12AC8"/>
    <w:multiLevelType w:val="hybridMultilevel"/>
    <w:tmpl w:val="F82C5346"/>
    <w:lvl w:ilvl="0" w:tplc="3E629EC4">
      <w:start w:val="2"/>
      <w:numFmt w:val="bullet"/>
      <w:lvlText w:val="-"/>
      <w:lvlJc w:val="left"/>
      <w:pPr>
        <w:ind w:left="720" w:hanging="360"/>
      </w:pPr>
      <w:rPr>
        <w:rFonts w:ascii="Times New Roman" w:eastAsiaTheme="minorHAnsi"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2" w15:restartNumberingAfterBreak="0">
    <w:nsid w:val="5866065D"/>
    <w:multiLevelType w:val="hybridMultilevel"/>
    <w:tmpl w:val="A654664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3" w15:restartNumberingAfterBreak="0">
    <w:nsid w:val="5AD1583F"/>
    <w:multiLevelType w:val="multilevel"/>
    <w:tmpl w:val="E5AC9956"/>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F337A59"/>
    <w:multiLevelType w:val="hybridMultilevel"/>
    <w:tmpl w:val="EBD86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314AC0"/>
    <w:multiLevelType w:val="hybridMultilevel"/>
    <w:tmpl w:val="25D6CB3E"/>
    <w:lvl w:ilvl="0" w:tplc="032ACAFE">
      <w:start w:val="1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8281386"/>
    <w:multiLevelType w:val="hybridMultilevel"/>
    <w:tmpl w:val="983241A6"/>
    <w:lvl w:ilvl="0" w:tplc="E29C2A06">
      <w:start w:val="202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916BCD"/>
    <w:multiLevelType w:val="hybridMultilevel"/>
    <w:tmpl w:val="BCF20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541809"/>
    <w:multiLevelType w:val="multilevel"/>
    <w:tmpl w:val="2D7A272A"/>
    <w:lvl w:ilvl="0">
      <w:start w:val="13"/>
      <w:numFmt w:val="bullet"/>
      <w:lvlText w:val="-"/>
      <w:lvlJc w:val="left"/>
      <w:pPr>
        <w:tabs>
          <w:tab w:val="num" w:pos="720"/>
        </w:tabs>
        <w:ind w:left="720" w:hanging="360"/>
      </w:pPr>
      <w:rPr>
        <w:rFonts w:ascii="Times New Roman" w:eastAsia="Calibr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FAD1AAD"/>
    <w:multiLevelType w:val="hybridMultilevel"/>
    <w:tmpl w:val="5ABE83DC"/>
    <w:lvl w:ilvl="0" w:tplc="18862440">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26F5937"/>
    <w:multiLevelType w:val="multilevel"/>
    <w:tmpl w:val="686ECA9A"/>
    <w:styleLink w:val="CurrentList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1" w15:restartNumberingAfterBreak="0">
    <w:nsid w:val="745B1B38"/>
    <w:multiLevelType w:val="hybridMultilevel"/>
    <w:tmpl w:val="CB38AEE6"/>
    <w:lvl w:ilvl="0" w:tplc="18862440">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6C5393A"/>
    <w:multiLevelType w:val="hybridMultilevel"/>
    <w:tmpl w:val="5E0452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ACD5F14"/>
    <w:multiLevelType w:val="multilevel"/>
    <w:tmpl w:val="07CEA6C4"/>
    <w:lvl w:ilvl="0">
      <w:start w:val="1"/>
      <w:numFmt w:val="decimal"/>
      <w:lvlText w:val="%1."/>
      <w:lvlJc w:val="left"/>
      <w:pPr>
        <w:ind w:left="928" w:hanging="360"/>
      </w:pPr>
      <w:rPr>
        <w:rFonts w:hint="default"/>
      </w:rPr>
    </w:lvl>
    <w:lvl w:ilvl="1">
      <w:start w:val="1"/>
      <w:numFmt w:val="decimal"/>
      <w:isLgl/>
      <w:lvlText w:val="%1.%2."/>
      <w:lvlJc w:val="left"/>
      <w:pPr>
        <w:ind w:left="820" w:hanging="4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7F775368"/>
    <w:multiLevelType w:val="hybridMultilevel"/>
    <w:tmpl w:val="1812CCC6"/>
    <w:lvl w:ilvl="0" w:tplc="0409000B">
      <w:start w:val="1"/>
      <w:numFmt w:val="bullet"/>
      <w:lvlText w:val=""/>
      <w:lvlJc w:val="left"/>
      <w:pPr>
        <w:ind w:left="2770" w:hanging="360"/>
      </w:pPr>
      <w:rPr>
        <w:rFonts w:ascii="Wingdings" w:hAnsi="Wingdings" w:hint="default"/>
      </w:rPr>
    </w:lvl>
    <w:lvl w:ilvl="1" w:tplc="04090003" w:tentative="1">
      <w:start w:val="1"/>
      <w:numFmt w:val="bullet"/>
      <w:lvlText w:val="o"/>
      <w:lvlJc w:val="left"/>
      <w:pPr>
        <w:ind w:left="3490" w:hanging="360"/>
      </w:pPr>
      <w:rPr>
        <w:rFonts w:ascii="Courier New" w:hAnsi="Courier New" w:cs="Courier New" w:hint="default"/>
      </w:rPr>
    </w:lvl>
    <w:lvl w:ilvl="2" w:tplc="04090005" w:tentative="1">
      <w:start w:val="1"/>
      <w:numFmt w:val="bullet"/>
      <w:lvlText w:val=""/>
      <w:lvlJc w:val="left"/>
      <w:pPr>
        <w:ind w:left="4210" w:hanging="360"/>
      </w:pPr>
      <w:rPr>
        <w:rFonts w:ascii="Wingdings" w:hAnsi="Wingdings" w:hint="default"/>
      </w:rPr>
    </w:lvl>
    <w:lvl w:ilvl="3" w:tplc="04090001" w:tentative="1">
      <w:start w:val="1"/>
      <w:numFmt w:val="bullet"/>
      <w:lvlText w:val=""/>
      <w:lvlJc w:val="left"/>
      <w:pPr>
        <w:ind w:left="4930" w:hanging="360"/>
      </w:pPr>
      <w:rPr>
        <w:rFonts w:ascii="Symbol" w:hAnsi="Symbol" w:hint="default"/>
      </w:rPr>
    </w:lvl>
    <w:lvl w:ilvl="4" w:tplc="04090003" w:tentative="1">
      <w:start w:val="1"/>
      <w:numFmt w:val="bullet"/>
      <w:lvlText w:val="o"/>
      <w:lvlJc w:val="left"/>
      <w:pPr>
        <w:ind w:left="5650" w:hanging="360"/>
      </w:pPr>
      <w:rPr>
        <w:rFonts w:ascii="Courier New" w:hAnsi="Courier New" w:cs="Courier New" w:hint="default"/>
      </w:rPr>
    </w:lvl>
    <w:lvl w:ilvl="5" w:tplc="04090005" w:tentative="1">
      <w:start w:val="1"/>
      <w:numFmt w:val="bullet"/>
      <w:lvlText w:val=""/>
      <w:lvlJc w:val="left"/>
      <w:pPr>
        <w:ind w:left="6370" w:hanging="360"/>
      </w:pPr>
      <w:rPr>
        <w:rFonts w:ascii="Wingdings" w:hAnsi="Wingdings" w:hint="default"/>
      </w:rPr>
    </w:lvl>
    <w:lvl w:ilvl="6" w:tplc="04090001" w:tentative="1">
      <w:start w:val="1"/>
      <w:numFmt w:val="bullet"/>
      <w:lvlText w:val=""/>
      <w:lvlJc w:val="left"/>
      <w:pPr>
        <w:ind w:left="7090" w:hanging="360"/>
      </w:pPr>
      <w:rPr>
        <w:rFonts w:ascii="Symbol" w:hAnsi="Symbol" w:hint="default"/>
      </w:rPr>
    </w:lvl>
    <w:lvl w:ilvl="7" w:tplc="04090003" w:tentative="1">
      <w:start w:val="1"/>
      <w:numFmt w:val="bullet"/>
      <w:lvlText w:val="o"/>
      <w:lvlJc w:val="left"/>
      <w:pPr>
        <w:ind w:left="7810" w:hanging="360"/>
      </w:pPr>
      <w:rPr>
        <w:rFonts w:ascii="Courier New" w:hAnsi="Courier New" w:cs="Courier New" w:hint="default"/>
      </w:rPr>
    </w:lvl>
    <w:lvl w:ilvl="8" w:tplc="04090005" w:tentative="1">
      <w:start w:val="1"/>
      <w:numFmt w:val="bullet"/>
      <w:lvlText w:val=""/>
      <w:lvlJc w:val="left"/>
      <w:pPr>
        <w:ind w:left="8530" w:hanging="360"/>
      </w:pPr>
      <w:rPr>
        <w:rFonts w:ascii="Wingdings" w:hAnsi="Wingdings" w:hint="default"/>
      </w:rPr>
    </w:lvl>
  </w:abstractNum>
  <w:num w:numId="1" w16cid:durableId="734594929">
    <w:abstractNumId w:val="44"/>
  </w:num>
  <w:num w:numId="2" w16cid:durableId="1568950417">
    <w:abstractNumId w:val="35"/>
  </w:num>
  <w:num w:numId="3" w16cid:durableId="711153823">
    <w:abstractNumId w:val="26"/>
  </w:num>
  <w:num w:numId="4" w16cid:durableId="1803770632">
    <w:abstractNumId w:val="16"/>
  </w:num>
  <w:num w:numId="5" w16cid:durableId="688530325">
    <w:abstractNumId w:val="12"/>
  </w:num>
  <w:num w:numId="6" w16cid:durableId="1426536757">
    <w:abstractNumId w:val="2"/>
  </w:num>
  <w:num w:numId="7" w16cid:durableId="2036929280">
    <w:abstractNumId w:val="43"/>
  </w:num>
  <w:num w:numId="8" w16cid:durableId="1890648519">
    <w:abstractNumId w:val="33"/>
  </w:num>
  <w:num w:numId="9" w16cid:durableId="1582714356">
    <w:abstractNumId w:val="34"/>
  </w:num>
  <w:num w:numId="10" w16cid:durableId="630408210">
    <w:abstractNumId w:val="24"/>
  </w:num>
  <w:num w:numId="11" w16cid:durableId="584612915">
    <w:abstractNumId w:val="8"/>
  </w:num>
  <w:num w:numId="12" w16cid:durableId="389154236">
    <w:abstractNumId w:val="19"/>
  </w:num>
  <w:num w:numId="13" w16cid:durableId="243489121">
    <w:abstractNumId w:val="31"/>
  </w:num>
  <w:num w:numId="14" w16cid:durableId="1229153784">
    <w:abstractNumId w:val="7"/>
  </w:num>
  <w:num w:numId="15" w16cid:durableId="1747998496">
    <w:abstractNumId w:val="37"/>
  </w:num>
  <w:num w:numId="16" w16cid:durableId="1254364322">
    <w:abstractNumId w:val="20"/>
  </w:num>
  <w:num w:numId="17" w16cid:durableId="1207720089">
    <w:abstractNumId w:val="5"/>
  </w:num>
  <w:num w:numId="18" w16cid:durableId="1573008523">
    <w:abstractNumId w:val="42"/>
  </w:num>
  <w:num w:numId="19" w16cid:durableId="189546049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0833769">
    <w:abstractNumId w:val="36"/>
  </w:num>
  <w:num w:numId="21" w16cid:durableId="1619486659">
    <w:abstractNumId w:val="1"/>
  </w:num>
  <w:num w:numId="22" w16cid:durableId="751971671">
    <w:abstractNumId w:val="17"/>
  </w:num>
  <w:num w:numId="23" w16cid:durableId="275403850">
    <w:abstractNumId w:val="23"/>
  </w:num>
  <w:num w:numId="24" w16cid:durableId="368919992">
    <w:abstractNumId w:val="22"/>
  </w:num>
  <w:num w:numId="25" w16cid:durableId="741022111">
    <w:abstractNumId w:val="25"/>
  </w:num>
  <w:num w:numId="26" w16cid:durableId="538588890">
    <w:abstractNumId w:val="40"/>
  </w:num>
  <w:num w:numId="27" w16cid:durableId="1342782599">
    <w:abstractNumId w:val="0"/>
  </w:num>
  <w:num w:numId="28" w16cid:durableId="764498534">
    <w:abstractNumId w:val="11"/>
  </w:num>
  <w:num w:numId="29" w16cid:durableId="1743212054">
    <w:abstractNumId w:val="14"/>
  </w:num>
  <w:num w:numId="30" w16cid:durableId="167537296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1" w16cid:durableId="291716287">
    <w:abstractNumId w:val="32"/>
  </w:num>
  <w:num w:numId="32" w16cid:durableId="1504510234">
    <w:abstractNumId w:val="9"/>
  </w:num>
  <w:num w:numId="33" w16cid:durableId="1736318864">
    <w:abstractNumId w:val="29"/>
  </w:num>
  <w:num w:numId="34" w16cid:durableId="106244569">
    <w:abstractNumId w:val="4"/>
  </w:num>
  <w:num w:numId="35" w16cid:durableId="844319322">
    <w:abstractNumId w:val="13"/>
  </w:num>
  <w:num w:numId="36" w16cid:durableId="521093342">
    <w:abstractNumId w:val="10"/>
  </w:num>
  <w:num w:numId="37" w16cid:durableId="1423377533">
    <w:abstractNumId w:val="18"/>
  </w:num>
  <w:num w:numId="38" w16cid:durableId="893657728">
    <w:abstractNumId w:val="28"/>
  </w:num>
  <w:num w:numId="39" w16cid:durableId="1478376397">
    <w:abstractNumId w:val="38"/>
  </w:num>
  <w:num w:numId="40" w16cid:durableId="1207335533">
    <w:abstractNumId w:val="15"/>
  </w:num>
  <w:num w:numId="41" w16cid:durableId="1852336130">
    <w:abstractNumId w:val="27"/>
  </w:num>
  <w:num w:numId="42" w16cid:durableId="1542744613">
    <w:abstractNumId w:val="30"/>
  </w:num>
  <w:num w:numId="43" w16cid:durableId="864103327">
    <w:abstractNumId w:val="21"/>
  </w:num>
  <w:num w:numId="44" w16cid:durableId="1853300360">
    <w:abstractNumId w:val="6"/>
  </w:num>
  <w:num w:numId="45" w16cid:durableId="436215720">
    <w:abstractNumId w:val="3"/>
  </w:num>
  <w:num w:numId="46" w16cid:durableId="1892111010">
    <w:abstractNumId w:val="41"/>
  </w:num>
  <w:num w:numId="47" w16cid:durableId="316760849">
    <w:abstractNumId w:val="3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FBE"/>
    <w:rsid w:val="00002FB4"/>
    <w:rsid w:val="00004CCF"/>
    <w:rsid w:val="00010EAD"/>
    <w:rsid w:val="000140A5"/>
    <w:rsid w:val="00014B35"/>
    <w:rsid w:val="000161CE"/>
    <w:rsid w:val="00020F9C"/>
    <w:rsid w:val="00021F83"/>
    <w:rsid w:val="00022D8B"/>
    <w:rsid w:val="00023C11"/>
    <w:rsid w:val="000246B1"/>
    <w:rsid w:val="00031BBF"/>
    <w:rsid w:val="00031F3A"/>
    <w:rsid w:val="00033CE2"/>
    <w:rsid w:val="00034449"/>
    <w:rsid w:val="00034498"/>
    <w:rsid w:val="000349EC"/>
    <w:rsid w:val="000355BC"/>
    <w:rsid w:val="00036C1D"/>
    <w:rsid w:val="00051430"/>
    <w:rsid w:val="00051677"/>
    <w:rsid w:val="00051AFB"/>
    <w:rsid w:val="00052048"/>
    <w:rsid w:val="000577CC"/>
    <w:rsid w:val="0006136E"/>
    <w:rsid w:val="00062AE2"/>
    <w:rsid w:val="00065567"/>
    <w:rsid w:val="00066855"/>
    <w:rsid w:val="00067674"/>
    <w:rsid w:val="000679D7"/>
    <w:rsid w:val="00070258"/>
    <w:rsid w:val="00071E89"/>
    <w:rsid w:val="00074AF3"/>
    <w:rsid w:val="0007549F"/>
    <w:rsid w:val="000779C8"/>
    <w:rsid w:val="000805DF"/>
    <w:rsid w:val="00080D9C"/>
    <w:rsid w:val="00082A9C"/>
    <w:rsid w:val="00082FB8"/>
    <w:rsid w:val="000851E7"/>
    <w:rsid w:val="00085D66"/>
    <w:rsid w:val="00086721"/>
    <w:rsid w:val="00086FD1"/>
    <w:rsid w:val="00092864"/>
    <w:rsid w:val="000955D7"/>
    <w:rsid w:val="00096662"/>
    <w:rsid w:val="000A32A1"/>
    <w:rsid w:val="000A5014"/>
    <w:rsid w:val="000A6085"/>
    <w:rsid w:val="000B21E8"/>
    <w:rsid w:val="000B40DF"/>
    <w:rsid w:val="000B7620"/>
    <w:rsid w:val="000B78BD"/>
    <w:rsid w:val="000C04B8"/>
    <w:rsid w:val="000C079F"/>
    <w:rsid w:val="000C2FD8"/>
    <w:rsid w:val="000C3DF5"/>
    <w:rsid w:val="000C4BD0"/>
    <w:rsid w:val="000C4BF5"/>
    <w:rsid w:val="000C56AF"/>
    <w:rsid w:val="000C5B73"/>
    <w:rsid w:val="000C6682"/>
    <w:rsid w:val="000C6CD5"/>
    <w:rsid w:val="000C6F7F"/>
    <w:rsid w:val="000C7822"/>
    <w:rsid w:val="000E158F"/>
    <w:rsid w:val="000E17A7"/>
    <w:rsid w:val="000E209B"/>
    <w:rsid w:val="000E3415"/>
    <w:rsid w:val="000E6484"/>
    <w:rsid w:val="000E714B"/>
    <w:rsid w:val="000F103B"/>
    <w:rsid w:val="000F22EE"/>
    <w:rsid w:val="000F31B7"/>
    <w:rsid w:val="000F32CF"/>
    <w:rsid w:val="000F359C"/>
    <w:rsid w:val="000F4536"/>
    <w:rsid w:val="000F5237"/>
    <w:rsid w:val="000F5749"/>
    <w:rsid w:val="000F6EFA"/>
    <w:rsid w:val="0010715F"/>
    <w:rsid w:val="00107E90"/>
    <w:rsid w:val="001103A3"/>
    <w:rsid w:val="00111308"/>
    <w:rsid w:val="00111D4A"/>
    <w:rsid w:val="001124DD"/>
    <w:rsid w:val="00116429"/>
    <w:rsid w:val="00121A14"/>
    <w:rsid w:val="00121CEA"/>
    <w:rsid w:val="00123286"/>
    <w:rsid w:val="001232AD"/>
    <w:rsid w:val="001239E6"/>
    <w:rsid w:val="001250AB"/>
    <w:rsid w:val="00127CA8"/>
    <w:rsid w:val="001303F9"/>
    <w:rsid w:val="00131F07"/>
    <w:rsid w:val="00132971"/>
    <w:rsid w:val="00132BFA"/>
    <w:rsid w:val="0013402C"/>
    <w:rsid w:val="00140A05"/>
    <w:rsid w:val="00143947"/>
    <w:rsid w:val="001515E7"/>
    <w:rsid w:val="00151950"/>
    <w:rsid w:val="00152808"/>
    <w:rsid w:val="00152AC9"/>
    <w:rsid w:val="00153BB9"/>
    <w:rsid w:val="00156489"/>
    <w:rsid w:val="0016399E"/>
    <w:rsid w:val="00164148"/>
    <w:rsid w:val="001657EE"/>
    <w:rsid w:val="001703E9"/>
    <w:rsid w:val="0017128D"/>
    <w:rsid w:val="001751F7"/>
    <w:rsid w:val="00177380"/>
    <w:rsid w:val="00177D9B"/>
    <w:rsid w:val="001811A0"/>
    <w:rsid w:val="0018312E"/>
    <w:rsid w:val="00185768"/>
    <w:rsid w:val="00186DEF"/>
    <w:rsid w:val="001876FB"/>
    <w:rsid w:val="0019340C"/>
    <w:rsid w:val="001950E9"/>
    <w:rsid w:val="001A44A2"/>
    <w:rsid w:val="001A4592"/>
    <w:rsid w:val="001A56C5"/>
    <w:rsid w:val="001A64CD"/>
    <w:rsid w:val="001A6FAB"/>
    <w:rsid w:val="001B046B"/>
    <w:rsid w:val="001B149A"/>
    <w:rsid w:val="001B51E9"/>
    <w:rsid w:val="001B7843"/>
    <w:rsid w:val="001C0A4E"/>
    <w:rsid w:val="001C0F6A"/>
    <w:rsid w:val="001C1D05"/>
    <w:rsid w:val="001C2C2F"/>
    <w:rsid w:val="001C4C4D"/>
    <w:rsid w:val="001C6E65"/>
    <w:rsid w:val="001C7C76"/>
    <w:rsid w:val="001D0D0D"/>
    <w:rsid w:val="001D13EB"/>
    <w:rsid w:val="001D3ABC"/>
    <w:rsid w:val="001D4D5A"/>
    <w:rsid w:val="001D6B7B"/>
    <w:rsid w:val="001E0AC9"/>
    <w:rsid w:val="001E1194"/>
    <w:rsid w:val="001E197B"/>
    <w:rsid w:val="001E1D1A"/>
    <w:rsid w:val="001E3033"/>
    <w:rsid w:val="001E4592"/>
    <w:rsid w:val="001E4CA7"/>
    <w:rsid w:val="001E4CB3"/>
    <w:rsid w:val="001E4DFD"/>
    <w:rsid w:val="001E5D59"/>
    <w:rsid w:val="001E6479"/>
    <w:rsid w:val="001F0A84"/>
    <w:rsid w:val="001F203F"/>
    <w:rsid w:val="001F2E2D"/>
    <w:rsid w:val="001F31BD"/>
    <w:rsid w:val="001F3975"/>
    <w:rsid w:val="001F5E17"/>
    <w:rsid w:val="001F608C"/>
    <w:rsid w:val="001F747C"/>
    <w:rsid w:val="00200281"/>
    <w:rsid w:val="00201F32"/>
    <w:rsid w:val="00202871"/>
    <w:rsid w:val="00203849"/>
    <w:rsid w:val="0020451D"/>
    <w:rsid w:val="00205718"/>
    <w:rsid w:val="00206E21"/>
    <w:rsid w:val="0021360B"/>
    <w:rsid w:val="00215C9C"/>
    <w:rsid w:val="00222006"/>
    <w:rsid w:val="002222EA"/>
    <w:rsid w:val="00223358"/>
    <w:rsid w:val="002237E0"/>
    <w:rsid w:val="002260A1"/>
    <w:rsid w:val="002275BA"/>
    <w:rsid w:val="0023079F"/>
    <w:rsid w:val="00230C90"/>
    <w:rsid w:val="00233116"/>
    <w:rsid w:val="0023458E"/>
    <w:rsid w:val="0023472F"/>
    <w:rsid w:val="00234CA0"/>
    <w:rsid w:val="00236141"/>
    <w:rsid w:val="002375A7"/>
    <w:rsid w:val="00237BC6"/>
    <w:rsid w:val="00241248"/>
    <w:rsid w:val="0024149B"/>
    <w:rsid w:val="002453D5"/>
    <w:rsid w:val="00246662"/>
    <w:rsid w:val="002516DA"/>
    <w:rsid w:val="00252DDB"/>
    <w:rsid w:val="00255EB5"/>
    <w:rsid w:val="0025771E"/>
    <w:rsid w:val="0026034F"/>
    <w:rsid w:val="00260DCF"/>
    <w:rsid w:val="002611A5"/>
    <w:rsid w:val="002641E3"/>
    <w:rsid w:val="002669E3"/>
    <w:rsid w:val="002678BA"/>
    <w:rsid w:val="00272837"/>
    <w:rsid w:val="0027294E"/>
    <w:rsid w:val="00274301"/>
    <w:rsid w:val="00275A5A"/>
    <w:rsid w:val="00275ECF"/>
    <w:rsid w:val="002766A4"/>
    <w:rsid w:val="0027786C"/>
    <w:rsid w:val="002778AF"/>
    <w:rsid w:val="00277FBF"/>
    <w:rsid w:val="00281706"/>
    <w:rsid w:val="00285EBB"/>
    <w:rsid w:val="002863A0"/>
    <w:rsid w:val="00287FB4"/>
    <w:rsid w:val="00292E18"/>
    <w:rsid w:val="00292FE6"/>
    <w:rsid w:val="00293575"/>
    <w:rsid w:val="00296BB3"/>
    <w:rsid w:val="002A20A5"/>
    <w:rsid w:val="002A2F3F"/>
    <w:rsid w:val="002B02A4"/>
    <w:rsid w:val="002B06A3"/>
    <w:rsid w:val="002B1500"/>
    <w:rsid w:val="002B1838"/>
    <w:rsid w:val="002B1C18"/>
    <w:rsid w:val="002B2D95"/>
    <w:rsid w:val="002B34FD"/>
    <w:rsid w:val="002B4F15"/>
    <w:rsid w:val="002B5586"/>
    <w:rsid w:val="002B5727"/>
    <w:rsid w:val="002B6D9D"/>
    <w:rsid w:val="002C076A"/>
    <w:rsid w:val="002C1804"/>
    <w:rsid w:val="002C4CEA"/>
    <w:rsid w:val="002C554B"/>
    <w:rsid w:val="002C714B"/>
    <w:rsid w:val="002D0F6A"/>
    <w:rsid w:val="002D1802"/>
    <w:rsid w:val="002D3B1C"/>
    <w:rsid w:val="002D40F2"/>
    <w:rsid w:val="002E0FBC"/>
    <w:rsid w:val="002E5FED"/>
    <w:rsid w:val="002E61B3"/>
    <w:rsid w:val="002E7267"/>
    <w:rsid w:val="002F2636"/>
    <w:rsid w:val="002F6296"/>
    <w:rsid w:val="002F6ADD"/>
    <w:rsid w:val="00304A18"/>
    <w:rsid w:val="0030798A"/>
    <w:rsid w:val="00310726"/>
    <w:rsid w:val="003113FE"/>
    <w:rsid w:val="0031383E"/>
    <w:rsid w:val="00316460"/>
    <w:rsid w:val="00317311"/>
    <w:rsid w:val="00317B9B"/>
    <w:rsid w:val="0032115B"/>
    <w:rsid w:val="00321454"/>
    <w:rsid w:val="00322D92"/>
    <w:rsid w:val="003247F6"/>
    <w:rsid w:val="0033245F"/>
    <w:rsid w:val="00332928"/>
    <w:rsid w:val="00335D3F"/>
    <w:rsid w:val="00337AF3"/>
    <w:rsid w:val="003400D9"/>
    <w:rsid w:val="00340EE6"/>
    <w:rsid w:val="00341914"/>
    <w:rsid w:val="003421F2"/>
    <w:rsid w:val="003433CB"/>
    <w:rsid w:val="00343F31"/>
    <w:rsid w:val="0034472E"/>
    <w:rsid w:val="00344B2A"/>
    <w:rsid w:val="00344C2D"/>
    <w:rsid w:val="00345DD0"/>
    <w:rsid w:val="003466EB"/>
    <w:rsid w:val="00350439"/>
    <w:rsid w:val="003505A4"/>
    <w:rsid w:val="0035544E"/>
    <w:rsid w:val="00360CAD"/>
    <w:rsid w:val="003623DF"/>
    <w:rsid w:val="00362DF8"/>
    <w:rsid w:val="00363CC7"/>
    <w:rsid w:val="00363DBF"/>
    <w:rsid w:val="00367954"/>
    <w:rsid w:val="00370B19"/>
    <w:rsid w:val="00371A4D"/>
    <w:rsid w:val="003732AF"/>
    <w:rsid w:val="003758AE"/>
    <w:rsid w:val="003775B1"/>
    <w:rsid w:val="00377E67"/>
    <w:rsid w:val="003812C8"/>
    <w:rsid w:val="0038320A"/>
    <w:rsid w:val="00383264"/>
    <w:rsid w:val="00384733"/>
    <w:rsid w:val="0039016B"/>
    <w:rsid w:val="003925AD"/>
    <w:rsid w:val="00393348"/>
    <w:rsid w:val="003938CF"/>
    <w:rsid w:val="003946A9"/>
    <w:rsid w:val="003965F3"/>
    <w:rsid w:val="003A0E5C"/>
    <w:rsid w:val="003A2951"/>
    <w:rsid w:val="003A44B0"/>
    <w:rsid w:val="003B1199"/>
    <w:rsid w:val="003B1A3A"/>
    <w:rsid w:val="003B3E44"/>
    <w:rsid w:val="003B4095"/>
    <w:rsid w:val="003B4AD2"/>
    <w:rsid w:val="003B5068"/>
    <w:rsid w:val="003B5EFA"/>
    <w:rsid w:val="003C144C"/>
    <w:rsid w:val="003C3F9C"/>
    <w:rsid w:val="003C42FA"/>
    <w:rsid w:val="003C547F"/>
    <w:rsid w:val="003C703E"/>
    <w:rsid w:val="003C7320"/>
    <w:rsid w:val="003C77D7"/>
    <w:rsid w:val="003C7B00"/>
    <w:rsid w:val="003D09E5"/>
    <w:rsid w:val="003D217B"/>
    <w:rsid w:val="003D23F0"/>
    <w:rsid w:val="003D48D8"/>
    <w:rsid w:val="003D5F0A"/>
    <w:rsid w:val="003D6235"/>
    <w:rsid w:val="003E47B0"/>
    <w:rsid w:val="003E4CC3"/>
    <w:rsid w:val="003E5228"/>
    <w:rsid w:val="003E61BD"/>
    <w:rsid w:val="003F00FE"/>
    <w:rsid w:val="003F2195"/>
    <w:rsid w:val="003F254D"/>
    <w:rsid w:val="003F36DC"/>
    <w:rsid w:val="003F3DD2"/>
    <w:rsid w:val="003F5797"/>
    <w:rsid w:val="00400AD9"/>
    <w:rsid w:val="00402C20"/>
    <w:rsid w:val="00404E19"/>
    <w:rsid w:val="004129B6"/>
    <w:rsid w:val="00412F28"/>
    <w:rsid w:val="00413182"/>
    <w:rsid w:val="00413220"/>
    <w:rsid w:val="00414C6D"/>
    <w:rsid w:val="004152A3"/>
    <w:rsid w:val="0041555B"/>
    <w:rsid w:val="004200BF"/>
    <w:rsid w:val="00424554"/>
    <w:rsid w:val="00424B0A"/>
    <w:rsid w:val="004255B9"/>
    <w:rsid w:val="00425D8B"/>
    <w:rsid w:val="00426998"/>
    <w:rsid w:val="004279F3"/>
    <w:rsid w:val="00430D22"/>
    <w:rsid w:val="00432FC9"/>
    <w:rsid w:val="00435778"/>
    <w:rsid w:val="004415F7"/>
    <w:rsid w:val="00441E19"/>
    <w:rsid w:val="00443A3F"/>
    <w:rsid w:val="004524D5"/>
    <w:rsid w:val="00454C3C"/>
    <w:rsid w:val="00456681"/>
    <w:rsid w:val="004602E6"/>
    <w:rsid w:val="00460663"/>
    <w:rsid w:val="00460EB9"/>
    <w:rsid w:val="00463FAF"/>
    <w:rsid w:val="0047127B"/>
    <w:rsid w:val="00473AAB"/>
    <w:rsid w:val="0047452E"/>
    <w:rsid w:val="004745EF"/>
    <w:rsid w:val="0047478F"/>
    <w:rsid w:val="00474891"/>
    <w:rsid w:val="00480A70"/>
    <w:rsid w:val="00483900"/>
    <w:rsid w:val="00484069"/>
    <w:rsid w:val="00487DE3"/>
    <w:rsid w:val="0049236D"/>
    <w:rsid w:val="004929F1"/>
    <w:rsid w:val="00493437"/>
    <w:rsid w:val="00493F87"/>
    <w:rsid w:val="00494720"/>
    <w:rsid w:val="004947E6"/>
    <w:rsid w:val="004957D7"/>
    <w:rsid w:val="00495D8D"/>
    <w:rsid w:val="0049694F"/>
    <w:rsid w:val="00496E8A"/>
    <w:rsid w:val="004A047C"/>
    <w:rsid w:val="004A0815"/>
    <w:rsid w:val="004A09B8"/>
    <w:rsid w:val="004A1687"/>
    <w:rsid w:val="004A184A"/>
    <w:rsid w:val="004A38A4"/>
    <w:rsid w:val="004B2AB5"/>
    <w:rsid w:val="004B2E40"/>
    <w:rsid w:val="004B4D19"/>
    <w:rsid w:val="004B5AF5"/>
    <w:rsid w:val="004B7DC1"/>
    <w:rsid w:val="004C21C8"/>
    <w:rsid w:val="004C3D06"/>
    <w:rsid w:val="004C48FA"/>
    <w:rsid w:val="004C698A"/>
    <w:rsid w:val="004C6FE0"/>
    <w:rsid w:val="004D035B"/>
    <w:rsid w:val="004D5053"/>
    <w:rsid w:val="004D5CA3"/>
    <w:rsid w:val="004D6E84"/>
    <w:rsid w:val="004E030C"/>
    <w:rsid w:val="004E0AAD"/>
    <w:rsid w:val="004E0D8B"/>
    <w:rsid w:val="004E1067"/>
    <w:rsid w:val="004E1E8B"/>
    <w:rsid w:val="004E6600"/>
    <w:rsid w:val="004F0906"/>
    <w:rsid w:val="004F0F2E"/>
    <w:rsid w:val="004F1159"/>
    <w:rsid w:val="004F1861"/>
    <w:rsid w:val="004F194F"/>
    <w:rsid w:val="004F23EF"/>
    <w:rsid w:val="004F52C4"/>
    <w:rsid w:val="004F7F2C"/>
    <w:rsid w:val="00500F47"/>
    <w:rsid w:val="005014EE"/>
    <w:rsid w:val="00502116"/>
    <w:rsid w:val="005026FA"/>
    <w:rsid w:val="005027D0"/>
    <w:rsid w:val="005049CE"/>
    <w:rsid w:val="00512E23"/>
    <w:rsid w:val="00513786"/>
    <w:rsid w:val="00513AF4"/>
    <w:rsid w:val="00516531"/>
    <w:rsid w:val="005258FE"/>
    <w:rsid w:val="0052680D"/>
    <w:rsid w:val="00526C19"/>
    <w:rsid w:val="00527A33"/>
    <w:rsid w:val="00527F2F"/>
    <w:rsid w:val="00531187"/>
    <w:rsid w:val="00531F2E"/>
    <w:rsid w:val="005328B6"/>
    <w:rsid w:val="00534491"/>
    <w:rsid w:val="005349FD"/>
    <w:rsid w:val="0054119A"/>
    <w:rsid w:val="00542881"/>
    <w:rsid w:val="00542DBD"/>
    <w:rsid w:val="005439BE"/>
    <w:rsid w:val="00544040"/>
    <w:rsid w:val="0054587E"/>
    <w:rsid w:val="00545E02"/>
    <w:rsid w:val="005469ED"/>
    <w:rsid w:val="00552A54"/>
    <w:rsid w:val="00555340"/>
    <w:rsid w:val="00556F80"/>
    <w:rsid w:val="00557198"/>
    <w:rsid w:val="005605A5"/>
    <w:rsid w:val="005622E4"/>
    <w:rsid w:val="0056455B"/>
    <w:rsid w:val="005645F6"/>
    <w:rsid w:val="00564C07"/>
    <w:rsid w:val="00564CF6"/>
    <w:rsid w:val="005678AE"/>
    <w:rsid w:val="005711DD"/>
    <w:rsid w:val="00571242"/>
    <w:rsid w:val="005728BF"/>
    <w:rsid w:val="00573E86"/>
    <w:rsid w:val="0057796B"/>
    <w:rsid w:val="00577E5B"/>
    <w:rsid w:val="00581A32"/>
    <w:rsid w:val="00582029"/>
    <w:rsid w:val="0058259D"/>
    <w:rsid w:val="00582884"/>
    <w:rsid w:val="00582F98"/>
    <w:rsid w:val="00585CFF"/>
    <w:rsid w:val="005910F0"/>
    <w:rsid w:val="005930CC"/>
    <w:rsid w:val="005A0913"/>
    <w:rsid w:val="005A0E1A"/>
    <w:rsid w:val="005A40A5"/>
    <w:rsid w:val="005A51C1"/>
    <w:rsid w:val="005A5E7A"/>
    <w:rsid w:val="005A6479"/>
    <w:rsid w:val="005A75ED"/>
    <w:rsid w:val="005B2E48"/>
    <w:rsid w:val="005B3AFE"/>
    <w:rsid w:val="005B5E7A"/>
    <w:rsid w:val="005B6C1E"/>
    <w:rsid w:val="005B6D39"/>
    <w:rsid w:val="005C04AF"/>
    <w:rsid w:val="005C0874"/>
    <w:rsid w:val="005C0BEB"/>
    <w:rsid w:val="005C174A"/>
    <w:rsid w:val="005C1C77"/>
    <w:rsid w:val="005C2EA1"/>
    <w:rsid w:val="005C56FC"/>
    <w:rsid w:val="005C6AD0"/>
    <w:rsid w:val="005C6D7B"/>
    <w:rsid w:val="005C744B"/>
    <w:rsid w:val="005D088B"/>
    <w:rsid w:val="005D1165"/>
    <w:rsid w:val="005D120E"/>
    <w:rsid w:val="005D2621"/>
    <w:rsid w:val="005D2DD3"/>
    <w:rsid w:val="005D67D1"/>
    <w:rsid w:val="005D69AB"/>
    <w:rsid w:val="005D7F76"/>
    <w:rsid w:val="005E0777"/>
    <w:rsid w:val="005E0BD9"/>
    <w:rsid w:val="005E1A8F"/>
    <w:rsid w:val="005E1B84"/>
    <w:rsid w:val="005E33C9"/>
    <w:rsid w:val="005E421D"/>
    <w:rsid w:val="005E4C05"/>
    <w:rsid w:val="005E4EAB"/>
    <w:rsid w:val="005E502F"/>
    <w:rsid w:val="005E5376"/>
    <w:rsid w:val="005E63DA"/>
    <w:rsid w:val="005E6C05"/>
    <w:rsid w:val="005F0571"/>
    <w:rsid w:val="005F1364"/>
    <w:rsid w:val="005F2207"/>
    <w:rsid w:val="005F5289"/>
    <w:rsid w:val="0060153C"/>
    <w:rsid w:val="00603894"/>
    <w:rsid w:val="00603F1D"/>
    <w:rsid w:val="00604B52"/>
    <w:rsid w:val="00604C2C"/>
    <w:rsid w:val="006065E2"/>
    <w:rsid w:val="00612437"/>
    <w:rsid w:val="006134C2"/>
    <w:rsid w:val="00613D07"/>
    <w:rsid w:val="00614C0B"/>
    <w:rsid w:val="00616763"/>
    <w:rsid w:val="00620E7A"/>
    <w:rsid w:val="0062134E"/>
    <w:rsid w:val="0062159D"/>
    <w:rsid w:val="006227DC"/>
    <w:rsid w:val="006238E4"/>
    <w:rsid w:val="00623E0F"/>
    <w:rsid w:val="00625A68"/>
    <w:rsid w:val="00631ED2"/>
    <w:rsid w:val="00637E18"/>
    <w:rsid w:val="00641C6E"/>
    <w:rsid w:val="006422BB"/>
    <w:rsid w:val="0064428F"/>
    <w:rsid w:val="006478CB"/>
    <w:rsid w:val="00654C6C"/>
    <w:rsid w:val="006569A5"/>
    <w:rsid w:val="00657246"/>
    <w:rsid w:val="00664C60"/>
    <w:rsid w:val="0066528F"/>
    <w:rsid w:val="00671E2D"/>
    <w:rsid w:val="006739CC"/>
    <w:rsid w:val="0067460C"/>
    <w:rsid w:val="00674736"/>
    <w:rsid w:val="00675864"/>
    <w:rsid w:val="00675D79"/>
    <w:rsid w:val="00680B2E"/>
    <w:rsid w:val="00681C42"/>
    <w:rsid w:val="00682E49"/>
    <w:rsid w:val="00683A01"/>
    <w:rsid w:val="0068404F"/>
    <w:rsid w:val="006843BA"/>
    <w:rsid w:val="00684824"/>
    <w:rsid w:val="00686EC4"/>
    <w:rsid w:val="00691C77"/>
    <w:rsid w:val="00694BA1"/>
    <w:rsid w:val="006960C4"/>
    <w:rsid w:val="0069717D"/>
    <w:rsid w:val="0069732E"/>
    <w:rsid w:val="0069761B"/>
    <w:rsid w:val="006A08B4"/>
    <w:rsid w:val="006A08DA"/>
    <w:rsid w:val="006A08FE"/>
    <w:rsid w:val="006A26EC"/>
    <w:rsid w:val="006A375C"/>
    <w:rsid w:val="006A746E"/>
    <w:rsid w:val="006A78B7"/>
    <w:rsid w:val="006B6F95"/>
    <w:rsid w:val="006B76C0"/>
    <w:rsid w:val="006C015D"/>
    <w:rsid w:val="006C5DC0"/>
    <w:rsid w:val="006C7B88"/>
    <w:rsid w:val="006D0B1C"/>
    <w:rsid w:val="006D22CC"/>
    <w:rsid w:val="006D2A09"/>
    <w:rsid w:val="006D3D32"/>
    <w:rsid w:val="006D5BCB"/>
    <w:rsid w:val="006D7650"/>
    <w:rsid w:val="006E33C3"/>
    <w:rsid w:val="006E3F36"/>
    <w:rsid w:val="006E4A9A"/>
    <w:rsid w:val="006F2E5C"/>
    <w:rsid w:val="006F48AC"/>
    <w:rsid w:val="006F6EBC"/>
    <w:rsid w:val="00700187"/>
    <w:rsid w:val="00700EAB"/>
    <w:rsid w:val="00701595"/>
    <w:rsid w:val="007017F9"/>
    <w:rsid w:val="00703ADD"/>
    <w:rsid w:val="00704D60"/>
    <w:rsid w:val="00705ADF"/>
    <w:rsid w:val="007060E0"/>
    <w:rsid w:val="00706B48"/>
    <w:rsid w:val="00711F3F"/>
    <w:rsid w:val="00714A00"/>
    <w:rsid w:val="00716978"/>
    <w:rsid w:val="007269B0"/>
    <w:rsid w:val="00731AEF"/>
    <w:rsid w:val="00733E1F"/>
    <w:rsid w:val="00737428"/>
    <w:rsid w:val="00737CE4"/>
    <w:rsid w:val="007417E0"/>
    <w:rsid w:val="0074215D"/>
    <w:rsid w:val="00742CA8"/>
    <w:rsid w:val="00742D66"/>
    <w:rsid w:val="0074599F"/>
    <w:rsid w:val="007475F3"/>
    <w:rsid w:val="007479EE"/>
    <w:rsid w:val="00747C84"/>
    <w:rsid w:val="00751582"/>
    <w:rsid w:val="007523DA"/>
    <w:rsid w:val="00753762"/>
    <w:rsid w:val="00753E9D"/>
    <w:rsid w:val="007545D0"/>
    <w:rsid w:val="00754666"/>
    <w:rsid w:val="00755563"/>
    <w:rsid w:val="007572DD"/>
    <w:rsid w:val="00761FBB"/>
    <w:rsid w:val="007635CF"/>
    <w:rsid w:val="00763602"/>
    <w:rsid w:val="00764064"/>
    <w:rsid w:val="00764445"/>
    <w:rsid w:val="0076503E"/>
    <w:rsid w:val="00765306"/>
    <w:rsid w:val="00766BB9"/>
    <w:rsid w:val="00766E62"/>
    <w:rsid w:val="0076704D"/>
    <w:rsid w:val="007728B7"/>
    <w:rsid w:val="0078029D"/>
    <w:rsid w:val="00782DB9"/>
    <w:rsid w:val="00786103"/>
    <w:rsid w:val="00786AA7"/>
    <w:rsid w:val="00791D89"/>
    <w:rsid w:val="0079399B"/>
    <w:rsid w:val="00796DB8"/>
    <w:rsid w:val="00797FCC"/>
    <w:rsid w:val="007A28BE"/>
    <w:rsid w:val="007B5946"/>
    <w:rsid w:val="007B63D8"/>
    <w:rsid w:val="007B706F"/>
    <w:rsid w:val="007C0D85"/>
    <w:rsid w:val="007C1FBB"/>
    <w:rsid w:val="007C5561"/>
    <w:rsid w:val="007C5835"/>
    <w:rsid w:val="007D0379"/>
    <w:rsid w:val="007D37B0"/>
    <w:rsid w:val="007D4966"/>
    <w:rsid w:val="007D5B25"/>
    <w:rsid w:val="007D63D8"/>
    <w:rsid w:val="007E10B2"/>
    <w:rsid w:val="007E4A71"/>
    <w:rsid w:val="007E7CD4"/>
    <w:rsid w:val="007F3645"/>
    <w:rsid w:val="007F5666"/>
    <w:rsid w:val="007F5E93"/>
    <w:rsid w:val="007F64E2"/>
    <w:rsid w:val="007F6963"/>
    <w:rsid w:val="007F7058"/>
    <w:rsid w:val="007F7C6A"/>
    <w:rsid w:val="00800CCD"/>
    <w:rsid w:val="0080171C"/>
    <w:rsid w:val="00803509"/>
    <w:rsid w:val="008076AB"/>
    <w:rsid w:val="0081007A"/>
    <w:rsid w:val="00810595"/>
    <w:rsid w:val="008139FB"/>
    <w:rsid w:val="00813CBF"/>
    <w:rsid w:val="0082007E"/>
    <w:rsid w:val="00820E82"/>
    <w:rsid w:val="00821246"/>
    <w:rsid w:val="0082171E"/>
    <w:rsid w:val="0082205D"/>
    <w:rsid w:val="008251AF"/>
    <w:rsid w:val="00825AD8"/>
    <w:rsid w:val="00826526"/>
    <w:rsid w:val="008277E6"/>
    <w:rsid w:val="00830AF2"/>
    <w:rsid w:val="00831302"/>
    <w:rsid w:val="008332FF"/>
    <w:rsid w:val="0083504D"/>
    <w:rsid w:val="00837649"/>
    <w:rsid w:val="00845244"/>
    <w:rsid w:val="008502AB"/>
    <w:rsid w:val="0085116F"/>
    <w:rsid w:val="008512BB"/>
    <w:rsid w:val="008537BE"/>
    <w:rsid w:val="0085415E"/>
    <w:rsid w:val="0085463D"/>
    <w:rsid w:val="008569B4"/>
    <w:rsid w:val="00857FB5"/>
    <w:rsid w:val="00862218"/>
    <w:rsid w:val="0086344A"/>
    <w:rsid w:val="0086368E"/>
    <w:rsid w:val="00865133"/>
    <w:rsid w:val="008655D2"/>
    <w:rsid w:val="0087026C"/>
    <w:rsid w:val="0087074E"/>
    <w:rsid w:val="008800CA"/>
    <w:rsid w:val="00885E31"/>
    <w:rsid w:val="00892A67"/>
    <w:rsid w:val="00893E3F"/>
    <w:rsid w:val="00895889"/>
    <w:rsid w:val="00896709"/>
    <w:rsid w:val="0089764F"/>
    <w:rsid w:val="008A030B"/>
    <w:rsid w:val="008A16BE"/>
    <w:rsid w:val="008A265B"/>
    <w:rsid w:val="008A2726"/>
    <w:rsid w:val="008A3504"/>
    <w:rsid w:val="008A3E58"/>
    <w:rsid w:val="008A55BB"/>
    <w:rsid w:val="008A59E6"/>
    <w:rsid w:val="008A63DB"/>
    <w:rsid w:val="008A7F3C"/>
    <w:rsid w:val="008B09C8"/>
    <w:rsid w:val="008B2A7B"/>
    <w:rsid w:val="008B3ECB"/>
    <w:rsid w:val="008B3F22"/>
    <w:rsid w:val="008B4484"/>
    <w:rsid w:val="008C009B"/>
    <w:rsid w:val="008C34F1"/>
    <w:rsid w:val="008C3A95"/>
    <w:rsid w:val="008C421D"/>
    <w:rsid w:val="008C5ED2"/>
    <w:rsid w:val="008C6341"/>
    <w:rsid w:val="008C777E"/>
    <w:rsid w:val="008D3875"/>
    <w:rsid w:val="008D58F8"/>
    <w:rsid w:val="008D6FC2"/>
    <w:rsid w:val="008D797F"/>
    <w:rsid w:val="008E1350"/>
    <w:rsid w:val="008E4BA3"/>
    <w:rsid w:val="008E536B"/>
    <w:rsid w:val="008E5B63"/>
    <w:rsid w:val="008E72A0"/>
    <w:rsid w:val="008E7592"/>
    <w:rsid w:val="008F3848"/>
    <w:rsid w:val="008F4092"/>
    <w:rsid w:val="008F6FAD"/>
    <w:rsid w:val="008F70CD"/>
    <w:rsid w:val="00900505"/>
    <w:rsid w:val="00900824"/>
    <w:rsid w:val="009029B7"/>
    <w:rsid w:val="00906345"/>
    <w:rsid w:val="0090648C"/>
    <w:rsid w:val="009108ED"/>
    <w:rsid w:val="00920E10"/>
    <w:rsid w:val="009223F7"/>
    <w:rsid w:val="009226C8"/>
    <w:rsid w:val="00923D47"/>
    <w:rsid w:val="00924D41"/>
    <w:rsid w:val="009320C6"/>
    <w:rsid w:val="00933DEC"/>
    <w:rsid w:val="0093663A"/>
    <w:rsid w:val="009377AA"/>
    <w:rsid w:val="00940675"/>
    <w:rsid w:val="009419E9"/>
    <w:rsid w:val="00942B26"/>
    <w:rsid w:val="00944E08"/>
    <w:rsid w:val="00945FF0"/>
    <w:rsid w:val="009461F0"/>
    <w:rsid w:val="0094644B"/>
    <w:rsid w:val="009506C0"/>
    <w:rsid w:val="009521B6"/>
    <w:rsid w:val="00952621"/>
    <w:rsid w:val="009539EA"/>
    <w:rsid w:val="0095439A"/>
    <w:rsid w:val="009545AF"/>
    <w:rsid w:val="009557D7"/>
    <w:rsid w:val="0096042F"/>
    <w:rsid w:val="0096117C"/>
    <w:rsid w:val="00961854"/>
    <w:rsid w:val="00964687"/>
    <w:rsid w:val="009647E6"/>
    <w:rsid w:val="0096496D"/>
    <w:rsid w:val="0096536A"/>
    <w:rsid w:val="00970DFE"/>
    <w:rsid w:val="0097126D"/>
    <w:rsid w:val="00972CB7"/>
    <w:rsid w:val="00974547"/>
    <w:rsid w:val="00975FB1"/>
    <w:rsid w:val="00976EFC"/>
    <w:rsid w:val="009777EF"/>
    <w:rsid w:val="00986318"/>
    <w:rsid w:val="00990C3A"/>
    <w:rsid w:val="009927D3"/>
    <w:rsid w:val="0099484F"/>
    <w:rsid w:val="00995885"/>
    <w:rsid w:val="00995BDE"/>
    <w:rsid w:val="009A03AE"/>
    <w:rsid w:val="009A28DE"/>
    <w:rsid w:val="009A4049"/>
    <w:rsid w:val="009A539A"/>
    <w:rsid w:val="009A5729"/>
    <w:rsid w:val="009A6991"/>
    <w:rsid w:val="009A72DA"/>
    <w:rsid w:val="009A7C79"/>
    <w:rsid w:val="009B07EE"/>
    <w:rsid w:val="009B0F49"/>
    <w:rsid w:val="009B1A89"/>
    <w:rsid w:val="009B2E15"/>
    <w:rsid w:val="009B5750"/>
    <w:rsid w:val="009B5A86"/>
    <w:rsid w:val="009B5EDC"/>
    <w:rsid w:val="009B7E8B"/>
    <w:rsid w:val="009C0E8A"/>
    <w:rsid w:val="009C17E9"/>
    <w:rsid w:val="009C27DB"/>
    <w:rsid w:val="009C442D"/>
    <w:rsid w:val="009C4FD8"/>
    <w:rsid w:val="009C684C"/>
    <w:rsid w:val="009C77F5"/>
    <w:rsid w:val="009C7FE8"/>
    <w:rsid w:val="009D14CF"/>
    <w:rsid w:val="009D3D50"/>
    <w:rsid w:val="009D4F97"/>
    <w:rsid w:val="009D58BC"/>
    <w:rsid w:val="009D785F"/>
    <w:rsid w:val="009E0A69"/>
    <w:rsid w:val="009E3066"/>
    <w:rsid w:val="009E7F41"/>
    <w:rsid w:val="009F7B88"/>
    <w:rsid w:val="00A0270E"/>
    <w:rsid w:val="00A03F3D"/>
    <w:rsid w:val="00A077E1"/>
    <w:rsid w:val="00A078D0"/>
    <w:rsid w:val="00A121CD"/>
    <w:rsid w:val="00A12268"/>
    <w:rsid w:val="00A16DF1"/>
    <w:rsid w:val="00A20EC1"/>
    <w:rsid w:val="00A24981"/>
    <w:rsid w:val="00A35994"/>
    <w:rsid w:val="00A363A0"/>
    <w:rsid w:val="00A37880"/>
    <w:rsid w:val="00A41921"/>
    <w:rsid w:val="00A43D5B"/>
    <w:rsid w:val="00A505BA"/>
    <w:rsid w:val="00A55F19"/>
    <w:rsid w:val="00A578B1"/>
    <w:rsid w:val="00A57A4C"/>
    <w:rsid w:val="00A60E46"/>
    <w:rsid w:val="00A626E3"/>
    <w:rsid w:val="00A65E40"/>
    <w:rsid w:val="00A65E4D"/>
    <w:rsid w:val="00A7242C"/>
    <w:rsid w:val="00A77906"/>
    <w:rsid w:val="00A821CB"/>
    <w:rsid w:val="00A84249"/>
    <w:rsid w:val="00A877C9"/>
    <w:rsid w:val="00A90819"/>
    <w:rsid w:val="00A9130D"/>
    <w:rsid w:val="00A93EB7"/>
    <w:rsid w:val="00A9439B"/>
    <w:rsid w:val="00AA1A31"/>
    <w:rsid w:val="00AA1AB4"/>
    <w:rsid w:val="00AA24DE"/>
    <w:rsid w:val="00AA50F5"/>
    <w:rsid w:val="00AA56FF"/>
    <w:rsid w:val="00AA74E5"/>
    <w:rsid w:val="00AA7CBD"/>
    <w:rsid w:val="00AA7DFD"/>
    <w:rsid w:val="00AB1BD9"/>
    <w:rsid w:val="00AB22CE"/>
    <w:rsid w:val="00AB2834"/>
    <w:rsid w:val="00AB29E2"/>
    <w:rsid w:val="00AC0760"/>
    <w:rsid w:val="00AC1DDF"/>
    <w:rsid w:val="00AC2101"/>
    <w:rsid w:val="00AC2979"/>
    <w:rsid w:val="00AC3536"/>
    <w:rsid w:val="00AC3E26"/>
    <w:rsid w:val="00AC4476"/>
    <w:rsid w:val="00AC6337"/>
    <w:rsid w:val="00AD39E4"/>
    <w:rsid w:val="00AD6232"/>
    <w:rsid w:val="00AD6965"/>
    <w:rsid w:val="00AD7E75"/>
    <w:rsid w:val="00AD7EF7"/>
    <w:rsid w:val="00AE12B6"/>
    <w:rsid w:val="00AE190E"/>
    <w:rsid w:val="00AE34F0"/>
    <w:rsid w:val="00AE6034"/>
    <w:rsid w:val="00AE7464"/>
    <w:rsid w:val="00AE7642"/>
    <w:rsid w:val="00AF0A0A"/>
    <w:rsid w:val="00AF2F1D"/>
    <w:rsid w:val="00AF4D1F"/>
    <w:rsid w:val="00AF75F3"/>
    <w:rsid w:val="00B021B3"/>
    <w:rsid w:val="00B02CD5"/>
    <w:rsid w:val="00B02E09"/>
    <w:rsid w:val="00B04CBE"/>
    <w:rsid w:val="00B172DC"/>
    <w:rsid w:val="00B20448"/>
    <w:rsid w:val="00B20608"/>
    <w:rsid w:val="00B215F9"/>
    <w:rsid w:val="00B22DEC"/>
    <w:rsid w:val="00B3015E"/>
    <w:rsid w:val="00B3073F"/>
    <w:rsid w:val="00B30D25"/>
    <w:rsid w:val="00B318BF"/>
    <w:rsid w:val="00B34991"/>
    <w:rsid w:val="00B36646"/>
    <w:rsid w:val="00B37BD5"/>
    <w:rsid w:val="00B42FEF"/>
    <w:rsid w:val="00B4377C"/>
    <w:rsid w:val="00B43873"/>
    <w:rsid w:val="00B43CD8"/>
    <w:rsid w:val="00B458CA"/>
    <w:rsid w:val="00B46994"/>
    <w:rsid w:val="00B46FDB"/>
    <w:rsid w:val="00B47E34"/>
    <w:rsid w:val="00B50170"/>
    <w:rsid w:val="00B51970"/>
    <w:rsid w:val="00B54AE6"/>
    <w:rsid w:val="00B5500F"/>
    <w:rsid w:val="00B5503D"/>
    <w:rsid w:val="00B55CC1"/>
    <w:rsid w:val="00B55F4A"/>
    <w:rsid w:val="00B56E13"/>
    <w:rsid w:val="00B61B74"/>
    <w:rsid w:val="00B62597"/>
    <w:rsid w:val="00B62A3F"/>
    <w:rsid w:val="00B65C85"/>
    <w:rsid w:val="00B67AF6"/>
    <w:rsid w:val="00B705E3"/>
    <w:rsid w:val="00B72BE8"/>
    <w:rsid w:val="00B74C1A"/>
    <w:rsid w:val="00B761FF"/>
    <w:rsid w:val="00B76496"/>
    <w:rsid w:val="00B80FDD"/>
    <w:rsid w:val="00B813CB"/>
    <w:rsid w:val="00B81F03"/>
    <w:rsid w:val="00B85F05"/>
    <w:rsid w:val="00B87A69"/>
    <w:rsid w:val="00B91914"/>
    <w:rsid w:val="00B9227A"/>
    <w:rsid w:val="00B93089"/>
    <w:rsid w:val="00B94060"/>
    <w:rsid w:val="00B96A8B"/>
    <w:rsid w:val="00BA3C72"/>
    <w:rsid w:val="00BA5273"/>
    <w:rsid w:val="00BA7589"/>
    <w:rsid w:val="00BB13FF"/>
    <w:rsid w:val="00BB1949"/>
    <w:rsid w:val="00BB29B8"/>
    <w:rsid w:val="00BB3815"/>
    <w:rsid w:val="00BB3F73"/>
    <w:rsid w:val="00BB40C8"/>
    <w:rsid w:val="00BB4E48"/>
    <w:rsid w:val="00BB4EFE"/>
    <w:rsid w:val="00BB5D0B"/>
    <w:rsid w:val="00BB5D2B"/>
    <w:rsid w:val="00BB6371"/>
    <w:rsid w:val="00BC1765"/>
    <w:rsid w:val="00BC74AB"/>
    <w:rsid w:val="00BC7C0D"/>
    <w:rsid w:val="00BC7EE0"/>
    <w:rsid w:val="00BD1799"/>
    <w:rsid w:val="00BD1C6B"/>
    <w:rsid w:val="00BD1DAC"/>
    <w:rsid w:val="00BD718B"/>
    <w:rsid w:val="00BD7948"/>
    <w:rsid w:val="00BD79F4"/>
    <w:rsid w:val="00BE14EC"/>
    <w:rsid w:val="00BE2D55"/>
    <w:rsid w:val="00BE4E2C"/>
    <w:rsid w:val="00BE5C5E"/>
    <w:rsid w:val="00BE7A13"/>
    <w:rsid w:val="00BF16BE"/>
    <w:rsid w:val="00BF1B2A"/>
    <w:rsid w:val="00BF2EA9"/>
    <w:rsid w:val="00BF38C2"/>
    <w:rsid w:val="00BF4FE8"/>
    <w:rsid w:val="00BF5D1F"/>
    <w:rsid w:val="00BF6EB5"/>
    <w:rsid w:val="00C0397A"/>
    <w:rsid w:val="00C04CC5"/>
    <w:rsid w:val="00C0534D"/>
    <w:rsid w:val="00C059BA"/>
    <w:rsid w:val="00C05E00"/>
    <w:rsid w:val="00C07A31"/>
    <w:rsid w:val="00C10A71"/>
    <w:rsid w:val="00C15687"/>
    <w:rsid w:val="00C16AE7"/>
    <w:rsid w:val="00C16C65"/>
    <w:rsid w:val="00C21053"/>
    <w:rsid w:val="00C2134B"/>
    <w:rsid w:val="00C23008"/>
    <w:rsid w:val="00C23F86"/>
    <w:rsid w:val="00C25138"/>
    <w:rsid w:val="00C2633C"/>
    <w:rsid w:val="00C26C58"/>
    <w:rsid w:val="00C273DF"/>
    <w:rsid w:val="00C34F09"/>
    <w:rsid w:val="00C35463"/>
    <w:rsid w:val="00C37639"/>
    <w:rsid w:val="00C41C74"/>
    <w:rsid w:val="00C434CC"/>
    <w:rsid w:val="00C43AF9"/>
    <w:rsid w:val="00C451F7"/>
    <w:rsid w:val="00C45A25"/>
    <w:rsid w:val="00C461AB"/>
    <w:rsid w:val="00C477A5"/>
    <w:rsid w:val="00C504DB"/>
    <w:rsid w:val="00C50BDE"/>
    <w:rsid w:val="00C51403"/>
    <w:rsid w:val="00C51BA9"/>
    <w:rsid w:val="00C54832"/>
    <w:rsid w:val="00C57215"/>
    <w:rsid w:val="00C57B5E"/>
    <w:rsid w:val="00C628DF"/>
    <w:rsid w:val="00C62C21"/>
    <w:rsid w:val="00C64290"/>
    <w:rsid w:val="00C66A12"/>
    <w:rsid w:val="00C67034"/>
    <w:rsid w:val="00C7208D"/>
    <w:rsid w:val="00C739FA"/>
    <w:rsid w:val="00C73A64"/>
    <w:rsid w:val="00C74477"/>
    <w:rsid w:val="00C77497"/>
    <w:rsid w:val="00C77DA7"/>
    <w:rsid w:val="00C82F5E"/>
    <w:rsid w:val="00C83443"/>
    <w:rsid w:val="00C84AA0"/>
    <w:rsid w:val="00C86CED"/>
    <w:rsid w:val="00C874C6"/>
    <w:rsid w:val="00C87EC2"/>
    <w:rsid w:val="00C91A47"/>
    <w:rsid w:val="00C929D4"/>
    <w:rsid w:val="00C92CD4"/>
    <w:rsid w:val="00C93CCF"/>
    <w:rsid w:val="00C9462F"/>
    <w:rsid w:val="00C96EEA"/>
    <w:rsid w:val="00CA42D7"/>
    <w:rsid w:val="00CB2057"/>
    <w:rsid w:val="00CC08FC"/>
    <w:rsid w:val="00CC1C37"/>
    <w:rsid w:val="00CC2452"/>
    <w:rsid w:val="00CC2BAE"/>
    <w:rsid w:val="00CC36E6"/>
    <w:rsid w:val="00CC3787"/>
    <w:rsid w:val="00CC7E2F"/>
    <w:rsid w:val="00CD5959"/>
    <w:rsid w:val="00CD59E3"/>
    <w:rsid w:val="00CD60BA"/>
    <w:rsid w:val="00CD7D5D"/>
    <w:rsid w:val="00CE0A73"/>
    <w:rsid w:val="00CE1044"/>
    <w:rsid w:val="00CE3020"/>
    <w:rsid w:val="00CE54BC"/>
    <w:rsid w:val="00CE7A4B"/>
    <w:rsid w:val="00CF2618"/>
    <w:rsid w:val="00CF268E"/>
    <w:rsid w:val="00CF477C"/>
    <w:rsid w:val="00CF6D2B"/>
    <w:rsid w:val="00D00723"/>
    <w:rsid w:val="00D00B98"/>
    <w:rsid w:val="00D0144B"/>
    <w:rsid w:val="00D02CF0"/>
    <w:rsid w:val="00D11B4C"/>
    <w:rsid w:val="00D11D9F"/>
    <w:rsid w:val="00D1288B"/>
    <w:rsid w:val="00D131DE"/>
    <w:rsid w:val="00D15BD9"/>
    <w:rsid w:val="00D17F64"/>
    <w:rsid w:val="00D20BB8"/>
    <w:rsid w:val="00D230EA"/>
    <w:rsid w:val="00D27660"/>
    <w:rsid w:val="00D30FE4"/>
    <w:rsid w:val="00D3267B"/>
    <w:rsid w:val="00D361E6"/>
    <w:rsid w:val="00D3755B"/>
    <w:rsid w:val="00D37696"/>
    <w:rsid w:val="00D37C64"/>
    <w:rsid w:val="00D37C9E"/>
    <w:rsid w:val="00D46339"/>
    <w:rsid w:val="00D50B4D"/>
    <w:rsid w:val="00D5123A"/>
    <w:rsid w:val="00D54162"/>
    <w:rsid w:val="00D571D4"/>
    <w:rsid w:val="00D64764"/>
    <w:rsid w:val="00D6499E"/>
    <w:rsid w:val="00D64C95"/>
    <w:rsid w:val="00D6538D"/>
    <w:rsid w:val="00D6606C"/>
    <w:rsid w:val="00D70F49"/>
    <w:rsid w:val="00D72DF9"/>
    <w:rsid w:val="00D7322D"/>
    <w:rsid w:val="00D74D37"/>
    <w:rsid w:val="00D756CF"/>
    <w:rsid w:val="00D75D10"/>
    <w:rsid w:val="00D7604F"/>
    <w:rsid w:val="00D76A0B"/>
    <w:rsid w:val="00D77054"/>
    <w:rsid w:val="00D81070"/>
    <w:rsid w:val="00D851A3"/>
    <w:rsid w:val="00D857C2"/>
    <w:rsid w:val="00D9016A"/>
    <w:rsid w:val="00D91671"/>
    <w:rsid w:val="00D918FC"/>
    <w:rsid w:val="00D91FBE"/>
    <w:rsid w:val="00D9393A"/>
    <w:rsid w:val="00D94BC2"/>
    <w:rsid w:val="00DA0583"/>
    <w:rsid w:val="00DA2EC1"/>
    <w:rsid w:val="00DA3557"/>
    <w:rsid w:val="00DA7CA5"/>
    <w:rsid w:val="00DB0EDD"/>
    <w:rsid w:val="00DB66A2"/>
    <w:rsid w:val="00DC10C5"/>
    <w:rsid w:val="00DC2124"/>
    <w:rsid w:val="00DC270E"/>
    <w:rsid w:val="00DC39A0"/>
    <w:rsid w:val="00DC465D"/>
    <w:rsid w:val="00DC5321"/>
    <w:rsid w:val="00DD0055"/>
    <w:rsid w:val="00DD1FBC"/>
    <w:rsid w:val="00DD3E09"/>
    <w:rsid w:val="00DD4065"/>
    <w:rsid w:val="00DD4BB2"/>
    <w:rsid w:val="00DE3976"/>
    <w:rsid w:val="00DE4FE6"/>
    <w:rsid w:val="00DE533D"/>
    <w:rsid w:val="00DE70A7"/>
    <w:rsid w:val="00DF0C9E"/>
    <w:rsid w:val="00DF1DA8"/>
    <w:rsid w:val="00DF223B"/>
    <w:rsid w:val="00DF3270"/>
    <w:rsid w:val="00DF47D8"/>
    <w:rsid w:val="00DF6680"/>
    <w:rsid w:val="00E0554D"/>
    <w:rsid w:val="00E05FB9"/>
    <w:rsid w:val="00E069C8"/>
    <w:rsid w:val="00E07051"/>
    <w:rsid w:val="00E162E0"/>
    <w:rsid w:val="00E166F6"/>
    <w:rsid w:val="00E16F57"/>
    <w:rsid w:val="00E1761B"/>
    <w:rsid w:val="00E17A92"/>
    <w:rsid w:val="00E212D4"/>
    <w:rsid w:val="00E216E4"/>
    <w:rsid w:val="00E23D0D"/>
    <w:rsid w:val="00E24A83"/>
    <w:rsid w:val="00E24DFE"/>
    <w:rsid w:val="00E253AD"/>
    <w:rsid w:val="00E265AA"/>
    <w:rsid w:val="00E3012E"/>
    <w:rsid w:val="00E306CB"/>
    <w:rsid w:val="00E30796"/>
    <w:rsid w:val="00E31DE5"/>
    <w:rsid w:val="00E3235D"/>
    <w:rsid w:val="00E329C2"/>
    <w:rsid w:val="00E33B84"/>
    <w:rsid w:val="00E34E1B"/>
    <w:rsid w:val="00E37D78"/>
    <w:rsid w:val="00E42479"/>
    <w:rsid w:val="00E42EC6"/>
    <w:rsid w:val="00E43E48"/>
    <w:rsid w:val="00E449D3"/>
    <w:rsid w:val="00E47495"/>
    <w:rsid w:val="00E51A89"/>
    <w:rsid w:val="00E524B6"/>
    <w:rsid w:val="00E547A4"/>
    <w:rsid w:val="00E55B68"/>
    <w:rsid w:val="00E60A9A"/>
    <w:rsid w:val="00E60D55"/>
    <w:rsid w:val="00E63D90"/>
    <w:rsid w:val="00E6699D"/>
    <w:rsid w:val="00E66E45"/>
    <w:rsid w:val="00E66E7D"/>
    <w:rsid w:val="00E673C5"/>
    <w:rsid w:val="00E72A39"/>
    <w:rsid w:val="00E732BD"/>
    <w:rsid w:val="00E74FA3"/>
    <w:rsid w:val="00E75649"/>
    <w:rsid w:val="00E75737"/>
    <w:rsid w:val="00E774AB"/>
    <w:rsid w:val="00E80A24"/>
    <w:rsid w:val="00E82512"/>
    <w:rsid w:val="00E83405"/>
    <w:rsid w:val="00E84477"/>
    <w:rsid w:val="00E867BD"/>
    <w:rsid w:val="00E91909"/>
    <w:rsid w:val="00E92949"/>
    <w:rsid w:val="00E952FA"/>
    <w:rsid w:val="00E9559D"/>
    <w:rsid w:val="00E96084"/>
    <w:rsid w:val="00EA03E5"/>
    <w:rsid w:val="00EA16FB"/>
    <w:rsid w:val="00EA4DE1"/>
    <w:rsid w:val="00EA59DB"/>
    <w:rsid w:val="00EA5BFE"/>
    <w:rsid w:val="00EB15FF"/>
    <w:rsid w:val="00EB1DF4"/>
    <w:rsid w:val="00EB29F8"/>
    <w:rsid w:val="00EB425B"/>
    <w:rsid w:val="00EB5FF0"/>
    <w:rsid w:val="00EB67F2"/>
    <w:rsid w:val="00EC7EC5"/>
    <w:rsid w:val="00ED2884"/>
    <w:rsid w:val="00ED4BCA"/>
    <w:rsid w:val="00ED6815"/>
    <w:rsid w:val="00ED6942"/>
    <w:rsid w:val="00ED6F1F"/>
    <w:rsid w:val="00ED7117"/>
    <w:rsid w:val="00EE128A"/>
    <w:rsid w:val="00EE2C49"/>
    <w:rsid w:val="00EE2DAF"/>
    <w:rsid w:val="00EE3DDD"/>
    <w:rsid w:val="00EE4ED6"/>
    <w:rsid w:val="00EE582D"/>
    <w:rsid w:val="00EF1111"/>
    <w:rsid w:val="00EF1F57"/>
    <w:rsid w:val="00EF33E5"/>
    <w:rsid w:val="00EF6D81"/>
    <w:rsid w:val="00F01944"/>
    <w:rsid w:val="00F02AE7"/>
    <w:rsid w:val="00F04A47"/>
    <w:rsid w:val="00F07733"/>
    <w:rsid w:val="00F07779"/>
    <w:rsid w:val="00F11F7A"/>
    <w:rsid w:val="00F123EC"/>
    <w:rsid w:val="00F12A89"/>
    <w:rsid w:val="00F14F37"/>
    <w:rsid w:val="00F155E6"/>
    <w:rsid w:val="00F16609"/>
    <w:rsid w:val="00F178F0"/>
    <w:rsid w:val="00F20671"/>
    <w:rsid w:val="00F2094B"/>
    <w:rsid w:val="00F2155B"/>
    <w:rsid w:val="00F21604"/>
    <w:rsid w:val="00F22B81"/>
    <w:rsid w:val="00F258D0"/>
    <w:rsid w:val="00F27A24"/>
    <w:rsid w:val="00F33691"/>
    <w:rsid w:val="00F35A96"/>
    <w:rsid w:val="00F371B9"/>
    <w:rsid w:val="00F40012"/>
    <w:rsid w:val="00F402A4"/>
    <w:rsid w:val="00F411C0"/>
    <w:rsid w:val="00F435FA"/>
    <w:rsid w:val="00F46AFF"/>
    <w:rsid w:val="00F47449"/>
    <w:rsid w:val="00F55D06"/>
    <w:rsid w:val="00F56641"/>
    <w:rsid w:val="00F57C70"/>
    <w:rsid w:val="00F62BC6"/>
    <w:rsid w:val="00F6414B"/>
    <w:rsid w:val="00F65BA1"/>
    <w:rsid w:val="00F66599"/>
    <w:rsid w:val="00F66C82"/>
    <w:rsid w:val="00F706D3"/>
    <w:rsid w:val="00F71C74"/>
    <w:rsid w:val="00F71FA1"/>
    <w:rsid w:val="00F74B0D"/>
    <w:rsid w:val="00F74F90"/>
    <w:rsid w:val="00F76D17"/>
    <w:rsid w:val="00F82D4F"/>
    <w:rsid w:val="00F84FB3"/>
    <w:rsid w:val="00F851DD"/>
    <w:rsid w:val="00F853C1"/>
    <w:rsid w:val="00F85DD3"/>
    <w:rsid w:val="00F865E4"/>
    <w:rsid w:val="00F86B4F"/>
    <w:rsid w:val="00F871B7"/>
    <w:rsid w:val="00F91171"/>
    <w:rsid w:val="00F9649A"/>
    <w:rsid w:val="00F971AF"/>
    <w:rsid w:val="00FA1B8F"/>
    <w:rsid w:val="00FA265E"/>
    <w:rsid w:val="00FA3830"/>
    <w:rsid w:val="00FA386E"/>
    <w:rsid w:val="00FA3F57"/>
    <w:rsid w:val="00FA4D48"/>
    <w:rsid w:val="00FA56D8"/>
    <w:rsid w:val="00FA5B96"/>
    <w:rsid w:val="00FA63C8"/>
    <w:rsid w:val="00FA7F3F"/>
    <w:rsid w:val="00FB0B08"/>
    <w:rsid w:val="00FB119D"/>
    <w:rsid w:val="00FB3003"/>
    <w:rsid w:val="00FB4E28"/>
    <w:rsid w:val="00FB5ED1"/>
    <w:rsid w:val="00FB6031"/>
    <w:rsid w:val="00FB6EB6"/>
    <w:rsid w:val="00FB73F3"/>
    <w:rsid w:val="00FB7A2A"/>
    <w:rsid w:val="00FC15C8"/>
    <w:rsid w:val="00FC43F1"/>
    <w:rsid w:val="00FC5649"/>
    <w:rsid w:val="00FD0673"/>
    <w:rsid w:val="00FD22EA"/>
    <w:rsid w:val="00FD279F"/>
    <w:rsid w:val="00FD3740"/>
    <w:rsid w:val="00FD397C"/>
    <w:rsid w:val="00FD58FC"/>
    <w:rsid w:val="00FD796F"/>
    <w:rsid w:val="00FE1BB9"/>
    <w:rsid w:val="00FE6706"/>
    <w:rsid w:val="00FF355B"/>
    <w:rsid w:val="00FF4070"/>
    <w:rsid w:val="00FF5EE9"/>
    <w:rsid w:val="00FF61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2BE61"/>
  <w15:docId w15:val="{EFB29CF2-68B0-7B4C-8883-91EB29E26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7F2"/>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06767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6767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EA5BFE"/>
    <w:pPr>
      <w:keepNext/>
      <w:keepLines/>
      <w:spacing w:before="200"/>
      <w:outlineLvl w:val="2"/>
    </w:pPr>
    <w:rPr>
      <w:rFonts w:ascii="Cambria" w:hAnsi="Cambria"/>
      <w:b/>
      <w:bCs/>
      <w:color w:val="4F81BD"/>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OFM,List Paragraph1,Indent Paragraph,List Paragraph (numbered (a)),Bullet Styles para,List (Mannvit),WB Para,List Paragraph-ExecSummary,Liste 1,Left Bullet L1,Use Case List Paragraph,Heading2,Colorful List - Accent 11,Bullet List,l"/>
    <w:basedOn w:val="Normal"/>
    <w:link w:val="ListParagraphChar"/>
    <w:uiPriority w:val="34"/>
    <w:qFormat/>
    <w:rsid w:val="00D91FBE"/>
    <w:pPr>
      <w:ind w:left="720"/>
      <w:contextualSpacing/>
    </w:pPr>
    <w:rPr>
      <w:rFonts w:asciiTheme="minorHAnsi" w:eastAsiaTheme="minorHAnsi" w:hAnsiTheme="minorHAnsi" w:cstheme="minorBidi"/>
      <w:noProof/>
      <w:kern w:val="2"/>
      <w:lang w:eastAsia="en-US"/>
      <w14:ligatures w14:val="standardContextual"/>
    </w:rPr>
  </w:style>
  <w:style w:type="character" w:customStyle="1" w:styleId="apple-converted-space">
    <w:name w:val="apple-converted-space"/>
    <w:basedOn w:val="DefaultParagraphFont"/>
    <w:qFormat/>
    <w:rsid w:val="0023458E"/>
  </w:style>
  <w:style w:type="paragraph" w:customStyle="1" w:styleId="wyq120---podnaslov-clana">
    <w:name w:val="wyq120---podnaslov-clana"/>
    <w:basedOn w:val="Normal"/>
    <w:qFormat/>
    <w:rsid w:val="0023458E"/>
    <w:pPr>
      <w:spacing w:before="100" w:beforeAutospacing="1" w:after="100" w:afterAutospacing="1"/>
    </w:pPr>
  </w:style>
  <w:style w:type="paragraph" w:customStyle="1" w:styleId="clan">
    <w:name w:val="clan"/>
    <w:basedOn w:val="Normal"/>
    <w:rsid w:val="0023458E"/>
    <w:pPr>
      <w:spacing w:before="100" w:beforeAutospacing="1" w:after="100" w:afterAutospacing="1"/>
    </w:pPr>
  </w:style>
  <w:style w:type="paragraph" w:customStyle="1" w:styleId="Normal1">
    <w:name w:val="Normal1"/>
    <w:basedOn w:val="Normal"/>
    <w:qFormat/>
    <w:rsid w:val="0023458E"/>
    <w:pPr>
      <w:spacing w:before="100" w:beforeAutospacing="1" w:after="100" w:afterAutospacing="1"/>
    </w:pPr>
  </w:style>
  <w:style w:type="paragraph" w:customStyle="1" w:styleId="wyq110---naslov-clana">
    <w:name w:val="wyq110---naslov-clana"/>
    <w:basedOn w:val="Normal"/>
    <w:qFormat/>
    <w:rsid w:val="0023458E"/>
    <w:pPr>
      <w:spacing w:before="100" w:beforeAutospacing="1" w:after="100" w:afterAutospacing="1"/>
    </w:pPr>
  </w:style>
  <w:style w:type="character" w:customStyle="1" w:styleId="ListParagraphChar">
    <w:name w:val="List Paragraph Char"/>
    <w:aliases w:val="Bullet OFM Char,List Paragraph1 Char,Indent Paragraph Char,List Paragraph (numbered (a)) Char,Bullet Styles para Char,List (Mannvit) Char,WB Para Char,List Paragraph-ExecSummary Char,Liste 1 Char,Left Bullet L1 Char,Heading2 Char"/>
    <w:link w:val="ListParagraph"/>
    <w:uiPriority w:val="34"/>
    <w:qFormat/>
    <w:locked/>
    <w:rsid w:val="008D797F"/>
    <w:rPr>
      <w:noProof/>
      <w:lang w:val="en-US"/>
    </w:rPr>
  </w:style>
  <w:style w:type="table" w:customStyle="1" w:styleId="TableGrid1">
    <w:name w:val="Table Grid1"/>
    <w:basedOn w:val="TableNormal"/>
    <w:next w:val="TableGrid"/>
    <w:uiPriority w:val="39"/>
    <w:qFormat/>
    <w:rsid w:val="008D797F"/>
    <w:pPr>
      <w:ind w:firstLine="360"/>
    </w:pPr>
    <w:rPr>
      <w:rFonts w:eastAsiaTheme="minorEastAsia"/>
      <w:kern w:val="0"/>
      <w:sz w:val="22"/>
      <w:szCs w:val="22"/>
      <w:lang w:val="en-GB"/>
      <w14:ligatures w14:val="none"/>
    </w:rPr>
    <w:tblPr>
      <w:tblBorders>
        <w:top w:val="single" w:sz="12" w:space="0" w:color="3399FF"/>
        <w:left w:val="single" w:sz="12" w:space="0" w:color="3399FF"/>
        <w:bottom w:val="single" w:sz="12" w:space="0" w:color="3399FF"/>
        <w:right w:val="single" w:sz="12" w:space="0" w:color="3399FF"/>
        <w:insideH w:val="single" w:sz="12" w:space="0" w:color="3399FF"/>
        <w:insideV w:val="single" w:sz="12" w:space="0" w:color="3399FF"/>
      </w:tblBorders>
    </w:tblPr>
  </w:style>
  <w:style w:type="table" w:styleId="TableGrid">
    <w:name w:val="Table Grid"/>
    <w:basedOn w:val="TableNormal"/>
    <w:uiPriority w:val="39"/>
    <w:qFormat/>
    <w:rsid w:val="008D79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qFormat/>
    <w:rsid w:val="00AC1DDF"/>
    <w:rPr>
      <w:sz w:val="16"/>
      <w:szCs w:val="16"/>
    </w:rPr>
  </w:style>
  <w:style w:type="paragraph" w:styleId="CommentText">
    <w:name w:val="annotation text"/>
    <w:basedOn w:val="Normal"/>
    <w:link w:val="CommentTextChar"/>
    <w:uiPriority w:val="99"/>
    <w:unhideWhenUsed/>
    <w:qFormat/>
    <w:rsid w:val="00AC1DDF"/>
    <w:rPr>
      <w:rFonts w:asciiTheme="minorHAnsi" w:eastAsiaTheme="minorHAnsi" w:hAnsiTheme="minorHAnsi" w:cstheme="minorBidi"/>
      <w:noProof/>
      <w:kern w:val="2"/>
      <w:sz w:val="20"/>
      <w:szCs w:val="20"/>
      <w:lang w:eastAsia="en-US"/>
      <w14:ligatures w14:val="standardContextual"/>
    </w:rPr>
  </w:style>
  <w:style w:type="character" w:customStyle="1" w:styleId="CommentTextChar">
    <w:name w:val="Comment Text Char"/>
    <w:basedOn w:val="DefaultParagraphFont"/>
    <w:link w:val="CommentText"/>
    <w:uiPriority w:val="99"/>
    <w:qFormat/>
    <w:rsid w:val="00AC1DDF"/>
    <w:rPr>
      <w:noProof/>
      <w:sz w:val="20"/>
      <w:szCs w:val="20"/>
    </w:rPr>
  </w:style>
  <w:style w:type="paragraph" w:styleId="CommentSubject">
    <w:name w:val="annotation subject"/>
    <w:basedOn w:val="CommentText"/>
    <w:next w:val="CommentText"/>
    <w:link w:val="CommentSubjectChar"/>
    <w:uiPriority w:val="99"/>
    <w:semiHidden/>
    <w:unhideWhenUsed/>
    <w:qFormat/>
    <w:rsid w:val="00AC1DDF"/>
    <w:rPr>
      <w:b/>
      <w:bCs/>
    </w:rPr>
  </w:style>
  <w:style w:type="character" w:customStyle="1" w:styleId="CommentSubjectChar">
    <w:name w:val="Comment Subject Char"/>
    <w:basedOn w:val="CommentTextChar"/>
    <w:link w:val="CommentSubject"/>
    <w:uiPriority w:val="99"/>
    <w:semiHidden/>
    <w:qFormat/>
    <w:rsid w:val="00AC1DDF"/>
    <w:rPr>
      <w:b/>
      <w:bCs/>
      <w:noProof/>
      <w:sz w:val="20"/>
      <w:szCs w:val="20"/>
    </w:rPr>
  </w:style>
  <w:style w:type="paragraph" w:styleId="BalloonText">
    <w:name w:val="Balloon Text"/>
    <w:basedOn w:val="Normal"/>
    <w:link w:val="BalloonTextChar"/>
    <w:uiPriority w:val="99"/>
    <w:semiHidden/>
    <w:unhideWhenUsed/>
    <w:rsid w:val="00AC1DDF"/>
    <w:rPr>
      <w:rFonts w:ascii="Tahoma" w:eastAsiaTheme="minorHAnsi" w:hAnsi="Tahoma" w:cs="Tahoma"/>
      <w:noProof/>
      <w:kern w:val="2"/>
      <w:sz w:val="16"/>
      <w:szCs w:val="16"/>
      <w:lang w:eastAsia="en-US"/>
      <w14:ligatures w14:val="standardContextual"/>
    </w:rPr>
  </w:style>
  <w:style w:type="character" w:customStyle="1" w:styleId="BalloonTextChar">
    <w:name w:val="Balloon Text Char"/>
    <w:basedOn w:val="DefaultParagraphFont"/>
    <w:link w:val="BalloonText"/>
    <w:uiPriority w:val="99"/>
    <w:semiHidden/>
    <w:qFormat/>
    <w:rsid w:val="00AC1DDF"/>
    <w:rPr>
      <w:rFonts w:ascii="Tahoma" w:hAnsi="Tahoma" w:cs="Tahoma"/>
      <w:noProof/>
      <w:sz w:val="16"/>
      <w:szCs w:val="16"/>
    </w:rPr>
  </w:style>
  <w:style w:type="paragraph" w:styleId="FootnoteText">
    <w:name w:val="footnote text"/>
    <w:aliases w:val="Footnote,Footnote Text Char Char1,Footnote Text Char Char Char Char Char1,Footnote Text Char Char Char Char Char Char Char Char Char Char1,Footnote Text Char Char Char Char1 Char Char Char1,Footnote Text Char Char,ADB,Footnote Text Char1"/>
    <w:basedOn w:val="Normal"/>
    <w:link w:val="FootnoteTextChar"/>
    <w:uiPriority w:val="99"/>
    <w:unhideWhenUsed/>
    <w:qFormat/>
    <w:rsid w:val="00DC270E"/>
    <w:rPr>
      <w:rFonts w:asciiTheme="minorHAnsi" w:eastAsiaTheme="minorHAnsi" w:hAnsiTheme="minorHAnsi" w:cstheme="minorBidi"/>
      <w:noProof/>
      <w:kern w:val="2"/>
      <w:sz w:val="20"/>
      <w:szCs w:val="20"/>
      <w:lang w:eastAsia="en-US"/>
      <w14:ligatures w14:val="standardContextual"/>
    </w:rPr>
  </w:style>
  <w:style w:type="character" w:customStyle="1" w:styleId="FootnoteTextChar">
    <w:name w:val="Footnote Text Char"/>
    <w:aliases w:val="Footnote Char,Footnote Text Char Char1 Char,Footnote Text Char Char Char Char Char1 Char,Footnote Text Char Char Char Char Char Char Char Char Char Char1 Char,Footnote Text Char Char Char Char1 Char Char Char1 Char,ADB Char"/>
    <w:basedOn w:val="DefaultParagraphFont"/>
    <w:link w:val="FootnoteText"/>
    <w:uiPriority w:val="99"/>
    <w:qFormat/>
    <w:rsid w:val="00DC270E"/>
    <w:rPr>
      <w:noProof/>
      <w:sz w:val="20"/>
      <w:szCs w:val="20"/>
    </w:rPr>
  </w:style>
  <w:style w:type="character" w:styleId="FootnoteReference">
    <w:name w:val="footnote reference"/>
    <w:aliases w:val="Fußnotenzeichen DISS,BVI fnr,fr,SUPERS,-E Fußnotenzeichen,Footnote symbol,Times 10 Point,Exposant 3 Point,number,Footnote reference number,note TESI,EN Footnote Reference,Footnote Reference/,Footnote Reference Number"/>
    <w:basedOn w:val="DefaultParagraphFont"/>
    <w:link w:val="BVIfnrCarCar"/>
    <w:uiPriority w:val="99"/>
    <w:unhideWhenUsed/>
    <w:qFormat/>
    <w:rsid w:val="00DC270E"/>
    <w:rPr>
      <w:vertAlign w:val="superscript"/>
    </w:rPr>
  </w:style>
  <w:style w:type="paragraph" w:styleId="NormalWeb">
    <w:name w:val="Normal (Web)"/>
    <w:basedOn w:val="Normal"/>
    <w:uiPriority w:val="99"/>
    <w:unhideWhenUsed/>
    <w:qFormat/>
    <w:rsid w:val="00296BB3"/>
    <w:pPr>
      <w:spacing w:before="100" w:beforeAutospacing="1" w:after="100" w:afterAutospacing="1"/>
    </w:pPr>
  </w:style>
  <w:style w:type="paragraph" w:styleId="Caption">
    <w:name w:val="caption"/>
    <w:basedOn w:val="Normal"/>
    <w:next w:val="Normal"/>
    <w:link w:val="CaptionChar"/>
    <w:qFormat/>
    <w:rsid w:val="001E1D1A"/>
    <w:pPr>
      <w:keepNext/>
      <w:spacing w:before="120" w:after="60"/>
      <w:jc w:val="both"/>
    </w:pPr>
    <w:rPr>
      <w:b/>
      <w:szCs w:val="20"/>
      <w:lang w:eastAsia="en-US"/>
    </w:rPr>
  </w:style>
  <w:style w:type="character" w:customStyle="1" w:styleId="CaptionChar">
    <w:name w:val="Caption Char"/>
    <w:link w:val="Caption"/>
    <w:qFormat/>
    <w:rsid w:val="001E1D1A"/>
    <w:rPr>
      <w:rFonts w:ascii="Times New Roman" w:eastAsia="Times New Roman" w:hAnsi="Times New Roman" w:cs="Times New Roman"/>
      <w:b/>
      <w:kern w:val="0"/>
      <w:szCs w:val="20"/>
      <w14:ligatures w14:val="none"/>
    </w:rPr>
  </w:style>
  <w:style w:type="paragraph" w:customStyle="1" w:styleId="BVIfnrCarCar">
    <w:name w:val="BVI fnr Car Car"/>
    <w:basedOn w:val="Normal"/>
    <w:link w:val="FootnoteReference"/>
    <w:uiPriority w:val="99"/>
    <w:qFormat/>
    <w:rsid w:val="004745EF"/>
    <w:pPr>
      <w:spacing w:before="240" w:line="240" w:lineRule="exact"/>
      <w:jc w:val="both"/>
    </w:pPr>
    <w:rPr>
      <w:rFonts w:asciiTheme="minorHAnsi" w:eastAsiaTheme="minorHAnsi" w:hAnsiTheme="minorHAnsi" w:cstheme="minorBidi"/>
      <w:kern w:val="2"/>
      <w:vertAlign w:val="superscript"/>
      <w:lang w:eastAsia="en-US"/>
      <w14:ligatures w14:val="standardContextual"/>
    </w:rPr>
  </w:style>
  <w:style w:type="table" w:customStyle="1" w:styleId="TableGridLight1">
    <w:name w:val="Table Grid Light1"/>
    <w:basedOn w:val="TableNormal"/>
    <w:uiPriority w:val="40"/>
    <w:rsid w:val="00255EB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255EB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qFormat/>
    <w:rsid w:val="00DE533D"/>
    <w:rPr>
      <w:color w:val="0000FF"/>
      <w:u w:val="single"/>
    </w:rPr>
  </w:style>
  <w:style w:type="character" w:styleId="FollowedHyperlink">
    <w:name w:val="FollowedHyperlink"/>
    <w:basedOn w:val="DefaultParagraphFont"/>
    <w:uiPriority w:val="99"/>
    <w:semiHidden/>
    <w:unhideWhenUsed/>
    <w:qFormat/>
    <w:rsid w:val="00DE533D"/>
    <w:rPr>
      <w:color w:val="954F72" w:themeColor="followedHyperlink"/>
      <w:u w:val="single"/>
    </w:rPr>
  </w:style>
  <w:style w:type="paragraph" w:styleId="Header">
    <w:name w:val="header"/>
    <w:basedOn w:val="Normal"/>
    <w:link w:val="HeaderChar"/>
    <w:uiPriority w:val="99"/>
    <w:unhideWhenUsed/>
    <w:qFormat/>
    <w:rsid w:val="00205718"/>
    <w:pPr>
      <w:tabs>
        <w:tab w:val="center" w:pos="4513"/>
        <w:tab w:val="right" w:pos="9026"/>
      </w:tabs>
    </w:pPr>
    <w:rPr>
      <w:rFonts w:asciiTheme="minorHAnsi" w:eastAsiaTheme="minorHAnsi" w:hAnsiTheme="minorHAnsi" w:cstheme="minorBidi"/>
      <w:sz w:val="22"/>
      <w:szCs w:val="22"/>
      <w:lang w:val="en-GB" w:eastAsia="en-US"/>
    </w:rPr>
  </w:style>
  <w:style w:type="character" w:customStyle="1" w:styleId="HeaderChar">
    <w:name w:val="Header Char"/>
    <w:basedOn w:val="DefaultParagraphFont"/>
    <w:link w:val="Header"/>
    <w:uiPriority w:val="99"/>
    <w:qFormat/>
    <w:rsid w:val="00205718"/>
    <w:rPr>
      <w:kern w:val="0"/>
      <w:sz w:val="22"/>
      <w:szCs w:val="22"/>
      <w:lang w:val="en-GB"/>
      <w14:ligatures w14:val="none"/>
    </w:rPr>
  </w:style>
  <w:style w:type="paragraph" w:styleId="Footer">
    <w:name w:val="footer"/>
    <w:basedOn w:val="Normal"/>
    <w:link w:val="FooterChar"/>
    <w:uiPriority w:val="99"/>
    <w:unhideWhenUsed/>
    <w:qFormat/>
    <w:rsid w:val="00205718"/>
    <w:pPr>
      <w:tabs>
        <w:tab w:val="center" w:pos="4513"/>
        <w:tab w:val="right" w:pos="9026"/>
      </w:tabs>
    </w:pPr>
    <w:rPr>
      <w:rFonts w:asciiTheme="minorHAnsi" w:eastAsiaTheme="minorHAnsi" w:hAnsiTheme="minorHAnsi" w:cstheme="minorBidi"/>
      <w:sz w:val="22"/>
      <w:szCs w:val="22"/>
      <w:lang w:val="en-GB" w:eastAsia="en-US"/>
    </w:rPr>
  </w:style>
  <w:style w:type="character" w:customStyle="1" w:styleId="FooterChar">
    <w:name w:val="Footer Char"/>
    <w:basedOn w:val="DefaultParagraphFont"/>
    <w:link w:val="Footer"/>
    <w:uiPriority w:val="99"/>
    <w:rsid w:val="00205718"/>
    <w:rPr>
      <w:kern w:val="0"/>
      <w:sz w:val="22"/>
      <w:szCs w:val="22"/>
      <w:lang w:val="en-GB"/>
      <w14:ligatures w14:val="none"/>
    </w:rPr>
  </w:style>
  <w:style w:type="paragraph" w:customStyle="1" w:styleId="basic-paragraph">
    <w:name w:val="basic-paragraph"/>
    <w:basedOn w:val="Normal"/>
    <w:rsid w:val="00205718"/>
    <w:pPr>
      <w:spacing w:before="100" w:beforeAutospacing="1" w:after="100" w:afterAutospacing="1"/>
    </w:pPr>
    <w:rPr>
      <w:lang w:val="en-GB"/>
    </w:rPr>
  </w:style>
  <w:style w:type="character" w:customStyle="1" w:styleId="Heading1Char">
    <w:name w:val="Heading 1 Char"/>
    <w:basedOn w:val="DefaultParagraphFont"/>
    <w:link w:val="Heading1"/>
    <w:uiPriority w:val="9"/>
    <w:rsid w:val="00067674"/>
    <w:rPr>
      <w:rFonts w:asciiTheme="majorHAnsi" w:eastAsiaTheme="majorEastAsia" w:hAnsiTheme="majorHAnsi" w:cstheme="majorBidi"/>
      <w:color w:val="2F5496" w:themeColor="accent1" w:themeShade="BF"/>
      <w:kern w:val="0"/>
      <w:sz w:val="32"/>
      <w:szCs w:val="32"/>
      <w:lang w:eastAsia="en-GB"/>
      <w14:ligatures w14:val="none"/>
    </w:rPr>
  </w:style>
  <w:style w:type="character" w:customStyle="1" w:styleId="Heading2Char">
    <w:name w:val="Heading 2 Char"/>
    <w:basedOn w:val="DefaultParagraphFont"/>
    <w:link w:val="Heading2"/>
    <w:uiPriority w:val="9"/>
    <w:rsid w:val="00067674"/>
    <w:rPr>
      <w:rFonts w:asciiTheme="majorHAnsi" w:eastAsiaTheme="majorEastAsia" w:hAnsiTheme="majorHAnsi" w:cstheme="majorBidi"/>
      <w:color w:val="2F5496" w:themeColor="accent1" w:themeShade="BF"/>
      <w:kern w:val="0"/>
      <w:sz w:val="26"/>
      <w:szCs w:val="26"/>
      <w:lang w:eastAsia="en-GB"/>
      <w14:ligatures w14:val="none"/>
    </w:rPr>
  </w:style>
  <w:style w:type="paragraph" w:styleId="TOCHeading">
    <w:name w:val="TOC Heading"/>
    <w:basedOn w:val="Heading1"/>
    <w:next w:val="Normal"/>
    <w:uiPriority w:val="39"/>
    <w:unhideWhenUsed/>
    <w:qFormat/>
    <w:rsid w:val="00067674"/>
    <w:pPr>
      <w:spacing w:before="480" w:line="276" w:lineRule="auto"/>
      <w:outlineLvl w:val="9"/>
    </w:pPr>
    <w:rPr>
      <w:b/>
      <w:bCs/>
      <w:sz w:val="28"/>
      <w:szCs w:val="28"/>
      <w:lang w:eastAsia="en-US"/>
    </w:rPr>
  </w:style>
  <w:style w:type="paragraph" w:styleId="TOC1">
    <w:name w:val="toc 1"/>
    <w:basedOn w:val="Normal"/>
    <w:next w:val="Normal"/>
    <w:autoRedefine/>
    <w:uiPriority w:val="39"/>
    <w:unhideWhenUsed/>
    <w:qFormat/>
    <w:rsid w:val="00067674"/>
    <w:pPr>
      <w:spacing w:before="120"/>
    </w:pPr>
    <w:rPr>
      <w:rFonts w:asciiTheme="minorHAnsi" w:hAnsiTheme="minorHAnsi" w:cstheme="minorHAnsi"/>
      <w:b/>
      <w:bCs/>
      <w:i/>
      <w:iCs/>
    </w:rPr>
  </w:style>
  <w:style w:type="paragraph" w:styleId="TOC2">
    <w:name w:val="toc 2"/>
    <w:basedOn w:val="Normal"/>
    <w:next w:val="Normal"/>
    <w:autoRedefine/>
    <w:uiPriority w:val="39"/>
    <w:unhideWhenUsed/>
    <w:qFormat/>
    <w:rsid w:val="00067674"/>
    <w:pPr>
      <w:spacing w:before="120"/>
      <w:ind w:left="240"/>
    </w:pPr>
    <w:rPr>
      <w:rFonts w:asciiTheme="minorHAnsi" w:hAnsiTheme="minorHAnsi" w:cstheme="minorHAnsi"/>
      <w:b/>
      <w:bCs/>
      <w:sz w:val="22"/>
      <w:szCs w:val="22"/>
    </w:rPr>
  </w:style>
  <w:style w:type="paragraph" w:styleId="TOC3">
    <w:name w:val="toc 3"/>
    <w:basedOn w:val="Normal"/>
    <w:next w:val="Normal"/>
    <w:autoRedefine/>
    <w:uiPriority w:val="39"/>
    <w:unhideWhenUsed/>
    <w:qFormat/>
    <w:rsid w:val="00067674"/>
    <w:pPr>
      <w:ind w:left="480"/>
    </w:pPr>
    <w:rPr>
      <w:rFonts w:asciiTheme="minorHAnsi" w:hAnsiTheme="minorHAnsi" w:cstheme="minorHAnsi"/>
      <w:sz w:val="20"/>
      <w:szCs w:val="20"/>
    </w:rPr>
  </w:style>
  <w:style w:type="paragraph" w:styleId="TOC4">
    <w:name w:val="toc 4"/>
    <w:basedOn w:val="Normal"/>
    <w:next w:val="Normal"/>
    <w:autoRedefine/>
    <w:uiPriority w:val="39"/>
    <w:semiHidden/>
    <w:unhideWhenUsed/>
    <w:qFormat/>
    <w:rsid w:val="00067674"/>
    <w:pPr>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qFormat/>
    <w:rsid w:val="00067674"/>
    <w:pPr>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qFormat/>
    <w:rsid w:val="00067674"/>
    <w:pPr>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qFormat/>
    <w:rsid w:val="00067674"/>
    <w:pPr>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067674"/>
    <w:pPr>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qFormat/>
    <w:rsid w:val="00067674"/>
    <w:pPr>
      <w:ind w:left="1920"/>
    </w:pPr>
    <w:rPr>
      <w:rFonts w:asciiTheme="minorHAnsi" w:hAnsiTheme="minorHAnsi" w:cstheme="minorHAnsi"/>
      <w:sz w:val="20"/>
      <w:szCs w:val="20"/>
    </w:rPr>
  </w:style>
  <w:style w:type="numbering" w:customStyle="1" w:styleId="CurrentList1">
    <w:name w:val="Current List1"/>
    <w:uiPriority w:val="99"/>
    <w:rsid w:val="00107E90"/>
    <w:pPr>
      <w:numPr>
        <w:numId w:val="8"/>
      </w:numPr>
    </w:pPr>
  </w:style>
  <w:style w:type="paragraph" w:styleId="Title">
    <w:name w:val="Title"/>
    <w:basedOn w:val="Normal"/>
    <w:next w:val="Normal"/>
    <w:link w:val="TitleChar"/>
    <w:uiPriority w:val="10"/>
    <w:qFormat/>
    <w:rsid w:val="00694BA1"/>
    <w:pPr>
      <w:pBdr>
        <w:top w:val="single" w:sz="8" w:space="10" w:color="A1B8E1" w:themeColor="accent1" w:themeTint="7F"/>
        <w:bottom w:val="single" w:sz="24" w:space="15" w:color="A5A5A5" w:themeColor="accent3"/>
      </w:pBdr>
      <w:jc w:val="center"/>
    </w:pPr>
    <w:rPr>
      <w:rFonts w:asciiTheme="majorHAnsi" w:eastAsiaTheme="majorEastAsia" w:hAnsiTheme="majorHAnsi" w:cstheme="majorBidi"/>
      <w:i/>
      <w:iCs/>
      <w:color w:val="1F3763" w:themeColor="accent1" w:themeShade="7F"/>
      <w:sz w:val="60"/>
      <w:szCs w:val="60"/>
      <w:lang w:eastAsia="en-US"/>
    </w:rPr>
  </w:style>
  <w:style w:type="character" w:customStyle="1" w:styleId="TitleChar">
    <w:name w:val="Title Char"/>
    <w:basedOn w:val="DefaultParagraphFont"/>
    <w:link w:val="Title"/>
    <w:uiPriority w:val="10"/>
    <w:rsid w:val="00694BA1"/>
    <w:rPr>
      <w:rFonts w:asciiTheme="majorHAnsi" w:eastAsiaTheme="majorEastAsia" w:hAnsiTheme="majorHAnsi" w:cstheme="majorBidi"/>
      <w:i/>
      <w:iCs/>
      <w:color w:val="1F3763" w:themeColor="accent1" w:themeShade="7F"/>
      <w:kern w:val="0"/>
      <w:sz w:val="60"/>
      <w:szCs w:val="60"/>
      <w14:ligatures w14:val="none"/>
    </w:rPr>
  </w:style>
  <w:style w:type="paragraph" w:customStyle="1" w:styleId="Heading11">
    <w:name w:val="Heading 11"/>
    <w:basedOn w:val="Normal"/>
    <w:next w:val="Normal"/>
    <w:uiPriority w:val="9"/>
    <w:qFormat/>
    <w:rsid w:val="009557D7"/>
    <w:pPr>
      <w:keepNext/>
      <w:keepLines/>
      <w:spacing w:before="240"/>
      <w:outlineLvl w:val="0"/>
    </w:pPr>
    <w:rPr>
      <w:rFonts w:ascii="Calibri Light" w:hAnsi="Calibri Light"/>
      <w:color w:val="2F5496"/>
      <w:sz w:val="32"/>
      <w:szCs w:val="32"/>
      <w:lang w:val="en-GB"/>
    </w:rPr>
  </w:style>
  <w:style w:type="paragraph" w:customStyle="1" w:styleId="Heading21">
    <w:name w:val="Heading 21"/>
    <w:basedOn w:val="Normal"/>
    <w:next w:val="Normal"/>
    <w:uiPriority w:val="9"/>
    <w:unhideWhenUsed/>
    <w:qFormat/>
    <w:rsid w:val="009557D7"/>
    <w:pPr>
      <w:keepNext/>
      <w:keepLines/>
      <w:spacing w:before="40"/>
      <w:outlineLvl w:val="1"/>
    </w:pPr>
    <w:rPr>
      <w:rFonts w:ascii="Calibri Light" w:hAnsi="Calibri Light"/>
      <w:color w:val="2F5496"/>
      <w:sz w:val="26"/>
      <w:szCs w:val="26"/>
    </w:rPr>
  </w:style>
  <w:style w:type="numbering" w:customStyle="1" w:styleId="NoList1">
    <w:name w:val="No List1"/>
    <w:next w:val="NoList"/>
    <w:uiPriority w:val="99"/>
    <w:semiHidden/>
    <w:unhideWhenUsed/>
    <w:rsid w:val="009557D7"/>
  </w:style>
  <w:style w:type="paragraph" w:customStyle="1" w:styleId="BulletStylespara1">
    <w:name w:val="Bullet Styles para1"/>
    <w:basedOn w:val="Normal"/>
    <w:next w:val="ListParagraph"/>
    <w:uiPriority w:val="34"/>
    <w:qFormat/>
    <w:rsid w:val="009557D7"/>
    <w:pPr>
      <w:ind w:left="720"/>
      <w:contextualSpacing/>
    </w:pPr>
    <w:rPr>
      <w:rFonts w:asciiTheme="minorHAnsi" w:eastAsiaTheme="minorHAnsi" w:hAnsiTheme="minorHAnsi" w:cstheme="minorBidi"/>
      <w:noProof/>
      <w:kern w:val="2"/>
      <w:lang w:eastAsia="en-US"/>
      <w14:ligatures w14:val="standardContextual"/>
    </w:rPr>
  </w:style>
  <w:style w:type="paragraph" w:customStyle="1" w:styleId="CommentText1">
    <w:name w:val="Comment Text1"/>
    <w:basedOn w:val="Normal"/>
    <w:next w:val="CommentText"/>
    <w:uiPriority w:val="99"/>
    <w:semiHidden/>
    <w:unhideWhenUsed/>
    <w:rsid w:val="009557D7"/>
    <w:rPr>
      <w:rFonts w:asciiTheme="minorHAnsi" w:eastAsiaTheme="minorHAnsi" w:hAnsiTheme="minorHAnsi" w:cstheme="minorBidi"/>
      <w:noProof/>
      <w:sz w:val="20"/>
      <w:szCs w:val="20"/>
      <w:lang w:val="en-GB" w:eastAsia="en-US"/>
    </w:rPr>
  </w:style>
  <w:style w:type="character" w:customStyle="1" w:styleId="CommentTextChar1">
    <w:name w:val="Comment Text Char1"/>
    <w:basedOn w:val="DefaultParagraphFont"/>
    <w:uiPriority w:val="99"/>
    <w:semiHidden/>
    <w:rsid w:val="009557D7"/>
    <w:rPr>
      <w:sz w:val="20"/>
      <w:szCs w:val="20"/>
    </w:rPr>
  </w:style>
  <w:style w:type="paragraph" w:customStyle="1" w:styleId="BalloonText1">
    <w:name w:val="Balloon Text1"/>
    <w:basedOn w:val="Normal"/>
    <w:next w:val="BalloonText"/>
    <w:uiPriority w:val="99"/>
    <w:semiHidden/>
    <w:unhideWhenUsed/>
    <w:rsid w:val="009557D7"/>
    <w:rPr>
      <w:rFonts w:ascii="Tahoma" w:eastAsiaTheme="minorHAnsi" w:hAnsi="Tahoma" w:cs="Tahoma"/>
      <w:noProof/>
      <w:sz w:val="16"/>
      <w:szCs w:val="16"/>
      <w:lang w:val="en-GB" w:eastAsia="en-US"/>
    </w:rPr>
  </w:style>
  <w:style w:type="paragraph" w:customStyle="1" w:styleId="FootnoteTextChar11">
    <w:name w:val="Footnote Text Char11"/>
    <w:basedOn w:val="Normal"/>
    <w:next w:val="FootnoteText"/>
    <w:uiPriority w:val="99"/>
    <w:unhideWhenUsed/>
    <w:qFormat/>
    <w:rsid w:val="009557D7"/>
    <w:rPr>
      <w:rFonts w:asciiTheme="minorHAnsi" w:eastAsiaTheme="minorHAnsi" w:hAnsiTheme="minorHAnsi" w:cstheme="minorBidi"/>
      <w:noProof/>
      <w:sz w:val="20"/>
      <w:szCs w:val="20"/>
      <w:lang w:val="en-GB" w:eastAsia="en-US"/>
    </w:rPr>
  </w:style>
  <w:style w:type="table" w:customStyle="1" w:styleId="TableGridLight10">
    <w:name w:val="Table Grid Light1"/>
    <w:basedOn w:val="TableNormal"/>
    <w:uiPriority w:val="40"/>
    <w:rsid w:val="009557D7"/>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0">
    <w:name w:val="Plain Table 11"/>
    <w:basedOn w:val="TableNormal"/>
    <w:uiPriority w:val="41"/>
    <w:qFormat/>
    <w:rsid w:val="009557D7"/>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FollowedHyperlink1">
    <w:name w:val="FollowedHyperlink1"/>
    <w:basedOn w:val="DefaultParagraphFont"/>
    <w:uiPriority w:val="99"/>
    <w:semiHidden/>
    <w:unhideWhenUsed/>
    <w:rsid w:val="009557D7"/>
    <w:rPr>
      <w:color w:val="954F72"/>
      <w:u w:val="single"/>
    </w:rPr>
  </w:style>
  <w:style w:type="paragraph" w:customStyle="1" w:styleId="Header1">
    <w:name w:val="Header1"/>
    <w:basedOn w:val="Normal"/>
    <w:next w:val="Header"/>
    <w:uiPriority w:val="99"/>
    <w:unhideWhenUsed/>
    <w:rsid w:val="009557D7"/>
    <w:pPr>
      <w:tabs>
        <w:tab w:val="center" w:pos="4513"/>
        <w:tab w:val="right" w:pos="9026"/>
      </w:tabs>
    </w:pPr>
    <w:rPr>
      <w:rFonts w:asciiTheme="minorHAnsi" w:eastAsiaTheme="minorHAnsi" w:hAnsiTheme="minorHAnsi" w:cstheme="minorBidi"/>
      <w:sz w:val="22"/>
      <w:szCs w:val="22"/>
      <w:lang w:val="en-GB" w:eastAsia="en-US"/>
    </w:rPr>
  </w:style>
  <w:style w:type="paragraph" w:customStyle="1" w:styleId="Footer1">
    <w:name w:val="Footer1"/>
    <w:basedOn w:val="Normal"/>
    <w:next w:val="Footer"/>
    <w:uiPriority w:val="99"/>
    <w:unhideWhenUsed/>
    <w:rsid w:val="009557D7"/>
    <w:pPr>
      <w:tabs>
        <w:tab w:val="center" w:pos="4513"/>
        <w:tab w:val="right" w:pos="9026"/>
      </w:tabs>
    </w:pPr>
    <w:rPr>
      <w:rFonts w:asciiTheme="minorHAnsi" w:eastAsiaTheme="minorHAnsi" w:hAnsiTheme="minorHAnsi" w:cstheme="minorBidi"/>
      <w:sz w:val="22"/>
      <w:szCs w:val="22"/>
      <w:lang w:val="en-GB" w:eastAsia="en-US"/>
    </w:rPr>
  </w:style>
  <w:style w:type="character" w:customStyle="1" w:styleId="Heading1Char1">
    <w:name w:val="Heading 1 Char1"/>
    <w:basedOn w:val="DefaultParagraphFont"/>
    <w:uiPriority w:val="9"/>
    <w:rsid w:val="009557D7"/>
    <w:rPr>
      <w:rFonts w:asciiTheme="majorHAnsi" w:eastAsiaTheme="majorEastAsia" w:hAnsiTheme="majorHAnsi" w:cstheme="majorBidi"/>
      <w:b/>
      <w:bCs/>
      <w:color w:val="2F5496" w:themeColor="accent1" w:themeShade="BF"/>
      <w:sz w:val="28"/>
      <w:szCs w:val="28"/>
    </w:rPr>
  </w:style>
  <w:style w:type="paragraph" w:customStyle="1" w:styleId="TOC11">
    <w:name w:val="TOC 11"/>
    <w:basedOn w:val="Normal"/>
    <w:next w:val="Normal"/>
    <w:autoRedefine/>
    <w:uiPriority w:val="39"/>
    <w:unhideWhenUsed/>
    <w:rsid w:val="009557D7"/>
    <w:pPr>
      <w:spacing w:before="120"/>
    </w:pPr>
    <w:rPr>
      <w:rFonts w:asciiTheme="minorHAnsi" w:hAnsiTheme="minorHAnsi" w:cs="Calibri"/>
      <w:b/>
      <w:bCs/>
      <w:i/>
      <w:iCs/>
    </w:rPr>
  </w:style>
  <w:style w:type="paragraph" w:customStyle="1" w:styleId="TOC21">
    <w:name w:val="TOC 21"/>
    <w:basedOn w:val="Normal"/>
    <w:next w:val="Normal"/>
    <w:autoRedefine/>
    <w:uiPriority w:val="39"/>
    <w:unhideWhenUsed/>
    <w:rsid w:val="009557D7"/>
    <w:pPr>
      <w:spacing w:before="120"/>
      <w:ind w:left="240"/>
    </w:pPr>
    <w:rPr>
      <w:rFonts w:asciiTheme="minorHAnsi" w:hAnsiTheme="minorHAnsi" w:cs="Calibri"/>
      <w:b/>
      <w:bCs/>
      <w:sz w:val="22"/>
      <w:szCs w:val="22"/>
    </w:rPr>
  </w:style>
  <w:style w:type="paragraph" w:customStyle="1" w:styleId="TOC31">
    <w:name w:val="TOC 31"/>
    <w:basedOn w:val="Normal"/>
    <w:next w:val="Normal"/>
    <w:autoRedefine/>
    <w:uiPriority w:val="39"/>
    <w:semiHidden/>
    <w:unhideWhenUsed/>
    <w:rsid w:val="009557D7"/>
    <w:pPr>
      <w:ind w:left="480"/>
    </w:pPr>
    <w:rPr>
      <w:rFonts w:asciiTheme="minorHAnsi" w:hAnsiTheme="minorHAnsi" w:cs="Calibri"/>
      <w:sz w:val="20"/>
      <w:szCs w:val="20"/>
    </w:rPr>
  </w:style>
  <w:style w:type="paragraph" w:customStyle="1" w:styleId="TOC41">
    <w:name w:val="TOC 41"/>
    <w:basedOn w:val="Normal"/>
    <w:next w:val="Normal"/>
    <w:autoRedefine/>
    <w:uiPriority w:val="39"/>
    <w:semiHidden/>
    <w:unhideWhenUsed/>
    <w:rsid w:val="009557D7"/>
    <w:pPr>
      <w:ind w:left="720"/>
    </w:pPr>
    <w:rPr>
      <w:rFonts w:asciiTheme="minorHAnsi" w:hAnsiTheme="minorHAnsi" w:cs="Calibri"/>
      <w:sz w:val="20"/>
      <w:szCs w:val="20"/>
    </w:rPr>
  </w:style>
  <w:style w:type="paragraph" w:customStyle="1" w:styleId="TOC51">
    <w:name w:val="TOC 51"/>
    <w:basedOn w:val="Normal"/>
    <w:next w:val="Normal"/>
    <w:autoRedefine/>
    <w:uiPriority w:val="39"/>
    <w:semiHidden/>
    <w:unhideWhenUsed/>
    <w:rsid w:val="009557D7"/>
    <w:pPr>
      <w:ind w:left="960"/>
    </w:pPr>
    <w:rPr>
      <w:rFonts w:asciiTheme="minorHAnsi" w:hAnsiTheme="minorHAnsi" w:cs="Calibri"/>
      <w:sz w:val="20"/>
      <w:szCs w:val="20"/>
    </w:rPr>
  </w:style>
  <w:style w:type="paragraph" w:customStyle="1" w:styleId="TOC61">
    <w:name w:val="TOC 61"/>
    <w:basedOn w:val="Normal"/>
    <w:next w:val="Normal"/>
    <w:autoRedefine/>
    <w:uiPriority w:val="39"/>
    <w:semiHidden/>
    <w:unhideWhenUsed/>
    <w:rsid w:val="009557D7"/>
    <w:pPr>
      <w:ind w:left="1200"/>
    </w:pPr>
    <w:rPr>
      <w:rFonts w:asciiTheme="minorHAnsi" w:hAnsiTheme="minorHAnsi" w:cs="Calibri"/>
      <w:sz w:val="20"/>
      <w:szCs w:val="20"/>
    </w:rPr>
  </w:style>
  <w:style w:type="paragraph" w:customStyle="1" w:styleId="TOC71">
    <w:name w:val="TOC 71"/>
    <w:basedOn w:val="Normal"/>
    <w:next w:val="Normal"/>
    <w:autoRedefine/>
    <w:uiPriority w:val="39"/>
    <w:semiHidden/>
    <w:unhideWhenUsed/>
    <w:rsid w:val="009557D7"/>
    <w:pPr>
      <w:ind w:left="1440"/>
    </w:pPr>
    <w:rPr>
      <w:rFonts w:asciiTheme="minorHAnsi" w:hAnsiTheme="minorHAnsi" w:cs="Calibri"/>
      <w:sz w:val="20"/>
      <w:szCs w:val="20"/>
    </w:rPr>
  </w:style>
  <w:style w:type="paragraph" w:customStyle="1" w:styleId="TOC81">
    <w:name w:val="TOC 81"/>
    <w:basedOn w:val="Normal"/>
    <w:next w:val="Normal"/>
    <w:autoRedefine/>
    <w:uiPriority w:val="39"/>
    <w:semiHidden/>
    <w:unhideWhenUsed/>
    <w:rsid w:val="009557D7"/>
    <w:pPr>
      <w:ind w:left="1680"/>
    </w:pPr>
    <w:rPr>
      <w:rFonts w:asciiTheme="minorHAnsi" w:hAnsiTheme="minorHAnsi" w:cs="Calibri"/>
      <w:sz w:val="20"/>
      <w:szCs w:val="20"/>
    </w:rPr>
  </w:style>
  <w:style w:type="paragraph" w:customStyle="1" w:styleId="TOC91">
    <w:name w:val="TOC 91"/>
    <w:basedOn w:val="Normal"/>
    <w:next w:val="Normal"/>
    <w:autoRedefine/>
    <w:uiPriority w:val="39"/>
    <w:semiHidden/>
    <w:unhideWhenUsed/>
    <w:rsid w:val="009557D7"/>
    <w:pPr>
      <w:ind w:left="1920"/>
    </w:pPr>
    <w:rPr>
      <w:rFonts w:asciiTheme="minorHAnsi" w:hAnsiTheme="minorHAnsi" w:cs="Calibri"/>
      <w:sz w:val="20"/>
      <w:szCs w:val="20"/>
    </w:rPr>
  </w:style>
  <w:style w:type="paragraph" w:customStyle="1" w:styleId="Title1">
    <w:name w:val="Title1"/>
    <w:basedOn w:val="Normal"/>
    <w:next w:val="Normal"/>
    <w:uiPriority w:val="10"/>
    <w:qFormat/>
    <w:rsid w:val="009557D7"/>
    <w:pPr>
      <w:pBdr>
        <w:top w:val="single" w:sz="8" w:space="10" w:color="A1B8E1"/>
        <w:bottom w:val="single" w:sz="24" w:space="15" w:color="A5A5A5"/>
      </w:pBdr>
      <w:jc w:val="center"/>
    </w:pPr>
    <w:rPr>
      <w:rFonts w:ascii="Calibri Light" w:hAnsi="Calibri Light"/>
      <w:i/>
      <w:iCs/>
      <w:color w:val="1F3763"/>
      <w:sz w:val="60"/>
      <w:szCs w:val="60"/>
      <w:lang w:eastAsia="en-US"/>
    </w:rPr>
  </w:style>
  <w:style w:type="character" w:customStyle="1" w:styleId="BalloonTextChar1">
    <w:name w:val="Balloon Text Char1"/>
    <w:basedOn w:val="DefaultParagraphFont"/>
    <w:uiPriority w:val="99"/>
    <w:semiHidden/>
    <w:rsid w:val="009557D7"/>
    <w:rPr>
      <w:rFonts w:ascii="Tahoma" w:hAnsi="Tahoma" w:cs="Tahoma"/>
      <w:sz w:val="16"/>
      <w:szCs w:val="16"/>
    </w:rPr>
  </w:style>
  <w:style w:type="character" w:customStyle="1" w:styleId="HeaderChar1">
    <w:name w:val="Header Char1"/>
    <w:basedOn w:val="DefaultParagraphFont"/>
    <w:uiPriority w:val="99"/>
    <w:semiHidden/>
    <w:rsid w:val="009557D7"/>
  </w:style>
  <w:style w:type="character" w:customStyle="1" w:styleId="FooterChar1">
    <w:name w:val="Footer Char1"/>
    <w:basedOn w:val="DefaultParagraphFont"/>
    <w:uiPriority w:val="99"/>
    <w:semiHidden/>
    <w:rsid w:val="009557D7"/>
  </w:style>
  <w:style w:type="character" w:customStyle="1" w:styleId="Heading2Char1">
    <w:name w:val="Heading 2 Char1"/>
    <w:basedOn w:val="DefaultParagraphFont"/>
    <w:uiPriority w:val="9"/>
    <w:semiHidden/>
    <w:rsid w:val="009557D7"/>
    <w:rPr>
      <w:rFonts w:asciiTheme="majorHAnsi" w:eastAsiaTheme="majorEastAsia" w:hAnsiTheme="majorHAnsi" w:cstheme="majorBidi"/>
      <w:b/>
      <w:bCs/>
      <w:color w:val="4472C4" w:themeColor="accent1"/>
      <w:sz w:val="26"/>
      <w:szCs w:val="26"/>
    </w:rPr>
  </w:style>
  <w:style w:type="character" w:customStyle="1" w:styleId="TitleChar1">
    <w:name w:val="Title Char1"/>
    <w:basedOn w:val="DefaultParagraphFont"/>
    <w:uiPriority w:val="10"/>
    <w:rsid w:val="009557D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uiPriority w:val="99"/>
    <w:semiHidden/>
    <w:rsid w:val="009557D7"/>
    <w:rPr>
      <w:kern w:val="0"/>
      <w:sz w:val="22"/>
      <w:szCs w:val="22"/>
      <w:lang w:val="en-GB"/>
      <w14:ligatures w14:val="none"/>
    </w:rPr>
  </w:style>
  <w:style w:type="character" w:styleId="PageNumber">
    <w:name w:val="page number"/>
    <w:basedOn w:val="DefaultParagraphFont"/>
    <w:uiPriority w:val="99"/>
    <w:semiHidden/>
    <w:unhideWhenUsed/>
    <w:qFormat/>
    <w:rsid w:val="005E4EAB"/>
  </w:style>
  <w:style w:type="character" w:customStyle="1" w:styleId="UnresolvedMention1">
    <w:name w:val="Unresolved Mention1"/>
    <w:basedOn w:val="DefaultParagraphFont"/>
    <w:uiPriority w:val="99"/>
    <w:semiHidden/>
    <w:unhideWhenUsed/>
    <w:rsid w:val="003E4CC3"/>
    <w:rPr>
      <w:color w:val="605E5C"/>
      <w:shd w:val="clear" w:color="auto" w:fill="E1DFDD"/>
    </w:rPr>
  </w:style>
  <w:style w:type="character" w:styleId="IntenseReference">
    <w:name w:val="Intense Reference"/>
    <w:basedOn w:val="DefaultParagraphFont"/>
    <w:uiPriority w:val="32"/>
    <w:qFormat/>
    <w:rsid w:val="001C0F6A"/>
    <w:rPr>
      <w:b/>
      <w:bCs/>
      <w:smallCaps/>
      <w:color w:val="2F5496" w:themeColor="accent1" w:themeShade="BF"/>
      <w:spacing w:val="5"/>
    </w:rPr>
  </w:style>
  <w:style w:type="character" w:customStyle="1" w:styleId="Heading3Char">
    <w:name w:val="Heading 3 Char"/>
    <w:basedOn w:val="DefaultParagraphFont"/>
    <w:link w:val="Heading3"/>
    <w:rsid w:val="00EA5BFE"/>
    <w:rPr>
      <w:rFonts w:ascii="Cambria" w:eastAsia="Times New Roman" w:hAnsi="Cambria" w:cs="Times New Roman"/>
      <w:b/>
      <w:bCs/>
      <w:color w:val="4F81BD"/>
      <w:kern w:val="0"/>
      <w14:ligatures w14:val="none"/>
    </w:rPr>
  </w:style>
  <w:style w:type="paragraph" w:customStyle="1" w:styleId="Korisnik">
    <w:name w:val="Korisnik"/>
    <w:basedOn w:val="Normal"/>
    <w:rsid w:val="00EA5BFE"/>
    <w:pPr>
      <w:tabs>
        <w:tab w:val="left" w:pos="2268"/>
      </w:tabs>
      <w:spacing w:before="60" w:after="120"/>
      <w:jc w:val="both"/>
    </w:pPr>
    <w:rPr>
      <w:b/>
      <w:bCs/>
      <w:snapToGrid w:val="0"/>
      <w:szCs w:val="20"/>
      <w:lang w:val="sr-Latn-CS"/>
    </w:rPr>
  </w:style>
  <w:style w:type="paragraph" w:customStyle="1" w:styleId="Uradjenoprema">
    <w:name w:val="Uradjeno prema"/>
    <w:basedOn w:val="Normal"/>
    <w:rsid w:val="00EA5BFE"/>
    <w:pPr>
      <w:tabs>
        <w:tab w:val="left" w:pos="2268"/>
        <w:tab w:val="left" w:pos="4111"/>
      </w:tabs>
      <w:jc w:val="both"/>
    </w:pPr>
    <w:rPr>
      <w:b/>
      <w:bCs/>
      <w:snapToGrid w:val="0"/>
      <w:szCs w:val="20"/>
      <w:lang w:val="sr-Latn-CS"/>
    </w:rPr>
  </w:style>
  <w:style w:type="paragraph" w:customStyle="1" w:styleId="StylenormalBoldBefore114ptAfter0pt3">
    <w:name w:val="Style normal + Bold Before:  114 pt After:  0 pt3"/>
    <w:basedOn w:val="Normal"/>
    <w:rsid w:val="00EA5BFE"/>
    <w:pPr>
      <w:spacing w:before="2160"/>
      <w:jc w:val="both"/>
    </w:pPr>
    <w:rPr>
      <w:b/>
      <w:bCs/>
      <w:szCs w:val="20"/>
    </w:rPr>
  </w:style>
  <w:style w:type="paragraph" w:customStyle="1" w:styleId="16Point">
    <w:name w:val="16 Point"/>
    <w:aliases w:val="Superscript 6 Point,Odwołanie przypisu,Ref,de nota al pie,footnote ref,2001+ Fußnotenzeichen,BVI fnr Знак Знак,BVI fnr Car Car Знак Знак,BVI fnr Car Знак Знак,R"/>
    <w:basedOn w:val="Normal"/>
    <w:uiPriority w:val="99"/>
    <w:rsid w:val="000B21E8"/>
    <w:pPr>
      <w:spacing w:before="120" w:after="160" w:line="240" w:lineRule="exact"/>
    </w:pPr>
    <w:rPr>
      <w:rFonts w:asciiTheme="minorHAnsi" w:eastAsiaTheme="minorHAnsi" w:hAnsiTheme="minorHAnsi" w:cstheme="minorBidi"/>
      <w:kern w:val="2"/>
      <w:sz w:val="22"/>
      <w:szCs w:val="22"/>
      <w:vertAlign w:val="superscript"/>
      <w:lang w:eastAsia="en-US"/>
      <w14:ligatures w14:val="standardContextual"/>
    </w:rPr>
  </w:style>
  <w:style w:type="character" w:styleId="IntenseEmphasis">
    <w:name w:val="Intense Emphasis"/>
    <w:basedOn w:val="DefaultParagraphFont"/>
    <w:uiPriority w:val="21"/>
    <w:qFormat/>
    <w:rsid w:val="00275A5A"/>
    <w:rPr>
      <w:i/>
      <w:iCs/>
      <w:color w:val="4472C4" w:themeColor="accent1"/>
    </w:rPr>
  </w:style>
  <w:style w:type="table" w:customStyle="1" w:styleId="TableGrid2">
    <w:name w:val="Table Grid2"/>
    <w:basedOn w:val="TableNormal"/>
    <w:next w:val="TableGrid"/>
    <w:uiPriority w:val="39"/>
    <w:rsid w:val="00940675"/>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2">
    <w:name w:val="Current List2"/>
    <w:uiPriority w:val="99"/>
    <w:rsid w:val="00D857C2"/>
    <w:pPr>
      <w:numPr>
        <w:numId w:val="26"/>
      </w:numPr>
    </w:pPr>
  </w:style>
  <w:style w:type="character" w:customStyle="1" w:styleId="normaltextrun">
    <w:name w:val="normaltextrun"/>
    <w:basedOn w:val="DefaultParagraphFont"/>
    <w:rsid w:val="00613D07"/>
  </w:style>
  <w:style w:type="character" w:customStyle="1" w:styleId="eop">
    <w:name w:val="eop"/>
    <w:basedOn w:val="DefaultParagraphFont"/>
    <w:rsid w:val="00613D07"/>
  </w:style>
  <w:style w:type="paragraph" w:customStyle="1" w:styleId="paragraph">
    <w:name w:val="paragraph"/>
    <w:basedOn w:val="Normal"/>
    <w:qFormat/>
    <w:rsid w:val="00613D07"/>
    <w:pPr>
      <w:spacing w:before="100" w:beforeAutospacing="1" w:after="100" w:afterAutospacing="1"/>
    </w:pPr>
    <w:rPr>
      <w:lang w:val="sr-Latn-RS" w:eastAsia="sr-Latn-RS"/>
    </w:rPr>
  </w:style>
  <w:style w:type="paragraph" w:customStyle="1" w:styleId="Standard">
    <w:name w:val="Standard"/>
    <w:rsid w:val="00753762"/>
    <w:pPr>
      <w:suppressAutoHyphens/>
      <w:autoSpaceDN w:val="0"/>
      <w:textAlignment w:val="baseline"/>
    </w:pPr>
    <w:rPr>
      <w:rFonts w:ascii="Times New Roman" w:eastAsia="Times New Roman" w:hAnsi="Times New Roman" w:cs="Times New Roman"/>
      <w:kern w:val="3"/>
      <w:lang w:eastAsia="en-GB"/>
      <w14:ligatures w14:val="none"/>
    </w:rPr>
  </w:style>
  <w:style w:type="paragraph" w:customStyle="1" w:styleId="P68B1DB1-ListParagraph17">
    <w:name w:val="P68B1DB1-ListParagraph17"/>
    <w:basedOn w:val="ListParagraph"/>
    <w:qFormat/>
    <w:rsid w:val="00810595"/>
    <w:pPr>
      <w:spacing w:after="160" w:line="259" w:lineRule="auto"/>
    </w:pPr>
    <w:rPr>
      <w:noProof w:val="0"/>
      <w:szCs w:val="20"/>
      <w:lang w:val="sr-Latn-RS"/>
    </w:rPr>
  </w:style>
  <w:style w:type="table" w:styleId="TableGridLight">
    <w:name w:val="Grid Table Light"/>
    <w:basedOn w:val="TableNormal"/>
    <w:uiPriority w:val="40"/>
    <w:rsid w:val="00703AD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703AD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2">
    <w:name w:val="Unresolved Mention2"/>
    <w:basedOn w:val="DefaultParagraphFont"/>
    <w:uiPriority w:val="99"/>
    <w:semiHidden/>
    <w:unhideWhenUsed/>
    <w:rsid w:val="00703ADD"/>
    <w:rPr>
      <w:color w:val="605E5C"/>
      <w:shd w:val="clear" w:color="auto" w:fill="E1DFDD"/>
    </w:rPr>
  </w:style>
  <w:style w:type="paragraph" w:customStyle="1" w:styleId="TOCHeading1">
    <w:name w:val="TOC Heading1"/>
    <w:basedOn w:val="Heading1"/>
    <w:next w:val="Normal"/>
    <w:uiPriority w:val="39"/>
    <w:unhideWhenUsed/>
    <w:qFormat/>
    <w:rsid w:val="00703ADD"/>
    <w:pPr>
      <w:spacing w:before="480" w:line="276" w:lineRule="auto"/>
      <w:outlineLvl w:val="9"/>
    </w:pPr>
    <w:rPr>
      <w:b/>
      <w:bCs/>
      <w:sz w:val="28"/>
      <w:szCs w:val="28"/>
      <w:lang w:eastAsia="en-US"/>
    </w:rPr>
  </w:style>
  <w:style w:type="paragraph" w:customStyle="1" w:styleId="Revision1">
    <w:name w:val="Revision1"/>
    <w:hidden/>
    <w:uiPriority w:val="99"/>
    <w:semiHidden/>
    <w:rsid w:val="00703ADD"/>
    <w:rPr>
      <w:kern w:val="0"/>
      <w:sz w:val="22"/>
      <w:szCs w:val="22"/>
      <w:lang w:val="en-GB"/>
      <w14:ligatures w14:val="none"/>
    </w:rPr>
  </w:style>
  <w:style w:type="character" w:customStyle="1" w:styleId="IntenseReference1">
    <w:name w:val="Intense Reference1"/>
    <w:basedOn w:val="DefaultParagraphFont"/>
    <w:uiPriority w:val="32"/>
    <w:qFormat/>
    <w:rsid w:val="00703ADD"/>
    <w:rPr>
      <w:b/>
      <w:bCs/>
      <w:smallCaps/>
      <w:color w:val="2F5496" w:themeColor="accent1" w:themeShade="BF"/>
      <w:spacing w:val="5"/>
    </w:rPr>
  </w:style>
  <w:style w:type="character" w:customStyle="1" w:styleId="IntenseEmphasis1">
    <w:name w:val="Intense Emphasis1"/>
    <w:basedOn w:val="DefaultParagraphFont"/>
    <w:uiPriority w:val="21"/>
    <w:qFormat/>
    <w:rsid w:val="00703ADD"/>
    <w:rPr>
      <w:i/>
      <w:iCs/>
      <w:color w:val="4472C4" w:themeColor="accent1"/>
    </w:rPr>
  </w:style>
  <w:style w:type="paragraph" w:customStyle="1" w:styleId="msonormal0">
    <w:name w:val="msonormal"/>
    <w:basedOn w:val="Normal"/>
    <w:uiPriority w:val="99"/>
    <w:rsid w:val="00703ADD"/>
    <w:pPr>
      <w:spacing w:before="100" w:beforeAutospacing="1" w:after="100" w:afterAutospacing="1"/>
    </w:pPr>
  </w:style>
  <w:style w:type="character" w:customStyle="1" w:styleId="FootnoteTextChar2">
    <w:name w:val="Footnote Text Char2"/>
    <w:aliases w:val="Footnote Char1,Footnote Text Char Char1 Char1,Footnote Text Char Char Char Char Char1 Char1,Footnote Text Char Char Char Char Char Char Char Char Char Char1 Char1,Footnote Text Char Char Char Char1 Char Char Char1 Char1,ADB Char1"/>
    <w:basedOn w:val="DefaultParagraphFont"/>
    <w:uiPriority w:val="99"/>
    <w:semiHidden/>
    <w:rsid w:val="00703ADD"/>
    <w:rPr>
      <w:rFonts w:ascii="Times New Roman" w:eastAsia="Times New Roman" w:hAnsi="Times New Roman" w:cs="Times New Roman"/>
      <w:lang w:eastAsia="en-GB"/>
    </w:rPr>
  </w:style>
  <w:style w:type="character" w:customStyle="1" w:styleId="hwtze">
    <w:name w:val="hwtze"/>
    <w:basedOn w:val="DefaultParagraphFont"/>
    <w:rsid w:val="00E253AD"/>
  </w:style>
  <w:style w:type="character" w:customStyle="1" w:styleId="rynqvb">
    <w:name w:val="rynqvb"/>
    <w:basedOn w:val="DefaultParagraphFont"/>
    <w:rsid w:val="00E253AD"/>
  </w:style>
  <w:style w:type="character" w:styleId="Emphasis">
    <w:name w:val="Emphasis"/>
    <w:basedOn w:val="DefaultParagraphFont"/>
    <w:uiPriority w:val="20"/>
    <w:qFormat/>
    <w:rsid w:val="00393348"/>
    <w:rPr>
      <w:i/>
      <w:iCs/>
    </w:rPr>
  </w:style>
  <w:style w:type="character" w:styleId="Strong">
    <w:name w:val="Strong"/>
    <w:basedOn w:val="DefaultParagraphFont"/>
    <w:uiPriority w:val="22"/>
    <w:qFormat/>
    <w:rsid w:val="003D23F0"/>
    <w:rPr>
      <w:b/>
      <w:bCs/>
    </w:rPr>
  </w:style>
  <w:style w:type="table" w:customStyle="1" w:styleId="TableGridLight11">
    <w:name w:val="Table Grid Light11"/>
    <w:basedOn w:val="TableNormal"/>
    <w:uiPriority w:val="40"/>
    <w:rsid w:val="0094644B"/>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qFormat/>
    <w:rsid w:val="0094644B"/>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UnresolvedMention">
    <w:name w:val="Unresolved Mention"/>
    <w:basedOn w:val="DefaultParagraphFont"/>
    <w:uiPriority w:val="99"/>
    <w:semiHidden/>
    <w:unhideWhenUsed/>
    <w:rsid w:val="0094644B"/>
    <w:rPr>
      <w:color w:val="605E5C"/>
      <w:shd w:val="clear" w:color="auto" w:fill="E1DFDD"/>
    </w:rPr>
  </w:style>
  <w:style w:type="paragraph" w:styleId="NoSpacing">
    <w:name w:val="No Spacing"/>
    <w:uiPriority w:val="1"/>
    <w:qFormat/>
    <w:rsid w:val="0094644B"/>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4867">
      <w:bodyDiv w:val="1"/>
      <w:marLeft w:val="0"/>
      <w:marRight w:val="0"/>
      <w:marTop w:val="0"/>
      <w:marBottom w:val="0"/>
      <w:divBdr>
        <w:top w:val="none" w:sz="0" w:space="0" w:color="auto"/>
        <w:left w:val="none" w:sz="0" w:space="0" w:color="auto"/>
        <w:bottom w:val="none" w:sz="0" w:space="0" w:color="auto"/>
        <w:right w:val="none" w:sz="0" w:space="0" w:color="auto"/>
      </w:divBdr>
    </w:div>
    <w:div w:id="61947829">
      <w:bodyDiv w:val="1"/>
      <w:marLeft w:val="0"/>
      <w:marRight w:val="0"/>
      <w:marTop w:val="0"/>
      <w:marBottom w:val="0"/>
      <w:divBdr>
        <w:top w:val="none" w:sz="0" w:space="0" w:color="auto"/>
        <w:left w:val="none" w:sz="0" w:space="0" w:color="auto"/>
        <w:bottom w:val="none" w:sz="0" w:space="0" w:color="auto"/>
        <w:right w:val="none" w:sz="0" w:space="0" w:color="auto"/>
      </w:divBdr>
    </w:div>
    <w:div w:id="152452266">
      <w:bodyDiv w:val="1"/>
      <w:marLeft w:val="0"/>
      <w:marRight w:val="0"/>
      <w:marTop w:val="0"/>
      <w:marBottom w:val="0"/>
      <w:divBdr>
        <w:top w:val="none" w:sz="0" w:space="0" w:color="auto"/>
        <w:left w:val="none" w:sz="0" w:space="0" w:color="auto"/>
        <w:bottom w:val="none" w:sz="0" w:space="0" w:color="auto"/>
        <w:right w:val="none" w:sz="0" w:space="0" w:color="auto"/>
      </w:divBdr>
    </w:div>
    <w:div w:id="156196775">
      <w:bodyDiv w:val="1"/>
      <w:marLeft w:val="0"/>
      <w:marRight w:val="0"/>
      <w:marTop w:val="0"/>
      <w:marBottom w:val="0"/>
      <w:divBdr>
        <w:top w:val="none" w:sz="0" w:space="0" w:color="auto"/>
        <w:left w:val="none" w:sz="0" w:space="0" w:color="auto"/>
        <w:bottom w:val="none" w:sz="0" w:space="0" w:color="auto"/>
        <w:right w:val="none" w:sz="0" w:space="0" w:color="auto"/>
      </w:divBdr>
    </w:div>
    <w:div w:id="171385209">
      <w:bodyDiv w:val="1"/>
      <w:marLeft w:val="0"/>
      <w:marRight w:val="0"/>
      <w:marTop w:val="0"/>
      <w:marBottom w:val="0"/>
      <w:divBdr>
        <w:top w:val="none" w:sz="0" w:space="0" w:color="auto"/>
        <w:left w:val="none" w:sz="0" w:space="0" w:color="auto"/>
        <w:bottom w:val="none" w:sz="0" w:space="0" w:color="auto"/>
        <w:right w:val="none" w:sz="0" w:space="0" w:color="auto"/>
      </w:divBdr>
    </w:div>
    <w:div w:id="181940295">
      <w:bodyDiv w:val="1"/>
      <w:marLeft w:val="0"/>
      <w:marRight w:val="0"/>
      <w:marTop w:val="0"/>
      <w:marBottom w:val="0"/>
      <w:divBdr>
        <w:top w:val="none" w:sz="0" w:space="0" w:color="auto"/>
        <w:left w:val="none" w:sz="0" w:space="0" w:color="auto"/>
        <w:bottom w:val="none" w:sz="0" w:space="0" w:color="auto"/>
        <w:right w:val="none" w:sz="0" w:space="0" w:color="auto"/>
      </w:divBdr>
    </w:div>
    <w:div w:id="183328146">
      <w:bodyDiv w:val="1"/>
      <w:marLeft w:val="0"/>
      <w:marRight w:val="0"/>
      <w:marTop w:val="0"/>
      <w:marBottom w:val="0"/>
      <w:divBdr>
        <w:top w:val="none" w:sz="0" w:space="0" w:color="auto"/>
        <w:left w:val="none" w:sz="0" w:space="0" w:color="auto"/>
        <w:bottom w:val="none" w:sz="0" w:space="0" w:color="auto"/>
        <w:right w:val="none" w:sz="0" w:space="0" w:color="auto"/>
      </w:divBdr>
    </w:div>
    <w:div w:id="243494168">
      <w:bodyDiv w:val="1"/>
      <w:marLeft w:val="0"/>
      <w:marRight w:val="0"/>
      <w:marTop w:val="0"/>
      <w:marBottom w:val="0"/>
      <w:divBdr>
        <w:top w:val="none" w:sz="0" w:space="0" w:color="auto"/>
        <w:left w:val="none" w:sz="0" w:space="0" w:color="auto"/>
        <w:bottom w:val="none" w:sz="0" w:space="0" w:color="auto"/>
        <w:right w:val="none" w:sz="0" w:space="0" w:color="auto"/>
      </w:divBdr>
    </w:div>
    <w:div w:id="357390778">
      <w:bodyDiv w:val="1"/>
      <w:marLeft w:val="0"/>
      <w:marRight w:val="0"/>
      <w:marTop w:val="0"/>
      <w:marBottom w:val="0"/>
      <w:divBdr>
        <w:top w:val="none" w:sz="0" w:space="0" w:color="auto"/>
        <w:left w:val="none" w:sz="0" w:space="0" w:color="auto"/>
        <w:bottom w:val="none" w:sz="0" w:space="0" w:color="auto"/>
        <w:right w:val="none" w:sz="0" w:space="0" w:color="auto"/>
      </w:divBdr>
    </w:div>
    <w:div w:id="409469596">
      <w:bodyDiv w:val="1"/>
      <w:marLeft w:val="0"/>
      <w:marRight w:val="0"/>
      <w:marTop w:val="0"/>
      <w:marBottom w:val="0"/>
      <w:divBdr>
        <w:top w:val="none" w:sz="0" w:space="0" w:color="auto"/>
        <w:left w:val="none" w:sz="0" w:space="0" w:color="auto"/>
        <w:bottom w:val="none" w:sz="0" w:space="0" w:color="auto"/>
        <w:right w:val="none" w:sz="0" w:space="0" w:color="auto"/>
      </w:divBdr>
    </w:div>
    <w:div w:id="415516981">
      <w:bodyDiv w:val="1"/>
      <w:marLeft w:val="0"/>
      <w:marRight w:val="0"/>
      <w:marTop w:val="0"/>
      <w:marBottom w:val="0"/>
      <w:divBdr>
        <w:top w:val="none" w:sz="0" w:space="0" w:color="auto"/>
        <w:left w:val="none" w:sz="0" w:space="0" w:color="auto"/>
        <w:bottom w:val="none" w:sz="0" w:space="0" w:color="auto"/>
        <w:right w:val="none" w:sz="0" w:space="0" w:color="auto"/>
      </w:divBdr>
    </w:div>
    <w:div w:id="419180896">
      <w:bodyDiv w:val="1"/>
      <w:marLeft w:val="0"/>
      <w:marRight w:val="0"/>
      <w:marTop w:val="0"/>
      <w:marBottom w:val="0"/>
      <w:divBdr>
        <w:top w:val="none" w:sz="0" w:space="0" w:color="auto"/>
        <w:left w:val="none" w:sz="0" w:space="0" w:color="auto"/>
        <w:bottom w:val="none" w:sz="0" w:space="0" w:color="auto"/>
        <w:right w:val="none" w:sz="0" w:space="0" w:color="auto"/>
      </w:divBdr>
    </w:div>
    <w:div w:id="426578990">
      <w:bodyDiv w:val="1"/>
      <w:marLeft w:val="0"/>
      <w:marRight w:val="0"/>
      <w:marTop w:val="0"/>
      <w:marBottom w:val="0"/>
      <w:divBdr>
        <w:top w:val="none" w:sz="0" w:space="0" w:color="auto"/>
        <w:left w:val="none" w:sz="0" w:space="0" w:color="auto"/>
        <w:bottom w:val="none" w:sz="0" w:space="0" w:color="auto"/>
        <w:right w:val="none" w:sz="0" w:space="0" w:color="auto"/>
      </w:divBdr>
    </w:div>
    <w:div w:id="500049545">
      <w:bodyDiv w:val="1"/>
      <w:marLeft w:val="0"/>
      <w:marRight w:val="0"/>
      <w:marTop w:val="0"/>
      <w:marBottom w:val="0"/>
      <w:divBdr>
        <w:top w:val="none" w:sz="0" w:space="0" w:color="auto"/>
        <w:left w:val="none" w:sz="0" w:space="0" w:color="auto"/>
        <w:bottom w:val="none" w:sz="0" w:space="0" w:color="auto"/>
        <w:right w:val="none" w:sz="0" w:space="0" w:color="auto"/>
      </w:divBdr>
    </w:div>
    <w:div w:id="516113979">
      <w:bodyDiv w:val="1"/>
      <w:marLeft w:val="0"/>
      <w:marRight w:val="0"/>
      <w:marTop w:val="0"/>
      <w:marBottom w:val="0"/>
      <w:divBdr>
        <w:top w:val="none" w:sz="0" w:space="0" w:color="auto"/>
        <w:left w:val="none" w:sz="0" w:space="0" w:color="auto"/>
        <w:bottom w:val="none" w:sz="0" w:space="0" w:color="auto"/>
        <w:right w:val="none" w:sz="0" w:space="0" w:color="auto"/>
      </w:divBdr>
    </w:div>
    <w:div w:id="547451869">
      <w:bodyDiv w:val="1"/>
      <w:marLeft w:val="0"/>
      <w:marRight w:val="0"/>
      <w:marTop w:val="0"/>
      <w:marBottom w:val="0"/>
      <w:divBdr>
        <w:top w:val="none" w:sz="0" w:space="0" w:color="auto"/>
        <w:left w:val="none" w:sz="0" w:space="0" w:color="auto"/>
        <w:bottom w:val="none" w:sz="0" w:space="0" w:color="auto"/>
        <w:right w:val="none" w:sz="0" w:space="0" w:color="auto"/>
      </w:divBdr>
    </w:div>
    <w:div w:id="770514598">
      <w:bodyDiv w:val="1"/>
      <w:marLeft w:val="0"/>
      <w:marRight w:val="0"/>
      <w:marTop w:val="0"/>
      <w:marBottom w:val="0"/>
      <w:divBdr>
        <w:top w:val="none" w:sz="0" w:space="0" w:color="auto"/>
        <w:left w:val="none" w:sz="0" w:space="0" w:color="auto"/>
        <w:bottom w:val="none" w:sz="0" w:space="0" w:color="auto"/>
        <w:right w:val="none" w:sz="0" w:space="0" w:color="auto"/>
      </w:divBdr>
    </w:div>
    <w:div w:id="771978245">
      <w:bodyDiv w:val="1"/>
      <w:marLeft w:val="0"/>
      <w:marRight w:val="0"/>
      <w:marTop w:val="0"/>
      <w:marBottom w:val="0"/>
      <w:divBdr>
        <w:top w:val="none" w:sz="0" w:space="0" w:color="auto"/>
        <w:left w:val="none" w:sz="0" w:space="0" w:color="auto"/>
        <w:bottom w:val="none" w:sz="0" w:space="0" w:color="auto"/>
        <w:right w:val="none" w:sz="0" w:space="0" w:color="auto"/>
      </w:divBdr>
    </w:div>
    <w:div w:id="825821484">
      <w:bodyDiv w:val="1"/>
      <w:marLeft w:val="0"/>
      <w:marRight w:val="0"/>
      <w:marTop w:val="0"/>
      <w:marBottom w:val="0"/>
      <w:divBdr>
        <w:top w:val="none" w:sz="0" w:space="0" w:color="auto"/>
        <w:left w:val="none" w:sz="0" w:space="0" w:color="auto"/>
        <w:bottom w:val="none" w:sz="0" w:space="0" w:color="auto"/>
        <w:right w:val="none" w:sz="0" w:space="0" w:color="auto"/>
      </w:divBdr>
    </w:div>
    <w:div w:id="889808131">
      <w:bodyDiv w:val="1"/>
      <w:marLeft w:val="0"/>
      <w:marRight w:val="0"/>
      <w:marTop w:val="0"/>
      <w:marBottom w:val="0"/>
      <w:divBdr>
        <w:top w:val="none" w:sz="0" w:space="0" w:color="auto"/>
        <w:left w:val="none" w:sz="0" w:space="0" w:color="auto"/>
        <w:bottom w:val="none" w:sz="0" w:space="0" w:color="auto"/>
        <w:right w:val="none" w:sz="0" w:space="0" w:color="auto"/>
      </w:divBdr>
    </w:div>
    <w:div w:id="955910638">
      <w:bodyDiv w:val="1"/>
      <w:marLeft w:val="0"/>
      <w:marRight w:val="0"/>
      <w:marTop w:val="0"/>
      <w:marBottom w:val="0"/>
      <w:divBdr>
        <w:top w:val="none" w:sz="0" w:space="0" w:color="auto"/>
        <w:left w:val="none" w:sz="0" w:space="0" w:color="auto"/>
        <w:bottom w:val="none" w:sz="0" w:space="0" w:color="auto"/>
        <w:right w:val="none" w:sz="0" w:space="0" w:color="auto"/>
      </w:divBdr>
    </w:div>
    <w:div w:id="990183685">
      <w:bodyDiv w:val="1"/>
      <w:marLeft w:val="0"/>
      <w:marRight w:val="0"/>
      <w:marTop w:val="0"/>
      <w:marBottom w:val="0"/>
      <w:divBdr>
        <w:top w:val="none" w:sz="0" w:space="0" w:color="auto"/>
        <w:left w:val="none" w:sz="0" w:space="0" w:color="auto"/>
        <w:bottom w:val="none" w:sz="0" w:space="0" w:color="auto"/>
        <w:right w:val="none" w:sz="0" w:space="0" w:color="auto"/>
      </w:divBdr>
    </w:div>
    <w:div w:id="1059402097">
      <w:bodyDiv w:val="1"/>
      <w:marLeft w:val="0"/>
      <w:marRight w:val="0"/>
      <w:marTop w:val="0"/>
      <w:marBottom w:val="0"/>
      <w:divBdr>
        <w:top w:val="none" w:sz="0" w:space="0" w:color="auto"/>
        <w:left w:val="none" w:sz="0" w:space="0" w:color="auto"/>
        <w:bottom w:val="none" w:sz="0" w:space="0" w:color="auto"/>
        <w:right w:val="none" w:sz="0" w:space="0" w:color="auto"/>
      </w:divBdr>
    </w:div>
    <w:div w:id="1120488659">
      <w:bodyDiv w:val="1"/>
      <w:marLeft w:val="0"/>
      <w:marRight w:val="0"/>
      <w:marTop w:val="0"/>
      <w:marBottom w:val="0"/>
      <w:divBdr>
        <w:top w:val="none" w:sz="0" w:space="0" w:color="auto"/>
        <w:left w:val="none" w:sz="0" w:space="0" w:color="auto"/>
        <w:bottom w:val="none" w:sz="0" w:space="0" w:color="auto"/>
        <w:right w:val="none" w:sz="0" w:space="0" w:color="auto"/>
      </w:divBdr>
    </w:div>
    <w:div w:id="1128667143">
      <w:bodyDiv w:val="1"/>
      <w:marLeft w:val="0"/>
      <w:marRight w:val="0"/>
      <w:marTop w:val="0"/>
      <w:marBottom w:val="0"/>
      <w:divBdr>
        <w:top w:val="none" w:sz="0" w:space="0" w:color="auto"/>
        <w:left w:val="none" w:sz="0" w:space="0" w:color="auto"/>
        <w:bottom w:val="none" w:sz="0" w:space="0" w:color="auto"/>
        <w:right w:val="none" w:sz="0" w:space="0" w:color="auto"/>
      </w:divBdr>
    </w:div>
    <w:div w:id="1155997450">
      <w:bodyDiv w:val="1"/>
      <w:marLeft w:val="0"/>
      <w:marRight w:val="0"/>
      <w:marTop w:val="0"/>
      <w:marBottom w:val="0"/>
      <w:divBdr>
        <w:top w:val="none" w:sz="0" w:space="0" w:color="auto"/>
        <w:left w:val="none" w:sz="0" w:space="0" w:color="auto"/>
        <w:bottom w:val="none" w:sz="0" w:space="0" w:color="auto"/>
        <w:right w:val="none" w:sz="0" w:space="0" w:color="auto"/>
      </w:divBdr>
    </w:div>
    <w:div w:id="1213689488">
      <w:bodyDiv w:val="1"/>
      <w:marLeft w:val="0"/>
      <w:marRight w:val="0"/>
      <w:marTop w:val="0"/>
      <w:marBottom w:val="0"/>
      <w:divBdr>
        <w:top w:val="none" w:sz="0" w:space="0" w:color="auto"/>
        <w:left w:val="none" w:sz="0" w:space="0" w:color="auto"/>
        <w:bottom w:val="none" w:sz="0" w:space="0" w:color="auto"/>
        <w:right w:val="none" w:sz="0" w:space="0" w:color="auto"/>
      </w:divBdr>
    </w:div>
    <w:div w:id="1374844048">
      <w:bodyDiv w:val="1"/>
      <w:marLeft w:val="0"/>
      <w:marRight w:val="0"/>
      <w:marTop w:val="0"/>
      <w:marBottom w:val="0"/>
      <w:divBdr>
        <w:top w:val="none" w:sz="0" w:space="0" w:color="auto"/>
        <w:left w:val="none" w:sz="0" w:space="0" w:color="auto"/>
        <w:bottom w:val="none" w:sz="0" w:space="0" w:color="auto"/>
        <w:right w:val="none" w:sz="0" w:space="0" w:color="auto"/>
      </w:divBdr>
    </w:div>
    <w:div w:id="1406104993">
      <w:bodyDiv w:val="1"/>
      <w:marLeft w:val="0"/>
      <w:marRight w:val="0"/>
      <w:marTop w:val="0"/>
      <w:marBottom w:val="0"/>
      <w:divBdr>
        <w:top w:val="none" w:sz="0" w:space="0" w:color="auto"/>
        <w:left w:val="none" w:sz="0" w:space="0" w:color="auto"/>
        <w:bottom w:val="none" w:sz="0" w:space="0" w:color="auto"/>
        <w:right w:val="none" w:sz="0" w:space="0" w:color="auto"/>
      </w:divBdr>
    </w:div>
    <w:div w:id="1406685848">
      <w:bodyDiv w:val="1"/>
      <w:marLeft w:val="0"/>
      <w:marRight w:val="0"/>
      <w:marTop w:val="0"/>
      <w:marBottom w:val="0"/>
      <w:divBdr>
        <w:top w:val="none" w:sz="0" w:space="0" w:color="auto"/>
        <w:left w:val="none" w:sz="0" w:space="0" w:color="auto"/>
        <w:bottom w:val="none" w:sz="0" w:space="0" w:color="auto"/>
        <w:right w:val="none" w:sz="0" w:space="0" w:color="auto"/>
      </w:divBdr>
    </w:div>
    <w:div w:id="1429698553">
      <w:bodyDiv w:val="1"/>
      <w:marLeft w:val="0"/>
      <w:marRight w:val="0"/>
      <w:marTop w:val="0"/>
      <w:marBottom w:val="0"/>
      <w:divBdr>
        <w:top w:val="none" w:sz="0" w:space="0" w:color="auto"/>
        <w:left w:val="none" w:sz="0" w:space="0" w:color="auto"/>
        <w:bottom w:val="none" w:sz="0" w:space="0" w:color="auto"/>
        <w:right w:val="none" w:sz="0" w:space="0" w:color="auto"/>
      </w:divBdr>
    </w:div>
    <w:div w:id="1514489577">
      <w:bodyDiv w:val="1"/>
      <w:marLeft w:val="0"/>
      <w:marRight w:val="0"/>
      <w:marTop w:val="0"/>
      <w:marBottom w:val="0"/>
      <w:divBdr>
        <w:top w:val="none" w:sz="0" w:space="0" w:color="auto"/>
        <w:left w:val="none" w:sz="0" w:space="0" w:color="auto"/>
        <w:bottom w:val="none" w:sz="0" w:space="0" w:color="auto"/>
        <w:right w:val="none" w:sz="0" w:space="0" w:color="auto"/>
      </w:divBdr>
    </w:div>
    <w:div w:id="1556353200">
      <w:bodyDiv w:val="1"/>
      <w:marLeft w:val="0"/>
      <w:marRight w:val="0"/>
      <w:marTop w:val="0"/>
      <w:marBottom w:val="0"/>
      <w:divBdr>
        <w:top w:val="none" w:sz="0" w:space="0" w:color="auto"/>
        <w:left w:val="none" w:sz="0" w:space="0" w:color="auto"/>
        <w:bottom w:val="none" w:sz="0" w:space="0" w:color="auto"/>
        <w:right w:val="none" w:sz="0" w:space="0" w:color="auto"/>
      </w:divBdr>
    </w:div>
    <w:div w:id="1609652999">
      <w:bodyDiv w:val="1"/>
      <w:marLeft w:val="0"/>
      <w:marRight w:val="0"/>
      <w:marTop w:val="0"/>
      <w:marBottom w:val="0"/>
      <w:divBdr>
        <w:top w:val="none" w:sz="0" w:space="0" w:color="auto"/>
        <w:left w:val="none" w:sz="0" w:space="0" w:color="auto"/>
        <w:bottom w:val="none" w:sz="0" w:space="0" w:color="auto"/>
        <w:right w:val="none" w:sz="0" w:space="0" w:color="auto"/>
      </w:divBdr>
    </w:div>
    <w:div w:id="1684748134">
      <w:bodyDiv w:val="1"/>
      <w:marLeft w:val="0"/>
      <w:marRight w:val="0"/>
      <w:marTop w:val="0"/>
      <w:marBottom w:val="0"/>
      <w:divBdr>
        <w:top w:val="none" w:sz="0" w:space="0" w:color="auto"/>
        <w:left w:val="none" w:sz="0" w:space="0" w:color="auto"/>
        <w:bottom w:val="none" w:sz="0" w:space="0" w:color="auto"/>
        <w:right w:val="none" w:sz="0" w:space="0" w:color="auto"/>
      </w:divBdr>
    </w:div>
    <w:div w:id="1694961506">
      <w:bodyDiv w:val="1"/>
      <w:marLeft w:val="0"/>
      <w:marRight w:val="0"/>
      <w:marTop w:val="0"/>
      <w:marBottom w:val="0"/>
      <w:divBdr>
        <w:top w:val="none" w:sz="0" w:space="0" w:color="auto"/>
        <w:left w:val="none" w:sz="0" w:space="0" w:color="auto"/>
        <w:bottom w:val="none" w:sz="0" w:space="0" w:color="auto"/>
        <w:right w:val="none" w:sz="0" w:space="0" w:color="auto"/>
      </w:divBdr>
    </w:div>
    <w:div w:id="1706175675">
      <w:bodyDiv w:val="1"/>
      <w:marLeft w:val="0"/>
      <w:marRight w:val="0"/>
      <w:marTop w:val="0"/>
      <w:marBottom w:val="0"/>
      <w:divBdr>
        <w:top w:val="none" w:sz="0" w:space="0" w:color="auto"/>
        <w:left w:val="none" w:sz="0" w:space="0" w:color="auto"/>
        <w:bottom w:val="none" w:sz="0" w:space="0" w:color="auto"/>
        <w:right w:val="none" w:sz="0" w:space="0" w:color="auto"/>
      </w:divBdr>
    </w:div>
    <w:div w:id="1709991755">
      <w:bodyDiv w:val="1"/>
      <w:marLeft w:val="0"/>
      <w:marRight w:val="0"/>
      <w:marTop w:val="0"/>
      <w:marBottom w:val="0"/>
      <w:divBdr>
        <w:top w:val="none" w:sz="0" w:space="0" w:color="auto"/>
        <w:left w:val="none" w:sz="0" w:space="0" w:color="auto"/>
        <w:bottom w:val="none" w:sz="0" w:space="0" w:color="auto"/>
        <w:right w:val="none" w:sz="0" w:space="0" w:color="auto"/>
      </w:divBdr>
    </w:div>
    <w:div w:id="1754543908">
      <w:bodyDiv w:val="1"/>
      <w:marLeft w:val="0"/>
      <w:marRight w:val="0"/>
      <w:marTop w:val="0"/>
      <w:marBottom w:val="0"/>
      <w:divBdr>
        <w:top w:val="none" w:sz="0" w:space="0" w:color="auto"/>
        <w:left w:val="none" w:sz="0" w:space="0" w:color="auto"/>
        <w:bottom w:val="none" w:sz="0" w:space="0" w:color="auto"/>
        <w:right w:val="none" w:sz="0" w:space="0" w:color="auto"/>
      </w:divBdr>
    </w:div>
    <w:div w:id="1791851021">
      <w:bodyDiv w:val="1"/>
      <w:marLeft w:val="0"/>
      <w:marRight w:val="0"/>
      <w:marTop w:val="0"/>
      <w:marBottom w:val="0"/>
      <w:divBdr>
        <w:top w:val="none" w:sz="0" w:space="0" w:color="auto"/>
        <w:left w:val="none" w:sz="0" w:space="0" w:color="auto"/>
        <w:bottom w:val="none" w:sz="0" w:space="0" w:color="auto"/>
        <w:right w:val="none" w:sz="0" w:space="0" w:color="auto"/>
      </w:divBdr>
    </w:div>
    <w:div w:id="1858500571">
      <w:bodyDiv w:val="1"/>
      <w:marLeft w:val="0"/>
      <w:marRight w:val="0"/>
      <w:marTop w:val="0"/>
      <w:marBottom w:val="0"/>
      <w:divBdr>
        <w:top w:val="none" w:sz="0" w:space="0" w:color="auto"/>
        <w:left w:val="none" w:sz="0" w:space="0" w:color="auto"/>
        <w:bottom w:val="none" w:sz="0" w:space="0" w:color="auto"/>
        <w:right w:val="none" w:sz="0" w:space="0" w:color="auto"/>
      </w:divBdr>
    </w:div>
    <w:div w:id="1940328207">
      <w:bodyDiv w:val="1"/>
      <w:marLeft w:val="0"/>
      <w:marRight w:val="0"/>
      <w:marTop w:val="0"/>
      <w:marBottom w:val="0"/>
      <w:divBdr>
        <w:top w:val="none" w:sz="0" w:space="0" w:color="auto"/>
        <w:left w:val="none" w:sz="0" w:space="0" w:color="auto"/>
        <w:bottom w:val="none" w:sz="0" w:space="0" w:color="auto"/>
        <w:right w:val="none" w:sz="0" w:space="0" w:color="auto"/>
      </w:divBdr>
    </w:div>
    <w:div w:id="1972862293">
      <w:bodyDiv w:val="1"/>
      <w:marLeft w:val="0"/>
      <w:marRight w:val="0"/>
      <w:marTop w:val="0"/>
      <w:marBottom w:val="0"/>
      <w:divBdr>
        <w:top w:val="none" w:sz="0" w:space="0" w:color="auto"/>
        <w:left w:val="none" w:sz="0" w:space="0" w:color="auto"/>
        <w:bottom w:val="none" w:sz="0" w:space="0" w:color="auto"/>
        <w:right w:val="none" w:sz="0" w:space="0" w:color="auto"/>
      </w:divBdr>
    </w:div>
    <w:div w:id="2027780392">
      <w:bodyDiv w:val="1"/>
      <w:marLeft w:val="0"/>
      <w:marRight w:val="0"/>
      <w:marTop w:val="0"/>
      <w:marBottom w:val="0"/>
      <w:divBdr>
        <w:top w:val="none" w:sz="0" w:space="0" w:color="auto"/>
        <w:left w:val="none" w:sz="0" w:space="0" w:color="auto"/>
        <w:bottom w:val="none" w:sz="0" w:space="0" w:color="auto"/>
        <w:right w:val="none" w:sz="0" w:space="0" w:color="auto"/>
      </w:divBdr>
    </w:div>
    <w:div w:id="2077437466">
      <w:bodyDiv w:val="1"/>
      <w:marLeft w:val="0"/>
      <w:marRight w:val="0"/>
      <w:marTop w:val="0"/>
      <w:marBottom w:val="0"/>
      <w:divBdr>
        <w:top w:val="none" w:sz="0" w:space="0" w:color="auto"/>
        <w:left w:val="none" w:sz="0" w:space="0" w:color="auto"/>
        <w:bottom w:val="none" w:sz="0" w:space="0" w:color="auto"/>
        <w:right w:val="none" w:sz="0" w:space="0" w:color="auto"/>
      </w:divBdr>
    </w:div>
    <w:div w:id="2146241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pravno-informacioni-sistem.rs/eli/rep/sgrs/ministarstva/pravilnik/2019/26/2/reg" TargetMode="Externa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s>
</file>

<file path=word/_rels/footnotes.xml.rels><?xml version="1.0" encoding="UTF-8" standalone="yes"?>
<Relationships xmlns="http://schemas.openxmlformats.org/package/2006/relationships"><Relationship Id="rId2" Type="http://schemas.openxmlformats.org/officeDocument/2006/relationships/hyperlink" Target="https://www.ipcc-nggip.iges.or.jp/public/gp/bgp/2_6_Fugitive_Emissions_from_Oil_and_Natural_Gas.pdf" TargetMode="External"/><Relationship Id="rId1" Type="http://schemas.openxmlformats.org/officeDocument/2006/relationships/hyperlink" Target="https://www.ipcc-nggip.iges.or.jp/public/gp/bgp/2_6_Fugitive_Emissions_from_Oil_and_Natural_Ga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4635EF54367543808F1C9FB27C4E1B" ma:contentTypeVersion="11" ma:contentTypeDescription="Create a new document." ma:contentTypeScope="" ma:versionID="cd855c631d7f331f6933cafd5949c911">
  <xsd:schema xmlns:xsd="http://www.w3.org/2001/XMLSchema" xmlns:xs="http://www.w3.org/2001/XMLSchema" xmlns:p="http://schemas.microsoft.com/office/2006/metadata/properties" xmlns:ns3="1ad4a811-d00f-4a71-9dab-99c5dadd78b9" targetNamespace="http://schemas.microsoft.com/office/2006/metadata/properties" ma:root="true" ma:fieldsID="43ccee7d4f5601a23b0540f5c568945c" ns3:_="">
    <xsd:import namespace="1ad4a811-d00f-4a71-9dab-99c5dadd78b9"/>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_activity" minOccurs="0"/>
                <xsd:element ref="ns3:MediaServiceSystem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d4a811-d00f-4a71-9dab-99c5dadd78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1ad4a811-d00f-4a71-9dab-99c5dadd78b9" xsi:nil="true"/>
  </documentManagement>
</p:properties>
</file>

<file path=customXml/itemProps1.xml><?xml version="1.0" encoding="utf-8"?>
<ds:datastoreItem xmlns:ds="http://schemas.openxmlformats.org/officeDocument/2006/customXml" ds:itemID="{6FE14332-D4F2-4E3F-B449-8678709FD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d4a811-d00f-4a71-9dab-99c5dadd78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4F3CA2-12BB-4E4F-91BD-B07AFA36A93C}">
  <ds:schemaRefs>
    <ds:schemaRef ds:uri="http://schemas.openxmlformats.org/officeDocument/2006/bibliography"/>
  </ds:schemaRefs>
</ds:datastoreItem>
</file>

<file path=customXml/itemProps3.xml><?xml version="1.0" encoding="utf-8"?>
<ds:datastoreItem xmlns:ds="http://schemas.openxmlformats.org/officeDocument/2006/customXml" ds:itemID="{3B29F26A-F022-40F3-B846-C8D127188F0F}">
  <ds:schemaRefs>
    <ds:schemaRef ds:uri="http://schemas.microsoft.com/sharepoint/v3/contenttype/forms"/>
  </ds:schemaRefs>
</ds:datastoreItem>
</file>

<file path=customXml/itemProps4.xml><?xml version="1.0" encoding="utf-8"?>
<ds:datastoreItem xmlns:ds="http://schemas.openxmlformats.org/officeDocument/2006/customXml" ds:itemID="{A4B4E734-0B54-42D9-88BB-AC51022ABD0E}">
  <ds:schemaRefs>
    <ds:schemaRef ds:uri="http://schemas.microsoft.com/office/2006/metadata/properties"/>
    <ds:schemaRef ds:uri="http://schemas.microsoft.com/office/infopath/2007/PartnerControls"/>
    <ds:schemaRef ds:uri="1ad4a811-d00f-4a71-9dab-99c5dadd78b9"/>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159</Pages>
  <Words>66102</Words>
  <Characters>378766</Characters>
  <Application>Microsoft Office Word</Application>
  <DocSecurity>0</DocSecurity>
  <Lines>13060</Lines>
  <Paragraphs>8393</Paragraphs>
  <ScaleCrop>false</ScaleCrop>
  <HeadingPairs>
    <vt:vector size="2" baseType="variant">
      <vt:variant>
        <vt:lpstr>Title</vt:lpstr>
      </vt:variant>
      <vt:variant>
        <vt:i4>1</vt:i4>
      </vt:variant>
    </vt:vector>
  </HeadingPairs>
  <TitlesOfParts>
    <vt:vector size="1" baseType="lpstr">
      <vt:lpstr>Program ostvarivanja Strategije</vt:lpstr>
    </vt:vector>
  </TitlesOfParts>
  <Company/>
  <LinksUpToDate>false</LinksUpToDate>
  <CharactersWithSpaces>436475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ostvarivanja Strategije</dc:title>
  <dc:creator>Dejan Ivezic;Branka Kovacevic</dc:creator>
  <cp:keywords>MRE;POS;Strategija;Program</cp:keywords>
  <cp:lastModifiedBy>Biljana Ramić</cp:lastModifiedBy>
  <cp:revision>6</cp:revision>
  <cp:lastPrinted>2025-11-03T14:13:00Z</cp:lastPrinted>
  <dcterms:created xsi:type="dcterms:W3CDTF">2025-11-02T18:24:00Z</dcterms:created>
  <dcterms:modified xsi:type="dcterms:W3CDTF">2025-11-03T14:26:00Z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0x0101006A4635EF54367543808F1C9FB27C4E1B</vt:lpwstr>
  </property>
</Properties>
</file>