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B126" w14:textId="77777777" w:rsidR="00D81334" w:rsidRPr="00AF7F52" w:rsidRDefault="00D81334" w:rsidP="007F3C18">
      <w:pPr>
        <w:spacing w:before="0" w:after="0"/>
        <w:ind w:left="270"/>
        <w:jc w:val="left"/>
        <w:rPr>
          <w:b/>
          <w:bCs/>
          <w:sz w:val="24"/>
          <w:szCs w:val="24"/>
          <w:lang w:val="en-US"/>
        </w:rPr>
      </w:pPr>
    </w:p>
    <w:p w14:paraId="2AB0177D" w14:textId="0278018D" w:rsidR="00BE1972" w:rsidRPr="00AF7F52" w:rsidRDefault="00BE1972" w:rsidP="007F3C18">
      <w:pPr>
        <w:spacing w:before="0" w:after="0"/>
        <w:ind w:left="270"/>
        <w:jc w:val="left"/>
        <w:rPr>
          <w:b/>
          <w:sz w:val="24"/>
          <w:szCs w:val="24"/>
          <w:lang w:val="en-US"/>
        </w:rPr>
      </w:pPr>
      <w:r w:rsidRPr="00AF7F52">
        <w:rPr>
          <w:b/>
          <w:bCs/>
          <w:sz w:val="24"/>
          <w:szCs w:val="24"/>
          <w:lang w:val="en-US"/>
        </w:rPr>
        <w:t>ROMANIA</w:t>
      </w:r>
    </w:p>
    <w:p w14:paraId="4081F02D" w14:textId="77777777" w:rsidR="00BE1972" w:rsidRPr="00AF7F52" w:rsidRDefault="00BE1972" w:rsidP="007F3C18">
      <w:pPr>
        <w:spacing w:before="0" w:after="0"/>
        <w:ind w:left="270"/>
        <w:jc w:val="left"/>
        <w:rPr>
          <w:b/>
          <w:bCs/>
          <w:sz w:val="24"/>
          <w:szCs w:val="24"/>
          <w:lang w:val="en-US"/>
        </w:rPr>
      </w:pPr>
      <w:r w:rsidRPr="00AF7F52">
        <w:rPr>
          <w:b/>
          <w:bCs/>
          <w:sz w:val="24"/>
          <w:szCs w:val="24"/>
          <w:lang w:val="en-US"/>
        </w:rPr>
        <w:t>MINISTRY OF ENVIRONMENT, WATERS AND FORESTS</w:t>
      </w:r>
    </w:p>
    <w:p w14:paraId="73FCBA5E" w14:textId="2DDE3D4D" w:rsidR="000F1F35" w:rsidRPr="00AF7F52" w:rsidRDefault="00BE1972" w:rsidP="007F3C18">
      <w:pPr>
        <w:spacing w:before="0" w:after="0" w:line="240" w:lineRule="auto"/>
        <w:ind w:left="270"/>
        <w:jc w:val="left"/>
        <w:rPr>
          <w:b/>
          <w:sz w:val="24"/>
          <w:szCs w:val="24"/>
          <w:lang w:val="en-US"/>
        </w:rPr>
      </w:pPr>
      <w:r w:rsidRPr="00AF7F52">
        <w:rPr>
          <w:b/>
          <w:sz w:val="24"/>
          <w:szCs w:val="24"/>
          <w:lang w:val="en-US"/>
        </w:rPr>
        <w:t>PROJECT MANAGEMENT UNIT</w:t>
      </w:r>
      <w:r w:rsidR="007F3C18" w:rsidRPr="00AF7F52">
        <w:rPr>
          <w:b/>
          <w:sz w:val="24"/>
          <w:szCs w:val="24"/>
          <w:lang w:val="en-US"/>
        </w:rPr>
        <w:t xml:space="preserve"> </w:t>
      </w:r>
      <w:proofErr w:type="gramStart"/>
      <w:r w:rsidR="007F3C18" w:rsidRPr="00AF7F52">
        <w:rPr>
          <w:b/>
          <w:sz w:val="24"/>
          <w:szCs w:val="24"/>
          <w:lang w:val="en-US"/>
        </w:rPr>
        <w:t xml:space="preserve">- </w:t>
      </w:r>
      <w:r w:rsidR="000F1F35" w:rsidRPr="00AF7F52">
        <w:rPr>
          <w:b/>
          <w:sz w:val="24"/>
          <w:szCs w:val="24"/>
          <w:lang w:val="en-US"/>
        </w:rPr>
        <w:t>”</w:t>
      </w:r>
      <w:r w:rsidR="00E9499F" w:rsidRPr="00AF7F52">
        <w:rPr>
          <w:b/>
          <w:sz w:val="24"/>
          <w:szCs w:val="24"/>
          <w:lang w:val="en-US"/>
        </w:rPr>
        <w:t>Prevention</w:t>
      </w:r>
      <w:proofErr w:type="gramEnd"/>
      <w:r w:rsidR="00E9499F" w:rsidRPr="00AF7F52">
        <w:rPr>
          <w:b/>
          <w:sz w:val="24"/>
          <w:szCs w:val="24"/>
          <w:lang w:val="en-US"/>
        </w:rPr>
        <w:t xml:space="preserve"> and Reduction of Pollution in Rural Areas in Romania</w:t>
      </w:r>
      <w:r w:rsidR="000F1F35" w:rsidRPr="00AF7F52">
        <w:rPr>
          <w:b/>
          <w:sz w:val="24"/>
          <w:szCs w:val="24"/>
          <w:lang w:val="en-US"/>
        </w:rPr>
        <w:t>”</w:t>
      </w:r>
    </w:p>
    <w:p w14:paraId="1DDC9CA6" w14:textId="033BB588" w:rsidR="00BE1972" w:rsidRPr="00AF7F52" w:rsidRDefault="00BE1972" w:rsidP="007F3C18">
      <w:pPr>
        <w:spacing w:before="0" w:after="0" w:line="340" w:lineRule="exact"/>
        <w:ind w:left="270"/>
        <w:jc w:val="left"/>
        <w:rPr>
          <w:b/>
          <w:sz w:val="24"/>
          <w:szCs w:val="24"/>
          <w:lang w:val="en-US"/>
        </w:rPr>
      </w:pPr>
      <w:r w:rsidRPr="00AF7F52">
        <w:rPr>
          <w:b/>
          <w:sz w:val="24"/>
          <w:szCs w:val="24"/>
          <w:lang w:val="en-US"/>
        </w:rPr>
        <w:t>(IBRD Loan no. 9</w:t>
      </w:r>
      <w:r w:rsidR="00C43411" w:rsidRPr="00AF7F52">
        <w:rPr>
          <w:b/>
          <w:sz w:val="24"/>
          <w:szCs w:val="24"/>
          <w:lang w:val="en-US"/>
        </w:rPr>
        <w:t>505</w:t>
      </w:r>
      <w:r w:rsidRPr="00AF7F52">
        <w:rPr>
          <w:b/>
          <w:sz w:val="24"/>
          <w:szCs w:val="24"/>
          <w:lang w:val="en-US"/>
        </w:rPr>
        <w:t>-RO)</w:t>
      </w:r>
      <w:bookmarkStart w:id="0" w:name="_GoBack"/>
      <w:bookmarkEnd w:id="0"/>
    </w:p>
    <w:p w14:paraId="43DD39D9" w14:textId="77777777" w:rsidR="004B2C9B" w:rsidRDefault="004B2C9B" w:rsidP="00255C44">
      <w:pPr>
        <w:spacing w:before="0" w:line="340" w:lineRule="exact"/>
        <w:ind w:left="270"/>
        <w:jc w:val="left"/>
        <w:rPr>
          <w:b/>
          <w:sz w:val="24"/>
          <w:szCs w:val="24"/>
          <w:lang w:val="en-US"/>
        </w:rPr>
      </w:pPr>
    </w:p>
    <w:p w14:paraId="312DA166" w14:textId="3066D567" w:rsidR="00E118D5" w:rsidRPr="00AF7F52" w:rsidRDefault="00036845" w:rsidP="00286602">
      <w:pPr>
        <w:numPr>
          <w:ilvl w:val="12"/>
          <w:numId w:val="0"/>
        </w:numPr>
        <w:spacing w:before="0" w:after="0"/>
        <w:ind w:left="270" w:right="-360"/>
        <w:jc w:val="center"/>
        <w:rPr>
          <w:b/>
          <w:sz w:val="24"/>
          <w:szCs w:val="24"/>
          <w:lang w:val="en-US"/>
        </w:rPr>
      </w:pPr>
      <w:r w:rsidRPr="00AF7F52">
        <w:rPr>
          <w:b/>
          <w:sz w:val="24"/>
          <w:szCs w:val="24"/>
          <w:lang w:val="en-US"/>
        </w:rPr>
        <w:t xml:space="preserve">ADDENDUM </w:t>
      </w:r>
      <w:r w:rsidR="00E118D5" w:rsidRPr="00AF7F52">
        <w:rPr>
          <w:b/>
          <w:sz w:val="24"/>
          <w:szCs w:val="24"/>
          <w:lang w:val="en-US"/>
        </w:rPr>
        <w:t xml:space="preserve">NO. </w:t>
      </w:r>
      <w:r w:rsidR="0045667B">
        <w:rPr>
          <w:b/>
          <w:sz w:val="24"/>
          <w:szCs w:val="24"/>
          <w:lang w:val="en-US"/>
        </w:rPr>
        <w:t>1</w:t>
      </w:r>
      <w:r w:rsidR="00E118D5" w:rsidRPr="00AF7F52">
        <w:rPr>
          <w:b/>
          <w:sz w:val="24"/>
          <w:szCs w:val="24"/>
          <w:lang w:val="en-US"/>
        </w:rPr>
        <w:t xml:space="preserve"> </w:t>
      </w:r>
      <w:r w:rsidR="002D61E3" w:rsidRPr="00AF7F52">
        <w:rPr>
          <w:b/>
          <w:sz w:val="24"/>
          <w:szCs w:val="24"/>
          <w:lang w:val="en-US"/>
        </w:rPr>
        <w:t xml:space="preserve">of </w:t>
      </w:r>
      <w:r w:rsidR="00100722">
        <w:rPr>
          <w:b/>
          <w:sz w:val="24"/>
          <w:szCs w:val="24"/>
          <w:lang w:val="en-US"/>
        </w:rPr>
        <w:t xml:space="preserve">September </w:t>
      </w:r>
      <w:r w:rsidR="00430406">
        <w:rPr>
          <w:b/>
          <w:sz w:val="24"/>
          <w:szCs w:val="24"/>
          <w:lang w:val="en-US"/>
        </w:rPr>
        <w:t>30</w:t>
      </w:r>
      <w:r w:rsidR="0045667B" w:rsidRPr="0045667B">
        <w:rPr>
          <w:b/>
          <w:sz w:val="24"/>
          <w:szCs w:val="24"/>
          <w:vertAlign w:val="superscript"/>
          <w:lang w:val="en-US"/>
        </w:rPr>
        <w:t>th</w:t>
      </w:r>
      <w:r w:rsidR="002D61E3" w:rsidRPr="00AF7F52">
        <w:rPr>
          <w:b/>
          <w:sz w:val="24"/>
          <w:szCs w:val="24"/>
          <w:lang w:val="en-US"/>
        </w:rPr>
        <w:t>, 2025</w:t>
      </w:r>
    </w:p>
    <w:p w14:paraId="3E95812C" w14:textId="1608D015" w:rsidR="00E118D5" w:rsidRPr="00AF7F52" w:rsidRDefault="00301EE8" w:rsidP="00286602">
      <w:pPr>
        <w:numPr>
          <w:ilvl w:val="12"/>
          <w:numId w:val="0"/>
        </w:numPr>
        <w:spacing w:before="0" w:after="0"/>
        <w:ind w:left="270" w:right="-360"/>
        <w:jc w:val="center"/>
        <w:rPr>
          <w:b/>
          <w:spacing w:val="-2"/>
          <w:sz w:val="24"/>
          <w:szCs w:val="24"/>
          <w:lang w:val="en-US"/>
        </w:rPr>
      </w:pPr>
      <w:r w:rsidRPr="00AF7F52">
        <w:rPr>
          <w:b/>
          <w:sz w:val="24"/>
          <w:szCs w:val="24"/>
          <w:lang w:val="en-US"/>
        </w:rPr>
        <w:t xml:space="preserve">to the </w:t>
      </w:r>
      <w:r w:rsidR="00E118D5" w:rsidRPr="00AF7F52">
        <w:rPr>
          <w:b/>
          <w:sz w:val="24"/>
          <w:szCs w:val="24"/>
          <w:lang w:val="en-US"/>
        </w:rPr>
        <w:t xml:space="preserve">Request for </w:t>
      </w:r>
      <w:r w:rsidR="00B65D45" w:rsidRPr="00AF7F52">
        <w:rPr>
          <w:b/>
          <w:sz w:val="24"/>
          <w:szCs w:val="24"/>
          <w:lang w:val="en-US"/>
        </w:rPr>
        <w:t>B</w:t>
      </w:r>
      <w:r w:rsidR="00E118D5" w:rsidRPr="00AF7F52">
        <w:rPr>
          <w:b/>
          <w:sz w:val="24"/>
          <w:szCs w:val="24"/>
          <w:lang w:val="en-US"/>
        </w:rPr>
        <w:t xml:space="preserve">ids </w:t>
      </w:r>
      <w:r w:rsidRPr="00AF7F52">
        <w:rPr>
          <w:b/>
          <w:sz w:val="24"/>
          <w:szCs w:val="24"/>
          <w:lang w:val="en-US"/>
        </w:rPr>
        <w:t xml:space="preserve">Document </w:t>
      </w:r>
      <w:r w:rsidR="00E118D5" w:rsidRPr="00AF7F52">
        <w:rPr>
          <w:b/>
          <w:sz w:val="24"/>
          <w:szCs w:val="24"/>
          <w:lang w:val="en-US"/>
        </w:rPr>
        <w:t xml:space="preserve">for </w:t>
      </w:r>
      <w:r w:rsidR="00162AE5" w:rsidRPr="00AF7F52">
        <w:rPr>
          <w:b/>
          <w:sz w:val="24"/>
          <w:szCs w:val="24"/>
          <w:lang w:val="en-US"/>
        </w:rPr>
        <w:t xml:space="preserve">the </w:t>
      </w:r>
      <w:r w:rsidR="00E118D5" w:rsidRPr="00AF7F52">
        <w:rPr>
          <w:b/>
          <w:sz w:val="24"/>
          <w:szCs w:val="24"/>
          <w:lang w:val="en-US"/>
        </w:rPr>
        <w:t>“</w:t>
      </w:r>
      <w:r w:rsidR="00100722" w:rsidRPr="00100722">
        <w:rPr>
          <w:b/>
          <w:sz w:val="24"/>
          <w:szCs w:val="24"/>
          <w:lang w:val="en-US"/>
        </w:rPr>
        <w:t>Procurement of mobile inspection centers, utility vehicles for sample collection and transportation and specific equipment for their endowment and testing equipment for the National Phytosanitary Authority</w:t>
      </w:r>
      <w:r w:rsidR="00C01718" w:rsidRPr="00C01718">
        <w:rPr>
          <w:b/>
          <w:sz w:val="24"/>
          <w:szCs w:val="24"/>
          <w:lang w:val="en-US"/>
        </w:rPr>
        <w:t xml:space="preserve"> (5 lots)</w:t>
      </w:r>
      <w:r w:rsidR="00E118D5" w:rsidRPr="00AF7F52">
        <w:rPr>
          <w:b/>
          <w:sz w:val="24"/>
          <w:szCs w:val="24"/>
          <w:lang w:val="en-US"/>
        </w:rPr>
        <w:t>” (</w:t>
      </w:r>
      <w:r w:rsidR="00B65D45" w:rsidRPr="00AF7F52">
        <w:rPr>
          <w:b/>
          <w:spacing w:val="-2"/>
          <w:sz w:val="24"/>
          <w:szCs w:val="24"/>
          <w:lang w:val="en-US"/>
        </w:rPr>
        <w:t>0</w:t>
      </w:r>
      <w:r w:rsidR="00100722">
        <w:rPr>
          <w:b/>
          <w:spacing w:val="-2"/>
          <w:sz w:val="24"/>
          <w:szCs w:val="24"/>
          <w:lang w:val="en-US"/>
        </w:rPr>
        <w:t>9</w:t>
      </w:r>
      <w:r w:rsidR="00B65D45" w:rsidRPr="00AF7F52">
        <w:rPr>
          <w:b/>
          <w:spacing w:val="-2"/>
          <w:sz w:val="24"/>
          <w:szCs w:val="24"/>
          <w:lang w:val="en-US"/>
        </w:rPr>
        <w:t>/RFB/202</w:t>
      </w:r>
      <w:r w:rsidR="00162AE5" w:rsidRPr="00AF7F52">
        <w:rPr>
          <w:b/>
          <w:spacing w:val="-2"/>
          <w:sz w:val="24"/>
          <w:szCs w:val="24"/>
          <w:lang w:val="en-US"/>
        </w:rPr>
        <w:t>5)</w:t>
      </w:r>
    </w:p>
    <w:p w14:paraId="58A0A053" w14:textId="74662CD5" w:rsidR="00301EE8" w:rsidRDefault="00301EE8" w:rsidP="00286602">
      <w:pPr>
        <w:ind w:left="270" w:right="-360"/>
        <w:rPr>
          <w:b/>
          <w:iCs/>
          <w:sz w:val="24"/>
          <w:szCs w:val="24"/>
          <w:lang w:val="en-US"/>
        </w:rPr>
      </w:pPr>
      <w:r w:rsidRPr="00AF7F52">
        <w:rPr>
          <w:b/>
          <w:iCs/>
          <w:sz w:val="24"/>
          <w:szCs w:val="24"/>
          <w:lang w:val="en-US"/>
        </w:rPr>
        <w:t xml:space="preserve">According to the provisions of </w:t>
      </w:r>
      <w:r w:rsidRPr="00AF7F52">
        <w:rPr>
          <w:b/>
          <w:i/>
          <w:iCs/>
          <w:sz w:val="24"/>
          <w:szCs w:val="24"/>
          <w:lang w:val="en-US"/>
        </w:rPr>
        <w:t>ITB 8 – Amendment of Bidding Document</w:t>
      </w:r>
      <w:r w:rsidRPr="00AF7F52">
        <w:rPr>
          <w:b/>
          <w:iCs/>
          <w:sz w:val="24"/>
          <w:szCs w:val="24"/>
          <w:lang w:val="en-US"/>
        </w:rPr>
        <w:t xml:space="preserve">, the Bidding Document is hereby amended as follows: </w:t>
      </w:r>
    </w:p>
    <w:p w14:paraId="771F91F0" w14:textId="12CC7AD1" w:rsidR="0003701F" w:rsidRPr="0008464E" w:rsidRDefault="0003701F" w:rsidP="0003701F">
      <w:pPr>
        <w:numPr>
          <w:ilvl w:val="0"/>
          <w:numId w:val="1"/>
        </w:numPr>
        <w:tabs>
          <w:tab w:val="left" w:pos="0"/>
          <w:tab w:val="left" w:pos="1170"/>
          <w:tab w:val="left" w:pos="1620"/>
        </w:tabs>
        <w:spacing w:after="0"/>
        <w:ind w:left="270" w:firstLine="0"/>
        <w:rPr>
          <w:i/>
          <w:lang w:val="en-US"/>
        </w:rPr>
      </w:pPr>
      <w:r w:rsidRPr="0008464E">
        <w:rPr>
          <w:iCs/>
          <w:lang w:val="en-US"/>
        </w:rPr>
        <w:t xml:space="preserve">Section VII – Schedule of Requirements, 3. Technical specifications, Minimum technical specifications, are hereby </w:t>
      </w:r>
      <w:r w:rsidRPr="0008464E">
        <w:rPr>
          <w:b/>
          <w:bCs/>
          <w:iCs/>
          <w:lang w:val="en-US"/>
        </w:rPr>
        <w:t xml:space="preserve">modified </w:t>
      </w:r>
      <w:r w:rsidRPr="0008464E">
        <w:rPr>
          <w:iCs/>
          <w:lang w:val="en-US"/>
        </w:rPr>
        <w:t xml:space="preserve">and shall be read as in the column “Revised – Addendum no. 1 to the RFB”: </w:t>
      </w:r>
    </w:p>
    <w:tbl>
      <w:tblPr>
        <w:tblStyle w:val="TableGrid"/>
        <w:tblW w:w="13045" w:type="dxa"/>
        <w:tblInd w:w="270" w:type="dxa"/>
        <w:tblLook w:val="04A0" w:firstRow="1" w:lastRow="0" w:firstColumn="1" w:lastColumn="0" w:noHBand="0" w:noVBand="1"/>
      </w:tblPr>
      <w:tblGrid>
        <w:gridCol w:w="955"/>
        <w:gridCol w:w="5610"/>
        <w:gridCol w:w="6480"/>
      </w:tblGrid>
      <w:tr w:rsidR="0003701F" w:rsidRPr="0008464E" w14:paraId="74BFD7C1" w14:textId="77777777" w:rsidTr="00002665">
        <w:trPr>
          <w:tblHeader/>
        </w:trPr>
        <w:tc>
          <w:tcPr>
            <w:tcW w:w="955" w:type="dxa"/>
            <w:vAlign w:val="center"/>
          </w:tcPr>
          <w:p w14:paraId="112E9735" w14:textId="77777777" w:rsidR="0003701F" w:rsidRPr="0008464E" w:rsidRDefault="0003701F"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TS no.</w:t>
            </w:r>
          </w:p>
        </w:tc>
        <w:tc>
          <w:tcPr>
            <w:tcW w:w="5610" w:type="dxa"/>
            <w:vAlign w:val="center"/>
          </w:tcPr>
          <w:p w14:paraId="436B78D6" w14:textId="6C4CB6EA" w:rsidR="0003701F" w:rsidRPr="0008464E" w:rsidRDefault="0003701F"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RFB no. 0</w:t>
            </w:r>
            <w:r w:rsidR="00BA5AAA">
              <w:rPr>
                <w:rFonts w:cs="Times New Roman"/>
                <w:b/>
                <w:bCs/>
                <w:i/>
                <w:sz w:val="22"/>
                <w:szCs w:val="22"/>
                <w:lang w:val="en-US"/>
              </w:rPr>
              <w:t>9</w:t>
            </w:r>
            <w:r w:rsidRPr="0008464E">
              <w:rPr>
                <w:rFonts w:cs="Times New Roman"/>
                <w:b/>
                <w:bCs/>
                <w:i/>
                <w:sz w:val="22"/>
                <w:szCs w:val="22"/>
                <w:lang w:val="en-US"/>
              </w:rPr>
              <w:t>/RFB/2024</w:t>
            </w:r>
          </w:p>
        </w:tc>
        <w:tc>
          <w:tcPr>
            <w:tcW w:w="6480" w:type="dxa"/>
            <w:vAlign w:val="center"/>
          </w:tcPr>
          <w:p w14:paraId="0D078682" w14:textId="77777777" w:rsidR="0003701F" w:rsidRPr="0008464E" w:rsidRDefault="0003701F"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Revised – Addendum no. 1 to the RFB</w:t>
            </w:r>
          </w:p>
        </w:tc>
      </w:tr>
      <w:tr w:rsidR="00124BDC" w:rsidRPr="0008464E" w14:paraId="11C4F833" w14:textId="77777777" w:rsidTr="00F70409">
        <w:tc>
          <w:tcPr>
            <w:tcW w:w="13045" w:type="dxa"/>
            <w:gridSpan w:val="3"/>
            <w:vAlign w:val="center"/>
          </w:tcPr>
          <w:p w14:paraId="245CA8D0" w14:textId="0A35151F" w:rsidR="00124BDC" w:rsidRPr="00124BDC" w:rsidRDefault="00124BDC" w:rsidP="00124BDC">
            <w:pPr>
              <w:tabs>
                <w:tab w:val="left" w:pos="0"/>
                <w:tab w:val="left" w:pos="1170"/>
              </w:tabs>
              <w:spacing w:before="0" w:after="0"/>
              <w:jc w:val="left"/>
              <w:rPr>
                <w:rFonts w:cs="Times New Roman"/>
                <w:b/>
                <w:bCs/>
                <w:iCs/>
                <w:lang w:val="en-US"/>
              </w:rPr>
            </w:pPr>
            <w:r w:rsidRPr="00124BDC">
              <w:rPr>
                <w:rFonts w:cs="Times New Roman"/>
                <w:b/>
                <w:bCs/>
                <w:iCs/>
                <w:color w:val="0070C0"/>
                <w:lang w:val="en-US"/>
              </w:rPr>
              <w:t xml:space="preserve">Lot no. </w:t>
            </w:r>
            <w:r w:rsidR="001C18E8">
              <w:rPr>
                <w:rFonts w:cs="Times New Roman"/>
                <w:b/>
                <w:bCs/>
                <w:iCs/>
                <w:color w:val="0070C0"/>
                <w:lang w:val="en-US"/>
              </w:rPr>
              <w:t>1</w:t>
            </w:r>
          </w:p>
        </w:tc>
      </w:tr>
      <w:tr w:rsidR="0003701F" w:rsidRPr="0008464E" w14:paraId="7F16E2D3" w14:textId="77777777" w:rsidTr="004B7D48">
        <w:tc>
          <w:tcPr>
            <w:tcW w:w="955" w:type="dxa"/>
            <w:vAlign w:val="center"/>
          </w:tcPr>
          <w:p w14:paraId="7EC4FF98" w14:textId="5207E8B2" w:rsidR="0003701F" w:rsidRPr="00D5217C" w:rsidRDefault="003941C2" w:rsidP="00CB4FD0">
            <w:pPr>
              <w:pStyle w:val="Footer1"/>
              <w:jc w:val="center"/>
              <w:rPr>
                <w:rFonts w:cs="Times New Roman"/>
                <w:sz w:val="22"/>
                <w:szCs w:val="22"/>
                <w:lang w:val="en-US"/>
              </w:rPr>
            </w:pPr>
            <w:r>
              <w:rPr>
                <w:rFonts w:cs="Times New Roman"/>
                <w:sz w:val="22"/>
                <w:szCs w:val="22"/>
                <w:lang w:val="en-US"/>
              </w:rPr>
              <w:t>II.</w:t>
            </w:r>
            <w:r w:rsidR="0003701F" w:rsidRPr="00D5217C">
              <w:rPr>
                <w:rFonts w:cs="Times New Roman"/>
                <w:sz w:val="22"/>
                <w:szCs w:val="22"/>
                <w:lang w:val="en-US"/>
              </w:rPr>
              <w:t>1.</w:t>
            </w:r>
            <w:r w:rsidR="00BA5AAA">
              <w:rPr>
                <w:rFonts w:cs="Times New Roman"/>
                <w:sz w:val="22"/>
                <w:szCs w:val="22"/>
                <w:lang w:val="en-US"/>
              </w:rPr>
              <w:t>5</w:t>
            </w:r>
          </w:p>
          <w:p w14:paraId="3DCF432B" w14:textId="209D4B55" w:rsidR="0003701F" w:rsidRPr="0008464E" w:rsidRDefault="0003701F" w:rsidP="00CB4FD0">
            <w:pPr>
              <w:pStyle w:val="Footer1"/>
              <w:jc w:val="center"/>
              <w:rPr>
                <w:rFonts w:cs="Times New Roman"/>
                <w:sz w:val="22"/>
                <w:szCs w:val="22"/>
                <w:highlight w:val="yellow"/>
                <w:lang w:val="en-US"/>
              </w:rPr>
            </w:pPr>
          </w:p>
        </w:tc>
        <w:tc>
          <w:tcPr>
            <w:tcW w:w="5610" w:type="dxa"/>
            <w:vAlign w:val="center"/>
          </w:tcPr>
          <w:p w14:paraId="5350A1B6" w14:textId="21DEBD0C" w:rsidR="0003701F" w:rsidRPr="0008464E" w:rsidRDefault="00DF369E" w:rsidP="00CB4FD0">
            <w:pPr>
              <w:pStyle w:val="Footer1"/>
              <w:rPr>
                <w:rFonts w:cs="Times New Roman"/>
                <w:sz w:val="22"/>
                <w:szCs w:val="22"/>
                <w:highlight w:val="yellow"/>
                <w:lang w:val="en-US"/>
              </w:rPr>
            </w:pPr>
            <w:r w:rsidRPr="00DF369E">
              <w:rPr>
                <w:rFonts w:cs="Times New Roman"/>
                <w:sz w:val="22"/>
                <w:szCs w:val="22"/>
                <w:lang w:val="en-US"/>
              </w:rPr>
              <w:t>Compartment layout</w:t>
            </w:r>
            <w:r>
              <w:rPr>
                <w:rFonts w:cs="Times New Roman"/>
                <w:sz w:val="22"/>
                <w:szCs w:val="22"/>
                <w:lang w:val="en-US"/>
              </w:rPr>
              <w:t xml:space="preserve">: </w:t>
            </w:r>
            <w:r w:rsidR="00BA5AAA" w:rsidRPr="00BA5AAA">
              <w:rPr>
                <w:rFonts w:cs="Times New Roman"/>
                <w:sz w:val="22"/>
                <w:szCs w:val="22"/>
                <w:lang w:val="en-US"/>
              </w:rPr>
              <w:t>Metal wall, rigid plastic wall, or a combination of rigid plastic and metal as a separation between passenger compartment and cargo compartment</w:t>
            </w:r>
          </w:p>
        </w:tc>
        <w:tc>
          <w:tcPr>
            <w:tcW w:w="6480" w:type="dxa"/>
            <w:vAlign w:val="center"/>
          </w:tcPr>
          <w:p w14:paraId="5758A74C" w14:textId="46B3039D" w:rsidR="0003701F" w:rsidRPr="0008464E" w:rsidRDefault="00CE46A1" w:rsidP="00CB4FD0">
            <w:pPr>
              <w:pStyle w:val="Footer1"/>
              <w:rPr>
                <w:rFonts w:cs="Times New Roman"/>
                <w:iCs/>
                <w:sz w:val="22"/>
                <w:szCs w:val="22"/>
                <w:highlight w:val="yellow"/>
                <w:lang w:val="en-US"/>
              </w:rPr>
            </w:pPr>
            <w:r w:rsidRPr="00CE46A1">
              <w:rPr>
                <w:rFonts w:cs="Times New Roman"/>
                <w:sz w:val="22"/>
                <w:szCs w:val="22"/>
                <w:lang w:val="en-US"/>
              </w:rPr>
              <w:t xml:space="preserve">Compartment layout: Metal wall, rigid plastic wall, or a combination of rigid plastic and </w:t>
            </w:r>
            <w:r w:rsidRPr="00CC5EF7">
              <w:rPr>
                <w:rFonts w:cs="Times New Roman"/>
                <w:sz w:val="22"/>
                <w:szCs w:val="22"/>
                <w:lang w:val="en-US"/>
              </w:rPr>
              <w:t xml:space="preserve">metal </w:t>
            </w:r>
            <w:r w:rsidR="00C90154" w:rsidRPr="00CC5EF7">
              <w:rPr>
                <w:rFonts w:cs="Times New Roman"/>
                <w:sz w:val="22"/>
                <w:szCs w:val="22"/>
                <w:lang w:val="en-US"/>
              </w:rPr>
              <w:t xml:space="preserve">or </w:t>
            </w:r>
            <w:r w:rsidR="00061C35" w:rsidRPr="00CC5EF7">
              <w:rPr>
                <w:rFonts w:cs="Times New Roman"/>
                <w:sz w:val="22"/>
                <w:szCs w:val="22"/>
                <w:lang w:val="en-US"/>
              </w:rPr>
              <w:t>a metallic mesh wall,</w:t>
            </w:r>
            <w:r w:rsidR="00061C35" w:rsidRPr="00061C35">
              <w:rPr>
                <w:rFonts w:cs="Times New Roman"/>
                <w:sz w:val="22"/>
                <w:szCs w:val="22"/>
                <w:lang w:val="en-US"/>
              </w:rPr>
              <w:t xml:space="preserve"> </w:t>
            </w:r>
            <w:r w:rsidRPr="00CE46A1">
              <w:rPr>
                <w:rFonts w:cs="Times New Roman"/>
                <w:sz w:val="22"/>
                <w:szCs w:val="22"/>
                <w:lang w:val="en-US"/>
              </w:rPr>
              <w:t>as a separation between passenger compartment and cargo compartment</w:t>
            </w:r>
          </w:p>
        </w:tc>
      </w:tr>
      <w:tr w:rsidR="00DC1D7C" w:rsidRPr="0008464E" w14:paraId="2500BBB7" w14:textId="77777777" w:rsidTr="004B7D48">
        <w:tc>
          <w:tcPr>
            <w:tcW w:w="955" w:type="dxa"/>
            <w:vAlign w:val="center"/>
          </w:tcPr>
          <w:p w14:paraId="306BD6E2" w14:textId="3118335C" w:rsidR="00DC1D7C" w:rsidRDefault="00DC1D7C" w:rsidP="00CB4FD0">
            <w:pPr>
              <w:pStyle w:val="Footer1"/>
              <w:jc w:val="center"/>
              <w:rPr>
                <w:rFonts w:cs="Times New Roman"/>
                <w:sz w:val="22"/>
                <w:szCs w:val="22"/>
                <w:lang w:val="en-US"/>
              </w:rPr>
            </w:pPr>
            <w:r>
              <w:rPr>
                <w:rFonts w:cs="Times New Roman"/>
                <w:sz w:val="22"/>
                <w:szCs w:val="22"/>
                <w:lang w:val="en-US"/>
              </w:rPr>
              <w:t>I.12 and II.12</w:t>
            </w:r>
          </w:p>
        </w:tc>
        <w:tc>
          <w:tcPr>
            <w:tcW w:w="5610" w:type="dxa"/>
            <w:vAlign w:val="center"/>
          </w:tcPr>
          <w:p w14:paraId="341F65C2" w14:textId="6ACFD3D3" w:rsidR="00DC1D7C" w:rsidRPr="00DF369E" w:rsidRDefault="00905B30" w:rsidP="00CB4FD0">
            <w:pPr>
              <w:pStyle w:val="Footer1"/>
              <w:rPr>
                <w:rFonts w:cs="Times New Roman"/>
                <w:sz w:val="22"/>
                <w:szCs w:val="22"/>
                <w:lang w:val="en-US"/>
              </w:rPr>
            </w:pPr>
            <w:r w:rsidRPr="00905B30">
              <w:rPr>
                <w:rFonts w:cs="Times New Roman"/>
                <w:sz w:val="22"/>
                <w:szCs w:val="22"/>
                <w:lang w:val="en-US"/>
              </w:rPr>
              <w:t>During the warranty period, the supplier provides, at no cost to the beneficiary, telephone technical assistance services, repairs and spare parts throughout the warranty period if the terms and conditions that are the subject of the warranty are respected.</w:t>
            </w:r>
          </w:p>
        </w:tc>
        <w:tc>
          <w:tcPr>
            <w:tcW w:w="6480" w:type="dxa"/>
            <w:vAlign w:val="center"/>
          </w:tcPr>
          <w:p w14:paraId="338F8C28" w14:textId="4FD8652D" w:rsidR="00DC1D7C" w:rsidRPr="00CE46A1" w:rsidRDefault="00D96A70" w:rsidP="00CB4FD0">
            <w:pPr>
              <w:pStyle w:val="Footer1"/>
              <w:rPr>
                <w:rFonts w:cs="Times New Roman"/>
                <w:sz w:val="22"/>
                <w:szCs w:val="22"/>
                <w:lang w:val="en-US"/>
              </w:rPr>
            </w:pPr>
            <w:r w:rsidRPr="00D96A70">
              <w:rPr>
                <w:rFonts w:cs="Times New Roman"/>
                <w:sz w:val="22"/>
                <w:szCs w:val="22"/>
                <w:lang w:val="en-US"/>
              </w:rPr>
              <w:t>For defects covered by the warranty, the supplier shall provide free spare parts and labor during the warranty period. For defects not covered by the warranty and for interventions during the post-warranty period, the supplier shall provide parts and labor at cost</w:t>
            </w:r>
          </w:p>
        </w:tc>
      </w:tr>
      <w:tr w:rsidR="00405B37" w:rsidRPr="0008464E" w14:paraId="5F76CA5D" w14:textId="77777777" w:rsidTr="004B7D48">
        <w:tc>
          <w:tcPr>
            <w:tcW w:w="955" w:type="dxa"/>
            <w:vAlign w:val="center"/>
          </w:tcPr>
          <w:p w14:paraId="3B0F11D8" w14:textId="057CAEE7" w:rsidR="00405B37" w:rsidRDefault="00870A4B" w:rsidP="00CB4FD0">
            <w:pPr>
              <w:pStyle w:val="Footer1"/>
              <w:jc w:val="center"/>
              <w:rPr>
                <w:rFonts w:cs="Times New Roman"/>
                <w:sz w:val="22"/>
                <w:szCs w:val="22"/>
                <w:lang w:val="en-US"/>
              </w:rPr>
            </w:pPr>
            <w:r>
              <w:rPr>
                <w:rFonts w:cs="Times New Roman"/>
                <w:sz w:val="22"/>
                <w:szCs w:val="22"/>
                <w:lang w:val="en-US"/>
              </w:rPr>
              <w:t>I.13 and II.13</w:t>
            </w:r>
          </w:p>
        </w:tc>
        <w:tc>
          <w:tcPr>
            <w:tcW w:w="5610" w:type="dxa"/>
            <w:vAlign w:val="center"/>
          </w:tcPr>
          <w:p w14:paraId="4C2C57F8" w14:textId="1004F857" w:rsidR="00405B37" w:rsidRPr="00905B30" w:rsidRDefault="00870A4B" w:rsidP="00CB4FD0">
            <w:pPr>
              <w:pStyle w:val="Footer1"/>
              <w:rPr>
                <w:rFonts w:cs="Times New Roman"/>
                <w:sz w:val="22"/>
                <w:szCs w:val="22"/>
                <w:lang w:val="en-US"/>
              </w:rPr>
            </w:pPr>
            <w:r w:rsidRPr="00870A4B">
              <w:rPr>
                <w:rFonts w:cs="Times New Roman"/>
                <w:sz w:val="22"/>
                <w:szCs w:val="22"/>
                <w:lang w:val="en-US"/>
              </w:rPr>
              <w:t>The warranty is provided, both for the spare parts and for the labor related to their replacement by authorized service centers in Romania, at the expense of the supplier, in accordance with the legislation in force.</w:t>
            </w:r>
          </w:p>
        </w:tc>
        <w:tc>
          <w:tcPr>
            <w:tcW w:w="6480" w:type="dxa"/>
            <w:vAlign w:val="center"/>
          </w:tcPr>
          <w:p w14:paraId="5C37B064" w14:textId="015A3B2E" w:rsidR="00405B37" w:rsidRPr="00D96A70" w:rsidRDefault="00495F09" w:rsidP="00CB4FD0">
            <w:pPr>
              <w:pStyle w:val="Footer1"/>
              <w:rPr>
                <w:rFonts w:cs="Times New Roman"/>
                <w:sz w:val="22"/>
                <w:szCs w:val="22"/>
                <w:lang w:val="en-US"/>
              </w:rPr>
            </w:pPr>
            <w:r w:rsidRPr="00495F09">
              <w:rPr>
                <w:rFonts w:cs="Times New Roman"/>
                <w:sz w:val="22"/>
                <w:szCs w:val="22"/>
                <w:lang w:val="en-US"/>
              </w:rPr>
              <w:t>For defects covered by the warranty, the warranty shall cover both spare parts and the labor required to replace them, performed by service centers authorized by the supplier in Romania, at the supplier’s expense, in accordance with the applicable legislation</w:t>
            </w:r>
          </w:p>
        </w:tc>
      </w:tr>
      <w:tr w:rsidR="00405B37" w:rsidRPr="0008464E" w14:paraId="1B709AB2" w14:textId="77777777" w:rsidTr="004B7D48">
        <w:tc>
          <w:tcPr>
            <w:tcW w:w="955" w:type="dxa"/>
            <w:vAlign w:val="center"/>
          </w:tcPr>
          <w:p w14:paraId="79D72349" w14:textId="701C4B84" w:rsidR="00405B37" w:rsidRDefault="0020119D" w:rsidP="00CB4FD0">
            <w:pPr>
              <w:pStyle w:val="Footer1"/>
              <w:jc w:val="center"/>
              <w:rPr>
                <w:rFonts w:cs="Times New Roman"/>
                <w:sz w:val="22"/>
                <w:szCs w:val="22"/>
                <w:lang w:val="en-US"/>
              </w:rPr>
            </w:pPr>
            <w:r>
              <w:rPr>
                <w:rFonts w:cs="Times New Roman"/>
                <w:sz w:val="22"/>
                <w:szCs w:val="22"/>
                <w:lang w:val="en-US"/>
              </w:rPr>
              <w:lastRenderedPageBreak/>
              <w:t>I.15 and II.15</w:t>
            </w:r>
          </w:p>
        </w:tc>
        <w:tc>
          <w:tcPr>
            <w:tcW w:w="5610" w:type="dxa"/>
            <w:vAlign w:val="center"/>
          </w:tcPr>
          <w:p w14:paraId="4D71B236" w14:textId="60E0AABC" w:rsidR="00405B37" w:rsidRPr="00905B30" w:rsidRDefault="0020119D" w:rsidP="00CB4FD0">
            <w:pPr>
              <w:pStyle w:val="Footer1"/>
              <w:rPr>
                <w:rFonts w:cs="Times New Roman"/>
                <w:sz w:val="22"/>
                <w:szCs w:val="22"/>
                <w:lang w:val="en-US"/>
              </w:rPr>
            </w:pPr>
            <w:r w:rsidRPr="0020119D">
              <w:rPr>
                <w:rFonts w:cs="Times New Roman"/>
                <w:sz w:val="22"/>
                <w:szCs w:val="22"/>
                <w:lang w:val="en-US"/>
              </w:rPr>
              <w:t>In the case of situations in which it is necessary to travel to the site, the intervention can be carried out in a maximum of 48 hours from the moment of notification.</w:t>
            </w:r>
          </w:p>
        </w:tc>
        <w:tc>
          <w:tcPr>
            <w:tcW w:w="6480" w:type="dxa"/>
            <w:vAlign w:val="center"/>
          </w:tcPr>
          <w:p w14:paraId="244C37D1" w14:textId="77777777" w:rsidR="0076547D" w:rsidRDefault="0076547D" w:rsidP="00CB4FD0">
            <w:pPr>
              <w:pStyle w:val="Footer1"/>
              <w:rPr>
                <w:rFonts w:cs="Times New Roman"/>
                <w:sz w:val="22"/>
                <w:szCs w:val="22"/>
                <w:lang w:val="en-US"/>
              </w:rPr>
            </w:pPr>
            <w:r w:rsidRPr="0020119D">
              <w:rPr>
                <w:rFonts w:cs="Times New Roman"/>
                <w:sz w:val="22"/>
                <w:szCs w:val="22"/>
                <w:lang w:val="en-US"/>
              </w:rPr>
              <w:t>In the case of situations in which it is necessary to travel to the site, the intervention can be carried out in a maximum of 48 hours from the moment of notification.</w:t>
            </w:r>
          </w:p>
          <w:p w14:paraId="1DCEA3DA" w14:textId="46F0F0A1" w:rsidR="00405B37" w:rsidRPr="00D96A70" w:rsidRDefault="00B85B96" w:rsidP="00CB4FD0">
            <w:pPr>
              <w:pStyle w:val="Footer1"/>
              <w:rPr>
                <w:rFonts w:cs="Times New Roman"/>
                <w:sz w:val="22"/>
                <w:szCs w:val="22"/>
                <w:lang w:val="en-US"/>
              </w:rPr>
            </w:pPr>
            <w:r w:rsidRPr="00B85B96">
              <w:rPr>
                <w:rFonts w:cs="Times New Roman"/>
                <w:sz w:val="22"/>
                <w:szCs w:val="22"/>
                <w:lang w:val="en-US"/>
              </w:rPr>
              <w:t>All costs related to the remediation of immobilizing defects covered by the warranty (towing or transport on a platform from the place of immobilization to the nearest authorized service unit in the Supplier’s network for repairs during the warranty period, and the actual repair of the vehicle) shall be borne by the supplier. The product is understood to mean the vehicle with all features specified. Troubleshooting or towing shall be carried out, if possible, as soon as possible after the exact location of the immobilized vehicle has been established.</w:t>
            </w:r>
          </w:p>
        </w:tc>
      </w:tr>
      <w:tr w:rsidR="0000492A" w:rsidRPr="0008464E" w14:paraId="4C9314A0" w14:textId="77777777" w:rsidTr="004B7D48">
        <w:tc>
          <w:tcPr>
            <w:tcW w:w="955" w:type="dxa"/>
            <w:vAlign w:val="center"/>
          </w:tcPr>
          <w:p w14:paraId="2AF56B5F" w14:textId="778FF4D0" w:rsidR="0000492A" w:rsidRDefault="0000492A" w:rsidP="00CB4FD0">
            <w:pPr>
              <w:pStyle w:val="Footer1"/>
              <w:jc w:val="center"/>
              <w:rPr>
                <w:rFonts w:cs="Times New Roman"/>
                <w:sz w:val="22"/>
                <w:szCs w:val="22"/>
                <w:lang w:val="en-US"/>
              </w:rPr>
            </w:pPr>
            <w:r>
              <w:rPr>
                <w:rFonts w:cs="Times New Roman"/>
                <w:sz w:val="22"/>
                <w:szCs w:val="22"/>
                <w:lang w:val="en-US"/>
              </w:rPr>
              <w:t>I.17 and II.17</w:t>
            </w:r>
          </w:p>
        </w:tc>
        <w:tc>
          <w:tcPr>
            <w:tcW w:w="5610" w:type="dxa"/>
            <w:vAlign w:val="center"/>
          </w:tcPr>
          <w:p w14:paraId="2424E638" w14:textId="32CB9312" w:rsidR="0000492A" w:rsidRPr="0020119D" w:rsidRDefault="0000492A" w:rsidP="00CB4FD0">
            <w:pPr>
              <w:pStyle w:val="Footer1"/>
              <w:rPr>
                <w:rFonts w:cs="Times New Roman"/>
                <w:sz w:val="22"/>
                <w:szCs w:val="22"/>
                <w:lang w:val="en-US"/>
              </w:rPr>
            </w:pPr>
            <w:r w:rsidRPr="0000492A">
              <w:rPr>
                <w:rFonts w:cs="Times New Roman"/>
                <w:sz w:val="22"/>
                <w:szCs w:val="22"/>
                <w:lang w:val="en-US"/>
              </w:rPr>
              <w:t>The supplier is responsible for any hidden defects proven by the beneficiary, during the warranty period, replacing the respective component / accessory at no cost to the beneficiary</w:t>
            </w:r>
          </w:p>
        </w:tc>
        <w:tc>
          <w:tcPr>
            <w:tcW w:w="6480" w:type="dxa"/>
            <w:vAlign w:val="center"/>
          </w:tcPr>
          <w:p w14:paraId="2F8AECCC" w14:textId="77777777" w:rsidR="0000492A" w:rsidRDefault="00CD19BD" w:rsidP="00CB4FD0">
            <w:pPr>
              <w:pStyle w:val="Footer1"/>
              <w:rPr>
                <w:rFonts w:cs="Times New Roman"/>
                <w:sz w:val="22"/>
                <w:szCs w:val="22"/>
                <w:lang w:val="en-US"/>
              </w:rPr>
            </w:pPr>
            <w:r w:rsidRPr="00CD19BD">
              <w:rPr>
                <w:rFonts w:cs="Times New Roman"/>
                <w:sz w:val="22"/>
                <w:szCs w:val="22"/>
                <w:lang w:val="en-US"/>
              </w:rPr>
              <w:t>The supplier is obliged to repair the products in accordance with the provisions contained in the Maintenance and Warranty Book accompanying the product. In the case of hidden defects, if, during the average service life of the vehicles indicated in the Warranty Book, it is established beyond doubt, by both parties, that the vehicles had a hidden defect attributable to the manufacturer, the parties agree as follows:</w:t>
            </w:r>
          </w:p>
          <w:p w14:paraId="22A45B25" w14:textId="77777777" w:rsidR="00A86917" w:rsidRPr="009B5C72" w:rsidRDefault="00A86917" w:rsidP="00A86917">
            <w:pPr>
              <w:tabs>
                <w:tab w:val="left" w:pos="288"/>
              </w:tabs>
              <w:rPr>
                <w:sz w:val="22"/>
                <w:szCs w:val="22"/>
              </w:rPr>
            </w:pPr>
            <w:r w:rsidRPr="009B5C72">
              <w:rPr>
                <w:sz w:val="22"/>
                <w:szCs w:val="22"/>
              </w:rPr>
              <w:t xml:space="preserve">a. remediation of the hidden defect established beyond doubt will primarily aim at restoring the vehicles to normal operating condition by the least onerous means for the Supplier, maintaining proportionality with the technical damage suffered (a measure is disproportionate if it requires, compared to another measure, additional or greater costs); </w:t>
            </w:r>
          </w:p>
          <w:p w14:paraId="16495676" w14:textId="77777777" w:rsidR="00A86917" w:rsidRPr="009B5C72" w:rsidRDefault="00A86917" w:rsidP="00A86917">
            <w:pPr>
              <w:tabs>
                <w:tab w:val="left" w:pos="288"/>
              </w:tabs>
              <w:rPr>
                <w:sz w:val="22"/>
                <w:szCs w:val="22"/>
              </w:rPr>
            </w:pPr>
            <w:r w:rsidRPr="009B5C72">
              <w:rPr>
                <w:sz w:val="22"/>
                <w:szCs w:val="22"/>
              </w:rPr>
              <w:t xml:space="preserve">b. the Purchaser may request replacement of the vehicle with a proven hidden defect or reimbursement of its value only if there is no solution to repair the vehicle; the method of restoring the vehicle to normal operating condition rests exclusively with the Supplier; </w:t>
            </w:r>
          </w:p>
          <w:p w14:paraId="1686B34D" w14:textId="77777777" w:rsidR="00A86917" w:rsidRPr="009B5C72" w:rsidRDefault="00A86917" w:rsidP="00A86917">
            <w:pPr>
              <w:tabs>
                <w:tab w:val="left" w:pos="288"/>
              </w:tabs>
              <w:rPr>
                <w:sz w:val="22"/>
                <w:szCs w:val="22"/>
              </w:rPr>
            </w:pPr>
            <w:r w:rsidRPr="009B5C72">
              <w:rPr>
                <w:sz w:val="22"/>
                <w:szCs w:val="22"/>
              </w:rPr>
              <w:lastRenderedPageBreak/>
              <w:t xml:space="preserve">c. the Purchaser must report the hidden defect within 2 days of its detection at an authorized service center, according to Art. 1709 para. 2 of the New Civil Code; </w:t>
            </w:r>
          </w:p>
          <w:p w14:paraId="489960EC" w14:textId="77777777" w:rsidR="00A86917" w:rsidRPr="009B5C72" w:rsidRDefault="00A86917" w:rsidP="00A86917">
            <w:pPr>
              <w:tabs>
                <w:tab w:val="left" w:pos="288"/>
              </w:tabs>
              <w:rPr>
                <w:sz w:val="22"/>
                <w:szCs w:val="22"/>
              </w:rPr>
            </w:pPr>
            <w:r w:rsidRPr="009B5C72">
              <w:rPr>
                <w:sz w:val="22"/>
                <w:szCs w:val="22"/>
              </w:rPr>
              <w:t xml:space="preserve">d. the right to action for hidden defects is subject to the statute of limitations under Art. 2531 para.1 lit. a) of the New Civil Code and runs from the date the hidden defect is established under letter c) of this article; </w:t>
            </w:r>
          </w:p>
          <w:p w14:paraId="36A0A97E" w14:textId="3F28104E" w:rsidR="00CD19BD" w:rsidRPr="0020119D" w:rsidRDefault="00A86917" w:rsidP="00A86917">
            <w:pPr>
              <w:pStyle w:val="Footer1"/>
              <w:rPr>
                <w:rFonts w:cs="Times New Roman"/>
                <w:sz w:val="22"/>
                <w:szCs w:val="22"/>
                <w:lang w:val="en-US"/>
              </w:rPr>
            </w:pPr>
            <w:r w:rsidRPr="009B5C72">
              <w:rPr>
                <w:sz w:val="22"/>
                <w:szCs w:val="22"/>
              </w:rPr>
              <w:t>e. if the Purchaser fails to report the hidden defects according to letter d), this shall be deemed acceptance of the defect and waiver of any action against the Supplier regarding the defect.”</w:t>
            </w:r>
          </w:p>
        </w:tc>
      </w:tr>
      <w:tr w:rsidR="007D7197" w:rsidRPr="0008464E" w14:paraId="171F7AB9" w14:textId="77777777" w:rsidTr="00926658">
        <w:tc>
          <w:tcPr>
            <w:tcW w:w="13045" w:type="dxa"/>
            <w:gridSpan w:val="3"/>
            <w:vAlign w:val="center"/>
          </w:tcPr>
          <w:p w14:paraId="56F1D905" w14:textId="279A7031" w:rsidR="007D7197" w:rsidRPr="00CE46A1" w:rsidRDefault="007D7197" w:rsidP="00CB4FD0">
            <w:pPr>
              <w:pStyle w:val="Footer1"/>
              <w:rPr>
                <w:rFonts w:cs="Times New Roman"/>
                <w:sz w:val="22"/>
                <w:szCs w:val="22"/>
                <w:lang w:val="en-US"/>
              </w:rPr>
            </w:pPr>
            <w:r w:rsidRPr="001C18E8">
              <w:rPr>
                <w:rFonts w:cs="Times New Roman"/>
                <w:b/>
                <w:bCs/>
                <w:iCs/>
                <w:color w:val="0070C0"/>
                <w:sz w:val="24"/>
                <w:szCs w:val="24"/>
                <w:lang w:val="en-US"/>
              </w:rPr>
              <w:lastRenderedPageBreak/>
              <w:t xml:space="preserve">Lot no. </w:t>
            </w:r>
            <w:r w:rsidR="001C18E8">
              <w:rPr>
                <w:rFonts w:cs="Times New Roman"/>
                <w:b/>
                <w:bCs/>
                <w:iCs/>
                <w:color w:val="0070C0"/>
                <w:sz w:val="24"/>
                <w:szCs w:val="24"/>
                <w:lang w:val="en-US"/>
              </w:rPr>
              <w:t>2</w:t>
            </w:r>
          </w:p>
        </w:tc>
      </w:tr>
      <w:tr w:rsidR="0003701F" w:rsidRPr="0008464E" w14:paraId="2695AACD" w14:textId="77777777" w:rsidTr="004B7D48">
        <w:tc>
          <w:tcPr>
            <w:tcW w:w="955" w:type="dxa"/>
            <w:vAlign w:val="center"/>
          </w:tcPr>
          <w:p w14:paraId="2C08BF26" w14:textId="0E8930A4" w:rsidR="0003701F" w:rsidRPr="004B7D48" w:rsidRDefault="009741C5" w:rsidP="00CB4FD0">
            <w:pPr>
              <w:pStyle w:val="Footer1"/>
              <w:jc w:val="center"/>
              <w:rPr>
                <w:rFonts w:cs="Times New Roman"/>
                <w:sz w:val="22"/>
                <w:szCs w:val="22"/>
                <w:lang w:val="en-US"/>
              </w:rPr>
            </w:pPr>
            <w:r w:rsidRPr="004B7D48">
              <w:rPr>
                <w:rFonts w:cs="Times New Roman"/>
                <w:sz w:val="22"/>
                <w:szCs w:val="22"/>
                <w:lang w:val="en-US"/>
              </w:rPr>
              <w:t>I.11</w:t>
            </w:r>
          </w:p>
        </w:tc>
        <w:tc>
          <w:tcPr>
            <w:tcW w:w="5610" w:type="dxa"/>
            <w:vAlign w:val="center"/>
          </w:tcPr>
          <w:p w14:paraId="6699F071" w14:textId="06A88112" w:rsidR="0003701F" w:rsidRPr="004B7D48" w:rsidRDefault="00AA30BB" w:rsidP="00CB4FD0">
            <w:pPr>
              <w:pStyle w:val="Footer1"/>
              <w:rPr>
                <w:rFonts w:cs="Times New Roman"/>
                <w:sz w:val="22"/>
                <w:szCs w:val="22"/>
                <w:lang w:val="en-US"/>
              </w:rPr>
            </w:pPr>
            <w:r w:rsidRPr="004B7D48">
              <w:rPr>
                <w:rFonts w:cs="Times New Roman"/>
                <w:sz w:val="22"/>
                <w:szCs w:val="22"/>
                <w:lang w:val="en-US"/>
              </w:rPr>
              <w:t>2006/42/EC directive of the European Parliament and of the Council of 17 May 2006 on technical equipment</w:t>
            </w:r>
          </w:p>
        </w:tc>
        <w:tc>
          <w:tcPr>
            <w:tcW w:w="6480" w:type="dxa"/>
            <w:vAlign w:val="center"/>
          </w:tcPr>
          <w:p w14:paraId="3AA9FE83" w14:textId="4541B731" w:rsidR="0003701F" w:rsidRPr="004B7D48" w:rsidRDefault="004B7D48" w:rsidP="00CB4FD0">
            <w:pPr>
              <w:pStyle w:val="Footer1"/>
              <w:rPr>
                <w:iCs/>
                <w:sz w:val="22"/>
                <w:szCs w:val="22"/>
                <w:lang w:val="en-US"/>
              </w:rPr>
            </w:pPr>
            <w:r w:rsidRPr="004B7D48">
              <w:rPr>
                <w:iCs/>
                <w:sz w:val="22"/>
                <w:szCs w:val="22"/>
                <w:lang w:val="en-US"/>
              </w:rPr>
              <w:t>Compliance with the EU directive or Regulation applicable</w:t>
            </w:r>
          </w:p>
        </w:tc>
      </w:tr>
      <w:tr w:rsidR="00572D74" w:rsidRPr="0008464E" w14:paraId="3CC4E1D5" w14:textId="77777777" w:rsidTr="00002CB2">
        <w:tc>
          <w:tcPr>
            <w:tcW w:w="955" w:type="dxa"/>
            <w:vAlign w:val="center"/>
          </w:tcPr>
          <w:p w14:paraId="3EF933A0" w14:textId="2ECB1188" w:rsidR="00572D74" w:rsidRPr="004B7D48" w:rsidRDefault="00572D74" w:rsidP="00572D74">
            <w:pPr>
              <w:pStyle w:val="Footer1"/>
              <w:jc w:val="center"/>
              <w:rPr>
                <w:rFonts w:cs="Times New Roman"/>
                <w:sz w:val="22"/>
                <w:szCs w:val="22"/>
                <w:lang w:val="en-US"/>
              </w:rPr>
            </w:pPr>
            <w:r w:rsidRPr="004B7D48">
              <w:rPr>
                <w:rFonts w:cs="Times New Roman"/>
                <w:sz w:val="22"/>
                <w:szCs w:val="22"/>
                <w:lang w:val="en-US"/>
              </w:rPr>
              <w:t>I</w:t>
            </w:r>
            <w:r>
              <w:rPr>
                <w:rFonts w:cs="Times New Roman"/>
                <w:sz w:val="22"/>
                <w:szCs w:val="22"/>
                <w:lang w:val="en-US"/>
              </w:rPr>
              <w:t>I</w:t>
            </w:r>
            <w:r w:rsidRPr="004B7D48">
              <w:rPr>
                <w:rFonts w:cs="Times New Roman"/>
                <w:sz w:val="22"/>
                <w:szCs w:val="22"/>
                <w:lang w:val="en-US"/>
              </w:rPr>
              <w:t>.1</w:t>
            </w:r>
            <w:r>
              <w:rPr>
                <w:rFonts w:cs="Times New Roman"/>
                <w:sz w:val="22"/>
                <w:szCs w:val="22"/>
                <w:lang w:val="en-US"/>
              </w:rPr>
              <w:t>2</w:t>
            </w:r>
          </w:p>
        </w:tc>
        <w:tc>
          <w:tcPr>
            <w:tcW w:w="5610" w:type="dxa"/>
            <w:vAlign w:val="center"/>
          </w:tcPr>
          <w:p w14:paraId="793E4921" w14:textId="75F25066" w:rsidR="00572D74" w:rsidRPr="004B7D48" w:rsidRDefault="00572D74" w:rsidP="00572D74">
            <w:pPr>
              <w:pStyle w:val="Footer1"/>
              <w:rPr>
                <w:rFonts w:cs="Times New Roman"/>
                <w:sz w:val="22"/>
                <w:szCs w:val="22"/>
                <w:lang w:val="en-US"/>
              </w:rPr>
            </w:pPr>
            <w:r w:rsidRPr="00FC009C">
              <w:rPr>
                <w:rFonts w:cs="Times New Roman"/>
                <w:sz w:val="22"/>
                <w:szCs w:val="22"/>
                <w:lang w:val="en-US"/>
              </w:rPr>
              <w:t>2006/42/EC directive of the European Parliament and of the Council of 17 May 2006 on technical equipment</w:t>
            </w:r>
          </w:p>
        </w:tc>
        <w:tc>
          <w:tcPr>
            <w:tcW w:w="6480" w:type="dxa"/>
          </w:tcPr>
          <w:p w14:paraId="6588662E" w14:textId="6719FD8A" w:rsidR="00572D74" w:rsidRPr="004B7D48" w:rsidRDefault="00572D74" w:rsidP="00572D74">
            <w:pPr>
              <w:pStyle w:val="Footer1"/>
              <w:rPr>
                <w:iCs/>
                <w:sz w:val="22"/>
                <w:szCs w:val="22"/>
                <w:lang w:val="en-US"/>
              </w:rPr>
            </w:pPr>
            <w:r w:rsidRPr="00D47525">
              <w:rPr>
                <w:iCs/>
                <w:sz w:val="22"/>
                <w:szCs w:val="22"/>
                <w:lang w:val="en-US"/>
              </w:rPr>
              <w:t>Compliance with the EU directive or Regulation applicable</w:t>
            </w:r>
          </w:p>
        </w:tc>
      </w:tr>
      <w:tr w:rsidR="00572D74" w:rsidRPr="0008464E" w14:paraId="16C76900" w14:textId="77777777" w:rsidTr="00002CB2">
        <w:tc>
          <w:tcPr>
            <w:tcW w:w="955" w:type="dxa"/>
            <w:vAlign w:val="center"/>
          </w:tcPr>
          <w:p w14:paraId="2A816A6A" w14:textId="4622B753" w:rsidR="00572D74" w:rsidRPr="004B7D48" w:rsidRDefault="00572D74" w:rsidP="00572D74">
            <w:pPr>
              <w:pStyle w:val="Footer1"/>
              <w:jc w:val="center"/>
              <w:rPr>
                <w:rFonts w:cs="Times New Roman"/>
                <w:sz w:val="22"/>
                <w:szCs w:val="22"/>
                <w:lang w:val="en-US"/>
              </w:rPr>
            </w:pPr>
            <w:r>
              <w:rPr>
                <w:rFonts w:cs="Times New Roman"/>
                <w:sz w:val="22"/>
                <w:szCs w:val="22"/>
                <w:lang w:val="en-US"/>
              </w:rPr>
              <w:t>III.9</w:t>
            </w:r>
          </w:p>
        </w:tc>
        <w:tc>
          <w:tcPr>
            <w:tcW w:w="5610" w:type="dxa"/>
            <w:vAlign w:val="center"/>
          </w:tcPr>
          <w:p w14:paraId="41DC3129" w14:textId="720670B7" w:rsidR="00572D74" w:rsidRPr="004B7D48" w:rsidRDefault="00572D74" w:rsidP="00572D74">
            <w:pPr>
              <w:pStyle w:val="Footer1"/>
              <w:rPr>
                <w:rFonts w:cs="Times New Roman"/>
                <w:sz w:val="22"/>
                <w:szCs w:val="22"/>
                <w:lang w:val="en-US"/>
              </w:rPr>
            </w:pPr>
            <w:r w:rsidRPr="00342BB7">
              <w:rPr>
                <w:rFonts w:cs="Times New Roman"/>
                <w:sz w:val="22"/>
                <w:szCs w:val="22"/>
                <w:lang w:val="en-US"/>
              </w:rPr>
              <w:t>2006/42/EC directive of the European Parliament and of the Council of 17 May 2006 on technical equipment</w:t>
            </w:r>
          </w:p>
        </w:tc>
        <w:tc>
          <w:tcPr>
            <w:tcW w:w="6480" w:type="dxa"/>
          </w:tcPr>
          <w:p w14:paraId="3756C4C4" w14:textId="6B207684" w:rsidR="00572D74" w:rsidRPr="004B7D48" w:rsidRDefault="00572D74" w:rsidP="00572D74">
            <w:pPr>
              <w:pStyle w:val="Footer1"/>
              <w:rPr>
                <w:iCs/>
                <w:sz w:val="22"/>
                <w:szCs w:val="22"/>
                <w:lang w:val="en-US"/>
              </w:rPr>
            </w:pPr>
            <w:r w:rsidRPr="00D47525">
              <w:rPr>
                <w:iCs/>
                <w:sz w:val="22"/>
                <w:szCs w:val="22"/>
                <w:lang w:val="en-US"/>
              </w:rPr>
              <w:t>Compliance with the EU directive or Regulation applicable</w:t>
            </w:r>
          </w:p>
        </w:tc>
      </w:tr>
      <w:tr w:rsidR="00572D74" w:rsidRPr="0008464E" w14:paraId="72D93A67" w14:textId="77777777" w:rsidTr="00441906">
        <w:tc>
          <w:tcPr>
            <w:tcW w:w="955" w:type="dxa"/>
            <w:vAlign w:val="center"/>
          </w:tcPr>
          <w:p w14:paraId="7E30B5B9" w14:textId="1272E377" w:rsidR="00572D74" w:rsidRDefault="00572D74" w:rsidP="00572D74">
            <w:pPr>
              <w:pStyle w:val="Footer1"/>
              <w:jc w:val="center"/>
              <w:rPr>
                <w:rFonts w:cs="Times New Roman"/>
                <w:sz w:val="22"/>
                <w:szCs w:val="22"/>
                <w:lang w:val="en-US"/>
              </w:rPr>
            </w:pPr>
            <w:r w:rsidRPr="004B7D48">
              <w:rPr>
                <w:rFonts w:cs="Times New Roman"/>
                <w:sz w:val="22"/>
                <w:szCs w:val="22"/>
                <w:lang w:val="en-US"/>
              </w:rPr>
              <w:t>I</w:t>
            </w:r>
            <w:r>
              <w:rPr>
                <w:rFonts w:cs="Times New Roman"/>
                <w:sz w:val="22"/>
                <w:szCs w:val="22"/>
                <w:lang w:val="en-US"/>
              </w:rPr>
              <w:t>V</w:t>
            </w:r>
            <w:r w:rsidRPr="004B7D48">
              <w:rPr>
                <w:rFonts w:cs="Times New Roman"/>
                <w:sz w:val="22"/>
                <w:szCs w:val="22"/>
                <w:lang w:val="en-US"/>
              </w:rPr>
              <w:t>.</w:t>
            </w:r>
            <w:r>
              <w:rPr>
                <w:rFonts w:cs="Times New Roman"/>
                <w:sz w:val="22"/>
                <w:szCs w:val="22"/>
                <w:lang w:val="en-US"/>
              </w:rPr>
              <w:t>8</w:t>
            </w:r>
          </w:p>
        </w:tc>
        <w:tc>
          <w:tcPr>
            <w:tcW w:w="5610" w:type="dxa"/>
            <w:vAlign w:val="center"/>
          </w:tcPr>
          <w:p w14:paraId="2DB87A43" w14:textId="63003CB3" w:rsidR="00572D74" w:rsidRPr="00342BB7" w:rsidRDefault="00572D74" w:rsidP="00572D74">
            <w:pPr>
              <w:pStyle w:val="Footer1"/>
              <w:rPr>
                <w:rFonts w:cs="Times New Roman"/>
                <w:sz w:val="22"/>
                <w:szCs w:val="22"/>
                <w:lang w:val="en-US"/>
              </w:rPr>
            </w:pPr>
            <w:r w:rsidRPr="00FC009C">
              <w:rPr>
                <w:rFonts w:cs="Times New Roman"/>
                <w:sz w:val="22"/>
                <w:szCs w:val="22"/>
                <w:lang w:val="en-US"/>
              </w:rPr>
              <w:t>2006/42/EC directive of the European Parliament and of the Council of 17 May 2006 on technical equipment</w:t>
            </w:r>
          </w:p>
        </w:tc>
        <w:tc>
          <w:tcPr>
            <w:tcW w:w="6480" w:type="dxa"/>
          </w:tcPr>
          <w:p w14:paraId="19372027" w14:textId="2B53C4FA" w:rsidR="00572D74" w:rsidRPr="004B7D48" w:rsidRDefault="00572D74" w:rsidP="00572D74">
            <w:pPr>
              <w:pStyle w:val="Footer1"/>
              <w:rPr>
                <w:iCs/>
                <w:sz w:val="22"/>
                <w:szCs w:val="22"/>
                <w:lang w:val="en-US"/>
              </w:rPr>
            </w:pPr>
            <w:r w:rsidRPr="0063256D">
              <w:rPr>
                <w:iCs/>
                <w:sz w:val="22"/>
                <w:szCs w:val="22"/>
                <w:lang w:val="en-US"/>
              </w:rPr>
              <w:t>Compliance with the EU directive or Regulation applicable</w:t>
            </w:r>
          </w:p>
        </w:tc>
      </w:tr>
      <w:tr w:rsidR="00572D74" w:rsidRPr="0008464E" w14:paraId="2C105A76" w14:textId="77777777" w:rsidTr="00441906">
        <w:tc>
          <w:tcPr>
            <w:tcW w:w="955" w:type="dxa"/>
            <w:vAlign w:val="center"/>
          </w:tcPr>
          <w:p w14:paraId="73ED79E9" w14:textId="69DE46CC" w:rsidR="00572D74" w:rsidRDefault="00572D74" w:rsidP="00572D74">
            <w:pPr>
              <w:pStyle w:val="Footer1"/>
              <w:jc w:val="center"/>
              <w:rPr>
                <w:rFonts w:cs="Times New Roman"/>
                <w:sz w:val="22"/>
                <w:szCs w:val="22"/>
                <w:lang w:val="en-US"/>
              </w:rPr>
            </w:pPr>
            <w:r>
              <w:rPr>
                <w:rFonts w:cs="Times New Roman"/>
                <w:sz w:val="22"/>
                <w:szCs w:val="22"/>
                <w:lang w:val="en-US"/>
              </w:rPr>
              <w:t>V</w:t>
            </w:r>
            <w:r w:rsidRPr="004B7D48">
              <w:rPr>
                <w:rFonts w:cs="Times New Roman"/>
                <w:sz w:val="22"/>
                <w:szCs w:val="22"/>
                <w:lang w:val="en-US"/>
              </w:rPr>
              <w:t>.</w:t>
            </w:r>
            <w:r>
              <w:rPr>
                <w:rFonts w:cs="Times New Roman"/>
                <w:sz w:val="22"/>
                <w:szCs w:val="22"/>
                <w:lang w:val="en-US"/>
              </w:rPr>
              <w:t>5</w:t>
            </w:r>
          </w:p>
        </w:tc>
        <w:tc>
          <w:tcPr>
            <w:tcW w:w="5610" w:type="dxa"/>
            <w:vAlign w:val="center"/>
          </w:tcPr>
          <w:p w14:paraId="786AE1DE" w14:textId="4C6F61A2" w:rsidR="00572D74" w:rsidRPr="00342BB7" w:rsidRDefault="00572D74" w:rsidP="00572D74">
            <w:pPr>
              <w:pStyle w:val="Footer1"/>
              <w:rPr>
                <w:rFonts w:cs="Times New Roman"/>
                <w:sz w:val="22"/>
                <w:szCs w:val="22"/>
                <w:lang w:val="en-US"/>
              </w:rPr>
            </w:pPr>
            <w:r w:rsidRPr="00FC009C">
              <w:rPr>
                <w:rFonts w:cs="Times New Roman"/>
                <w:sz w:val="22"/>
                <w:szCs w:val="22"/>
                <w:lang w:val="en-US"/>
              </w:rPr>
              <w:t>2006/42/EC directive of the European Parliament and of the Council of 17 May 2006 on technical equipment</w:t>
            </w:r>
          </w:p>
        </w:tc>
        <w:tc>
          <w:tcPr>
            <w:tcW w:w="6480" w:type="dxa"/>
          </w:tcPr>
          <w:p w14:paraId="3768018D" w14:textId="47B86903" w:rsidR="00572D74" w:rsidRPr="004B7D48" w:rsidRDefault="00572D74" w:rsidP="00572D74">
            <w:pPr>
              <w:pStyle w:val="Footer1"/>
              <w:rPr>
                <w:iCs/>
                <w:sz w:val="22"/>
                <w:szCs w:val="22"/>
                <w:lang w:val="en-US"/>
              </w:rPr>
            </w:pPr>
            <w:r w:rsidRPr="0063256D">
              <w:rPr>
                <w:iCs/>
                <w:sz w:val="22"/>
                <w:szCs w:val="22"/>
                <w:lang w:val="en-US"/>
              </w:rPr>
              <w:t>Compliance with the EU directive or Regulation applicable</w:t>
            </w:r>
          </w:p>
        </w:tc>
      </w:tr>
      <w:tr w:rsidR="005E1EB3" w:rsidRPr="0008464E" w14:paraId="72354D6D" w14:textId="77777777" w:rsidTr="00441906">
        <w:tc>
          <w:tcPr>
            <w:tcW w:w="955" w:type="dxa"/>
            <w:vAlign w:val="center"/>
          </w:tcPr>
          <w:p w14:paraId="34DBC010" w14:textId="2A21D842" w:rsidR="005E1EB3" w:rsidRDefault="005E1EB3" w:rsidP="005E1EB3">
            <w:pPr>
              <w:pStyle w:val="Footer1"/>
              <w:jc w:val="center"/>
              <w:rPr>
                <w:rFonts w:cs="Times New Roman"/>
                <w:sz w:val="22"/>
                <w:szCs w:val="22"/>
                <w:lang w:val="en-US"/>
              </w:rPr>
            </w:pPr>
            <w:r>
              <w:rPr>
                <w:rFonts w:cs="Times New Roman"/>
                <w:sz w:val="22"/>
                <w:szCs w:val="22"/>
                <w:lang w:val="en-US"/>
              </w:rPr>
              <w:t>VI</w:t>
            </w:r>
            <w:r w:rsidRPr="004B7D48">
              <w:rPr>
                <w:rFonts w:cs="Times New Roman"/>
                <w:sz w:val="22"/>
                <w:szCs w:val="22"/>
                <w:lang w:val="en-US"/>
              </w:rPr>
              <w:t>.</w:t>
            </w:r>
            <w:r>
              <w:rPr>
                <w:rFonts w:cs="Times New Roman"/>
                <w:sz w:val="22"/>
                <w:szCs w:val="22"/>
                <w:lang w:val="en-US"/>
              </w:rPr>
              <w:t>4</w:t>
            </w:r>
          </w:p>
        </w:tc>
        <w:tc>
          <w:tcPr>
            <w:tcW w:w="5610" w:type="dxa"/>
            <w:vAlign w:val="center"/>
          </w:tcPr>
          <w:p w14:paraId="6D63FBFA" w14:textId="0A7541A4" w:rsidR="005E1EB3" w:rsidRPr="00FC009C" w:rsidRDefault="00BE7EE5" w:rsidP="005E1EB3">
            <w:pPr>
              <w:pStyle w:val="Footer1"/>
              <w:rPr>
                <w:rFonts w:cs="Times New Roman"/>
                <w:sz w:val="22"/>
                <w:szCs w:val="22"/>
                <w:lang w:val="en-US"/>
              </w:rPr>
            </w:pPr>
            <w:r w:rsidRPr="00BE7EE5">
              <w:rPr>
                <w:rFonts w:cs="Times New Roman"/>
                <w:sz w:val="22"/>
                <w:szCs w:val="22"/>
                <w:lang w:val="en-US"/>
              </w:rPr>
              <w:t>HDD storage 640 GB SATA with SMART technology</w:t>
            </w:r>
          </w:p>
        </w:tc>
        <w:tc>
          <w:tcPr>
            <w:tcW w:w="6480" w:type="dxa"/>
          </w:tcPr>
          <w:p w14:paraId="2FC6A1AE" w14:textId="1A628744" w:rsidR="005E1EB3" w:rsidRPr="0063256D" w:rsidRDefault="00F6013F" w:rsidP="005E1EB3">
            <w:pPr>
              <w:pStyle w:val="Footer1"/>
              <w:rPr>
                <w:iCs/>
                <w:sz w:val="22"/>
                <w:szCs w:val="22"/>
                <w:lang w:val="en-US"/>
              </w:rPr>
            </w:pPr>
            <w:r w:rsidRPr="00F6013F">
              <w:rPr>
                <w:iCs/>
                <w:sz w:val="22"/>
                <w:szCs w:val="22"/>
                <w:lang w:val="en-US"/>
              </w:rPr>
              <w:t>SSD storage with min. 640 GB</w:t>
            </w:r>
          </w:p>
        </w:tc>
      </w:tr>
      <w:tr w:rsidR="006539D5" w:rsidRPr="0008464E" w14:paraId="7194BCE5" w14:textId="77777777" w:rsidTr="00441906">
        <w:tc>
          <w:tcPr>
            <w:tcW w:w="955" w:type="dxa"/>
            <w:vAlign w:val="center"/>
          </w:tcPr>
          <w:p w14:paraId="29616343" w14:textId="36D5F9F1" w:rsidR="006539D5" w:rsidRDefault="006539D5" w:rsidP="005E1EB3">
            <w:pPr>
              <w:pStyle w:val="Footer1"/>
              <w:jc w:val="center"/>
              <w:rPr>
                <w:rFonts w:cs="Times New Roman"/>
                <w:sz w:val="22"/>
                <w:szCs w:val="22"/>
                <w:lang w:val="en-US"/>
              </w:rPr>
            </w:pPr>
            <w:r>
              <w:rPr>
                <w:rFonts w:cs="Times New Roman"/>
                <w:sz w:val="22"/>
                <w:szCs w:val="22"/>
                <w:lang w:val="en-US"/>
              </w:rPr>
              <w:t>VI.5</w:t>
            </w:r>
          </w:p>
        </w:tc>
        <w:tc>
          <w:tcPr>
            <w:tcW w:w="5610" w:type="dxa"/>
            <w:vAlign w:val="center"/>
          </w:tcPr>
          <w:p w14:paraId="1829DBEE" w14:textId="29BB8BCE" w:rsidR="006539D5" w:rsidRPr="00BE7EE5" w:rsidRDefault="006539D5" w:rsidP="005E1EB3">
            <w:pPr>
              <w:pStyle w:val="Footer1"/>
              <w:rPr>
                <w:rFonts w:cs="Times New Roman"/>
                <w:sz w:val="22"/>
                <w:szCs w:val="22"/>
                <w:lang w:val="en-US"/>
              </w:rPr>
            </w:pPr>
            <w:r w:rsidRPr="006539D5">
              <w:rPr>
                <w:rFonts w:cs="Times New Roman"/>
                <w:sz w:val="22"/>
                <w:szCs w:val="22"/>
                <w:lang w:val="en-US"/>
              </w:rPr>
              <w:t>Optical drive without CD-RW</w:t>
            </w:r>
          </w:p>
        </w:tc>
        <w:tc>
          <w:tcPr>
            <w:tcW w:w="6480" w:type="dxa"/>
          </w:tcPr>
          <w:p w14:paraId="18E70418" w14:textId="5D0D79EA" w:rsidR="006539D5" w:rsidRPr="00F6013F" w:rsidRDefault="0096741D" w:rsidP="005E1EB3">
            <w:pPr>
              <w:pStyle w:val="Footer1"/>
              <w:rPr>
                <w:iCs/>
                <w:sz w:val="22"/>
                <w:szCs w:val="22"/>
                <w:lang w:val="en-US"/>
              </w:rPr>
            </w:pPr>
            <w:r w:rsidRPr="0096741D">
              <w:rPr>
                <w:iCs/>
                <w:sz w:val="22"/>
                <w:szCs w:val="22"/>
                <w:lang w:val="en-US"/>
              </w:rPr>
              <w:t>External CD-RW optical drive</w:t>
            </w:r>
          </w:p>
        </w:tc>
      </w:tr>
      <w:tr w:rsidR="009E12C5" w:rsidRPr="0008464E" w14:paraId="037F99C1" w14:textId="77777777" w:rsidTr="00441906">
        <w:tc>
          <w:tcPr>
            <w:tcW w:w="955" w:type="dxa"/>
            <w:vAlign w:val="center"/>
          </w:tcPr>
          <w:p w14:paraId="0DF9F580" w14:textId="296DE2BF" w:rsidR="009E12C5" w:rsidRDefault="009E12C5" w:rsidP="005E1EB3">
            <w:pPr>
              <w:pStyle w:val="Footer1"/>
              <w:jc w:val="center"/>
              <w:rPr>
                <w:rFonts w:cs="Times New Roman"/>
                <w:sz w:val="22"/>
                <w:szCs w:val="22"/>
                <w:lang w:val="en-US"/>
              </w:rPr>
            </w:pPr>
            <w:r>
              <w:rPr>
                <w:rFonts w:cs="Times New Roman"/>
                <w:sz w:val="22"/>
                <w:szCs w:val="22"/>
                <w:lang w:val="en-US"/>
              </w:rPr>
              <w:t>VI.10</w:t>
            </w:r>
          </w:p>
        </w:tc>
        <w:tc>
          <w:tcPr>
            <w:tcW w:w="5610" w:type="dxa"/>
            <w:vAlign w:val="center"/>
          </w:tcPr>
          <w:p w14:paraId="494BF722" w14:textId="60EBACC2" w:rsidR="009E12C5" w:rsidRPr="006539D5" w:rsidRDefault="00576DB0" w:rsidP="005E1EB3">
            <w:pPr>
              <w:pStyle w:val="Footer1"/>
              <w:rPr>
                <w:rFonts w:cs="Times New Roman"/>
                <w:sz w:val="22"/>
                <w:szCs w:val="22"/>
                <w:lang w:val="en-US"/>
              </w:rPr>
            </w:pPr>
            <w:r w:rsidRPr="00576DB0">
              <w:rPr>
                <w:rFonts w:cs="Times New Roman"/>
                <w:sz w:val="22"/>
                <w:szCs w:val="22"/>
                <w:lang w:val="en-US"/>
              </w:rPr>
              <w:t>HDMI; Network; Audio output Multimedia HD resolution web camera; card reader; numeric keypad</w:t>
            </w:r>
          </w:p>
        </w:tc>
        <w:tc>
          <w:tcPr>
            <w:tcW w:w="6480" w:type="dxa"/>
          </w:tcPr>
          <w:p w14:paraId="02549FB5" w14:textId="00E95016" w:rsidR="009E12C5" w:rsidRPr="0096741D" w:rsidRDefault="00341B75" w:rsidP="005E1EB3">
            <w:pPr>
              <w:pStyle w:val="Footer1"/>
              <w:rPr>
                <w:iCs/>
                <w:sz w:val="22"/>
                <w:szCs w:val="22"/>
                <w:lang w:val="en-US"/>
              </w:rPr>
            </w:pPr>
            <w:r w:rsidRPr="00576DB0">
              <w:rPr>
                <w:rFonts w:cs="Times New Roman"/>
                <w:sz w:val="22"/>
                <w:szCs w:val="22"/>
                <w:lang w:val="en-US"/>
              </w:rPr>
              <w:t>HDMI; Network; Audio output Multimedia HD resolution web camera; card reader</w:t>
            </w:r>
            <w:r>
              <w:rPr>
                <w:rFonts w:cs="Times New Roman"/>
                <w:sz w:val="22"/>
                <w:szCs w:val="22"/>
                <w:lang w:val="en-US"/>
              </w:rPr>
              <w:t xml:space="preserve"> (accepted also external)</w:t>
            </w:r>
            <w:r w:rsidRPr="00576DB0">
              <w:rPr>
                <w:rFonts w:cs="Times New Roman"/>
                <w:sz w:val="22"/>
                <w:szCs w:val="22"/>
                <w:lang w:val="en-US"/>
              </w:rPr>
              <w:t>; numeric keypad</w:t>
            </w:r>
          </w:p>
        </w:tc>
      </w:tr>
      <w:tr w:rsidR="005E1EB3" w:rsidRPr="0008464E" w14:paraId="4D89DFC9" w14:textId="77777777" w:rsidTr="00901CC1">
        <w:tc>
          <w:tcPr>
            <w:tcW w:w="13045" w:type="dxa"/>
            <w:gridSpan w:val="3"/>
            <w:vAlign w:val="center"/>
          </w:tcPr>
          <w:p w14:paraId="66B51F97" w14:textId="6295BD56" w:rsidR="005E1EB3" w:rsidRPr="004B7D48" w:rsidRDefault="005E1EB3" w:rsidP="005E1EB3">
            <w:pPr>
              <w:pStyle w:val="Footer1"/>
              <w:rPr>
                <w:iCs/>
                <w:sz w:val="22"/>
                <w:szCs w:val="22"/>
                <w:lang w:val="en-US"/>
              </w:rPr>
            </w:pPr>
            <w:r w:rsidRPr="000500B2">
              <w:rPr>
                <w:rFonts w:cs="Times New Roman"/>
                <w:b/>
                <w:bCs/>
                <w:iCs/>
                <w:color w:val="0070C0"/>
                <w:sz w:val="24"/>
                <w:szCs w:val="24"/>
                <w:lang w:val="en-US"/>
              </w:rPr>
              <w:t xml:space="preserve">Lot no. </w:t>
            </w:r>
            <w:r>
              <w:rPr>
                <w:rFonts w:cs="Times New Roman"/>
                <w:b/>
                <w:bCs/>
                <w:iCs/>
                <w:color w:val="0070C0"/>
                <w:sz w:val="24"/>
                <w:szCs w:val="24"/>
                <w:lang w:val="en-US"/>
              </w:rPr>
              <w:t>3</w:t>
            </w:r>
          </w:p>
        </w:tc>
      </w:tr>
      <w:tr w:rsidR="005E1EB3" w:rsidRPr="0008464E" w14:paraId="0A0E0C26" w14:textId="77777777" w:rsidTr="004B7D48">
        <w:tc>
          <w:tcPr>
            <w:tcW w:w="955" w:type="dxa"/>
            <w:vAlign w:val="center"/>
          </w:tcPr>
          <w:p w14:paraId="0B5C7924" w14:textId="1466FB87" w:rsidR="005E1EB3" w:rsidRDefault="00A94522" w:rsidP="005E1EB3">
            <w:pPr>
              <w:pStyle w:val="Footer1"/>
              <w:jc w:val="center"/>
              <w:rPr>
                <w:rFonts w:cs="Times New Roman"/>
                <w:sz w:val="22"/>
                <w:szCs w:val="22"/>
                <w:lang w:val="en-US"/>
              </w:rPr>
            </w:pPr>
            <w:r>
              <w:rPr>
                <w:rFonts w:cs="Times New Roman"/>
                <w:sz w:val="22"/>
                <w:szCs w:val="22"/>
                <w:lang w:val="en-US"/>
              </w:rPr>
              <w:t>II.25.4</w:t>
            </w:r>
          </w:p>
        </w:tc>
        <w:tc>
          <w:tcPr>
            <w:tcW w:w="5610" w:type="dxa"/>
            <w:vAlign w:val="center"/>
          </w:tcPr>
          <w:p w14:paraId="5290CBEA" w14:textId="77777777" w:rsidR="00A94522" w:rsidRPr="00A94522" w:rsidRDefault="00A94522" w:rsidP="00A94522">
            <w:pPr>
              <w:pStyle w:val="Footer1"/>
              <w:rPr>
                <w:rFonts w:cs="Times New Roman"/>
                <w:sz w:val="22"/>
                <w:szCs w:val="22"/>
                <w:lang w:val="en-US"/>
              </w:rPr>
            </w:pPr>
            <w:r w:rsidRPr="00A94522">
              <w:rPr>
                <w:rFonts w:cs="Times New Roman"/>
                <w:sz w:val="22"/>
                <w:szCs w:val="22"/>
                <w:lang w:val="en-US"/>
              </w:rPr>
              <w:t>Lens</w:t>
            </w:r>
          </w:p>
          <w:p w14:paraId="17EBAEB8" w14:textId="77777777" w:rsidR="00A94522" w:rsidRPr="00A94522" w:rsidRDefault="00A94522" w:rsidP="00A94522">
            <w:pPr>
              <w:pStyle w:val="Footer1"/>
              <w:rPr>
                <w:rFonts w:cs="Times New Roman"/>
                <w:sz w:val="22"/>
                <w:szCs w:val="22"/>
                <w:lang w:val="en-US"/>
              </w:rPr>
            </w:pPr>
            <w:r w:rsidRPr="00A94522">
              <w:rPr>
                <w:rFonts w:cs="Times New Roman"/>
                <w:sz w:val="22"/>
                <w:szCs w:val="22"/>
                <w:lang w:val="en-US"/>
              </w:rPr>
              <w:tab/>
              <w:t>Included lens: 18–55 mm or 16–50 mm stabilized (with compatible mount)</w:t>
            </w:r>
          </w:p>
          <w:p w14:paraId="75A01558" w14:textId="65D8B87A" w:rsidR="005E1EB3" w:rsidRPr="00342BB7" w:rsidRDefault="00A94522" w:rsidP="00A94522">
            <w:pPr>
              <w:pStyle w:val="Footer1"/>
              <w:rPr>
                <w:rFonts w:cs="Times New Roman"/>
                <w:sz w:val="22"/>
                <w:szCs w:val="22"/>
                <w:lang w:val="en-US"/>
              </w:rPr>
            </w:pPr>
            <w:r w:rsidRPr="00A94522">
              <w:rPr>
                <w:rFonts w:cs="Times New Roman"/>
                <w:sz w:val="22"/>
                <w:szCs w:val="22"/>
                <w:lang w:val="en-US"/>
              </w:rPr>
              <w:t>Optical zoom: Minimum 3x</w:t>
            </w:r>
          </w:p>
        </w:tc>
        <w:tc>
          <w:tcPr>
            <w:tcW w:w="6480" w:type="dxa"/>
            <w:vAlign w:val="center"/>
          </w:tcPr>
          <w:p w14:paraId="67ED7F13" w14:textId="77777777" w:rsidR="00A94522" w:rsidRPr="00A94522" w:rsidRDefault="00A94522" w:rsidP="00A94522">
            <w:pPr>
              <w:pStyle w:val="Footer1"/>
              <w:rPr>
                <w:rFonts w:cs="Times New Roman"/>
                <w:sz w:val="22"/>
                <w:szCs w:val="22"/>
                <w:lang w:val="en-US"/>
              </w:rPr>
            </w:pPr>
            <w:r w:rsidRPr="00A94522">
              <w:rPr>
                <w:rFonts w:cs="Times New Roman"/>
                <w:sz w:val="22"/>
                <w:szCs w:val="22"/>
                <w:lang w:val="en-US"/>
              </w:rPr>
              <w:t>Lens</w:t>
            </w:r>
          </w:p>
          <w:p w14:paraId="1D30D778" w14:textId="500479C6" w:rsidR="00A94522" w:rsidRPr="00A94522" w:rsidRDefault="00A94522" w:rsidP="00A94522">
            <w:pPr>
              <w:pStyle w:val="Footer1"/>
              <w:rPr>
                <w:rFonts w:cs="Times New Roman"/>
                <w:sz w:val="22"/>
                <w:szCs w:val="22"/>
                <w:lang w:val="en-US"/>
              </w:rPr>
            </w:pPr>
            <w:r w:rsidRPr="00A94522">
              <w:rPr>
                <w:rFonts w:cs="Times New Roman"/>
                <w:sz w:val="22"/>
                <w:szCs w:val="22"/>
                <w:lang w:val="en-US"/>
              </w:rPr>
              <w:tab/>
              <w:t xml:space="preserve">Included lens: 18–55 mm </w:t>
            </w:r>
            <w:r w:rsidR="00715D25">
              <w:rPr>
                <w:rFonts w:cs="Times New Roman"/>
                <w:sz w:val="22"/>
                <w:szCs w:val="22"/>
                <w:lang w:val="en-US"/>
              </w:rPr>
              <w:t>or</w:t>
            </w:r>
            <w:r w:rsidRPr="00A94522">
              <w:rPr>
                <w:rFonts w:cs="Times New Roman"/>
                <w:sz w:val="22"/>
                <w:szCs w:val="22"/>
                <w:lang w:val="en-US"/>
              </w:rPr>
              <w:t xml:space="preserve"> 16–50 mm</w:t>
            </w:r>
            <w:r w:rsidR="00715D25">
              <w:rPr>
                <w:rFonts w:cs="Times New Roman"/>
                <w:sz w:val="22"/>
                <w:szCs w:val="22"/>
                <w:lang w:val="en-US"/>
              </w:rPr>
              <w:t xml:space="preserve"> or 24-105 mm</w:t>
            </w:r>
            <w:r w:rsidRPr="00A94522">
              <w:rPr>
                <w:rFonts w:cs="Times New Roman"/>
                <w:sz w:val="22"/>
                <w:szCs w:val="22"/>
                <w:lang w:val="en-US"/>
              </w:rPr>
              <w:t xml:space="preserve"> stabilized (with compatible mount)</w:t>
            </w:r>
          </w:p>
          <w:p w14:paraId="195FC4D0" w14:textId="75C6C8B8" w:rsidR="005E1EB3" w:rsidRPr="004B7D48" w:rsidRDefault="00A94522" w:rsidP="00A94522">
            <w:pPr>
              <w:pStyle w:val="Footer1"/>
              <w:rPr>
                <w:iCs/>
                <w:sz w:val="22"/>
                <w:szCs w:val="22"/>
                <w:lang w:val="en-US"/>
              </w:rPr>
            </w:pPr>
            <w:r w:rsidRPr="00A94522">
              <w:rPr>
                <w:rFonts w:cs="Times New Roman"/>
                <w:sz w:val="22"/>
                <w:szCs w:val="22"/>
                <w:lang w:val="en-US"/>
              </w:rPr>
              <w:t>Optical zoom: Minimum 3x</w:t>
            </w:r>
          </w:p>
        </w:tc>
      </w:tr>
      <w:tr w:rsidR="00A94522" w:rsidRPr="0008464E" w14:paraId="3E703198" w14:textId="77777777" w:rsidTr="004B7D48">
        <w:tc>
          <w:tcPr>
            <w:tcW w:w="955" w:type="dxa"/>
            <w:vAlign w:val="center"/>
          </w:tcPr>
          <w:p w14:paraId="43C13737" w14:textId="0604EC1D" w:rsidR="00A94522" w:rsidRDefault="00A94522" w:rsidP="00A94522">
            <w:pPr>
              <w:pStyle w:val="Footer1"/>
              <w:jc w:val="center"/>
              <w:rPr>
                <w:rFonts w:cs="Times New Roman"/>
                <w:sz w:val="22"/>
                <w:szCs w:val="22"/>
                <w:lang w:val="en-US"/>
              </w:rPr>
            </w:pPr>
            <w:r>
              <w:rPr>
                <w:rFonts w:cs="Times New Roman"/>
                <w:sz w:val="22"/>
                <w:szCs w:val="22"/>
                <w:lang w:val="en-US"/>
              </w:rPr>
              <w:lastRenderedPageBreak/>
              <w:t>III</w:t>
            </w:r>
            <w:r w:rsidRPr="004B7D48">
              <w:rPr>
                <w:rFonts w:cs="Times New Roman"/>
                <w:sz w:val="22"/>
                <w:szCs w:val="22"/>
                <w:lang w:val="en-US"/>
              </w:rPr>
              <w:t>.</w:t>
            </w:r>
            <w:r>
              <w:rPr>
                <w:rFonts w:cs="Times New Roman"/>
                <w:sz w:val="22"/>
                <w:szCs w:val="22"/>
                <w:lang w:val="en-US"/>
              </w:rPr>
              <w:t>27</w:t>
            </w:r>
          </w:p>
        </w:tc>
        <w:tc>
          <w:tcPr>
            <w:tcW w:w="5610" w:type="dxa"/>
            <w:vAlign w:val="center"/>
          </w:tcPr>
          <w:p w14:paraId="6670027C" w14:textId="05E2C192" w:rsidR="00A94522" w:rsidRPr="00780FD9" w:rsidRDefault="00A94522" w:rsidP="00A94522">
            <w:pPr>
              <w:pStyle w:val="Footer1"/>
              <w:rPr>
                <w:rFonts w:cs="Times New Roman"/>
                <w:sz w:val="22"/>
                <w:szCs w:val="22"/>
                <w:lang w:val="en-US"/>
              </w:rPr>
            </w:pPr>
            <w:r w:rsidRPr="00780FD9">
              <w:rPr>
                <w:rFonts w:cs="Times New Roman"/>
                <w:sz w:val="22"/>
                <w:szCs w:val="22"/>
                <w:lang w:val="en-US"/>
              </w:rPr>
              <w:tab/>
              <w:t>2006/42/EC directive of the European Parliament and of the Council of 17 May 2006 on technical equipment</w:t>
            </w:r>
          </w:p>
        </w:tc>
        <w:tc>
          <w:tcPr>
            <w:tcW w:w="6480" w:type="dxa"/>
            <w:vAlign w:val="center"/>
          </w:tcPr>
          <w:p w14:paraId="721C3027" w14:textId="6728B7E2" w:rsidR="00A94522" w:rsidRPr="004B7D48" w:rsidRDefault="00A94522" w:rsidP="00A94522">
            <w:pPr>
              <w:pStyle w:val="Footer1"/>
              <w:rPr>
                <w:iCs/>
                <w:sz w:val="22"/>
                <w:szCs w:val="22"/>
                <w:lang w:val="en-US"/>
              </w:rPr>
            </w:pPr>
            <w:r w:rsidRPr="004B7D48">
              <w:rPr>
                <w:iCs/>
                <w:sz w:val="22"/>
                <w:szCs w:val="22"/>
                <w:lang w:val="en-US"/>
              </w:rPr>
              <w:t>Compliance with the EU directive or Regulation applicable</w:t>
            </w:r>
          </w:p>
        </w:tc>
      </w:tr>
      <w:tr w:rsidR="003E3C87" w:rsidRPr="0008464E" w14:paraId="1B072E31" w14:textId="77777777" w:rsidTr="004B7D48">
        <w:tc>
          <w:tcPr>
            <w:tcW w:w="955" w:type="dxa"/>
            <w:vAlign w:val="center"/>
          </w:tcPr>
          <w:p w14:paraId="669F3153" w14:textId="1AF550E0" w:rsidR="003E3C87" w:rsidRDefault="003E3C87" w:rsidP="00A94522">
            <w:pPr>
              <w:pStyle w:val="Footer1"/>
              <w:jc w:val="center"/>
              <w:rPr>
                <w:rFonts w:cs="Times New Roman"/>
                <w:sz w:val="22"/>
                <w:szCs w:val="22"/>
                <w:lang w:val="en-US"/>
              </w:rPr>
            </w:pPr>
            <w:r>
              <w:rPr>
                <w:rFonts w:cs="Times New Roman"/>
                <w:sz w:val="22"/>
                <w:szCs w:val="22"/>
                <w:lang w:val="en-US"/>
              </w:rPr>
              <w:t>III.26.6</w:t>
            </w:r>
          </w:p>
        </w:tc>
        <w:tc>
          <w:tcPr>
            <w:tcW w:w="5610" w:type="dxa"/>
            <w:vAlign w:val="center"/>
          </w:tcPr>
          <w:p w14:paraId="6E0E2A78" w14:textId="77777777" w:rsidR="003E3C87" w:rsidRPr="003E3C87" w:rsidRDefault="003E3C87" w:rsidP="003E3C87">
            <w:pPr>
              <w:pStyle w:val="Footer1"/>
              <w:rPr>
                <w:rFonts w:cs="Times New Roman"/>
                <w:sz w:val="22"/>
                <w:szCs w:val="22"/>
                <w:lang w:val="en-US"/>
              </w:rPr>
            </w:pPr>
            <w:r w:rsidRPr="003E3C87">
              <w:rPr>
                <w:rFonts w:cs="Times New Roman"/>
                <w:sz w:val="22"/>
                <w:szCs w:val="22"/>
                <w:lang w:val="en-US"/>
              </w:rPr>
              <w:tab/>
              <w:t>Static roll-bond evaporator wraps around all four sides of the storage chamber</w:t>
            </w:r>
          </w:p>
          <w:p w14:paraId="30802213" w14:textId="502C6EED" w:rsidR="003E3C87" w:rsidRPr="003E3C87" w:rsidRDefault="003E3C87" w:rsidP="003E3C87">
            <w:pPr>
              <w:pStyle w:val="Footer1"/>
              <w:rPr>
                <w:rFonts w:cs="Times New Roman"/>
                <w:sz w:val="22"/>
                <w:szCs w:val="22"/>
                <w:lang w:val="en-US"/>
              </w:rPr>
            </w:pPr>
            <w:r w:rsidRPr="003E3C87">
              <w:rPr>
                <w:rFonts w:cs="Times New Roman"/>
                <w:sz w:val="22"/>
                <w:szCs w:val="22"/>
                <w:lang w:val="en-US"/>
              </w:rPr>
              <w:t>Backlit LED control panel</w:t>
            </w:r>
          </w:p>
          <w:p w14:paraId="3EA7FCB5" w14:textId="53A853DC" w:rsidR="003E3C87" w:rsidRPr="003E3C87" w:rsidRDefault="003E3C87" w:rsidP="003E3C87">
            <w:pPr>
              <w:pStyle w:val="Footer1"/>
              <w:rPr>
                <w:rFonts w:cs="Times New Roman"/>
                <w:sz w:val="22"/>
                <w:szCs w:val="22"/>
                <w:lang w:val="en-US"/>
              </w:rPr>
            </w:pPr>
            <w:r w:rsidRPr="003E3C87">
              <w:rPr>
                <w:rFonts w:cs="Times New Roman"/>
                <w:sz w:val="22"/>
                <w:szCs w:val="22"/>
                <w:lang w:val="en-US"/>
              </w:rPr>
              <w:t>Audible and visual alarms</w:t>
            </w:r>
          </w:p>
          <w:p w14:paraId="4D96825F" w14:textId="7BA60FFC" w:rsidR="003E3C87" w:rsidRPr="003E3C87" w:rsidRDefault="003E3C87" w:rsidP="003E3C87">
            <w:pPr>
              <w:pStyle w:val="Footer1"/>
              <w:rPr>
                <w:rFonts w:cs="Times New Roman"/>
                <w:sz w:val="22"/>
                <w:szCs w:val="22"/>
                <w:lang w:val="en-US"/>
              </w:rPr>
            </w:pPr>
            <w:r w:rsidRPr="003E3C87">
              <w:rPr>
                <w:rFonts w:cs="Times New Roman"/>
                <w:sz w:val="22"/>
                <w:szCs w:val="22"/>
                <w:lang w:val="en-US"/>
              </w:rPr>
              <w:t>Operating temperature: +10°C to -24°C</w:t>
            </w:r>
          </w:p>
          <w:p w14:paraId="22144F74" w14:textId="2CC03A6C" w:rsidR="003E3C87" w:rsidRPr="003E3C87" w:rsidRDefault="003E3C87" w:rsidP="003E3C87">
            <w:pPr>
              <w:pStyle w:val="Footer1"/>
              <w:rPr>
                <w:rFonts w:cs="Times New Roman"/>
                <w:sz w:val="22"/>
                <w:szCs w:val="22"/>
                <w:lang w:val="en-US"/>
              </w:rPr>
            </w:pPr>
            <w:r w:rsidRPr="003E3C87">
              <w:rPr>
                <w:rFonts w:cs="Times New Roman"/>
                <w:sz w:val="22"/>
                <w:szCs w:val="22"/>
                <w:lang w:val="en-US"/>
              </w:rPr>
              <w:t>Cooling type: Static</w:t>
            </w:r>
          </w:p>
          <w:p w14:paraId="0038DFEC" w14:textId="658E0F15" w:rsidR="003E3C87" w:rsidRPr="003E3C87" w:rsidRDefault="003E3C87" w:rsidP="003E3C87">
            <w:pPr>
              <w:pStyle w:val="Footer1"/>
              <w:rPr>
                <w:rFonts w:cs="Times New Roman"/>
                <w:sz w:val="22"/>
                <w:szCs w:val="22"/>
                <w:lang w:val="en-US"/>
              </w:rPr>
            </w:pPr>
            <w:r w:rsidRPr="003E3C87">
              <w:rPr>
                <w:rFonts w:cs="Times New Roman"/>
                <w:sz w:val="22"/>
                <w:szCs w:val="22"/>
                <w:lang w:val="en-US"/>
              </w:rPr>
              <w:t>Defrost type: Manual</w:t>
            </w:r>
          </w:p>
          <w:p w14:paraId="20F31EDA" w14:textId="15E58E45" w:rsidR="003E3C87" w:rsidRPr="003E3C87" w:rsidRDefault="003E3C87" w:rsidP="003E3C87">
            <w:pPr>
              <w:pStyle w:val="Footer1"/>
              <w:rPr>
                <w:rFonts w:cs="Times New Roman"/>
                <w:sz w:val="22"/>
                <w:szCs w:val="22"/>
                <w:lang w:val="en-US"/>
              </w:rPr>
            </w:pPr>
            <w:r w:rsidRPr="003E3C87">
              <w:rPr>
                <w:rFonts w:cs="Times New Roman"/>
                <w:sz w:val="22"/>
                <w:szCs w:val="22"/>
                <w:lang w:val="en-US"/>
              </w:rPr>
              <w:t>Refrigerant: R134A</w:t>
            </w:r>
          </w:p>
          <w:p w14:paraId="29F35AEE" w14:textId="228FA74A" w:rsidR="003E3C87" w:rsidRPr="003E3C87" w:rsidRDefault="003E3C87" w:rsidP="003E3C87">
            <w:pPr>
              <w:pStyle w:val="Footer1"/>
              <w:rPr>
                <w:rFonts w:cs="Times New Roman"/>
                <w:sz w:val="22"/>
                <w:szCs w:val="22"/>
                <w:lang w:val="en-US"/>
              </w:rPr>
            </w:pPr>
            <w:r w:rsidRPr="003E3C87">
              <w:rPr>
                <w:rFonts w:cs="Times New Roman"/>
                <w:sz w:val="22"/>
                <w:szCs w:val="22"/>
                <w:lang w:val="en-US"/>
              </w:rPr>
              <w:t>Net capacity: approx. 56 liters</w:t>
            </w:r>
          </w:p>
          <w:p w14:paraId="77F41421" w14:textId="77777777" w:rsidR="003E3C87" w:rsidRPr="003E3C87" w:rsidRDefault="003E3C87" w:rsidP="003E3C87">
            <w:pPr>
              <w:pStyle w:val="Footer1"/>
              <w:rPr>
                <w:rFonts w:cs="Times New Roman"/>
                <w:sz w:val="22"/>
                <w:szCs w:val="22"/>
                <w:lang w:val="en-US"/>
              </w:rPr>
            </w:pPr>
            <w:r w:rsidRPr="003E3C87">
              <w:rPr>
                <w:rFonts w:cs="Times New Roman"/>
                <w:sz w:val="22"/>
                <w:szCs w:val="22"/>
                <w:lang w:val="en-US"/>
              </w:rPr>
              <w:tab/>
              <w:t>External dimensions (W × D × H): approx. 800 × 500 × 500 mm</w:t>
            </w:r>
          </w:p>
          <w:p w14:paraId="04342E5F" w14:textId="7C117A86" w:rsidR="003E3C87" w:rsidRPr="00780FD9" w:rsidRDefault="003E3C87" w:rsidP="003E3C87">
            <w:pPr>
              <w:pStyle w:val="Footer1"/>
              <w:rPr>
                <w:rFonts w:cs="Times New Roman"/>
                <w:sz w:val="22"/>
                <w:szCs w:val="22"/>
                <w:lang w:val="en-US"/>
              </w:rPr>
            </w:pPr>
            <w:r w:rsidRPr="003E3C87">
              <w:rPr>
                <w:rFonts w:cs="Times New Roman"/>
                <w:sz w:val="22"/>
                <w:szCs w:val="22"/>
                <w:lang w:val="en-US"/>
              </w:rPr>
              <w:t>Includes temperature monitoring sensor</w:t>
            </w:r>
          </w:p>
        </w:tc>
        <w:tc>
          <w:tcPr>
            <w:tcW w:w="6480" w:type="dxa"/>
            <w:vAlign w:val="center"/>
          </w:tcPr>
          <w:p w14:paraId="0B0E0558"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Static roll-bond evaporator wraps around all four sides of the storage chamber</w:t>
            </w:r>
          </w:p>
          <w:p w14:paraId="33EFC6E1"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Backlit LED control panel</w:t>
            </w:r>
          </w:p>
          <w:p w14:paraId="10AD6B46"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Audible and visual alarms</w:t>
            </w:r>
          </w:p>
          <w:p w14:paraId="67F9257C" w14:textId="06200DA9" w:rsidR="00CF44EC" w:rsidRPr="003E3C87" w:rsidRDefault="00CF44EC" w:rsidP="00CF44EC">
            <w:pPr>
              <w:pStyle w:val="Footer1"/>
              <w:rPr>
                <w:rFonts w:cs="Times New Roman"/>
                <w:sz w:val="22"/>
                <w:szCs w:val="22"/>
                <w:lang w:val="en-US"/>
              </w:rPr>
            </w:pPr>
            <w:r w:rsidRPr="003E3C87">
              <w:rPr>
                <w:rFonts w:cs="Times New Roman"/>
                <w:sz w:val="22"/>
                <w:szCs w:val="22"/>
                <w:lang w:val="en-US"/>
              </w:rPr>
              <w:t xml:space="preserve">Operating temperature: +10°C to </w:t>
            </w:r>
            <w:r w:rsidRPr="00687AE6">
              <w:rPr>
                <w:rFonts w:cs="Times New Roman"/>
                <w:sz w:val="22"/>
                <w:szCs w:val="22"/>
                <w:lang w:val="en-US"/>
              </w:rPr>
              <w:t>-2</w:t>
            </w:r>
            <w:r w:rsidR="00196176" w:rsidRPr="00687AE6">
              <w:rPr>
                <w:rFonts w:cs="Times New Roman"/>
                <w:sz w:val="22"/>
                <w:szCs w:val="22"/>
                <w:lang w:val="en-US"/>
              </w:rPr>
              <w:t>2</w:t>
            </w:r>
            <w:r w:rsidRPr="00687AE6">
              <w:rPr>
                <w:rFonts w:cs="Times New Roman"/>
                <w:sz w:val="22"/>
                <w:szCs w:val="22"/>
                <w:lang w:val="en-US"/>
              </w:rPr>
              <w:t>°C</w:t>
            </w:r>
          </w:p>
          <w:p w14:paraId="5C1FE3B5"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Cooling type: Static</w:t>
            </w:r>
          </w:p>
          <w:p w14:paraId="4E6F728A"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Defrost type: Manual</w:t>
            </w:r>
          </w:p>
          <w:p w14:paraId="248A0588" w14:textId="502A14B4" w:rsidR="00CF44EC" w:rsidRPr="003E3C87" w:rsidRDefault="00CF44EC" w:rsidP="00CF44EC">
            <w:pPr>
              <w:pStyle w:val="Footer1"/>
              <w:rPr>
                <w:rFonts w:cs="Times New Roman"/>
                <w:sz w:val="22"/>
                <w:szCs w:val="22"/>
                <w:lang w:val="en-US"/>
              </w:rPr>
            </w:pPr>
            <w:r w:rsidRPr="003E3C87">
              <w:rPr>
                <w:rFonts w:cs="Times New Roman"/>
                <w:sz w:val="22"/>
                <w:szCs w:val="22"/>
                <w:lang w:val="en-US"/>
              </w:rPr>
              <w:t>Refrigerant: R134A</w:t>
            </w:r>
            <w:r w:rsidR="009215CE">
              <w:rPr>
                <w:rFonts w:cs="Times New Roman"/>
                <w:sz w:val="22"/>
                <w:szCs w:val="22"/>
                <w:lang w:val="en-US"/>
              </w:rPr>
              <w:t xml:space="preserve"> or</w:t>
            </w:r>
            <w:r w:rsidR="009215CE">
              <w:t xml:space="preserve"> </w:t>
            </w:r>
            <w:r w:rsidR="009215CE" w:rsidRPr="009215CE">
              <w:rPr>
                <w:rFonts w:cs="Times New Roman"/>
                <w:sz w:val="22"/>
                <w:szCs w:val="22"/>
                <w:lang w:val="en-US"/>
              </w:rPr>
              <w:t>other type of ecological refrigerant agent that is newly approved/authorized in the EU</w:t>
            </w:r>
          </w:p>
          <w:p w14:paraId="5E02ED60"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Net capacity: approx. 56 liters</w:t>
            </w:r>
          </w:p>
          <w:p w14:paraId="315953D8" w14:textId="77777777" w:rsidR="00CF44EC" w:rsidRPr="003E3C87" w:rsidRDefault="00CF44EC" w:rsidP="00CF44EC">
            <w:pPr>
              <w:pStyle w:val="Footer1"/>
              <w:rPr>
                <w:rFonts w:cs="Times New Roman"/>
                <w:sz w:val="22"/>
                <w:szCs w:val="22"/>
                <w:lang w:val="en-US"/>
              </w:rPr>
            </w:pPr>
            <w:r w:rsidRPr="003E3C87">
              <w:rPr>
                <w:rFonts w:cs="Times New Roman"/>
                <w:sz w:val="22"/>
                <w:szCs w:val="22"/>
                <w:lang w:val="en-US"/>
              </w:rPr>
              <w:tab/>
              <w:t>External dimensions (W × D × H): approx. 800 × 500 × 500 mm</w:t>
            </w:r>
          </w:p>
          <w:p w14:paraId="60E3B798" w14:textId="4AF24263" w:rsidR="003E3C87" w:rsidRPr="004B7D48" w:rsidRDefault="00CF44EC" w:rsidP="00CF44EC">
            <w:pPr>
              <w:pStyle w:val="Footer1"/>
              <w:rPr>
                <w:iCs/>
                <w:sz w:val="22"/>
                <w:szCs w:val="22"/>
                <w:lang w:val="en-US"/>
              </w:rPr>
            </w:pPr>
            <w:r w:rsidRPr="003E3C87">
              <w:rPr>
                <w:rFonts w:cs="Times New Roman"/>
                <w:sz w:val="22"/>
                <w:szCs w:val="22"/>
                <w:lang w:val="en-US"/>
              </w:rPr>
              <w:t>Includes temperature monitoring sensor</w:t>
            </w:r>
          </w:p>
        </w:tc>
      </w:tr>
      <w:tr w:rsidR="00A94522" w:rsidRPr="0008464E" w14:paraId="25FE862B" w14:textId="77777777" w:rsidTr="00423A25">
        <w:tc>
          <w:tcPr>
            <w:tcW w:w="13045" w:type="dxa"/>
            <w:gridSpan w:val="3"/>
            <w:vAlign w:val="center"/>
          </w:tcPr>
          <w:p w14:paraId="7E83EBEB" w14:textId="78D5112B" w:rsidR="00A94522" w:rsidRPr="004B7D48" w:rsidRDefault="00A94522" w:rsidP="00A94522">
            <w:pPr>
              <w:pStyle w:val="Footer1"/>
              <w:rPr>
                <w:iCs/>
                <w:sz w:val="22"/>
                <w:szCs w:val="22"/>
                <w:lang w:val="en-US"/>
              </w:rPr>
            </w:pPr>
            <w:r w:rsidRPr="001E76CD">
              <w:rPr>
                <w:rFonts w:cs="Times New Roman"/>
                <w:b/>
                <w:bCs/>
                <w:iCs/>
                <w:color w:val="0070C0"/>
                <w:sz w:val="24"/>
                <w:szCs w:val="24"/>
                <w:lang w:val="en-US"/>
              </w:rPr>
              <w:t>Lot no. 4</w:t>
            </w:r>
          </w:p>
        </w:tc>
      </w:tr>
      <w:tr w:rsidR="00A94522" w:rsidRPr="0008464E" w14:paraId="13FC3917" w14:textId="77777777" w:rsidTr="00D36003">
        <w:tc>
          <w:tcPr>
            <w:tcW w:w="955" w:type="dxa"/>
            <w:vAlign w:val="center"/>
          </w:tcPr>
          <w:p w14:paraId="06878641" w14:textId="4F513ABB" w:rsidR="00A94522" w:rsidRDefault="00A94522" w:rsidP="00A94522">
            <w:pPr>
              <w:pStyle w:val="Footer1"/>
              <w:jc w:val="center"/>
              <w:rPr>
                <w:rFonts w:cs="Times New Roman"/>
                <w:sz w:val="22"/>
                <w:szCs w:val="22"/>
                <w:lang w:val="en-US"/>
              </w:rPr>
            </w:pPr>
            <w:r>
              <w:rPr>
                <w:rFonts w:cs="Times New Roman"/>
                <w:sz w:val="22"/>
                <w:szCs w:val="22"/>
                <w:lang w:val="en-US"/>
              </w:rPr>
              <w:t>I</w:t>
            </w:r>
            <w:r w:rsidRPr="004B7D48">
              <w:rPr>
                <w:rFonts w:cs="Times New Roman"/>
                <w:sz w:val="22"/>
                <w:szCs w:val="22"/>
                <w:lang w:val="en-US"/>
              </w:rPr>
              <w:t>.</w:t>
            </w:r>
            <w:r>
              <w:rPr>
                <w:rFonts w:cs="Times New Roman"/>
                <w:sz w:val="22"/>
                <w:szCs w:val="22"/>
                <w:lang w:val="en-US"/>
              </w:rPr>
              <w:t>5</w:t>
            </w:r>
          </w:p>
        </w:tc>
        <w:tc>
          <w:tcPr>
            <w:tcW w:w="5610" w:type="dxa"/>
            <w:vAlign w:val="center"/>
          </w:tcPr>
          <w:p w14:paraId="18361C3F" w14:textId="70BFDBC4" w:rsidR="00A94522" w:rsidRPr="00780FD9" w:rsidRDefault="00A94522" w:rsidP="00A94522">
            <w:pPr>
              <w:pStyle w:val="Footer1"/>
              <w:rPr>
                <w:rFonts w:cs="Times New Roman"/>
                <w:sz w:val="22"/>
                <w:szCs w:val="22"/>
                <w:lang w:val="en-US"/>
              </w:rPr>
            </w:pPr>
            <w:r w:rsidRPr="00780FD9">
              <w:rPr>
                <w:rFonts w:cs="Times New Roman"/>
                <w:sz w:val="22"/>
                <w:szCs w:val="22"/>
                <w:lang w:val="en-US"/>
              </w:rPr>
              <w:tab/>
              <w:t>2006/42/EC directive of the European Parliament and of the Council of 17 May 2006 on technical equipment</w:t>
            </w:r>
          </w:p>
        </w:tc>
        <w:tc>
          <w:tcPr>
            <w:tcW w:w="6480" w:type="dxa"/>
          </w:tcPr>
          <w:p w14:paraId="6EE64BF0" w14:textId="11B36F8D" w:rsidR="00A94522" w:rsidRPr="004B7D48" w:rsidRDefault="00A94522" w:rsidP="00A94522">
            <w:pPr>
              <w:pStyle w:val="Footer1"/>
              <w:rPr>
                <w:iCs/>
                <w:sz w:val="22"/>
                <w:szCs w:val="22"/>
                <w:lang w:val="en-US"/>
              </w:rPr>
            </w:pPr>
            <w:r w:rsidRPr="00FE0E0A">
              <w:rPr>
                <w:iCs/>
                <w:sz w:val="22"/>
                <w:szCs w:val="22"/>
                <w:lang w:val="en-US"/>
              </w:rPr>
              <w:t>Compliance with the EU directive or Regulation applicable</w:t>
            </w:r>
          </w:p>
        </w:tc>
      </w:tr>
      <w:tr w:rsidR="00A94522" w:rsidRPr="0008464E" w14:paraId="45D2B2CC" w14:textId="77777777" w:rsidTr="00D36003">
        <w:tc>
          <w:tcPr>
            <w:tcW w:w="955" w:type="dxa"/>
            <w:vAlign w:val="center"/>
          </w:tcPr>
          <w:p w14:paraId="54A04242" w14:textId="74DBA342" w:rsidR="00A94522" w:rsidRDefault="00A94522" w:rsidP="00A94522">
            <w:pPr>
              <w:pStyle w:val="Footer1"/>
              <w:jc w:val="center"/>
              <w:rPr>
                <w:rFonts w:cs="Times New Roman"/>
                <w:sz w:val="22"/>
                <w:szCs w:val="22"/>
                <w:lang w:val="en-US"/>
              </w:rPr>
            </w:pPr>
            <w:r>
              <w:rPr>
                <w:rFonts w:cs="Times New Roman"/>
                <w:sz w:val="22"/>
                <w:szCs w:val="22"/>
                <w:lang w:val="en-US"/>
              </w:rPr>
              <w:t>II</w:t>
            </w:r>
            <w:r w:rsidRPr="004B7D48">
              <w:rPr>
                <w:rFonts w:cs="Times New Roman"/>
                <w:sz w:val="22"/>
                <w:szCs w:val="22"/>
                <w:lang w:val="en-US"/>
              </w:rPr>
              <w:t>.</w:t>
            </w:r>
            <w:r>
              <w:rPr>
                <w:rFonts w:cs="Times New Roman"/>
                <w:sz w:val="22"/>
                <w:szCs w:val="22"/>
                <w:lang w:val="en-US"/>
              </w:rPr>
              <w:t>5</w:t>
            </w:r>
          </w:p>
        </w:tc>
        <w:tc>
          <w:tcPr>
            <w:tcW w:w="5610" w:type="dxa"/>
            <w:vAlign w:val="center"/>
          </w:tcPr>
          <w:p w14:paraId="231AB532" w14:textId="05389A20" w:rsidR="00A94522" w:rsidRPr="00780FD9" w:rsidRDefault="00A94522" w:rsidP="00A94522">
            <w:pPr>
              <w:pStyle w:val="Footer1"/>
              <w:rPr>
                <w:rFonts w:cs="Times New Roman"/>
                <w:sz w:val="22"/>
                <w:szCs w:val="22"/>
                <w:lang w:val="en-US"/>
              </w:rPr>
            </w:pPr>
            <w:r w:rsidRPr="00780FD9">
              <w:rPr>
                <w:rFonts w:cs="Times New Roman"/>
                <w:sz w:val="22"/>
                <w:szCs w:val="22"/>
                <w:lang w:val="en-US"/>
              </w:rPr>
              <w:tab/>
              <w:t>2006/42/EC directive of the European Parliament and of the Council of 17 May 2006 on technical equipment</w:t>
            </w:r>
          </w:p>
        </w:tc>
        <w:tc>
          <w:tcPr>
            <w:tcW w:w="6480" w:type="dxa"/>
          </w:tcPr>
          <w:p w14:paraId="52A60320" w14:textId="2BCB4020" w:rsidR="00A94522" w:rsidRPr="004B7D48" w:rsidRDefault="00A94522" w:rsidP="00A94522">
            <w:pPr>
              <w:pStyle w:val="Footer1"/>
              <w:rPr>
                <w:iCs/>
                <w:sz w:val="22"/>
                <w:szCs w:val="22"/>
                <w:lang w:val="en-US"/>
              </w:rPr>
            </w:pPr>
            <w:r w:rsidRPr="00FE0E0A">
              <w:rPr>
                <w:iCs/>
                <w:sz w:val="22"/>
                <w:szCs w:val="22"/>
                <w:lang w:val="en-US"/>
              </w:rPr>
              <w:t>Compliance with the EU directive or Regulation applicable</w:t>
            </w:r>
          </w:p>
        </w:tc>
      </w:tr>
      <w:tr w:rsidR="00A94522" w:rsidRPr="0008464E" w14:paraId="3A35AA4B" w14:textId="77777777" w:rsidTr="00DB1113">
        <w:tc>
          <w:tcPr>
            <w:tcW w:w="13045" w:type="dxa"/>
            <w:gridSpan w:val="3"/>
            <w:vAlign w:val="center"/>
          </w:tcPr>
          <w:p w14:paraId="561D398D" w14:textId="2BEC6C5C" w:rsidR="00A94522" w:rsidRPr="004B7D48" w:rsidRDefault="00A94522" w:rsidP="00A94522">
            <w:pPr>
              <w:pStyle w:val="Footer1"/>
              <w:rPr>
                <w:iCs/>
                <w:sz w:val="22"/>
                <w:szCs w:val="22"/>
                <w:lang w:val="en-US"/>
              </w:rPr>
            </w:pPr>
            <w:r w:rsidRPr="001E76CD">
              <w:rPr>
                <w:rFonts w:cs="Times New Roman"/>
                <w:b/>
                <w:bCs/>
                <w:iCs/>
                <w:color w:val="0070C0"/>
                <w:sz w:val="24"/>
                <w:szCs w:val="24"/>
                <w:lang w:val="en-US"/>
              </w:rPr>
              <w:t xml:space="preserve">Lot no. </w:t>
            </w:r>
            <w:r>
              <w:rPr>
                <w:rFonts w:cs="Times New Roman"/>
                <w:b/>
                <w:bCs/>
                <w:iCs/>
                <w:color w:val="0070C0"/>
                <w:sz w:val="24"/>
                <w:szCs w:val="24"/>
                <w:lang w:val="en-US"/>
              </w:rPr>
              <w:t>5</w:t>
            </w:r>
          </w:p>
        </w:tc>
      </w:tr>
      <w:tr w:rsidR="00A94522" w:rsidRPr="0008464E" w14:paraId="21B25FDA" w14:textId="77777777" w:rsidTr="00186271">
        <w:tc>
          <w:tcPr>
            <w:tcW w:w="955" w:type="dxa"/>
            <w:vAlign w:val="center"/>
          </w:tcPr>
          <w:p w14:paraId="5EE40618" w14:textId="33C006EB" w:rsidR="00A94522" w:rsidRDefault="00A94522" w:rsidP="00A94522">
            <w:pPr>
              <w:pStyle w:val="Footer1"/>
              <w:jc w:val="center"/>
              <w:rPr>
                <w:rFonts w:cs="Times New Roman"/>
                <w:sz w:val="22"/>
                <w:szCs w:val="22"/>
                <w:lang w:val="en-US"/>
              </w:rPr>
            </w:pPr>
            <w:r>
              <w:rPr>
                <w:rFonts w:cs="Times New Roman"/>
                <w:sz w:val="22"/>
                <w:szCs w:val="22"/>
                <w:lang w:val="en-US"/>
              </w:rPr>
              <w:t>I</w:t>
            </w:r>
            <w:r w:rsidRPr="004B7D48">
              <w:rPr>
                <w:rFonts w:cs="Times New Roman"/>
                <w:sz w:val="22"/>
                <w:szCs w:val="22"/>
                <w:lang w:val="en-US"/>
              </w:rPr>
              <w:t>.</w:t>
            </w:r>
            <w:r>
              <w:rPr>
                <w:rFonts w:cs="Times New Roman"/>
                <w:sz w:val="22"/>
                <w:szCs w:val="22"/>
                <w:lang w:val="en-US"/>
              </w:rPr>
              <w:t>11</w:t>
            </w:r>
          </w:p>
        </w:tc>
        <w:tc>
          <w:tcPr>
            <w:tcW w:w="5610" w:type="dxa"/>
            <w:vAlign w:val="center"/>
          </w:tcPr>
          <w:p w14:paraId="6CCABADB" w14:textId="3D66A371" w:rsidR="00A94522" w:rsidRPr="00780FD9" w:rsidRDefault="00A94522" w:rsidP="00A94522">
            <w:pPr>
              <w:pStyle w:val="Footer1"/>
              <w:rPr>
                <w:rFonts w:cs="Times New Roman"/>
                <w:sz w:val="22"/>
                <w:szCs w:val="22"/>
                <w:lang w:val="en-US"/>
              </w:rPr>
            </w:pPr>
            <w:r w:rsidRPr="00780FD9">
              <w:rPr>
                <w:rFonts w:cs="Times New Roman"/>
                <w:sz w:val="22"/>
                <w:szCs w:val="22"/>
                <w:lang w:val="en-US"/>
              </w:rPr>
              <w:tab/>
              <w:t>2006/42/EC directive of the European Parliament and of the Council of 17 May 2006 on technical equipment</w:t>
            </w:r>
          </w:p>
        </w:tc>
        <w:tc>
          <w:tcPr>
            <w:tcW w:w="6480" w:type="dxa"/>
          </w:tcPr>
          <w:p w14:paraId="386F523A" w14:textId="5CD836C7" w:rsidR="00A94522" w:rsidRPr="004B7D48" w:rsidRDefault="00A94522" w:rsidP="00A94522">
            <w:pPr>
              <w:pStyle w:val="Footer1"/>
              <w:rPr>
                <w:iCs/>
                <w:sz w:val="22"/>
                <w:szCs w:val="22"/>
                <w:lang w:val="en-US"/>
              </w:rPr>
            </w:pPr>
            <w:r w:rsidRPr="00AB64DC">
              <w:rPr>
                <w:iCs/>
                <w:sz w:val="22"/>
                <w:szCs w:val="22"/>
                <w:lang w:val="en-US"/>
              </w:rPr>
              <w:t>Compliance with the EU directive or Regulation applicable</w:t>
            </w:r>
          </w:p>
        </w:tc>
      </w:tr>
      <w:tr w:rsidR="00A94522" w:rsidRPr="0008464E" w14:paraId="5113CB83" w14:textId="77777777" w:rsidTr="00186271">
        <w:tc>
          <w:tcPr>
            <w:tcW w:w="955" w:type="dxa"/>
            <w:vAlign w:val="center"/>
          </w:tcPr>
          <w:p w14:paraId="16F07358" w14:textId="41062AEE" w:rsidR="00A94522" w:rsidRDefault="00A94522" w:rsidP="00A94522">
            <w:pPr>
              <w:pStyle w:val="Footer1"/>
              <w:jc w:val="center"/>
              <w:rPr>
                <w:rFonts w:cs="Times New Roman"/>
                <w:sz w:val="22"/>
                <w:szCs w:val="22"/>
                <w:lang w:val="en-US"/>
              </w:rPr>
            </w:pPr>
            <w:r>
              <w:rPr>
                <w:rFonts w:cs="Times New Roman"/>
                <w:sz w:val="22"/>
                <w:szCs w:val="22"/>
                <w:lang w:val="en-US"/>
              </w:rPr>
              <w:t>II</w:t>
            </w:r>
            <w:r w:rsidRPr="004B7D48">
              <w:rPr>
                <w:rFonts w:cs="Times New Roman"/>
                <w:sz w:val="22"/>
                <w:szCs w:val="22"/>
                <w:lang w:val="en-US"/>
              </w:rPr>
              <w:t>.</w:t>
            </w:r>
            <w:r>
              <w:rPr>
                <w:rFonts w:cs="Times New Roman"/>
                <w:sz w:val="22"/>
                <w:szCs w:val="22"/>
                <w:lang w:val="en-US"/>
              </w:rPr>
              <w:t>7</w:t>
            </w:r>
          </w:p>
        </w:tc>
        <w:tc>
          <w:tcPr>
            <w:tcW w:w="5610" w:type="dxa"/>
            <w:vAlign w:val="center"/>
          </w:tcPr>
          <w:p w14:paraId="2185B4A3" w14:textId="01A3E4F4" w:rsidR="00A94522" w:rsidRPr="00780FD9" w:rsidRDefault="00A94522" w:rsidP="00A94522">
            <w:pPr>
              <w:pStyle w:val="Footer1"/>
              <w:rPr>
                <w:rFonts w:cs="Times New Roman"/>
                <w:sz w:val="22"/>
                <w:szCs w:val="22"/>
                <w:lang w:val="en-US"/>
              </w:rPr>
            </w:pPr>
            <w:r w:rsidRPr="00780FD9">
              <w:rPr>
                <w:rFonts w:cs="Times New Roman"/>
                <w:sz w:val="22"/>
                <w:szCs w:val="22"/>
                <w:lang w:val="en-US"/>
              </w:rPr>
              <w:tab/>
              <w:t>2006/42/EC directive of the European Parliament and of the Council of 17 May 2006 on technical equipment</w:t>
            </w:r>
          </w:p>
        </w:tc>
        <w:tc>
          <w:tcPr>
            <w:tcW w:w="6480" w:type="dxa"/>
          </w:tcPr>
          <w:p w14:paraId="216F9780" w14:textId="6DBA4F86" w:rsidR="00A94522" w:rsidRPr="004B7D48" w:rsidRDefault="00A94522" w:rsidP="00A94522">
            <w:pPr>
              <w:pStyle w:val="Footer1"/>
              <w:rPr>
                <w:iCs/>
                <w:sz w:val="22"/>
                <w:szCs w:val="22"/>
                <w:lang w:val="en-US"/>
              </w:rPr>
            </w:pPr>
            <w:r w:rsidRPr="00AB64DC">
              <w:rPr>
                <w:iCs/>
                <w:sz w:val="22"/>
                <w:szCs w:val="22"/>
                <w:lang w:val="en-US"/>
              </w:rPr>
              <w:t>Compliance with the EU directive or Regulation applicable</w:t>
            </w:r>
          </w:p>
        </w:tc>
      </w:tr>
    </w:tbl>
    <w:p w14:paraId="38D89D36" w14:textId="1A9339D5" w:rsidR="0003701F" w:rsidRPr="0008464E" w:rsidRDefault="0003701F" w:rsidP="0003701F">
      <w:pPr>
        <w:tabs>
          <w:tab w:val="left" w:pos="0"/>
          <w:tab w:val="left" w:pos="1170"/>
        </w:tabs>
        <w:spacing w:before="0" w:after="0"/>
        <w:ind w:left="270"/>
        <w:rPr>
          <w:i/>
          <w:lang w:val="en-US"/>
        </w:rPr>
      </w:pPr>
      <w:r w:rsidRPr="0008464E">
        <w:rPr>
          <w:b/>
          <w:bCs/>
          <w:i/>
          <w:lang w:val="en-US"/>
        </w:rPr>
        <w:t>Note:</w:t>
      </w:r>
      <w:r w:rsidRPr="0008464E">
        <w:rPr>
          <w:i/>
          <w:lang w:val="en-US"/>
        </w:rPr>
        <w:t xml:space="preserve"> All changes are marked in green in the technical specifications section</w:t>
      </w:r>
      <w:r w:rsidR="00002665">
        <w:rPr>
          <w:i/>
          <w:lang w:val="en-US"/>
        </w:rPr>
        <w:t xml:space="preserve"> (Chapter 3. Technical Specifications from Section VII-Schedule of Requirements)</w:t>
      </w:r>
      <w:r w:rsidRPr="0008464E">
        <w:rPr>
          <w:i/>
          <w:lang w:val="en-US"/>
        </w:rPr>
        <w:t>, attached to the present amendment - Please see Annex no. 1 to the Addendum no. 1 to the RFB 0</w:t>
      </w:r>
      <w:r w:rsidR="007E05BB">
        <w:rPr>
          <w:i/>
          <w:lang w:val="en-US"/>
        </w:rPr>
        <w:t>9</w:t>
      </w:r>
      <w:r w:rsidRPr="0008464E">
        <w:rPr>
          <w:i/>
          <w:lang w:val="en-US"/>
        </w:rPr>
        <w:t>/RFB/2025.</w:t>
      </w:r>
    </w:p>
    <w:p w14:paraId="4F572FB8" w14:textId="77777777" w:rsidR="00EB1539" w:rsidRDefault="00EB1539" w:rsidP="00EB1539">
      <w:pPr>
        <w:tabs>
          <w:tab w:val="left" w:pos="0"/>
          <w:tab w:val="left" w:pos="1170"/>
        </w:tabs>
        <w:spacing w:after="0"/>
        <w:ind w:left="270"/>
        <w:rPr>
          <w:i/>
          <w:lang w:val="en-US"/>
        </w:rPr>
      </w:pPr>
    </w:p>
    <w:p w14:paraId="4B21C459" w14:textId="3278D466" w:rsidR="00100722" w:rsidRPr="00DF3A78" w:rsidRDefault="00EB1539" w:rsidP="0029301C">
      <w:pPr>
        <w:numPr>
          <w:ilvl w:val="0"/>
          <w:numId w:val="1"/>
        </w:numPr>
        <w:tabs>
          <w:tab w:val="left" w:pos="0"/>
          <w:tab w:val="left" w:pos="1170"/>
          <w:tab w:val="left" w:pos="1530"/>
        </w:tabs>
        <w:spacing w:after="0"/>
        <w:ind w:left="270" w:firstLine="0"/>
        <w:rPr>
          <w:b/>
          <w:iCs/>
          <w:sz w:val="24"/>
          <w:szCs w:val="24"/>
        </w:rPr>
      </w:pPr>
      <w:r w:rsidRPr="0008464E">
        <w:rPr>
          <w:iCs/>
          <w:lang w:val="en-US"/>
        </w:rPr>
        <w:t>Sec</w:t>
      </w:r>
      <w:r w:rsidRPr="0029301C">
        <w:rPr>
          <w:iCs/>
          <w:lang w:val="en-US"/>
        </w:rPr>
        <w:t xml:space="preserve">tion VII – Schedule of Requirements, </w:t>
      </w:r>
      <w:r w:rsidR="00212E55" w:rsidRPr="0029301C">
        <w:rPr>
          <w:iCs/>
          <w:lang w:val="en-US"/>
        </w:rPr>
        <w:t>1</w:t>
      </w:r>
      <w:r w:rsidRPr="0029301C">
        <w:rPr>
          <w:iCs/>
          <w:lang w:val="en-US"/>
        </w:rPr>
        <w:t xml:space="preserve">. </w:t>
      </w:r>
      <w:r w:rsidR="00212E55" w:rsidRPr="0029301C">
        <w:rPr>
          <w:iCs/>
          <w:lang w:val="en-US"/>
        </w:rPr>
        <w:t>List of Goods and Delivery Schedule</w:t>
      </w:r>
      <w:r w:rsidRPr="0029301C">
        <w:rPr>
          <w:iCs/>
          <w:lang w:val="en-US"/>
        </w:rPr>
        <w:t xml:space="preserve">, </w:t>
      </w:r>
      <w:r w:rsidR="00243FB0" w:rsidRPr="0029301C">
        <w:rPr>
          <w:iCs/>
          <w:lang w:val="en-US"/>
        </w:rPr>
        <w:t xml:space="preserve">the </w:t>
      </w:r>
      <w:r w:rsidR="00991A83" w:rsidRPr="0029301C">
        <w:rPr>
          <w:iCs/>
          <w:lang w:val="en-US"/>
        </w:rPr>
        <w:t xml:space="preserve">latest delivery date </w:t>
      </w:r>
      <w:r w:rsidR="00243FB0" w:rsidRPr="0029301C">
        <w:rPr>
          <w:iCs/>
          <w:lang w:val="en-US"/>
        </w:rPr>
        <w:t xml:space="preserve">for </w:t>
      </w:r>
      <w:r w:rsidR="0029301C" w:rsidRPr="0029301C">
        <w:rPr>
          <w:iCs/>
          <w:lang w:val="en-US"/>
        </w:rPr>
        <w:t xml:space="preserve">lot </w:t>
      </w:r>
      <w:r w:rsidR="00243FB0" w:rsidRPr="0029301C">
        <w:rPr>
          <w:iCs/>
          <w:lang w:val="en-US"/>
        </w:rPr>
        <w:t>no. 3-5, established for</w:t>
      </w:r>
      <w:r w:rsidR="00991A83" w:rsidRPr="0029301C">
        <w:rPr>
          <w:iCs/>
          <w:lang w:val="en-US"/>
        </w:rPr>
        <w:t xml:space="preserve"> </w:t>
      </w:r>
      <w:r w:rsidR="008A667C" w:rsidRPr="0029301C">
        <w:rPr>
          <w:iCs/>
          <w:lang w:val="en-US"/>
        </w:rPr>
        <w:t xml:space="preserve">90 days </w:t>
      </w:r>
      <w:r w:rsidR="00243FB0" w:rsidRPr="0029301C">
        <w:rPr>
          <w:iCs/>
          <w:lang w:val="en-US"/>
        </w:rPr>
        <w:t>following the date of effectiveness of the Contract</w:t>
      </w:r>
      <w:r w:rsidR="003F2532">
        <w:rPr>
          <w:iCs/>
          <w:lang w:val="en-US"/>
        </w:rPr>
        <w:t>,</w:t>
      </w:r>
      <w:r w:rsidRPr="0029301C">
        <w:rPr>
          <w:iCs/>
          <w:lang w:val="en-US"/>
        </w:rPr>
        <w:t xml:space="preserve"> is hereby </w:t>
      </w:r>
      <w:r w:rsidRPr="0029301C">
        <w:rPr>
          <w:b/>
          <w:bCs/>
          <w:iCs/>
          <w:lang w:val="en-US"/>
        </w:rPr>
        <w:t>modified</w:t>
      </w:r>
      <w:r w:rsidRPr="0029301C">
        <w:rPr>
          <w:iCs/>
          <w:lang w:val="en-US"/>
        </w:rPr>
        <w:t xml:space="preserve"> and shall be read </w:t>
      </w:r>
      <w:r w:rsidR="003F2532">
        <w:rPr>
          <w:iCs/>
          <w:lang w:val="en-US"/>
        </w:rPr>
        <w:t xml:space="preserve">as </w:t>
      </w:r>
      <w:r w:rsidR="0029301C" w:rsidRPr="0029301C">
        <w:rPr>
          <w:iCs/>
          <w:lang w:val="en-US"/>
        </w:rPr>
        <w:t>“150 days”.</w:t>
      </w:r>
      <w:r w:rsidRPr="0029301C">
        <w:rPr>
          <w:iCs/>
          <w:lang w:val="en-US"/>
        </w:rPr>
        <w:t xml:space="preserve"> </w:t>
      </w:r>
    </w:p>
    <w:p w14:paraId="6847D461" w14:textId="6B96811E" w:rsidR="00DD2283" w:rsidRPr="000D0FAD" w:rsidRDefault="00DD2283" w:rsidP="000D0FAD">
      <w:pPr>
        <w:tabs>
          <w:tab w:val="left" w:pos="284"/>
          <w:tab w:val="left" w:pos="1170"/>
        </w:tabs>
        <w:spacing w:before="0" w:after="0"/>
        <w:ind w:left="284"/>
        <w:rPr>
          <w:i/>
          <w:lang w:val="en-US"/>
        </w:rPr>
      </w:pPr>
      <w:r w:rsidRPr="000D0FAD">
        <w:rPr>
          <w:b/>
          <w:bCs/>
          <w:i/>
          <w:lang w:val="en-US"/>
        </w:rPr>
        <w:lastRenderedPageBreak/>
        <w:t>Note:</w:t>
      </w:r>
      <w:r w:rsidRPr="000D0FAD">
        <w:rPr>
          <w:i/>
          <w:lang w:val="en-US"/>
        </w:rPr>
        <w:t xml:space="preserve"> All changes are marked in green in the</w:t>
      </w:r>
      <w:r w:rsidR="000D0FAD">
        <w:rPr>
          <w:i/>
          <w:lang w:val="en-US"/>
        </w:rPr>
        <w:t xml:space="preserve"> Table 1. List of Goods and Delivery Schedule</w:t>
      </w:r>
      <w:r w:rsidRPr="000D0FAD">
        <w:rPr>
          <w:i/>
          <w:lang w:val="en-US"/>
        </w:rPr>
        <w:t xml:space="preserve">, attached to the present amendment - Please see Annex no. </w:t>
      </w:r>
      <w:r w:rsidR="0018448A">
        <w:rPr>
          <w:i/>
          <w:lang w:val="en-US"/>
        </w:rPr>
        <w:t>2</w:t>
      </w:r>
      <w:r w:rsidRPr="000D0FAD">
        <w:rPr>
          <w:i/>
          <w:lang w:val="en-US"/>
        </w:rPr>
        <w:t xml:space="preserve"> to the Addendum no. 1 to the RFB 09/RFB/2025.</w:t>
      </w:r>
    </w:p>
    <w:p w14:paraId="24878A89" w14:textId="77777777" w:rsidR="00DF3A78" w:rsidRPr="00EB1539" w:rsidRDefault="00DF3A78" w:rsidP="00DF3A78">
      <w:pPr>
        <w:tabs>
          <w:tab w:val="left" w:pos="0"/>
          <w:tab w:val="left" w:pos="1170"/>
          <w:tab w:val="left" w:pos="1530"/>
        </w:tabs>
        <w:spacing w:after="0"/>
        <w:ind w:left="270"/>
        <w:rPr>
          <w:b/>
          <w:iCs/>
          <w:sz w:val="24"/>
          <w:szCs w:val="24"/>
        </w:rPr>
      </w:pPr>
    </w:p>
    <w:p w14:paraId="70C94B46" w14:textId="0A0A2710" w:rsidR="00A03139" w:rsidRPr="0008464E" w:rsidRDefault="00A03139" w:rsidP="00A03139">
      <w:pPr>
        <w:numPr>
          <w:ilvl w:val="0"/>
          <w:numId w:val="1"/>
        </w:numPr>
        <w:tabs>
          <w:tab w:val="left" w:pos="0"/>
          <w:tab w:val="left" w:pos="1170"/>
          <w:tab w:val="left" w:pos="1620"/>
          <w:tab w:val="left" w:pos="9540"/>
          <w:tab w:val="left" w:pos="10350"/>
        </w:tabs>
        <w:spacing w:after="0"/>
        <w:ind w:left="270" w:firstLine="0"/>
        <w:rPr>
          <w:i/>
          <w:lang w:val="en-US"/>
        </w:rPr>
      </w:pPr>
      <w:r w:rsidRPr="0008464E">
        <w:rPr>
          <w:iCs/>
          <w:lang w:val="en-US"/>
        </w:rPr>
        <w:t xml:space="preserve">Section IX – Special Conditions of Contract, clause no. GCC </w:t>
      </w:r>
      <w:r w:rsidR="00BC41D9">
        <w:rPr>
          <w:iCs/>
          <w:lang w:val="en-US"/>
        </w:rPr>
        <w:t>28</w:t>
      </w:r>
      <w:r w:rsidRPr="0008464E">
        <w:rPr>
          <w:iCs/>
          <w:lang w:val="en-US"/>
        </w:rPr>
        <w:t>.</w:t>
      </w:r>
      <w:r w:rsidR="00BC41D9">
        <w:rPr>
          <w:iCs/>
          <w:lang w:val="en-US"/>
        </w:rPr>
        <w:t xml:space="preserve">3, </w:t>
      </w:r>
      <w:r w:rsidRPr="0008464E">
        <w:rPr>
          <w:iCs/>
          <w:lang w:val="en-US"/>
        </w:rPr>
        <w:t xml:space="preserve">is hereby modified and shall be read as in the column “Revised – Addendum no. 1 to the RFB”: </w:t>
      </w:r>
    </w:p>
    <w:tbl>
      <w:tblPr>
        <w:tblStyle w:val="TableGrid"/>
        <w:tblW w:w="12685" w:type="dxa"/>
        <w:tblInd w:w="270" w:type="dxa"/>
        <w:tblLook w:val="04A0" w:firstRow="1" w:lastRow="0" w:firstColumn="1" w:lastColumn="0" w:noHBand="0" w:noVBand="1"/>
      </w:tblPr>
      <w:tblGrid>
        <w:gridCol w:w="6295"/>
        <w:gridCol w:w="6390"/>
      </w:tblGrid>
      <w:tr w:rsidR="00A03139" w:rsidRPr="0008464E" w14:paraId="402FC358" w14:textId="77777777" w:rsidTr="00915DBF">
        <w:tc>
          <w:tcPr>
            <w:tcW w:w="6295" w:type="dxa"/>
            <w:vAlign w:val="center"/>
          </w:tcPr>
          <w:p w14:paraId="7559B237" w14:textId="5BC18520" w:rsidR="00A03139" w:rsidRPr="0008464E" w:rsidRDefault="00A03139"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RFB no. 0</w:t>
            </w:r>
            <w:r>
              <w:rPr>
                <w:rFonts w:cs="Times New Roman"/>
                <w:b/>
                <w:bCs/>
                <w:i/>
                <w:sz w:val="22"/>
                <w:szCs w:val="22"/>
                <w:lang w:val="en-US"/>
              </w:rPr>
              <w:t>9</w:t>
            </w:r>
            <w:r w:rsidRPr="0008464E">
              <w:rPr>
                <w:rFonts w:cs="Times New Roman"/>
                <w:b/>
                <w:bCs/>
                <w:i/>
                <w:sz w:val="22"/>
                <w:szCs w:val="22"/>
                <w:lang w:val="en-US"/>
              </w:rPr>
              <w:t>/RFB/2024</w:t>
            </w:r>
          </w:p>
        </w:tc>
        <w:tc>
          <w:tcPr>
            <w:tcW w:w="6390" w:type="dxa"/>
            <w:vAlign w:val="center"/>
          </w:tcPr>
          <w:p w14:paraId="0D16D681" w14:textId="77777777" w:rsidR="00A03139" w:rsidRPr="0008464E" w:rsidRDefault="00A03139"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Revised – Addendum no. 1 to the RFB</w:t>
            </w:r>
          </w:p>
        </w:tc>
      </w:tr>
      <w:tr w:rsidR="00A03139" w:rsidRPr="0008464E" w14:paraId="52E56A21" w14:textId="77777777" w:rsidTr="00915DBF">
        <w:tc>
          <w:tcPr>
            <w:tcW w:w="6295" w:type="dxa"/>
            <w:vAlign w:val="center"/>
          </w:tcPr>
          <w:p w14:paraId="0847A329" w14:textId="77777777" w:rsidR="00915DBF" w:rsidRDefault="00915DBF" w:rsidP="00915DBF">
            <w:pPr>
              <w:pStyle w:val="Footer1"/>
              <w:rPr>
                <w:rFonts w:cs="Times New Roman"/>
                <w:sz w:val="22"/>
                <w:szCs w:val="22"/>
                <w:lang w:val="en-US"/>
              </w:rPr>
            </w:pPr>
            <w:r w:rsidRPr="00915DBF">
              <w:rPr>
                <w:rFonts w:cs="Times New Roman"/>
                <w:sz w:val="22"/>
                <w:szCs w:val="22"/>
                <w:lang w:val="en-US"/>
              </w:rPr>
              <w:t>The period of validity of the Warranty shall be a minimum of 36 months from the date of signing the Reception Protocol/s for the completion of the contract obligations.</w:t>
            </w:r>
          </w:p>
          <w:p w14:paraId="476878F7" w14:textId="77777777" w:rsidR="00915DBF" w:rsidRPr="00915DBF" w:rsidRDefault="00915DBF" w:rsidP="00915DBF">
            <w:pPr>
              <w:pStyle w:val="Footer1"/>
              <w:rPr>
                <w:rFonts w:cs="Times New Roman"/>
                <w:sz w:val="22"/>
                <w:szCs w:val="22"/>
                <w:lang w:val="en-US"/>
              </w:rPr>
            </w:pPr>
          </w:p>
          <w:p w14:paraId="3F4B082D" w14:textId="77777777" w:rsidR="00915DBF" w:rsidRDefault="00915DBF" w:rsidP="00915DBF">
            <w:pPr>
              <w:pStyle w:val="Footer1"/>
              <w:rPr>
                <w:rFonts w:cs="Times New Roman"/>
                <w:sz w:val="22"/>
                <w:szCs w:val="22"/>
                <w:lang w:val="en-US"/>
              </w:rPr>
            </w:pPr>
            <w:r w:rsidRPr="00915DBF">
              <w:rPr>
                <w:rFonts w:cs="Times New Roman"/>
                <w:sz w:val="22"/>
                <w:szCs w:val="22"/>
                <w:lang w:val="en-US"/>
              </w:rPr>
              <w:t>For purposes of the Warranty, the places of final destinations shall be: The Project Sites as specified in the Site Table in the Schedule of Requirements Section VII.</w:t>
            </w:r>
          </w:p>
          <w:p w14:paraId="1CFCB018" w14:textId="77777777" w:rsidR="00915DBF" w:rsidRPr="00915DBF" w:rsidRDefault="00915DBF" w:rsidP="00915DBF">
            <w:pPr>
              <w:pStyle w:val="Footer1"/>
              <w:rPr>
                <w:rFonts w:cs="Times New Roman"/>
                <w:sz w:val="22"/>
                <w:szCs w:val="22"/>
                <w:lang w:val="en-US"/>
              </w:rPr>
            </w:pPr>
          </w:p>
          <w:p w14:paraId="7494DE45" w14:textId="3C858D99" w:rsidR="00A03139" w:rsidRPr="0008464E" w:rsidRDefault="00915DBF" w:rsidP="00915DBF">
            <w:pPr>
              <w:pStyle w:val="Footer1"/>
              <w:rPr>
                <w:rFonts w:cs="Times New Roman"/>
                <w:sz w:val="22"/>
                <w:szCs w:val="22"/>
                <w:highlight w:val="yellow"/>
                <w:lang w:val="en-US"/>
              </w:rPr>
            </w:pPr>
            <w:r w:rsidRPr="00915DBF">
              <w:rPr>
                <w:rFonts w:cs="Times New Roman"/>
                <w:sz w:val="22"/>
                <w:szCs w:val="22"/>
                <w:lang w:val="en-US"/>
              </w:rPr>
              <w:t>As a condition of a contract award, the Supplier must submit a notarized copy of the agreement or a contract with its local nominated Agent who would provide warranty and post-warranty services in Romania. The Supplier should also communicate to the Purchaser the name of the dedicated Agent’s specialist in Agent’s office or a call center who would be the main contact point for reporting defects /failures during the warranty period, specified in the reception protocols</w:t>
            </w:r>
          </w:p>
        </w:tc>
        <w:tc>
          <w:tcPr>
            <w:tcW w:w="6390" w:type="dxa"/>
            <w:vAlign w:val="center"/>
          </w:tcPr>
          <w:p w14:paraId="0BDA1788" w14:textId="77777777" w:rsidR="00915DBF" w:rsidRDefault="00915DBF" w:rsidP="00915DBF">
            <w:pPr>
              <w:pStyle w:val="Footer1"/>
              <w:rPr>
                <w:rFonts w:cs="Times New Roman"/>
                <w:sz w:val="22"/>
                <w:szCs w:val="22"/>
                <w:lang w:val="en-US"/>
              </w:rPr>
            </w:pPr>
            <w:r w:rsidRPr="00915DBF">
              <w:rPr>
                <w:rFonts w:cs="Times New Roman"/>
                <w:sz w:val="22"/>
                <w:szCs w:val="22"/>
                <w:lang w:val="en-US"/>
              </w:rPr>
              <w:t>The period of validity of the Warranty shall be a minimum of 36 months from the date of signing the Reception Protocol/s for the completion of the contract obligations.</w:t>
            </w:r>
          </w:p>
          <w:p w14:paraId="48C5756D" w14:textId="77777777" w:rsidR="00915DBF" w:rsidRPr="00915DBF" w:rsidRDefault="00915DBF" w:rsidP="00915DBF">
            <w:pPr>
              <w:pStyle w:val="Footer1"/>
              <w:rPr>
                <w:rFonts w:cs="Times New Roman"/>
                <w:sz w:val="22"/>
                <w:szCs w:val="22"/>
                <w:lang w:val="en-US"/>
              </w:rPr>
            </w:pPr>
          </w:p>
          <w:p w14:paraId="69C42952" w14:textId="6226A8C9" w:rsidR="0066513B" w:rsidRPr="0066513B" w:rsidRDefault="0066513B" w:rsidP="0066513B">
            <w:pPr>
              <w:pStyle w:val="Footer1"/>
              <w:rPr>
                <w:rFonts w:cs="Times New Roman"/>
                <w:iCs/>
                <w:sz w:val="22"/>
                <w:szCs w:val="22"/>
                <w:lang w:val="en-US"/>
              </w:rPr>
            </w:pPr>
            <w:r w:rsidRPr="007D1032">
              <w:rPr>
                <w:rFonts w:cs="Times New Roman"/>
                <w:iCs/>
                <w:sz w:val="22"/>
                <w:szCs w:val="22"/>
                <w:highlight w:val="green"/>
                <w:lang w:val="en-US"/>
              </w:rPr>
              <w:t xml:space="preserve">As a condition of contract </w:t>
            </w:r>
            <w:r w:rsidR="000B788A" w:rsidRPr="007D1032">
              <w:rPr>
                <w:rFonts w:cs="Times New Roman"/>
                <w:iCs/>
                <w:sz w:val="22"/>
                <w:szCs w:val="22"/>
                <w:highlight w:val="green"/>
                <w:lang w:val="en-US"/>
              </w:rPr>
              <w:t>signing</w:t>
            </w:r>
            <w:r w:rsidRPr="0066513B">
              <w:rPr>
                <w:rFonts w:cs="Times New Roman"/>
                <w:iCs/>
                <w:sz w:val="22"/>
                <w:szCs w:val="22"/>
                <w:lang w:val="en-US"/>
              </w:rPr>
              <w:t xml:space="preserve">, the Supplier shall either submit a notarized copy of the agreement or a contract with its local nominated Agent who would provide warranty and post-warranty services in Romania or fulfill their obligations themselves, by providing technical support. </w:t>
            </w:r>
          </w:p>
          <w:p w14:paraId="2572245A" w14:textId="0AB4DF7A" w:rsidR="0066513B" w:rsidRPr="0066513B" w:rsidRDefault="0066513B" w:rsidP="0066513B">
            <w:pPr>
              <w:pStyle w:val="Footer1"/>
              <w:rPr>
                <w:rFonts w:cs="Times New Roman"/>
                <w:iCs/>
                <w:sz w:val="22"/>
                <w:szCs w:val="22"/>
                <w:lang w:val="en-US"/>
              </w:rPr>
            </w:pPr>
            <w:r w:rsidRPr="0066513B">
              <w:rPr>
                <w:rFonts w:cs="Times New Roman"/>
                <w:iCs/>
                <w:sz w:val="22"/>
                <w:szCs w:val="22"/>
                <w:lang w:val="en-US"/>
              </w:rPr>
              <w:t>The Supplier should also either communicate to the Purchaser the name of the dedicated Agent’s specialist in Agent’s office or a call center who would be the main contact point for reporting defects /failures during the warranty period or shall ensure a contact point available by telephone Monday to Friday from 8:00 to 20:00, and Saturday from 8:00 to 16:00, as well as an email and postal address, specified in the reception protocols.</w:t>
            </w:r>
          </w:p>
          <w:p w14:paraId="1DE770F7" w14:textId="57EDFFB2" w:rsidR="0066513B" w:rsidRPr="0008464E" w:rsidRDefault="0066513B" w:rsidP="0066513B">
            <w:pPr>
              <w:pStyle w:val="Footer1"/>
              <w:rPr>
                <w:rFonts w:cs="Times New Roman"/>
                <w:iCs/>
                <w:sz w:val="22"/>
                <w:szCs w:val="22"/>
                <w:highlight w:val="yellow"/>
                <w:lang w:val="en-US"/>
              </w:rPr>
            </w:pPr>
            <w:r w:rsidRPr="0066513B">
              <w:rPr>
                <w:rFonts w:cs="Times New Roman"/>
                <w:iCs/>
                <w:sz w:val="22"/>
                <w:szCs w:val="22"/>
                <w:lang w:val="en-US"/>
              </w:rPr>
              <w:t>Product maintenance, notification and identification of defects shall be carried out in either the Agent’s office or in the service units of the Supplier’s authorized repairers, where an authorized representative of the Purchaser may be present during working hours.</w:t>
            </w:r>
          </w:p>
        </w:tc>
      </w:tr>
    </w:tbl>
    <w:p w14:paraId="3F5830EE" w14:textId="77777777" w:rsidR="00F0590B" w:rsidRPr="00F0590B" w:rsidRDefault="00F0590B" w:rsidP="00F0590B">
      <w:pPr>
        <w:tabs>
          <w:tab w:val="left" w:pos="0"/>
          <w:tab w:val="left" w:pos="1170"/>
          <w:tab w:val="left" w:pos="1620"/>
          <w:tab w:val="left" w:pos="9540"/>
          <w:tab w:val="left" w:pos="10350"/>
        </w:tabs>
        <w:spacing w:after="0"/>
        <w:ind w:left="270"/>
        <w:rPr>
          <w:i/>
          <w:lang w:val="en-US"/>
        </w:rPr>
      </w:pPr>
    </w:p>
    <w:p w14:paraId="731F1ECF" w14:textId="19CD97D6" w:rsidR="00F0590B" w:rsidRPr="007D1032" w:rsidRDefault="00F0590B" w:rsidP="00F0590B">
      <w:pPr>
        <w:numPr>
          <w:ilvl w:val="0"/>
          <w:numId w:val="1"/>
        </w:numPr>
        <w:tabs>
          <w:tab w:val="left" w:pos="0"/>
          <w:tab w:val="left" w:pos="1170"/>
          <w:tab w:val="left" w:pos="1620"/>
          <w:tab w:val="left" w:pos="9540"/>
          <w:tab w:val="left" w:pos="10350"/>
        </w:tabs>
        <w:spacing w:after="0"/>
        <w:ind w:left="270" w:firstLine="0"/>
        <w:rPr>
          <w:i/>
          <w:lang w:val="en-US"/>
        </w:rPr>
      </w:pPr>
      <w:r w:rsidRPr="0008464E">
        <w:rPr>
          <w:iCs/>
          <w:lang w:val="en-US"/>
        </w:rPr>
        <w:t>Section IX – Special Conditions of Contract, clause</w:t>
      </w:r>
      <w:r w:rsidR="00116959">
        <w:rPr>
          <w:iCs/>
          <w:lang w:val="en-US"/>
        </w:rPr>
        <w:t>s</w:t>
      </w:r>
      <w:r w:rsidRPr="0008464E">
        <w:rPr>
          <w:iCs/>
          <w:lang w:val="en-US"/>
        </w:rPr>
        <w:t xml:space="preserve"> no. </w:t>
      </w:r>
      <w:r w:rsidR="00116959" w:rsidRPr="00116959">
        <w:rPr>
          <w:iCs/>
          <w:lang w:val="en-US"/>
        </w:rPr>
        <w:t>GCC 28.5, GCC 28.6</w:t>
      </w:r>
      <w:r>
        <w:rPr>
          <w:iCs/>
          <w:lang w:val="en-US"/>
        </w:rPr>
        <w:t xml:space="preserve">, </w:t>
      </w:r>
      <w:r w:rsidRPr="0008464E">
        <w:rPr>
          <w:iCs/>
          <w:lang w:val="en-US"/>
        </w:rPr>
        <w:t xml:space="preserve">is hereby modified and shall be read as in the column “Revised – Addendum no. 1 to the RFB”: </w:t>
      </w:r>
    </w:p>
    <w:p w14:paraId="7F46BA84" w14:textId="77777777" w:rsidR="007D1032" w:rsidRPr="0008464E" w:rsidRDefault="007D1032" w:rsidP="007D1032">
      <w:pPr>
        <w:tabs>
          <w:tab w:val="left" w:pos="0"/>
          <w:tab w:val="left" w:pos="1170"/>
          <w:tab w:val="left" w:pos="1620"/>
          <w:tab w:val="left" w:pos="9540"/>
          <w:tab w:val="left" w:pos="10350"/>
        </w:tabs>
        <w:spacing w:after="0"/>
        <w:ind w:left="270"/>
        <w:rPr>
          <w:i/>
          <w:lang w:val="en-US"/>
        </w:rPr>
      </w:pPr>
    </w:p>
    <w:tbl>
      <w:tblPr>
        <w:tblStyle w:val="TableGrid"/>
        <w:tblW w:w="12685" w:type="dxa"/>
        <w:tblInd w:w="270" w:type="dxa"/>
        <w:tblLook w:val="04A0" w:firstRow="1" w:lastRow="0" w:firstColumn="1" w:lastColumn="0" w:noHBand="0" w:noVBand="1"/>
      </w:tblPr>
      <w:tblGrid>
        <w:gridCol w:w="6295"/>
        <w:gridCol w:w="6390"/>
      </w:tblGrid>
      <w:tr w:rsidR="00F0590B" w:rsidRPr="0008464E" w14:paraId="75A4DA51" w14:textId="77777777" w:rsidTr="00CB4FD0">
        <w:tc>
          <w:tcPr>
            <w:tcW w:w="6295" w:type="dxa"/>
            <w:vAlign w:val="center"/>
          </w:tcPr>
          <w:p w14:paraId="0BEDE2CA" w14:textId="77777777" w:rsidR="00F0590B" w:rsidRPr="0008464E" w:rsidRDefault="00F0590B"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RFB no. 0</w:t>
            </w:r>
            <w:r>
              <w:rPr>
                <w:rFonts w:cs="Times New Roman"/>
                <w:b/>
                <w:bCs/>
                <w:i/>
                <w:sz w:val="22"/>
                <w:szCs w:val="22"/>
                <w:lang w:val="en-US"/>
              </w:rPr>
              <w:t>9</w:t>
            </w:r>
            <w:r w:rsidRPr="0008464E">
              <w:rPr>
                <w:rFonts w:cs="Times New Roman"/>
                <w:b/>
                <w:bCs/>
                <w:i/>
                <w:sz w:val="22"/>
                <w:szCs w:val="22"/>
                <w:lang w:val="en-US"/>
              </w:rPr>
              <w:t>/RFB/2024</w:t>
            </w:r>
          </w:p>
        </w:tc>
        <w:tc>
          <w:tcPr>
            <w:tcW w:w="6390" w:type="dxa"/>
            <w:vAlign w:val="center"/>
          </w:tcPr>
          <w:p w14:paraId="40220EF6" w14:textId="77777777" w:rsidR="00F0590B" w:rsidRPr="0008464E" w:rsidRDefault="00F0590B" w:rsidP="00CB4FD0">
            <w:pPr>
              <w:tabs>
                <w:tab w:val="left" w:pos="0"/>
                <w:tab w:val="left" w:pos="1170"/>
              </w:tabs>
              <w:spacing w:before="0" w:after="0"/>
              <w:jc w:val="center"/>
              <w:rPr>
                <w:rFonts w:cs="Times New Roman"/>
                <w:b/>
                <w:bCs/>
                <w:i/>
                <w:sz w:val="22"/>
                <w:szCs w:val="22"/>
                <w:lang w:val="en-US"/>
              </w:rPr>
            </w:pPr>
            <w:r w:rsidRPr="0008464E">
              <w:rPr>
                <w:rFonts w:cs="Times New Roman"/>
                <w:b/>
                <w:bCs/>
                <w:i/>
                <w:sz w:val="22"/>
                <w:szCs w:val="22"/>
                <w:lang w:val="en-US"/>
              </w:rPr>
              <w:t>Revised – Addendum no. 1 to the RFB</w:t>
            </w:r>
          </w:p>
        </w:tc>
      </w:tr>
      <w:tr w:rsidR="00F0590B" w:rsidRPr="0008464E" w14:paraId="5AE03E02" w14:textId="77777777" w:rsidTr="00CB4FD0">
        <w:tc>
          <w:tcPr>
            <w:tcW w:w="6295" w:type="dxa"/>
            <w:vAlign w:val="center"/>
          </w:tcPr>
          <w:p w14:paraId="3DDAE7E7" w14:textId="43EB9851" w:rsidR="00F0590B" w:rsidRPr="0008464E" w:rsidRDefault="004D7F5E" w:rsidP="00CB4FD0">
            <w:pPr>
              <w:pStyle w:val="Footer1"/>
              <w:rPr>
                <w:rFonts w:cs="Times New Roman"/>
                <w:sz w:val="22"/>
                <w:szCs w:val="22"/>
                <w:highlight w:val="yellow"/>
                <w:lang w:val="en-US"/>
              </w:rPr>
            </w:pPr>
            <w:r w:rsidRPr="004D7F5E">
              <w:rPr>
                <w:rFonts w:cs="Times New Roman"/>
                <w:sz w:val="22"/>
                <w:szCs w:val="22"/>
                <w:lang w:val="en-US"/>
              </w:rPr>
              <w:t>The period for repair or replacement shall be: 72 hours, commencing from the receipt of the Beneficiaries’ written notice or the term specified in the Technical Specifications section.</w:t>
            </w:r>
          </w:p>
        </w:tc>
        <w:tc>
          <w:tcPr>
            <w:tcW w:w="6390" w:type="dxa"/>
            <w:vAlign w:val="center"/>
          </w:tcPr>
          <w:p w14:paraId="443B518D" w14:textId="77777777" w:rsidR="00715E7F" w:rsidRDefault="00715E7F" w:rsidP="00715E7F">
            <w:pPr>
              <w:pStyle w:val="Footer1"/>
              <w:rPr>
                <w:rFonts w:cs="Times New Roman"/>
                <w:sz w:val="22"/>
                <w:szCs w:val="22"/>
                <w:lang w:val="en-US"/>
              </w:rPr>
            </w:pPr>
            <w:r w:rsidRPr="004D7F5E">
              <w:rPr>
                <w:rFonts w:cs="Times New Roman"/>
                <w:sz w:val="22"/>
                <w:szCs w:val="22"/>
                <w:lang w:val="en-US"/>
              </w:rPr>
              <w:t>The period for repair or replacement shall be: 72 hours, commencing from the receipt of the Beneficiaries’ written notice or the term specified in the Technical Specifications section.</w:t>
            </w:r>
          </w:p>
          <w:p w14:paraId="2AF38273" w14:textId="58FEDB99" w:rsidR="00F0590B" w:rsidRPr="0008464E" w:rsidRDefault="00715E7F" w:rsidP="00715E7F">
            <w:pPr>
              <w:pStyle w:val="Footer1"/>
              <w:rPr>
                <w:rFonts w:cs="Times New Roman"/>
                <w:iCs/>
                <w:sz w:val="22"/>
                <w:szCs w:val="22"/>
                <w:highlight w:val="yellow"/>
                <w:lang w:val="en-US"/>
              </w:rPr>
            </w:pPr>
            <w:r w:rsidRPr="00715E7F">
              <w:rPr>
                <w:rFonts w:cs="Times New Roman"/>
                <w:sz w:val="22"/>
                <w:szCs w:val="22"/>
                <w:lang w:val="en-US"/>
              </w:rPr>
              <w:t>The standard period for repair or replacement may be extended, by mutual agreement by the parties, depending on the complexity of the intervention and the supplier’s stock of spare parts, duly justified by the supplier with supporting evidence.</w:t>
            </w:r>
          </w:p>
        </w:tc>
      </w:tr>
    </w:tbl>
    <w:p w14:paraId="43021864" w14:textId="77777777" w:rsidR="003D2CE4" w:rsidRPr="003D2CE4" w:rsidRDefault="003D2CE4" w:rsidP="003D2CE4">
      <w:pPr>
        <w:tabs>
          <w:tab w:val="left" w:pos="0"/>
          <w:tab w:val="left" w:pos="1170"/>
          <w:tab w:val="left" w:pos="1620"/>
          <w:tab w:val="left" w:pos="10350"/>
        </w:tabs>
        <w:spacing w:after="0"/>
        <w:ind w:left="1980"/>
        <w:rPr>
          <w:i/>
          <w:lang w:val="en-US"/>
        </w:rPr>
      </w:pPr>
    </w:p>
    <w:p w14:paraId="17542F87" w14:textId="3EBF8800" w:rsidR="0049146E" w:rsidRPr="0008464E" w:rsidRDefault="0049146E" w:rsidP="00DF3A78">
      <w:pPr>
        <w:numPr>
          <w:ilvl w:val="0"/>
          <w:numId w:val="1"/>
        </w:numPr>
        <w:tabs>
          <w:tab w:val="left" w:pos="0"/>
          <w:tab w:val="left" w:pos="1170"/>
          <w:tab w:val="left" w:pos="1530"/>
        </w:tabs>
        <w:spacing w:after="0"/>
        <w:ind w:left="270" w:firstLine="0"/>
        <w:rPr>
          <w:i/>
          <w:lang w:val="en-US"/>
        </w:rPr>
      </w:pPr>
      <w:r w:rsidRPr="0008464E">
        <w:rPr>
          <w:lang w:val="en-US"/>
        </w:rPr>
        <w:t xml:space="preserve">All other clauses and provisions of the Request for Bids no. </w:t>
      </w:r>
      <w:r w:rsidRPr="0008464E">
        <w:rPr>
          <w:iCs/>
          <w:lang w:val="en-US"/>
        </w:rPr>
        <w:t>0</w:t>
      </w:r>
      <w:r w:rsidR="00DF3A78">
        <w:rPr>
          <w:iCs/>
          <w:lang w:val="en-US"/>
        </w:rPr>
        <w:t>9</w:t>
      </w:r>
      <w:r w:rsidRPr="0008464E">
        <w:rPr>
          <w:iCs/>
          <w:lang w:val="en-US"/>
        </w:rPr>
        <w:t>/RFB/2025</w:t>
      </w:r>
      <w:r w:rsidRPr="0008464E">
        <w:rPr>
          <w:lang w:val="en-US"/>
        </w:rPr>
        <w:t xml:space="preserve"> that are not amended as per the articles above shall remain valid and unchanged</w:t>
      </w:r>
      <w:r w:rsidR="00DF3A78">
        <w:rPr>
          <w:iCs/>
          <w:lang w:val="en-US"/>
        </w:rPr>
        <w:t>.</w:t>
      </w:r>
    </w:p>
    <w:p w14:paraId="6B1455FA" w14:textId="006007FD" w:rsidR="00982427" w:rsidRDefault="00DB4458" w:rsidP="00DB4458">
      <w:pPr>
        <w:pStyle w:val="ListParagraph"/>
        <w:pBdr>
          <w:bottom w:val="single" w:sz="4" w:space="1" w:color="auto"/>
        </w:pBdr>
        <w:shd w:val="clear" w:color="auto" w:fill="0070C0"/>
        <w:tabs>
          <w:tab w:val="left" w:pos="1350"/>
        </w:tabs>
        <w:spacing w:after="0"/>
        <w:ind w:left="270" w:right="-360"/>
        <w:rPr>
          <w:b/>
          <w:bCs/>
          <w:iCs/>
          <w:sz w:val="24"/>
          <w:szCs w:val="24"/>
          <w:u w:val="single"/>
          <w:lang w:val="en-US"/>
        </w:rPr>
      </w:pPr>
      <w:r w:rsidRPr="00DB4458">
        <w:rPr>
          <w:b/>
          <w:bCs/>
          <w:iCs/>
          <w:sz w:val="24"/>
          <w:szCs w:val="24"/>
          <w:u w:val="single"/>
        </w:rPr>
        <w:t>____________________________________________________________________________________________</w:t>
      </w:r>
    </w:p>
    <w:p w14:paraId="7AD5EF26" w14:textId="77777777" w:rsidR="00982427" w:rsidRDefault="00982427" w:rsidP="008925D0">
      <w:pPr>
        <w:pStyle w:val="ListParagraph"/>
        <w:tabs>
          <w:tab w:val="left" w:pos="1350"/>
        </w:tabs>
        <w:spacing w:after="0"/>
        <w:ind w:left="270" w:right="-360"/>
        <w:rPr>
          <w:b/>
          <w:bCs/>
          <w:iCs/>
          <w:sz w:val="24"/>
          <w:szCs w:val="24"/>
          <w:u w:val="single"/>
          <w:lang w:val="en-US"/>
        </w:rPr>
      </w:pPr>
    </w:p>
    <w:p w14:paraId="1AD40705" w14:textId="342E8A60" w:rsidR="00F22898" w:rsidRPr="00AF7F52" w:rsidRDefault="00F22898" w:rsidP="00DB4458">
      <w:pPr>
        <w:spacing w:before="0" w:after="0"/>
        <w:ind w:right="-2"/>
        <w:rPr>
          <w:rFonts w:cs="Times New Roman"/>
          <w:bCs/>
          <w:sz w:val="24"/>
          <w:szCs w:val="24"/>
          <w:lang w:val="en-US"/>
        </w:rPr>
      </w:pPr>
      <w:r>
        <w:rPr>
          <w:rFonts w:cs="Times New Roman"/>
          <w:bCs/>
          <w:sz w:val="24"/>
          <w:szCs w:val="24"/>
          <w:lang w:val="en-US"/>
        </w:rPr>
        <w:t>Annex 1 and Annex 2 are an integral part of this Amendment no. 1 to the bidding documents.</w:t>
      </w:r>
    </w:p>
    <w:sectPr w:rsidR="00F22898" w:rsidRPr="00AF7F52" w:rsidSect="00A144D1">
      <w:headerReference w:type="default" r:id="rId8"/>
      <w:footerReference w:type="default" r:id="rId9"/>
      <w:headerReference w:type="first" r:id="rId10"/>
      <w:pgSz w:w="15840" w:h="12240" w:orient="landscape"/>
      <w:pgMar w:top="990" w:right="1440" w:bottom="99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4469" w14:textId="77777777" w:rsidR="0056576D" w:rsidRDefault="0056576D" w:rsidP="001C48DE">
      <w:pPr>
        <w:spacing w:before="0" w:after="0" w:line="240" w:lineRule="auto"/>
      </w:pPr>
      <w:r>
        <w:separator/>
      </w:r>
    </w:p>
  </w:endnote>
  <w:endnote w:type="continuationSeparator" w:id="0">
    <w:p w14:paraId="7A16532D" w14:textId="77777777" w:rsidR="0056576D" w:rsidRDefault="0056576D" w:rsidP="001C48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25249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B0AA9B4" w14:textId="1B93F0B6" w:rsidR="00842B4C" w:rsidRPr="00842B4C" w:rsidRDefault="00842B4C">
            <w:pPr>
              <w:pStyle w:val="Footer"/>
              <w:jc w:val="right"/>
              <w:rPr>
                <w:sz w:val="18"/>
                <w:szCs w:val="18"/>
              </w:rPr>
            </w:pPr>
            <w:r w:rsidRPr="00842B4C">
              <w:rPr>
                <w:sz w:val="18"/>
                <w:szCs w:val="18"/>
              </w:rPr>
              <w:t xml:space="preserve">Page </w:t>
            </w:r>
            <w:r w:rsidRPr="00842B4C">
              <w:rPr>
                <w:b/>
                <w:bCs/>
                <w:sz w:val="18"/>
                <w:szCs w:val="18"/>
              </w:rPr>
              <w:fldChar w:fldCharType="begin"/>
            </w:r>
            <w:r w:rsidRPr="00842B4C">
              <w:rPr>
                <w:b/>
                <w:bCs/>
                <w:sz w:val="18"/>
                <w:szCs w:val="18"/>
              </w:rPr>
              <w:instrText xml:space="preserve"> PAGE </w:instrText>
            </w:r>
            <w:r w:rsidRPr="00842B4C">
              <w:rPr>
                <w:b/>
                <w:bCs/>
                <w:sz w:val="18"/>
                <w:szCs w:val="18"/>
              </w:rPr>
              <w:fldChar w:fldCharType="separate"/>
            </w:r>
            <w:r w:rsidRPr="00842B4C">
              <w:rPr>
                <w:b/>
                <w:bCs/>
                <w:noProof/>
                <w:sz w:val="18"/>
                <w:szCs w:val="18"/>
              </w:rPr>
              <w:t>2</w:t>
            </w:r>
            <w:r w:rsidRPr="00842B4C">
              <w:rPr>
                <w:b/>
                <w:bCs/>
                <w:sz w:val="18"/>
                <w:szCs w:val="18"/>
              </w:rPr>
              <w:fldChar w:fldCharType="end"/>
            </w:r>
            <w:r w:rsidRPr="00842B4C">
              <w:rPr>
                <w:sz w:val="18"/>
                <w:szCs w:val="18"/>
              </w:rPr>
              <w:t xml:space="preserve"> of </w:t>
            </w:r>
            <w:r w:rsidRPr="00842B4C">
              <w:rPr>
                <w:b/>
                <w:bCs/>
                <w:sz w:val="18"/>
                <w:szCs w:val="18"/>
              </w:rPr>
              <w:fldChar w:fldCharType="begin"/>
            </w:r>
            <w:r w:rsidRPr="00842B4C">
              <w:rPr>
                <w:b/>
                <w:bCs/>
                <w:sz w:val="18"/>
                <w:szCs w:val="18"/>
              </w:rPr>
              <w:instrText xml:space="preserve"> NUMPAGES  </w:instrText>
            </w:r>
            <w:r w:rsidRPr="00842B4C">
              <w:rPr>
                <w:b/>
                <w:bCs/>
                <w:sz w:val="18"/>
                <w:szCs w:val="18"/>
              </w:rPr>
              <w:fldChar w:fldCharType="separate"/>
            </w:r>
            <w:r w:rsidRPr="00842B4C">
              <w:rPr>
                <w:b/>
                <w:bCs/>
                <w:noProof/>
                <w:sz w:val="18"/>
                <w:szCs w:val="18"/>
              </w:rPr>
              <w:t>2</w:t>
            </w:r>
            <w:r w:rsidRPr="00842B4C">
              <w:rPr>
                <w:b/>
                <w:bCs/>
                <w:sz w:val="18"/>
                <w:szCs w:val="18"/>
              </w:rPr>
              <w:fldChar w:fldCharType="end"/>
            </w:r>
          </w:p>
        </w:sdtContent>
      </w:sdt>
    </w:sdtContent>
  </w:sdt>
  <w:p w14:paraId="763B257F" w14:textId="77777777" w:rsidR="00B847F0" w:rsidRDefault="00B8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9091" w14:textId="77777777" w:rsidR="0056576D" w:rsidRDefault="0056576D" w:rsidP="001C48DE">
      <w:pPr>
        <w:spacing w:before="0" w:after="0" w:line="240" w:lineRule="auto"/>
      </w:pPr>
      <w:r>
        <w:separator/>
      </w:r>
    </w:p>
  </w:footnote>
  <w:footnote w:type="continuationSeparator" w:id="0">
    <w:p w14:paraId="67140C33" w14:textId="77777777" w:rsidR="0056576D" w:rsidRDefault="0056576D" w:rsidP="001C48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B57D" w14:textId="2F3C3B51" w:rsidR="00782957" w:rsidRDefault="00E84A39">
    <w:pPr>
      <w:pStyle w:val="Header"/>
    </w:pPr>
    <w:r>
      <w:rPr>
        <w:noProof/>
      </w:rPr>
      <w:drawing>
        <wp:inline distT="0" distB="0" distL="0" distR="0" wp14:anchorId="34BC4DEB" wp14:editId="370612C1">
          <wp:extent cx="2598420" cy="652780"/>
          <wp:effectExtent l="0" t="0" r="0" b="0"/>
          <wp:docPr id="1350291418" name="Picture 1" descr="C:\Users\gabriel.jitaru\Desktop\20191107 ministru instalare\logo MMAP\MMAP-EN-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209" name="Picture 1669218209" descr="C:\Users\gabriel.jitaru\Desktop\20191107 ministru instalare\logo MMAP\MMAP-EN-an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652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829E" w14:textId="3971FB16" w:rsidR="00B847F0" w:rsidRDefault="00B847F0">
    <w:pPr>
      <w:pStyle w:val="Header"/>
    </w:pPr>
    <w:r>
      <w:rPr>
        <w:noProof/>
        <w:lang w:val="en-GB" w:eastAsia="en-GB"/>
      </w:rPr>
      <w:drawing>
        <wp:anchor distT="0" distB="0" distL="114300" distR="114300" simplePos="0" relativeHeight="251661312" behindDoc="0" locked="0" layoutInCell="1" allowOverlap="1" wp14:anchorId="64BA4120" wp14:editId="58614310">
          <wp:simplePos x="0" y="0"/>
          <wp:positionH relativeFrom="column">
            <wp:posOffset>0</wp:posOffset>
          </wp:positionH>
          <wp:positionV relativeFrom="paragraph">
            <wp:posOffset>266700</wp:posOffset>
          </wp:positionV>
          <wp:extent cx="2598420" cy="652780"/>
          <wp:effectExtent l="0" t="0" r="0" b="0"/>
          <wp:wrapSquare wrapText="bothSides"/>
          <wp:docPr id="1796174695" name="Picture 1796174695" descr="C:\Users\gabriel.jitaru\Desktop\20191107 ministru instalare\logo MMAP\MMAP-EN-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jitaru\Desktop\20191107 ministru instalare\logo MMAP\MMAP-EN-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0D"/>
    <w:multiLevelType w:val="hybridMultilevel"/>
    <w:tmpl w:val="2D684460"/>
    <w:lvl w:ilvl="0" w:tplc="FFFFFFFF">
      <w:start w:val="1"/>
      <w:numFmt w:val="decimal"/>
      <w:lvlText w:val="Article %1."/>
      <w:lvlJc w:val="left"/>
      <w:pPr>
        <w:ind w:left="450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2342C"/>
    <w:multiLevelType w:val="hybridMultilevel"/>
    <w:tmpl w:val="6C8EE748"/>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D7EDF"/>
    <w:multiLevelType w:val="hybridMultilevel"/>
    <w:tmpl w:val="04F2FCE0"/>
    <w:lvl w:ilvl="0" w:tplc="5B6CBDFC">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1D4B09"/>
    <w:multiLevelType w:val="hybridMultilevel"/>
    <w:tmpl w:val="2162FF90"/>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94BA5"/>
    <w:multiLevelType w:val="hybridMultilevel"/>
    <w:tmpl w:val="6D0E31A8"/>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0FB13C39"/>
    <w:multiLevelType w:val="hybridMultilevel"/>
    <w:tmpl w:val="9CA6084C"/>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A2375"/>
    <w:multiLevelType w:val="hybridMultilevel"/>
    <w:tmpl w:val="B0A66CE6"/>
    <w:lvl w:ilvl="0" w:tplc="4AC6DE8A">
      <w:start w:val="1"/>
      <w:numFmt w:val="lowerRoman"/>
      <w:lvlText w:val="(%1)"/>
      <w:lvlJc w:val="left"/>
      <w:pPr>
        <w:tabs>
          <w:tab w:val="num" w:pos="1152"/>
        </w:tabs>
        <w:ind w:left="1152" w:hanging="720"/>
      </w:pPr>
      <w:rPr>
        <w:rFonts w:hint="default"/>
        <w:b w:val="0"/>
        <w:bCs w:val="0"/>
      </w:rPr>
    </w:lvl>
    <w:lvl w:ilvl="1" w:tplc="04180019">
      <w:start w:val="1"/>
      <w:numFmt w:val="lowerLetter"/>
      <w:lvlText w:val="%2."/>
      <w:lvlJc w:val="left"/>
      <w:pPr>
        <w:tabs>
          <w:tab w:val="num" w:pos="1152"/>
        </w:tabs>
        <w:ind w:left="1152" w:hanging="360"/>
      </w:pPr>
    </w:lvl>
    <w:lvl w:ilvl="2" w:tplc="0418001B">
      <w:start w:val="1"/>
      <w:numFmt w:val="lowerRoman"/>
      <w:lvlText w:val="%3."/>
      <w:lvlJc w:val="right"/>
      <w:pPr>
        <w:tabs>
          <w:tab w:val="num" w:pos="1872"/>
        </w:tabs>
        <w:ind w:left="1872" w:hanging="180"/>
      </w:pPr>
    </w:lvl>
    <w:lvl w:ilvl="3" w:tplc="0418000F">
      <w:start w:val="1"/>
      <w:numFmt w:val="decimal"/>
      <w:lvlText w:val="%4."/>
      <w:lvlJc w:val="left"/>
      <w:pPr>
        <w:tabs>
          <w:tab w:val="num" w:pos="2592"/>
        </w:tabs>
        <w:ind w:left="2592" w:hanging="360"/>
      </w:pPr>
    </w:lvl>
    <w:lvl w:ilvl="4" w:tplc="04180019">
      <w:start w:val="1"/>
      <w:numFmt w:val="lowerLetter"/>
      <w:lvlText w:val="%5."/>
      <w:lvlJc w:val="left"/>
      <w:pPr>
        <w:tabs>
          <w:tab w:val="num" w:pos="3312"/>
        </w:tabs>
        <w:ind w:left="3312" w:hanging="360"/>
      </w:pPr>
    </w:lvl>
    <w:lvl w:ilvl="5" w:tplc="0418001B">
      <w:start w:val="1"/>
      <w:numFmt w:val="lowerRoman"/>
      <w:lvlText w:val="%6."/>
      <w:lvlJc w:val="right"/>
      <w:pPr>
        <w:tabs>
          <w:tab w:val="num" w:pos="4032"/>
        </w:tabs>
        <w:ind w:left="4032" w:hanging="180"/>
      </w:pPr>
    </w:lvl>
    <w:lvl w:ilvl="6" w:tplc="0418000F">
      <w:start w:val="1"/>
      <w:numFmt w:val="decimal"/>
      <w:lvlText w:val="%7."/>
      <w:lvlJc w:val="left"/>
      <w:pPr>
        <w:tabs>
          <w:tab w:val="num" w:pos="4752"/>
        </w:tabs>
        <w:ind w:left="4752" w:hanging="360"/>
      </w:pPr>
    </w:lvl>
    <w:lvl w:ilvl="7" w:tplc="04180019">
      <w:start w:val="1"/>
      <w:numFmt w:val="lowerLetter"/>
      <w:lvlText w:val="%8."/>
      <w:lvlJc w:val="left"/>
      <w:pPr>
        <w:tabs>
          <w:tab w:val="num" w:pos="5472"/>
        </w:tabs>
        <w:ind w:left="5472" w:hanging="360"/>
      </w:pPr>
    </w:lvl>
    <w:lvl w:ilvl="8" w:tplc="0418001B">
      <w:start w:val="1"/>
      <w:numFmt w:val="lowerRoman"/>
      <w:lvlText w:val="%9."/>
      <w:lvlJc w:val="right"/>
      <w:pPr>
        <w:tabs>
          <w:tab w:val="num" w:pos="6192"/>
        </w:tabs>
        <w:ind w:left="6192" w:hanging="180"/>
      </w:pPr>
    </w:lvl>
  </w:abstractNum>
  <w:abstractNum w:abstractNumId="7" w15:restartNumberingAfterBreak="0">
    <w:nsid w:val="1C6A36C6"/>
    <w:multiLevelType w:val="hybridMultilevel"/>
    <w:tmpl w:val="98660174"/>
    <w:lvl w:ilvl="0" w:tplc="FFFFFFFF">
      <w:start w:val="1"/>
      <w:numFmt w:val="decimal"/>
      <w:lvlText w:val="Article %1."/>
      <w:lvlJc w:val="left"/>
      <w:pPr>
        <w:ind w:left="198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B56C60"/>
    <w:multiLevelType w:val="hybridMultilevel"/>
    <w:tmpl w:val="B0E49A3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E7531"/>
    <w:multiLevelType w:val="hybridMultilevel"/>
    <w:tmpl w:val="EA961E62"/>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A00C8"/>
    <w:multiLevelType w:val="hybridMultilevel"/>
    <w:tmpl w:val="0C6CDCE8"/>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A2CDB"/>
    <w:multiLevelType w:val="hybridMultilevel"/>
    <w:tmpl w:val="E60AB8E0"/>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80B10"/>
    <w:multiLevelType w:val="singleLevel"/>
    <w:tmpl w:val="30D4A14C"/>
    <w:lvl w:ilvl="0">
      <w:start w:val="1"/>
      <w:numFmt w:val="lowerRoman"/>
      <w:lvlText w:val="(%1)"/>
      <w:lvlJc w:val="left"/>
      <w:pPr>
        <w:tabs>
          <w:tab w:val="num" w:pos="1440"/>
        </w:tabs>
        <w:ind w:left="1440" w:hanging="720"/>
      </w:pPr>
      <w:rPr>
        <w:rFonts w:hint="default"/>
      </w:rPr>
    </w:lvl>
  </w:abstractNum>
  <w:abstractNum w:abstractNumId="14" w15:restartNumberingAfterBreak="0">
    <w:nsid w:val="2A8B48F0"/>
    <w:multiLevelType w:val="hybridMultilevel"/>
    <w:tmpl w:val="AADA0D24"/>
    <w:lvl w:ilvl="0" w:tplc="83340982">
      <w:start w:val="1"/>
      <w:numFmt w:val="decimal"/>
      <w:lvlText w:val="%1)"/>
      <w:lvlJc w:val="left"/>
      <w:pPr>
        <w:tabs>
          <w:tab w:val="num" w:pos="810"/>
        </w:tabs>
        <w:ind w:left="81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5" w15:restartNumberingAfterBreak="0">
    <w:nsid w:val="2B324733"/>
    <w:multiLevelType w:val="hybridMultilevel"/>
    <w:tmpl w:val="BC7A2E14"/>
    <w:lvl w:ilvl="0" w:tplc="455ADCD6">
      <w:start w:val="1"/>
      <w:numFmt w:val="lowerLetter"/>
      <w:lvlText w:val="(%1)"/>
      <w:lvlJc w:val="left"/>
      <w:pPr>
        <w:tabs>
          <w:tab w:val="num" w:pos="576"/>
        </w:tabs>
        <w:ind w:left="576"/>
      </w:pPr>
      <w:rPr>
        <w:rFonts w:hint="default"/>
      </w:rPr>
    </w:lvl>
    <w:lvl w:ilvl="1" w:tplc="BD388350">
      <w:start w:val="1"/>
      <w:numFmt w:val="lowerLetter"/>
      <w:lvlText w:val="(%2)"/>
      <w:lvlJc w:val="left"/>
      <w:pPr>
        <w:tabs>
          <w:tab w:val="num" w:pos="936"/>
        </w:tabs>
        <w:ind w:left="936"/>
      </w:pPr>
      <w:rPr>
        <w:rFonts w:hint="default"/>
      </w:rPr>
    </w:lvl>
    <w:lvl w:ilvl="2" w:tplc="F26A7182">
      <w:start w:val="1"/>
      <w:numFmt w:val="lowerRoman"/>
      <w:lvlText w:val="%3."/>
      <w:lvlJc w:val="right"/>
      <w:pPr>
        <w:tabs>
          <w:tab w:val="num" w:pos="2016"/>
        </w:tabs>
        <w:ind w:left="2016" w:hanging="180"/>
      </w:pPr>
    </w:lvl>
    <w:lvl w:ilvl="3" w:tplc="A0C42C8E">
      <w:start w:val="1"/>
      <w:numFmt w:val="lowerLetter"/>
      <w:lvlText w:val="%4)"/>
      <w:lvlJc w:val="left"/>
      <w:pPr>
        <w:ind w:left="2736" w:hanging="360"/>
      </w:pPr>
      <w:rPr>
        <w:rFonts w:hint="default"/>
        <w:b/>
        <w:bCs/>
        <w:i w:val="0"/>
        <w:iCs w:val="0"/>
      </w:rPr>
    </w:lvl>
    <w:lvl w:ilvl="4" w:tplc="094AC358">
      <w:start w:val="1"/>
      <w:numFmt w:val="decimal"/>
      <w:lvlText w:val="%5."/>
      <w:lvlJc w:val="left"/>
      <w:pPr>
        <w:ind w:left="3456" w:hanging="360"/>
      </w:pPr>
      <w:rPr>
        <w:rFonts w:hint="default"/>
      </w:rPr>
    </w:lvl>
    <w:lvl w:ilvl="5" w:tplc="A86E1614">
      <w:start w:val="1"/>
      <w:numFmt w:val="lowerRoman"/>
      <w:lvlText w:val="%6."/>
      <w:lvlJc w:val="right"/>
      <w:pPr>
        <w:tabs>
          <w:tab w:val="num" w:pos="4176"/>
        </w:tabs>
        <w:ind w:left="4176" w:hanging="180"/>
      </w:pPr>
    </w:lvl>
    <w:lvl w:ilvl="6" w:tplc="5B820836">
      <w:start w:val="1"/>
      <w:numFmt w:val="decimal"/>
      <w:lvlText w:val="%7."/>
      <w:lvlJc w:val="left"/>
      <w:pPr>
        <w:tabs>
          <w:tab w:val="num" w:pos="4896"/>
        </w:tabs>
        <w:ind w:left="4896" w:hanging="360"/>
      </w:pPr>
    </w:lvl>
    <w:lvl w:ilvl="7" w:tplc="58C4C25A">
      <w:start w:val="1"/>
      <w:numFmt w:val="lowerLetter"/>
      <w:lvlText w:val="%8."/>
      <w:lvlJc w:val="left"/>
      <w:pPr>
        <w:tabs>
          <w:tab w:val="num" w:pos="5616"/>
        </w:tabs>
        <w:ind w:left="5616" w:hanging="360"/>
      </w:pPr>
    </w:lvl>
    <w:lvl w:ilvl="8" w:tplc="77F0AE6C">
      <w:start w:val="1"/>
      <w:numFmt w:val="lowerRoman"/>
      <w:lvlText w:val="%9."/>
      <w:lvlJc w:val="right"/>
      <w:pPr>
        <w:tabs>
          <w:tab w:val="num" w:pos="6336"/>
        </w:tabs>
        <w:ind w:left="6336" w:hanging="180"/>
      </w:pPr>
    </w:lvl>
  </w:abstractNum>
  <w:abstractNum w:abstractNumId="16" w15:restartNumberingAfterBreak="0">
    <w:nsid w:val="2F910AF1"/>
    <w:multiLevelType w:val="hybridMultilevel"/>
    <w:tmpl w:val="ADD2EAE6"/>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75D3990"/>
    <w:multiLevelType w:val="hybridMultilevel"/>
    <w:tmpl w:val="E370F52C"/>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7AE55F4"/>
    <w:multiLevelType w:val="hybridMultilevel"/>
    <w:tmpl w:val="6D585178"/>
    <w:lvl w:ilvl="0" w:tplc="552ABEC0">
      <w:start w:val="1"/>
      <w:numFmt w:val="low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9936980"/>
    <w:multiLevelType w:val="hybridMultilevel"/>
    <w:tmpl w:val="8356F3E8"/>
    <w:lvl w:ilvl="0" w:tplc="FFFFFFFF">
      <w:start w:val="1"/>
      <w:numFmt w:val="decimal"/>
      <w:lvlText w:val="Article %1."/>
      <w:lvlJc w:val="left"/>
      <w:pPr>
        <w:ind w:left="450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D013C8"/>
    <w:multiLevelType w:val="hybridMultilevel"/>
    <w:tmpl w:val="2458C934"/>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8410A0"/>
    <w:multiLevelType w:val="hybridMultilevel"/>
    <w:tmpl w:val="74C2AC6E"/>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90CA9"/>
    <w:multiLevelType w:val="multilevel"/>
    <w:tmpl w:val="693CA8C4"/>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bCs/>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26" w15:restartNumberingAfterBreak="0">
    <w:nsid w:val="3F7A62BF"/>
    <w:multiLevelType w:val="hybridMultilevel"/>
    <w:tmpl w:val="0DE0CED8"/>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A94296"/>
    <w:multiLevelType w:val="hybridMultilevel"/>
    <w:tmpl w:val="DDFEFD32"/>
    <w:lvl w:ilvl="0" w:tplc="4AEE03A4">
      <w:start w:val="1"/>
      <w:numFmt w:val="decimal"/>
      <w:lvlText w:val="Article %1."/>
      <w:lvlJc w:val="left"/>
      <w:pPr>
        <w:ind w:left="4500" w:hanging="360"/>
      </w:pPr>
      <w:rPr>
        <w:rFonts w:ascii="Trebuchet MS" w:hAnsi="Trebuchet M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00168"/>
    <w:multiLevelType w:val="hybridMultilevel"/>
    <w:tmpl w:val="BF9436E4"/>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1F0D7D"/>
    <w:multiLevelType w:val="hybridMultilevel"/>
    <w:tmpl w:val="6FB888A4"/>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BB0571E"/>
    <w:multiLevelType w:val="hybridMultilevel"/>
    <w:tmpl w:val="CCE62A9A"/>
    <w:lvl w:ilvl="0" w:tplc="094AC358">
      <w:start w:val="1"/>
      <w:numFmt w:val="decimal"/>
      <w:lvlText w:val="%1."/>
      <w:lvlJc w:val="left"/>
      <w:pPr>
        <w:ind w:left="34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742766"/>
    <w:multiLevelType w:val="hybridMultilevel"/>
    <w:tmpl w:val="61346B9C"/>
    <w:lvl w:ilvl="0" w:tplc="BDA02B60">
      <w:start w:val="1"/>
      <w:numFmt w:val="bullet"/>
      <w:lvlText w:val="-"/>
      <w:lvlJc w:val="left"/>
      <w:pPr>
        <w:ind w:left="630" w:hanging="360"/>
      </w:pPr>
      <w:rPr>
        <w:rFonts w:ascii="Trebuchet MS" w:eastAsiaTheme="minorHAnsi" w:hAnsi="Trebuchet MS" w:cs="Open San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3" w15:restartNumberingAfterBreak="0">
    <w:nsid w:val="51765884"/>
    <w:multiLevelType w:val="hybridMultilevel"/>
    <w:tmpl w:val="AB128024"/>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207FE2"/>
    <w:multiLevelType w:val="hybridMultilevel"/>
    <w:tmpl w:val="28D4BBD8"/>
    <w:lvl w:ilvl="0" w:tplc="FFFFFFFF">
      <w:start w:val="1"/>
      <w:numFmt w:val="decimal"/>
      <w:lvlText w:val="Article %1."/>
      <w:lvlJc w:val="left"/>
      <w:pPr>
        <w:ind w:left="450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FF378E"/>
    <w:multiLevelType w:val="hybridMultilevel"/>
    <w:tmpl w:val="CB6ECE22"/>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F57B7A"/>
    <w:multiLevelType w:val="multilevel"/>
    <w:tmpl w:val="58BA2EA8"/>
    <w:lvl w:ilvl="0">
      <w:start w:val="1"/>
      <w:numFmt w:val="lowerLetter"/>
      <w:lvlText w:val="(%1)"/>
      <w:lvlJc w:val="left"/>
      <w:pPr>
        <w:tabs>
          <w:tab w:val="num" w:pos="822"/>
        </w:tabs>
        <w:ind w:left="822" w:hanging="390"/>
      </w:pPr>
      <w:rPr>
        <w:rFonts w:hint="default"/>
        <w:b/>
        <w:bCs/>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4F13AD1"/>
    <w:multiLevelType w:val="hybridMultilevel"/>
    <w:tmpl w:val="E370F52C"/>
    <w:lvl w:ilvl="0" w:tplc="FFFFFFFF">
      <w:start w:val="1"/>
      <w:numFmt w:val="decimal"/>
      <w:lvlText w:val="Article %1."/>
      <w:lvlJc w:val="left"/>
      <w:pPr>
        <w:ind w:left="1710" w:hanging="360"/>
      </w:pPr>
      <w:rPr>
        <w:rFonts w:ascii="Trebuchet MS" w:hAnsi="Trebuchet MS" w:cs="Times New Roman" w:hint="default"/>
        <w:b/>
        <w:i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55A75E9"/>
    <w:multiLevelType w:val="hybridMultilevel"/>
    <w:tmpl w:val="682E0596"/>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3C333C"/>
    <w:multiLevelType w:val="hybridMultilevel"/>
    <w:tmpl w:val="9E209B9E"/>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B90768"/>
    <w:multiLevelType w:val="hybridMultilevel"/>
    <w:tmpl w:val="6D0E31A8"/>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2" w15:restartNumberingAfterBreak="0">
    <w:nsid w:val="723F3A41"/>
    <w:multiLevelType w:val="hybridMultilevel"/>
    <w:tmpl w:val="3BB60836"/>
    <w:lvl w:ilvl="0" w:tplc="3F46ECA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15:restartNumberingAfterBreak="0">
    <w:nsid w:val="727B19C1"/>
    <w:multiLevelType w:val="hybridMultilevel"/>
    <w:tmpl w:val="8E4A0F44"/>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D440A8"/>
    <w:multiLevelType w:val="hybridMultilevel"/>
    <w:tmpl w:val="DAF238CA"/>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FF0D41"/>
    <w:multiLevelType w:val="hybridMultilevel"/>
    <w:tmpl w:val="51B272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AC65931"/>
    <w:multiLevelType w:val="hybridMultilevel"/>
    <w:tmpl w:val="D70C70B6"/>
    <w:lvl w:ilvl="0" w:tplc="FFFFFFFF">
      <w:start w:val="1"/>
      <w:numFmt w:val="decimal"/>
      <w:lvlText w:val="Article %1."/>
      <w:lvlJc w:val="left"/>
      <w:pPr>
        <w:ind w:left="1350" w:hanging="360"/>
      </w:pPr>
      <w:rPr>
        <w:rFonts w:ascii="Trebuchet MS" w:hAnsi="Trebuchet MS"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634883"/>
    <w:multiLevelType w:val="hybridMultilevel"/>
    <w:tmpl w:val="AB4ACDF4"/>
    <w:lvl w:ilvl="0" w:tplc="FFFFFFFF">
      <w:start w:val="1"/>
      <w:numFmt w:val="decimal"/>
      <w:lvlText w:val="Article %1."/>
      <w:lvlJc w:val="left"/>
      <w:pPr>
        <w:ind w:left="518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7"/>
  </w:num>
  <w:num w:numId="2">
    <w:abstractNumId w:val="10"/>
  </w:num>
  <w:num w:numId="3">
    <w:abstractNumId w:val="35"/>
  </w:num>
  <w:num w:numId="4">
    <w:abstractNumId w:val="19"/>
  </w:num>
  <w:num w:numId="5">
    <w:abstractNumId w:val="48"/>
  </w:num>
  <w:num w:numId="6">
    <w:abstractNumId w:val="17"/>
  </w:num>
  <w:num w:numId="7">
    <w:abstractNumId w:val="43"/>
  </w:num>
  <w:num w:numId="8">
    <w:abstractNumId w:val="29"/>
  </w:num>
  <w:num w:numId="9">
    <w:abstractNumId w:val="33"/>
  </w:num>
  <w:num w:numId="10">
    <w:abstractNumId w:val="47"/>
  </w:num>
  <w:num w:numId="11">
    <w:abstractNumId w:val="12"/>
  </w:num>
  <w:num w:numId="12">
    <w:abstractNumId w:val="5"/>
  </w:num>
  <w:num w:numId="13">
    <w:abstractNumId w:val="11"/>
  </w:num>
  <w:num w:numId="14">
    <w:abstractNumId w:val="16"/>
  </w:num>
  <w:num w:numId="15">
    <w:abstractNumId w:val="30"/>
  </w:num>
  <w:num w:numId="16">
    <w:abstractNumId w:val="2"/>
  </w:num>
  <w:num w:numId="17">
    <w:abstractNumId w:val="32"/>
  </w:num>
  <w:num w:numId="18">
    <w:abstractNumId w:val="45"/>
  </w:num>
  <w:num w:numId="19">
    <w:abstractNumId w:val="4"/>
  </w:num>
  <w:num w:numId="20">
    <w:abstractNumId w:val="41"/>
  </w:num>
  <w:num w:numId="21">
    <w:abstractNumId w:val="20"/>
  </w:num>
  <w:num w:numId="22">
    <w:abstractNumId w:val="38"/>
  </w:num>
  <w:num w:numId="23">
    <w:abstractNumId w:val="18"/>
  </w:num>
  <w:num w:numId="24">
    <w:abstractNumId w:val="26"/>
  </w:num>
  <w:num w:numId="25">
    <w:abstractNumId w:val="39"/>
  </w:num>
  <w:num w:numId="26">
    <w:abstractNumId w:val="22"/>
  </w:num>
  <w:num w:numId="27">
    <w:abstractNumId w:val="28"/>
  </w:num>
  <w:num w:numId="28">
    <w:abstractNumId w:val="3"/>
  </w:num>
  <w:num w:numId="29">
    <w:abstractNumId w:val="37"/>
  </w:num>
  <w:num w:numId="30">
    <w:abstractNumId w:val="24"/>
  </w:num>
  <w:num w:numId="31">
    <w:abstractNumId w:val="25"/>
  </w:num>
  <w:num w:numId="32">
    <w:abstractNumId w:val="6"/>
  </w:num>
  <w:num w:numId="33">
    <w:abstractNumId w:val="42"/>
  </w:num>
  <w:num w:numId="34">
    <w:abstractNumId w:val="13"/>
  </w:num>
  <w:num w:numId="35">
    <w:abstractNumId w:val="23"/>
  </w:num>
  <w:num w:numId="36">
    <w:abstractNumId w:val="44"/>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1"/>
  </w:num>
  <w:num w:numId="40">
    <w:abstractNumId w:val="40"/>
  </w:num>
  <w:num w:numId="41">
    <w:abstractNumId w:val="36"/>
  </w:num>
  <w:num w:numId="42">
    <w:abstractNumId w:val="46"/>
  </w:num>
  <w:num w:numId="43">
    <w:abstractNumId w:val="1"/>
  </w:num>
  <w:num w:numId="44">
    <w:abstractNumId w:val="9"/>
  </w:num>
  <w:num w:numId="45">
    <w:abstractNumId w:val="7"/>
  </w:num>
  <w:num w:numId="46">
    <w:abstractNumId w:val="14"/>
  </w:num>
  <w:num w:numId="47">
    <w:abstractNumId w:val="8"/>
  </w:num>
  <w:num w:numId="48">
    <w:abstractNumId w:val="34"/>
  </w:num>
  <w:num w:numId="49">
    <w:abstractNumId w:val="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3E"/>
    <w:rsid w:val="000008D3"/>
    <w:rsid w:val="00001051"/>
    <w:rsid w:val="00002665"/>
    <w:rsid w:val="00002B15"/>
    <w:rsid w:val="00003B45"/>
    <w:rsid w:val="0000492A"/>
    <w:rsid w:val="000114CF"/>
    <w:rsid w:val="00011DF3"/>
    <w:rsid w:val="00012B67"/>
    <w:rsid w:val="000141D3"/>
    <w:rsid w:val="000145EB"/>
    <w:rsid w:val="00021357"/>
    <w:rsid w:val="00022352"/>
    <w:rsid w:val="00026A69"/>
    <w:rsid w:val="00032B29"/>
    <w:rsid w:val="000352BD"/>
    <w:rsid w:val="00035A19"/>
    <w:rsid w:val="00036845"/>
    <w:rsid w:val="0003701F"/>
    <w:rsid w:val="00040E03"/>
    <w:rsid w:val="000500B2"/>
    <w:rsid w:val="00053CEC"/>
    <w:rsid w:val="000615C4"/>
    <w:rsid w:val="00061C35"/>
    <w:rsid w:val="0006262C"/>
    <w:rsid w:val="0006562D"/>
    <w:rsid w:val="00066091"/>
    <w:rsid w:val="00073D34"/>
    <w:rsid w:val="000754C2"/>
    <w:rsid w:val="00077FC6"/>
    <w:rsid w:val="0008464E"/>
    <w:rsid w:val="00090411"/>
    <w:rsid w:val="00093204"/>
    <w:rsid w:val="000941C8"/>
    <w:rsid w:val="00094B5C"/>
    <w:rsid w:val="000A0DEC"/>
    <w:rsid w:val="000A15DF"/>
    <w:rsid w:val="000A20AD"/>
    <w:rsid w:val="000A2147"/>
    <w:rsid w:val="000A3F84"/>
    <w:rsid w:val="000A6624"/>
    <w:rsid w:val="000A730D"/>
    <w:rsid w:val="000B562A"/>
    <w:rsid w:val="000B788A"/>
    <w:rsid w:val="000C1023"/>
    <w:rsid w:val="000C2346"/>
    <w:rsid w:val="000C3CD0"/>
    <w:rsid w:val="000C56D2"/>
    <w:rsid w:val="000C7372"/>
    <w:rsid w:val="000D0FAD"/>
    <w:rsid w:val="000D38C2"/>
    <w:rsid w:val="000D4CEB"/>
    <w:rsid w:val="000D6CC2"/>
    <w:rsid w:val="000D7DB3"/>
    <w:rsid w:val="000E0A90"/>
    <w:rsid w:val="000E44F8"/>
    <w:rsid w:val="000E4D03"/>
    <w:rsid w:val="000E6863"/>
    <w:rsid w:val="000F1740"/>
    <w:rsid w:val="000F1F35"/>
    <w:rsid w:val="000F3858"/>
    <w:rsid w:val="000F4705"/>
    <w:rsid w:val="00100722"/>
    <w:rsid w:val="00100D0D"/>
    <w:rsid w:val="00101C04"/>
    <w:rsid w:val="00111F65"/>
    <w:rsid w:val="00112086"/>
    <w:rsid w:val="00113130"/>
    <w:rsid w:val="00116959"/>
    <w:rsid w:val="00117A64"/>
    <w:rsid w:val="00121640"/>
    <w:rsid w:val="00124BDC"/>
    <w:rsid w:val="00126932"/>
    <w:rsid w:val="00134DF7"/>
    <w:rsid w:val="00135F01"/>
    <w:rsid w:val="00137250"/>
    <w:rsid w:val="00137F14"/>
    <w:rsid w:val="00140953"/>
    <w:rsid w:val="00142E0E"/>
    <w:rsid w:val="00142F0D"/>
    <w:rsid w:val="0014452B"/>
    <w:rsid w:val="00150648"/>
    <w:rsid w:val="00161635"/>
    <w:rsid w:val="00162AE5"/>
    <w:rsid w:val="00163564"/>
    <w:rsid w:val="00163D84"/>
    <w:rsid w:val="00166427"/>
    <w:rsid w:val="00175F6A"/>
    <w:rsid w:val="0018448A"/>
    <w:rsid w:val="00186159"/>
    <w:rsid w:val="00192507"/>
    <w:rsid w:val="001927D7"/>
    <w:rsid w:val="00196176"/>
    <w:rsid w:val="001A33FE"/>
    <w:rsid w:val="001B13AE"/>
    <w:rsid w:val="001B418F"/>
    <w:rsid w:val="001B5803"/>
    <w:rsid w:val="001C18E8"/>
    <w:rsid w:val="001C1D20"/>
    <w:rsid w:val="001C3BDB"/>
    <w:rsid w:val="001C48DE"/>
    <w:rsid w:val="001C5557"/>
    <w:rsid w:val="001C6F90"/>
    <w:rsid w:val="001D009F"/>
    <w:rsid w:val="001D57CB"/>
    <w:rsid w:val="001D5B46"/>
    <w:rsid w:val="001E1060"/>
    <w:rsid w:val="001E6A0F"/>
    <w:rsid w:val="001E76CD"/>
    <w:rsid w:val="001F0668"/>
    <w:rsid w:val="001F1CDF"/>
    <w:rsid w:val="001F42E7"/>
    <w:rsid w:val="001F62D2"/>
    <w:rsid w:val="0020119D"/>
    <w:rsid w:val="0020317C"/>
    <w:rsid w:val="00207A48"/>
    <w:rsid w:val="0021275E"/>
    <w:rsid w:val="00212E55"/>
    <w:rsid w:val="00216C0E"/>
    <w:rsid w:val="00217B8A"/>
    <w:rsid w:val="00217FA5"/>
    <w:rsid w:val="0022241E"/>
    <w:rsid w:val="00222F21"/>
    <w:rsid w:val="00223C51"/>
    <w:rsid w:val="00224AA9"/>
    <w:rsid w:val="00224E42"/>
    <w:rsid w:val="00224FAE"/>
    <w:rsid w:val="00233750"/>
    <w:rsid w:val="002418F1"/>
    <w:rsid w:val="00243FB0"/>
    <w:rsid w:val="00247D48"/>
    <w:rsid w:val="00251D5D"/>
    <w:rsid w:val="00255C44"/>
    <w:rsid w:val="00271F7B"/>
    <w:rsid w:val="00272719"/>
    <w:rsid w:val="00273779"/>
    <w:rsid w:val="002762EA"/>
    <w:rsid w:val="00286602"/>
    <w:rsid w:val="00286772"/>
    <w:rsid w:val="0029301C"/>
    <w:rsid w:val="00294DF4"/>
    <w:rsid w:val="002A3D47"/>
    <w:rsid w:val="002B143E"/>
    <w:rsid w:val="002B22FF"/>
    <w:rsid w:val="002C274A"/>
    <w:rsid w:val="002C29A8"/>
    <w:rsid w:val="002C5151"/>
    <w:rsid w:val="002C72BF"/>
    <w:rsid w:val="002D139D"/>
    <w:rsid w:val="002D229C"/>
    <w:rsid w:val="002D5D44"/>
    <w:rsid w:val="002D5D5F"/>
    <w:rsid w:val="002D61E3"/>
    <w:rsid w:val="002D7190"/>
    <w:rsid w:val="002D79EB"/>
    <w:rsid w:val="002E235A"/>
    <w:rsid w:val="002E2593"/>
    <w:rsid w:val="002E5640"/>
    <w:rsid w:val="002E5D82"/>
    <w:rsid w:val="002E5F55"/>
    <w:rsid w:val="002E6DA8"/>
    <w:rsid w:val="002F1A60"/>
    <w:rsid w:val="00301EE8"/>
    <w:rsid w:val="0030214F"/>
    <w:rsid w:val="0030276D"/>
    <w:rsid w:val="00305216"/>
    <w:rsid w:val="00305357"/>
    <w:rsid w:val="00305C09"/>
    <w:rsid w:val="00314171"/>
    <w:rsid w:val="003147BE"/>
    <w:rsid w:val="00315765"/>
    <w:rsid w:val="0032009E"/>
    <w:rsid w:val="00324501"/>
    <w:rsid w:val="00324DB6"/>
    <w:rsid w:val="00325F0E"/>
    <w:rsid w:val="00333C9A"/>
    <w:rsid w:val="00335278"/>
    <w:rsid w:val="00336262"/>
    <w:rsid w:val="003366D1"/>
    <w:rsid w:val="00341B75"/>
    <w:rsid w:val="00342BB7"/>
    <w:rsid w:val="003438CF"/>
    <w:rsid w:val="0035071C"/>
    <w:rsid w:val="003554AB"/>
    <w:rsid w:val="003570EA"/>
    <w:rsid w:val="00371E54"/>
    <w:rsid w:val="00376D69"/>
    <w:rsid w:val="00386DDD"/>
    <w:rsid w:val="00387E29"/>
    <w:rsid w:val="00392578"/>
    <w:rsid w:val="003941C2"/>
    <w:rsid w:val="003978F6"/>
    <w:rsid w:val="0039795F"/>
    <w:rsid w:val="003A0254"/>
    <w:rsid w:val="003A1C43"/>
    <w:rsid w:val="003A36EB"/>
    <w:rsid w:val="003A6368"/>
    <w:rsid w:val="003A6633"/>
    <w:rsid w:val="003B4454"/>
    <w:rsid w:val="003B5D62"/>
    <w:rsid w:val="003C2BB3"/>
    <w:rsid w:val="003D03E3"/>
    <w:rsid w:val="003D2CE4"/>
    <w:rsid w:val="003D7191"/>
    <w:rsid w:val="003E181F"/>
    <w:rsid w:val="003E3C87"/>
    <w:rsid w:val="003E442A"/>
    <w:rsid w:val="003E7348"/>
    <w:rsid w:val="003F04DD"/>
    <w:rsid w:val="003F2532"/>
    <w:rsid w:val="003F30F6"/>
    <w:rsid w:val="003F6653"/>
    <w:rsid w:val="003F7EFA"/>
    <w:rsid w:val="003F7FB5"/>
    <w:rsid w:val="0040275A"/>
    <w:rsid w:val="00403B5E"/>
    <w:rsid w:val="00405B37"/>
    <w:rsid w:val="00407B42"/>
    <w:rsid w:val="00410242"/>
    <w:rsid w:val="00414011"/>
    <w:rsid w:val="0041643D"/>
    <w:rsid w:val="004210E5"/>
    <w:rsid w:val="004215A2"/>
    <w:rsid w:val="00430406"/>
    <w:rsid w:val="0044032D"/>
    <w:rsid w:val="00442FF9"/>
    <w:rsid w:val="00443631"/>
    <w:rsid w:val="00444745"/>
    <w:rsid w:val="0045133D"/>
    <w:rsid w:val="00453991"/>
    <w:rsid w:val="004545BC"/>
    <w:rsid w:val="00454833"/>
    <w:rsid w:val="0045667B"/>
    <w:rsid w:val="00463445"/>
    <w:rsid w:val="00472298"/>
    <w:rsid w:val="00477222"/>
    <w:rsid w:val="00484A5A"/>
    <w:rsid w:val="0049146E"/>
    <w:rsid w:val="00492E51"/>
    <w:rsid w:val="0049402D"/>
    <w:rsid w:val="00494B43"/>
    <w:rsid w:val="00495F09"/>
    <w:rsid w:val="00496A4F"/>
    <w:rsid w:val="004A4311"/>
    <w:rsid w:val="004A6C7B"/>
    <w:rsid w:val="004B17DD"/>
    <w:rsid w:val="004B2C9B"/>
    <w:rsid w:val="004B64EC"/>
    <w:rsid w:val="004B7D48"/>
    <w:rsid w:val="004C02FE"/>
    <w:rsid w:val="004C4098"/>
    <w:rsid w:val="004C6848"/>
    <w:rsid w:val="004D04D6"/>
    <w:rsid w:val="004D6D44"/>
    <w:rsid w:val="004D7CA0"/>
    <w:rsid w:val="004D7F5E"/>
    <w:rsid w:val="004E1A2D"/>
    <w:rsid w:val="004E3468"/>
    <w:rsid w:val="004E384C"/>
    <w:rsid w:val="004E7E5F"/>
    <w:rsid w:val="004F740D"/>
    <w:rsid w:val="00500118"/>
    <w:rsid w:val="00515957"/>
    <w:rsid w:val="00515D51"/>
    <w:rsid w:val="00516EF2"/>
    <w:rsid w:val="005230C9"/>
    <w:rsid w:val="005244BB"/>
    <w:rsid w:val="005303DD"/>
    <w:rsid w:val="00531776"/>
    <w:rsid w:val="00534598"/>
    <w:rsid w:val="00536C57"/>
    <w:rsid w:val="00540F1F"/>
    <w:rsid w:val="00541179"/>
    <w:rsid w:val="005441FF"/>
    <w:rsid w:val="00545068"/>
    <w:rsid w:val="00546E2B"/>
    <w:rsid w:val="0055078F"/>
    <w:rsid w:val="00561AD5"/>
    <w:rsid w:val="00564723"/>
    <w:rsid w:val="00565434"/>
    <w:rsid w:val="0056576D"/>
    <w:rsid w:val="00566AF6"/>
    <w:rsid w:val="00570819"/>
    <w:rsid w:val="00570FE3"/>
    <w:rsid w:val="00572D74"/>
    <w:rsid w:val="005766A7"/>
    <w:rsid w:val="00576DB0"/>
    <w:rsid w:val="00580207"/>
    <w:rsid w:val="00580661"/>
    <w:rsid w:val="0058074B"/>
    <w:rsid w:val="005829CB"/>
    <w:rsid w:val="00585F5E"/>
    <w:rsid w:val="0059593D"/>
    <w:rsid w:val="00596E91"/>
    <w:rsid w:val="005A052B"/>
    <w:rsid w:val="005A10EF"/>
    <w:rsid w:val="005A154E"/>
    <w:rsid w:val="005A2EFE"/>
    <w:rsid w:val="005A3551"/>
    <w:rsid w:val="005B39C9"/>
    <w:rsid w:val="005B55AD"/>
    <w:rsid w:val="005B701F"/>
    <w:rsid w:val="005C05DA"/>
    <w:rsid w:val="005C1993"/>
    <w:rsid w:val="005C2424"/>
    <w:rsid w:val="005C2E26"/>
    <w:rsid w:val="005C465B"/>
    <w:rsid w:val="005C5A53"/>
    <w:rsid w:val="005D0CA9"/>
    <w:rsid w:val="005D17F5"/>
    <w:rsid w:val="005D28CC"/>
    <w:rsid w:val="005E0506"/>
    <w:rsid w:val="005E13FC"/>
    <w:rsid w:val="005E19A5"/>
    <w:rsid w:val="005E1EB3"/>
    <w:rsid w:val="005E32C1"/>
    <w:rsid w:val="005E5468"/>
    <w:rsid w:val="005E7468"/>
    <w:rsid w:val="005E7E28"/>
    <w:rsid w:val="005F47B3"/>
    <w:rsid w:val="0060159A"/>
    <w:rsid w:val="0060579C"/>
    <w:rsid w:val="006062CE"/>
    <w:rsid w:val="00606C29"/>
    <w:rsid w:val="00611E29"/>
    <w:rsid w:val="006215FA"/>
    <w:rsid w:val="00621F93"/>
    <w:rsid w:val="006227A0"/>
    <w:rsid w:val="00626FB0"/>
    <w:rsid w:val="00627E13"/>
    <w:rsid w:val="0063671C"/>
    <w:rsid w:val="00640C21"/>
    <w:rsid w:val="0064645F"/>
    <w:rsid w:val="00646ABD"/>
    <w:rsid w:val="0065049A"/>
    <w:rsid w:val="006539D5"/>
    <w:rsid w:val="0065609B"/>
    <w:rsid w:val="006613A1"/>
    <w:rsid w:val="006614B2"/>
    <w:rsid w:val="006648EE"/>
    <w:rsid w:val="0066513B"/>
    <w:rsid w:val="00665458"/>
    <w:rsid w:val="00676135"/>
    <w:rsid w:val="00677080"/>
    <w:rsid w:val="006776DF"/>
    <w:rsid w:val="00680B9E"/>
    <w:rsid w:val="00686948"/>
    <w:rsid w:val="00687AE6"/>
    <w:rsid w:val="006908C5"/>
    <w:rsid w:val="00691C50"/>
    <w:rsid w:val="0069624D"/>
    <w:rsid w:val="006A31FC"/>
    <w:rsid w:val="006A51E3"/>
    <w:rsid w:val="006A5762"/>
    <w:rsid w:val="006A6034"/>
    <w:rsid w:val="006B2555"/>
    <w:rsid w:val="006B268C"/>
    <w:rsid w:val="006B350E"/>
    <w:rsid w:val="006B39DB"/>
    <w:rsid w:val="006B3A57"/>
    <w:rsid w:val="006B4565"/>
    <w:rsid w:val="006B4F17"/>
    <w:rsid w:val="006B5B67"/>
    <w:rsid w:val="006B6145"/>
    <w:rsid w:val="006B76CF"/>
    <w:rsid w:val="006C197A"/>
    <w:rsid w:val="006C2CD0"/>
    <w:rsid w:val="006D0098"/>
    <w:rsid w:val="006D234F"/>
    <w:rsid w:val="006E2D32"/>
    <w:rsid w:val="006E4372"/>
    <w:rsid w:val="006F0D2C"/>
    <w:rsid w:val="00700B0D"/>
    <w:rsid w:val="007032C5"/>
    <w:rsid w:val="00703766"/>
    <w:rsid w:val="00707245"/>
    <w:rsid w:val="007102A6"/>
    <w:rsid w:val="00710C03"/>
    <w:rsid w:val="00710F10"/>
    <w:rsid w:val="007113FB"/>
    <w:rsid w:val="00712F19"/>
    <w:rsid w:val="007141CA"/>
    <w:rsid w:val="00715D25"/>
    <w:rsid w:val="00715E7F"/>
    <w:rsid w:val="0071737A"/>
    <w:rsid w:val="007271C9"/>
    <w:rsid w:val="0073491A"/>
    <w:rsid w:val="00742BD6"/>
    <w:rsid w:val="00744C65"/>
    <w:rsid w:val="007505A7"/>
    <w:rsid w:val="00751A4D"/>
    <w:rsid w:val="007571B1"/>
    <w:rsid w:val="00757D17"/>
    <w:rsid w:val="00760CDA"/>
    <w:rsid w:val="00760E53"/>
    <w:rsid w:val="00760F09"/>
    <w:rsid w:val="00764D77"/>
    <w:rsid w:val="0076547D"/>
    <w:rsid w:val="00771712"/>
    <w:rsid w:val="0077352C"/>
    <w:rsid w:val="007779D9"/>
    <w:rsid w:val="00780FD9"/>
    <w:rsid w:val="0078290D"/>
    <w:rsid w:val="00782957"/>
    <w:rsid w:val="00782CA8"/>
    <w:rsid w:val="00783F10"/>
    <w:rsid w:val="00784928"/>
    <w:rsid w:val="00792F8F"/>
    <w:rsid w:val="00793C32"/>
    <w:rsid w:val="00794A55"/>
    <w:rsid w:val="007A06AF"/>
    <w:rsid w:val="007A4931"/>
    <w:rsid w:val="007A57AB"/>
    <w:rsid w:val="007A7F23"/>
    <w:rsid w:val="007B1328"/>
    <w:rsid w:val="007B41D9"/>
    <w:rsid w:val="007D0662"/>
    <w:rsid w:val="007D1032"/>
    <w:rsid w:val="007D23E6"/>
    <w:rsid w:val="007D5A61"/>
    <w:rsid w:val="007D7197"/>
    <w:rsid w:val="007E056F"/>
    <w:rsid w:val="007E05BB"/>
    <w:rsid w:val="007E196A"/>
    <w:rsid w:val="007E1A31"/>
    <w:rsid w:val="007E2AF7"/>
    <w:rsid w:val="007E7FEE"/>
    <w:rsid w:val="007F24D1"/>
    <w:rsid w:val="007F2FF0"/>
    <w:rsid w:val="007F3C18"/>
    <w:rsid w:val="007F5B38"/>
    <w:rsid w:val="007F5F22"/>
    <w:rsid w:val="0080544D"/>
    <w:rsid w:val="0080551B"/>
    <w:rsid w:val="00811A1F"/>
    <w:rsid w:val="00821D9D"/>
    <w:rsid w:val="00826D88"/>
    <w:rsid w:val="00832CAE"/>
    <w:rsid w:val="00840486"/>
    <w:rsid w:val="00841A42"/>
    <w:rsid w:val="00842665"/>
    <w:rsid w:val="00842B4C"/>
    <w:rsid w:val="00852A2B"/>
    <w:rsid w:val="00854CEF"/>
    <w:rsid w:val="00865B40"/>
    <w:rsid w:val="00865EB3"/>
    <w:rsid w:val="00870A4B"/>
    <w:rsid w:val="00872BF7"/>
    <w:rsid w:val="00874A38"/>
    <w:rsid w:val="00880844"/>
    <w:rsid w:val="00881CF8"/>
    <w:rsid w:val="00884E41"/>
    <w:rsid w:val="008851BD"/>
    <w:rsid w:val="00887C2C"/>
    <w:rsid w:val="008925D0"/>
    <w:rsid w:val="00893E3E"/>
    <w:rsid w:val="008953CB"/>
    <w:rsid w:val="00896492"/>
    <w:rsid w:val="00896C66"/>
    <w:rsid w:val="00896E12"/>
    <w:rsid w:val="00897F99"/>
    <w:rsid w:val="008A667C"/>
    <w:rsid w:val="008B0115"/>
    <w:rsid w:val="008B382C"/>
    <w:rsid w:val="008B4D0D"/>
    <w:rsid w:val="008B57BB"/>
    <w:rsid w:val="008C0793"/>
    <w:rsid w:val="008C08AF"/>
    <w:rsid w:val="008C2EDA"/>
    <w:rsid w:val="008F07D0"/>
    <w:rsid w:val="008F18E9"/>
    <w:rsid w:val="008F1D32"/>
    <w:rsid w:val="008F3293"/>
    <w:rsid w:val="008F4AAC"/>
    <w:rsid w:val="008F4AB4"/>
    <w:rsid w:val="00900123"/>
    <w:rsid w:val="009005B7"/>
    <w:rsid w:val="00903CF5"/>
    <w:rsid w:val="00905B30"/>
    <w:rsid w:val="009069FF"/>
    <w:rsid w:val="009122E5"/>
    <w:rsid w:val="00915DBF"/>
    <w:rsid w:val="00920463"/>
    <w:rsid w:val="00920FF6"/>
    <w:rsid w:val="00921247"/>
    <w:rsid w:val="009215CE"/>
    <w:rsid w:val="00930816"/>
    <w:rsid w:val="00930EB3"/>
    <w:rsid w:val="009319C5"/>
    <w:rsid w:val="00936C37"/>
    <w:rsid w:val="0094036D"/>
    <w:rsid w:val="0094350A"/>
    <w:rsid w:val="009445E4"/>
    <w:rsid w:val="00946BCC"/>
    <w:rsid w:val="0094715F"/>
    <w:rsid w:val="00951428"/>
    <w:rsid w:val="009515BE"/>
    <w:rsid w:val="009574F9"/>
    <w:rsid w:val="00957D9F"/>
    <w:rsid w:val="009644A9"/>
    <w:rsid w:val="00964C07"/>
    <w:rsid w:val="00966D5E"/>
    <w:rsid w:val="0096741D"/>
    <w:rsid w:val="009741C5"/>
    <w:rsid w:val="00982427"/>
    <w:rsid w:val="00983A2A"/>
    <w:rsid w:val="00985419"/>
    <w:rsid w:val="009877AC"/>
    <w:rsid w:val="00991A83"/>
    <w:rsid w:val="009922D7"/>
    <w:rsid w:val="00992417"/>
    <w:rsid w:val="00997436"/>
    <w:rsid w:val="009A05B0"/>
    <w:rsid w:val="009A3F04"/>
    <w:rsid w:val="009A4633"/>
    <w:rsid w:val="009A4755"/>
    <w:rsid w:val="009A787D"/>
    <w:rsid w:val="009B0BBF"/>
    <w:rsid w:val="009B2FE4"/>
    <w:rsid w:val="009B3D1E"/>
    <w:rsid w:val="009B764A"/>
    <w:rsid w:val="009D045D"/>
    <w:rsid w:val="009D058F"/>
    <w:rsid w:val="009D3D43"/>
    <w:rsid w:val="009D6AB9"/>
    <w:rsid w:val="009D750E"/>
    <w:rsid w:val="009E12C5"/>
    <w:rsid w:val="009E188C"/>
    <w:rsid w:val="009E200C"/>
    <w:rsid w:val="009E6B4C"/>
    <w:rsid w:val="009F20CB"/>
    <w:rsid w:val="009F29BC"/>
    <w:rsid w:val="009F4DE0"/>
    <w:rsid w:val="009F5958"/>
    <w:rsid w:val="00A03139"/>
    <w:rsid w:val="00A0418E"/>
    <w:rsid w:val="00A04F7D"/>
    <w:rsid w:val="00A073CF"/>
    <w:rsid w:val="00A078B2"/>
    <w:rsid w:val="00A10050"/>
    <w:rsid w:val="00A11DFD"/>
    <w:rsid w:val="00A144D1"/>
    <w:rsid w:val="00A14FFB"/>
    <w:rsid w:val="00A15281"/>
    <w:rsid w:val="00A159B7"/>
    <w:rsid w:val="00A172C1"/>
    <w:rsid w:val="00A17FA5"/>
    <w:rsid w:val="00A22AB2"/>
    <w:rsid w:val="00A238E4"/>
    <w:rsid w:val="00A31968"/>
    <w:rsid w:val="00A31E6E"/>
    <w:rsid w:val="00A32B34"/>
    <w:rsid w:val="00A337B9"/>
    <w:rsid w:val="00A33CE6"/>
    <w:rsid w:val="00A34B72"/>
    <w:rsid w:val="00A40544"/>
    <w:rsid w:val="00A46207"/>
    <w:rsid w:val="00A4695D"/>
    <w:rsid w:val="00A518FD"/>
    <w:rsid w:val="00A51B85"/>
    <w:rsid w:val="00A6131D"/>
    <w:rsid w:val="00A645DE"/>
    <w:rsid w:val="00A6571A"/>
    <w:rsid w:val="00A700DF"/>
    <w:rsid w:val="00A711D2"/>
    <w:rsid w:val="00A7470B"/>
    <w:rsid w:val="00A83AA1"/>
    <w:rsid w:val="00A86816"/>
    <w:rsid w:val="00A86917"/>
    <w:rsid w:val="00A94522"/>
    <w:rsid w:val="00A95807"/>
    <w:rsid w:val="00A961A7"/>
    <w:rsid w:val="00A9768D"/>
    <w:rsid w:val="00AA30BB"/>
    <w:rsid w:val="00AA4593"/>
    <w:rsid w:val="00AA498D"/>
    <w:rsid w:val="00AA6A2D"/>
    <w:rsid w:val="00AA7EC5"/>
    <w:rsid w:val="00AB202B"/>
    <w:rsid w:val="00AB3300"/>
    <w:rsid w:val="00AB3919"/>
    <w:rsid w:val="00AB6031"/>
    <w:rsid w:val="00AB6A9D"/>
    <w:rsid w:val="00AC5C27"/>
    <w:rsid w:val="00AD4260"/>
    <w:rsid w:val="00AD6F95"/>
    <w:rsid w:val="00AE22D6"/>
    <w:rsid w:val="00AE49AB"/>
    <w:rsid w:val="00AE4E57"/>
    <w:rsid w:val="00AE52EB"/>
    <w:rsid w:val="00AE6D74"/>
    <w:rsid w:val="00AF1EDB"/>
    <w:rsid w:val="00AF3D68"/>
    <w:rsid w:val="00AF50C0"/>
    <w:rsid w:val="00AF5276"/>
    <w:rsid w:val="00AF7F52"/>
    <w:rsid w:val="00B01BCF"/>
    <w:rsid w:val="00B025DF"/>
    <w:rsid w:val="00B0788F"/>
    <w:rsid w:val="00B07ACB"/>
    <w:rsid w:val="00B25D58"/>
    <w:rsid w:val="00B3680F"/>
    <w:rsid w:val="00B37DF0"/>
    <w:rsid w:val="00B41A0D"/>
    <w:rsid w:val="00B42663"/>
    <w:rsid w:val="00B476C1"/>
    <w:rsid w:val="00B52E56"/>
    <w:rsid w:val="00B549E0"/>
    <w:rsid w:val="00B609D8"/>
    <w:rsid w:val="00B626B5"/>
    <w:rsid w:val="00B633F1"/>
    <w:rsid w:val="00B642E8"/>
    <w:rsid w:val="00B65D45"/>
    <w:rsid w:val="00B7031C"/>
    <w:rsid w:val="00B7276C"/>
    <w:rsid w:val="00B75DF4"/>
    <w:rsid w:val="00B80AC2"/>
    <w:rsid w:val="00B80F76"/>
    <w:rsid w:val="00B82FE6"/>
    <w:rsid w:val="00B847F0"/>
    <w:rsid w:val="00B85B96"/>
    <w:rsid w:val="00B90D7B"/>
    <w:rsid w:val="00B94573"/>
    <w:rsid w:val="00BA0D51"/>
    <w:rsid w:val="00BA2576"/>
    <w:rsid w:val="00BA5AAA"/>
    <w:rsid w:val="00BA795B"/>
    <w:rsid w:val="00BB1D8E"/>
    <w:rsid w:val="00BB56E9"/>
    <w:rsid w:val="00BB623A"/>
    <w:rsid w:val="00BB6E02"/>
    <w:rsid w:val="00BB6E4F"/>
    <w:rsid w:val="00BC339E"/>
    <w:rsid w:val="00BC41D9"/>
    <w:rsid w:val="00BC5D00"/>
    <w:rsid w:val="00BD2DD9"/>
    <w:rsid w:val="00BD2E66"/>
    <w:rsid w:val="00BD610A"/>
    <w:rsid w:val="00BD6ACA"/>
    <w:rsid w:val="00BD7E28"/>
    <w:rsid w:val="00BE1972"/>
    <w:rsid w:val="00BE3752"/>
    <w:rsid w:val="00BE622D"/>
    <w:rsid w:val="00BE7EE5"/>
    <w:rsid w:val="00C01718"/>
    <w:rsid w:val="00C1071B"/>
    <w:rsid w:val="00C10CE0"/>
    <w:rsid w:val="00C14424"/>
    <w:rsid w:val="00C162F6"/>
    <w:rsid w:val="00C20629"/>
    <w:rsid w:val="00C20668"/>
    <w:rsid w:val="00C21E3C"/>
    <w:rsid w:val="00C26112"/>
    <w:rsid w:val="00C31099"/>
    <w:rsid w:val="00C316EE"/>
    <w:rsid w:val="00C43411"/>
    <w:rsid w:val="00C51A93"/>
    <w:rsid w:val="00C52F60"/>
    <w:rsid w:val="00C534D5"/>
    <w:rsid w:val="00C538B3"/>
    <w:rsid w:val="00C53B7E"/>
    <w:rsid w:val="00C53BB5"/>
    <w:rsid w:val="00C53C29"/>
    <w:rsid w:val="00C54EEA"/>
    <w:rsid w:val="00C5632D"/>
    <w:rsid w:val="00C56344"/>
    <w:rsid w:val="00C57509"/>
    <w:rsid w:val="00C617F4"/>
    <w:rsid w:val="00C61966"/>
    <w:rsid w:val="00C706AB"/>
    <w:rsid w:val="00C7089A"/>
    <w:rsid w:val="00C72D61"/>
    <w:rsid w:val="00C74423"/>
    <w:rsid w:val="00C77A52"/>
    <w:rsid w:val="00C833F3"/>
    <w:rsid w:val="00C90154"/>
    <w:rsid w:val="00C93001"/>
    <w:rsid w:val="00C942E9"/>
    <w:rsid w:val="00C9590F"/>
    <w:rsid w:val="00C979C3"/>
    <w:rsid w:val="00CA4DB8"/>
    <w:rsid w:val="00CA5599"/>
    <w:rsid w:val="00CA7A3A"/>
    <w:rsid w:val="00CB0312"/>
    <w:rsid w:val="00CB79A2"/>
    <w:rsid w:val="00CC059D"/>
    <w:rsid w:val="00CC59C2"/>
    <w:rsid w:val="00CC5EF7"/>
    <w:rsid w:val="00CD06E4"/>
    <w:rsid w:val="00CD0A5E"/>
    <w:rsid w:val="00CD19BD"/>
    <w:rsid w:val="00CD389B"/>
    <w:rsid w:val="00CE3BED"/>
    <w:rsid w:val="00CE46A1"/>
    <w:rsid w:val="00CF44EC"/>
    <w:rsid w:val="00CF613F"/>
    <w:rsid w:val="00CF64EC"/>
    <w:rsid w:val="00CF6D00"/>
    <w:rsid w:val="00CF6F79"/>
    <w:rsid w:val="00D022DF"/>
    <w:rsid w:val="00D058F4"/>
    <w:rsid w:val="00D10473"/>
    <w:rsid w:val="00D12AB5"/>
    <w:rsid w:val="00D12C0B"/>
    <w:rsid w:val="00D179AA"/>
    <w:rsid w:val="00D218F6"/>
    <w:rsid w:val="00D356BE"/>
    <w:rsid w:val="00D36131"/>
    <w:rsid w:val="00D42443"/>
    <w:rsid w:val="00D445FB"/>
    <w:rsid w:val="00D44BDD"/>
    <w:rsid w:val="00D46AFC"/>
    <w:rsid w:val="00D5003C"/>
    <w:rsid w:val="00D5124B"/>
    <w:rsid w:val="00D51C91"/>
    <w:rsid w:val="00D5217C"/>
    <w:rsid w:val="00D52716"/>
    <w:rsid w:val="00D535E6"/>
    <w:rsid w:val="00D735D0"/>
    <w:rsid w:val="00D81334"/>
    <w:rsid w:val="00D87299"/>
    <w:rsid w:val="00D9113F"/>
    <w:rsid w:val="00D940AD"/>
    <w:rsid w:val="00D96A70"/>
    <w:rsid w:val="00DA1715"/>
    <w:rsid w:val="00DB4458"/>
    <w:rsid w:val="00DB5A6C"/>
    <w:rsid w:val="00DC1D7C"/>
    <w:rsid w:val="00DC2A1C"/>
    <w:rsid w:val="00DC3E16"/>
    <w:rsid w:val="00DD2283"/>
    <w:rsid w:val="00DD3694"/>
    <w:rsid w:val="00DF0CBF"/>
    <w:rsid w:val="00DF369E"/>
    <w:rsid w:val="00DF3A78"/>
    <w:rsid w:val="00DF5FA6"/>
    <w:rsid w:val="00E01150"/>
    <w:rsid w:val="00E04C5F"/>
    <w:rsid w:val="00E05BA2"/>
    <w:rsid w:val="00E118D5"/>
    <w:rsid w:val="00E1694F"/>
    <w:rsid w:val="00E17E2F"/>
    <w:rsid w:val="00E21504"/>
    <w:rsid w:val="00E21CB1"/>
    <w:rsid w:val="00E3100A"/>
    <w:rsid w:val="00E33E4C"/>
    <w:rsid w:val="00E45F89"/>
    <w:rsid w:val="00E65B80"/>
    <w:rsid w:val="00E72468"/>
    <w:rsid w:val="00E73AB0"/>
    <w:rsid w:val="00E8415C"/>
    <w:rsid w:val="00E84A39"/>
    <w:rsid w:val="00E86B99"/>
    <w:rsid w:val="00E93BFA"/>
    <w:rsid w:val="00E9499F"/>
    <w:rsid w:val="00E96B5B"/>
    <w:rsid w:val="00E97D06"/>
    <w:rsid w:val="00EA0EEE"/>
    <w:rsid w:val="00EA1304"/>
    <w:rsid w:val="00EA192F"/>
    <w:rsid w:val="00EA1C66"/>
    <w:rsid w:val="00EA3CD8"/>
    <w:rsid w:val="00EA4B02"/>
    <w:rsid w:val="00EB0AF6"/>
    <w:rsid w:val="00EB1539"/>
    <w:rsid w:val="00EB2917"/>
    <w:rsid w:val="00EB427D"/>
    <w:rsid w:val="00EC150B"/>
    <w:rsid w:val="00EC3A6C"/>
    <w:rsid w:val="00EC64F0"/>
    <w:rsid w:val="00EC7C3C"/>
    <w:rsid w:val="00ED1A4E"/>
    <w:rsid w:val="00EE55CD"/>
    <w:rsid w:val="00EF38DE"/>
    <w:rsid w:val="00EF6D5D"/>
    <w:rsid w:val="00F01EF9"/>
    <w:rsid w:val="00F02B42"/>
    <w:rsid w:val="00F05823"/>
    <w:rsid w:val="00F0590B"/>
    <w:rsid w:val="00F22898"/>
    <w:rsid w:val="00F30D4C"/>
    <w:rsid w:val="00F4060C"/>
    <w:rsid w:val="00F46082"/>
    <w:rsid w:val="00F46EDF"/>
    <w:rsid w:val="00F576F3"/>
    <w:rsid w:val="00F57744"/>
    <w:rsid w:val="00F6013F"/>
    <w:rsid w:val="00F62149"/>
    <w:rsid w:val="00F629A0"/>
    <w:rsid w:val="00F63C95"/>
    <w:rsid w:val="00F64754"/>
    <w:rsid w:val="00F66A89"/>
    <w:rsid w:val="00F83D58"/>
    <w:rsid w:val="00F86D80"/>
    <w:rsid w:val="00F90B11"/>
    <w:rsid w:val="00F91A47"/>
    <w:rsid w:val="00F94306"/>
    <w:rsid w:val="00F975F3"/>
    <w:rsid w:val="00FA0928"/>
    <w:rsid w:val="00FA3182"/>
    <w:rsid w:val="00FA54D2"/>
    <w:rsid w:val="00FB03CA"/>
    <w:rsid w:val="00FB526B"/>
    <w:rsid w:val="00FB6890"/>
    <w:rsid w:val="00FC009C"/>
    <w:rsid w:val="00FC05D9"/>
    <w:rsid w:val="00FC1443"/>
    <w:rsid w:val="00FC6B03"/>
    <w:rsid w:val="00FC6D63"/>
    <w:rsid w:val="00FC7D38"/>
    <w:rsid w:val="00FD1756"/>
    <w:rsid w:val="00FD6C2E"/>
    <w:rsid w:val="00FE1BE4"/>
    <w:rsid w:val="00FE1C8A"/>
    <w:rsid w:val="00FE1F3C"/>
    <w:rsid w:val="00FE64EA"/>
    <w:rsid w:val="00FE7183"/>
    <w:rsid w:val="00FF01A1"/>
    <w:rsid w:val="00FF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63AC"/>
  <w15:chartTrackingRefBased/>
  <w15:docId w15:val="{7C09A5D0-CDE6-4B09-BB9F-975826A6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283"/>
    <w:pPr>
      <w:spacing w:before="160" w:after="240" w:line="276" w:lineRule="auto"/>
      <w:jc w:val="both"/>
    </w:pPr>
    <w:rPr>
      <w:rFonts w:ascii="Trebuchet MS" w:hAnsi="Trebuchet MS" w:cs="Open Sans"/>
      <w:color w:val="000000"/>
      <w:kern w:val="0"/>
      <w:lang w:val="ro-RO"/>
      <w14:ligatures w14:val="none"/>
    </w:rPr>
  </w:style>
  <w:style w:type="paragraph" w:styleId="Heading1">
    <w:name w:val="heading 1"/>
    <w:basedOn w:val="Normal"/>
    <w:next w:val="Normal"/>
    <w:link w:val="Heading1Char"/>
    <w:uiPriority w:val="9"/>
    <w:qFormat/>
    <w:rsid w:val="00893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E3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E3E"/>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E3E"/>
    <w:rPr>
      <w:rFonts w:eastAsiaTheme="majorEastAsia" w:cstheme="majorBidi"/>
      <w:color w:val="272727" w:themeColor="text1" w:themeTint="D8"/>
    </w:rPr>
  </w:style>
  <w:style w:type="paragraph" w:styleId="Title">
    <w:name w:val="Title"/>
    <w:basedOn w:val="Normal"/>
    <w:next w:val="Normal"/>
    <w:link w:val="TitleChar"/>
    <w:uiPriority w:val="10"/>
    <w:qFormat/>
    <w:rsid w:val="0089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E3E"/>
    <w:pPr>
      <w:jc w:val="center"/>
    </w:pPr>
    <w:rPr>
      <w:i/>
      <w:iCs/>
      <w:color w:val="404040" w:themeColor="text1" w:themeTint="BF"/>
    </w:rPr>
  </w:style>
  <w:style w:type="character" w:customStyle="1" w:styleId="QuoteChar">
    <w:name w:val="Quote Char"/>
    <w:basedOn w:val="DefaultParagraphFont"/>
    <w:link w:val="Quote"/>
    <w:uiPriority w:val="29"/>
    <w:rsid w:val="00893E3E"/>
    <w:rPr>
      <w:i/>
      <w:iCs/>
      <w:color w:val="404040" w:themeColor="text1" w:themeTint="BF"/>
    </w:rPr>
  </w:style>
  <w:style w:type="paragraph" w:styleId="ListParagraph">
    <w:name w:val="List Paragraph"/>
    <w:aliases w:val="Citation List,본문(내용),List Paragraph (numbered (a)),Colorful List - Accent 11,Forth level,lp1,Heading x1,Lettre d'introduction,1st level - Bullet List Paragraph,Paragrafo elenco,body 2,Lista 1,lp11,Liste 1,Bullet list,List Paragraph11"/>
    <w:basedOn w:val="Normal"/>
    <w:link w:val="ListParagraphChar"/>
    <w:uiPriority w:val="99"/>
    <w:qFormat/>
    <w:rsid w:val="00893E3E"/>
    <w:pPr>
      <w:ind w:left="720"/>
      <w:contextualSpacing/>
    </w:pPr>
  </w:style>
  <w:style w:type="character" w:styleId="IntenseEmphasis">
    <w:name w:val="Intense Emphasis"/>
    <w:basedOn w:val="DefaultParagraphFont"/>
    <w:uiPriority w:val="21"/>
    <w:qFormat/>
    <w:rsid w:val="00893E3E"/>
    <w:rPr>
      <w:i/>
      <w:iCs/>
      <w:color w:val="0F4761" w:themeColor="accent1" w:themeShade="BF"/>
    </w:rPr>
  </w:style>
  <w:style w:type="paragraph" w:styleId="IntenseQuote">
    <w:name w:val="Intense Quote"/>
    <w:basedOn w:val="Normal"/>
    <w:next w:val="Normal"/>
    <w:link w:val="IntenseQuoteChar"/>
    <w:uiPriority w:val="30"/>
    <w:qFormat/>
    <w:rsid w:val="00893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E3E"/>
    <w:rPr>
      <w:i/>
      <w:iCs/>
      <w:color w:val="0F4761" w:themeColor="accent1" w:themeShade="BF"/>
    </w:rPr>
  </w:style>
  <w:style w:type="character" w:styleId="IntenseReference">
    <w:name w:val="Intense Reference"/>
    <w:basedOn w:val="DefaultParagraphFont"/>
    <w:uiPriority w:val="32"/>
    <w:qFormat/>
    <w:rsid w:val="00893E3E"/>
    <w:rPr>
      <w:b/>
      <w:bCs/>
      <w:smallCaps/>
      <w:color w:val="0F4761" w:themeColor="accent1" w:themeShade="BF"/>
      <w:spacing w:val="5"/>
    </w:rPr>
  </w:style>
  <w:style w:type="paragraph" w:styleId="Header">
    <w:name w:val="header"/>
    <w:basedOn w:val="Normal"/>
    <w:link w:val="HeaderChar"/>
    <w:uiPriority w:val="99"/>
    <w:unhideWhenUsed/>
    <w:rsid w:val="001C4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DE"/>
  </w:style>
  <w:style w:type="paragraph" w:styleId="Footer">
    <w:name w:val="footer"/>
    <w:basedOn w:val="Normal"/>
    <w:link w:val="FooterChar"/>
    <w:uiPriority w:val="99"/>
    <w:unhideWhenUsed/>
    <w:rsid w:val="001C4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DE"/>
  </w:style>
  <w:style w:type="character" w:styleId="Hyperlink">
    <w:name w:val="Hyperlink"/>
    <w:basedOn w:val="DefaultParagraphFont"/>
    <w:uiPriority w:val="99"/>
    <w:unhideWhenUsed/>
    <w:rsid w:val="006B5B67"/>
    <w:rPr>
      <w:color w:val="467886" w:themeColor="hyperlink"/>
      <w:u w:val="single"/>
    </w:rPr>
  </w:style>
  <w:style w:type="character" w:styleId="UnresolvedMention">
    <w:name w:val="Unresolved Mention"/>
    <w:basedOn w:val="DefaultParagraphFont"/>
    <w:uiPriority w:val="99"/>
    <w:semiHidden/>
    <w:unhideWhenUsed/>
    <w:rsid w:val="006B5B67"/>
    <w:rPr>
      <w:color w:val="605E5C"/>
      <w:shd w:val="clear" w:color="auto" w:fill="E1DFDD"/>
    </w:rPr>
  </w:style>
  <w:style w:type="paragraph" w:customStyle="1" w:styleId="Footer1">
    <w:name w:val="Footer1"/>
    <w:basedOn w:val="Footer"/>
    <w:link w:val="footerChar0"/>
    <w:qFormat/>
    <w:rsid w:val="00771712"/>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771712"/>
    <w:rPr>
      <w:rFonts w:ascii="Trebuchet MS" w:hAnsi="Trebuchet MS" w:cs="Open Sans"/>
      <w:color w:val="000000"/>
      <w:kern w:val="0"/>
      <w:sz w:val="14"/>
      <w:szCs w:val="14"/>
      <w:lang w:val="ro-RO"/>
      <w14:ligatures w14:val="none"/>
    </w:rPr>
  </w:style>
  <w:style w:type="table" w:styleId="TableGrid">
    <w:name w:val="Table Grid"/>
    <w:basedOn w:val="TableNormal"/>
    <w:uiPriority w:val="39"/>
    <w:rsid w:val="0063671C"/>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2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A6"/>
    <w:rPr>
      <w:rFonts w:ascii="Segoe UI" w:hAnsi="Segoe UI" w:cs="Segoe UI"/>
      <w:color w:val="000000"/>
      <w:kern w:val="0"/>
      <w:sz w:val="18"/>
      <w:szCs w:val="18"/>
      <w:lang w:val="ro-RO"/>
      <w14:ligatures w14:val="none"/>
    </w:rPr>
  </w:style>
  <w:style w:type="paragraph" w:customStyle="1" w:styleId="ColourfulListAccent11">
    <w:name w:val="Colourful List – Accent 11"/>
    <w:basedOn w:val="Normal"/>
    <w:uiPriority w:val="34"/>
    <w:qFormat/>
    <w:rsid w:val="0059593D"/>
    <w:pPr>
      <w:spacing w:before="0" w:after="0" w:line="240" w:lineRule="auto"/>
      <w:ind w:left="720"/>
      <w:contextualSpacing/>
      <w:jc w:val="left"/>
    </w:pPr>
    <w:rPr>
      <w:rFonts w:ascii="Times New Roman" w:eastAsia="Times New Roman" w:hAnsi="Times New Roman" w:cs="Times New Roman"/>
      <w:color w:val="auto"/>
      <w:sz w:val="24"/>
      <w:szCs w:val="20"/>
      <w:lang w:val="en-US"/>
    </w:rPr>
  </w:style>
  <w:style w:type="paragraph" w:styleId="Revision">
    <w:name w:val="Revision"/>
    <w:hidden/>
    <w:uiPriority w:val="99"/>
    <w:semiHidden/>
    <w:rsid w:val="00B75DF4"/>
    <w:pPr>
      <w:spacing w:after="0" w:line="240" w:lineRule="auto"/>
    </w:pPr>
    <w:rPr>
      <w:rFonts w:ascii="Trebuchet MS" w:hAnsi="Trebuchet MS" w:cs="Open Sans"/>
      <w:color w:val="000000"/>
      <w:kern w:val="0"/>
      <w:lang w:val="ro-RO"/>
      <w14:ligatures w14:val="none"/>
    </w:rPr>
  </w:style>
  <w:style w:type="character" w:styleId="CommentReference">
    <w:name w:val="annotation reference"/>
    <w:basedOn w:val="DefaultParagraphFont"/>
    <w:uiPriority w:val="99"/>
    <w:semiHidden/>
    <w:unhideWhenUsed/>
    <w:rsid w:val="00AF3D68"/>
    <w:rPr>
      <w:sz w:val="16"/>
      <w:szCs w:val="16"/>
    </w:rPr>
  </w:style>
  <w:style w:type="paragraph" w:styleId="CommentText">
    <w:name w:val="annotation text"/>
    <w:basedOn w:val="Normal"/>
    <w:link w:val="CommentTextChar"/>
    <w:uiPriority w:val="99"/>
    <w:unhideWhenUsed/>
    <w:rsid w:val="00AF3D68"/>
    <w:pPr>
      <w:spacing w:line="240" w:lineRule="auto"/>
    </w:pPr>
    <w:rPr>
      <w:sz w:val="20"/>
      <w:szCs w:val="20"/>
    </w:rPr>
  </w:style>
  <w:style w:type="character" w:customStyle="1" w:styleId="CommentTextChar">
    <w:name w:val="Comment Text Char"/>
    <w:basedOn w:val="DefaultParagraphFont"/>
    <w:link w:val="CommentText"/>
    <w:uiPriority w:val="99"/>
    <w:rsid w:val="00AF3D68"/>
    <w:rPr>
      <w:rFonts w:ascii="Trebuchet MS" w:hAnsi="Trebuchet MS" w:cs="Open Sans"/>
      <w:color w:val="000000"/>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AF3D68"/>
    <w:rPr>
      <w:b/>
      <w:bCs/>
    </w:rPr>
  </w:style>
  <w:style w:type="character" w:customStyle="1" w:styleId="CommentSubjectChar">
    <w:name w:val="Comment Subject Char"/>
    <w:basedOn w:val="CommentTextChar"/>
    <w:link w:val="CommentSubject"/>
    <w:uiPriority w:val="99"/>
    <w:semiHidden/>
    <w:rsid w:val="00AF3D68"/>
    <w:rPr>
      <w:rFonts w:ascii="Trebuchet MS" w:hAnsi="Trebuchet MS" w:cs="Open Sans"/>
      <w:b/>
      <w:bCs/>
      <w:color w:val="000000"/>
      <w:kern w:val="0"/>
      <w:sz w:val="20"/>
      <w:szCs w:val="20"/>
      <w:lang w:val="ro-RO"/>
      <w14:ligatures w14:val="none"/>
    </w:rPr>
  </w:style>
  <w:style w:type="paragraph" w:customStyle="1" w:styleId="TableParagraph">
    <w:name w:val="Table Paragraph"/>
    <w:basedOn w:val="Normal"/>
    <w:uiPriority w:val="99"/>
    <w:rsid w:val="00142F0D"/>
    <w:pPr>
      <w:widowControl w:val="0"/>
      <w:autoSpaceDE w:val="0"/>
      <w:autoSpaceDN w:val="0"/>
      <w:spacing w:before="0" w:after="0" w:line="240" w:lineRule="auto"/>
      <w:jc w:val="left"/>
    </w:pPr>
    <w:rPr>
      <w:rFonts w:ascii="Times New Roman" w:eastAsia="Times New Roman" w:hAnsi="Times New Roman" w:cs="Times New Roman"/>
      <w:color w:val="auto"/>
      <w:lang w:val="en-US"/>
    </w:rPr>
  </w:style>
  <w:style w:type="character" w:styleId="PageNumber">
    <w:name w:val="page number"/>
    <w:basedOn w:val="DefaultParagraphFont"/>
    <w:uiPriority w:val="99"/>
    <w:rsid w:val="00516EF2"/>
  </w:style>
  <w:style w:type="paragraph" w:customStyle="1" w:styleId="ChapterNumber">
    <w:name w:val="ChapterNumber"/>
    <w:uiPriority w:val="99"/>
    <w:rsid w:val="009B2FE4"/>
    <w:pPr>
      <w:tabs>
        <w:tab w:val="left" w:pos="-720"/>
      </w:tabs>
      <w:suppressAutoHyphens/>
      <w:spacing w:after="0" w:line="240" w:lineRule="auto"/>
    </w:pPr>
    <w:rPr>
      <w:rFonts w:ascii="CG Times" w:eastAsia="Times New Roman" w:hAnsi="CG Times" w:cs="CG Times"/>
      <w:kern w:val="0"/>
      <w14:ligatures w14:val="none"/>
    </w:rPr>
  </w:style>
  <w:style w:type="character" w:customStyle="1" w:styleId="ListParagraphChar">
    <w:name w:val="List Paragraph Char"/>
    <w:aliases w:val="Citation List Char,본문(내용) Char,List Paragraph (numbered (a)) Char,Colorful List - Accent 11 Char,Forth level Char,lp1 Char,Heading x1 Char,Lettre d'introduction Char,1st level - Bullet List Paragraph Char,Paragrafo elenco Char"/>
    <w:basedOn w:val="DefaultParagraphFont"/>
    <w:link w:val="ListParagraph"/>
    <w:uiPriority w:val="99"/>
    <w:locked/>
    <w:rsid w:val="009B2FE4"/>
    <w:rPr>
      <w:rFonts w:ascii="Trebuchet MS" w:hAnsi="Trebuchet MS" w:cs="Open Sans"/>
      <w:color w:val="000000"/>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C372-2A9E-4F82-B970-1C7BFF87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Catalina Criveanu</cp:lastModifiedBy>
  <cp:revision>3</cp:revision>
  <cp:lastPrinted>2024-11-15T13:14:00Z</cp:lastPrinted>
  <dcterms:created xsi:type="dcterms:W3CDTF">2025-09-30T12:08:00Z</dcterms:created>
  <dcterms:modified xsi:type="dcterms:W3CDTF">2025-09-30T12:08:00Z</dcterms:modified>
</cp:coreProperties>
</file>