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6C17" w14:textId="77777777" w:rsidR="005E411F" w:rsidRDefault="005E411F" w:rsidP="003C718E">
      <w:pPr>
        <w:jc w:val="center"/>
        <w:rPr>
          <w:b/>
          <w:bCs/>
        </w:rPr>
      </w:pPr>
    </w:p>
    <w:p w14:paraId="65D96C15" w14:textId="77777777" w:rsidR="005E411F" w:rsidRDefault="005E411F" w:rsidP="003C718E">
      <w:pPr>
        <w:jc w:val="center"/>
        <w:rPr>
          <w:b/>
          <w:bCs/>
        </w:rPr>
      </w:pPr>
    </w:p>
    <w:p w14:paraId="7EB1DDF0" w14:textId="0766DC4C" w:rsidR="00E90377" w:rsidRDefault="00E90377" w:rsidP="003C718E">
      <w:pPr>
        <w:jc w:val="center"/>
        <w:rPr>
          <w:b/>
          <w:bCs/>
        </w:rPr>
      </w:pPr>
      <w:r>
        <w:rPr>
          <w:b/>
        </w:rPr>
        <w:t xml:space="preserve">Notification to an affected Party of a proposed activity </w:t>
      </w:r>
      <w:r>
        <w:rPr>
          <w:b/>
        </w:rPr>
        <w:br/>
        <w:t>under article 3 of the Convention</w:t>
      </w:r>
    </w:p>
    <w:p w14:paraId="5313BA67" w14:textId="36E2D437" w:rsidR="00456814" w:rsidRDefault="00456814" w:rsidP="00456814">
      <w:pPr>
        <w:rPr>
          <w:b/>
          <w:bCs/>
        </w:rPr>
      </w:pPr>
    </w:p>
    <w:tbl>
      <w:tblPr>
        <w:tblStyle w:val="TableGrid"/>
        <w:tblW w:w="0" w:type="auto"/>
        <w:tblLook w:val="04A0" w:firstRow="1" w:lastRow="0" w:firstColumn="1" w:lastColumn="0" w:noHBand="0" w:noVBand="1"/>
      </w:tblPr>
      <w:tblGrid>
        <w:gridCol w:w="4508"/>
        <w:gridCol w:w="4508"/>
      </w:tblGrid>
      <w:tr w:rsidR="00ED12F5" w14:paraId="0151080C" w14:textId="77777777" w:rsidTr="00AF1DD9">
        <w:tc>
          <w:tcPr>
            <w:tcW w:w="9016" w:type="dxa"/>
            <w:gridSpan w:val="2"/>
          </w:tcPr>
          <w:p w14:paraId="06FF0AE1" w14:textId="130C44F3" w:rsidR="00ED12F5" w:rsidRDefault="00ED12F5" w:rsidP="00D8294F">
            <w:pPr>
              <w:spacing w:before="240" w:after="240"/>
              <w:jc w:val="center"/>
              <w:rPr>
                <w:b/>
                <w:bCs/>
              </w:rPr>
            </w:pPr>
            <w:r>
              <w:rPr>
                <w:b/>
                <w:sz w:val="20"/>
              </w:rPr>
              <w:t>1.  INFORMATION ON THE PROPOSED ACTIVITY</w:t>
            </w:r>
          </w:p>
        </w:tc>
      </w:tr>
      <w:tr w:rsidR="00ED12F5" w14:paraId="43D8E32F" w14:textId="77777777" w:rsidTr="00DB04F1">
        <w:tc>
          <w:tcPr>
            <w:tcW w:w="9016" w:type="dxa"/>
            <w:gridSpan w:val="2"/>
          </w:tcPr>
          <w:p w14:paraId="6B47FD9A" w14:textId="45AFC7E6" w:rsidR="00ED12F5" w:rsidRDefault="00ED12F5" w:rsidP="00D8294F">
            <w:pPr>
              <w:spacing w:before="240" w:after="240"/>
              <w:jc w:val="center"/>
              <w:rPr>
                <w:b/>
                <w:bCs/>
              </w:rPr>
            </w:pPr>
            <w:r>
              <w:rPr>
                <w:b/>
                <w:sz w:val="20"/>
              </w:rPr>
              <w:t>(i) Information on the nature of the proposed activity</w:t>
            </w:r>
          </w:p>
        </w:tc>
      </w:tr>
      <w:tr w:rsidR="00ED12F5" w14:paraId="0C20EE13" w14:textId="77777777" w:rsidTr="00ED12F5">
        <w:tc>
          <w:tcPr>
            <w:tcW w:w="4508" w:type="dxa"/>
          </w:tcPr>
          <w:p w14:paraId="72906966" w14:textId="558F3C22" w:rsidR="00ED12F5" w:rsidRDefault="00ED12F5" w:rsidP="00D8294F">
            <w:pPr>
              <w:spacing w:before="240" w:after="240"/>
              <w:rPr>
                <w:b/>
                <w:bCs/>
              </w:rPr>
            </w:pPr>
            <w:r>
              <w:rPr>
                <w:sz w:val="20"/>
              </w:rPr>
              <w:t>Type of activity proposed</w:t>
            </w:r>
          </w:p>
        </w:tc>
        <w:tc>
          <w:tcPr>
            <w:tcW w:w="4508" w:type="dxa"/>
          </w:tcPr>
          <w:p w14:paraId="29285A67" w14:textId="3FEAB133" w:rsidR="00ED12F5" w:rsidRPr="00753DBB" w:rsidRDefault="00753DBB" w:rsidP="00D8294F">
            <w:pPr>
              <w:rPr>
                <w:bCs/>
              </w:rPr>
            </w:pPr>
            <w:r>
              <w:t>Extraction of dynamic reserves from the Danube River within the working area from km 501.000 to km 500.200, covering an area of 171,730 sq.</w:t>
            </w:r>
            <w:r w:rsidR="00D605E4">
              <w:t xml:space="preserve"> </w:t>
            </w:r>
            <w:r>
              <w:t xml:space="preserve">m.  </w:t>
            </w:r>
          </w:p>
        </w:tc>
      </w:tr>
      <w:tr w:rsidR="00AA1AD9" w14:paraId="420C9034" w14:textId="77777777" w:rsidTr="00447F17">
        <w:tc>
          <w:tcPr>
            <w:tcW w:w="4508" w:type="dxa"/>
          </w:tcPr>
          <w:p w14:paraId="6659FB68" w14:textId="27C2A606" w:rsidR="00AA1AD9" w:rsidRDefault="00AA1AD9" w:rsidP="00D8294F">
            <w:pPr>
              <w:spacing w:before="240" w:after="240"/>
              <w:rPr>
                <w:b/>
                <w:bCs/>
              </w:rPr>
            </w:pPr>
            <w:r>
              <w:rPr>
                <w:sz w:val="20"/>
              </w:rPr>
              <w:t>Is the proposed activity listed in appendix I to the Convention?</w:t>
            </w:r>
          </w:p>
        </w:tc>
        <w:tc>
          <w:tcPr>
            <w:tcW w:w="4508" w:type="dxa"/>
            <w:vAlign w:val="center"/>
          </w:tcPr>
          <w:p w14:paraId="250EC0F0" w14:textId="5D744634" w:rsidR="00AA1AD9" w:rsidRDefault="00AA1AD9" w:rsidP="00753DBB">
            <w:pPr>
              <w:ind w:left="625"/>
              <w:rPr>
                <w:b/>
                <w:bCs/>
              </w:rPr>
            </w:pPr>
            <w:r>
              <w:rPr>
                <w:sz w:val="20"/>
              </w:rPr>
              <w:t xml:space="preserve">             Yes</w:t>
            </w:r>
            <w:r>
              <w:rPr>
                <w:rFonts w:ascii="Helvetica-Narrow" w:hAnsi="Helvetica-Narrow"/>
                <w:sz w:val="18"/>
              </w:rPr>
              <w:t xml:space="preserve">   </w:t>
            </w:r>
            <w:r>
              <w:rPr>
                <w:rFonts w:ascii="Helvetica-Narrow" w:hAnsi="Helvetica-Narrow"/>
                <w:sz w:val="18"/>
              </w:rPr>
              <w:sym w:font="Webdings" w:char="F063"/>
            </w:r>
            <w:r>
              <w:rPr>
                <w:rFonts w:ascii="Helvetica-Narrow" w:hAnsi="Helvetica-Narrow"/>
                <w:sz w:val="18"/>
              </w:rPr>
              <w:t xml:space="preserve">              </w:t>
            </w:r>
            <w:r>
              <w:rPr>
                <w:b/>
                <w:sz w:val="20"/>
              </w:rPr>
              <w:t>No</w:t>
            </w:r>
            <w:r>
              <w:rPr>
                <w:rFonts w:ascii="Helvetica-Narrow" w:hAnsi="Helvetica-Narrow"/>
                <w:b/>
                <w:sz w:val="18"/>
              </w:rPr>
              <w:t xml:space="preserve"> </w:t>
            </w:r>
            <w:r>
              <w:rPr>
                <w:rFonts w:ascii="Helvetica-Narrow" w:hAnsi="Helvetica-Narrow"/>
                <w:sz w:val="18"/>
              </w:rPr>
              <w:t xml:space="preserve">  </w:t>
            </w:r>
            <w:r>
              <w:rPr>
                <w:rFonts w:ascii="Helvetica-Narrow" w:hAnsi="Helvetica-Narrow"/>
                <w:sz w:val="18"/>
              </w:rPr>
              <w:sym w:font="Webdings" w:char="F072"/>
            </w:r>
          </w:p>
        </w:tc>
      </w:tr>
      <w:tr w:rsidR="00AA1AD9" w:rsidRPr="00B911CC" w14:paraId="2A3716A8" w14:textId="77777777" w:rsidTr="00ED12F5">
        <w:tc>
          <w:tcPr>
            <w:tcW w:w="4508" w:type="dxa"/>
          </w:tcPr>
          <w:p w14:paraId="7704ECA2" w14:textId="78F695CF"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b/>
                <w:bCs/>
              </w:rPr>
            </w:pPr>
            <w:r>
              <w:rPr>
                <w:sz w:val="20"/>
              </w:rPr>
              <w:t xml:space="preserve">Scope of proposed activity </w:t>
            </w:r>
            <w:r>
              <w:rPr>
                <w:sz w:val="20"/>
              </w:rPr>
              <w:br/>
              <w:t>(e.g. main activity and any/all peripheral activities requiring assessment)</w:t>
            </w:r>
          </w:p>
        </w:tc>
        <w:tc>
          <w:tcPr>
            <w:tcW w:w="4508" w:type="dxa"/>
          </w:tcPr>
          <w:p w14:paraId="2C6FADD7" w14:textId="44524B54" w:rsidR="00E15407" w:rsidRPr="00AF2FDF" w:rsidRDefault="00E15407" w:rsidP="00E15407">
            <w:pPr>
              <w:jc w:val="both"/>
              <w:rPr>
                <w:bCs/>
              </w:rPr>
            </w:pPr>
            <w:r>
              <w:t>The extraction of sediment deposits will be carried out using the multi-bucket dredger “Dunav”. The obtained material will be loaded onto non-self-propelled flat-deck barges. The company operates 4 units of 200-ton barges and 4 units of 300-ton barges. The dredger has a capacity of 150 tons per hour. The expected volume of extracted material is 15,000 m</w:t>
            </w:r>
            <w:r>
              <w:rPr>
                <w:vertAlign w:val="superscript"/>
              </w:rPr>
              <w:t>3</w:t>
            </w:r>
            <w:r>
              <w:t>.</w:t>
            </w:r>
          </w:p>
          <w:p w14:paraId="536CD8A9" w14:textId="77777777" w:rsidR="00E15407" w:rsidRPr="00B911CC" w:rsidRDefault="00E15407" w:rsidP="00E15407">
            <w:pPr>
              <w:jc w:val="both"/>
              <w:rPr>
                <w:bCs/>
              </w:rPr>
            </w:pPr>
            <w:r>
              <w:t>As an alternative to the dredger, the floating technical facilities PD “INERT 5” and PD “INERT 6” may also be used for extraction of inert material and loading onto the barges. For transportation, two self-propelled vessels will also be used: “INERT 9” (750 tons) and “INERT 10” (850 tons).</w:t>
            </w:r>
          </w:p>
          <w:p w14:paraId="11C0B725" w14:textId="77777777" w:rsidR="00E15407" w:rsidRPr="00B911CC" w:rsidRDefault="00E15407" w:rsidP="00E15407">
            <w:pPr>
              <w:jc w:val="both"/>
              <w:rPr>
                <w:bCs/>
              </w:rPr>
            </w:pPr>
            <w:r>
              <w:t xml:space="preserve">The transportation of the barges to the project pontoon will be carried out by the MV “Z. Stoyanov” and MV “G. S. Rakovski” or by a self-propelled vessel. </w:t>
            </w:r>
          </w:p>
          <w:p w14:paraId="68EC7D6A" w14:textId="570CC82D" w:rsidR="00AA1AD9" w:rsidRPr="00B911CC" w:rsidRDefault="00E15407" w:rsidP="00E15407">
            <w:pPr>
              <w:jc w:val="both"/>
              <w:rPr>
                <w:bCs/>
              </w:rPr>
            </w:pPr>
            <w:r>
              <w:t xml:space="preserve">The transportation and subsequent unloading of the barges or self-propelled vessels will be carried out at a project pontoon (N 43° 49’ 42.31” E 25° 55’ 33.07”), located approximately 1,200 meters downstream along the Danube River, at a port site – land property with identifier 63427.3.724, owned by “INERT” Ltd. The area of property 63427.3.724 will be used as an unloading site. According to cadastral sketch No. 15-805729-20.05.2025, issued by the Bulgarian </w:t>
            </w:r>
            <w:r>
              <w:lastRenderedPageBreak/>
              <w:t xml:space="preserve">Agency of Geodesy, Cartography and Cadastre, the property has a permanent land use statute “Urbanized” and a permanent use statute “For port”. For the performance of the activities, Decision No. RU-5-PR / 2018 issued by the Regional Inspectorate of Environment and Water Resources – Ruse is in force for “Port for public transport of regional significance at river km 499 of the Danube River – Ruse, for vessels with a tonnage up to 1,350 BRT” for joint activities. The port holds an Operational Suitability Certificate No. 23021 issued by the Bulgarian Ministry of Transport, Information Technology and Communications on 23.12.2021, valid until 23.12.2056. A General Plan for the port has been approved by Orders of the Bulgarian Minister of Transport, Information Technology and Communications No. RD-08-55 / 07.02.2020 and of the Minister of Regional Development and Public Works No. RD-02-14-101 / 05.02.2020 (Bulgarian Official Gazette No. 13 / 2020). </w:t>
            </w:r>
          </w:p>
          <w:p w14:paraId="20684C2D" w14:textId="5C3F2E6A" w:rsidR="000A184C" w:rsidRPr="00B911CC" w:rsidRDefault="000A184C" w:rsidP="00E15407">
            <w:pPr>
              <w:jc w:val="both"/>
              <w:rPr>
                <w:bCs/>
                <w:lang w:val="bg-BG"/>
              </w:rPr>
            </w:pPr>
          </w:p>
          <w:p w14:paraId="4388DB6C" w14:textId="77777777" w:rsidR="000A184C" w:rsidRPr="00B911CC" w:rsidRDefault="000A184C" w:rsidP="000A184C">
            <w:pPr>
              <w:jc w:val="both"/>
              <w:rPr>
                <w:bCs/>
              </w:rPr>
            </w:pPr>
            <w:r>
              <w:t>Unloading of the barges is to be carried out using a specialized electric hydraulic crane “Liebherr” with a long boom. The machine is to be equipped with pneumatic grab buckets, through which the material will be unloaded in the hoppers of the conveyor belts.</w:t>
            </w:r>
          </w:p>
          <w:p w14:paraId="745693BA" w14:textId="77777777" w:rsidR="000A184C" w:rsidRPr="00B911CC" w:rsidRDefault="000A184C" w:rsidP="000A184C">
            <w:pPr>
              <w:jc w:val="both"/>
              <w:rPr>
                <w:bCs/>
              </w:rPr>
            </w:pPr>
            <w:r>
              <w:t>The inert material will be distributed to specialized stockpiles for river ballast, part of which is delivered via a conveyor system to a mobile screening machine Powerscreen Chieftain 1400. The machine screens the river ballast into three fractions.</w:t>
            </w:r>
          </w:p>
          <w:p w14:paraId="386E3876" w14:textId="77777777" w:rsidR="000A184C" w:rsidRPr="00B911CC" w:rsidRDefault="000A184C" w:rsidP="000A184C">
            <w:pPr>
              <w:jc w:val="both"/>
              <w:rPr>
                <w:bCs/>
              </w:rPr>
            </w:pPr>
            <w:r>
              <w:t>Sand can also be unloaded directly to the stockpile via conveyor belt.</w:t>
            </w:r>
          </w:p>
          <w:p w14:paraId="7778E44D" w14:textId="77777777" w:rsidR="000A184C" w:rsidRPr="00B911CC" w:rsidRDefault="000A184C" w:rsidP="000A184C">
            <w:pPr>
              <w:jc w:val="both"/>
              <w:rPr>
                <w:bCs/>
              </w:rPr>
            </w:pPr>
            <w:r>
              <w:t>Dispatch of all fractions of inert material is carried out by trucks with and without trailers. Loading is performed in designated loading zones using front loaders with a capacity of 5 to 5.5 cubic meters.</w:t>
            </w:r>
          </w:p>
          <w:p w14:paraId="7EE49110" w14:textId="73DB4B37" w:rsidR="000A184C" w:rsidRPr="00B911CC" w:rsidRDefault="000A184C" w:rsidP="000A184C">
            <w:pPr>
              <w:jc w:val="both"/>
              <w:rPr>
                <w:bCs/>
              </w:rPr>
            </w:pPr>
            <w:r>
              <w:t xml:space="preserve">Vehicle routes are strictly defined, with one-way traffic within the site. Two-way traffic is permitted only in the weighbridge area. The vehicle shall get out of the port only after the weigh ticket has been issued and validated by </w:t>
            </w:r>
            <w:r>
              <w:lastRenderedPageBreak/>
              <w:t xml:space="preserve">the driver, and after the consignment not is compiled, </w:t>
            </w:r>
          </w:p>
          <w:p w14:paraId="49CAA0ED" w14:textId="7D8C7278" w:rsidR="000A184C" w:rsidRPr="00B911CC" w:rsidRDefault="000A184C" w:rsidP="00E15407">
            <w:pPr>
              <w:jc w:val="both"/>
              <w:rPr>
                <w:bCs/>
                <w:lang w:val="bg-BG"/>
              </w:rPr>
            </w:pPr>
          </w:p>
          <w:p w14:paraId="12F70993" w14:textId="0EF740B3" w:rsidR="000A184C" w:rsidRPr="00B911CC" w:rsidRDefault="000A184C" w:rsidP="00E15407">
            <w:pPr>
              <w:jc w:val="both"/>
              <w:rPr>
                <w:b/>
                <w:bCs/>
              </w:rPr>
            </w:pPr>
            <w:r>
              <w:rPr>
                <w:b/>
              </w:rPr>
              <w:t>No shore-based activities are planned within the site area.</w:t>
            </w:r>
          </w:p>
        </w:tc>
      </w:tr>
      <w:tr w:rsidR="00AA1AD9" w14:paraId="7E3A40A2" w14:textId="77777777" w:rsidTr="00ED12F5">
        <w:tc>
          <w:tcPr>
            <w:tcW w:w="4508" w:type="dxa"/>
          </w:tcPr>
          <w:p w14:paraId="7B8D973B"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lastRenderedPageBreak/>
              <w:t>Scale of proposed activity</w:t>
            </w:r>
          </w:p>
          <w:p w14:paraId="1E6D0519" w14:textId="01EFA9E0" w:rsidR="00AA1AD9" w:rsidRDefault="00AA1AD9" w:rsidP="00D8294F">
            <w:pPr>
              <w:spacing w:after="240"/>
              <w:rPr>
                <w:b/>
                <w:bCs/>
              </w:rPr>
            </w:pPr>
            <w:r>
              <w:rPr>
                <w:sz w:val="20"/>
              </w:rPr>
              <w:t>(e.g. size, production capacity)</w:t>
            </w:r>
          </w:p>
        </w:tc>
        <w:tc>
          <w:tcPr>
            <w:tcW w:w="4508" w:type="dxa"/>
          </w:tcPr>
          <w:p w14:paraId="5769504B" w14:textId="6F9BD5D7" w:rsidR="00AA1AD9" w:rsidRPr="000A184C" w:rsidRDefault="000A184C" w:rsidP="00D8294F">
            <w:pPr>
              <w:rPr>
                <w:bCs/>
              </w:rPr>
            </w:pPr>
            <w:r>
              <w:t>The investment proposal includes extraction of dynamic reserves from the Danube River within the working area from km 501.000 to km 500.200, covering an area of 171,730 sq.</w:t>
            </w:r>
            <w:r w:rsidR="00D605E4">
              <w:t xml:space="preserve"> </w:t>
            </w:r>
            <w:r>
              <w:t xml:space="preserve">m in proximity to the </w:t>
            </w:r>
            <w:r w:rsidR="00D605E4">
              <w:t>water way</w:t>
            </w:r>
            <w:r>
              <w:t xml:space="preserve">.  </w:t>
            </w:r>
          </w:p>
        </w:tc>
      </w:tr>
      <w:tr w:rsidR="00AA1AD9" w14:paraId="5FA4E40B" w14:textId="77777777" w:rsidTr="00ED12F5">
        <w:tc>
          <w:tcPr>
            <w:tcW w:w="4508" w:type="dxa"/>
          </w:tcPr>
          <w:p w14:paraId="32342107"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Description of proposed activity</w:t>
            </w:r>
          </w:p>
          <w:p w14:paraId="1BCE7C91" w14:textId="14E3CC28" w:rsidR="00AA1AD9" w:rsidRDefault="00AA1AD9" w:rsidP="00D8294F">
            <w:pPr>
              <w:spacing w:after="240"/>
              <w:rPr>
                <w:b/>
                <w:bCs/>
              </w:rPr>
            </w:pPr>
            <w:r>
              <w:rPr>
                <w:sz w:val="20"/>
              </w:rPr>
              <w:t>(e.g. technology used)</w:t>
            </w:r>
          </w:p>
        </w:tc>
        <w:tc>
          <w:tcPr>
            <w:tcW w:w="4508" w:type="dxa"/>
          </w:tcPr>
          <w:p w14:paraId="5012B978" w14:textId="77777777" w:rsidR="00AA6D77" w:rsidRPr="00E15407" w:rsidRDefault="00AA6D77" w:rsidP="00AA6D77">
            <w:pPr>
              <w:jc w:val="both"/>
              <w:rPr>
                <w:bCs/>
              </w:rPr>
            </w:pPr>
            <w:r>
              <w:t xml:space="preserve">The obtained material will be loaded onto non-self-propelled flat-deck barges. The company operates 4 units of 200-ton and 4 units of 300-ton barges. The dredger has a capacity of 150 tons per hour. </w:t>
            </w:r>
          </w:p>
          <w:p w14:paraId="79620D6D" w14:textId="77777777" w:rsidR="00AA6D77" w:rsidRPr="00E15407" w:rsidRDefault="00AA6D77" w:rsidP="00AA6D77">
            <w:pPr>
              <w:jc w:val="both"/>
              <w:rPr>
                <w:bCs/>
              </w:rPr>
            </w:pPr>
            <w:r>
              <w:t>As an alternative to the dredger, the floating technical facilities PD “INERT 5” and PD “INERT 6” may also be used for extraction of inert material and loading onto the barges. For transportation, two self-propelled vessels will also be used: “INERT 9” (750 tons) and “INERT 10” (850 tons).</w:t>
            </w:r>
          </w:p>
          <w:p w14:paraId="41AA10D3" w14:textId="77777777" w:rsidR="00AA6D77" w:rsidRPr="00E15407" w:rsidRDefault="00AA6D77" w:rsidP="00AA6D77">
            <w:pPr>
              <w:jc w:val="both"/>
              <w:rPr>
                <w:bCs/>
              </w:rPr>
            </w:pPr>
            <w:r>
              <w:t xml:space="preserve">The transportation of the barges to the project pontoon will be carried out by the MV “Z. Stoyanov” and MV “G. S. Rakovski” or by a self-propelled vessel. </w:t>
            </w:r>
          </w:p>
          <w:p w14:paraId="34543CCE" w14:textId="77777777" w:rsidR="00AA6D77" w:rsidRDefault="00AA6D77" w:rsidP="00AA6D77">
            <w:pPr>
              <w:jc w:val="both"/>
              <w:rPr>
                <w:bCs/>
              </w:rPr>
            </w:pPr>
            <w:r>
              <w:t xml:space="preserve">The transportation and subsequent unloading of the barges or self-propelled vessels will be carried out at a project pontoon (N 43° 49’ 42.31” E 25° 55’ 33.07”), located approximately 1,200 meters downstream along the Danube River, at a port site – land property with identifier 63427.3.724, owned by “INERT” Ltd. The area of property 63427.3.724 will be used as an unloading site. According to cadastral sketch No. 15-805729-20.05.2025, issued by the Bulgarian Agency of Geodesy, Cartography and Cadastre, the property has a permanent land use statute “Urbanized” and a permanent use statute “For port”. For the performance of the activities, Decision No. RU-5-PR / 2018 issued by the Regional Inspectorate of Environment and Water Resources – Ruse is in force for “Port for public transport of regional significance at river km 499 of the Danube River – Ruse, for vessels with a tonnage up to 1,350 BRT” for joint activities. The port holds an Operational Suitability Certificate No. 23021 issued by the </w:t>
            </w:r>
            <w:r>
              <w:lastRenderedPageBreak/>
              <w:t xml:space="preserve">Bulgarian Ministry of Transport, Information Technology and Communications on 23.12.2021, valid until 23.12.2056. A General Plan for the port has been approved by Orders of the Bulgarian Minister of Transport, Information Technology and Communications No. RD-08-55 / 07.02.2020 and of the Minister of Regional Development and Public Works No. RD-02-14-101 / 05.02.2020 (Bulgarian Official Gazette No. 13 / 2020). </w:t>
            </w:r>
          </w:p>
          <w:p w14:paraId="1EAD6F9F" w14:textId="77777777" w:rsidR="00AA6D77" w:rsidRDefault="00AA6D77" w:rsidP="00AA6D77">
            <w:pPr>
              <w:jc w:val="both"/>
              <w:rPr>
                <w:bCs/>
              </w:rPr>
            </w:pPr>
          </w:p>
          <w:p w14:paraId="7E9FF6DB" w14:textId="103C7792" w:rsidR="00AA6D77" w:rsidRPr="000A184C" w:rsidRDefault="00AA6D77" w:rsidP="00AA6D77">
            <w:pPr>
              <w:jc w:val="both"/>
              <w:rPr>
                <w:bCs/>
              </w:rPr>
            </w:pPr>
            <w:r>
              <w:t>Unloading of the barges is to be carried out using a specialized electric hydraulic crane “Liebherr” with a long boom. The machine is to be equipped with pneumatic grab buckets, through which the material will be unloaded in the hoppers of the conveyor belts.</w:t>
            </w:r>
          </w:p>
          <w:p w14:paraId="59CE366E" w14:textId="77777777" w:rsidR="00AA6D77" w:rsidRPr="000A184C" w:rsidRDefault="00AA6D77" w:rsidP="00AA6D77">
            <w:pPr>
              <w:jc w:val="both"/>
              <w:rPr>
                <w:bCs/>
              </w:rPr>
            </w:pPr>
            <w:r>
              <w:t>The inert material will be distributed to specialized stockpiles for river ballast, part of which is delivered via a conveyor system to a mobile screening machine Powerscreen Chieftain 1400. The machine screens the river ballast into three fractions.</w:t>
            </w:r>
          </w:p>
          <w:p w14:paraId="570AF200" w14:textId="77777777" w:rsidR="00AA6D77" w:rsidRPr="000A184C" w:rsidRDefault="00AA6D77" w:rsidP="00AA6D77">
            <w:pPr>
              <w:jc w:val="both"/>
              <w:rPr>
                <w:bCs/>
              </w:rPr>
            </w:pPr>
            <w:r>
              <w:t>Sand can also be unloaded directly to the stockpile via conveyor belt.</w:t>
            </w:r>
          </w:p>
          <w:p w14:paraId="59F2D43F" w14:textId="77777777" w:rsidR="00AA6D77" w:rsidRPr="000A184C" w:rsidRDefault="00AA6D77" w:rsidP="00AA6D77">
            <w:pPr>
              <w:jc w:val="both"/>
              <w:rPr>
                <w:bCs/>
              </w:rPr>
            </w:pPr>
            <w:r>
              <w:t>Dispatch of all fractions of inert material is carried out by trucks with and without trailers. Loading is performed in designated loading zones using front loaders with a capacity of 5 to 5.5 cubic meters.</w:t>
            </w:r>
          </w:p>
          <w:p w14:paraId="53C56474" w14:textId="36356513" w:rsidR="00AA6D77" w:rsidRDefault="00AA6D77" w:rsidP="00AA6D77">
            <w:pPr>
              <w:jc w:val="both"/>
              <w:rPr>
                <w:bCs/>
              </w:rPr>
            </w:pPr>
            <w:r>
              <w:t>Vehicle routes are strictly defined, with one-way traffic within the site. Two-way traffic is permitted only in the weighbridge area. The vehicle shall get out of the port only after the weigh ticket has been issued and validated by the driver, and after the consignment not is compiled,</w:t>
            </w:r>
          </w:p>
          <w:p w14:paraId="39735641" w14:textId="18C0D8FA" w:rsidR="00AA6D77" w:rsidRDefault="00AA6D77" w:rsidP="00AA6D77">
            <w:pPr>
              <w:jc w:val="both"/>
              <w:rPr>
                <w:bCs/>
                <w:lang w:bidi="bg-BG"/>
              </w:rPr>
            </w:pPr>
          </w:p>
          <w:p w14:paraId="62AC1D2B" w14:textId="324A7E5A" w:rsidR="00AA6D77" w:rsidRPr="00AA6D77" w:rsidRDefault="00AA6D77" w:rsidP="00AA6D77">
            <w:pPr>
              <w:jc w:val="both"/>
              <w:rPr>
                <w:bCs/>
              </w:rPr>
            </w:pPr>
            <w:r>
              <w:t>No storage of removed sediment deposits along the riverbanks is envisaged. The buckets of the dredger are designed solely for scraping the upper layer of sediment material and do not have the capacity to break or damage the riverbed. Upon reaching rock formations, operations will be stopped and the dredging depth will be adjusted accordingly.</w:t>
            </w:r>
          </w:p>
          <w:p w14:paraId="7FE7F799" w14:textId="13F9A4CA" w:rsidR="00AA6D77" w:rsidRPr="00AA6D77" w:rsidRDefault="00AA6D77" w:rsidP="00AA6D77">
            <w:pPr>
              <w:jc w:val="both"/>
              <w:rPr>
                <w:bCs/>
              </w:rPr>
            </w:pPr>
            <w:r>
              <w:t xml:space="preserve">The removal of sediment deposits will be carried out gradually, seasonally and </w:t>
            </w:r>
            <w:r>
              <w:lastRenderedPageBreak/>
              <w:t>periodically, and the entire area of the proposed working area will not be exploited at once. The extraction area represents the boundary of a river zone within which the dredger is permitted to operate. During the season, the dredger will operate within the limits of this section.</w:t>
            </w:r>
          </w:p>
          <w:p w14:paraId="0112A7E4" w14:textId="77777777" w:rsidR="00AA6D77" w:rsidRPr="00AA6D77" w:rsidRDefault="00AA6D77" w:rsidP="00AA6D77">
            <w:pPr>
              <w:jc w:val="both"/>
              <w:rPr>
                <w:bCs/>
              </w:rPr>
            </w:pPr>
            <w:r>
              <w:t>The extraction method ensures removal of sediment deposits from the dynamic reserves of the river without affecting the solid riverbed (water-impermeable layer).</w:t>
            </w:r>
          </w:p>
          <w:p w14:paraId="5B8D87F0" w14:textId="78063454" w:rsidR="00AA1AD9" w:rsidRDefault="00AA6D77" w:rsidP="00F042C7">
            <w:pPr>
              <w:jc w:val="both"/>
              <w:rPr>
                <w:b/>
                <w:bCs/>
              </w:rPr>
            </w:pPr>
            <w:r>
              <w:t>The dredger design allows extraction of sediments only in the direction of the riverbed (perpendicular to the vessel), as it is technically impossible to excavate with inclination towards the banks. Removal will be performed on an interlacing principle – sequentially, from one end of the working area to the other (across its width), followed by a slight upstream shifting and repeated removal from one end of the working area to the other. The upper layer of accumulated aggregates with a thickness of approximately 60 cm will be removed. This method is the most favourable for extraction, as it is not harmful for the riverbed, it creates gradual deepening over large areas without forming pits, and the working area recovers within 2–3 months after stopping the extraction works.</w:t>
            </w:r>
          </w:p>
        </w:tc>
      </w:tr>
      <w:tr w:rsidR="00AA1AD9" w14:paraId="0EF58570" w14:textId="77777777" w:rsidTr="00ED12F5">
        <w:tc>
          <w:tcPr>
            <w:tcW w:w="4508" w:type="dxa"/>
          </w:tcPr>
          <w:p w14:paraId="53CD5C60" w14:textId="2558AA51" w:rsidR="00AA1AD9" w:rsidRDefault="00AA1AD9" w:rsidP="00D8294F">
            <w:pPr>
              <w:spacing w:before="240" w:after="240"/>
              <w:rPr>
                <w:b/>
                <w:bCs/>
              </w:rPr>
            </w:pPr>
            <w:r>
              <w:rPr>
                <w:sz w:val="20"/>
              </w:rPr>
              <w:lastRenderedPageBreak/>
              <w:t>Description of purpose of proposed activity</w:t>
            </w:r>
          </w:p>
        </w:tc>
        <w:tc>
          <w:tcPr>
            <w:tcW w:w="4508" w:type="dxa"/>
          </w:tcPr>
          <w:p w14:paraId="6D55C615" w14:textId="4E76F8B3" w:rsidR="00AA6D77" w:rsidRPr="00AA6D77" w:rsidRDefault="00AA6D77" w:rsidP="00AA6D77">
            <w:pPr>
              <w:widowControl w:val="0"/>
              <w:spacing w:after="100" w:line="252" w:lineRule="auto"/>
              <w:jc w:val="both"/>
              <w:rPr>
                <w:sz w:val="22"/>
                <w:szCs w:val="22"/>
              </w:rPr>
            </w:pPr>
            <w:r>
              <w:rPr>
                <w:sz w:val="22"/>
              </w:rPr>
              <w:t>The purpose of the investment proposal is to obtain a permit for the extraction of sediment deposits from the Danube River, to be issued by the Bulgarian Executive Agency for Exploration and Maintenance of the Danube River (EAEMDR).</w:t>
            </w:r>
          </w:p>
          <w:p w14:paraId="085DBBAD" w14:textId="36575A72" w:rsidR="00AA1AD9" w:rsidRPr="006E2D05" w:rsidRDefault="00AA6D77" w:rsidP="00AA6D77">
            <w:pPr>
              <w:rPr>
                <w:b/>
                <w:bCs/>
              </w:rPr>
            </w:pPr>
            <w:r>
              <w:rPr>
                <w:color w:val="000000"/>
              </w:rPr>
              <w:t>The proposal is aimed at carrying out the principal activities of the contracting authority, namely extraction, processing and commercialization of inert materials, river transport and ship agency services along the Danube River.</w:t>
            </w:r>
          </w:p>
        </w:tc>
      </w:tr>
      <w:tr w:rsidR="00AA1AD9" w14:paraId="00031EC9" w14:textId="77777777" w:rsidTr="00ED12F5">
        <w:tc>
          <w:tcPr>
            <w:tcW w:w="4508" w:type="dxa"/>
          </w:tcPr>
          <w:p w14:paraId="31A379FF" w14:textId="26DE2A60"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b/>
                <w:bCs/>
              </w:rPr>
            </w:pPr>
            <w:r>
              <w:rPr>
                <w:sz w:val="20"/>
              </w:rPr>
              <w:t xml:space="preserve">Rationale for proposed activity </w:t>
            </w:r>
            <w:r>
              <w:rPr>
                <w:sz w:val="20"/>
              </w:rPr>
              <w:br/>
              <w:t>(e.g. socio-economic basis, physical geographic basis)</w:t>
            </w:r>
          </w:p>
        </w:tc>
        <w:tc>
          <w:tcPr>
            <w:tcW w:w="4508" w:type="dxa"/>
          </w:tcPr>
          <w:p w14:paraId="47ACF165" w14:textId="77777777" w:rsidR="007A5C54" w:rsidRPr="007A5C54" w:rsidRDefault="007A5C54" w:rsidP="007A5C54">
            <w:pPr>
              <w:widowControl w:val="0"/>
              <w:spacing w:after="100" w:line="252" w:lineRule="auto"/>
              <w:jc w:val="both"/>
              <w:rPr>
                <w:color w:val="000000"/>
              </w:rPr>
            </w:pPr>
            <w:r>
              <w:rPr>
                <w:color w:val="000000"/>
              </w:rPr>
              <w:t>The transport area is located in proximity to the contracting authority’s own port, where unloading, processing and storage will take place.</w:t>
            </w:r>
          </w:p>
          <w:p w14:paraId="50B57DC4" w14:textId="77777777" w:rsidR="007A5C54" w:rsidRPr="007A5C54" w:rsidRDefault="007A5C54" w:rsidP="007A5C54">
            <w:pPr>
              <w:widowControl w:val="0"/>
              <w:spacing w:after="100" w:line="252" w:lineRule="auto"/>
              <w:jc w:val="both"/>
              <w:rPr>
                <w:color w:val="000000"/>
              </w:rPr>
            </w:pPr>
            <w:r>
              <w:rPr>
                <w:color w:val="000000"/>
              </w:rPr>
              <w:t xml:space="preserve">The necessity for extraction in this working area is driven by the need to ensure sufficient locations for the transportation of inert materials required for the company’s core </w:t>
            </w:r>
            <w:r>
              <w:rPr>
                <w:color w:val="000000"/>
              </w:rPr>
              <w:lastRenderedPageBreak/>
              <w:t>activities.</w:t>
            </w:r>
          </w:p>
          <w:p w14:paraId="5DA6AC61" w14:textId="77777777" w:rsidR="007A5C54" w:rsidRPr="007A5C54" w:rsidRDefault="007A5C54" w:rsidP="007A5C54">
            <w:pPr>
              <w:widowControl w:val="0"/>
              <w:spacing w:after="100" w:line="252" w:lineRule="auto"/>
              <w:jc w:val="both"/>
              <w:rPr>
                <w:color w:val="000000"/>
              </w:rPr>
            </w:pPr>
            <w:r>
              <w:rPr>
                <w:color w:val="000000"/>
              </w:rPr>
              <w:t>At the same time, the extraction will also achieve the following positive effects:</w:t>
            </w:r>
          </w:p>
          <w:p w14:paraId="5E2FFFD2" w14:textId="520346CC" w:rsidR="007A5C54" w:rsidRDefault="007A5C54" w:rsidP="007A5C54">
            <w:pPr>
              <w:widowControl w:val="0"/>
              <w:spacing w:after="100" w:line="252" w:lineRule="auto"/>
              <w:jc w:val="both"/>
              <w:rPr>
                <w:color w:val="000000"/>
              </w:rPr>
            </w:pPr>
            <w:r>
              <w:rPr>
                <w:color w:val="000000"/>
              </w:rPr>
              <w:t xml:space="preserve">The accumulation of sediments in any river section creates conditions for gradual reduction in depth (formation of shallow areas and thresholds),  which in turn reduces the navigable area and passability of river sections, negatively affecting navigation. </w:t>
            </w:r>
          </w:p>
          <w:p w14:paraId="62BFEE54" w14:textId="14788EA1" w:rsidR="007A5C54" w:rsidRPr="007A5C54" w:rsidRDefault="007A5C54" w:rsidP="007A5C54">
            <w:pPr>
              <w:widowControl w:val="0"/>
              <w:spacing w:after="100" w:line="252" w:lineRule="auto"/>
              <w:jc w:val="both"/>
              <w:rPr>
                <w:color w:val="000000"/>
              </w:rPr>
            </w:pPr>
            <w:r>
              <w:rPr>
                <w:color w:val="000000"/>
              </w:rPr>
              <w:t>No construction of new technical infrastructure is required for the implementation of the investment proposal.</w:t>
            </w:r>
          </w:p>
          <w:p w14:paraId="678BFA02" w14:textId="498064C3" w:rsidR="00AA1AD9" w:rsidRPr="007A5C54" w:rsidRDefault="007A5C54" w:rsidP="007A5C54">
            <w:pPr>
              <w:widowControl w:val="0"/>
              <w:spacing w:after="100" w:line="252" w:lineRule="auto"/>
              <w:jc w:val="both"/>
              <w:rPr>
                <w:b/>
                <w:bCs/>
              </w:rPr>
            </w:pPr>
            <w:r>
              <w:rPr>
                <w:color w:val="000000"/>
              </w:rPr>
              <w:t>On the other hand, sediment accumulation, especially in the channels between islands and the riverbank, creates real conditions for bank overflow and flooding during high water levels, as well as increased bank erosion due to the abrasive nature of sediment-laden water.</w:t>
            </w:r>
          </w:p>
        </w:tc>
      </w:tr>
      <w:tr w:rsidR="00AA1AD9" w14:paraId="20A8C9D5" w14:textId="77777777" w:rsidTr="00ED12F5">
        <w:tc>
          <w:tcPr>
            <w:tcW w:w="4508" w:type="dxa"/>
          </w:tcPr>
          <w:p w14:paraId="3700F548" w14:textId="20904992" w:rsidR="00AA1AD9" w:rsidRDefault="00AA1AD9" w:rsidP="00D8294F">
            <w:pPr>
              <w:spacing w:before="240" w:after="240"/>
              <w:rPr>
                <w:b/>
                <w:bCs/>
              </w:rPr>
            </w:pPr>
            <w:r>
              <w:rPr>
                <w:sz w:val="20"/>
              </w:rPr>
              <w:lastRenderedPageBreak/>
              <w:t>Additional information/comments</w:t>
            </w:r>
          </w:p>
        </w:tc>
        <w:tc>
          <w:tcPr>
            <w:tcW w:w="4508" w:type="dxa"/>
          </w:tcPr>
          <w:p w14:paraId="3ACE8A9F" w14:textId="228E55DB" w:rsidR="00AA1AD9" w:rsidRPr="007A5C54" w:rsidRDefault="007A5C54" w:rsidP="00D8294F">
            <w:pPr>
              <w:rPr>
                <w:b/>
                <w:bCs/>
              </w:rPr>
            </w:pPr>
            <w:r>
              <w:rPr>
                <w:b/>
              </w:rPr>
              <w:t>none</w:t>
            </w:r>
          </w:p>
        </w:tc>
      </w:tr>
      <w:tr w:rsidR="00AA1AD9" w14:paraId="3577A775" w14:textId="77777777" w:rsidTr="008D5E6E">
        <w:tc>
          <w:tcPr>
            <w:tcW w:w="9016" w:type="dxa"/>
            <w:gridSpan w:val="2"/>
          </w:tcPr>
          <w:p w14:paraId="589DB6B8" w14:textId="6B931492" w:rsidR="00AA1AD9" w:rsidRDefault="00AA1AD9" w:rsidP="00D8294F">
            <w:pPr>
              <w:spacing w:before="240" w:after="240"/>
              <w:jc w:val="center"/>
              <w:rPr>
                <w:b/>
                <w:bCs/>
              </w:rPr>
            </w:pPr>
            <w:r>
              <w:rPr>
                <w:b/>
                <w:sz w:val="20"/>
              </w:rPr>
              <w:t>(ii) Information on the spatial and temporal boundaries of the proposed activity</w:t>
            </w:r>
          </w:p>
        </w:tc>
      </w:tr>
      <w:tr w:rsidR="00AA1AD9" w14:paraId="6E834ABD" w14:textId="77777777" w:rsidTr="00ED12F5">
        <w:tc>
          <w:tcPr>
            <w:tcW w:w="4508" w:type="dxa"/>
          </w:tcPr>
          <w:p w14:paraId="7802D4CC" w14:textId="7988510E" w:rsidR="00AA1AD9" w:rsidRDefault="00AA1AD9" w:rsidP="00D8294F">
            <w:pPr>
              <w:spacing w:before="240" w:after="240"/>
              <w:rPr>
                <w:sz w:val="20"/>
                <w:szCs w:val="20"/>
              </w:rPr>
            </w:pPr>
            <w:r>
              <w:rPr>
                <w:sz w:val="20"/>
              </w:rPr>
              <w:t>Location</w:t>
            </w:r>
          </w:p>
        </w:tc>
        <w:tc>
          <w:tcPr>
            <w:tcW w:w="4508" w:type="dxa"/>
          </w:tcPr>
          <w:p w14:paraId="5ECA0A5A" w14:textId="309508E7" w:rsidR="00AA1AD9" w:rsidRPr="00EB6B93" w:rsidRDefault="00EB6B93" w:rsidP="00CA1CF8">
            <w:pPr>
              <w:jc w:val="both"/>
              <w:rPr>
                <w:bCs/>
              </w:rPr>
            </w:pPr>
            <w:r>
              <w:t>The geodetic coordinates of the boundary points of the specified working area with an area of 17.173 hectares (in WGS 1984 coordinate system) are as follows:</w:t>
            </w:r>
          </w:p>
          <w:p w14:paraId="7B214FC0" w14:textId="4348D040" w:rsidR="00FD0810" w:rsidRPr="00FD0810" w:rsidRDefault="00FD0810" w:rsidP="00CA1CF8">
            <w:pPr>
              <w:jc w:val="both"/>
              <w:rPr>
                <w:b/>
                <w:bCs/>
              </w:rPr>
            </w:pPr>
            <w:r>
              <w:rPr>
                <w:b/>
              </w:rPr>
              <w:t>1.</w:t>
            </w:r>
            <w:r>
              <w:rPr>
                <w:b/>
              </w:rPr>
              <w:tab/>
              <w:t>43°48'41.48"</w:t>
            </w:r>
            <w:r>
              <w:rPr>
                <w:b/>
              </w:rPr>
              <w:tab/>
              <w:t>25°54’54.92"</w:t>
            </w:r>
          </w:p>
          <w:p w14:paraId="47FD8145" w14:textId="5B69EF08" w:rsidR="00FD0810" w:rsidRPr="00FD0810" w:rsidRDefault="00FD0810" w:rsidP="00CA1CF8">
            <w:pPr>
              <w:jc w:val="both"/>
              <w:rPr>
                <w:b/>
                <w:bCs/>
              </w:rPr>
            </w:pPr>
            <w:r>
              <w:rPr>
                <w:b/>
              </w:rPr>
              <w:t>2.</w:t>
            </w:r>
            <w:r>
              <w:rPr>
                <w:b/>
              </w:rPr>
              <w:tab/>
              <w:t>43°48’50.69"</w:t>
            </w:r>
            <w:r>
              <w:rPr>
                <w:b/>
              </w:rPr>
              <w:tab/>
              <w:t>25°54’59.41"</w:t>
            </w:r>
          </w:p>
          <w:p w14:paraId="63550C1B" w14:textId="0A03E033" w:rsidR="00FD0810" w:rsidRPr="00FD0810" w:rsidRDefault="00FD0810" w:rsidP="00CA1CF8">
            <w:pPr>
              <w:jc w:val="both"/>
              <w:rPr>
                <w:b/>
                <w:bCs/>
              </w:rPr>
            </w:pPr>
            <w:r>
              <w:rPr>
                <w:b/>
              </w:rPr>
              <w:t>3.</w:t>
            </w:r>
            <w:r>
              <w:rPr>
                <w:b/>
              </w:rPr>
              <w:tab/>
              <w:t>43°48’53.17"</w:t>
            </w:r>
            <w:r>
              <w:rPr>
                <w:b/>
              </w:rPr>
              <w:tab/>
              <w:t>25°54'49.25"</w:t>
            </w:r>
          </w:p>
          <w:p w14:paraId="50BE520E" w14:textId="51BCB348" w:rsidR="00FD0810" w:rsidRPr="00FD0810" w:rsidRDefault="00FD0810" w:rsidP="00CA1CF8">
            <w:pPr>
              <w:jc w:val="both"/>
              <w:rPr>
                <w:b/>
                <w:bCs/>
              </w:rPr>
            </w:pPr>
            <w:r>
              <w:rPr>
                <w:b/>
              </w:rPr>
              <w:t>4.</w:t>
            </w:r>
            <w:r>
              <w:rPr>
                <w:b/>
              </w:rPr>
              <w:tab/>
              <w:t>43°49'10.20"</w:t>
            </w:r>
            <w:r>
              <w:rPr>
                <w:b/>
              </w:rPr>
              <w:tab/>
              <w:t>25°55’02.83"</w:t>
            </w:r>
          </w:p>
          <w:p w14:paraId="305ED2A8" w14:textId="4F36B82F" w:rsidR="00FD0810" w:rsidRPr="00FD0810" w:rsidRDefault="00FD0810" w:rsidP="00CA1CF8">
            <w:pPr>
              <w:jc w:val="both"/>
              <w:rPr>
                <w:b/>
                <w:bCs/>
              </w:rPr>
            </w:pPr>
            <w:r>
              <w:rPr>
                <w:b/>
              </w:rPr>
              <w:t>5.</w:t>
            </w:r>
            <w:r>
              <w:rPr>
                <w:b/>
              </w:rPr>
              <w:tab/>
              <w:t>43°49'07.10"</w:t>
            </w:r>
            <w:r>
              <w:rPr>
                <w:b/>
              </w:rPr>
              <w:tab/>
              <w:t>25°55’11.08"</w:t>
            </w:r>
          </w:p>
          <w:p w14:paraId="69592AAB" w14:textId="4770F459" w:rsidR="00EB6B93" w:rsidRDefault="00FD0810" w:rsidP="00CA1CF8">
            <w:pPr>
              <w:jc w:val="both"/>
              <w:rPr>
                <w:b/>
                <w:bCs/>
              </w:rPr>
            </w:pPr>
            <w:r>
              <w:rPr>
                <w:b/>
              </w:rPr>
              <w:t>6.</w:t>
            </w:r>
            <w:r>
              <w:rPr>
                <w:b/>
              </w:rPr>
              <w:tab/>
              <w:t>43°48'40.66"</w:t>
            </w:r>
            <w:r>
              <w:rPr>
                <w:b/>
              </w:rPr>
              <w:tab/>
              <w:t>25°54’57.64"</w:t>
            </w:r>
          </w:p>
          <w:p w14:paraId="117B8324" w14:textId="790F9D43" w:rsidR="00FD0810" w:rsidRPr="00CA1CF8" w:rsidRDefault="00FD0810" w:rsidP="00CA1CF8">
            <w:pPr>
              <w:jc w:val="both"/>
              <w:rPr>
                <w:bCs/>
              </w:rPr>
            </w:pPr>
            <w:r>
              <w:t>The working area is located near the river thalweg and the border with Romania, at a distance of approximately 475 m from the Romanian bank of the Danube River.</w:t>
            </w:r>
          </w:p>
          <w:p w14:paraId="6710FDD0" w14:textId="11E5F2C0" w:rsidR="005623AF" w:rsidRPr="00CA1CF8" w:rsidRDefault="005623AF" w:rsidP="00CA1CF8">
            <w:pPr>
              <w:jc w:val="both"/>
              <w:rPr>
                <w:bCs/>
                <w:lang w:bidi="bg-BG"/>
              </w:rPr>
            </w:pPr>
          </w:p>
          <w:p w14:paraId="1FAA9783" w14:textId="717C81D9" w:rsidR="00FD0810" w:rsidRPr="00CA1CF8" w:rsidRDefault="005623AF" w:rsidP="00F82202">
            <w:pPr>
              <w:jc w:val="both"/>
              <w:rPr>
                <w:bCs/>
              </w:rPr>
            </w:pPr>
            <w:r>
              <w:t>Extraction will be carried out from the riverbed, approximately 100 m from the Bulgarian bank, 300 m from the river thalweg and 760 m from the Romanian bank, at depths ranging from 6.5 to 13 m depending on water levels.</w:t>
            </w:r>
          </w:p>
        </w:tc>
      </w:tr>
      <w:tr w:rsidR="00AA1AD9" w:rsidRPr="00B911CC" w14:paraId="478AFF9B" w14:textId="77777777" w:rsidTr="00ED12F5">
        <w:tc>
          <w:tcPr>
            <w:tcW w:w="4508" w:type="dxa"/>
          </w:tcPr>
          <w:p w14:paraId="33B6D862" w14:textId="6AFE0173"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Pr>
                <w:sz w:val="20"/>
              </w:rPr>
              <w:lastRenderedPageBreak/>
              <w:t>Description of the location (e.g. physical-geographic characteristics, socio-economic characteristics)</w:t>
            </w:r>
          </w:p>
        </w:tc>
        <w:tc>
          <w:tcPr>
            <w:tcW w:w="4508" w:type="dxa"/>
          </w:tcPr>
          <w:p w14:paraId="26456CDF" w14:textId="77777777" w:rsidR="00AA1AD9" w:rsidRDefault="00F042C7" w:rsidP="001A5908">
            <w:pPr>
              <w:jc w:val="both"/>
              <w:rPr>
                <w:bCs/>
              </w:rPr>
            </w:pPr>
            <w:r>
              <w:t xml:space="preserve">Extraction of dynamic reserves from the Danube River within the area from km 501.000 to km 500.200, covering an area of 171,730 sq. m., in proximity to the water way.   </w:t>
            </w:r>
          </w:p>
          <w:p w14:paraId="7F88A491" w14:textId="77777777" w:rsidR="00F042C7" w:rsidRDefault="00F042C7" w:rsidP="001A5908">
            <w:pPr>
              <w:jc w:val="both"/>
              <w:rPr>
                <w:bCs/>
              </w:rPr>
            </w:pPr>
            <w:r>
              <w:t xml:space="preserve">Extraction will be carried out from the riverbed, approximately 100 m from the Bulgarian bank, 300 m from the river thalweg and 760 m from the Romanian bank, and about 80 m from Lyulyaka Island (Bulgarian section), at depths of 6.5 to 13 m depending on water levels.  </w:t>
            </w:r>
          </w:p>
          <w:p w14:paraId="4D0D1142" w14:textId="52262FD2" w:rsidR="002A756D" w:rsidRPr="00B911CC" w:rsidRDefault="00F82202" w:rsidP="002A756D">
            <w:pPr>
              <w:jc w:val="both"/>
              <w:rPr>
                <w:bCs/>
              </w:rPr>
            </w:pPr>
            <w:r>
              <w:t xml:space="preserve">The nearest populated area to the boundaries of the extraction site is the city of Ruse.  Boundary point 5 is located approximately 1,500 m from the nearest residential building in the Sredna Kula district, separated by a hill and significant elevation differences.  In Romania, the village of Slobozia is approximately 3,900 m away, and the city of Giurgiu is about 7 km from the sediment extraction site. The working area is located in close proximity to the boundaries of two protected areas: </w:t>
            </w:r>
            <w:r>
              <w:rPr>
                <w:b/>
              </w:rPr>
              <w:t>„Gura Vedei - Saica - Slobozia“ (Site Code: ROSCI0088)</w:t>
            </w:r>
          </w:p>
          <w:p w14:paraId="0897EDD0" w14:textId="2537F051" w:rsidR="00F82202" w:rsidRPr="00B911CC" w:rsidRDefault="002A756D" w:rsidP="00433501">
            <w:pPr>
              <w:jc w:val="both"/>
              <w:rPr>
                <w:bCs/>
              </w:rPr>
            </w:pPr>
            <w:r>
              <w:t xml:space="preserve">for the conservation of natural habitats and wild flora and fauna, and </w:t>
            </w:r>
            <w:r>
              <w:rPr>
                <w:b/>
              </w:rPr>
              <w:t>“Vedea - Dimare” (Site Code: ROSPA0108)</w:t>
            </w:r>
            <w:r>
              <w:t>, designated by Romanian government for the protection of wild birds.</w:t>
            </w:r>
            <w:r>
              <w:rPr>
                <w:b/>
              </w:rPr>
              <w:t xml:space="preserve"> </w:t>
            </w:r>
          </w:p>
        </w:tc>
      </w:tr>
      <w:tr w:rsidR="00AA1AD9" w14:paraId="0B2E2AB7" w14:textId="77777777" w:rsidTr="00ED12F5">
        <w:tc>
          <w:tcPr>
            <w:tcW w:w="4508" w:type="dxa"/>
          </w:tcPr>
          <w:p w14:paraId="731DBF3A" w14:textId="77777777" w:rsidR="00AA1AD9" w:rsidRPr="001A5908"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Rationale for location of proposed activity</w:t>
            </w:r>
          </w:p>
          <w:p w14:paraId="325F4B26" w14:textId="573E147F" w:rsidR="00AA1AD9" w:rsidRPr="001A5908" w:rsidRDefault="00AA1AD9" w:rsidP="00765927">
            <w:pPr>
              <w:rPr>
                <w:sz w:val="20"/>
                <w:szCs w:val="20"/>
              </w:rPr>
            </w:pPr>
            <w:r>
              <w:rPr>
                <w:sz w:val="20"/>
              </w:rPr>
              <w:t>(e.g. socio-economic basis, physical-geographic basis)</w:t>
            </w:r>
          </w:p>
        </w:tc>
        <w:tc>
          <w:tcPr>
            <w:tcW w:w="4508" w:type="dxa"/>
          </w:tcPr>
          <w:p w14:paraId="1763B801" w14:textId="0056C724" w:rsidR="00235A00" w:rsidRPr="001A5908" w:rsidRDefault="00235A00" w:rsidP="00235A00">
            <w:pPr>
              <w:widowControl w:val="0"/>
              <w:spacing w:after="100" w:line="254" w:lineRule="auto"/>
              <w:jc w:val="both"/>
            </w:pPr>
            <w:r>
              <w:t xml:space="preserve">Extraction will be carried out only during periods with favourable water levels that allow dredger operation. The dredger can work with optimal working depths between 6 and 9 m, while at lower or significantly higher water levels, extraction becomes practically impossible or extremely difficult and works can be </w:t>
            </w:r>
            <w:r w:rsidR="00D605E4">
              <w:t>carried</w:t>
            </w:r>
            <w:r>
              <w:t xml:space="preserve"> out to </w:t>
            </w:r>
            <w:r w:rsidR="00D605E4">
              <w:t>depths</w:t>
            </w:r>
            <w:r>
              <w:t xml:space="preserve"> up to 13 m.</w:t>
            </w:r>
          </w:p>
          <w:p w14:paraId="0CD2B9CA" w14:textId="1A3A21E7" w:rsidR="00AA1AD9" w:rsidRDefault="00235A00" w:rsidP="00235A00">
            <w:pPr>
              <w:rPr>
                <w:b/>
                <w:bCs/>
              </w:rPr>
            </w:pPr>
            <w:r>
              <w:rPr>
                <w:color w:val="000000"/>
              </w:rPr>
              <w:t xml:space="preserve">Upon depletion of the dynamic reserves, extraction will be suspended until their natural replenishment, which typically takes 1 to 2 years. </w:t>
            </w:r>
          </w:p>
        </w:tc>
      </w:tr>
      <w:tr w:rsidR="00AA1AD9" w14:paraId="3DFBAAB5" w14:textId="77777777" w:rsidTr="00ED12F5">
        <w:tc>
          <w:tcPr>
            <w:tcW w:w="4508" w:type="dxa"/>
          </w:tcPr>
          <w:p w14:paraId="2CC37937"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Time frame for proposed activity</w:t>
            </w:r>
          </w:p>
          <w:p w14:paraId="153BF5E7" w14:textId="620DF31E" w:rsidR="00AA1AD9" w:rsidRDefault="00AA1AD9" w:rsidP="00D8294F">
            <w:pPr>
              <w:spacing w:after="240"/>
              <w:rPr>
                <w:sz w:val="20"/>
                <w:szCs w:val="20"/>
              </w:rPr>
            </w:pPr>
            <w:r>
              <w:rPr>
                <w:sz w:val="20"/>
              </w:rPr>
              <w:t>(e.g. start and duration of construction and operation)</w:t>
            </w:r>
          </w:p>
        </w:tc>
        <w:tc>
          <w:tcPr>
            <w:tcW w:w="4508" w:type="dxa"/>
          </w:tcPr>
          <w:p w14:paraId="1F716248" w14:textId="15FE61B7" w:rsidR="002A756D" w:rsidRPr="002A756D" w:rsidRDefault="002A756D" w:rsidP="002A756D">
            <w:pPr>
              <w:widowControl w:val="0"/>
              <w:spacing w:after="100" w:line="252" w:lineRule="auto"/>
              <w:jc w:val="both"/>
              <w:rPr>
                <w:sz w:val="22"/>
                <w:szCs w:val="22"/>
              </w:rPr>
            </w:pPr>
            <w:r>
              <w:rPr>
                <w:sz w:val="22"/>
              </w:rPr>
              <w:t>The working area will be operated after obtaining a permit under the Water Act from the Director of the EAEMDR. The permits are valid until the implementation period of the current River Basin Management Plan (2022 to 2027).</w:t>
            </w:r>
          </w:p>
          <w:p w14:paraId="38555DC9" w14:textId="7452A85D" w:rsidR="00AA1AD9" w:rsidRPr="002A756D" w:rsidRDefault="002A756D" w:rsidP="002A756D">
            <w:pPr>
              <w:widowControl w:val="0"/>
              <w:jc w:val="both"/>
              <w:rPr>
                <w:sz w:val="22"/>
                <w:szCs w:val="22"/>
              </w:rPr>
            </w:pPr>
            <w:r>
              <w:rPr>
                <w:sz w:val="22"/>
              </w:rPr>
              <w:t xml:space="preserve">Extraction will be carried out in the period from </w:t>
            </w:r>
            <w:r>
              <w:rPr>
                <w:sz w:val="22"/>
              </w:rPr>
              <w:lastRenderedPageBreak/>
              <w:t>June to November, outside the fish breeding season, in compliance with the prohibitions imposed by the Bulgarian Executive Agency for Fisheries and Aquaculture.</w:t>
            </w:r>
          </w:p>
        </w:tc>
      </w:tr>
      <w:tr w:rsidR="00AA1AD9" w:rsidRPr="00B911CC" w14:paraId="7FD31A9C" w14:textId="77777777" w:rsidTr="00ED12F5">
        <w:tc>
          <w:tcPr>
            <w:tcW w:w="4508" w:type="dxa"/>
          </w:tcPr>
          <w:p w14:paraId="3CC94D10" w14:textId="26B4B494" w:rsidR="00AA1AD9" w:rsidRDefault="00AA1AD9" w:rsidP="00D8294F">
            <w:pPr>
              <w:spacing w:before="240" w:after="240"/>
              <w:rPr>
                <w:sz w:val="20"/>
                <w:szCs w:val="20"/>
              </w:rPr>
            </w:pPr>
            <w:r>
              <w:rPr>
                <w:sz w:val="20"/>
              </w:rPr>
              <w:lastRenderedPageBreak/>
              <w:t>Maps and other pictorial documents connected with the information on the proposed activity.</w:t>
            </w:r>
          </w:p>
        </w:tc>
        <w:tc>
          <w:tcPr>
            <w:tcW w:w="4508" w:type="dxa"/>
          </w:tcPr>
          <w:p w14:paraId="405A57BE" w14:textId="6CBF296D" w:rsidR="00235A00" w:rsidRDefault="00892AC3" w:rsidP="00235A00">
            <w:pPr>
              <w:widowControl w:val="0"/>
              <w:spacing w:after="100" w:line="254" w:lineRule="auto"/>
              <w:jc w:val="both"/>
              <w:rPr>
                <w:sz w:val="22"/>
                <w:szCs w:val="22"/>
              </w:rPr>
            </w:pPr>
            <w:r>
              <w:rPr>
                <w:sz w:val="22"/>
              </w:rPr>
              <w:t>Map of the working area and geographic coordinates issued by the EAEMDR.</w:t>
            </w:r>
          </w:p>
          <w:p w14:paraId="329E3E7B" w14:textId="10A4A96C" w:rsidR="00235A00" w:rsidRPr="00235A00" w:rsidRDefault="00235A00" w:rsidP="00235A00">
            <w:pPr>
              <w:widowControl w:val="0"/>
              <w:spacing w:after="100" w:line="254" w:lineRule="auto"/>
              <w:jc w:val="both"/>
              <w:rPr>
                <w:sz w:val="22"/>
                <w:szCs w:val="22"/>
              </w:rPr>
            </w:pPr>
            <w:r>
              <w:rPr>
                <w:sz w:val="22"/>
              </w:rPr>
              <w:t>Satellite image showing the location of the working area and distances from the riverbank.</w:t>
            </w:r>
          </w:p>
          <w:p w14:paraId="119E453E" w14:textId="7D9C46BA" w:rsidR="00AA1AD9" w:rsidRPr="00B911CC" w:rsidRDefault="00235A00" w:rsidP="002B5B66">
            <w:pPr>
              <w:widowControl w:val="0"/>
              <w:spacing w:after="100" w:line="254" w:lineRule="auto"/>
              <w:jc w:val="both"/>
              <w:rPr>
                <w:b/>
                <w:bCs/>
              </w:rPr>
            </w:pPr>
            <w:r>
              <w:rPr>
                <w:sz w:val="22"/>
              </w:rPr>
              <w:t xml:space="preserve">Maps showing the location of the site relative to the mapped areas of the two protected zones: </w:t>
            </w:r>
            <w:r>
              <w:rPr>
                <w:b/>
                <w:sz w:val="22"/>
              </w:rPr>
              <w:t xml:space="preserve">„Gura Vedei - Saica - Slobozia“ (Site Code: ROSCI0088) и “Vedea - Dimare” (Site Code: ROSPA0108). </w:t>
            </w:r>
            <w:r>
              <w:t>Although the boundaries of the two zones overlap, it has been established that within the extraction area the boundary enters the territory of the Republic of Bulgaria. Therefore, the distance to the river thalweg / boundary of the protected zones is approximately 280 m, and the distance to the river thalweg within both zones is approximately 80 m.</w:t>
            </w:r>
          </w:p>
        </w:tc>
      </w:tr>
      <w:tr w:rsidR="00AA1AD9" w14:paraId="25CB3515" w14:textId="77777777" w:rsidTr="00ED12F5">
        <w:tc>
          <w:tcPr>
            <w:tcW w:w="4508" w:type="dxa"/>
          </w:tcPr>
          <w:p w14:paraId="1A88C3B4" w14:textId="3241DF95" w:rsidR="00AA1AD9" w:rsidRDefault="00AA1AD9" w:rsidP="00D8294F">
            <w:pPr>
              <w:spacing w:before="240" w:after="240"/>
              <w:rPr>
                <w:sz w:val="20"/>
                <w:szCs w:val="20"/>
              </w:rPr>
            </w:pPr>
            <w:r>
              <w:rPr>
                <w:sz w:val="20"/>
              </w:rPr>
              <w:t>Additional information/comments</w:t>
            </w:r>
          </w:p>
        </w:tc>
        <w:tc>
          <w:tcPr>
            <w:tcW w:w="4508" w:type="dxa"/>
          </w:tcPr>
          <w:p w14:paraId="0BC87F60" w14:textId="255EEAD2" w:rsidR="00AA1AD9" w:rsidRPr="002B5B66" w:rsidRDefault="002B5B66" w:rsidP="00AA1AD9">
            <w:pPr>
              <w:rPr>
                <w:b/>
                <w:bCs/>
              </w:rPr>
            </w:pPr>
            <w:r>
              <w:rPr>
                <w:b/>
              </w:rPr>
              <w:t>none</w:t>
            </w:r>
          </w:p>
        </w:tc>
      </w:tr>
      <w:tr w:rsidR="00AA1AD9" w14:paraId="52E89138" w14:textId="77777777" w:rsidTr="009154EF">
        <w:tc>
          <w:tcPr>
            <w:tcW w:w="9016" w:type="dxa"/>
            <w:gridSpan w:val="2"/>
          </w:tcPr>
          <w:p w14:paraId="56CEB452" w14:textId="1D999F93" w:rsidR="00AA1AD9" w:rsidRDefault="00AA1AD9" w:rsidP="00D8294F">
            <w:pPr>
              <w:spacing w:before="240" w:after="240"/>
              <w:jc w:val="center"/>
              <w:rPr>
                <w:b/>
                <w:bCs/>
              </w:rPr>
            </w:pPr>
            <w:r>
              <w:rPr>
                <w:b/>
                <w:sz w:val="20"/>
              </w:rPr>
              <w:t>(iii) Information on expected environmental impacts and proposed mitigation measures</w:t>
            </w:r>
          </w:p>
        </w:tc>
      </w:tr>
      <w:tr w:rsidR="00AA1AD9" w:rsidRPr="00B911CC" w14:paraId="2455D74D" w14:textId="77777777" w:rsidTr="00ED12F5">
        <w:tc>
          <w:tcPr>
            <w:tcW w:w="4508" w:type="dxa"/>
          </w:tcPr>
          <w:p w14:paraId="38D5A6ED"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Scope of assessment</w:t>
            </w:r>
          </w:p>
          <w:p w14:paraId="704C42CC" w14:textId="7771A2B8" w:rsidR="00AA1AD9" w:rsidRDefault="00AA1AD9" w:rsidP="00D8294F">
            <w:pPr>
              <w:spacing w:after="240"/>
              <w:rPr>
                <w:b/>
                <w:bCs/>
              </w:rPr>
            </w:pPr>
            <w:r>
              <w:rPr>
                <w:sz w:val="20"/>
              </w:rPr>
              <w:t>(e.g. consideration of: cumulative impacts, evaluation of alternatives, sustainable development issues, impact of peripheral activities)</w:t>
            </w:r>
          </w:p>
        </w:tc>
        <w:tc>
          <w:tcPr>
            <w:tcW w:w="4508" w:type="dxa"/>
          </w:tcPr>
          <w:p w14:paraId="3334B43E" w14:textId="77777777" w:rsidR="002B5B66" w:rsidRPr="002B5B66" w:rsidRDefault="002B5B66" w:rsidP="002B5B66">
            <w:pPr>
              <w:widowControl w:val="0"/>
              <w:spacing w:after="80" w:line="252" w:lineRule="auto"/>
              <w:jc w:val="both"/>
            </w:pPr>
            <w:r>
              <w:t>No harmful emissions are expected during the performance of the activities. The activities do not generate wastewater, atmospheric emissions or waste. Noise emissions are not expected to reach the nearest populated areas.</w:t>
            </w:r>
          </w:p>
          <w:p w14:paraId="07F371BD" w14:textId="77777777" w:rsidR="002B5B66" w:rsidRPr="002B5B66" w:rsidRDefault="002B5B66" w:rsidP="002B5B66">
            <w:pPr>
              <w:widowControl w:val="0"/>
              <w:spacing w:after="80" w:line="252" w:lineRule="auto"/>
              <w:jc w:val="both"/>
            </w:pPr>
            <w:r>
              <w:t>The planned activity does not envisage storage or transportation of inert materials on the riverbank. No repair of vessels is envisaged within the extraction area. The contracting authority operates its own port in Silistra, where such activities will be carried out.</w:t>
            </w:r>
          </w:p>
          <w:p w14:paraId="215F1084" w14:textId="77777777" w:rsidR="002B5B66" w:rsidRPr="002B5B66" w:rsidRDefault="002B5B66" w:rsidP="002B5B66">
            <w:pPr>
              <w:widowControl w:val="0"/>
              <w:spacing w:after="80" w:line="252" w:lineRule="auto"/>
              <w:jc w:val="both"/>
            </w:pPr>
            <w:r>
              <w:t>Sediment materials will be extracted in a wet condition, loaded onto vessels and transported to the port. No fugitive emissions are expected within the working area.</w:t>
            </w:r>
          </w:p>
          <w:p w14:paraId="379DA274" w14:textId="1C904AE8" w:rsidR="00AA1AD9" w:rsidRPr="00D42ED3" w:rsidRDefault="002B5B66" w:rsidP="00E153F3">
            <w:pPr>
              <w:jc w:val="both"/>
              <w:rPr>
                <w:rFonts w:eastAsia="Microsoft Sans Serif"/>
                <w:color w:val="000000"/>
              </w:rPr>
            </w:pPr>
            <w:r>
              <w:rPr>
                <w:color w:val="000000"/>
              </w:rPr>
              <w:t xml:space="preserve">The extraction technology and the design of the dredger exclude any impacts to the riverbank, destructions of the riverbed or other morphological changes within the </w:t>
            </w:r>
            <w:r>
              <w:rPr>
                <w:color w:val="000000"/>
              </w:rPr>
              <w:lastRenderedPageBreak/>
              <w:t>extraction zones. Only sediments deposited on the riverbed will be removed.</w:t>
            </w:r>
          </w:p>
          <w:p w14:paraId="597F44AD" w14:textId="77777777" w:rsidR="002B5B66" w:rsidRPr="00D42ED3" w:rsidRDefault="002B5B66" w:rsidP="00E153F3">
            <w:pPr>
              <w:jc w:val="both"/>
              <w:rPr>
                <w:rFonts w:eastAsia="Microsoft Sans Serif"/>
                <w:color w:val="000000"/>
                <w:lang w:val="en-US" w:bidi="en-US"/>
              </w:rPr>
            </w:pPr>
          </w:p>
          <w:p w14:paraId="23C4CB36" w14:textId="04CE7203" w:rsidR="002B5B66" w:rsidRPr="002B5B66" w:rsidRDefault="002B5B66" w:rsidP="00E153F3">
            <w:pPr>
              <w:widowControl w:val="0"/>
              <w:spacing w:after="100" w:line="252" w:lineRule="auto"/>
              <w:jc w:val="both"/>
              <w:rPr>
                <w:color w:val="000000"/>
              </w:rPr>
            </w:pPr>
            <w:r>
              <w:rPr>
                <w:color w:val="000000"/>
              </w:rPr>
              <w:t>In the case of bucket dredging, it is not possible to damage the riverbed (composed of rock), unlike extraction by means of suction dredgers or other equipment intended for deepening.</w:t>
            </w:r>
          </w:p>
          <w:p w14:paraId="4FB4A571" w14:textId="77777777" w:rsidR="002B5B66" w:rsidRPr="002B5B66" w:rsidRDefault="002B5B66" w:rsidP="00E153F3">
            <w:pPr>
              <w:widowControl w:val="0"/>
              <w:spacing w:after="100" w:line="252" w:lineRule="auto"/>
              <w:jc w:val="both"/>
              <w:rPr>
                <w:color w:val="000000"/>
              </w:rPr>
            </w:pPr>
            <w:r>
              <w:rPr>
                <w:color w:val="000000"/>
              </w:rPr>
              <w:t>The extraction of inert materials is an activity that cannot lead to changes in the hydrological regime of the river, as it has no potential to affect water level, volume, flow velocity or the course of the river.</w:t>
            </w:r>
          </w:p>
          <w:p w14:paraId="603BBD2F" w14:textId="77777777" w:rsidR="002B5B66" w:rsidRPr="002B5B66" w:rsidRDefault="002B5B66" w:rsidP="00E153F3">
            <w:pPr>
              <w:widowControl w:val="0"/>
              <w:spacing w:after="100" w:line="252" w:lineRule="auto"/>
              <w:jc w:val="both"/>
              <w:rPr>
                <w:color w:val="000000"/>
              </w:rPr>
            </w:pPr>
            <w:r>
              <w:rPr>
                <w:color w:val="000000"/>
              </w:rPr>
              <w:t>The removal of sediment deposits from the riverbed will not lead to depletion of this natural resource.</w:t>
            </w:r>
          </w:p>
          <w:p w14:paraId="6ED5ABCF" w14:textId="7D2E8C3D" w:rsidR="002B5B66" w:rsidRPr="002B5B66" w:rsidRDefault="002B5B66" w:rsidP="00E153F3">
            <w:pPr>
              <w:widowControl w:val="0"/>
              <w:spacing w:after="100" w:line="252" w:lineRule="auto"/>
              <w:jc w:val="both"/>
              <w:rPr>
                <w:color w:val="000000"/>
              </w:rPr>
            </w:pPr>
            <w:r>
              <w:rPr>
                <w:color w:val="000000"/>
              </w:rPr>
              <w:t>The location of the extraction area has been coordinated with navigation activities along the Danube River, and its coordination by the EAEMDR guarantees that navigation will not be affected.</w:t>
            </w:r>
          </w:p>
          <w:p w14:paraId="162D0815" w14:textId="77777777" w:rsidR="002B5B66" w:rsidRPr="002B5B66" w:rsidRDefault="002B5B66" w:rsidP="00E153F3">
            <w:pPr>
              <w:widowControl w:val="0"/>
              <w:spacing w:after="100" w:line="252" w:lineRule="auto"/>
              <w:jc w:val="both"/>
              <w:rPr>
                <w:color w:val="000000"/>
              </w:rPr>
            </w:pPr>
            <w:r>
              <w:rPr>
                <w:color w:val="000000"/>
              </w:rPr>
              <w:t>The planned extraction site is remote and does not affect existing hydraulic engineering structures, and the extraction does not pose any risk to their condition.</w:t>
            </w:r>
          </w:p>
          <w:p w14:paraId="589BC60C" w14:textId="77777777" w:rsidR="002B5B66" w:rsidRPr="002B5B66" w:rsidRDefault="002B5B66" w:rsidP="00E153F3">
            <w:pPr>
              <w:widowControl w:val="0"/>
              <w:spacing w:after="100" w:line="252" w:lineRule="auto"/>
              <w:jc w:val="both"/>
              <w:rPr>
                <w:color w:val="000000"/>
              </w:rPr>
            </w:pPr>
            <w:r>
              <w:rPr>
                <w:color w:val="000000"/>
              </w:rPr>
              <w:t>The implementation of the investment proposal will mainly affect aquatic fauna distributed in the Danube River, which is a border river.</w:t>
            </w:r>
          </w:p>
          <w:p w14:paraId="20A85628" w14:textId="3D6D30D2" w:rsidR="0096472A" w:rsidRPr="0096472A" w:rsidRDefault="002B5B66" w:rsidP="002B5B66">
            <w:pPr>
              <w:widowControl w:val="0"/>
              <w:spacing w:after="100" w:line="252" w:lineRule="auto"/>
              <w:jc w:val="both"/>
              <w:rPr>
                <w:color w:val="000000"/>
              </w:rPr>
            </w:pPr>
            <w:r>
              <w:rPr>
                <w:color w:val="000000"/>
              </w:rPr>
              <w:t xml:space="preserve">With the removal of sediment materials, destruction of benthic organisms may occur, such as freshwater mussels (Unio sp.), certain snails and mayfly larvae, as well as other organisms present within the extraction area. However, these species are widely distributed in the river and are not subject to conservation or protection.  According to habitat requirements, Unio crassus inhabits near-bank areas of the Danube characterized by shaded shores protected from strong currents (small bays, areas with dense riparian vegetation, and enclosed meanders). However, in the project area strong currents prevail and the retention of organic sediments is limited or nearly impossible, i.e. </w:t>
            </w:r>
            <w:r>
              <w:rPr>
                <w:color w:val="000000"/>
              </w:rPr>
              <w:lastRenderedPageBreak/>
              <w:t>suitable habitats for the species are absent.</w:t>
            </w:r>
          </w:p>
          <w:p w14:paraId="43A31BBB" w14:textId="0C64DA79" w:rsidR="004174AC" w:rsidRPr="00D42ED3" w:rsidRDefault="004174AC" w:rsidP="004174AC">
            <w:pPr>
              <w:widowControl w:val="0"/>
              <w:spacing w:after="100" w:line="252" w:lineRule="auto"/>
              <w:jc w:val="both"/>
              <w:rPr>
                <w:color w:val="000000"/>
              </w:rPr>
            </w:pPr>
            <w:r>
              <w:rPr>
                <w:color w:val="000000"/>
              </w:rPr>
              <w:t>Unfortunately, in the Danube river system, invasive mussel species exert significant influence, displacing native species of the genus Unio:</w:t>
            </w:r>
          </w:p>
          <w:p w14:paraId="636BBF54" w14:textId="199B0B96" w:rsidR="004174AC" w:rsidRPr="00D42ED3" w:rsidRDefault="004174AC" w:rsidP="00C52F78">
            <w:pPr>
              <w:pStyle w:val="ListParagraph"/>
              <w:widowControl w:val="0"/>
              <w:numPr>
                <w:ilvl w:val="0"/>
                <w:numId w:val="1"/>
              </w:numPr>
              <w:tabs>
                <w:tab w:val="left" w:pos="320"/>
              </w:tabs>
              <w:spacing w:after="100" w:line="252" w:lineRule="auto"/>
              <w:ind w:left="58" w:firstLine="0"/>
              <w:jc w:val="both"/>
              <w:rPr>
                <w:color w:val="000000"/>
              </w:rPr>
            </w:pPr>
            <w:r>
              <w:rPr>
                <w:color w:val="000000"/>
              </w:rPr>
              <w:t xml:space="preserve">Chinese pond mussel (Sinanodonta woodiana). The largest invasive species in the Danube, often referred to as a “giant mussel”, reproducing rapidly and reaching sizes of 20–30 cm, displacing native Unio and Anodonta species. </w:t>
            </w:r>
          </w:p>
          <w:p w14:paraId="3797F705" w14:textId="4AD00538" w:rsidR="004174AC" w:rsidRPr="00D42ED3" w:rsidRDefault="004174AC" w:rsidP="00C52F78">
            <w:pPr>
              <w:pStyle w:val="ListParagraph"/>
              <w:widowControl w:val="0"/>
              <w:numPr>
                <w:ilvl w:val="0"/>
                <w:numId w:val="1"/>
              </w:numPr>
              <w:tabs>
                <w:tab w:val="left" w:pos="320"/>
              </w:tabs>
              <w:spacing w:after="100" w:line="252" w:lineRule="auto"/>
              <w:ind w:left="58" w:firstLine="0"/>
              <w:jc w:val="both"/>
              <w:rPr>
                <w:color w:val="000000"/>
              </w:rPr>
            </w:pPr>
            <w:r>
              <w:rPr>
                <w:color w:val="000000"/>
              </w:rPr>
              <w:t>Zebra mussel (Dreissena polymorpha). A smaller but aggressive invasive species that attaches in large colonies to substrates, including the shells of native mussels of Unio species, suffocating them.</w:t>
            </w:r>
          </w:p>
          <w:p w14:paraId="6DFC66DB" w14:textId="597FD9DE" w:rsidR="002B5B66" w:rsidRPr="00D42ED3" w:rsidRDefault="004174AC" w:rsidP="00C52F78">
            <w:pPr>
              <w:pStyle w:val="ListParagraph"/>
              <w:widowControl w:val="0"/>
              <w:numPr>
                <w:ilvl w:val="0"/>
                <w:numId w:val="1"/>
              </w:numPr>
              <w:tabs>
                <w:tab w:val="left" w:pos="320"/>
              </w:tabs>
              <w:spacing w:after="100" w:line="252" w:lineRule="auto"/>
              <w:ind w:left="58" w:firstLine="0"/>
              <w:jc w:val="both"/>
              <w:rPr>
                <w:color w:val="000000"/>
              </w:rPr>
            </w:pPr>
            <w:r>
              <w:rPr>
                <w:color w:val="000000"/>
              </w:rPr>
              <w:t>Asian clam (Corbicula fluminea): Another significant invasive species present in Danube lakes and slow-flowing waters, affecting the ecosystems.</w:t>
            </w:r>
          </w:p>
          <w:p w14:paraId="18D60147" w14:textId="1458A674" w:rsidR="0091153C" w:rsidRPr="00D42ED3" w:rsidRDefault="0091153C" w:rsidP="0091153C">
            <w:pPr>
              <w:widowControl w:val="0"/>
              <w:spacing w:after="100" w:line="252" w:lineRule="auto"/>
              <w:jc w:val="both"/>
              <w:rPr>
                <w:color w:val="000000"/>
              </w:rPr>
            </w:pPr>
            <w:r>
              <w:rPr>
                <w:color w:val="000000"/>
              </w:rPr>
              <w:t xml:space="preserve">Dimitar Kozhuharov, Potential Threats to Sustainable Development in the Danube and Black Sea Region: The Danube River as a Corridor for Alien Invasive Species, Member of the International Association for Danube Research, IAD, and the East and South European Network for Invasive Alien Species, ESENIAS.   </w:t>
            </w:r>
          </w:p>
          <w:p w14:paraId="73B90E4E" w14:textId="77777777" w:rsidR="00395D8C" w:rsidRPr="00D42ED3" w:rsidRDefault="00395D8C" w:rsidP="00395D8C">
            <w:pPr>
              <w:widowControl w:val="0"/>
              <w:spacing w:after="100" w:line="252" w:lineRule="auto"/>
              <w:jc w:val="both"/>
              <w:rPr>
                <w:color w:val="000000"/>
              </w:rPr>
            </w:pPr>
            <w:r>
              <w:rPr>
                <w:color w:val="000000"/>
              </w:rPr>
              <w:t>“Invasive Alien Species of Benthic Macroinvertebrates and Fish in the Bulgarian Sector of the Danube River” (MDPI, 2022). Study conducted within the framework of the Joint Danube Survey 4, confirming the dominance of S. woodiana throughout the Bulgarian area of the Danube River.</w:t>
            </w:r>
          </w:p>
          <w:p w14:paraId="264C3D5A" w14:textId="080FAE29" w:rsidR="0091153C" w:rsidRPr="00D42ED3" w:rsidRDefault="00395D8C" w:rsidP="00395D8C">
            <w:pPr>
              <w:widowControl w:val="0"/>
              <w:spacing w:after="100" w:line="252" w:lineRule="auto"/>
              <w:jc w:val="both"/>
              <w:rPr>
                <w:color w:val="000000"/>
              </w:rPr>
            </w:pPr>
            <w:r>
              <w:rPr>
                <w:color w:val="000000"/>
              </w:rPr>
              <w:t>“Distribution and Characteristics of the Invasive Alien Species Sinanodonta woodiana in the Prut River Basin” (Acta Zoologica Bulgarica). The study examines the distribution of the species in the lower course of the Danube and its tributaries, highlighting the high risk posed to native freshwater mussel species.</w:t>
            </w:r>
          </w:p>
          <w:p w14:paraId="432E18B5" w14:textId="77777777" w:rsidR="002B5B66" w:rsidRPr="00B911CC" w:rsidRDefault="002B5B66" w:rsidP="004174AC">
            <w:pPr>
              <w:jc w:val="both"/>
              <w:rPr>
                <w:rFonts w:eastAsia="Microsoft Sans Serif"/>
                <w:color w:val="000000"/>
              </w:rPr>
            </w:pPr>
            <w:r>
              <w:rPr>
                <w:color w:val="000000"/>
              </w:rPr>
              <w:t xml:space="preserve">The fish fauna will not be affected by the planned activities. The working area is located within the riverbed, close to the </w:t>
            </w:r>
            <w:r>
              <w:rPr>
                <w:color w:val="000000"/>
              </w:rPr>
              <w:lastRenderedPageBreak/>
              <w:t>fairway, where there are no habitats suitable for shelter, feeding or reproduction of typical fish species.</w:t>
            </w:r>
          </w:p>
          <w:p w14:paraId="38AB728A" w14:textId="49BFB874" w:rsidR="00340816" w:rsidRPr="00D42ED3" w:rsidRDefault="00340816" w:rsidP="00340816">
            <w:pPr>
              <w:jc w:val="both"/>
              <w:rPr>
                <w:b/>
                <w:bCs/>
              </w:rPr>
            </w:pPr>
            <w:r>
              <w:rPr>
                <w:color w:val="000000"/>
              </w:rPr>
              <w:t xml:space="preserve">During the performance of the activities, no natural habitats subject to conservation within the protected area </w:t>
            </w:r>
            <w:r>
              <w:rPr>
                <w:b/>
                <w:bCs/>
                <w:color w:val="000000"/>
              </w:rPr>
              <w:t>“Gura Vedei - Saica - Slobozia” (Site Code: ROSCI0088)</w:t>
            </w:r>
            <w:r>
              <w:rPr>
                <w:color w:val="000000"/>
              </w:rPr>
              <w:t xml:space="preserve"> will be affected. </w:t>
            </w:r>
            <w:r>
              <w:rPr>
                <w:b/>
                <w:color w:val="000000"/>
              </w:rPr>
              <w:t xml:space="preserve">  </w:t>
            </w:r>
            <w:r>
              <w:rPr>
                <w:color w:val="000000"/>
              </w:rPr>
              <w:t xml:space="preserve">No impact is expected on bird species protected within </w:t>
            </w:r>
            <w:r>
              <w:rPr>
                <w:b/>
                <w:bCs/>
                <w:color w:val="000000"/>
              </w:rPr>
              <w:t>“Vedea - Dimare” (Site Code: ROSPA0108)</w:t>
            </w:r>
            <w:r>
              <w:rPr>
                <w:color w:val="000000"/>
              </w:rPr>
              <w:t>, as the area does not represent nesting habitat for the species concerned.</w:t>
            </w:r>
            <w:r>
              <w:rPr>
                <w:b/>
                <w:color w:val="000000"/>
              </w:rPr>
              <w:t xml:space="preserve"> </w:t>
            </w:r>
          </w:p>
        </w:tc>
      </w:tr>
      <w:tr w:rsidR="00AA1AD9" w:rsidRPr="00B911CC" w14:paraId="1944A4FF" w14:textId="77777777" w:rsidTr="00ED12F5">
        <w:tc>
          <w:tcPr>
            <w:tcW w:w="4508" w:type="dxa"/>
          </w:tcPr>
          <w:p w14:paraId="73268CE6"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lastRenderedPageBreak/>
              <w:t>Expected environmental impacts of proposed activity</w:t>
            </w:r>
          </w:p>
          <w:p w14:paraId="20C2B538" w14:textId="28F8570E" w:rsidR="00AA1AD9" w:rsidRPr="00D605E4" w:rsidRDefault="00AA1AD9" w:rsidP="00D8294F">
            <w:pPr>
              <w:spacing w:after="240"/>
              <w:rPr>
                <w:b/>
                <w:bCs/>
                <w:lang w:val="fr-FR"/>
              </w:rPr>
            </w:pPr>
            <w:r w:rsidRPr="00D605E4">
              <w:rPr>
                <w:sz w:val="20"/>
                <w:lang w:val="fr-FR"/>
              </w:rPr>
              <w:t>(e.g. types, locations, magnitudes)</w:t>
            </w:r>
          </w:p>
        </w:tc>
        <w:tc>
          <w:tcPr>
            <w:tcW w:w="4508" w:type="dxa"/>
          </w:tcPr>
          <w:p w14:paraId="68AEE99A" w14:textId="619495B3" w:rsidR="00AA1AD9" w:rsidRPr="00C90B25" w:rsidRDefault="002E7312" w:rsidP="00C90B25">
            <w:pPr>
              <w:jc w:val="both"/>
              <w:rPr>
                <w:b/>
                <w:bCs/>
              </w:rPr>
            </w:pPr>
            <w:r>
              <w:rPr>
                <w:color w:val="000000"/>
              </w:rPr>
              <w:t>No negative impacts on the environment or the population are expected during or after implementation of the investment proposal.  According to Letter Ref.  No. PU-01-89-(2) / 25.11.2025 issued by the Danube River Basin Directorate, the planned activities do not contradict the River Basin Management Plan (2022 to 2027) or the Flood Risk Management Plan for the Danube region (2022 to 2027), nor the prohibitions, restrictions and measures set out therein.</w:t>
            </w:r>
          </w:p>
        </w:tc>
      </w:tr>
      <w:tr w:rsidR="00AA1AD9" w:rsidRPr="00AA1AD9" w14:paraId="3C01FE74" w14:textId="77777777" w:rsidTr="00ED12F5">
        <w:tc>
          <w:tcPr>
            <w:tcW w:w="4508" w:type="dxa"/>
          </w:tcPr>
          <w:p w14:paraId="447CD809"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Inputs</w:t>
            </w:r>
          </w:p>
          <w:p w14:paraId="2F7D3CAD" w14:textId="0478A98A"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Pr>
                <w:sz w:val="20"/>
              </w:rPr>
              <w:t>(e.g. raw material, power sources)</w:t>
            </w:r>
          </w:p>
        </w:tc>
        <w:tc>
          <w:tcPr>
            <w:tcW w:w="4508" w:type="dxa"/>
          </w:tcPr>
          <w:p w14:paraId="62A00CB7" w14:textId="77777777" w:rsidR="002E7312" w:rsidRPr="002E7312" w:rsidRDefault="002E7312" w:rsidP="002E7312">
            <w:pPr>
              <w:widowControl w:val="0"/>
              <w:spacing w:after="100" w:line="252" w:lineRule="auto"/>
              <w:jc w:val="both"/>
              <w:rPr>
                <w:sz w:val="22"/>
                <w:szCs w:val="22"/>
              </w:rPr>
            </w:pPr>
            <w:r>
              <w:rPr>
                <w:sz w:val="22"/>
              </w:rPr>
              <w:t>The investment proposal represents extraction of natural resources from the dynamic reserves of the Danube River.</w:t>
            </w:r>
          </w:p>
          <w:p w14:paraId="728D9109" w14:textId="3114A4DE" w:rsidR="00AA1AD9" w:rsidRPr="00AA1AD9" w:rsidRDefault="002E7312" w:rsidP="002E7312">
            <w:pPr>
              <w:jc w:val="both"/>
              <w:rPr>
                <w:b/>
                <w:bCs/>
              </w:rPr>
            </w:pPr>
            <w:r>
              <w:rPr>
                <w:color w:val="000000"/>
              </w:rPr>
              <w:t>The removal of sediment deposits from the dynamic reserves of the Danube River will not lead to depletion of this natural resource. The sediment deposition is a continuous and dynamic process.</w:t>
            </w:r>
          </w:p>
        </w:tc>
      </w:tr>
      <w:tr w:rsidR="00AA1AD9" w:rsidRPr="00AA1AD9" w14:paraId="081FBB06" w14:textId="77777777" w:rsidTr="00ED12F5">
        <w:tc>
          <w:tcPr>
            <w:tcW w:w="4508" w:type="dxa"/>
          </w:tcPr>
          <w:p w14:paraId="175F70E5"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Outputs</w:t>
            </w:r>
          </w:p>
          <w:p w14:paraId="1545DAA9" w14:textId="437ABABD"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Pr>
                <w:sz w:val="20"/>
              </w:rPr>
              <w:t>(e.g. amounts and types of: emissions into the atmosphere, discharges into the water system, solid waste)</w:t>
            </w:r>
          </w:p>
        </w:tc>
        <w:tc>
          <w:tcPr>
            <w:tcW w:w="4508" w:type="dxa"/>
          </w:tcPr>
          <w:p w14:paraId="44D0B106" w14:textId="77777777" w:rsidR="00AA1AD9" w:rsidRDefault="00DD3F96" w:rsidP="00DD3F96">
            <w:pPr>
              <w:jc w:val="both"/>
              <w:rPr>
                <w:bCs/>
              </w:rPr>
            </w:pPr>
            <w:r>
              <w:t>No harmful emissions that could pollute atmospheric air are expected.</w:t>
            </w:r>
          </w:p>
          <w:p w14:paraId="1A0024C2" w14:textId="77777777" w:rsidR="00DD3F96" w:rsidRPr="00DD3F96" w:rsidRDefault="00DD3F96" w:rsidP="00DD3F96">
            <w:pPr>
              <w:jc w:val="both"/>
              <w:rPr>
                <w:bCs/>
              </w:rPr>
            </w:pPr>
            <w:r>
              <w:t>The investment proposal does not include storage of extracted sediment materials, but only extraction, transshipment and transportation. The sediments are wet and do not create conditions for dust dispersion during transportation.</w:t>
            </w:r>
          </w:p>
          <w:p w14:paraId="128EEEB6" w14:textId="77777777" w:rsidR="00DD3F96" w:rsidRPr="00DD3F96" w:rsidRDefault="00DD3F96" w:rsidP="00DD3F96">
            <w:pPr>
              <w:jc w:val="both"/>
              <w:rPr>
                <w:bCs/>
              </w:rPr>
            </w:pPr>
            <w:r>
              <w:t>The vessel equipment complies with all European standards, ensuring minimal environmental emissions.</w:t>
            </w:r>
          </w:p>
          <w:p w14:paraId="1068737E" w14:textId="76B93743" w:rsidR="00DD3F96" w:rsidRPr="00DD3F96" w:rsidRDefault="00DD3F96" w:rsidP="00DD3F96">
            <w:pPr>
              <w:jc w:val="both"/>
              <w:rPr>
                <w:bCs/>
              </w:rPr>
            </w:pPr>
            <w:r>
              <w:t>Municipal waste will be transported to the contracting authority’s port and treated in accordance with the company’s procedures.</w:t>
            </w:r>
          </w:p>
          <w:p w14:paraId="1223652B" w14:textId="10F647DC" w:rsidR="00DD3F96" w:rsidRPr="00DD3F96" w:rsidRDefault="00DD3F96" w:rsidP="00DD3F96">
            <w:pPr>
              <w:jc w:val="both"/>
              <w:rPr>
                <w:bCs/>
              </w:rPr>
            </w:pPr>
            <w:r>
              <w:t xml:space="preserve">No industrial waste will be generated. No repairs or other works will be carried out on vessels within the site. If repairs are required, the equipment will be transported to the port </w:t>
            </w:r>
            <w:r>
              <w:lastRenderedPageBreak/>
              <w:t>in Ruse, where the repair works will be performed.</w:t>
            </w:r>
          </w:p>
          <w:p w14:paraId="72ECE587" w14:textId="77777777" w:rsidR="00DD3F96" w:rsidRPr="00DD3F96" w:rsidRDefault="00DD3F96" w:rsidP="00DD3F96">
            <w:pPr>
              <w:jc w:val="both"/>
              <w:rPr>
                <w:bCs/>
              </w:rPr>
            </w:pPr>
            <w:r>
              <w:t>No wastewater generation is expected.</w:t>
            </w:r>
          </w:p>
          <w:p w14:paraId="052E741E" w14:textId="3E46C96B" w:rsidR="00DD3F96" w:rsidRPr="00DD3F96" w:rsidRDefault="00DD3F96" w:rsidP="00DD3F96">
            <w:pPr>
              <w:jc w:val="both"/>
              <w:rPr>
                <w:bCs/>
              </w:rPr>
            </w:pPr>
            <w:r>
              <w:t>No significant noise emissions are expected. The engines of the vessels operated by “Inert” Ltd. are fitted with silencers. To reduce noise from conveyor rollers, plastic rollers are used instead of metal ones. As a result, the noise emitted into the environment from dredger operation is within the range of 70 to 80 dBA.</w:t>
            </w:r>
          </w:p>
          <w:p w14:paraId="33E23533" w14:textId="55695437" w:rsidR="00DD3F96" w:rsidRPr="00DD3F96" w:rsidRDefault="00DD3F96" w:rsidP="00DD3F96">
            <w:pPr>
              <w:jc w:val="both"/>
              <w:rPr>
                <w:bCs/>
              </w:rPr>
            </w:pPr>
          </w:p>
        </w:tc>
      </w:tr>
      <w:tr w:rsidR="00AA1AD9" w:rsidRPr="00B911CC" w14:paraId="3CECE99B" w14:textId="77777777" w:rsidTr="00ED12F5">
        <w:tc>
          <w:tcPr>
            <w:tcW w:w="4508" w:type="dxa"/>
          </w:tcPr>
          <w:p w14:paraId="123AD6AF"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lastRenderedPageBreak/>
              <w:t>Transboundary impacts</w:t>
            </w:r>
          </w:p>
          <w:p w14:paraId="0396135F" w14:textId="764AB33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Pr>
                <w:sz w:val="20"/>
              </w:rPr>
              <w:t>(e.g. types, locations, magnitudes)</w:t>
            </w:r>
          </w:p>
        </w:tc>
        <w:tc>
          <w:tcPr>
            <w:tcW w:w="4508" w:type="dxa"/>
          </w:tcPr>
          <w:p w14:paraId="35BDDA19" w14:textId="77777777" w:rsidR="00A81FAA" w:rsidRPr="00A81FAA" w:rsidRDefault="00A81FAA" w:rsidP="00A81FAA">
            <w:pPr>
              <w:jc w:val="both"/>
              <w:rPr>
                <w:bCs/>
              </w:rPr>
            </w:pPr>
            <w:r>
              <w:t>The proposal does not have a transboundary character, although it is located in the Danube River, which is a border river.</w:t>
            </w:r>
          </w:p>
          <w:p w14:paraId="4F64B57E" w14:textId="2E687D11" w:rsidR="00A81FAA" w:rsidRPr="00A81FAA" w:rsidRDefault="00A81FAA" w:rsidP="00A81FAA">
            <w:pPr>
              <w:jc w:val="both"/>
              <w:rPr>
                <w:bCs/>
              </w:rPr>
            </w:pPr>
            <w:r>
              <w:t>The site area is situated near two Natura 2000 protected areas within the territory of Romania.</w:t>
            </w:r>
          </w:p>
          <w:p w14:paraId="65937664" w14:textId="22CD8664" w:rsidR="00A81FAA" w:rsidRDefault="00A81FAA" w:rsidP="00A81FAA">
            <w:pPr>
              <w:jc w:val="both"/>
              <w:rPr>
                <w:bCs/>
              </w:rPr>
            </w:pPr>
            <w:r>
              <w:t>The planned activities will be carried out within a working area located on the territory of the Republic of Bulgaria. The assessment of potential environmental and population impacts indicates a limited spatial scope confined to the boundaries of the working area. No harmful emissions are expected during the performance of the activities.</w:t>
            </w:r>
          </w:p>
          <w:p w14:paraId="49B5177B" w14:textId="77777777" w:rsidR="00063955" w:rsidRPr="00063955" w:rsidRDefault="00063955" w:rsidP="00063955">
            <w:pPr>
              <w:jc w:val="both"/>
              <w:rPr>
                <w:bCs/>
              </w:rPr>
            </w:pPr>
            <w:r>
              <w:t>The activities do not generate wastewater, atmospheric emissions or noise emissions that could reach nearby populated areas.</w:t>
            </w:r>
          </w:p>
          <w:p w14:paraId="4352A6D2" w14:textId="77777777" w:rsidR="00063955" w:rsidRPr="00063955" w:rsidRDefault="00063955" w:rsidP="00063955">
            <w:pPr>
              <w:jc w:val="both"/>
              <w:rPr>
                <w:bCs/>
              </w:rPr>
            </w:pPr>
            <w:r>
              <w:t>The planned activity does not envisage storage or transportation of inert materials on the riverbank.</w:t>
            </w:r>
          </w:p>
          <w:p w14:paraId="54D697A9" w14:textId="77777777" w:rsidR="00063955" w:rsidRPr="00063955" w:rsidRDefault="00063955" w:rsidP="00063955">
            <w:pPr>
              <w:jc w:val="both"/>
              <w:rPr>
                <w:bCs/>
              </w:rPr>
            </w:pPr>
            <w:r>
              <w:t>Sediment materials will be extracted in a wet condition, loaded onto vessels and transported to the port. No fugitive emissions are expected within the section area.</w:t>
            </w:r>
          </w:p>
          <w:p w14:paraId="47851246" w14:textId="1CB192EA" w:rsidR="00063955" w:rsidRPr="00063955" w:rsidRDefault="00063955" w:rsidP="00063955">
            <w:pPr>
              <w:jc w:val="both"/>
              <w:rPr>
                <w:bCs/>
              </w:rPr>
            </w:pPr>
            <w:r>
              <w:t>The extraction technology and the design of the dredger exclude any impacts to the riverbank, destructions of the riverbed or other morphological changes within the extraction zones. Only sediments deposited on the riverbed will be removed.</w:t>
            </w:r>
          </w:p>
          <w:p w14:paraId="571AE623" w14:textId="6A3FCE62" w:rsidR="00063955" w:rsidRPr="00063955" w:rsidRDefault="00063955" w:rsidP="00063955">
            <w:pPr>
              <w:jc w:val="both"/>
              <w:rPr>
                <w:bCs/>
              </w:rPr>
            </w:pPr>
            <w:r>
              <w:t>The location of the extraction section has been coordinated with navigation activities along the Danube River, and its coordination by the EAEMDR guarantees that navigation will not be affected.</w:t>
            </w:r>
          </w:p>
          <w:p w14:paraId="3DFBBD55" w14:textId="77777777" w:rsidR="00063955" w:rsidRPr="00063955" w:rsidRDefault="00063955" w:rsidP="00063955">
            <w:pPr>
              <w:jc w:val="both"/>
              <w:rPr>
                <w:bCs/>
              </w:rPr>
            </w:pPr>
            <w:r>
              <w:t xml:space="preserve">The planned extraction site is remote and does not affect existing hydraulic </w:t>
            </w:r>
            <w:r>
              <w:lastRenderedPageBreak/>
              <w:t>engineering structures, and the extraction does not pose any risk to their condition.</w:t>
            </w:r>
          </w:p>
          <w:p w14:paraId="7D9B3FF0" w14:textId="77777777" w:rsidR="00063955" w:rsidRPr="00063955" w:rsidRDefault="00063955" w:rsidP="00063955">
            <w:pPr>
              <w:jc w:val="both"/>
              <w:rPr>
                <w:bCs/>
              </w:rPr>
            </w:pPr>
            <w:r>
              <w:t>The implementation of the investment proposal will mainly affect aquatic fauna distributed in the Danube River, which is a border river.</w:t>
            </w:r>
          </w:p>
          <w:p w14:paraId="47F0E721" w14:textId="77777777" w:rsidR="00063955" w:rsidRPr="00063955" w:rsidRDefault="00063955" w:rsidP="00063955">
            <w:pPr>
              <w:jc w:val="both"/>
              <w:rPr>
                <w:bCs/>
              </w:rPr>
            </w:pPr>
            <w:r>
              <w:t>With the removal of sediment materials, destruction of benthic organisms may occur, such as freshwater mussels (Unio sp..), certain snails and mayfly larvae, as well as other organisms present within the extraction area. However, these species are widely distributed in the river and are not subject to conservation or protection.</w:t>
            </w:r>
          </w:p>
          <w:p w14:paraId="41A95DF4" w14:textId="41BE6DB9" w:rsidR="00063955" w:rsidRDefault="00063955" w:rsidP="00063955">
            <w:pPr>
              <w:jc w:val="both"/>
              <w:rPr>
                <w:bCs/>
              </w:rPr>
            </w:pPr>
            <w:r>
              <w:t>The fish fauna will not be affected by the planned activities. The working area is located within the riverbed, close to the fairway, where there are no habitats suitable for shelter, feeding or reproduction of typical fish species.</w:t>
            </w:r>
          </w:p>
          <w:p w14:paraId="41841DE3" w14:textId="047B527A" w:rsidR="00063955" w:rsidRDefault="00063955" w:rsidP="00063955">
            <w:pPr>
              <w:jc w:val="both"/>
              <w:rPr>
                <w:bCs/>
                <w:lang w:val="en-US" w:bidi="en-US"/>
              </w:rPr>
            </w:pPr>
          </w:p>
          <w:p w14:paraId="7BE009AB" w14:textId="1BF5D267" w:rsidR="00063955" w:rsidRPr="00063955" w:rsidRDefault="00063955" w:rsidP="00063955">
            <w:pPr>
              <w:jc w:val="both"/>
              <w:rPr>
                <w:bCs/>
              </w:rPr>
            </w:pPr>
            <w:r>
              <w:t xml:space="preserve">Sediment removal by bucket dredger is the most environmentally friendly dredging method for fish populations. The dredger buckets are open, lowered slowly to the bottom, collect gravel and move upward slowly. </w:t>
            </w:r>
            <w:r w:rsidR="00D605E4">
              <w:t>Thus,</w:t>
            </w:r>
            <w:r>
              <w:t xml:space="preserve"> if any fish is fallen into the bucket accidentally it can escape during the slowly upward movement.</w:t>
            </w:r>
          </w:p>
          <w:p w14:paraId="5CDFEBFE" w14:textId="77777777" w:rsidR="00063955" w:rsidRPr="00063955" w:rsidRDefault="00063955" w:rsidP="00063955">
            <w:pPr>
              <w:jc w:val="both"/>
              <w:rPr>
                <w:bCs/>
                <w:lang w:val="en-US" w:bidi="en-US"/>
              </w:rPr>
            </w:pPr>
          </w:p>
          <w:p w14:paraId="156D4751" w14:textId="1B0D0735" w:rsidR="00063955" w:rsidRPr="00063955" w:rsidRDefault="00063955" w:rsidP="00063955">
            <w:pPr>
              <w:jc w:val="both"/>
              <w:rPr>
                <w:bCs/>
              </w:rPr>
            </w:pPr>
            <w:r>
              <w:t xml:space="preserve">It is ensured that the extraction of inert materials from the Danube riverbed will not </w:t>
            </w:r>
            <w:r w:rsidR="00D605E4">
              <w:t>be performed</w:t>
            </w:r>
            <w:r>
              <w:t xml:space="preserve"> during the fish spawning period. Each year, the Bulgarian Executive Agency for Fisheries and Aquaculture imposes a ban on fishing and all activities in water bodies (including extraction of inert materials) during the breeding period (April to June).</w:t>
            </w:r>
          </w:p>
          <w:p w14:paraId="1C55B250" w14:textId="77777777" w:rsidR="00063955" w:rsidRPr="00063955" w:rsidRDefault="00063955" w:rsidP="00063955">
            <w:pPr>
              <w:jc w:val="both"/>
              <w:rPr>
                <w:bCs/>
                <w:lang w:val="en-US" w:bidi="en-US"/>
              </w:rPr>
            </w:pPr>
          </w:p>
          <w:p w14:paraId="2B052F30" w14:textId="1F55AF2C" w:rsidR="003510A2" w:rsidRPr="003510A2" w:rsidRDefault="00063955" w:rsidP="003510A2">
            <w:pPr>
              <w:jc w:val="both"/>
              <w:rPr>
                <w:bCs/>
              </w:rPr>
            </w:pPr>
            <w:r>
              <w:t xml:space="preserve">The planned sediment removal area is located at a considerable distance from habitats subject to conservation within the Romanian protected areas: </w:t>
            </w:r>
            <w:r>
              <w:rPr>
                <w:b/>
              </w:rPr>
              <w:t>„Gura Vedei - Saica - Slobozia“ (Site Code: ROSCI0088) and</w:t>
            </w:r>
          </w:p>
          <w:p w14:paraId="0A17D0F7" w14:textId="36042529" w:rsidR="00063955" w:rsidRPr="00B911CC" w:rsidRDefault="003510A2" w:rsidP="00063955">
            <w:pPr>
              <w:jc w:val="both"/>
              <w:rPr>
                <w:bCs/>
              </w:rPr>
            </w:pPr>
            <w:r>
              <w:rPr>
                <w:b/>
              </w:rPr>
              <w:t>“Vedea - Dimare” (Site Code: ROSPA0108)</w:t>
            </w:r>
            <w:r>
              <w:t xml:space="preserve">, and the activities are not expected to have any negative impact on </w:t>
            </w:r>
            <w:r>
              <w:lastRenderedPageBreak/>
              <w:t>them. No negative impacts on the protected Romanian areas in proximity are expected.</w:t>
            </w:r>
          </w:p>
          <w:p w14:paraId="2F71D45E" w14:textId="77777777" w:rsidR="00AA1AD9" w:rsidRPr="00B911CC" w:rsidRDefault="00AA1AD9" w:rsidP="00A81FAA">
            <w:pPr>
              <w:jc w:val="both"/>
              <w:rPr>
                <w:bCs/>
                <w:lang w:val="bg-BG"/>
              </w:rPr>
            </w:pPr>
          </w:p>
        </w:tc>
      </w:tr>
      <w:tr w:rsidR="00AA1AD9" w:rsidRPr="00AA1AD9" w14:paraId="1E3C7F44" w14:textId="77777777" w:rsidTr="00ED12F5">
        <w:tc>
          <w:tcPr>
            <w:tcW w:w="4508" w:type="dxa"/>
          </w:tcPr>
          <w:p w14:paraId="1CC6A91F" w14:textId="77777777"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lastRenderedPageBreak/>
              <w:t>Proposed mitigation measures</w:t>
            </w:r>
          </w:p>
          <w:p w14:paraId="2D3EBE77" w14:textId="0C52D498"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Pr>
                <w:sz w:val="20"/>
              </w:rPr>
              <w:t>(e.g. if known, mitigation measures to prevent, eliminate, minimize, compensate for environmental effects)</w:t>
            </w:r>
          </w:p>
        </w:tc>
        <w:tc>
          <w:tcPr>
            <w:tcW w:w="4508" w:type="dxa"/>
          </w:tcPr>
          <w:p w14:paraId="25826984" w14:textId="77777777" w:rsidR="00D42ED3" w:rsidRPr="00D42ED3" w:rsidRDefault="00D42ED3" w:rsidP="0025088D">
            <w:pPr>
              <w:jc w:val="both"/>
              <w:rPr>
                <w:bCs/>
              </w:rPr>
            </w:pPr>
            <w:r>
              <w:t>- Mining activities shall be carried out only during daylight hours.</w:t>
            </w:r>
          </w:p>
          <w:p w14:paraId="1716B76F" w14:textId="136AF24C" w:rsidR="00D42ED3" w:rsidRPr="00D42ED3" w:rsidRDefault="00D42ED3" w:rsidP="0025088D">
            <w:pPr>
              <w:jc w:val="both"/>
              <w:rPr>
                <w:bCs/>
              </w:rPr>
            </w:pPr>
            <w:r>
              <w:t>- No activities shall be permitted during the April – May period, corresponding to the fish spawning season as regulated by Bulgarian legislation.</w:t>
            </w:r>
          </w:p>
          <w:p w14:paraId="5D87E5EE" w14:textId="26EC5A75" w:rsidR="00D42ED3" w:rsidRPr="00D42ED3" w:rsidRDefault="00D42ED3" w:rsidP="0025088D">
            <w:pPr>
              <w:jc w:val="both"/>
              <w:rPr>
                <w:bCs/>
              </w:rPr>
            </w:pPr>
            <w:r>
              <w:t>- Repair of vessels and equipment in the river shall not be permitted; any damaged machinery shall be transported for repair to the port of “INERT” Ltd. in Ruse.</w:t>
            </w:r>
          </w:p>
          <w:p w14:paraId="418CB5AD" w14:textId="06318CD1" w:rsidR="00D42ED3" w:rsidRPr="00D42ED3" w:rsidRDefault="00D42ED3" w:rsidP="0025088D">
            <w:pPr>
              <w:jc w:val="both"/>
              <w:rPr>
                <w:bCs/>
              </w:rPr>
            </w:pPr>
            <w:r>
              <w:t>All waste generated on board the vessels shall be collected and transported to the port of “INERT” Ltd. in Ruse and treated in accordance with the company’s permits under the Bulgarian Waste Management Act.</w:t>
            </w:r>
          </w:p>
          <w:p w14:paraId="5B1DB884" w14:textId="798E879F" w:rsidR="00AA1AD9" w:rsidRPr="00D42ED3" w:rsidRDefault="0025088D" w:rsidP="0025088D">
            <w:pPr>
              <w:jc w:val="both"/>
              <w:rPr>
                <w:bCs/>
              </w:rPr>
            </w:pPr>
            <w:r>
              <w:t>During dredging activities, as well as for ensuring safe manoeuvring of all vessels in the river section where the site is located, the Rules for Navigation on the Danube River shall be strictly observed.</w:t>
            </w:r>
          </w:p>
        </w:tc>
      </w:tr>
      <w:tr w:rsidR="00AA1AD9" w:rsidRPr="00AA1AD9" w14:paraId="650FED08" w14:textId="77777777" w:rsidTr="000955CD">
        <w:tc>
          <w:tcPr>
            <w:tcW w:w="4508" w:type="dxa"/>
            <w:tcBorders>
              <w:bottom w:val="single" w:sz="4" w:space="0" w:color="auto"/>
            </w:tcBorders>
          </w:tcPr>
          <w:p w14:paraId="2ED2F90C" w14:textId="2DF8D88B" w:rsidR="00AA1AD9" w:rsidRDefault="00AA1AD9"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Pr>
                <w:sz w:val="20"/>
              </w:rPr>
              <w:t>Additional information / comments</w:t>
            </w:r>
          </w:p>
        </w:tc>
        <w:tc>
          <w:tcPr>
            <w:tcW w:w="4508" w:type="dxa"/>
            <w:tcBorders>
              <w:bottom w:val="single" w:sz="4" w:space="0" w:color="auto"/>
            </w:tcBorders>
          </w:tcPr>
          <w:p w14:paraId="6EA9041E" w14:textId="742167BB" w:rsidR="00AA1AD9" w:rsidRPr="0025088D" w:rsidRDefault="0025088D" w:rsidP="00AA1AD9">
            <w:pPr>
              <w:rPr>
                <w:b/>
                <w:bCs/>
              </w:rPr>
            </w:pPr>
            <w:r>
              <w:rPr>
                <w:b/>
              </w:rPr>
              <w:t>none</w:t>
            </w:r>
          </w:p>
        </w:tc>
      </w:tr>
      <w:tr w:rsidR="002C235B" w:rsidRPr="00AA1AD9" w14:paraId="1642569A" w14:textId="77777777" w:rsidTr="00841D72">
        <w:tc>
          <w:tcPr>
            <w:tcW w:w="9016" w:type="dxa"/>
            <w:gridSpan w:val="2"/>
            <w:tcBorders>
              <w:bottom w:val="single" w:sz="4" w:space="0" w:color="auto"/>
            </w:tcBorders>
          </w:tcPr>
          <w:p w14:paraId="46611A7F" w14:textId="53AE6E21" w:rsidR="002C235B" w:rsidRPr="00AA1AD9" w:rsidRDefault="002C235B" w:rsidP="002C235B">
            <w:pPr>
              <w:spacing w:before="240" w:after="240"/>
              <w:jc w:val="center"/>
              <w:rPr>
                <w:b/>
                <w:bCs/>
              </w:rPr>
            </w:pPr>
            <w:r>
              <w:rPr>
                <w:b/>
                <w:sz w:val="20"/>
              </w:rPr>
              <w:t>(iv) Proponent / developer</w:t>
            </w:r>
          </w:p>
        </w:tc>
      </w:tr>
      <w:tr w:rsidR="002C235B" w:rsidRPr="00B911CC" w14:paraId="72CFBB67" w14:textId="77777777" w:rsidTr="000955CD">
        <w:tc>
          <w:tcPr>
            <w:tcW w:w="4508" w:type="dxa"/>
            <w:tcBorders>
              <w:bottom w:val="single" w:sz="4" w:space="0" w:color="auto"/>
            </w:tcBorders>
          </w:tcPr>
          <w:p w14:paraId="37D28FFB" w14:textId="3B096D9E" w:rsidR="002C235B" w:rsidRDefault="002C235B" w:rsidP="00D8294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Pr>
                <w:sz w:val="20"/>
              </w:rPr>
              <w:t>Name, address, telephone and fax numbers</w:t>
            </w:r>
          </w:p>
        </w:tc>
        <w:tc>
          <w:tcPr>
            <w:tcW w:w="4508" w:type="dxa"/>
            <w:tcBorders>
              <w:bottom w:val="single" w:sz="4" w:space="0" w:color="auto"/>
            </w:tcBorders>
          </w:tcPr>
          <w:p w14:paraId="39F9E9A5" w14:textId="77777777" w:rsidR="0025088D" w:rsidRPr="0025088D" w:rsidRDefault="0025088D" w:rsidP="0025088D">
            <w:pPr>
              <w:rPr>
                <w:bCs/>
              </w:rPr>
            </w:pPr>
            <w:r>
              <w:t>INERT OOD - with Tihomir Dudev as a Manager</w:t>
            </w:r>
          </w:p>
          <w:p w14:paraId="43852AB2" w14:textId="41A98F0F" w:rsidR="0025088D" w:rsidRPr="0025088D" w:rsidRDefault="0025088D" w:rsidP="0025088D">
            <w:pPr>
              <w:rPr>
                <w:bCs/>
              </w:rPr>
            </w:pPr>
            <w:r>
              <w:t>address: Company headquarters: 21, Borimechka Str., Ruse, Bulgaria Full mail address:</w:t>
            </w:r>
          </w:p>
          <w:p w14:paraId="691F6963" w14:textId="77777777" w:rsidR="0025088D" w:rsidRPr="0025088D" w:rsidRDefault="0025088D" w:rsidP="0025088D">
            <w:pPr>
              <w:rPr>
                <w:bCs/>
              </w:rPr>
            </w:pPr>
            <w:r>
              <w:t xml:space="preserve">  21, Borimechka Str., Ruse, Bulgaria </w:t>
            </w:r>
          </w:p>
          <w:p w14:paraId="7DDC0675" w14:textId="050F444F" w:rsidR="0025088D" w:rsidRPr="0025088D" w:rsidRDefault="0025088D" w:rsidP="0025088D">
            <w:pPr>
              <w:rPr>
                <w:bCs/>
              </w:rPr>
            </w:pPr>
            <w:r>
              <w:t>Phone, fax and е-mail:</w:t>
            </w:r>
            <w:hyperlink r:id="rId8" w:history="1">
              <w:r>
                <w:rPr>
                  <w:rStyle w:val="Hyperlink"/>
                </w:rPr>
                <w:t xml:space="preserve"> </w:t>
              </w:r>
            </w:hyperlink>
            <w:hyperlink r:id="rId9" w:history="1">
              <w:hyperlink r:id="rId10" w:history="1">
                <w:r>
                  <w:rPr>
                    <w:rStyle w:val="Hyperlink"/>
                  </w:rPr>
                  <w:t>inert_ood@abv.bg</w:t>
                </w:r>
              </w:hyperlink>
            </w:hyperlink>
            <w:r>
              <w:t>;</w:t>
            </w:r>
          </w:p>
          <w:p w14:paraId="7CF0B162" w14:textId="3BC16367" w:rsidR="0025088D" w:rsidRPr="0025088D" w:rsidRDefault="0025088D" w:rsidP="0025088D">
            <w:pPr>
              <w:rPr>
                <w:bCs/>
              </w:rPr>
            </w:pPr>
            <w:r>
              <w:t>Contact person: Tihomir Dudev; phone: 0899113780</w:t>
            </w:r>
          </w:p>
          <w:p w14:paraId="23EA6920" w14:textId="7077AB77" w:rsidR="002C235B" w:rsidRPr="0025088D" w:rsidRDefault="002C235B" w:rsidP="00AA1AD9">
            <w:pPr>
              <w:rPr>
                <w:bCs/>
                <w:lang w:val="bg-BG"/>
              </w:rPr>
            </w:pPr>
          </w:p>
        </w:tc>
      </w:tr>
      <w:tr w:rsidR="00AA1AD9" w:rsidRPr="00B911CC" w14:paraId="703A5064" w14:textId="77777777" w:rsidTr="000955CD">
        <w:tc>
          <w:tcPr>
            <w:tcW w:w="9016" w:type="dxa"/>
            <w:gridSpan w:val="2"/>
            <w:tcBorders>
              <w:left w:val="nil"/>
              <w:bottom w:val="nil"/>
              <w:right w:val="nil"/>
            </w:tcBorders>
          </w:tcPr>
          <w:p w14:paraId="783EE742" w14:textId="77777777" w:rsidR="00AA1AD9" w:rsidRPr="00B911CC" w:rsidRDefault="00AA1AD9" w:rsidP="000955CD">
            <w:pPr>
              <w:rPr>
                <w:b/>
                <w:bCs/>
                <w:lang w:val="bg-BG"/>
              </w:rPr>
            </w:pPr>
          </w:p>
          <w:p w14:paraId="090E81C6" w14:textId="77777777" w:rsidR="002C235B" w:rsidRPr="00B911CC" w:rsidRDefault="002C235B" w:rsidP="000955CD">
            <w:pPr>
              <w:rPr>
                <w:b/>
                <w:bCs/>
                <w:lang w:val="bg-BG"/>
              </w:rPr>
            </w:pPr>
          </w:p>
          <w:p w14:paraId="5654BB45" w14:textId="77777777" w:rsidR="002C235B" w:rsidRPr="00B911CC" w:rsidRDefault="002C235B" w:rsidP="000955CD">
            <w:pPr>
              <w:rPr>
                <w:b/>
                <w:bCs/>
                <w:lang w:val="bg-BG"/>
              </w:rPr>
            </w:pPr>
          </w:p>
          <w:p w14:paraId="377074B7" w14:textId="0C954A6C" w:rsidR="002C235B" w:rsidRPr="00B911CC" w:rsidRDefault="002C235B" w:rsidP="000955CD">
            <w:pPr>
              <w:rPr>
                <w:b/>
                <w:bCs/>
                <w:lang w:val="bg-BG"/>
              </w:rPr>
            </w:pPr>
          </w:p>
        </w:tc>
      </w:tr>
      <w:tr w:rsidR="000955CD" w:rsidRPr="00B911CC" w14:paraId="37E6E02E" w14:textId="77777777" w:rsidTr="000955CD">
        <w:tc>
          <w:tcPr>
            <w:tcW w:w="9016" w:type="dxa"/>
            <w:gridSpan w:val="2"/>
            <w:tcBorders>
              <w:top w:val="nil"/>
              <w:left w:val="nil"/>
              <w:right w:val="nil"/>
            </w:tcBorders>
          </w:tcPr>
          <w:p w14:paraId="4E088519" w14:textId="77777777" w:rsidR="000955CD" w:rsidRPr="00B911CC" w:rsidRDefault="000955CD" w:rsidP="000955CD">
            <w:pPr>
              <w:rPr>
                <w:b/>
                <w:bCs/>
                <w:lang w:val="bg-BG"/>
              </w:rPr>
            </w:pPr>
          </w:p>
        </w:tc>
      </w:tr>
      <w:tr w:rsidR="00AA1AD9" w:rsidRPr="00AA1AD9" w14:paraId="50D44EDC" w14:textId="77777777" w:rsidTr="00710E02">
        <w:tc>
          <w:tcPr>
            <w:tcW w:w="9016" w:type="dxa"/>
            <w:gridSpan w:val="2"/>
          </w:tcPr>
          <w:p w14:paraId="2CF51285" w14:textId="44532286" w:rsidR="00AA1AD9" w:rsidRPr="00AA1AD9" w:rsidRDefault="002C235B" w:rsidP="002C235B">
            <w:pPr>
              <w:spacing w:before="240" w:after="240"/>
              <w:jc w:val="center"/>
              <w:rPr>
                <w:b/>
                <w:bCs/>
              </w:rPr>
            </w:pPr>
            <w:r>
              <w:rPr>
                <w:b/>
                <w:sz w:val="20"/>
              </w:rPr>
              <w:t>(v) EIA documentation</w:t>
            </w:r>
          </w:p>
        </w:tc>
      </w:tr>
      <w:tr w:rsidR="00AA1AD9" w:rsidRPr="00AA1AD9" w14:paraId="22E88316" w14:textId="77777777" w:rsidTr="00ED12F5">
        <w:tc>
          <w:tcPr>
            <w:tcW w:w="4508" w:type="dxa"/>
          </w:tcPr>
          <w:p w14:paraId="4B018588" w14:textId="144BED56" w:rsidR="00AA1AD9" w:rsidRPr="00AA1AD9" w:rsidRDefault="00AA1AD9" w:rsidP="002C235B">
            <w:pPr>
              <w:spacing w:before="240" w:after="240"/>
              <w:rPr>
                <w:b/>
                <w:bCs/>
              </w:rPr>
            </w:pPr>
            <w:r>
              <w:rPr>
                <w:sz w:val="20"/>
              </w:rPr>
              <w:t>Is the EIA documentation (e.g. EIA report or EIS) included in the notification?</w:t>
            </w:r>
          </w:p>
        </w:tc>
        <w:tc>
          <w:tcPr>
            <w:tcW w:w="4508" w:type="dxa"/>
          </w:tcPr>
          <w:p w14:paraId="572DC407" w14:textId="77777777" w:rsidR="00AA1AD9" w:rsidRDefault="00AA1AD9" w:rsidP="00AA1AD9">
            <w:pPr>
              <w:rPr>
                <w:rFonts w:ascii="Helvetica-Narrow" w:hAnsi="Helvetica-Narrow"/>
                <w:sz w:val="18"/>
              </w:rPr>
            </w:pPr>
            <w:r>
              <w:rPr>
                <w:rFonts w:ascii="Helvetica-Narrow" w:hAnsi="Helvetica-Narrow"/>
                <w:sz w:val="18"/>
              </w:rPr>
              <w:t xml:space="preserve">     </w:t>
            </w:r>
          </w:p>
          <w:p w14:paraId="146C89A0" w14:textId="01B0AFC3" w:rsidR="00AA1AD9" w:rsidRPr="00AA1AD9" w:rsidRDefault="00AA1AD9" w:rsidP="003E480A">
            <w:pPr>
              <w:spacing w:after="240"/>
              <w:rPr>
                <w:b/>
                <w:bCs/>
              </w:rPr>
            </w:pPr>
            <w:r>
              <w:rPr>
                <w:rFonts w:ascii="Helvetica-Narrow" w:hAnsi="Helvetica-Narrow"/>
                <w:sz w:val="18"/>
              </w:rPr>
              <w:t xml:space="preserve">              </w:t>
            </w:r>
            <w:r>
              <w:rPr>
                <w:sz w:val="20"/>
              </w:rPr>
              <w:t xml:space="preserve">Yes </w:t>
            </w:r>
            <w:r>
              <w:rPr>
                <w:rFonts w:ascii="Helvetica-Narrow" w:hAnsi="Helvetica-Narrow"/>
                <w:sz w:val="18"/>
              </w:rPr>
              <w:t xml:space="preserve">   </w:t>
            </w:r>
            <w:r>
              <w:rPr>
                <w:rFonts w:ascii="Helvetica-Narrow" w:hAnsi="Helvetica-Narrow"/>
                <w:sz w:val="18"/>
              </w:rPr>
              <w:sym w:font="Webdings" w:char="F063"/>
            </w:r>
            <w:r>
              <w:rPr>
                <w:rFonts w:ascii="Helvetica-Narrow" w:hAnsi="Helvetica-Narrow"/>
                <w:sz w:val="18"/>
              </w:rPr>
              <w:t xml:space="preserve"> </w:t>
            </w:r>
            <w:r>
              <w:rPr>
                <w:sz w:val="20"/>
              </w:rPr>
              <w:t xml:space="preserve">    </w:t>
            </w:r>
            <w:r>
              <w:rPr>
                <w:b/>
                <w:sz w:val="20"/>
              </w:rPr>
              <w:t>No</w:t>
            </w:r>
            <w:r>
              <w:rPr>
                <w:sz w:val="20"/>
              </w:rPr>
              <w:t xml:space="preserve"> </w:t>
            </w:r>
            <w:r>
              <w:rPr>
                <w:rFonts w:ascii="Helvetica-Narrow" w:hAnsi="Helvetica-Narrow"/>
                <w:sz w:val="18"/>
              </w:rPr>
              <w:t xml:space="preserve">  </w:t>
            </w:r>
            <w:r>
              <w:rPr>
                <w:rFonts w:ascii="Helvetica-Narrow" w:hAnsi="Helvetica-Narrow"/>
                <w:sz w:val="18"/>
              </w:rPr>
              <w:sym w:font="Webdings" w:char="F072"/>
            </w:r>
            <w:r>
              <w:rPr>
                <w:rFonts w:ascii="Helvetica-Narrow" w:hAnsi="Helvetica-Narrow"/>
                <w:sz w:val="18"/>
              </w:rPr>
              <w:t xml:space="preserve">      </w:t>
            </w:r>
            <w:r>
              <w:rPr>
                <w:sz w:val="20"/>
              </w:rPr>
              <w:t xml:space="preserve">Partially </w:t>
            </w:r>
            <w:r>
              <w:rPr>
                <w:rFonts w:ascii="Helvetica-Narrow" w:hAnsi="Helvetica-Narrow"/>
                <w:sz w:val="18"/>
              </w:rPr>
              <w:t xml:space="preserve">   </w:t>
            </w:r>
            <w:r>
              <w:rPr>
                <w:rFonts w:ascii="Helvetica-Narrow" w:hAnsi="Helvetica-Narrow"/>
                <w:sz w:val="18"/>
              </w:rPr>
              <w:sym w:font="Webdings" w:char="F063"/>
            </w:r>
          </w:p>
        </w:tc>
      </w:tr>
      <w:tr w:rsidR="00AA1AD9" w:rsidRPr="00AA1AD9" w14:paraId="4DAE652B" w14:textId="77777777" w:rsidTr="00ED12F5">
        <w:tc>
          <w:tcPr>
            <w:tcW w:w="4508" w:type="dxa"/>
          </w:tcPr>
          <w:p w14:paraId="1A24C367" w14:textId="7F82D891" w:rsidR="00AA1AD9" w:rsidRPr="00AA1AD9" w:rsidRDefault="00AA1AD9" w:rsidP="002C235B">
            <w:pPr>
              <w:spacing w:before="240" w:after="240"/>
              <w:rPr>
                <w:b/>
                <w:bCs/>
              </w:rPr>
            </w:pPr>
            <w:r>
              <w:rPr>
                <w:sz w:val="20"/>
              </w:rPr>
              <w:lastRenderedPageBreak/>
              <w:t>If the answer to the above is no or partially, description of additional documentation to be forwarded and (approximate) date(s) when documentation will be available</w:t>
            </w:r>
          </w:p>
        </w:tc>
        <w:tc>
          <w:tcPr>
            <w:tcW w:w="4508" w:type="dxa"/>
          </w:tcPr>
          <w:p w14:paraId="0F691745" w14:textId="538246FB" w:rsidR="00AA1AD9" w:rsidRPr="003E480A" w:rsidRDefault="003E480A" w:rsidP="003E480A">
            <w:pPr>
              <w:jc w:val="both"/>
              <w:rPr>
                <w:bCs/>
              </w:rPr>
            </w:pPr>
            <w:r>
              <w:t>Additional information will be submitted upon request when it becomes available.</w:t>
            </w:r>
          </w:p>
        </w:tc>
      </w:tr>
      <w:tr w:rsidR="00AA1AD9" w:rsidRPr="00AA1AD9" w14:paraId="0FA22D88" w14:textId="77777777" w:rsidTr="00ED12F5">
        <w:tc>
          <w:tcPr>
            <w:tcW w:w="4508" w:type="dxa"/>
          </w:tcPr>
          <w:p w14:paraId="2AEAC4DE" w14:textId="55545259" w:rsidR="00AA1AD9" w:rsidRPr="00AA1AD9" w:rsidRDefault="00AA1AD9" w:rsidP="002C235B">
            <w:pPr>
              <w:spacing w:before="240" w:after="240"/>
              <w:rPr>
                <w:b/>
                <w:bCs/>
              </w:rPr>
            </w:pPr>
            <w:r>
              <w:rPr>
                <w:sz w:val="20"/>
              </w:rPr>
              <w:t>Additional information / comments</w:t>
            </w:r>
          </w:p>
        </w:tc>
        <w:tc>
          <w:tcPr>
            <w:tcW w:w="4508" w:type="dxa"/>
          </w:tcPr>
          <w:p w14:paraId="0B8F32F2" w14:textId="5EBF1158" w:rsidR="00AA1AD9" w:rsidRPr="003E480A" w:rsidRDefault="003E480A" w:rsidP="00AA1AD9">
            <w:pPr>
              <w:rPr>
                <w:b/>
                <w:bCs/>
              </w:rPr>
            </w:pPr>
            <w:r>
              <w:rPr>
                <w:b/>
              </w:rPr>
              <w:t>none</w:t>
            </w:r>
          </w:p>
        </w:tc>
      </w:tr>
      <w:tr w:rsidR="00765927" w:rsidRPr="00AA1AD9" w14:paraId="25670D65" w14:textId="77777777" w:rsidTr="006432F6">
        <w:tc>
          <w:tcPr>
            <w:tcW w:w="9016" w:type="dxa"/>
            <w:gridSpan w:val="2"/>
          </w:tcPr>
          <w:p w14:paraId="2939B1CF" w14:textId="519DCE4D" w:rsidR="00765927" w:rsidRPr="00AA1AD9" w:rsidRDefault="00765927" w:rsidP="002C235B">
            <w:pPr>
              <w:spacing w:before="240" w:after="240"/>
              <w:jc w:val="center"/>
              <w:rPr>
                <w:b/>
                <w:bCs/>
              </w:rPr>
            </w:pPr>
            <w:r>
              <w:rPr>
                <w:b/>
                <w:sz w:val="20"/>
              </w:rPr>
              <w:t>2.  POINTS OF CONTACT</w:t>
            </w:r>
          </w:p>
        </w:tc>
      </w:tr>
      <w:tr w:rsidR="00765927" w:rsidRPr="00AA1AD9" w14:paraId="79FC6FE7" w14:textId="77777777" w:rsidTr="00A23B24">
        <w:tc>
          <w:tcPr>
            <w:tcW w:w="9016" w:type="dxa"/>
            <w:gridSpan w:val="2"/>
          </w:tcPr>
          <w:p w14:paraId="55E2D46E" w14:textId="180A5BE3" w:rsidR="00765927" w:rsidRPr="00AA1AD9" w:rsidRDefault="00765927" w:rsidP="002C235B">
            <w:pPr>
              <w:spacing w:before="240" w:after="240"/>
              <w:jc w:val="center"/>
              <w:rPr>
                <w:b/>
                <w:bCs/>
              </w:rPr>
            </w:pPr>
            <w:r>
              <w:rPr>
                <w:b/>
                <w:sz w:val="20"/>
              </w:rPr>
              <w:t>(i) Points of contact for the possible affected Party or Parties</w:t>
            </w:r>
          </w:p>
        </w:tc>
      </w:tr>
      <w:tr w:rsidR="00AA1AD9" w:rsidRPr="001C0F9C" w14:paraId="15BBDFE9" w14:textId="77777777" w:rsidTr="00ED12F5">
        <w:tc>
          <w:tcPr>
            <w:tcW w:w="4508" w:type="dxa"/>
          </w:tcPr>
          <w:p w14:paraId="362ED102" w14:textId="77777777" w:rsidR="00765927" w:rsidRDefault="00765927" w:rsidP="002C235B">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Authority responsible for coordinating activities relating to the EIA (refer to decision I/3, appendix)</w:t>
            </w:r>
          </w:p>
          <w:p w14:paraId="383E47B8" w14:textId="3D15124B" w:rsidR="00AA1AD9" w:rsidRPr="00AA1AD9" w:rsidRDefault="00765927" w:rsidP="002C235B">
            <w:pPr>
              <w:spacing w:after="240"/>
              <w:rPr>
                <w:b/>
                <w:bCs/>
              </w:rPr>
            </w:pPr>
            <w:r>
              <w:rPr>
                <w:sz w:val="20"/>
              </w:rPr>
              <w:t>- Name, address, telephone and fax numbers</w:t>
            </w:r>
          </w:p>
        </w:tc>
        <w:tc>
          <w:tcPr>
            <w:tcW w:w="4508" w:type="dxa"/>
          </w:tcPr>
          <w:p w14:paraId="50FBDE5E" w14:textId="77777777" w:rsidR="003E480A" w:rsidRPr="003E480A" w:rsidRDefault="003E480A" w:rsidP="003E480A">
            <w:pPr>
              <w:rPr>
                <w:bCs/>
              </w:rPr>
            </w:pPr>
            <w:r>
              <w:t>Ministry of Environment, Water and Forests of Romania</w:t>
            </w:r>
          </w:p>
          <w:p w14:paraId="698E9C5B" w14:textId="77777777" w:rsidR="003E480A" w:rsidRPr="003E480A" w:rsidRDefault="003E480A" w:rsidP="003E480A">
            <w:pPr>
              <w:rPr>
                <w:bCs/>
              </w:rPr>
            </w:pPr>
            <w:r>
              <w:t>Bvd. Libertatii nr. 12, Sector 5, Bucuresti</w:t>
            </w:r>
          </w:p>
          <w:p w14:paraId="1F113197" w14:textId="77777777" w:rsidR="003E480A" w:rsidRPr="003E480A" w:rsidRDefault="003E480A" w:rsidP="003E480A">
            <w:pPr>
              <w:rPr>
                <w:bCs/>
              </w:rPr>
            </w:pPr>
            <w:r>
              <w:t>Fax: 004021408 9615</w:t>
            </w:r>
          </w:p>
          <w:p w14:paraId="71A84239" w14:textId="77777777" w:rsidR="003E480A" w:rsidRPr="001C0F9C" w:rsidRDefault="003E480A" w:rsidP="003E480A">
            <w:pPr>
              <w:rPr>
                <w:bCs/>
                <w:lang w:val="de-DE"/>
              </w:rPr>
            </w:pPr>
            <w:r w:rsidRPr="001C0F9C">
              <w:rPr>
                <w:lang w:val="de-DE"/>
              </w:rPr>
              <w:t>Telefon: 021/408 9642</w:t>
            </w:r>
          </w:p>
          <w:p w14:paraId="48523B5B" w14:textId="5F0172C6" w:rsidR="00AA1AD9" w:rsidRPr="00D605E4" w:rsidRDefault="003E480A" w:rsidP="003E480A">
            <w:pPr>
              <w:rPr>
                <w:bCs/>
                <w:lang w:val="de-DE"/>
              </w:rPr>
            </w:pPr>
            <w:r w:rsidRPr="00D605E4">
              <w:rPr>
                <w:lang w:val="de-DE"/>
              </w:rPr>
              <w:t xml:space="preserve">E-mail: </w:t>
            </w:r>
            <w:hyperlink r:id="rId11" w:history="1">
              <w:r w:rsidRPr="00D605E4">
                <w:rPr>
                  <w:rStyle w:val="Hyperlink"/>
                  <w:lang w:val="de-DE"/>
                </w:rPr>
                <w:t>registratura@mmediu.ro</w:t>
              </w:r>
            </w:hyperlink>
          </w:p>
        </w:tc>
      </w:tr>
      <w:tr w:rsidR="00AA1AD9" w:rsidRPr="00AA1AD9" w14:paraId="6CA04C26" w14:textId="77777777" w:rsidTr="00ED12F5">
        <w:tc>
          <w:tcPr>
            <w:tcW w:w="4508" w:type="dxa"/>
          </w:tcPr>
          <w:p w14:paraId="03585A8A" w14:textId="014C9ABB" w:rsidR="00AA1AD9" w:rsidRPr="003E480A" w:rsidRDefault="00765927" w:rsidP="002C235B">
            <w:pPr>
              <w:spacing w:before="240" w:after="240"/>
              <w:rPr>
                <w:bCs/>
              </w:rPr>
            </w:pPr>
            <w:r>
              <w:rPr>
                <w:sz w:val="20"/>
              </w:rPr>
              <w:t>List of affected Parties to which notification is being sent</w:t>
            </w:r>
          </w:p>
        </w:tc>
        <w:tc>
          <w:tcPr>
            <w:tcW w:w="4508" w:type="dxa"/>
          </w:tcPr>
          <w:p w14:paraId="6F961B40" w14:textId="5AB679C3" w:rsidR="00AA1AD9" w:rsidRPr="003E480A" w:rsidRDefault="003E480A" w:rsidP="00AA1AD9">
            <w:pPr>
              <w:rPr>
                <w:bCs/>
              </w:rPr>
            </w:pPr>
            <w:r>
              <w:t>Republic of Romania</w:t>
            </w:r>
          </w:p>
        </w:tc>
      </w:tr>
      <w:tr w:rsidR="00765927" w:rsidRPr="00AA1AD9" w14:paraId="0C47A633" w14:textId="77777777" w:rsidTr="00A54A89">
        <w:tc>
          <w:tcPr>
            <w:tcW w:w="9016" w:type="dxa"/>
            <w:gridSpan w:val="2"/>
          </w:tcPr>
          <w:p w14:paraId="09F4B81B" w14:textId="1C98E9A1" w:rsidR="00765927" w:rsidRPr="00AA1AD9" w:rsidRDefault="00765927" w:rsidP="002C235B">
            <w:pPr>
              <w:spacing w:before="240" w:after="240"/>
              <w:jc w:val="center"/>
              <w:rPr>
                <w:b/>
                <w:bCs/>
              </w:rPr>
            </w:pPr>
            <w:r>
              <w:rPr>
                <w:b/>
                <w:sz w:val="20"/>
              </w:rPr>
              <w:t>(ii) Points of contact for the Party of origin</w:t>
            </w:r>
          </w:p>
        </w:tc>
      </w:tr>
      <w:tr w:rsidR="00765927" w:rsidRPr="00AA1AD9" w14:paraId="5D05409B" w14:textId="77777777" w:rsidTr="00ED12F5">
        <w:tc>
          <w:tcPr>
            <w:tcW w:w="4508" w:type="dxa"/>
          </w:tcPr>
          <w:p w14:paraId="4617AAAD" w14:textId="77777777" w:rsidR="00765927" w:rsidRPr="003E480A" w:rsidRDefault="00765927" w:rsidP="002C235B">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Authority responsible for coordinating activities relating to the EIA (refer to decision I/3, appendix)</w:t>
            </w:r>
          </w:p>
          <w:p w14:paraId="60EAF3FC" w14:textId="14FB9B32" w:rsidR="00765927" w:rsidRPr="003E480A" w:rsidRDefault="00765927" w:rsidP="002C235B">
            <w:pPr>
              <w:spacing w:after="240"/>
              <w:rPr>
                <w:bCs/>
              </w:rPr>
            </w:pPr>
            <w:r>
              <w:rPr>
                <w:sz w:val="20"/>
              </w:rPr>
              <w:t>- Name, address, telephone and fax numbers</w:t>
            </w:r>
          </w:p>
        </w:tc>
        <w:tc>
          <w:tcPr>
            <w:tcW w:w="4508" w:type="dxa"/>
          </w:tcPr>
          <w:p w14:paraId="309EF40C" w14:textId="708CF973" w:rsidR="00765927" w:rsidRPr="003E480A" w:rsidRDefault="003E480A" w:rsidP="003E480A">
            <w:pPr>
              <w:rPr>
                <w:bCs/>
              </w:rPr>
            </w:pPr>
            <w:r>
              <w:t>Ministry of Environment and Water 22 Maria Luiza Blvd. Sofia, 1000, Bulgaria</w:t>
            </w:r>
          </w:p>
        </w:tc>
      </w:tr>
      <w:tr w:rsidR="00765927" w:rsidRPr="00AA1AD9" w14:paraId="2E42AD93" w14:textId="77777777" w:rsidTr="00ED12F5">
        <w:tc>
          <w:tcPr>
            <w:tcW w:w="4508" w:type="dxa"/>
          </w:tcPr>
          <w:p w14:paraId="74E54DD5" w14:textId="77777777" w:rsidR="00765927" w:rsidRDefault="00765927" w:rsidP="002C235B">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rPr>
              <w:t>Decision-making authority if different than authority responsible for coordinating activities relating to the EIA</w:t>
            </w:r>
          </w:p>
          <w:p w14:paraId="498B134E" w14:textId="1BE7C796" w:rsidR="00765927" w:rsidRPr="00AA1AD9" w:rsidRDefault="00765927" w:rsidP="002C235B">
            <w:pPr>
              <w:spacing w:after="240"/>
              <w:rPr>
                <w:b/>
                <w:bCs/>
              </w:rPr>
            </w:pPr>
            <w:r>
              <w:rPr>
                <w:sz w:val="20"/>
              </w:rPr>
              <w:t>- Name, address, telephone and fax numbers</w:t>
            </w:r>
          </w:p>
        </w:tc>
        <w:tc>
          <w:tcPr>
            <w:tcW w:w="4508" w:type="dxa"/>
          </w:tcPr>
          <w:p w14:paraId="77706795" w14:textId="583CFD0D" w:rsidR="00765927" w:rsidRPr="00AA1AD9" w:rsidRDefault="0074348F" w:rsidP="00AA1AD9">
            <w:pPr>
              <w:rPr>
                <w:b/>
                <w:bCs/>
              </w:rPr>
            </w:pPr>
            <w:r>
              <w:rPr>
                <w:b/>
              </w:rPr>
              <w:t>-</w:t>
            </w:r>
          </w:p>
        </w:tc>
      </w:tr>
      <w:tr w:rsidR="00765927" w:rsidRPr="00AA1AD9" w14:paraId="33CF4034" w14:textId="77777777" w:rsidTr="004C521C">
        <w:tc>
          <w:tcPr>
            <w:tcW w:w="9016" w:type="dxa"/>
            <w:gridSpan w:val="2"/>
          </w:tcPr>
          <w:p w14:paraId="491E8B35" w14:textId="37F24D72" w:rsidR="00765927" w:rsidRPr="00AA1AD9" w:rsidRDefault="00765927" w:rsidP="002C235B">
            <w:pPr>
              <w:spacing w:before="240" w:after="240"/>
              <w:jc w:val="center"/>
              <w:rPr>
                <w:b/>
                <w:bCs/>
              </w:rPr>
            </w:pPr>
            <w:r>
              <w:rPr>
                <w:b/>
                <w:sz w:val="20"/>
              </w:rPr>
              <w:t>3. INFORMATION ON THE EIA PROCESS IN THE COUNTRY WHERE THE PROPOSED ACTIVITY IS LOCATED</w:t>
            </w:r>
          </w:p>
        </w:tc>
      </w:tr>
      <w:tr w:rsidR="00765927" w:rsidRPr="00AA1AD9" w14:paraId="119ECB5D" w14:textId="77777777" w:rsidTr="009313B9">
        <w:tc>
          <w:tcPr>
            <w:tcW w:w="9016" w:type="dxa"/>
            <w:gridSpan w:val="2"/>
          </w:tcPr>
          <w:p w14:paraId="38CFA94D" w14:textId="50C52030" w:rsidR="00765927" w:rsidRPr="00AA1AD9" w:rsidRDefault="00765927" w:rsidP="002C235B">
            <w:pPr>
              <w:spacing w:before="240" w:after="240"/>
              <w:jc w:val="center"/>
              <w:rPr>
                <w:b/>
                <w:bCs/>
              </w:rPr>
            </w:pPr>
            <w:r>
              <w:rPr>
                <w:b/>
                <w:sz w:val="20"/>
              </w:rPr>
              <w:t>(i) Information on the EIA process that will be applied to the proposed activity</w:t>
            </w:r>
          </w:p>
        </w:tc>
      </w:tr>
      <w:tr w:rsidR="00765927" w:rsidRPr="00AA1AD9" w14:paraId="3303FCB5" w14:textId="77777777" w:rsidTr="00ED12F5">
        <w:tc>
          <w:tcPr>
            <w:tcW w:w="4508" w:type="dxa"/>
          </w:tcPr>
          <w:p w14:paraId="335191FC" w14:textId="365D3C6F" w:rsidR="00765927" w:rsidRPr="00AA1AD9" w:rsidRDefault="00765927" w:rsidP="002C235B">
            <w:pPr>
              <w:spacing w:before="240" w:after="240"/>
              <w:rPr>
                <w:b/>
                <w:bCs/>
              </w:rPr>
            </w:pPr>
            <w:r>
              <w:rPr>
                <w:sz w:val="20"/>
              </w:rPr>
              <w:t>Time schedule</w:t>
            </w:r>
          </w:p>
        </w:tc>
        <w:tc>
          <w:tcPr>
            <w:tcW w:w="4508" w:type="dxa"/>
          </w:tcPr>
          <w:p w14:paraId="5B5A51E1" w14:textId="364AB328" w:rsidR="00765927" w:rsidRPr="0074348F" w:rsidRDefault="0074348F" w:rsidP="00AA1AD9">
            <w:pPr>
              <w:rPr>
                <w:bCs/>
              </w:rPr>
            </w:pPr>
            <w:r>
              <w:t>Based on the requirements of Bulgarian legislation</w:t>
            </w:r>
          </w:p>
        </w:tc>
      </w:tr>
    </w:tbl>
    <w:p w14:paraId="36F410CE" w14:textId="77777777" w:rsidR="00456814" w:rsidRPr="00AA1AD9" w:rsidRDefault="00456814" w:rsidP="00456814">
      <w:pPr>
        <w:rPr>
          <w:b/>
          <w:bCs/>
        </w:rPr>
      </w:pPr>
    </w:p>
    <w:p w14:paraId="237ECD80" w14:textId="77777777" w:rsidR="005F6DF0" w:rsidRPr="00AA1AD9" w:rsidRDefault="005F6DF0" w:rsidP="00E90377">
      <w:pPr>
        <w:rPr>
          <w:sz w:val="20"/>
          <w:szCs w:val="20"/>
        </w:rPr>
      </w:pPr>
    </w:p>
    <w:tbl>
      <w:tblPr>
        <w:tblStyle w:val="TableGrid"/>
        <w:tblW w:w="0" w:type="auto"/>
        <w:tblLook w:val="04A0" w:firstRow="1" w:lastRow="0" w:firstColumn="1" w:lastColumn="0" w:noHBand="0" w:noVBand="1"/>
      </w:tblPr>
      <w:tblGrid>
        <w:gridCol w:w="4508"/>
        <w:gridCol w:w="4508"/>
      </w:tblGrid>
      <w:tr w:rsidR="002C235B" w14:paraId="012655AB" w14:textId="77777777" w:rsidTr="002C235B">
        <w:tc>
          <w:tcPr>
            <w:tcW w:w="4508" w:type="dxa"/>
          </w:tcPr>
          <w:p w14:paraId="019AE763" w14:textId="3EC9569E" w:rsidR="002C235B" w:rsidRDefault="002C235B" w:rsidP="002C235B">
            <w:pPr>
              <w:spacing w:before="240" w:after="240"/>
            </w:pPr>
            <w:r>
              <w:rPr>
                <w:sz w:val="20"/>
              </w:rPr>
              <w:t>Opportunities for the affected Party or Parties to be involved in the EIA process</w:t>
            </w:r>
          </w:p>
        </w:tc>
        <w:tc>
          <w:tcPr>
            <w:tcW w:w="4508" w:type="dxa"/>
          </w:tcPr>
          <w:p w14:paraId="2EAB6AA0" w14:textId="536D0635" w:rsidR="002C235B" w:rsidRDefault="0074348F">
            <w:r>
              <w:t>Yes</w:t>
            </w:r>
          </w:p>
        </w:tc>
      </w:tr>
      <w:tr w:rsidR="002C235B" w14:paraId="4FB22A55" w14:textId="77777777" w:rsidTr="002C235B">
        <w:tc>
          <w:tcPr>
            <w:tcW w:w="4508" w:type="dxa"/>
          </w:tcPr>
          <w:p w14:paraId="36B1426C" w14:textId="02F6C372" w:rsidR="002C235B" w:rsidRDefault="002C235B" w:rsidP="002C235B">
            <w:pPr>
              <w:spacing w:before="240" w:after="240"/>
            </w:pPr>
            <w:r>
              <w:rPr>
                <w:sz w:val="20"/>
              </w:rPr>
              <w:lastRenderedPageBreak/>
              <w:t>Opportunities for the affected Party or Parties to review and comment on the notification and the EIA documentation</w:t>
            </w:r>
          </w:p>
        </w:tc>
        <w:tc>
          <w:tcPr>
            <w:tcW w:w="4508" w:type="dxa"/>
          </w:tcPr>
          <w:p w14:paraId="494DFB65" w14:textId="00631869" w:rsidR="002C235B" w:rsidRDefault="0074348F" w:rsidP="002C235B">
            <w:r>
              <w:t>Yes</w:t>
            </w:r>
          </w:p>
        </w:tc>
      </w:tr>
      <w:tr w:rsidR="002C235B" w14:paraId="22FD5204" w14:textId="77777777" w:rsidTr="002C235B">
        <w:tc>
          <w:tcPr>
            <w:tcW w:w="4508" w:type="dxa"/>
          </w:tcPr>
          <w:p w14:paraId="010ED427" w14:textId="4FB4AB0E" w:rsidR="002C235B" w:rsidRDefault="002C235B" w:rsidP="002C235B">
            <w:pPr>
              <w:spacing w:before="240" w:after="240"/>
            </w:pPr>
            <w:r>
              <w:rPr>
                <w:sz w:val="20"/>
              </w:rPr>
              <w:t>Nature and timing of the possible decision</w:t>
            </w:r>
          </w:p>
        </w:tc>
        <w:tc>
          <w:tcPr>
            <w:tcW w:w="4508" w:type="dxa"/>
          </w:tcPr>
          <w:p w14:paraId="30ED8468" w14:textId="087B266A" w:rsidR="002C235B" w:rsidRDefault="00C90B25" w:rsidP="002C235B">
            <w:r>
              <w:t>In accordance with the Bulgarian legislation</w:t>
            </w:r>
          </w:p>
        </w:tc>
      </w:tr>
      <w:tr w:rsidR="002C235B" w14:paraId="232C4450" w14:textId="77777777" w:rsidTr="002C235B">
        <w:tc>
          <w:tcPr>
            <w:tcW w:w="4508" w:type="dxa"/>
          </w:tcPr>
          <w:p w14:paraId="6B402653" w14:textId="61130C3B" w:rsidR="002C235B" w:rsidRDefault="002C235B" w:rsidP="002C235B">
            <w:pPr>
              <w:spacing w:before="240" w:after="240"/>
            </w:pPr>
            <w:r>
              <w:rPr>
                <w:sz w:val="20"/>
              </w:rPr>
              <w:t>Process for approval of the proposed activity</w:t>
            </w:r>
          </w:p>
        </w:tc>
        <w:tc>
          <w:tcPr>
            <w:tcW w:w="4508" w:type="dxa"/>
          </w:tcPr>
          <w:p w14:paraId="170B2F8F" w14:textId="508EFEC9" w:rsidR="002C235B" w:rsidRDefault="00C90B25" w:rsidP="002C235B">
            <w:r>
              <w:t>In accordance with the Bulgarian legislation</w:t>
            </w:r>
          </w:p>
        </w:tc>
      </w:tr>
      <w:tr w:rsidR="002C235B" w14:paraId="1C08D4CB" w14:textId="77777777" w:rsidTr="002C235B">
        <w:tc>
          <w:tcPr>
            <w:tcW w:w="4508" w:type="dxa"/>
          </w:tcPr>
          <w:p w14:paraId="74456FD9" w14:textId="32C9239A" w:rsidR="002C235B" w:rsidRDefault="002C235B" w:rsidP="002C235B">
            <w:pPr>
              <w:spacing w:before="240" w:after="240"/>
            </w:pPr>
            <w:r>
              <w:rPr>
                <w:sz w:val="20"/>
              </w:rPr>
              <w:t>Additional information / comments</w:t>
            </w:r>
          </w:p>
        </w:tc>
        <w:tc>
          <w:tcPr>
            <w:tcW w:w="4508" w:type="dxa"/>
          </w:tcPr>
          <w:p w14:paraId="649D7169" w14:textId="77777777" w:rsidR="00C90B25" w:rsidRPr="00C90B25" w:rsidRDefault="00C90B25" w:rsidP="00C90B25">
            <w:r>
              <w:t>Further information on the EIA procedure can be found on the MoEW website:</w:t>
            </w:r>
          </w:p>
          <w:p w14:paraId="26E0E047" w14:textId="0714AB28" w:rsidR="002C235B" w:rsidRPr="00C90B25" w:rsidRDefault="00000000" w:rsidP="00C90B25">
            <w:hyperlink r:id="rId12" w:history="1">
              <w:r w:rsidR="00C90B25">
                <w:rPr>
                  <w:rStyle w:val="Hyperlink"/>
                </w:rPr>
                <w:t>www.moew.govemment.bg</w:t>
              </w:r>
            </w:hyperlink>
          </w:p>
        </w:tc>
      </w:tr>
      <w:tr w:rsidR="002C235B" w14:paraId="0ED927D7" w14:textId="77777777" w:rsidTr="002360B6">
        <w:tc>
          <w:tcPr>
            <w:tcW w:w="9016" w:type="dxa"/>
            <w:gridSpan w:val="2"/>
          </w:tcPr>
          <w:p w14:paraId="15D45BF9" w14:textId="6B0AEF37" w:rsidR="002C235B" w:rsidRDefault="002C235B" w:rsidP="002C235B">
            <w:pPr>
              <w:spacing w:before="240" w:after="240"/>
              <w:jc w:val="center"/>
            </w:pPr>
            <w:r>
              <w:rPr>
                <w:b/>
                <w:sz w:val="20"/>
              </w:rPr>
              <w:t>4.  INFORMATION ON THE PUBLIC PARTICIPATION PROCESS IN THE COUNTRY OF ORIGIN</w:t>
            </w:r>
          </w:p>
        </w:tc>
      </w:tr>
      <w:tr w:rsidR="002C235B" w14:paraId="4CB57753" w14:textId="77777777" w:rsidTr="002C235B">
        <w:tc>
          <w:tcPr>
            <w:tcW w:w="4508" w:type="dxa"/>
          </w:tcPr>
          <w:p w14:paraId="7874FD7A" w14:textId="06695B80" w:rsidR="002C235B" w:rsidRDefault="002C235B" w:rsidP="002C235B">
            <w:pPr>
              <w:spacing w:before="240" w:after="240"/>
            </w:pPr>
            <w:r>
              <w:rPr>
                <w:sz w:val="20"/>
              </w:rPr>
              <w:t>Public participation procedures</w:t>
            </w:r>
          </w:p>
        </w:tc>
        <w:tc>
          <w:tcPr>
            <w:tcW w:w="4508" w:type="dxa"/>
          </w:tcPr>
          <w:p w14:paraId="3B2D1CC5" w14:textId="378FD2CB" w:rsidR="002C235B" w:rsidRDefault="00C90B25" w:rsidP="00C90B25">
            <w:pPr>
              <w:jc w:val="both"/>
            </w:pPr>
            <w:r>
              <w:t xml:space="preserve">The contracting authority shall provide one copy of the EIA decision, together with all annexes, to the authorities designated by the competent body and via its website – Ministry of Environment, Water and Forests for the Republic of Romania. </w:t>
            </w:r>
          </w:p>
        </w:tc>
      </w:tr>
      <w:tr w:rsidR="002C235B" w14:paraId="19DA8902" w14:textId="77777777" w:rsidTr="002C235B">
        <w:tc>
          <w:tcPr>
            <w:tcW w:w="4508" w:type="dxa"/>
          </w:tcPr>
          <w:p w14:paraId="76008A64" w14:textId="12E7FBB2" w:rsidR="002C235B" w:rsidRDefault="002C235B" w:rsidP="002C235B">
            <w:pPr>
              <w:spacing w:before="240" w:after="240"/>
            </w:pPr>
            <w:r>
              <w:rPr>
                <w:sz w:val="20"/>
              </w:rPr>
              <w:t>Expected start and duration of public consultation</w:t>
            </w:r>
          </w:p>
        </w:tc>
        <w:tc>
          <w:tcPr>
            <w:tcW w:w="4508" w:type="dxa"/>
          </w:tcPr>
          <w:p w14:paraId="0DCA02CF" w14:textId="5FC7C8C3" w:rsidR="002C235B" w:rsidRPr="00C90B25" w:rsidRDefault="00C90B25" w:rsidP="00C90B25">
            <w:pPr>
              <w:jc w:val="both"/>
            </w:pPr>
            <w:r>
              <w:t>The start date shall be considered the date on which the information is published on the website of the Ministry of Environment, Water and Forests of Romania.</w:t>
            </w:r>
          </w:p>
        </w:tc>
      </w:tr>
      <w:tr w:rsidR="002C235B" w14:paraId="1E5DBAD8" w14:textId="77777777" w:rsidTr="002C235B">
        <w:tc>
          <w:tcPr>
            <w:tcW w:w="4508" w:type="dxa"/>
          </w:tcPr>
          <w:p w14:paraId="3BDA286A" w14:textId="68AF85FF" w:rsidR="002C235B" w:rsidRDefault="002C235B" w:rsidP="002C235B">
            <w:pPr>
              <w:spacing w:before="240" w:after="240"/>
            </w:pPr>
            <w:r>
              <w:rPr>
                <w:sz w:val="20"/>
              </w:rPr>
              <w:t>Additional information / comments</w:t>
            </w:r>
          </w:p>
        </w:tc>
        <w:tc>
          <w:tcPr>
            <w:tcW w:w="4508" w:type="dxa"/>
          </w:tcPr>
          <w:p w14:paraId="3B4D4506" w14:textId="6BF0C30F" w:rsidR="002C235B" w:rsidRPr="00C90B25" w:rsidRDefault="00C90B25" w:rsidP="002C235B">
            <w:r>
              <w:t>none</w:t>
            </w:r>
          </w:p>
        </w:tc>
      </w:tr>
      <w:tr w:rsidR="002C235B" w14:paraId="6C307CAD" w14:textId="77777777" w:rsidTr="00283DD3">
        <w:tc>
          <w:tcPr>
            <w:tcW w:w="9016" w:type="dxa"/>
            <w:gridSpan w:val="2"/>
          </w:tcPr>
          <w:p w14:paraId="7B1EEB29" w14:textId="17985F2A" w:rsidR="002C235B" w:rsidRDefault="002C235B" w:rsidP="002C235B">
            <w:pPr>
              <w:spacing w:before="240" w:after="240"/>
              <w:jc w:val="center"/>
            </w:pPr>
            <w:r>
              <w:rPr>
                <w:b/>
                <w:sz w:val="20"/>
              </w:rPr>
              <w:t>5.  DEADLINE FOR RESPONSE</w:t>
            </w:r>
          </w:p>
        </w:tc>
      </w:tr>
      <w:tr w:rsidR="002C235B" w14:paraId="06768C0C" w14:textId="77777777" w:rsidTr="002C235B">
        <w:tc>
          <w:tcPr>
            <w:tcW w:w="4508" w:type="dxa"/>
          </w:tcPr>
          <w:p w14:paraId="27F14885" w14:textId="63E8CBF5" w:rsidR="002C235B" w:rsidRDefault="002C235B" w:rsidP="002C235B">
            <w:pPr>
              <w:spacing w:before="240" w:after="240"/>
              <w:rPr>
                <w:b/>
                <w:bCs/>
                <w:sz w:val="20"/>
                <w:szCs w:val="20"/>
              </w:rPr>
            </w:pPr>
            <w:r>
              <w:rPr>
                <w:sz w:val="20"/>
              </w:rPr>
              <w:t>Date</w:t>
            </w:r>
          </w:p>
        </w:tc>
        <w:tc>
          <w:tcPr>
            <w:tcW w:w="4508" w:type="dxa"/>
          </w:tcPr>
          <w:p w14:paraId="6E77D6C1" w14:textId="2189E602" w:rsidR="00C90B25" w:rsidRDefault="00C90B25" w:rsidP="002C235B"/>
          <w:p w14:paraId="62BDEE5B" w14:textId="788F588F" w:rsidR="00C90B25" w:rsidRPr="00C90B25" w:rsidRDefault="00C90B25" w:rsidP="00C90B25">
            <w:pPr>
              <w:tabs>
                <w:tab w:val="left" w:pos="1200"/>
              </w:tabs>
            </w:pPr>
            <w:r>
              <w:t>Four weeks from the date of receipt of the notification.</w:t>
            </w:r>
          </w:p>
          <w:p w14:paraId="2B6E0C4D" w14:textId="77777777" w:rsidR="00C90B25" w:rsidRPr="00C90B25" w:rsidRDefault="00C90B25" w:rsidP="00C90B25">
            <w:pPr>
              <w:tabs>
                <w:tab w:val="left" w:pos="1200"/>
              </w:tabs>
              <w:rPr>
                <w:lang w:bidi="en-US"/>
              </w:rPr>
            </w:pPr>
          </w:p>
          <w:p w14:paraId="4249AEB9" w14:textId="1FC0BA70" w:rsidR="002C235B" w:rsidRPr="00C90B25" w:rsidRDefault="002C235B" w:rsidP="00C90B25">
            <w:pPr>
              <w:tabs>
                <w:tab w:val="left" w:pos="1200"/>
              </w:tabs>
            </w:pPr>
          </w:p>
        </w:tc>
      </w:tr>
    </w:tbl>
    <w:p w14:paraId="182212C7" w14:textId="77777777" w:rsidR="00A51C25" w:rsidRDefault="00A51C25"/>
    <w:sectPr w:rsidR="00A51C25" w:rsidSect="00A17E78">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2BE5" w14:textId="77777777" w:rsidR="000E027F" w:rsidRDefault="000E027F" w:rsidP="00E90377">
      <w:r>
        <w:separator/>
      </w:r>
    </w:p>
  </w:endnote>
  <w:endnote w:type="continuationSeparator" w:id="0">
    <w:p w14:paraId="068F4540" w14:textId="77777777" w:rsidR="000E027F" w:rsidRDefault="000E027F" w:rsidP="00E9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auto"/>
    <w:pitch w:val="variable"/>
    <w:sig w:usb0="E00002FF" w:usb1="5000785B"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Microsoft Sans Serif">
    <w:panose1 w:val="020B0604020202020204"/>
    <w:charset w:val="CC"/>
    <w:family w:val="swiss"/>
    <w:pitch w:val="variable"/>
    <w:sig w:usb0="E5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BC25" w14:textId="77777777" w:rsidR="000E027F" w:rsidRDefault="000E027F" w:rsidP="00E90377">
      <w:r>
        <w:separator/>
      </w:r>
    </w:p>
  </w:footnote>
  <w:footnote w:type="continuationSeparator" w:id="0">
    <w:p w14:paraId="40076068" w14:textId="77777777" w:rsidR="000E027F" w:rsidRDefault="000E027F" w:rsidP="00E90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80DD" w14:textId="450F377C" w:rsidR="004A5E52" w:rsidRPr="0056281E" w:rsidRDefault="00A17E78" w:rsidP="000216CB">
    <w:pPr>
      <w:pStyle w:val="FootnoteText"/>
      <w:rPr>
        <w:rFonts w:asciiTheme="majorBidi" w:hAnsiTheme="majorBidi" w:cstheme="majorBidi"/>
        <w:i/>
        <w:iCs/>
        <w:color w:val="2F5496" w:themeColor="accent1" w:themeShade="BF"/>
        <w:sz w:val="18"/>
        <w:szCs w:val="18"/>
      </w:rPr>
    </w:pPr>
    <w:r>
      <w:rPr>
        <w:rFonts w:asciiTheme="majorBidi" w:hAnsiTheme="majorBidi"/>
        <w:i/>
        <w:color w:val="2F5496" w:themeColor="accent1" w:themeShade="BF"/>
        <w:sz w:val="18"/>
      </w:rPr>
      <w:t xml:space="preserve">The format for notification to an affected Party of a proposed activity under article 3 of the Convention was adopted by the Meeting of the Parties to the Convention on Environmental Impact Assessment in a Transboundary Context by </w:t>
    </w:r>
    <w:r>
      <w:rPr>
        <w:rFonts w:asciiTheme="majorBidi" w:hAnsiTheme="majorBidi"/>
        <w:i/>
        <w:color w:val="2F5496" w:themeColor="accent1" w:themeShade="BF"/>
        <w:sz w:val="18"/>
      </w:rPr>
      <w:br/>
    </w:r>
    <w:hyperlink r:id="rId1" w:history="1">
      <w:r>
        <w:rPr>
          <w:rStyle w:val="Hyperlink"/>
          <w:rFonts w:asciiTheme="majorBidi" w:hAnsiTheme="majorBidi"/>
          <w:b/>
          <w:i/>
          <w:color w:val="2F5496" w:themeColor="accent1" w:themeShade="BF"/>
          <w:sz w:val="18"/>
        </w:rPr>
        <w:t>Decision I/4</w:t>
      </w:r>
    </w:hyperlink>
    <w:r>
      <w:rPr>
        <w:rFonts w:asciiTheme="majorBidi" w:hAnsiTheme="majorBidi"/>
        <w:i/>
        <w:color w:val="2F5496" w:themeColor="accent1" w:themeShade="BF"/>
        <w:sz w:val="18"/>
      </w:rPr>
      <w:t xml:space="preserve"> at its first meeting held in Oslo from 18 to 20 May 1998. </w:t>
    </w:r>
  </w:p>
  <w:p w14:paraId="42B9BD8D" w14:textId="2EEE8E24" w:rsidR="00A17E78" w:rsidRPr="0056281E" w:rsidRDefault="004A5E52" w:rsidP="000216CB">
    <w:pPr>
      <w:pStyle w:val="FootnoteText"/>
      <w:rPr>
        <w:rFonts w:asciiTheme="majorBidi" w:hAnsiTheme="majorBidi" w:cstheme="majorBidi"/>
        <w:i/>
        <w:iCs/>
        <w:color w:val="FF0000"/>
        <w:sz w:val="18"/>
        <w:szCs w:val="18"/>
      </w:rPr>
    </w:pPr>
    <w:r>
      <w:rPr>
        <w:rFonts w:asciiTheme="majorBidi" w:hAnsiTheme="majorBidi"/>
        <w:i/>
        <w:color w:val="2F5496" w:themeColor="accent1" w:themeShade="BF"/>
        <w:sz w:val="18"/>
      </w:rPr>
      <w:t xml:space="preserve">This document contains </w:t>
    </w:r>
    <w:bookmarkStart w:id="0" w:name="_Hlk35011178"/>
    <w:r>
      <w:rPr>
        <w:rFonts w:asciiTheme="majorBidi" w:hAnsiTheme="majorBidi"/>
        <w:i/>
        <w:color w:val="2F5496" w:themeColor="accent1" w:themeShade="BF"/>
        <w:sz w:val="18"/>
      </w:rPr>
      <w:t xml:space="preserve">excerpt </w:t>
    </w:r>
    <w:bookmarkEnd w:id="0"/>
    <w:r>
      <w:rPr>
        <w:rFonts w:asciiTheme="majorBidi" w:hAnsiTheme="majorBidi"/>
        <w:i/>
        <w:color w:val="2F5496" w:themeColor="accent1" w:themeShade="BF"/>
        <w:sz w:val="18"/>
      </w:rPr>
      <w:t xml:space="preserve">from Annex to Decision </w:t>
    </w:r>
    <w:r>
      <w:rPr>
        <w:i/>
        <w:color w:val="2F5496" w:themeColor="accent1" w:themeShade="BF"/>
        <w:sz w:val="18"/>
      </w:rPr>
      <w:t xml:space="preserve">I/4 (Table 1) and can only be used in conjunction with the full text of </w:t>
    </w:r>
    <w:r>
      <w:rPr>
        <w:rFonts w:asciiTheme="majorBidi" w:hAnsiTheme="majorBidi"/>
        <w:i/>
        <w:color w:val="2F5496" w:themeColor="accent1" w:themeShade="BF"/>
        <w:sz w:val="18"/>
      </w:rPr>
      <w:t xml:space="preserve">Decision </w:t>
    </w:r>
    <w:r>
      <w:rPr>
        <w:i/>
        <w:color w:val="2F5496" w:themeColor="accent1" w:themeShade="BF"/>
        <w:sz w:val="18"/>
      </w:rPr>
      <w:t>I/4 and not as a stand-alone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7794C"/>
    <w:multiLevelType w:val="hybridMultilevel"/>
    <w:tmpl w:val="39586624"/>
    <w:lvl w:ilvl="0" w:tplc="ABC42CB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9453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80"/>
    <w:rsid w:val="00003A25"/>
    <w:rsid w:val="000216CB"/>
    <w:rsid w:val="000363D6"/>
    <w:rsid w:val="0004667C"/>
    <w:rsid w:val="0005107A"/>
    <w:rsid w:val="00063955"/>
    <w:rsid w:val="000955CD"/>
    <w:rsid w:val="000A184C"/>
    <w:rsid w:val="000E027F"/>
    <w:rsid w:val="0014714A"/>
    <w:rsid w:val="001A5908"/>
    <w:rsid w:val="001C0F9C"/>
    <w:rsid w:val="001C3E69"/>
    <w:rsid w:val="00215803"/>
    <w:rsid w:val="00235A00"/>
    <w:rsid w:val="00244FEB"/>
    <w:rsid w:val="0025088D"/>
    <w:rsid w:val="00276305"/>
    <w:rsid w:val="002A756D"/>
    <w:rsid w:val="002B5B66"/>
    <w:rsid w:val="002C235B"/>
    <w:rsid w:val="002D4146"/>
    <w:rsid w:val="002E7312"/>
    <w:rsid w:val="002F05E6"/>
    <w:rsid w:val="002F6439"/>
    <w:rsid w:val="00340816"/>
    <w:rsid w:val="003510A2"/>
    <w:rsid w:val="003629C8"/>
    <w:rsid w:val="00365280"/>
    <w:rsid w:val="003854BF"/>
    <w:rsid w:val="00395D8C"/>
    <w:rsid w:val="003B6F30"/>
    <w:rsid w:val="003C718E"/>
    <w:rsid w:val="003E480A"/>
    <w:rsid w:val="004174AC"/>
    <w:rsid w:val="00433501"/>
    <w:rsid w:val="00456814"/>
    <w:rsid w:val="00460522"/>
    <w:rsid w:val="0046570F"/>
    <w:rsid w:val="00466D14"/>
    <w:rsid w:val="004A5E52"/>
    <w:rsid w:val="00507DA0"/>
    <w:rsid w:val="00507F7B"/>
    <w:rsid w:val="00513037"/>
    <w:rsid w:val="005219B8"/>
    <w:rsid w:val="005623AF"/>
    <w:rsid w:val="0056281E"/>
    <w:rsid w:val="00595DF1"/>
    <w:rsid w:val="005E411F"/>
    <w:rsid w:val="005F6DF0"/>
    <w:rsid w:val="00653171"/>
    <w:rsid w:val="00672198"/>
    <w:rsid w:val="006E2D05"/>
    <w:rsid w:val="0074348F"/>
    <w:rsid w:val="00753DBB"/>
    <w:rsid w:val="00765927"/>
    <w:rsid w:val="00785FDA"/>
    <w:rsid w:val="007A5C54"/>
    <w:rsid w:val="007C4BC9"/>
    <w:rsid w:val="007F0F35"/>
    <w:rsid w:val="00816539"/>
    <w:rsid w:val="00884DE1"/>
    <w:rsid w:val="00892AC3"/>
    <w:rsid w:val="008972D7"/>
    <w:rsid w:val="008F0419"/>
    <w:rsid w:val="0091153C"/>
    <w:rsid w:val="009162E9"/>
    <w:rsid w:val="0096472A"/>
    <w:rsid w:val="00976FC5"/>
    <w:rsid w:val="009B04B8"/>
    <w:rsid w:val="009B4880"/>
    <w:rsid w:val="00A17E78"/>
    <w:rsid w:val="00A51C25"/>
    <w:rsid w:val="00A7626F"/>
    <w:rsid w:val="00A81FAA"/>
    <w:rsid w:val="00AA1AD9"/>
    <w:rsid w:val="00AA6D77"/>
    <w:rsid w:val="00AD0F8D"/>
    <w:rsid w:val="00AF2FDF"/>
    <w:rsid w:val="00B37404"/>
    <w:rsid w:val="00B83097"/>
    <w:rsid w:val="00B87456"/>
    <w:rsid w:val="00B911CC"/>
    <w:rsid w:val="00BE08BE"/>
    <w:rsid w:val="00BF5DF5"/>
    <w:rsid w:val="00C14C74"/>
    <w:rsid w:val="00C21E14"/>
    <w:rsid w:val="00C52F78"/>
    <w:rsid w:val="00C90B25"/>
    <w:rsid w:val="00CA1CF8"/>
    <w:rsid w:val="00CB11D2"/>
    <w:rsid w:val="00D42ED3"/>
    <w:rsid w:val="00D55EDD"/>
    <w:rsid w:val="00D605E4"/>
    <w:rsid w:val="00D8294F"/>
    <w:rsid w:val="00DA33A2"/>
    <w:rsid w:val="00DD3F96"/>
    <w:rsid w:val="00E028B6"/>
    <w:rsid w:val="00E153F3"/>
    <w:rsid w:val="00E15407"/>
    <w:rsid w:val="00E267DF"/>
    <w:rsid w:val="00E511EB"/>
    <w:rsid w:val="00E85119"/>
    <w:rsid w:val="00E90377"/>
    <w:rsid w:val="00E97F3B"/>
    <w:rsid w:val="00EB6B93"/>
    <w:rsid w:val="00ED12F5"/>
    <w:rsid w:val="00EF7537"/>
    <w:rsid w:val="00F042C7"/>
    <w:rsid w:val="00F82202"/>
    <w:rsid w:val="00FD0810"/>
    <w:rsid w:val="00FF57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9F1E"/>
  <w15:chartTrackingRefBased/>
  <w15:docId w15:val="{E4CBF201-A712-4C67-89B7-316A77C8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77"/>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377"/>
    <w:pPr>
      <w:tabs>
        <w:tab w:val="center" w:pos="4513"/>
        <w:tab w:val="right" w:pos="9026"/>
      </w:tabs>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E90377"/>
  </w:style>
  <w:style w:type="paragraph" w:styleId="Footer">
    <w:name w:val="footer"/>
    <w:basedOn w:val="Normal"/>
    <w:link w:val="FooterChar"/>
    <w:uiPriority w:val="99"/>
    <w:unhideWhenUsed/>
    <w:rsid w:val="00E90377"/>
    <w:pPr>
      <w:tabs>
        <w:tab w:val="center" w:pos="4513"/>
        <w:tab w:val="right" w:pos="9026"/>
      </w:tabs>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E90377"/>
  </w:style>
  <w:style w:type="paragraph" w:styleId="FootnoteText">
    <w:name w:val="footnote text"/>
    <w:basedOn w:val="Normal"/>
    <w:link w:val="FootnoteTextChar"/>
    <w:uiPriority w:val="99"/>
    <w:unhideWhenUsed/>
    <w:rsid w:val="008972D7"/>
    <w:rPr>
      <w:sz w:val="20"/>
      <w:szCs w:val="20"/>
    </w:rPr>
  </w:style>
  <w:style w:type="character" w:customStyle="1" w:styleId="FootnoteTextChar">
    <w:name w:val="Footnote Text Char"/>
    <w:basedOn w:val="DefaultParagraphFont"/>
    <w:link w:val="FootnoteText"/>
    <w:uiPriority w:val="99"/>
    <w:rsid w:val="008972D7"/>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8972D7"/>
    <w:rPr>
      <w:vertAlign w:val="superscript"/>
    </w:rPr>
  </w:style>
  <w:style w:type="character" w:styleId="Hyperlink">
    <w:name w:val="Hyperlink"/>
    <w:basedOn w:val="DefaultParagraphFont"/>
    <w:uiPriority w:val="99"/>
    <w:unhideWhenUsed/>
    <w:rsid w:val="002F6439"/>
    <w:rPr>
      <w:color w:val="0563C1" w:themeColor="hyperlink"/>
      <w:u w:val="single"/>
    </w:rPr>
  </w:style>
  <w:style w:type="table" w:styleId="TableGrid">
    <w:name w:val="Table Grid"/>
    <w:basedOn w:val="TableNormal"/>
    <w:uiPriority w:val="39"/>
    <w:rsid w:val="00ED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ocanulm@yaho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ew.govemment.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ura@mmediu.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ert_ood@abv.bg" TargetMode="External"/><Relationship Id="rId4" Type="http://schemas.openxmlformats.org/officeDocument/2006/relationships/settings" Target="settings.xml"/><Relationship Id="rId9" Type="http://schemas.openxmlformats.org/officeDocument/2006/relationships/hyperlink" Target="mailto:didocanulm@yaho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unece.org/fileadmin/DAM/env/documents/1998/eia/mp.eia.1998.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2AB-36A6-44E2-9F08-1789985F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4609</Words>
  <Characters>25122</Characters>
  <Application>Microsoft Office Word</Application>
  <DocSecurity>0</DocSecurity>
  <Lines>810</Lines>
  <Paragraphs>239</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Molodtsova</dc:creator>
  <cp:keywords/>
  <dc:description/>
  <cp:lastModifiedBy>SITALCES_TRANSLATIONS SITALCES_TRANSLATIONS</cp:lastModifiedBy>
  <cp:revision>15</cp:revision>
  <dcterms:created xsi:type="dcterms:W3CDTF">2026-04-01T06:39:00Z</dcterms:created>
  <dcterms:modified xsi:type="dcterms:W3CDTF">2026-04-07T07:45:00Z</dcterms:modified>
</cp:coreProperties>
</file>