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DDF0" w14:textId="0766DC4C" w:rsidR="00E90377" w:rsidRDefault="00E90377" w:rsidP="00DF4FAE">
      <w:pPr>
        <w:jc w:val="center"/>
        <w:rPr>
          <w:b/>
          <w:bCs/>
        </w:rPr>
      </w:pPr>
      <w:r>
        <w:rPr>
          <w:b/>
        </w:rPr>
        <w:t>Notification to an affected party of a proposed activity</w:t>
      </w:r>
      <w:r>
        <w:rPr>
          <w:b/>
        </w:rPr>
        <w:br/>
        <w:t>under article 3 of the Convention</w:t>
      </w:r>
    </w:p>
    <w:p w14:paraId="5313BA67" w14:textId="36E2D437" w:rsidR="00456814" w:rsidRDefault="00456814" w:rsidP="00456814">
      <w:pPr>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4508"/>
        <w:gridCol w:w="4508"/>
      </w:tblGrid>
      <w:tr w:rsidR="00ED12F5" w:rsidRPr="00DF4FAE" w14:paraId="0151080C" w14:textId="77777777" w:rsidTr="002F3155">
        <w:tc>
          <w:tcPr>
            <w:tcW w:w="9016" w:type="dxa"/>
            <w:gridSpan w:val="2"/>
            <w:vAlign w:val="center"/>
          </w:tcPr>
          <w:p w14:paraId="06FF0AE1" w14:textId="130C44F3" w:rsidR="00ED12F5" w:rsidRPr="00DF4FAE" w:rsidRDefault="00ED12F5" w:rsidP="002F3155">
            <w:pPr>
              <w:spacing w:before="120" w:after="120"/>
              <w:jc w:val="center"/>
              <w:rPr>
                <w:b/>
                <w:bCs/>
              </w:rPr>
            </w:pPr>
            <w:r>
              <w:rPr>
                <w:b/>
              </w:rPr>
              <w:t>1. INFORMATION ON THE PROPOSED ACTIVITY</w:t>
            </w:r>
          </w:p>
        </w:tc>
      </w:tr>
      <w:tr w:rsidR="00ED12F5" w:rsidRPr="00DF4FAE" w14:paraId="43D8E32F" w14:textId="77777777" w:rsidTr="002F3155">
        <w:tc>
          <w:tcPr>
            <w:tcW w:w="9016" w:type="dxa"/>
            <w:gridSpan w:val="2"/>
            <w:vAlign w:val="center"/>
          </w:tcPr>
          <w:p w14:paraId="6B47FD9A" w14:textId="45AFC7E6" w:rsidR="00ED12F5" w:rsidRPr="00DF4FAE" w:rsidRDefault="00ED12F5" w:rsidP="002F3155">
            <w:pPr>
              <w:spacing w:before="120" w:after="120"/>
              <w:rPr>
                <w:b/>
                <w:bCs/>
              </w:rPr>
            </w:pPr>
            <w:proofErr w:type="gramStart"/>
            <w:r>
              <w:rPr>
                <w:b/>
              </w:rPr>
              <w:t xml:space="preserve">( </w:t>
            </w:r>
            <w:proofErr w:type="spellStart"/>
            <w:r>
              <w:rPr>
                <w:b/>
              </w:rPr>
              <w:t>i</w:t>
            </w:r>
            <w:proofErr w:type="spellEnd"/>
            <w:proofErr w:type="gramEnd"/>
            <w:r>
              <w:rPr>
                <w:b/>
              </w:rPr>
              <w:t xml:space="preserve"> ) Information on the nature of the proposed activity</w:t>
            </w:r>
          </w:p>
        </w:tc>
      </w:tr>
      <w:tr w:rsidR="00ED12F5" w:rsidRPr="00DF4FAE" w14:paraId="0C20EE13" w14:textId="77777777" w:rsidTr="002F3155">
        <w:tc>
          <w:tcPr>
            <w:tcW w:w="4508" w:type="dxa"/>
          </w:tcPr>
          <w:p w14:paraId="72906966" w14:textId="558F3C22" w:rsidR="00ED12F5" w:rsidRPr="00DF4FAE" w:rsidRDefault="00ED12F5" w:rsidP="002F3155">
            <w:pPr>
              <w:spacing w:before="60" w:after="240"/>
              <w:rPr>
                <w:b/>
                <w:bCs/>
              </w:rPr>
            </w:pPr>
            <w:r>
              <w:t>Type of activity proposed</w:t>
            </w:r>
          </w:p>
        </w:tc>
        <w:tc>
          <w:tcPr>
            <w:tcW w:w="4508" w:type="dxa"/>
            <w:vAlign w:val="center"/>
          </w:tcPr>
          <w:p w14:paraId="29285A67" w14:textId="0A0C1247" w:rsidR="00ED12F5" w:rsidRPr="00DF4FAE" w:rsidRDefault="00CD1AD4" w:rsidP="002F3155">
            <w:r>
              <w:t>Construction of a facility for additional service water supply – Cooling water intake canal 2.</w:t>
            </w:r>
          </w:p>
        </w:tc>
      </w:tr>
      <w:tr w:rsidR="00AA1AD9" w:rsidRPr="00DF4FAE" w14:paraId="420C9034" w14:textId="77777777" w:rsidTr="002F3155">
        <w:tc>
          <w:tcPr>
            <w:tcW w:w="4508" w:type="dxa"/>
          </w:tcPr>
          <w:p w14:paraId="6659FB68" w14:textId="27C2A606" w:rsidR="00AA1AD9" w:rsidRPr="00DF4FAE" w:rsidRDefault="00AA1AD9" w:rsidP="002F3155">
            <w:pPr>
              <w:spacing w:before="120" w:after="120"/>
              <w:rPr>
                <w:b/>
                <w:bCs/>
              </w:rPr>
            </w:pPr>
            <w:r>
              <w:t>Is the proposed activity listed in Appendix I to the Convention?</w:t>
            </w:r>
          </w:p>
        </w:tc>
        <w:tc>
          <w:tcPr>
            <w:tcW w:w="4508" w:type="dxa"/>
            <w:vAlign w:val="center"/>
          </w:tcPr>
          <w:p w14:paraId="250EC0F0" w14:textId="0CF0BD88" w:rsidR="00AA1AD9" w:rsidRPr="00DF4FAE" w:rsidRDefault="00AA1AD9" w:rsidP="002F3155">
            <w:pPr>
              <w:ind w:left="625"/>
              <w:rPr>
                <w:b/>
                <w:bCs/>
              </w:rPr>
            </w:pPr>
            <w:r>
              <w:t xml:space="preserve">   yes   </w:t>
            </w:r>
            <w:sdt>
              <w:sdtPr>
                <w:id w:val="1327934782"/>
                <w14:checkbox>
                  <w14:checked w14:val="0"/>
                  <w14:checkedState w14:val="2612" w14:font="MS Gothic"/>
                  <w14:uncheckedState w14:val="2610" w14:font="MS Gothic"/>
                </w14:checkbox>
              </w:sdtPr>
              <w:sdtEndPr/>
              <w:sdtContent>
                <w:r w:rsidR="00DB7A72" w:rsidRPr="00DF4FAE">
                  <w:rPr>
                    <w:rFonts w:ascii="Segoe UI Symbol" w:eastAsia="MS Gothic" w:hAnsi="Segoe UI Symbol" w:cs="Segoe UI Symbol"/>
                  </w:rPr>
                  <w:t>☐</w:t>
                </w:r>
              </w:sdtContent>
            </w:sdt>
            <w:r>
              <w:t xml:space="preserve">              </w:t>
            </w:r>
            <w:r>
              <w:rPr>
                <w:b/>
              </w:rPr>
              <w:t>no</w:t>
            </w:r>
            <w:r>
              <w:t xml:space="preserve">   </w:t>
            </w:r>
            <w:sdt>
              <w:sdtPr>
                <w:rPr>
                  <w:b/>
                  <w:bCs/>
                </w:rPr>
                <w:id w:val="-143193960"/>
                <w14:checkbox>
                  <w14:checked w14:val="1"/>
                  <w14:checkedState w14:val="2612" w14:font="MS Gothic"/>
                  <w14:uncheckedState w14:val="2610" w14:font="MS Gothic"/>
                </w14:checkbox>
              </w:sdtPr>
              <w:sdtEndPr/>
              <w:sdtContent>
                <w:r w:rsidR="00F93695" w:rsidRPr="002F560F">
                  <w:rPr>
                    <w:b/>
                    <w:bCs/>
                  </w:rPr>
                  <w:t>☒</w:t>
                </w:r>
              </w:sdtContent>
            </w:sdt>
          </w:p>
        </w:tc>
      </w:tr>
      <w:tr w:rsidR="00AA1AD9" w:rsidRPr="00DF4FAE" w14:paraId="2A3716A8" w14:textId="77777777" w:rsidTr="002F3155">
        <w:tc>
          <w:tcPr>
            <w:tcW w:w="4508" w:type="dxa"/>
          </w:tcPr>
          <w:p w14:paraId="7704ECA2" w14:textId="78F695CF"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after="240"/>
              <w:rPr>
                <w:b/>
                <w:bCs/>
              </w:rPr>
            </w:pPr>
            <w:r>
              <w:t>Scope of proposed activity</w:t>
            </w:r>
            <w:r>
              <w:br/>
              <w:t>(e.g. main activity and any/all peripheral activities requiring assessment)</w:t>
            </w:r>
          </w:p>
        </w:tc>
        <w:tc>
          <w:tcPr>
            <w:tcW w:w="4508" w:type="dxa"/>
            <w:vAlign w:val="center"/>
          </w:tcPr>
          <w:p w14:paraId="2B58272E" w14:textId="77777777" w:rsidR="00AA1AD9" w:rsidRPr="00DF4FAE" w:rsidRDefault="00CD1AD4" w:rsidP="002F3155">
            <w:pPr>
              <w:spacing w:before="60" w:after="60"/>
            </w:pPr>
            <w:r>
              <w:t xml:space="preserve">The investment proposal envisages the construction of a complex of facilities which will be used to supply the required volume of service water for the production needs of </w:t>
            </w:r>
            <w:proofErr w:type="spellStart"/>
            <w:r>
              <w:t>Kozloduy</w:t>
            </w:r>
            <w:proofErr w:type="spellEnd"/>
            <w:r>
              <w:t xml:space="preserve"> NPP from the Danube River.</w:t>
            </w:r>
          </w:p>
          <w:p w14:paraId="65A9DC07" w14:textId="77777777" w:rsidR="00BF608E" w:rsidRPr="00DF4FAE" w:rsidRDefault="00BF608E" w:rsidP="002F3155">
            <w:pPr>
              <w:spacing w:before="60" w:after="60"/>
            </w:pPr>
            <w:r>
              <w:t>All of the facilities listed below are subject to design and construction for the needs of the investment proposal:</w:t>
            </w:r>
          </w:p>
          <w:p w14:paraId="406AE617" w14:textId="0CBDD5CD" w:rsidR="00BF608E" w:rsidRPr="00DF4FAE" w:rsidRDefault="00BF608E" w:rsidP="002F3155">
            <w:pPr>
              <w:spacing w:before="60" w:after="60"/>
            </w:pPr>
            <w:r>
              <w:t xml:space="preserve"> - Water intake facility </w:t>
            </w:r>
          </w:p>
          <w:p w14:paraId="6009C942" w14:textId="0A1E4F0C" w:rsidR="00BF608E" w:rsidRPr="00DF4FAE" w:rsidRDefault="00BF608E" w:rsidP="002F3155">
            <w:pPr>
              <w:spacing w:before="60" w:after="60"/>
            </w:pPr>
            <w:r>
              <w:t xml:space="preserve"> - Supply canal </w:t>
            </w:r>
          </w:p>
          <w:p w14:paraId="727ADF10" w14:textId="6FFFDE5B" w:rsidR="00BF608E" w:rsidRPr="00DF4FAE" w:rsidRDefault="00BF608E" w:rsidP="002F3155">
            <w:pPr>
              <w:spacing w:before="60" w:after="60"/>
            </w:pPr>
            <w:r>
              <w:t xml:space="preserve"> - Intake chamber </w:t>
            </w:r>
          </w:p>
          <w:p w14:paraId="6ECC4CD7" w14:textId="1799D81E" w:rsidR="00BF608E" w:rsidRPr="00DF4FAE" w:rsidRDefault="00BF608E" w:rsidP="002F3155">
            <w:pPr>
              <w:spacing w:before="60" w:after="60"/>
            </w:pPr>
            <w:r>
              <w:t xml:space="preserve"> - Bank Pump Station </w:t>
            </w:r>
          </w:p>
          <w:p w14:paraId="2EACC0D4" w14:textId="6FC03105" w:rsidR="00BF608E" w:rsidRPr="00DF4FAE" w:rsidRDefault="00BF608E" w:rsidP="002F3155">
            <w:pPr>
              <w:spacing w:before="60" w:after="60"/>
            </w:pPr>
            <w:r>
              <w:t xml:space="preserve"> - Cooling water intake canal 2 </w:t>
            </w:r>
          </w:p>
          <w:p w14:paraId="346E4E12" w14:textId="44132509" w:rsidR="00BF608E" w:rsidRPr="00DF4FAE" w:rsidRDefault="00BF608E" w:rsidP="002F3155">
            <w:pPr>
              <w:spacing w:before="60" w:after="60"/>
            </w:pPr>
            <w:r>
              <w:t xml:space="preserve"> - Control facility </w:t>
            </w:r>
          </w:p>
          <w:p w14:paraId="06B5E634" w14:textId="7DE62773" w:rsidR="00BF608E" w:rsidRPr="00DF4FAE" w:rsidRDefault="00BF608E" w:rsidP="002F3155">
            <w:pPr>
              <w:spacing w:before="60" w:after="60"/>
            </w:pPr>
            <w:r>
              <w:t xml:space="preserve"> - Switchyard </w:t>
            </w:r>
          </w:p>
          <w:p w14:paraId="0B4D0E51" w14:textId="1E96140C" w:rsidR="00BF608E" w:rsidRPr="00DF4FAE" w:rsidRDefault="00BF608E" w:rsidP="002F3155">
            <w:pPr>
              <w:spacing w:before="60" w:after="60"/>
            </w:pPr>
            <w:r>
              <w:t xml:space="preserve"> - Heated water battery </w:t>
            </w:r>
          </w:p>
          <w:p w14:paraId="262B0076" w14:textId="3BB5A102" w:rsidR="00BF608E" w:rsidRPr="00DF4FAE" w:rsidRDefault="00BF608E" w:rsidP="002F3155">
            <w:pPr>
              <w:spacing w:before="60" w:after="60"/>
            </w:pPr>
            <w:r>
              <w:t xml:space="preserve"> - Overflow weir </w:t>
            </w:r>
          </w:p>
          <w:p w14:paraId="5ABD69D6" w14:textId="09F85A15" w:rsidR="00BF608E" w:rsidRPr="00DF4FAE" w:rsidRDefault="00BF608E" w:rsidP="002F3155">
            <w:pPr>
              <w:spacing w:before="60" w:after="60"/>
            </w:pPr>
            <w:r>
              <w:t xml:space="preserve"> - Diversion dike </w:t>
            </w:r>
          </w:p>
          <w:p w14:paraId="12F70993" w14:textId="36441BB2" w:rsidR="00BF608E" w:rsidRPr="00DF4FAE" w:rsidRDefault="00BF608E" w:rsidP="002F3155">
            <w:pPr>
              <w:spacing w:before="60" w:after="60"/>
            </w:pPr>
            <w:r>
              <w:t xml:space="preserve"> - Waste water treatment plants </w:t>
            </w:r>
          </w:p>
        </w:tc>
      </w:tr>
      <w:tr w:rsidR="00AA1AD9" w:rsidRPr="00DF4FAE" w14:paraId="7E3A40A2" w14:textId="77777777" w:rsidTr="002F3155">
        <w:tc>
          <w:tcPr>
            <w:tcW w:w="4508" w:type="dxa"/>
          </w:tcPr>
          <w:p w14:paraId="7B8D973B"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t>Scale of proposed activity</w:t>
            </w:r>
          </w:p>
          <w:p w14:paraId="1E6D0519" w14:textId="01EFA9E0" w:rsidR="00AA1AD9" w:rsidRPr="00DF4FAE" w:rsidRDefault="00AA1AD9" w:rsidP="002F3155">
            <w:pPr>
              <w:spacing w:after="240"/>
              <w:rPr>
                <w:b/>
                <w:bCs/>
              </w:rPr>
            </w:pPr>
            <w:r>
              <w:t>(e.g. size, production capacity)</w:t>
            </w:r>
          </w:p>
        </w:tc>
        <w:tc>
          <w:tcPr>
            <w:tcW w:w="4508" w:type="dxa"/>
            <w:vAlign w:val="center"/>
          </w:tcPr>
          <w:p w14:paraId="4B715F4D" w14:textId="77777777" w:rsidR="00464D33" w:rsidRDefault="009408D8" w:rsidP="002F3155">
            <w:pPr>
              <w:spacing w:before="60" w:after="60"/>
            </w:pPr>
            <w:r>
              <w:t xml:space="preserve">The investment proposal will be implemented within the boundaries of the site envisaged for its construction. </w:t>
            </w:r>
          </w:p>
          <w:p w14:paraId="7B571D3A" w14:textId="629A1054" w:rsidR="003F2BA5" w:rsidRDefault="003F2BA5" w:rsidP="002F3155">
            <w:pPr>
              <w:spacing w:before="60" w:after="60"/>
            </w:pPr>
            <w:r>
              <w:t xml:space="preserve">Cooling water intake canal 2 will be designed from the receiving waters to the Circulation pump station 4 (CPS 4) at </w:t>
            </w:r>
            <w:proofErr w:type="spellStart"/>
            <w:r>
              <w:t>Kozldouy</w:t>
            </w:r>
            <w:proofErr w:type="spellEnd"/>
            <w:r>
              <w:t xml:space="preserve"> NPP site. The canal is intended to be about 2,500 m long. The cross-section will be rectangular with width of 16.00 m and height of 8.00 m. The elevation of the bottom of the canal will be 26.25 which coincides with the elevation of the intake chamber of CPS 1, 2, 3 and 4. The Cooling water intake canal 2 was studied for supplying cold water for Unit 5 and Unit 6 for water amount from Q=40m</w:t>
            </w:r>
            <w:r>
              <w:rPr>
                <w:vertAlign w:val="superscript"/>
              </w:rPr>
              <w:t>3</w:t>
            </w:r>
            <w:r>
              <w:t>/sec. to Q=110m</w:t>
            </w:r>
            <w:r>
              <w:rPr>
                <w:vertAlign w:val="superscript"/>
              </w:rPr>
              <w:t>3</w:t>
            </w:r>
            <w:r>
              <w:t>/sec.</w:t>
            </w:r>
          </w:p>
          <w:p w14:paraId="7C67459D" w14:textId="77777777" w:rsidR="000F41EA" w:rsidRPr="000F41EA" w:rsidRDefault="000F41EA" w:rsidP="002F3155">
            <w:pPr>
              <w:spacing w:before="60" w:after="60"/>
            </w:pPr>
            <w:r>
              <w:lastRenderedPageBreak/>
              <w:t xml:space="preserve">The Cooling water intake canal 2 is a hydro-engineering facility with reinforced concrete structure; it is a mirror image of the already built Cooling water discharge canal 2. The overall cross-section of the two canals is "Ш"-shaped (comb-shaped). </w:t>
            </w:r>
          </w:p>
          <w:p w14:paraId="6278E461" w14:textId="77777777" w:rsidR="000F41EA" w:rsidRDefault="000F41EA" w:rsidP="002F3155">
            <w:pPr>
              <w:spacing w:before="60" w:after="60"/>
            </w:pPr>
            <w:r>
              <w:t>As a static scheme, the Cooling water intake canal 2 will perform as a cantilever under the effect of the water pressure.</w:t>
            </w:r>
          </w:p>
          <w:p w14:paraId="5E5918D9" w14:textId="77777777" w:rsidR="00464D33" w:rsidRPr="00464D33" w:rsidRDefault="00464D33" w:rsidP="002F3155">
            <w:pPr>
              <w:spacing w:before="60" w:after="60"/>
            </w:pPr>
            <w:r>
              <w:t>To provide the required amount of cooling water, a Bank Pump Station 4 will be constructed with the following facilities:</w:t>
            </w:r>
          </w:p>
          <w:p w14:paraId="1B1B16AC" w14:textId="16696852" w:rsidR="00464D33" w:rsidRPr="00464D33" w:rsidRDefault="00464D33" w:rsidP="002F3155">
            <w:pPr>
              <w:spacing w:before="60" w:after="60"/>
            </w:pPr>
            <w:r>
              <w:t xml:space="preserve"> - Water intake facility </w:t>
            </w:r>
          </w:p>
          <w:p w14:paraId="79419627" w14:textId="25A80F07" w:rsidR="00464D33" w:rsidRPr="00464D33" w:rsidRDefault="00464D33" w:rsidP="002F3155">
            <w:pPr>
              <w:spacing w:before="60" w:after="60"/>
            </w:pPr>
            <w:r>
              <w:t xml:space="preserve"> - Intake chamber </w:t>
            </w:r>
          </w:p>
          <w:p w14:paraId="642A55EB" w14:textId="78C3E528" w:rsidR="00464D33" w:rsidRPr="00464D33" w:rsidRDefault="00464D33" w:rsidP="002F3155">
            <w:pPr>
              <w:spacing w:before="60" w:after="60"/>
            </w:pPr>
            <w:r>
              <w:t xml:space="preserve"> - Pump station </w:t>
            </w:r>
          </w:p>
          <w:p w14:paraId="472F0D09" w14:textId="5D72DFBD" w:rsidR="00464D33" w:rsidRPr="00464D33" w:rsidRDefault="00464D33" w:rsidP="002F3155">
            <w:pPr>
              <w:spacing w:before="60" w:after="60"/>
            </w:pPr>
            <w:r>
              <w:t xml:space="preserve"> - Control facility </w:t>
            </w:r>
          </w:p>
          <w:p w14:paraId="7313E4FD" w14:textId="6D8856CA" w:rsidR="00464D33" w:rsidRPr="00464D33" w:rsidRDefault="00464D33" w:rsidP="002F3155">
            <w:pPr>
              <w:spacing w:before="60" w:after="60"/>
            </w:pPr>
            <w:r>
              <w:t xml:space="preserve"> - Switchyard </w:t>
            </w:r>
          </w:p>
          <w:p w14:paraId="4C3C2F50" w14:textId="77777777" w:rsidR="00464D33" w:rsidRDefault="00464D33" w:rsidP="002F3155">
            <w:pPr>
              <w:spacing w:before="60" w:after="60"/>
            </w:pPr>
            <w:r>
              <w:t xml:space="preserve"> - Heated water battery</w:t>
            </w:r>
          </w:p>
          <w:p w14:paraId="5769504B" w14:textId="61ABBB15" w:rsidR="00464D33" w:rsidRPr="00DF4FAE" w:rsidRDefault="00464D33" w:rsidP="002F3155">
            <w:pPr>
              <w:spacing w:before="60" w:after="60"/>
            </w:pPr>
            <w:r>
              <w:t>The system of facilities for additional service water supply will allow the supply of 110 m</w:t>
            </w:r>
            <w:r>
              <w:rPr>
                <w:vertAlign w:val="superscript"/>
              </w:rPr>
              <w:t>3</w:t>
            </w:r>
            <w:r>
              <w:t xml:space="preserve">/sec of water from the water source, the Danube River, to the </w:t>
            </w:r>
            <w:proofErr w:type="spellStart"/>
            <w:r>
              <w:t>Kozloduy</w:t>
            </w:r>
            <w:proofErr w:type="spellEnd"/>
            <w:r>
              <w:t xml:space="preserve"> NPP site for service water consumers. The discharge of the hot water from </w:t>
            </w:r>
            <w:proofErr w:type="spellStart"/>
            <w:r>
              <w:t>Kozloduy</w:t>
            </w:r>
            <w:proofErr w:type="spellEnd"/>
            <w:r>
              <w:t xml:space="preserve"> NPP to the receiving waters of the Danube will be carried out through the existing facility Cooling water discharge canal 2 and/or Cooling water discharge canal 1, with a maximum flow of 110 m</w:t>
            </w:r>
            <w:r>
              <w:rPr>
                <w:vertAlign w:val="superscript"/>
              </w:rPr>
              <w:t>3</w:t>
            </w:r>
            <w:r>
              <w:t>/s.</w:t>
            </w:r>
          </w:p>
        </w:tc>
      </w:tr>
      <w:tr w:rsidR="00AA1AD9" w:rsidRPr="00DF4FAE" w14:paraId="5FA4E40B" w14:textId="77777777" w:rsidTr="002F3155">
        <w:tc>
          <w:tcPr>
            <w:tcW w:w="4508" w:type="dxa"/>
          </w:tcPr>
          <w:p w14:paraId="32342107"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lastRenderedPageBreak/>
              <w:t>Description of proposed activity</w:t>
            </w:r>
          </w:p>
          <w:p w14:paraId="1BCE7C91" w14:textId="14E3CC28" w:rsidR="00AA1AD9" w:rsidRPr="00DF4FAE" w:rsidRDefault="00AA1AD9" w:rsidP="002F3155">
            <w:pPr>
              <w:spacing w:after="240"/>
              <w:rPr>
                <w:b/>
                <w:bCs/>
              </w:rPr>
            </w:pPr>
            <w:r>
              <w:t>(e.g. technology used)</w:t>
            </w:r>
          </w:p>
        </w:tc>
        <w:tc>
          <w:tcPr>
            <w:tcW w:w="4508" w:type="dxa"/>
            <w:vAlign w:val="center"/>
          </w:tcPr>
          <w:p w14:paraId="7BD48A86" w14:textId="7DD7F51E" w:rsidR="003F2BA5" w:rsidRDefault="000F41EA" w:rsidP="002F3155">
            <w:pPr>
              <w:spacing w:before="60" w:after="60"/>
            </w:pPr>
            <w:r>
              <w:t>The investment project will consider all possible methods of construction, and they will be in accordance with the current regulations in the Republic of Bulgaria. All the requirements of the current regulations will be observed during the individual processes and activities related to the construction of Additional service water supply – Cooling water intake canal 2.</w:t>
            </w:r>
          </w:p>
          <w:p w14:paraId="5B8D87F0" w14:textId="6BD0C4A7" w:rsidR="000F41EA" w:rsidRPr="00DF4FAE" w:rsidRDefault="000F41EA" w:rsidP="002F3155">
            <w:pPr>
              <w:spacing w:before="60" w:after="60"/>
            </w:pPr>
            <w:r>
              <w:t xml:space="preserve">The excavation and filling activities will be carried out along the Cooling water intake canal 1/Cooling water discharge canal 2 route from Bank Pump Station 4 to CPS4 at the </w:t>
            </w:r>
            <w:proofErr w:type="spellStart"/>
            <w:r>
              <w:t>Kozloduy</w:t>
            </w:r>
            <w:proofErr w:type="spellEnd"/>
            <w:r>
              <w:t xml:space="preserve"> NPP site within the planned and alienated areas (since the construction of Cooling water discharge canal 2).</w:t>
            </w:r>
          </w:p>
        </w:tc>
      </w:tr>
      <w:tr w:rsidR="00AA1AD9" w:rsidRPr="00DF4FAE" w14:paraId="0EF58570" w14:textId="77777777" w:rsidTr="002F3155">
        <w:tc>
          <w:tcPr>
            <w:tcW w:w="4508" w:type="dxa"/>
          </w:tcPr>
          <w:p w14:paraId="53CD5C60" w14:textId="2558AA51" w:rsidR="00AA1AD9" w:rsidRPr="00DF4FAE" w:rsidRDefault="00AA1AD9" w:rsidP="002F3155">
            <w:pPr>
              <w:spacing w:before="60" w:after="240"/>
              <w:rPr>
                <w:b/>
                <w:bCs/>
              </w:rPr>
            </w:pPr>
            <w:r>
              <w:t>Description of purpose of proposed activity</w:t>
            </w:r>
          </w:p>
        </w:tc>
        <w:tc>
          <w:tcPr>
            <w:tcW w:w="4508" w:type="dxa"/>
            <w:vAlign w:val="center"/>
          </w:tcPr>
          <w:p w14:paraId="085DBBAD" w14:textId="163AA8A1" w:rsidR="00AA1AD9" w:rsidRPr="00DF4FAE" w:rsidRDefault="003F2BA5" w:rsidP="002F3155">
            <w:pPr>
              <w:spacing w:before="60" w:after="60"/>
            </w:pPr>
            <w:r>
              <w:t xml:space="preserve">The purpose of the investment proposal is to enhance the safe operation of </w:t>
            </w:r>
            <w:proofErr w:type="spellStart"/>
            <w:r>
              <w:t>Kozloduy</w:t>
            </w:r>
            <w:proofErr w:type="spellEnd"/>
            <w:r>
              <w:t xml:space="preserve"> NPP by construction of additional service water supply - Cooling water intake canal 2 to provide the required volume of service </w:t>
            </w:r>
            <w:r>
              <w:lastRenderedPageBreak/>
              <w:t xml:space="preserve">water from the water source, the Danube River, to the </w:t>
            </w:r>
            <w:proofErr w:type="spellStart"/>
            <w:r>
              <w:t>Kozloduy</w:t>
            </w:r>
            <w:proofErr w:type="spellEnd"/>
            <w:r>
              <w:t xml:space="preserve"> NPP site</w:t>
            </w:r>
          </w:p>
        </w:tc>
      </w:tr>
      <w:tr w:rsidR="00AA1AD9" w:rsidRPr="00DF4FAE" w14:paraId="00031EC9" w14:textId="77777777" w:rsidTr="002F3155">
        <w:tc>
          <w:tcPr>
            <w:tcW w:w="4508" w:type="dxa"/>
          </w:tcPr>
          <w:p w14:paraId="31A379FF" w14:textId="26DE2A60"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after="240"/>
              <w:rPr>
                <w:b/>
                <w:bCs/>
              </w:rPr>
            </w:pPr>
            <w:r>
              <w:lastRenderedPageBreak/>
              <w:t>Rationale for proposed activity</w:t>
            </w:r>
            <w:r>
              <w:br/>
              <w:t>(e.g. socio-economic, physical geographic basis)</w:t>
            </w:r>
          </w:p>
        </w:tc>
        <w:tc>
          <w:tcPr>
            <w:tcW w:w="4508" w:type="dxa"/>
            <w:vAlign w:val="center"/>
          </w:tcPr>
          <w:p w14:paraId="7C259C4B" w14:textId="77777777" w:rsidR="003F2BA5" w:rsidRPr="00DF4FAE" w:rsidRDefault="003F2BA5" w:rsidP="002F3155">
            <w:pPr>
              <w:spacing w:before="60" w:after="60"/>
            </w:pPr>
            <w:r>
              <w:t>The construction of the facility will enable:</w:t>
            </w:r>
          </w:p>
          <w:p w14:paraId="49E9F570" w14:textId="58F266DB" w:rsidR="003F2BA5" w:rsidRPr="00DF4FAE" w:rsidRDefault="003F2BA5" w:rsidP="002F3155">
            <w:pPr>
              <w:pStyle w:val="ListParagraph"/>
              <w:numPr>
                <w:ilvl w:val="0"/>
                <w:numId w:val="3"/>
              </w:numPr>
              <w:spacing w:before="60" w:after="60"/>
            </w:pPr>
            <w:r>
              <w:t>Maintenance or rehabilitation of the existing service water supply - Bank Pump Station (BPS) 1, 2, 3; Cooling water intake canal 1 and Cooling water discharge canal 1;</w:t>
            </w:r>
          </w:p>
          <w:p w14:paraId="2F799DD5" w14:textId="281BDA04" w:rsidR="003F2BA5" w:rsidRPr="00DF4FAE" w:rsidRDefault="003F2BA5" w:rsidP="002F3155">
            <w:pPr>
              <w:pStyle w:val="ListParagraph"/>
              <w:numPr>
                <w:ilvl w:val="0"/>
                <w:numId w:val="3"/>
              </w:numPr>
              <w:spacing w:before="60" w:after="60"/>
            </w:pPr>
            <w:r>
              <w:t xml:space="preserve">Provision of an additional source of cooling water for the operation of </w:t>
            </w:r>
            <w:proofErr w:type="spellStart"/>
            <w:r>
              <w:t>Kozloduy</w:t>
            </w:r>
            <w:proofErr w:type="spellEnd"/>
            <w:r>
              <w:t xml:space="preserve"> NPP;</w:t>
            </w:r>
          </w:p>
          <w:p w14:paraId="678BFA02" w14:textId="293852C5" w:rsidR="00AA1AD9" w:rsidRPr="00DF4FAE" w:rsidRDefault="003F2BA5" w:rsidP="002F3155">
            <w:pPr>
              <w:pStyle w:val="ListParagraph"/>
              <w:numPr>
                <w:ilvl w:val="0"/>
                <w:numId w:val="3"/>
              </w:numPr>
              <w:spacing w:before="60" w:after="60"/>
              <w:rPr>
                <w:b/>
                <w:bCs/>
              </w:rPr>
            </w:pPr>
            <w:r>
              <w:t xml:space="preserve">Provision of two independent water supplies to </w:t>
            </w:r>
            <w:proofErr w:type="spellStart"/>
            <w:r>
              <w:t>Kozloduy</w:t>
            </w:r>
            <w:proofErr w:type="spellEnd"/>
            <w:r>
              <w:t xml:space="preserve"> NPP eliminating the risk of failure of Cooling water intake canal 1 and Cooling water discharge canal 1.</w:t>
            </w:r>
          </w:p>
        </w:tc>
      </w:tr>
      <w:tr w:rsidR="00AA1AD9" w:rsidRPr="00DF4FAE" w14:paraId="20A8C9D5" w14:textId="77777777" w:rsidTr="002F3155">
        <w:tc>
          <w:tcPr>
            <w:tcW w:w="4508" w:type="dxa"/>
          </w:tcPr>
          <w:p w14:paraId="3700F548" w14:textId="20904992" w:rsidR="00AA1AD9" w:rsidRPr="00DF4FAE" w:rsidRDefault="00AA1AD9" w:rsidP="002F3155">
            <w:pPr>
              <w:spacing w:before="120" w:after="120"/>
              <w:rPr>
                <w:b/>
                <w:bCs/>
              </w:rPr>
            </w:pPr>
            <w:r>
              <w:t>Additional information/comments</w:t>
            </w:r>
          </w:p>
        </w:tc>
        <w:tc>
          <w:tcPr>
            <w:tcW w:w="4508" w:type="dxa"/>
            <w:vAlign w:val="center"/>
          </w:tcPr>
          <w:p w14:paraId="3ACE8A9F" w14:textId="3DA4188F" w:rsidR="00AA1AD9" w:rsidRPr="00DF4FAE" w:rsidRDefault="003F2BA5" w:rsidP="002F3155">
            <w:pPr>
              <w:spacing w:before="60" w:after="60"/>
            </w:pPr>
            <w:r>
              <w:t>None</w:t>
            </w:r>
          </w:p>
        </w:tc>
      </w:tr>
      <w:tr w:rsidR="00AA1AD9" w:rsidRPr="00DF4FAE" w14:paraId="3577A775" w14:textId="77777777" w:rsidTr="002F3155">
        <w:tc>
          <w:tcPr>
            <w:tcW w:w="9016" w:type="dxa"/>
            <w:gridSpan w:val="2"/>
            <w:vAlign w:val="center"/>
          </w:tcPr>
          <w:p w14:paraId="589DB6B8" w14:textId="6B931492" w:rsidR="00AA1AD9" w:rsidRPr="00DF4FAE" w:rsidRDefault="00AA1AD9" w:rsidP="002F3155">
            <w:pPr>
              <w:spacing w:before="120" w:after="120"/>
              <w:rPr>
                <w:b/>
                <w:bCs/>
              </w:rPr>
            </w:pPr>
            <w:r>
              <w:rPr>
                <w:b/>
              </w:rPr>
              <w:t>(ii) Information on the spatial and temporal boundaries of the proposed activity</w:t>
            </w:r>
          </w:p>
        </w:tc>
      </w:tr>
      <w:tr w:rsidR="00AA1AD9" w:rsidRPr="00DF4FAE" w14:paraId="6E834ABD" w14:textId="77777777" w:rsidTr="002F3155">
        <w:tc>
          <w:tcPr>
            <w:tcW w:w="4508" w:type="dxa"/>
          </w:tcPr>
          <w:p w14:paraId="7802D4CC" w14:textId="7988510E" w:rsidR="00AA1AD9" w:rsidRPr="00DF4FAE" w:rsidRDefault="00AA1AD9" w:rsidP="002F3155">
            <w:pPr>
              <w:spacing w:before="60" w:after="240"/>
            </w:pPr>
            <w:r>
              <w:t>Location</w:t>
            </w:r>
          </w:p>
        </w:tc>
        <w:tc>
          <w:tcPr>
            <w:tcW w:w="4508" w:type="dxa"/>
            <w:vAlign w:val="center"/>
          </w:tcPr>
          <w:p w14:paraId="39893B82" w14:textId="7A9A45FC" w:rsidR="00B0703E" w:rsidRDefault="001E7742" w:rsidP="002F3155">
            <w:pPr>
              <w:spacing w:before="60" w:after="60"/>
            </w:pPr>
            <w:r>
              <w:t xml:space="preserve">The investment proposal will be implemented on a landed property of </w:t>
            </w:r>
            <w:proofErr w:type="spellStart"/>
            <w:r>
              <w:t>Kozloduy</w:t>
            </w:r>
            <w:proofErr w:type="spellEnd"/>
            <w:r>
              <w:t xml:space="preserve"> NPP EAD, with cadastral identifier 37798.644.2 and State ownership title deed No.110 dated 19 September 2000, and no land use outside these boundaries is envisaged.</w:t>
            </w:r>
          </w:p>
          <w:p w14:paraId="1FAA9783" w14:textId="6CE019DF" w:rsidR="003F2BA5" w:rsidRPr="00DF4FAE" w:rsidRDefault="00B0703E" w:rsidP="002F3155">
            <w:pPr>
              <w:spacing w:before="60" w:after="60"/>
            </w:pPr>
            <w:r>
              <w:t xml:space="preserve">The site of </w:t>
            </w:r>
            <w:proofErr w:type="spellStart"/>
            <w:r>
              <w:t>Kozloduy</w:t>
            </w:r>
            <w:proofErr w:type="spellEnd"/>
            <w:r>
              <w:t xml:space="preserve"> NPP is located on the right bank of the Danube River (km 694). It is 3.7 km south of the talweg of the river and the state border with Romania.</w:t>
            </w:r>
          </w:p>
        </w:tc>
      </w:tr>
      <w:tr w:rsidR="00AA1AD9" w:rsidRPr="00DF4FAE" w14:paraId="478AFF9B" w14:textId="77777777" w:rsidTr="002F3155">
        <w:tc>
          <w:tcPr>
            <w:tcW w:w="4508" w:type="dxa"/>
          </w:tcPr>
          <w:p w14:paraId="33B6D862" w14:textId="6AFE0173"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after="240"/>
            </w:pPr>
            <w:r>
              <w:t>Description of the location (e.g. physical-geographic, socio-economic characteristics)</w:t>
            </w:r>
          </w:p>
        </w:tc>
        <w:tc>
          <w:tcPr>
            <w:tcW w:w="4508" w:type="dxa"/>
            <w:vAlign w:val="center"/>
          </w:tcPr>
          <w:p w14:paraId="76F42149" w14:textId="489901C3" w:rsidR="00B0703E" w:rsidRDefault="002F560F" w:rsidP="002F3155">
            <w:pPr>
              <w:spacing w:before="60" w:after="60"/>
            </w:pPr>
            <w:r>
              <w:t>The territory designated for the construction of the Cooling water intake canal 2 is of an approximate area of 52,9961 m</w:t>
            </w:r>
            <w:r>
              <w:rPr>
                <w:vertAlign w:val="superscript"/>
              </w:rPr>
              <w:t>2</w:t>
            </w:r>
            <w:r>
              <w:t xml:space="preserve"> and is located outside the </w:t>
            </w:r>
            <w:proofErr w:type="spellStart"/>
            <w:r>
              <w:t>Kozloduy</w:t>
            </w:r>
            <w:proofErr w:type="spellEnd"/>
            <w:r>
              <w:t xml:space="preserve"> NPP fencing perimeter. The existing </w:t>
            </w:r>
            <w:proofErr w:type="spellStart"/>
            <w:r>
              <w:t>Kozloduy</w:t>
            </w:r>
            <w:proofErr w:type="spellEnd"/>
            <w:r>
              <w:t xml:space="preserve"> NPP site has a total area of about 3.2 km</w:t>
            </w:r>
            <w:r>
              <w:rPr>
                <w:vertAlign w:val="superscript"/>
              </w:rPr>
              <w:t>2</w:t>
            </w:r>
            <w:r>
              <w:t xml:space="preserve"> and together with the area of the recirculation and service water supply canals this figure comes up to 5.2 km</w:t>
            </w:r>
            <w:r>
              <w:rPr>
                <w:vertAlign w:val="superscript"/>
              </w:rPr>
              <w:t>2</w:t>
            </w:r>
            <w:r>
              <w:t>.</w:t>
            </w:r>
          </w:p>
          <w:p w14:paraId="2E00A9A0" w14:textId="27FF8289" w:rsidR="003F2BA5" w:rsidRPr="00DF4FAE" w:rsidRDefault="003F2BA5" w:rsidP="002F3155">
            <w:pPr>
              <w:spacing w:before="60" w:after="60"/>
            </w:pPr>
            <w:r>
              <w:t xml:space="preserve">The site is located in the northern part of the first flood-proof </w:t>
            </w:r>
            <w:proofErr w:type="spellStart"/>
            <w:r>
              <w:t>Danubian</w:t>
            </w:r>
            <w:proofErr w:type="spellEnd"/>
            <w:r>
              <w:t xml:space="preserve"> terrace (elevation +35.0 m according to the Baltic height system). To the north it borders the Danube lowland.</w:t>
            </w:r>
          </w:p>
          <w:p w14:paraId="6A78325E" w14:textId="77777777" w:rsidR="003F2BA5" w:rsidRPr="00DF4FAE" w:rsidRDefault="003F2BA5" w:rsidP="002F3155">
            <w:pPr>
              <w:spacing w:before="60" w:after="60"/>
            </w:pPr>
            <w:r>
              <w:t>To the south of the site, the slope of the watershed plateau is relatively high (100÷110 m), it is around 90 m to the west, while to the east it descends down to 30 m above sea level.</w:t>
            </w:r>
          </w:p>
          <w:p w14:paraId="63F38385" w14:textId="2CC724AA" w:rsidR="003F2BA5" w:rsidRPr="00DF4FAE" w:rsidRDefault="003F2BA5" w:rsidP="002F3155">
            <w:r>
              <w:lastRenderedPageBreak/>
              <w:t xml:space="preserve"> In a straight line it is about 120 km to the north, and on the republican road network about 200 km from the capital - Sofia. The closest settlements to the </w:t>
            </w:r>
            <w:proofErr w:type="spellStart"/>
            <w:r>
              <w:t>Kozloduy</w:t>
            </w:r>
            <w:proofErr w:type="spellEnd"/>
            <w:r>
              <w:t xml:space="preserve"> NPP are: town of </w:t>
            </w:r>
            <w:proofErr w:type="spellStart"/>
            <w:r>
              <w:t>Kozloduy</w:t>
            </w:r>
            <w:proofErr w:type="spellEnd"/>
            <w:r>
              <w:t xml:space="preserve"> - 2.6 km to the south-west, village of </w:t>
            </w:r>
            <w:proofErr w:type="spellStart"/>
            <w:r>
              <w:t>Harlets</w:t>
            </w:r>
            <w:proofErr w:type="spellEnd"/>
            <w:r>
              <w:t xml:space="preserve"> - </w:t>
            </w:r>
            <w:proofErr w:type="spellStart"/>
            <w:r>
              <w:t>на</w:t>
            </w:r>
            <w:proofErr w:type="spellEnd"/>
            <w:r>
              <w:t xml:space="preserve"> 3.5 km</w:t>
            </w:r>
          </w:p>
          <w:p w14:paraId="1009647B" w14:textId="30CA3BD8" w:rsidR="003F2BA5" w:rsidRPr="00DF4FAE" w:rsidRDefault="003F2BA5" w:rsidP="002F3155">
            <w:r>
              <w:t xml:space="preserve">to the south-east, village of </w:t>
            </w:r>
            <w:proofErr w:type="spellStart"/>
            <w:r>
              <w:t>Glozhene</w:t>
            </w:r>
            <w:proofErr w:type="spellEnd"/>
            <w:r>
              <w:t xml:space="preserve"> - 4.0 km</w:t>
            </w:r>
          </w:p>
          <w:p w14:paraId="53606A05" w14:textId="4FE2EDC1" w:rsidR="003F2BA5" w:rsidRPr="00DF4FAE" w:rsidRDefault="003F2BA5" w:rsidP="002F3155">
            <w:r>
              <w:t xml:space="preserve">to the south-east, town of </w:t>
            </w:r>
            <w:proofErr w:type="spellStart"/>
            <w:r>
              <w:t>Miziya</w:t>
            </w:r>
            <w:proofErr w:type="spellEnd"/>
            <w:r>
              <w:t xml:space="preserve"> - 6.0 km</w:t>
            </w:r>
          </w:p>
          <w:p w14:paraId="0897EDD0" w14:textId="6D8360C6" w:rsidR="00AA1AD9" w:rsidRPr="00DF4FAE" w:rsidRDefault="003F2BA5" w:rsidP="002F3155">
            <w:pPr>
              <w:spacing w:after="60"/>
            </w:pPr>
            <w:r>
              <w:t xml:space="preserve">to the south-east, village of </w:t>
            </w:r>
            <w:proofErr w:type="spellStart"/>
            <w:r>
              <w:t>Butan</w:t>
            </w:r>
            <w:proofErr w:type="spellEnd"/>
            <w:r>
              <w:t xml:space="preserve"> - 8.4 km to the south, and town of </w:t>
            </w:r>
            <w:proofErr w:type="spellStart"/>
            <w:r>
              <w:t>Oryahovo</w:t>
            </w:r>
            <w:proofErr w:type="spellEnd"/>
            <w:r>
              <w:t xml:space="preserve"> - 8.4 km to the east of the site.</w:t>
            </w:r>
          </w:p>
        </w:tc>
      </w:tr>
      <w:tr w:rsidR="00AA1AD9" w:rsidRPr="00DF4FAE" w14:paraId="0B2E2AB7" w14:textId="77777777" w:rsidTr="002F3155">
        <w:tc>
          <w:tcPr>
            <w:tcW w:w="4508" w:type="dxa"/>
          </w:tcPr>
          <w:p w14:paraId="731DBF3A"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after="60"/>
            </w:pPr>
            <w:r>
              <w:lastRenderedPageBreak/>
              <w:t>Rationale for location of proposed activity</w:t>
            </w:r>
          </w:p>
          <w:p w14:paraId="325F4B26" w14:textId="573E147F" w:rsidR="00AA1AD9" w:rsidRPr="00DF4FAE" w:rsidRDefault="00AA1AD9" w:rsidP="002F3155">
            <w:pPr>
              <w:spacing w:before="60" w:after="60"/>
            </w:pPr>
            <w:r>
              <w:t>(e.g. socio-economic, physical-geographic basis)</w:t>
            </w:r>
          </w:p>
        </w:tc>
        <w:tc>
          <w:tcPr>
            <w:tcW w:w="4508" w:type="dxa"/>
          </w:tcPr>
          <w:p w14:paraId="0CD2B9CA" w14:textId="103F97A4" w:rsidR="00AA1AD9" w:rsidRPr="00DF4FAE" w:rsidRDefault="00CF17D0" w:rsidP="002F3155">
            <w:pPr>
              <w:spacing w:before="60" w:after="60"/>
            </w:pPr>
            <w:r>
              <w:t xml:space="preserve">Outside the </w:t>
            </w:r>
            <w:proofErr w:type="spellStart"/>
            <w:r>
              <w:t>Kozloduy</w:t>
            </w:r>
            <w:proofErr w:type="spellEnd"/>
            <w:r>
              <w:t xml:space="preserve"> NPP side there is an already existing facility - Cooling water discharge canal 2. Cooling water intake canal 2 will follow the same projection.</w:t>
            </w:r>
          </w:p>
        </w:tc>
      </w:tr>
      <w:tr w:rsidR="00AA1AD9" w:rsidRPr="00DF4FAE" w14:paraId="3DFBAAB5" w14:textId="77777777" w:rsidTr="002F3155">
        <w:tc>
          <w:tcPr>
            <w:tcW w:w="4508" w:type="dxa"/>
            <w:vAlign w:val="center"/>
          </w:tcPr>
          <w:p w14:paraId="2CC37937"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t>Time-frame for proposed activity</w:t>
            </w:r>
          </w:p>
          <w:p w14:paraId="153BF5E7" w14:textId="620DF31E" w:rsidR="00AA1AD9" w:rsidRPr="00DF4FAE" w:rsidRDefault="00AA1AD9" w:rsidP="002F3155">
            <w:pPr>
              <w:spacing w:after="60"/>
            </w:pPr>
            <w:r>
              <w:t>(e.g. start and duration of construction and operation)</w:t>
            </w:r>
          </w:p>
        </w:tc>
        <w:tc>
          <w:tcPr>
            <w:tcW w:w="4508" w:type="dxa"/>
          </w:tcPr>
          <w:p w14:paraId="38555DC9" w14:textId="56A4A097" w:rsidR="00AA1AD9" w:rsidRPr="00DF4FAE" w:rsidRDefault="00CF17D0" w:rsidP="002F3155">
            <w:pPr>
              <w:spacing w:before="60" w:after="60"/>
            </w:pPr>
            <w:r>
              <w:t>It will be determined during the preparation of the investment project.</w:t>
            </w:r>
          </w:p>
        </w:tc>
      </w:tr>
      <w:tr w:rsidR="00AA1AD9" w:rsidRPr="00DF4FAE" w14:paraId="7FD31A9C" w14:textId="77777777" w:rsidTr="002F3155">
        <w:tc>
          <w:tcPr>
            <w:tcW w:w="4508" w:type="dxa"/>
          </w:tcPr>
          <w:p w14:paraId="3CC94D10" w14:textId="26B4B494" w:rsidR="00AA1AD9" w:rsidRPr="00DF4FAE" w:rsidRDefault="00AA1AD9" w:rsidP="002F3155">
            <w:pPr>
              <w:spacing w:before="60" w:after="240"/>
            </w:pPr>
            <w:r>
              <w:t>Maps and other pictorial documents connected with the information on the proposed activity</w:t>
            </w:r>
          </w:p>
        </w:tc>
        <w:tc>
          <w:tcPr>
            <w:tcW w:w="4508" w:type="dxa"/>
            <w:vAlign w:val="center"/>
          </w:tcPr>
          <w:p w14:paraId="2B7A3C7E" w14:textId="525FEE1C" w:rsidR="00AA1AD9" w:rsidRPr="00DF4FAE" w:rsidRDefault="00CF17D0" w:rsidP="002F3155">
            <w:pPr>
              <w:spacing w:before="60" w:after="60"/>
            </w:pPr>
            <w:r>
              <w:t>The following documents are enclosed:</w:t>
            </w:r>
          </w:p>
          <w:p w14:paraId="635D8F12" w14:textId="77777777" w:rsidR="00CF17D0" w:rsidRPr="00DF4FAE" w:rsidRDefault="00CF17D0" w:rsidP="002F3155">
            <w:pPr>
              <w:pStyle w:val="ListParagraph"/>
              <w:numPr>
                <w:ilvl w:val="0"/>
                <w:numId w:val="3"/>
              </w:numPr>
              <w:spacing w:before="60" w:after="60"/>
            </w:pPr>
            <w:r>
              <w:t xml:space="preserve">Reference register of the boundary points of the construction boundary of </w:t>
            </w:r>
            <w:proofErr w:type="spellStart"/>
            <w:r>
              <w:t>Kozloduy</w:t>
            </w:r>
            <w:proofErr w:type="spellEnd"/>
            <w:r>
              <w:t xml:space="preserve"> NPP in the area of Cooling water discharge canal 2; </w:t>
            </w:r>
          </w:p>
          <w:p w14:paraId="09B5DA82" w14:textId="77777777" w:rsidR="00CF17D0" w:rsidRDefault="00CF17D0" w:rsidP="002F3155">
            <w:pPr>
              <w:pStyle w:val="ListParagraph"/>
              <w:numPr>
                <w:ilvl w:val="0"/>
                <w:numId w:val="3"/>
              </w:numPr>
              <w:spacing w:before="60" w:after="60"/>
            </w:pPr>
            <w:r>
              <w:t xml:space="preserve">Diagram of the angles of the construction boundary of </w:t>
            </w:r>
            <w:proofErr w:type="spellStart"/>
            <w:r>
              <w:t>Kozloduy</w:t>
            </w:r>
            <w:proofErr w:type="spellEnd"/>
            <w:r>
              <w:t xml:space="preserve"> NPP in the area of Cooling water discharge canal 2.</w:t>
            </w:r>
          </w:p>
          <w:p w14:paraId="119E453E" w14:textId="0FC8E914" w:rsidR="001E7742" w:rsidRPr="00DF4FAE" w:rsidRDefault="001E7742" w:rsidP="002F3155">
            <w:pPr>
              <w:pStyle w:val="ListParagraph"/>
              <w:numPr>
                <w:ilvl w:val="0"/>
                <w:numId w:val="3"/>
              </w:numPr>
              <w:spacing w:after="60"/>
              <w:ind w:left="419" w:hanging="357"/>
            </w:pPr>
            <w:r>
              <w:t>Proposal for layout of the additional service water supply - Cooling water intake canal 2.</w:t>
            </w:r>
          </w:p>
        </w:tc>
      </w:tr>
      <w:tr w:rsidR="00AA1AD9" w:rsidRPr="00DF4FAE" w14:paraId="25CB3515" w14:textId="77777777" w:rsidTr="002F3155">
        <w:tc>
          <w:tcPr>
            <w:tcW w:w="4508" w:type="dxa"/>
            <w:vAlign w:val="center"/>
          </w:tcPr>
          <w:p w14:paraId="1A88C3B4" w14:textId="3241DF95" w:rsidR="00AA1AD9" w:rsidRPr="00DF4FAE" w:rsidRDefault="00AA1AD9" w:rsidP="002F3155">
            <w:pPr>
              <w:spacing w:before="120" w:after="120"/>
            </w:pPr>
            <w:r>
              <w:t>Additional information/comments</w:t>
            </w:r>
          </w:p>
        </w:tc>
        <w:tc>
          <w:tcPr>
            <w:tcW w:w="4508" w:type="dxa"/>
            <w:vAlign w:val="center"/>
          </w:tcPr>
          <w:p w14:paraId="0BC87F60" w14:textId="2D84AF20" w:rsidR="00AA1AD9" w:rsidRPr="00DF4FAE" w:rsidRDefault="00763BC5" w:rsidP="002F3155">
            <w:pPr>
              <w:spacing w:before="60" w:after="60"/>
            </w:pPr>
            <w:r>
              <w:t>None</w:t>
            </w:r>
          </w:p>
        </w:tc>
      </w:tr>
      <w:tr w:rsidR="00AA1AD9" w:rsidRPr="00DF4FAE" w14:paraId="52E89138" w14:textId="77777777" w:rsidTr="002F3155">
        <w:tc>
          <w:tcPr>
            <w:tcW w:w="9016" w:type="dxa"/>
            <w:gridSpan w:val="2"/>
            <w:vAlign w:val="center"/>
          </w:tcPr>
          <w:p w14:paraId="56CEB452" w14:textId="1D999F93" w:rsidR="00AA1AD9" w:rsidRPr="00DF4FAE" w:rsidRDefault="00AA1AD9" w:rsidP="002F3155">
            <w:pPr>
              <w:spacing w:before="120" w:after="120"/>
              <w:rPr>
                <w:b/>
                <w:bCs/>
              </w:rPr>
            </w:pPr>
            <w:r>
              <w:rPr>
                <w:b/>
              </w:rPr>
              <w:t>(iii) Information on expected environmental impacts and proposed mitigation measures</w:t>
            </w:r>
          </w:p>
        </w:tc>
      </w:tr>
      <w:tr w:rsidR="00AA1AD9" w:rsidRPr="00DF4FAE" w14:paraId="2455D74D" w14:textId="77777777" w:rsidTr="002F3155">
        <w:tc>
          <w:tcPr>
            <w:tcW w:w="4508" w:type="dxa"/>
          </w:tcPr>
          <w:p w14:paraId="38D5A6ED"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t>Scope of assessment</w:t>
            </w:r>
          </w:p>
          <w:p w14:paraId="704C42CC" w14:textId="7771A2B8" w:rsidR="00AA1AD9" w:rsidRPr="00DF4FAE" w:rsidRDefault="00AA1AD9" w:rsidP="002F3155">
            <w:pPr>
              <w:spacing w:after="240"/>
              <w:rPr>
                <w:b/>
                <w:bCs/>
              </w:rPr>
            </w:pPr>
            <w:r>
              <w:t>(e.g. consideration of: cumulative impacts, evaluation of alternatives, sustainable development issues, impact of peripheral activities, etc.)</w:t>
            </w:r>
          </w:p>
        </w:tc>
        <w:tc>
          <w:tcPr>
            <w:tcW w:w="4508" w:type="dxa"/>
            <w:vAlign w:val="center"/>
          </w:tcPr>
          <w:p w14:paraId="1FD73039" w14:textId="68CC8C65" w:rsidR="00763BC5" w:rsidRPr="00DF4FAE" w:rsidRDefault="009512B5" w:rsidP="002F3155">
            <w:pPr>
              <w:spacing w:before="60"/>
            </w:pPr>
            <w:r>
              <w:t xml:space="preserve">During the implementation of the investment proposal, local impacts from the construction activities are likely to occur - it is possible that the level of noise, vibration and dust in the vicinity of the site will increase, which will be of predominantly low intensity and will not be complex. </w:t>
            </w:r>
          </w:p>
          <w:p w14:paraId="1D61CE1B" w14:textId="77777777" w:rsidR="00763BC5" w:rsidRPr="00DF4FAE" w:rsidRDefault="00763BC5" w:rsidP="002F3155">
            <w:r>
              <w:t xml:space="preserve">Due to the remoteness of the site from populated areas (the nearest are the village of </w:t>
            </w:r>
            <w:proofErr w:type="spellStart"/>
            <w:r>
              <w:t>Herlets</w:t>
            </w:r>
            <w:proofErr w:type="spellEnd"/>
            <w:r>
              <w:t xml:space="preserve"> - 3 km and the town of </w:t>
            </w:r>
            <w:proofErr w:type="spellStart"/>
            <w:r>
              <w:t>Kozloduy</w:t>
            </w:r>
            <w:proofErr w:type="spellEnd"/>
            <w:r>
              <w:t xml:space="preserve"> - 5 km), noise and dust from the activities are not expected to have an impact on the population.</w:t>
            </w:r>
          </w:p>
          <w:p w14:paraId="372ECF43" w14:textId="378590DF" w:rsidR="00763BC5" w:rsidRDefault="00763BC5" w:rsidP="002F3155"/>
          <w:p w14:paraId="1D8ECDCC" w14:textId="77777777" w:rsidR="0042763C" w:rsidRDefault="00EA7866" w:rsidP="002F3155">
            <w:r>
              <w:t xml:space="preserve">After commissioning, all necessary noise and vibration measurements will be carried </w:t>
            </w:r>
            <w:r>
              <w:lastRenderedPageBreak/>
              <w:t xml:space="preserve">out and, if necessary, appropriate technical and medical preventive measures will be taken. </w:t>
            </w:r>
          </w:p>
          <w:p w14:paraId="1A137F6D" w14:textId="60873BDF" w:rsidR="00EA7866" w:rsidRPr="00DF4FAE" w:rsidRDefault="0042763C" w:rsidP="002F3155">
            <w:r>
              <w:t>It is expected that there will be an increase in road traffic of goods vehicles.</w:t>
            </w:r>
          </w:p>
          <w:p w14:paraId="5C902364" w14:textId="538D26DF" w:rsidR="00763BC5" w:rsidRPr="00DF4FAE" w:rsidRDefault="00763BC5" w:rsidP="002F3155">
            <w:r>
              <w:t>Heavy-good vehicle traffic will comply with the relevant regulatory requirements.</w:t>
            </w:r>
          </w:p>
          <w:p w14:paraId="3CC92016" w14:textId="77777777" w:rsidR="00373D89" w:rsidRDefault="00373D89" w:rsidP="002F3155">
            <w:r>
              <w:t>The activities associated with the construction and operation of the additional service water supply - Cooling water intake canal 2 are not expected to change the impacts on people and their health.</w:t>
            </w:r>
          </w:p>
          <w:p w14:paraId="0AE0C995" w14:textId="77777777" w:rsidR="00373D89" w:rsidRDefault="00373D89" w:rsidP="002F3155">
            <w:r>
              <w:t>Potential non-radiation impacts associated with construction activities are possible.</w:t>
            </w:r>
          </w:p>
          <w:p w14:paraId="6CA20795" w14:textId="77777777" w:rsidR="00373D89" w:rsidRDefault="00373D89" w:rsidP="002F3155">
            <w:r>
              <w:t xml:space="preserve">No impacts on land use are expected. There is no need of proprietary expropriation or change of land category for the purposes of the additional service water supply - Cooling water intake canal 2. </w:t>
            </w:r>
          </w:p>
          <w:p w14:paraId="1F09D0A6" w14:textId="77777777" w:rsidR="00373D89" w:rsidRDefault="00373D89" w:rsidP="002F3155">
            <w:r>
              <w:t>Landscape impacts associated with the excavation and filling activities are expected for construction activities.</w:t>
            </w:r>
          </w:p>
          <w:p w14:paraId="56962AF9" w14:textId="77777777" w:rsidR="00373D89" w:rsidRDefault="00373D89" w:rsidP="002F3155">
            <w:r>
              <w:t xml:space="preserve">None of the construction activities are expected to have an impact on mineral diversity, ecology and cultural resources other than that of previous construction activities on the </w:t>
            </w:r>
            <w:proofErr w:type="spellStart"/>
            <w:r>
              <w:t>Kozloduy</w:t>
            </w:r>
            <w:proofErr w:type="spellEnd"/>
            <w:r>
              <w:t xml:space="preserve"> NPP site.</w:t>
            </w:r>
          </w:p>
          <w:p w14:paraId="59FB74E9" w14:textId="77777777" w:rsidR="00373D89" w:rsidRDefault="00373D89" w:rsidP="002F3155">
            <w:r>
              <w:t>During construction, contamination of the river beds with construction materials and fuel and lubricants from construction equipment will not be allowed.</w:t>
            </w:r>
          </w:p>
          <w:p w14:paraId="1EC10269" w14:textId="77777777" w:rsidR="00373D89" w:rsidRDefault="00373D89" w:rsidP="002F3155">
            <w:r>
              <w:t>A small part of the territory envisaged for the implementation of the investment proposal falls within a protected area within the meaning of the Biodiversity Act - BG00000533 '</w:t>
            </w:r>
            <w:proofErr w:type="spellStart"/>
            <w:r>
              <w:t>Kozloduy</w:t>
            </w:r>
            <w:proofErr w:type="spellEnd"/>
            <w:r>
              <w:t xml:space="preserve"> Islands', for the protection of natural habitats and wild flora and fauna. The implementation of the activities foreseen in the investment proposal will comply with all regulated prohibitions in the protected areas regimes, stipulated by the respective order for designation and their management plans.</w:t>
            </w:r>
          </w:p>
          <w:p w14:paraId="6D8641F8" w14:textId="571C924E" w:rsidR="00373D89" w:rsidRDefault="00373D89" w:rsidP="002F3155">
            <w:r>
              <w:t>There are no scenic areas that may be affected during construction.</w:t>
            </w:r>
          </w:p>
          <w:p w14:paraId="529DC067" w14:textId="059512C9" w:rsidR="00373D89" w:rsidRDefault="00373D89" w:rsidP="002F3155">
            <w:r>
              <w:t xml:space="preserve">There are no sites and objects of historical or cultural significance located on or near the </w:t>
            </w:r>
            <w:proofErr w:type="spellStart"/>
            <w:r>
              <w:t>Kozloduy</w:t>
            </w:r>
            <w:proofErr w:type="spellEnd"/>
            <w:r>
              <w:t xml:space="preserve"> NPP site that may be affected by construction activities.</w:t>
            </w:r>
          </w:p>
          <w:p w14:paraId="08EB0C42" w14:textId="3562AC76" w:rsidR="00373D89" w:rsidRDefault="00373D89" w:rsidP="002F3155">
            <w:r>
              <w:t>There are no sites protected by international or national law due to their ecological, natural, cultural or other value that may be affected by construction.</w:t>
            </w:r>
          </w:p>
          <w:p w14:paraId="38AB728A" w14:textId="3AA22C73" w:rsidR="00AA1AD9" w:rsidRPr="00DF4FAE" w:rsidRDefault="00373D89" w:rsidP="002F3155">
            <w:pPr>
              <w:spacing w:after="60"/>
            </w:pPr>
            <w:r>
              <w:lastRenderedPageBreak/>
              <w:t xml:space="preserve">The investment proposal does not fall within a surface water body drinking water protection area, a recreation and water sports area, a sensitive area, an area for commercially valuable fish species, a protected area, a habitat area and a bird area. </w:t>
            </w:r>
          </w:p>
        </w:tc>
      </w:tr>
      <w:tr w:rsidR="00AA1AD9" w:rsidRPr="00DF4FAE" w14:paraId="1944A4FF" w14:textId="77777777" w:rsidTr="002F3155">
        <w:tc>
          <w:tcPr>
            <w:tcW w:w="4508" w:type="dxa"/>
          </w:tcPr>
          <w:p w14:paraId="73268CE6"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lastRenderedPageBreak/>
              <w:t>Expected environmental impacts of proposed activity</w:t>
            </w:r>
          </w:p>
          <w:p w14:paraId="20C2B538" w14:textId="2E09F815" w:rsidR="00AA1AD9" w:rsidRPr="00DF4FAE" w:rsidRDefault="00AA1AD9" w:rsidP="002F3155">
            <w:pPr>
              <w:rPr>
                <w:b/>
                <w:bCs/>
              </w:rPr>
            </w:pPr>
            <w:r>
              <w:t>(e.g. types, locations, magnitudes)</w:t>
            </w:r>
          </w:p>
        </w:tc>
        <w:tc>
          <w:tcPr>
            <w:tcW w:w="4508" w:type="dxa"/>
            <w:vAlign w:val="center"/>
          </w:tcPr>
          <w:p w14:paraId="664D8EC6" w14:textId="77777777" w:rsidR="0040400E" w:rsidRPr="00DF4FAE" w:rsidRDefault="0040400E" w:rsidP="002F3155">
            <w:pPr>
              <w:spacing w:before="60"/>
            </w:pPr>
            <w:r>
              <w:t xml:space="preserve">During and after the implementation of the investment proposal no change is expected in the aspects of the impact of </w:t>
            </w:r>
            <w:proofErr w:type="spellStart"/>
            <w:r>
              <w:t>Kozloduy</w:t>
            </w:r>
            <w:proofErr w:type="spellEnd"/>
            <w:r>
              <w:t xml:space="preserve"> NPP on the environment and their quantitative dimensions, therefore there will be no change in the degree of impact on the environmental components.</w:t>
            </w:r>
          </w:p>
          <w:p w14:paraId="68AEE99A" w14:textId="50522181" w:rsidR="00AA1AD9" w:rsidRPr="00DF4FAE" w:rsidRDefault="00AA1AD9" w:rsidP="002F3155">
            <w:pPr>
              <w:spacing w:after="60"/>
            </w:pPr>
          </w:p>
        </w:tc>
      </w:tr>
      <w:tr w:rsidR="00AA1AD9" w:rsidRPr="00DF4FAE" w14:paraId="3C01FE74" w14:textId="77777777" w:rsidTr="002F3155">
        <w:tc>
          <w:tcPr>
            <w:tcW w:w="4508" w:type="dxa"/>
          </w:tcPr>
          <w:p w14:paraId="447CD809"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t>Inputs</w:t>
            </w:r>
          </w:p>
          <w:p w14:paraId="2F7D3CAD" w14:textId="4F7F0689"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pPr>
            <w:r>
              <w:t>(e.g. raw material, power sources, etc.)</w:t>
            </w:r>
          </w:p>
        </w:tc>
        <w:tc>
          <w:tcPr>
            <w:tcW w:w="4508" w:type="dxa"/>
            <w:vAlign w:val="center"/>
          </w:tcPr>
          <w:p w14:paraId="771DD22D" w14:textId="77777777" w:rsidR="0040400E" w:rsidRPr="00DF4FAE" w:rsidRDefault="0040400E" w:rsidP="002F3155">
            <w:pPr>
              <w:spacing w:before="60"/>
            </w:pPr>
            <w:r>
              <w:t>Standard building materials are to be used during construction (gravel, coarse aggregate, water, cement, concrete, steel framework, bricks, paints, etc.).</w:t>
            </w:r>
          </w:p>
          <w:p w14:paraId="728D9109" w14:textId="7AA52FDC" w:rsidR="00AA1AD9" w:rsidRPr="00DF4FAE" w:rsidRDefault="00AA1AD9" w:rsidP="002F3155">
            <w:pPr>
              <w:spacing w:after="60"/>
            </w:pPr>
          </w:p>
        </w:tc>
      </w:tr>
      <w:tr w:rsidR="00AA1AD9" w:rsidRPr="00DF4FAE" w14:paraId="081FBB06" w14:textId="77777777" w:rsidTr="002F3155">
        <w:tc>
          <w:tcPr>
            <w:tcW w:w="4508" w:type="dxa"/>
          </w:tcPr>
          <w:p w14:paraId="175F70E5"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t>Outputs</w:t>
            </w:r>
          </w:p>
          <w:p w14:paraId="1545DAA9" w14:textId="572A857E"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pPr>
            <w:r>
              <w:t>(e.g. amounts and types of: emissions into the atmosphere, discharges into the water system, solid waste)</w:t>
            </w:r>
          </w:p>
        </w:tc>
        <w:tc>
          <w:tcPr>
            <w:tcW w:w="4508" w:type="dxa"/>
            <w:vAlign w:val="center"/>
          </w:tcPr>
          <w:p w14:paraId="3D9083A9" w14:textId="5021829D" w:rsidR="00AA1AD9" w:rsidRDefault="00EA7866" w:rsidP="002F3155">
            <w:pPr>
              <w:spacing w:after="60"/>
            </w:pPr>
            <w:r>
              <w:t xml:space="preserve">The water that will be abstracted from the Danube River through the facilities to be built will be conveyed to the </w:t>
            </w:r>
            <w:proofErr w:type="spellStart"/>
            <w:r>
              <w:t>Kozloduy</w:t>
            </w:r>
            <w:proofErr w:type="spellEnd"/>
            <w:r>
              <w:t xml:space="preserve"> NPP site. After its use for technological purposes, it will be discharged via the existing Cooling water discharge canal 2 and/or Cooling water discharge canal 1 back into the Danube. To that end, a valid permit No 13120037/22.11.2010 for the use of a surface water body for the discharge of waste water into surface waters has been issued.</w:t>
            </w:r>
          </w:p>
          <w:p w14:paraId="321140B6" w14:textId="77777777" w:rsidR="00EA7866" w:rsidRDefault="00EA7866" w:rsidP="002F3155">
            <w:pPr>
              <w:spacing w:after="60"/>
            </w:pPr>
            <w:r>
              <w:t>The construction of the additional service water supply facility is expected to generate solid non-radioactive waste from construction, installation of the process equipment and construction of ancillary concrete structures.</w:t>
            </w:r>
          </w:p>
          <w:p w14:paraId="5AEC4A3A" w14:textId="1BB24CDF" w:rsidR="00EA7866" w:rsidRDefault="00EA7866" w:rsidP="002F3155">
            <w:pPr>
              <w:spacing w:after="60"/>
            </w:pPr>
            <w:r>
              <w:t>Construction waste and excavated soil resulting from the construction of the facility will be disposed of at designated sites in accordance with the waste management legislation of the Republic of Bulgaria.</w:t>
            </w:r>
          </w:p>
          <w:p w14:paraId="35E8712E" w14:textId="77777777" w:rsidR="00EA7866" w:rsidRDefault="00EA7866" w:rsidP="002F3155">
            <w:pPr>
              <w:spacing w:after="60"/>
            </w:pPr>
            <w:r>
              <w:t>During the operation of the Cooling water intake canal 2, it is expected that municipal waste will be generated by the personnel servicing the facilities. No hazardous, construction or production waste is expected to be generated.</w:t>
            </w:r>
          </w:p>
          <w:p w14:paraId="314AD0F2" w14:textId="223BBC96" w:rsidR="00EA7866" w:rsidRDefault="00EA7866" w:rsidP="002F3155">
            <w:pPr>
              <w:spacing w:after="60"/>
            </w:pPr>
            <w:r>
              <w:t xml:space="preserve">Recyclable waste will be temporarily stored on the construction site in designated areas and, after accumulation of certain quantities, </w:t>
            </w:r>
            <w:r>
              <w:lastRenderedPageBreak/>
              <w:t>will be handed over for subsequent treatment by specialised companies holding a permit under the Waste Management Act.</w:t>
            </w:r>
          </w:p>
          <w:p w14:paraId="33E23533" w14:textId="1E3EA896" w:rsidR="00EA7866" w:rsidRPr="00EA7866" w:rsidRDefault="00EA7866" w:rsidP="002F3155">
            <w:pPr>
              <w:spacing w:after="60"/>
            </w:pPr>
            <w:r>
              <w:t>Mixed municipal waste will be disposed of in a designated landfill site.</w:t>
            </w:r>
          </w:p>
        </w:tc>
      </w:tr>
      <w:tr w:rsidR="00AA1AD9" w:rsidRPr="00DF4FAE" w14:paraId="3CECE99B" w14:textId="77777777" w:rsidTr="002F3155">
        <w:tc>
          <w:tcPr>
            <w:tcW w:w="4508" w:type="dxa"/>
          </w:tcPr>
          <w:p w14:paraId="123AD6AF"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lastRenderedPageBreak/>
              <w:t>Transboundary impacts</w:t>
            </w:r>
          </w:p>
          <w:p w14:paraId="0396135F" w14:textId="764AB33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pPr>
            <w:r>
              <w:t>(e.g. types, locations, magnitudes)</w:t>
            </w:r>
          </w:p>
        </w:tc>
        <w:tc>
          <w:tcPr>
            <w:tcW w:w="4508" w:type="dxa"/>
            <w:vAlign w:val="center"/>
          </w:tcPr>
          <w:p w14:paraId="41D5E64B" w14:textId="77777777" w:rsidR="00C91FB4" w:rsidRDefault="00C91FB4" w:rsidP="002F3155">
            <w:r>
              <w:t xml:space="preserve">This construction and operation of the additional service water supply - Cooling water intake canal 2 is not expected to impose any changes on the nature and the extent of the transboundary impact of </w:t>
            </w:r>
            <w:proofErr w:type="spellStart"/>
            <w:r>
              <w:t>Kozloduy</w:t>
            </w:r>
            <w:proofErr w:type="spellEnd"/>
            <w:r>
              <w:t xml:space="preserve"> NPP.</w:t>
            </w:r>
          </w:p>
          <w:p w14:paraId="45F094FA" w14:textId="77777777" w:rsidR="00C91FB4" w:rsidRDefault="00C91FB4" w:rsidP="002F3155">
            <w:r>
              <w:t>No impacts on the environmental components and factors in the Republic of Romania are anticipated in carrying out the proposed activities. The requirements of Bulgarian and European legislation will be complied with.</w:t>
            </w:r>
          </w:p>
          <w:p w14:paraId="2F71D45E" w14:textId="39900A78" w:rsidR="00AA1AD9" w:rsidRPr="00DF4FAE" w:rsidRDefault="00C91FB4" w:rsidP="002F3155">
            <w:pPr>
              <w:spacing w:after="60"/>
            </w:pPr>
            <w:r>
              <w:t>During construction, potential impacts are only possible in non-radiation aspects (noise, vibrations, dust). Noise and dust from the activities are not expected to have an impact on the population and the environment in the Republic of Romania.</w:t>
            </w:r>
          </w:p>
        </w:tc>
      </w:tr>
      <w:tr w:rsidR="00AA1AD9" w:rsidRPr="00DF4FAE" w14:paraId="1E3C7F44" w14:textId="77777777" w:rsidTr="002F3155">
        <w:tc>
          <w:tcPr>
            <w:tcW w:w="4508" w:type="dxa"/>
          </w:tcPr>
          <w:p w14:paraId="1CC6A91F" w14:textId="77777777"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pPr>
            <w:r>
              <w:t>Proposed mitigation measures</w:t>
            </w:r>
          </w:p>
          <w:p w14:paraId="2D3EBE77" w14:textId="0C52D498"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pPr>
            <w:r>
              <w:t>(e.g. if known, mitigation measures to prevent, eliminate, minimise, compensate for environmental impacts)</w:t>
            </w:r>
          </w:p>
        </w:tc>
        <w:tc>
          <w:tcPr>
            <w:tcW w:w="4508" w:type="dxa"/>
            <w:vAlign w:val="center"/>
          </w:tcPr>
          <w:p w14:paraId="72FB50C0" w14:textId="24F943FF" w:rsidR="0042763C" w:rsidRDefault="0042763C" w:rsidP="002F3155">
            <w:r>
              <w:t xml:space="preserve">Measures to mitigate potential negative impacts on the environment and human health that may arise from the implementation of the investment proposal will be considered in the investment project. </w:t>
            </w:r>
          </w:p>
          <w:p w14:paraId="51750B8C" w14:textId="19B29498" w:rsidR="005C7376" w:rsidRPr="00DF4FAE" w:rsidRDefault="005C7376" w:rsidP="002F3155">
            <w:r>
              <w:t>A complex of technical, physical, sanitary and hygiene and organisational</w:t>
            </w:r>
          </w:p>
          <w:p w14:paraId="1A153FC3" w14:textId="77E6246B" w:rsidR="005C7376" w:rsidRPr="00DF4FAE" w:rsidRDefault="005C7376" w:rsidP="002F3155">
            <w:r>
              <w:t xml:space="preserve">administrative measures are in place at </w:t>
            </w:r>
            <w:proofErr w:type="spellStart"/>
            <w:r>
              <w:t>Kozloduy</w:t>
            </w:r>
            <w:proofErr w:type="spellEnd"/>
            <w:r>
              <w:t xml:space="preserve"> NPP EAD, and they will be implemented at each stage of the design, construction, commissioning and operation of the Cooling water intake canal 2 in order to ensure and guarantee the safety of the personnel and the population.</w:t>
            </w:r>
          </w:p>
          <w:p w14:paraId="3C3BECEA" w14:textId="77777777" w:rsidR="005C7376" w:rsidRPr="00DF4FAE" w:rsidRDefault="005C7376" w:rsidP="002F3155">
            <w:proofErr w:type="spellStart"/>
            <w:r>
              <w:t>Kozloduy</w:t>
            </w:r>
            <w:proofErr w:type="spellEnd"/>
            <w:r>
              <w:t xml:space="preserve"> NPP implements programmes for</w:t>
            </w:r>
          </w:p>
          <w:p w14:paraId="5B1DB884" w14:textId="7CB36692" w:rsidR="00AA1AD9" w:rsidRPr="00DF4FAE" w:rsidRDefault="005C7376" w:rsidP="002F3155">
            <w:pPr>
              <w:spacing w:after="60"/>
            </w:pPr>
            <w:r>
              <w:t>radiation and non-radiation environmental monitoring of the site and its surroundings.</w:t>
            </w:r>
          </w:p>
        </w:tc>
      </w:tr>
      <w:tr w:rsidR="00AA1AD9" w:rsidRPr="00DF4FAE" w14:paraId="650FED08" w14:textId="77777777" w:rsidTr="002F3155">
        <w:tc>
          <w:tcPr>
            <w:tcW w:w="4508" w:type="dxa"/>
            <w:tcBorders>
              <w:bottom w:val="single" w:sz="4" w:space="0" w:color="auto"/>
            </w:tcBorders>
            <w:vAlign w:val="center"/>
          </w:tcPr>
          <w:p w14:paraId="2ED2F90C" w14:textId="2DF8D88B" w:rsidR="00AA1AD9" w:rsidRPr="00DF4FAE" w:rsidRDefault="00AA1AD9"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120" w:after="120"/>
            </w:pPr>
            <w:r>
              <w:t>Additional information/comments</w:t>
            </w:r>
          </w:p>
        </w:tc>
        <w:tc>
          <w:tcPr>
            <w:tcW w:w="4508" w:type="dxa"/>
            <w:tcBorders>
              <w:bottom w:val="single" w:sz="4" w:space="0" w:color="auto"/>
            </w:tcBorders>
            <w:vAlign w:val="center"/>
          </w:tcPr>
          <w:p w14:paraId="6EA9041E" w14:textId="57F53184" w:rsidR="00AA1AD9" w:rsidRPr="00DF4FAE" w:rsidRDefault="005C7376" w:rsidP="002F3155">
            <w:r>
              <w:t>None</w:t>
            </w:r>
          </w:p>
        </w:tc>
      </w:tr>
      <w:tr w:rsidR="002C235B" w:rsidRPr="00DF4FAE" w14:paraId="1642569A" w14:textId="77777777" w:rsidTr="002F3155">
        <w:tc>
          <w:tcPr>
            <w:tcW w:w="9016" w:type="dxa"/>
            <w:gridSpan w:val="2"/>
            <w:tcBorders>
              <w:bottom w:val="single" w:sz="4" w:space="0" w:color="auto"/>
            </w:tcBorders>
            <w:vAlign w:val="center"/>
          </w:tcPr>
          <w:p w14:paraId="46611A7F" w14:textId="53AE6E21" w:rsidR="002C235B" w:rsidRPr="00DF4FAE" w:rsidRDefault="002C235B" w:rsidP="002F3155">
            <w:pPr>
              <w:spacing w:before="120" w:after="120"/>
              <w:rPr>
                <w:b/>
                <w:bCs/>
              </w:rPr>
            </w:pPr>
            <w:r>
              <w:rPr>
                <w:b/>
              </w:rPr>
              <w:t>(iv) Proponent/developer</w:t>
            </w:r>
          </w:p>
        </w:tc>
      </w:tr>
      <w:tr w:rsidR="002C235B" w:rsidRPr="00DF4FAE" w14:paraId="72CFBB67" w14:textId="77777777" w:rsidTr="002F3155">
        <w:tc>
          <w:tcPr>
            <w:tcW w:w="4508" w:type="dxa"/>
            <w:tcBorders>
              <w:bottom w:val="single" w:sz="4" w:space="0" w:color="auto"/>
            </w:tcBorders>
          </w:tcPr>
          <w:p w14:paraId="37D28FFB" w14:textId="3B096D9E" w:rsidR="002C235B" w:rsidRPr="00DF4FAE" w:rsidRDefault="002C235B"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after="60"/>
            </w:pPr>
            <w:r>
              <w:t>Name, address, telephone and fax numbers</w:t>
            </w:r>
          </w:p>
        </w:tc>
        <w:tc>
          <w:tcPr>
            <w:tcW w:w="4508" w:type="dxa"/>
            <w:tcBorders>
              <w:bottom w:val="single" w:sz="4" w:space="0" w:color="auto"/>
            </w:tcBorders>
            <w:vAlign w:val="center"/>
          </w:tcPr>
          <w:p w14:paraId="3D282859" w14:textId="77777777" w:rsidR="002C235B" w:rsidRPr="00DF4FAE" w:rsidRDefault="005C7376" w:rsidP="002F3155">
            <w:pPr>
              <w:spacing w:before="60"/>
            </w:pPr>
            <w:r>
              <w:t>Ivan Todorov Andreev</w:t>
            </w:r>
          </w:p>
          <w:p w14:paraId="129C6823" w14:textId="5B54300E" w:rsidR="005C7376" w:rsidRPr="00DF4FAE" w:rsidRDefault="005C7376" w:rsidP="002F3155">
            <w:r>
              <w:t xml:space="preserve">Chief Executive Officer of </w:t>
            </w:r>
            <w:proofErr w:type="spellStart"/>
            <w:r>
              <w:t>Kozloduy</w:t>
            </w:r>
            <w:proofErr w:type="spellEnd"/>
            <w:r>
              <w:t xml:space="preserve"> NPP EAD</w:t>
            </w:r>
          </w:p>
          <w:p w14:paraId="1553C61B" w14:textId="77777777" w:rsidR="005C7376" w:rsidRPr="00DF4FAE" w:rsidRDefault="005C7376" w:rsidP="002F3155">
            <w:r>
              <w:t xml:space="preserve">3321 </w:t>
            </w:r>
            <w:proofErr w:type="spellStart"/>
            <w:r>
              <w:t>Kozloduy</w:t>
            </w:r>
            <w:proofErr w:type="spellEnd"/>
          </w:p>
          <w:p w14:paraId="49E3C6E9" w14:textId="77777777" w:rsidR="005C7376" w:rsidRPr="00DF4FAE" w:rsidRDefault="005C7376" w:rsidP="002F3155">
            <w:r>
              <w:t>Tel.: 0973 72020;</w:t>
            </w:r>
          </w:p>
          <w:p w14:paraId="4252AEF6" w14:textId="1068814F" w:rsidR="005C7376" w:rsidRPr="00DF4FAE" w:rsidRDefault="005C7376" w:rsidP="002F3155">
            <w:r>
              <w:t>Fax: 0973 80591;</w:t>
            </w:r>
          </w:p>
          <w:p w14:paraId="23EA6920" w14:textId="36C4AE14" w:rsidR="005C7376" w:rsidRPr="00DF4FAE" w:rsidRDefault="005C7376" w:rsidP="002F3155">
            <w:pPr>
              <w:spacing w:after="60"/>
            </w:pPr>
            <w:r>
              <w:t>E-mail: document@npp.bg</w:t>
            </w:r>
          </w:p>
        </w:tc>
      </w:tr>
      <w:tr w:rsidR="00AA1AD9" w:rsidRPr="00DF4FAE" w14:paraId="50D44EDC" w14:textId="77777777" w:rsidTr="002F3155">
        <w:tc>
          <w:tcPr>
            <w:tcW w:w="9016" w:type="dxa"/>
            <w:gridSpan w:val="2"/>
            <w:vAlign w:val="center"/>
          </w:tcPr>
          <w:p w14:paraId="2CF51285" w14:textId="44532286" w:rsidR="00AA1AD9" w:rsidRPr="00DF4FAE" w:rsidRDefault="002C235B" w:rsidP="002F3155">
            <w:pPr>
              <w:spacing w:before="120" w:after="120"/>
              <w:rPr>
                <w:b/>
                <w:bCs/>
              </w:rPr>
            </w:pPr>
            <w:r>
              <w:rPr>
                <w:b/>
              </w:rPr>
              <w:t>(v) EIA documentation</w:t>
            </w:r>
          </w:p>
        </w:tc>
      </w:tr>
      <w:tr w:rsidR="00AA1AD9" w:rsidRPr="00DF4FAE" w14:paraId="22E88316" w14:textId="77777777" w:rsidTr="002F3155">
        <w:tc>
          <w:tcPr>
            <w:tcW w:w="4508" w:type="dxa"/>
          </w:tcPr>
          <w:p w14:paraId="4B018588" w14:textId="39A15419" w:rsidR="00AA1AD9" w:rsidRPr="00DF4FAE" w:rsidRDefault="005C7376" w:rsidP="002F3155">
            <w:pPr>
              <w:spacing w:before="60" w:after="60"/>
              <w:rPr>
                <w:b/>
                <w:bCs/>
              </w:rPr>
            </w:pPr>
            <w:r>
              <w:lastRenderedPageBreak/>
              <w:t>Is the EIA documentation (e.g. EIA report or EIS) included in the notification?</w:t>
            </w:r>
          </w:p>
        </w:tc>
        <w:tc>
          <w:tcPr>
            <w:tcW w:w="4508" w:type="dxa"/>
            <w:vAlign w:val="center"/>
          </w:tcPr>
          <w:p w14:paraId="146C89A0" w14:textId="612F7945" w:rsidR="00AA1AD9" w:rsidRPr="00DF4FAE" w:rsidRDefault="00AA1AD9" w:rsidP="002F3155">
            <w:pPr>
              <w:spacing w:after="240"/>
              <w:rPr>
                <w:b/>
                <w:bCs/>
              </w:rPr>
            </w:pPr>
            <w:r>
              <w:t xml:space="preserve">yes   </w:t>
            </w:r>
            <w:r>
              <w:sym w:font="Webdings" w:char="F063"/>
            </w:r>
            <w:r>
              <w:t xml:space="preserve">                </w:t>
            </w:r>
            <w:r>
              <w:rPr>
                <w:b/>
              </w:rPr>
              <w:t xml:space="preserve">no  </w:t>
            </w:r>
            <w:sdt>
              <w:sdtPr>
                <w:rPr>
                  <w:b/>
                  <w:bCs/>
                </w:rPr>
                <w:id w:val="697200908"/>
                <w14:checkbox>
                  <w14:checked w14:val="1"/>
                  <w14:checkedState w14:val="2612" w14:font="MS Gothic"/>
                  <w14:uncheckedState w14:val="2610" w14:font="MS Gothic"/>
                </w14:checkbox>
              </w:sdtPr>
              <w:sdtEndPr/>
              <w:sdtContent>
                <w:r w:rsidR="005C7376" w:rsidRPr="00DF4FAE">
                  <w:rPr>
                    <w:rFonts w:ascii="Segoe UI Symbol" w:eastAsia="MS Gothic" w:hAnsi="Segoe UI Symbol" w:cs="Segoe UI Symbol"/>
                    <w:b/>
                    <w:bCs/>
                  </w:rPr>
                  <w:t>☒</w:t>
                </w:r>
              </w:sdtContent>
            </w:sdt>
            <w:r>
              <w:t xml:space="preserve">         partial   </w:t>
            </w:r>
            <w:r>
              <w:sym w:font="Webdings" w:char="F063"/>
            </w:r>
          </w:p>
        </w:tc>
      </w:tr>
      <w:tr w:rsidR="00AA1AD9" w:rsidRPr="00DF4FAE" w14:paraId="4DAE652B" w14:textId="77777777" w:rsidTr="002F3155">
        <w:tc>
          <w:tcPr>
            <w:tcW w:w="4508" w:type="dxa"/>
          </w:tcPr>
          <w:p w14:paraId="1A24C367" w14:textId="7F82D891" w:rsidR="00AA1AD9" w:rsidRPr="00DF4FAE" w:rsidRDefault="00AA1AD9" w:rsidP="002F3155">
            <w:pPr>
              <w:spacing w:before="60" w:after="60"/>
              <w:rPr>
                <w:b/>
                <w:bCs/>
              </w:rPr>
            </w:pPr>
            <w:r>
              <w:t>If no/partial, description of additional documentation to be forwarded and (approximate) date(s) when documentation will be available</w:t>
            </w:r>
          </w:p>
        </w:tc>
        <w:tc>
          <w:tcPr>
            <w:tcW w:w="4508" w:type="dxa"/>
          </w:tcPr>
          <w:p w14:paraId="1FA288DB" w14:textId="77777777" w:rsidR="005C7376" w:rsidRPr="00DF4FAE" w:rsidRDefault="005C7376" w:rsidP="002F3155">
            <w:r>
              <w:t>Further information will be sent on request, when prepared.</w:t>
            </w:r>
          </w:p>
          <w:p w14:paraId="0F691745" w14:textId="675C1CE1" w:rsidR="00AA1AD9" w:rsidRPr="00DF4FAE" w:rsidRDefault="00AA1AD9" w:rsidP="002F3155">
            <w:pPr>
              <w:rPr>
                <w:b/>
                <w:bCs/>
              </w:rPr>
            </w:pPr>
          </w:p>
        </w:tc>
      </w:tr>
      <w:tr w:rsidR="00AA1AD9" w:rsidRPr="00DF4FAE" w14:paraId="0FA22D88" w14:textId="77777777" w:rsidTr="002F3155">
        <w:tc>
          <w:tcPr>
            <w:tcW w:w="4508" w:type="dxa"/>
            <w:vAlign w:val="center"/>
          </w:tcPr>
          <w:p w14:paraId="2AEAC4DE" w14:textId="55545259" w:rsidR="00AA1AD9" w:rsidRPr="00DF4FAE" w:rsidRDefault="00AA1AD9" w:rsidP="002F3155">
            <w:pPr>
              <w:spacing w:before="60" w:after="60"/>
              <w:rPr>
                <w:b/>
                <w:bCs/>
              </w:rPr>
            </w:pPr>
            <w:r>
              <w:t>Additional information/comments</w:t>
            </w:r>
          </w:p>
        </w:tc>
        <w:tc>
          <w:tcPr>
            <w:tcW w:w="4508" w:type="dxa"/>
            <w:vAlign w:val="center"/>
          </w:tcPr>
          <w:p w14:paraId="0B8F32F2" w14:textId="71A2630C" w:rsidR="00AA1AD9" w:rsidRPr="00DF4FAE" w:rsidRDefault="005C7376" w:rsidP="002F3155">
            <w:r>
              <w:t>None</w:t>
            </w:r>
          </w:p>
        </w:tc>
      </w:tr>
      <w:tr w:rsidR="00765927" w:rsidRPr="00DF4FAE" w14:paraId="25670D65" w14:textId="77777777" w:rsidTr="002F3155">
        <w:tc>
          <w:tcPr>
            <w:tcW w:w="9016" w:type="dxa"/>
            <w:gridSpan w:val="2"/>
            <w:vAlign w:val="center"/>
          </w:tcPr>
          <w:p w14:paraId="2939B1CF" w14:textId="519DCE4D" w:rsidR="00765927" w:rsidRPr="00DF4FAE" w:rsidRDefault="00765927" w:rsidP="002F3155">
            <w:pPr>
              <w:spacing w:before="120" w:after="120"/>
              <w:jc w:val="center"/>
              <w:rPr>
                <w:b/>
                <w:bCs/>
              </w:rPr>
            </w:pPr>
            <w:r>
              <w:rPr>
                <w:b/>
              </w:rPr>
              <w:t>2. POINTS OF CONTACT</w:t>
            </w:r>
          </w:p>
        </w:tc>
      </w:tr>
      <w:tr w:rsidR="00765927" w:rsidRPr="00DF4FAE" w14:paraId="79FC6FE7" w14:textId="77777777" w:rsidTr="002F3155">
        <w:tc>
          <w:tcPr>
            <w:tcW w:w="9016" w:type="dxa"/>
            <w:gridSpan w:val="2"/>
            <w:vAlign w:val="center"/>
          </w:tcPr>
          <w:p w14:paraId="55E2D46E" w14:textId="180A5BE3" w:rsidR="00765927" w:rsidRPr="00DF4FAE" w:rsidRDefault="00765927" w:rsidP="002F3155">
            <w:pPr>
              <w:spacing w:before="120" w:after="120"/>
              <w:rPr>
                <w:b/>
                <w:bCs/>
              </w:rPr>
            </w:pPr>
            <w:r>
              <w:rPr>
                <w:b/>
              </w:rPr>
              <w:t>(</w:t>
            </w:r>
            <w:proofErr w:type="spellStart"/>
            <w:r>
              <w:rPr>
                <w:b/>
              </w:rPr>
              <w:t>i</w:t>
            </w:r>
            <w:proofErr w:type="spellEnd"/>
            <w:r>
              <w:rPr>
                <w:b/>
              </w:rPr>
              <w:t>) Points of contact for the possible affected Party or Parties</w:t>
            </w:r>
          </w:p>
        </w:tc>
      </w:tr>
      <w:tr w:rsidR="00AA1AD9" w:rsidRPr="00DF4FAE" w14:paraId="15BBDFE9" w14:textId="77777777" w:rsidTr="002F3155">
        <w:tc>
          <w:tcPr>
            <w:tcW w:w="4508" w:type="dxa"/>
          </w:tcPr>
          <w:p w14:paraId="362ED102" w14:textId="77777777" w:rsidR="00765927" w:rsidRPr="00DF4FAE" w:rsidRDefault="00765927"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after="60"/>
            </w:pPr>
            <w:r>
              <w:t>Authority responsible for coordinating activities relating to the EIA (refer to decision I/3, appendix)</w:t>
            </w:r>
          </w:p>
          <w:p w14:paraId="383E47B8" w14:textId="3D15124B" w:rsidR="00AA1AD9" w:rsidRPr="00DF4FAE" w:rsidRDefault="00765927" w:rsidP="002F3155">
            <w:pPr>
              <w:spacing w:before="60" w:after="60"/>
              <w:rPr>
                <w:b/>
                <w:bCs/>
              </w:rPr>
            </w:pPr>
            <w:r>
              <w:t>- Name, address, telephone and fax numbers</w:t>
            </w:r>
          </w:p>
        </w:tc>
        <w:tc>
          <w:tcPr>
            <w:tcW w:w="4508" w:type="dxa"/>
            <w:vAlign w:val="center"/>
          </w:tcPr>
          <w:p w14:paraId="5CD5D335" w14:textId="77777777" w:rsidR="00DD3FCC" w:rsidRDefault="00DD3FCC" w:rsidP="002F3155">
            <w:pPr>
              <w:spacing w:before="60"/>
            </w:pPr>
            <w:r>
              <w:t xml:space="preserve">Ministry of Environment, Water and Forests of Romania </w:t>
            </w:r>
          </w:p>
          <w:p w14:paraId="3A1E3E34" w14:textId="77777777" w:rsidR="00DD3FCC" w:rsidRDefault="00DD3FCC" w:rsidP="002F3155">
            <w:proofErr w:type="spellStart"/>
            <w:r>
              <w:t>Bvd</w:t>
            </w:r>
            <w:proofErr w:type="spellEnd"/>
            <w:r>
              <w:t xml:space="preserve">. </w:t>
            </w:r>
            <w:proofErr w:type="spellStart"/>
            <w:r>
              <w:t>Libertăţii</w:t>
            </w:r>
            <w:proofErr w:type="spellEnd"/>
            <w:r>
              <w:t xml:space="preserve"> nr. 12, Sector 5, </w:t>
            </w:r>
            <w:proofErr w:type="spellStart"/>
            <w:r>
              <w:t>Bucureşti</w:t>
            </w:r>
            <w:proofErr w:type="spellEnd"/>
          </w:p>
          <w:p w14:paraId="28AAE95C" w14:textId="77777777" w:rsidR="00DD3FCC" w:rsidRDefault="00DD3FCC" w:rsidP="002F3155">
            <w:r>
              <w:t>Fax: 004 021 408 9615</w:t>
            </w:r>
          </w:p>
          <w:p w14:paraId="3FC74317" w14:textId="77777777" w:rsidR="00DD3FCC" w:rsidRDefault="00DD3FCC" w:rsidP="002F3155">
            <w:proofErr w:type="spellStart"/>
            <w:r>
              <w:t>Telefon</w:t>
            </w:r>
            <w:proofErr w:type="spellEnd"/>
            <w:r>
              <w:t>: 021/408 9642</w:t>
            </w:r>
          </w:p>
          <w:p w14:paraId="48523B5B" w14:textId="5A65ACEF" w:rsidR="00AA1AD9" w:rsidRPr="00DF4FAE" w:rsidRDefault="00DD3FCC" w:rsidP="002F3155">
            <w:pPr>
              <w:spacing w:after="60"/>
              <w:rPr>
                <w:b/>
                <w:bCs/>
              </w:rPr>
            </w:pPr>
            <w:r>
              <w:t>E-mail:  registratura@mmediu.ro</w:t>
            </w:r>
          </w:p>
        </w:tc>
      </w:tr>
      <w:tr w:rsidR="00AA1AD9" w:rsidRPr="00DF4FAE" w14:paraId="6CA04C26" w14:textId="77777777" w:rsidTr="002F3155">
        <w:tc>
          <w:tcPr>
            <w:tcW w:w="4508" w:type="dxa"/>
          </w:tcPr>
          <w:p w14:paraId="03585A8A" w14:textId="014C9ABB" w:rsidR="00AA1AD9" w:rsidRPr="00DF4FAE" w:rsidRDefault="00765927" w:rsidP="002F3155">
            <w:pPr>
              <w:spacing w:before="60" w:after="60"/>
              <w:rPr>
                <w:b/>
                <w:bCs/>
              </w:rPr>
            </w:pPr>
            <w:r>
              <w:t>List of affected Parties to which notification is being sent</w:t>
            </w:r>
          </w:p>
        </w:tc>
        <w:tc>
          <w:tcPr>
            <w:tcW w:w="4508" w:type="dxa"/>
          </w:tcPr>
          <w:p w14:paraId="6F961B40" w14:textId="70E2C053" w:rsidR="00AA1AD9" w:rsidRPr="00DF4FAE" w:rsidRDefault="005C7376" w:rsidP="002F3155">
            <w:pPr>
              <w:spacing w:before="60"/>
            </w:pPr>
            <w:r>
              <w:t>Republic of Romania</w:t>
            </w:r>
          </w:p>
        </w:tc>
      </w:tr>
      <w:tr w:rsidR="00765927" w:rsidRPr="00DF4FAE" w14:paraId="0C47A633" w14:textId="77777777" w:rsidTr="002F3155">
        <w:tc>
          <w:tcPr>
            <w:tcW w:w="9016" w:type="dxa"/>
            <w:gridSpan w:val="2"/>
            <w:vAlign w:val="center"/>
          </w:tcPr>
          <w:p w14:paraId="09F4B81B" w14:textId="1C98E9A1" w:rsidR="00765927" w:rsidRPr="00DF4FAE" w:rsidRDefault="00765927" w:rsidP="002F3155">
            <w:pPr>
              <w:spacing w:before="120" w:after="120"/>
              <w:rPr>
                <w:b/>
                <w:bCs/>
              </w:rPr>
            </w:pPr>
            <w:r>
              <w:rPr>
                <w:b/>
              </w:rPr>
              <w:t>(ii) Points of contact for the Party of origin</w:t>
            </w:r>
          </w:p>
        </w:tc>
      </w:tr>
      <w:tr w:rsidR="00765927" w:rsidRPr="00DF4FAE" w14:paraId="5D05409B" w14:textId="77777777" w:rsidTr="002F3155">
        <w:tc>
          <w:tcPr>
            <w:tcW w:w="4508" w:type="dxa"/>
          </w:tcPr>
          <w:p w14:paraId="4617AAAD" w14:textId="77777777" w:rsidR="00765927" w:rsidRPr="00DF4FAE" w:rsidRDefault="00765927"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after="60"/>
            </w:pPr>
            <w:r>
              <w:t>Authority responsible for coordinating activities relating to the EIA (refer to decision I/3, appendix)</w:t>
            </w:r>
          </w:p>
          <w:p w14:paraId="60EAF3FC" w14:textId="14FB9B32" w:rsidR="00765927" w:rsidRPr="00DF4FAE" w:rsidRDefault="00765927" w:rsidP="002F3155">
            <w:pPr>
              <w:spacing w:before="60" w:after="60"/>
              <w:rPr>
                <w:b/>
                <w:bCs/>
              </w:rPr>
            </w:pPr>
            <w:r>
              <w:t>- Name, address, telephone and fax numbers</w:t>
            </w:r>
          </w:p>
        </w:tc>
        <w:tc>
          <w:tcPr>
            <w:tcW w:w="4508" w:type="dxa"/>
          </w:tcPr>
          <w:p w14:paraId="07D9B655" w14:textId="77777777" w:rsidR="005C7376" w:rsidRPr="00DF4FAE" w:rsidRDefault="005C7376" w:rsidP="002F3155">
            <w:pPr>
              <w:spacing w:before="60"/>
            </w:pPr>
            <w:r>
              <w:t>Ministry of Environment and Water</w:t>
            </w:r>
          </w:p>
          <w:p w14:paraId="46349E77" w14:textId="77777777" w:rsidR="005C7376" w:rsidRPr="00DF4FAE" w:rsidRDefault="005C7376" w:rsidP="002F3155">
            <w:r>
              <w:t>22 Maria Luiza Blvd.</w:t>
            </w:r>
          </w:p>
          <w:p w14:paraId="6BB00EEC" w14:textId="77777777" w:rsidR="005C7376" w:rsidRPr="00DF4FAE" w:rsidRDefault="005C7376" w:rsidP="002F3155">
            <w:r>
              <w:t>Sofia, 1000</w:t>
            </w:r>
          </w:p>
          <w:p w14:paraId="309EF40C" w14:textId="5C396FD0" w:rsidR="00765927" w:rsidRPr="00DF4FAE" w:rsidRDefault="005C7376" w:rsidP="002F3155">
            <w:pPr>
              <w:rPr>
                <w:b/>
                <w:bCs/>
              </w:rPr>
            </w:pPr>
            <w:r>
              <w:t>Bulgaria</w:t>
            </w:r>
          </w:p>
        </w:tc>
      </w:tr>
      <w:tr w:rsidR="00765927" w:rsidRPr="00DF4FAE" w14:paraId="2E42AD93" w14:textId="77777777" w:rsidTr="002F3155">
        <w:tc>
          <w:tcPr>
            <w:tcW w:w="4508" w:type="dxa"/>
          </w:tcPr>
          <w:p w14:paraId="74E54DD5" w14:textId="77777777" w:rsidR="00765927" w:rsidRPr="00DF4FAE" w:rsidRDefault="00765927" w:rsidP="002F3155">
            <w:pPr>
              <w:tabs>
                <w:tab w:val="left" w:pos="0"/>
                <w:tab w:val="left" w:pos="566"/>
                <w:tab w:val="left" w:pos="1020"/>
                <w:tab w:val="left" w:pos="1530"/>
                <w:tab w:val="left" w:pos="1983"/>
                <w:tab w:val="left" w:pos="2380"/>
                <w:tab w:val="left" w:pos="2776"/>
                <w:tab w:val="left" w:pos="3230"/>
                <w:tab w:val="left" w:pos="3684"/>
                <w:tab w:val="left" w:pos="4194"/>
                <w:tab w:val="left" w:pos="4647"/>
                <w:tab w:val="left" w:pos="4988"/>
                <w:tab w:val="left" w:pos="5498"/>
                <w:tab w:val="left" w:pos="5952"/>
                <w:tab w:val="left" w:pos="6361"/>
                <w:tab w:val="left" w:pos="6939"/>
              </w:tabs>
              <w:spacing w:before="60" w:after="60"/>
            </w:pPr>
            <w:r>
              <w:t>Decision-making authority if different than authority responsible for coordinating activities relating to the EIA</w:t>
            </w:r>
          </w:p>
          <w:p w14:paraId="498B134E" w14:textId="1BE7C796" w:rsidR="00765927" w:rsidRPr="00DF4FAE" w:rsidRDefault="00765927" w:rsidP="002F3155">
            <w:pPr>
              <w:spacing w:before="60" w:after="60"/>
              <w:rPr>
                <w:b/>
                <w:bCs/>
              </w:rPr>
            </w:pPr>
            <w:r>
              <w:t>- Name, address, telephone and fax numbers</w:t>
            </w:r>
          </w:p>
        </w:tc>
        <w:tc>
          <w:tcPr>
            <w:tcW w:w="4508" w:type="dxa"/>
            <w:vAlign w:val="center"/>
          </w:tcPr>
          <w:p w14:paraId="77706795" w14:textId="1F4AC423" w:rsidR="00765927" w:rsidRPr="00DF4FAE" w:rsidRDefault="005C7376" w:rsidP="002F3155">
            <w:pPr>
              <w:rPr>
                <w:b/>
                <w:bCs/>
              </w:rPr>
            </w:pPr>
            <w:r>
              <w:rPr>
                <w:b/>
              </w:rPr>
              <w:t xml:space="preserve"> - </w:t>
            </w:r>
          </w:p>
        </w:tc>
      </w:tr>
      <w:tr w:rsidR="00765927" w:rsidRPr="00DF4FAE" w14:paraId="33CF4034" w14:textId="77777777" w:rsidTr="002F3155">
        <w:tc>
          <w:tcPr>
            <w:tcW w:w="9016" w:type="dxa"/>
            <w:gridSpan w:val="2"/>
            <w:vAlign w:val="center"/>
          </w:tcPr>
          <w:p w14:paraId="491E8B35" w14:textId="46B0B2E8" w:rsidR="00765927" w:rsidRPr="00DF4FAE" w:rsidRDefault="00765927" w:rsidP="002F3155">
            <w:pPr>
              <w:spacing w:before="120" w:after="120"/>
              <w:jc w:val="center"/>
              <w:rPr>
                <w:b/>
                <w:bCs/>
              </w:rPr>
            </w:pPr>
            <w:r>
              <w:rPr>
                <w:b/>
              </w:rPr>
              <w:t>3. INFORMATION ON THE EIA PROCESS IN THE COUNTRY WHERE THE PROPOSED ACTIVITY IS LOCATED</w:t>
            </w:r>
          </w:p>
        </w:tc>
      </w:tr>
      <w:tr w:rsidR="00765927" w:rsidRPr="00DF4FAE" w14:paraId="119ECB5D" w14:textId="77777777" w:rsidTr="002F3155">
        <w:tc>
          <w:tcPr>
            <w:tcW w:w="9016" w:type="dxa"/>
            <w:gridSpan w:val="2"/>
            <w:vAlign w:val="center"/>
          </w:tcPr>
          <w:p w14:paraId="38CFA94D" w14:textId="50C52030" w:rsidR="00765927" w:rsidRPr="00DF4FAE" w:rsidRDefault="00765927" w:rsidP="002F3155">
            <w:pPr>
              <w:spacing w:before="120" w:after="120"/>
              <w:rPr>
                <w:b/>
                <w:bCs/>
              </w:rPr>
            </w:pPr>
            <w:r>
              <w:rPr>
                <w:b/>
              </w:rPr>
              <w:t>(</w:t>
            </w:r>
            <w:proofErr w:type="spellStart"/>
            <w:r>
              <w:rPr>
                <w:b/>
              </w:rPr>
              <w:t>i</w:t>
            </w:r>
            <w:proofErr w:type="spellEnd"/>
            <w:r>
              <w:rPr>
                <w:b/>
              </w:rPr>
              <w:t>) Information on the EIA process that will be applied to the proposed activity</w:t>
            </w:r>
          </w:p>
        </w:tc>
      </w:tr>
      <w:tr w:rsidR="00765927" w:rsidRPr="00DF4FAE" w14:paraId="3303FCB5" w14:textId="77777777" w:rsidTr="002F3155">
        <w:tc>
          <w:tcPr>
            <w:tcW w:w="4508" w:type="dxa"/>
          </w:tcPr>
          <w:p w14:paraId="335191FC" w14:textId="365D3C6F" w:rsidR="00765927" w:rsidRPr="00DF4FAE" w:rsidRDefault="00765927" w:rsidP="002F3155">
            <w:pPr>
              <w:spacing w:before="60" w:after="60"/>
              <w:rPr>
                <w:b/>
                <w:bCs/>
              </w:rPr>
            </w:pPr>
            <w:r>
              <w:t>Time schedule</w:t>
            </w:r>
          </w:p>
        </w:tc>
        <w:tc>
          <w:tcPr>
            <w:tcW w:w="4508" w:type="dxa"/>
            <w:vAlign w:val="center"/>
          </w:tcPr>
          <w:p w14:paraId="5B5A51E1" w14:textId="5A02FBA9" w:rsidR="00765927" w:rsidRPr="00DF4FAE" w:rsidRDefault="005C7376" w:rsidP="002F3155">
            <w:pPr>
              <w:spacing w:after="60"/>
            </w:pPr>
            <w:r>
              <w:t>Based on the requirements of the Bulgarian legislation</w:t>
            </w:r>
          </w:p>
        </w:tc>
      </w:tr>
      <w:tr w:rsidR="000778F7" w:rsidRPr="00DF4FAE" w14:paraId="2E6531F5" w14:textId="77777777" w:rsidTr="002F3155">
        <w:tc>
          <w:tcPr>
            <w:tcW w:w="4508" w:type="dxa"/>
          </w:tcPr>
          <w:p w14:paraId="7713EC45" w14:textId="5E92AAFD" w:rsidR="000778F7" w:rsidRPr="00DF4FAE" w:rsidRDefault="000778F7" w:rsidP="002F3155">
            <w:pPr>
              <w:spacing w:before="60" w:after="60"/>
            </w:pPr>
            <w:r>
              <w:t>Opportunities for the affected Party or Parties to be involved in the EIA process</w:t>
            </w:r>
          </w:p>
        </w:tc>
        <w:tc>
          <w:tcPr>
            <w:tcW w:w="4508" w:type="dxa"/>
          </w:tcPr>
          <w:p w14:paraId="525BFF7D" w14:textId="3BB686CC" w:rsidR="000778F7" w:rsidRPr="00DF4FAE" w:rsidRDefault="000778F7" w:rsidP="002F3155">
            <w:pPr>
              <w:spacing w:after="60"/>
            </w:pPr>
            <w:r>
              <w:t>Yes</w:t>
            </w:r>
          </w:p>
        </w:tc>
      </w:tr>
      <w:tr w:rsidR="000778F7" w:rsidRPr="00DF4FAE" w14:paraId="4E987E01" w14:textId="77777777" w:rsidTr="002F3155">
        <w:tc>
          <w:tcPr>
            <w:tcW w:w="4508" w:type="dxa"/>
          </w:tcPr>
          <w:p w14:paraId="19CF03E5" w14:textId="645E269C" w:rsidR="000778F7" w:rsidRPr="00DF4FAE" w:rsidRDefault="000778F7" w:rsidP="002F3155">
            <w:pPr>
              <w:spacing w:before="60" w:after="60"/>
            </w:pPr>
            <w:r>
              <w:t>Opportunities for the affected Party or Parties to review and comment on the notification and the EIA documentation</w:t>
            </w:r>
          </w:p>
        </w:tc>
        <w:tc>
          <w:tcPr>
            <w:tcW w:w="4508" w:type="dxa"/>
          </w:tcPr>
          <w:p w14:paraId="35D52FD3" w14:textId="0AFC1B19" w:rsidR="000778F7" w:rsidRPr="00DF4FAE" w:rsidRDefault="000778F7" w:rsidP="002F3155">
            <w:pPr>
              <w:spacing w:after="60"/>
            </w:pPr>
            <w:r>
              <w:t>Yes</w:t>
            </w:r>
          </w:p>
        </w:tc>
      </w:tr>
      <w:tr w:rsidR="000778F7" w:rsidRPr="00DF4FAE" w14:paraId="0E888F71" w14:textId="77777777" w:rsidTr="002F3155">
        <w:tc>
          <w:tcPr>
            <w:tcW w:w="4508" w:type="dxa"/>
          </w:tcPr>
          <w:p w14:paraId="5A58D365" w14:textId="04A83B31" w:rsidR="000778F7" w:rsidRPr="00DF4FAE" w:rsidRDefault="000778F7" w:rsidP="002F3155">
            <w:pPr>
              <w:spacing w:before="60" w:after="60"/>
            </w:pPr>
            <w:r>
              <w:t>Nature and timing of the possible decision</w:t>
            </w:r>
          </w:p>
        </w:tc>
        <w:tc>
          <w:tcPr>
            <w:tcW w:w="4508" w:type="dxa"/>
          </w:tcPr>
          <w:p w14:paraId="44F3879D" w14:textId="77777777" w:rsidR="000778F7" w:rsidRPr="00DF4FAE" w:rsidRDefault="000778F7" w:rsidP="002F3155">
            <w:pPr>
              <w:spacing w:before="60"/>
            </w:pPr>
            <w:r>
              <w:t>In accordance with the Bulgarian legislation</w:t>
            </w:r>
          </w:p>
          <w:p w14:paraId="1CB2B2F8" w14:textId="4DA67072" w:rsidR="000778F7" w:rsidRPr="00DF4FAE" w:rsidRDefault="000778F7" w:rsidP="002F3155">
            <w:pPr>
              <w:spacing w:after="60"/>
            </w:pPr>
          </w:p>
        </w:tc>
      </w:tr>
      <w:tr w:rsidR="000778F7" w:rsidRPr="00DF4FAE" w14:paraId="0CC2957F" w14:textId="77777777" w:rsidTr="002F3155">
        <w:tc>
          <w:tcPr>
            <w:tcW w:w="4508" w:type="dxa"/>
          </w:tcPr>
          <w:p w14:paraId="1B540091" w14:textId="05349A29" w:rsidR="000778F7" w:rsidRPr="00DF4FAE" w:rsidRDefault="000778F7" w:rsidP="002F3155">
            <w:pPr>
              <w:spacing w:before="60" w:after="60"/>
            </w:pPr>
            <w:r>
              <w:t>Process for approval of the proposed activity</w:t>
            </w:r>
          </w:p>
        </w:tc>
        <w:tc>
          <w:tcPr>
            <w:tcW w:w="4508" w:type="dxa"/>
          </w:tcPr>
          <w:p w14:paraId="4E0ADB14" w14:textId="77777777" w:rsidR="000778F7" w:rsidRPr="00DF4FAE" w:rsidRDefault="000778F7" w:rsidP="002F3155">
            <w:pPr>
              <w:spacing w:before="60"/>
            </w:pPr>
            <w:r>
              <w:t>In accordance with the Bulgarian legislation</w:t>
            </w:r>
          </w:p>
          <w:p w14:paraId="00A67426" w14:textId="11837359" w:rsidR="000778F7" w:rsidRPr="00DF4FAE" w:rsidRDefault="000778F7" w:rsidP="002F3155">
            <w:pPr>
              <w:spacing w:after="60"/>
            </w:pPr>
          </w:p>
        </w:tc>
      </w:tr>
      <w:tr w:rsidR="000778F7" w:rsidRPr="00DF4FAE" w14:paraId="74949D88" w14:textId="77777777" w:rsidTr="002F3155">
        <w:tc>
          <w:tcPr>
            <w:tcW w:w="4508" w:type="dxa"/>
          </w:tcPr>
          <w:p w14:paraId="32E27735" w14:textId="7AECD214" w:rsidR="000778F7" w:rsidRPr="00DF4FAE" w:rsidRDefault="000778F7" w:rsidP="002F3155">
            <w:pPr>
              <w:spacing w:before="60" w:after="60"/>
            </w:pPr>
            <w:r>
              <w:t>Additional information/comments</w:t>
            </w:r>
          </w:p>
        </w:tc>
        <w:tc>
          <w:tcPr>
            <w:tcW w:w="4508" w:type="dxa"/>
          </w:tcPr>
          <w:p w14:paraId="3503F9D8" w14:textId="319E23A4" w:rsidR="000778F7" w:rsidRPr="00DF4FAE" w:rsidRDefault="000778F7" w:rsidP="002F3155">
            <w:pPr>
              <w:spacing w:after="60"/>
            </w:pPr>
            <w:r>
              <w:t xml:space="preserve">Further information on the EIA procedure can be found on the website of the Ministry </w:t>
            </w:r>
            <w:r>
              <w:lastRenderedPageBreak/>
              <w:t>of Environment and Water: www.moew.government.bg</w:t>
            </w:r>
          </w:p>
        </w:tc>
      </w:tr>
      <w:tr w:rsidR="000778F7" w:rsidRPr="00DF4FAE" w14:paraId="7E7E2057" w14:textId="77777777" w:rsidTr="002F3155">
        <w:tc>
          <w:tcPr>
            <w:tcW w:w="9016" w:type="dxa"/>
            <w:gridSpan w:val="2"/>
          </w:tcPr>
          <w:p w14:paraId="0F8F10A4" w14:textId="45C4C007" w:rsidR="000778F7" w:rsidRPr="000778F7" w:rsidRDefault="000778F7" w:rsidP="002F3155">
            <w:pPr>
              <w:spacing w:before="120" w:after="120"/>
              <w:jc w:val="center"/>
              <w:rPr>
                <w:b/>
                <w:bCs/>
              </w:rPr>
            </w:pPr>
            <w:r>
              <w:rPr>
                <w:b/>
              </w:rPr>
              <w:lastRenderedPageBreak/>
              <w:t>4. INFORMATION ON THE PUBLIC PARTICIPATION PROCESS IN THE COUNTRY OF ORIGIN</w:t>
            </w:r>
          </w:p>
        </w:tc>
      </w:tr>
      <w:tr w:rsidR="000778F7" w:rsidRPr="00DF4FAE" w14:paraId="248062BB" w14:textId="77777777" w:rsidTr="002F3155">
        <w:tc>
          <w:tcPr>
            <w:tcW w:w="4508" w:type="dxa"/>
          </w:tcPr>
          <w:p w14:paraId="1E9C73B1" w14:textId="3514DD47" w:rsidR="000778F7" w:rsidRPr="00DF4FAE" w:rsidRDefault="000778F7" w:rsidP="002F3155">
            <w:pPr>
              <w:spacing w:before="60" w:after="60"/>
            </w:pPr>
            <w:r>
              <w:t>Public participation procedures</w:t>
            </w:r>
          </w:p>
        </w:tc>
        <w:tc>
          <w:tcPr>
            <w:tcW w:w="4508" w:type="dxa"/>
          </w:tcPr>
          <w:p w14:paraId="7C79BCAA" w14:textId="77777777" w:rsidR="000778F7" w:rsidRPr="00DF4FAE" w:rsidRDefault="000778F7" w:rsidP="002F3155">
            <w:pPr>
              <w:spacing w:before="60"/>
            </w:pPr>
            <w:r>
              <w:t>The competent authority or an official authorised by it shall identify the municipalities, districts and/or communes concerned with which the contracting authority shall organise a public consultation on the EIA report and its annexes.</w:t>
            </w:r>
          </w:p>
          <w:p w14:paraId="6547B7B9" w14:textId="77777777" w:rsidR="000778F7" w:rsidRPr="00DF4FAE" w:rsidRDefault="000778F7" w:rsidP="002F3155">
            <w:r>
              <w:t>The contracting authority shall provide a copy of the EIA report with all its annexes to the municipalities, districts and/or communes concerned, as designated by the competent authority.</w:t>
            </w:r>
          </w:p>
          <w:p w14:paraId="0B6018B0" w14:textId="77777777" w:rsidR="000778F7" w:rsidRPr="00DF4FAE" w:rsidRDefault="000778F7" w:rsidP="002F3155">
            <w:r>
              <w:t xml:space="preserve">The municipalities, districts or communes concerned shall confirm in writing the place, date and time of the public consultation meeting(s), the place and time of public access to the EIA report and its annexes, and the place for submission of written comments or make any other proposal. They shall be announced by the contracting authority in the media and/or by other appropriate means at least 30 days before the meeting(s). </w:t>
            </w:r>
          </w:p>
          <w:p w14:paraId="730F1408" w14:textId="009FE1AC" w:rsidR="000778F7" w:rsidRPr="00DF4FAE" w:rsidRDefault="000778F7" w:rsidP="002F3155">
            <w:pPr>
              <w:spacing w:after="60"/>
            </w:pPr>
            <w:r>
              <w:t>The contracting authority shall notify the competent authority in writing of the place, date and time of the public consultation meeting(s), for publication by the competent authority on its website, at least 30 days before the public consultation meeting(s).</w:t>
            </w:r>
          </w:p>
        </w:tc>
      </w:tr>
      <w:tr w:rsidR="000778F7" w:rsidRPr="00DF4FAE" w14:paraId="07515E87" w14:textId="77777777" w:rsidTr="002F3155">
        <w:tc>
          <w:tcPr>
            <w:tcW w:w="4508" w:type="dxa"/>
          </w:tcPr>
          <w:p w14:paraId="5302A209" w14:textId="10A12CC6" w:rsidR="000778F7" w:rsidRPr="00DF4FAE" w:rsidRDefault="000778F7" w:rsidP="002F3155">
            <w:pPr>
              <w:spacing w:before="60" w:after="60"/>
            </w:pPr>
            <w:r>
              <w:t>Expected start and duration of public consultation</w:t>
            </w:r>
          </w:p>
        </w:tc>
        <w:tc>
          <w:tcPr>
            <w:tcW w:w="4508" w:type="dxa"/>
          </w:tcPr>
          <w:p w14:paraId="123F5EA2" w14:textId="77777777" w:rsidR="000778F7" w:rsidRDefault="000778F7" w:rsidP="002F3155">
            <w:pPr>
              <w:spacing w:before="60" w:after="120"/>
            </w:pPr>
            <w:r>
              <w:t xml:space="preserve">The start shall be the date on which the first public consultation meeting is held, in conjunction with the relevant municipalities, districts and/or communes concerned. </w:t>
            </w:r>
          </w:p>
          <w:p w14:paraId="270F0C23" w14:textId="241E1C65" w:rsidR="000778F7" w:rsidRPr="00DF4FAE" w:rsidRDefault="000778F7" w:rsidP="002F3155">
            <w:pPr>
              <w:spacing w:after="60"/>
            </w:pPr>
            <w:r>
              <w:t>The duration depends on the number of public consultation meetings.</w:t>
            </w:r>
          </w:p>
        </w:tc>
      </w:tr>
      <w:tr w:rsidR="000778F7" w:rsidRPr="00DF4FAE" w14:paraId="16704DFA" w14:textId="77777777" w:rsidTr="002F3155">
        <w:tc>
          <w:tcPr>
            <w:tcW w:w="4508" w:type="dxa"/>
          </w:tcPr>
          <w:p w14:paraId="0D3956C4" w14:textId="32341EFA" w:rsidR="000778F7" w:rsidRPr="00DF4FAE" w:rsidRDefault="000778F7" w:rsidP="002F3155">
            <w:pPr>
              <w:spacing w:before="60" w:after="60"/>
            </w:pPr>
            <w:r>
              <w:t>Additional information/comments</w:t>
            </w:r>
          </w:p>
        </w:tc>
        <w:tc>
          <w:tcPr>
            <w:tcW w:w="4508" w:type="dxa"/>
          </w:tcPr>
          <w:p w14:paraId="6BC24224" w14:textId="14953B92" w:rsidR="000778F7" w:rsidRPr="00DF4FAE" w:rsidRDefault="000778F7" w:rsidP="002F3155">
            <w:pPr>
              <w:spacing w:after="60"/>
            </w:pPr>
            <w:r>
              <w:t>None</w:t>
            </w:r>
          </w:p>
        </w:tc>
      </w:tr>
      <w:tr w:rsidR="000778F7" w:rsidRPr="00DF4FAE" w14:paraId="3C937F34" w14:textId="77777777" w:rsidTr="002F3155">
        <w:tc>
          <w:tcPr>
            <w:tcW w:w="9016" w:type="dxa"/>
            <w:gridSpan w:val="2"/>
          </w:tcPr>
          <w:p w14:paraId="7A4B79FB" w14:textId="7659F21E" w:rsidR="000778F7" w:rsidRPr="000778F7" w:rsidRDefault="000778F7" w:rsidP="002F3155">
            <w:pPr>
              <w:spacing w:before="120" w:after="120"/>
              <w:jc w:val="center"/>
              <w:rPr>
                <w:b/>
                <w:bCs/>
              </w:rPr>
            </w:pPr>
            <w:r>
              <w:rPr>
                <w:b/>
              </w:rPr>
              <w:t>5. DEADLINE FOR RESPONSE</w:t>
            </w:r>
          </w:p>
        </w:tc>
      </w:tr>
      <w:tr w:rsidR="000778F7" w:rsidRPr="00DF4FAE" w14:paraId="15DAEA31" w14:textId="77777777" w:rsidTr="002F3155">
        <w:tc>
          <w:tcPr>
            <w:tcW w:w="4508" w:type="dxa"/>
          </w:tcPr>
          <w:p w14:paraId="3CFBA585" w14:textId="506E43A9" w:rsidR="000778F7" w:rsidRPr="00DF4FAE" w:rsidRDefault="000778F7" w:rsidP="002F3155">
            <w:pPr>
              <w:spacing w:before="240" w:after="240"/>
            </w:pPr>
            <w:r>
              <w:t>Date</w:t>
            </w:r>
          </w:p>
        </w:tc>
        <w:tc>
          <w:tcPr>
            <w:tcW w:w="4508" w:type="dxa"/>
          </w:tcPr>
          <w:p w14:paraId="31267AF2" w14:textId="77777777" w:rsidR="000778F7" w:rsidRPr="00DF4FAE" w:rsidRDefault="000778F7" w:rsidP="002F3155">
            <w:pPr>
              <w:spacing w:before="60"/>
            </w:pPr>
            <w:r>
              <w:t>4 (four) weeks from the date of receipt of the notification</w:t>
            </w:r>
          </w:p>
          <w:p w14:paraId="1D09A3BA" w14:textId="2C475382" w:rsidR="000778F7" w:rsidRPr="00DF4FAE" w:rsidRDefault="000778F7" w:rsidP="002F3155">
            <w:pPr>
              <w:spacing w:after="60"/>
            </w:pPr>
          </w:p>
        </w:tc>
      </w:tr>
    </w:tbl>
    <w:p w14:paraId="182212C7" w14:textId="5193BD16" w:rsidR="00577734" w:rsidRDefault="002F3155">
      <w:r>
        <w:br w:type="textWrapping" w:clear="all"/>
      </w:r>
    </w:p>
    <w:sectPr w:rsidR="00577734" w:rsidSect="002F3155">
      <w:footerReference w:type="default" r:id="rId8"/>
      <w:footerReference w:type="first" r:id="rId9"/>
      <w:pgSz w:w="11906" w:h="16838"/>
      <w:pgMar w:top="851" w:right="851"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BCBE" w14:textId="77777777" w:rsidR="005C7EDB" w:rsidRDefault="005C7EDB" w:rsidP="00E90377">
      <w:r>
        <w:separator/>
      </w:r>
    </w:p>
  </w:endnote>
  <w:endnote w:type="continuationSeparator" w:id="0">
    <w:p w14:paraId="00989936" w14:textId="77777777" w:rsidR="005C7EDB" w:rsidRDefault="005C7EDB" w:rsidP="00E9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40301"/>
      <w:docPartObj>
        <w:docPartGallery w:val="Page Numbers (Bottom of Page)"/>
        <w:docPartUnique/>
      </w:docPartObj>
    </w:sdtPr>
    <w:sdtEndPr>
      <w:rPr>
        <w:color w:val="7F7F7F" w:themeColor="background1" w:themeShade="7F"/>
        <w:spacing w:val="60"/>
      </w:rPr>
    </w:sdtEndPr>
    <w:sdtContent>
      <w:p w14:paraId="49EBDCC9" w14:textId="69EFC465" w:rsidR="00F97E06" w:rsidRPr="00F97E06" w:rsidRDefault="00F97E06" w:rsidP="00F97E06">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2</w:t>
        </w:r>
        <w:r>
          <w:fldChar w:fldCharType="end"/>
        </w:r>
        <w:r>
          <w:t xml:space="preserve"> | </w:t>
        </w:r>
        <w:r w:rsidR="002F3155">
          <w:rPr>
            <w:color w:val="7F7F7F" w:themeColor="background1" w:themeShade="7F"/>
            <w:lang w:val="bg-BG"/>
          </w:rPr>
          <w:t>9</w:t>
        </w:r>
      </w:p>
    </w:sdtContent>
  </w:sdt>
  <w:p w14:paraId="13D65B5D" w14:textId="77777777" w:rsidR="00F97E06" w:rsidRDefault="00F97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61763"/>
      <w:docPartObj>
        <w:docPartGallery w:val="Page Numbers (Bottom of Page)"/>
        <w:docPartUnique/>
      </w:docPartObj>
    </w:sdtPr>
    <w:sdtEndPr>
      <w:rPr>
        <w:color w:val="7F7F7F" w:themeColor="background1" w:themeShade="7F"/>
        <w:spacing w:val="60"/>
      </w:rPr>
    </w:sdtEndPr>
    <w:sdtContent>
      <w:p w14:paraId="5DDD7FAB" w14:textId="668B3505" w:rsidR="00F97E06" w:rsidRDefault="00F97E06">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fldChar w:fldCharType="end"/>
        </w:r>
        <w:r>
          <w:t xml:space="preserve"> | </w:t>
        </w:r>
        <w:r>
          <w:rPr>
            <w:color w:val="7F7F7F" w:themeColor="background1" w:themeShade="7F"/>
          </w:rPr>
          <w:t>9</w:t>
        </w:r>
      </w:p>
    </w:sdtContent>
  </w:sdt>
  <w:p w14:paraId="4CB52F1E" w14:textId="77777777" w:rsidR="00F97E06" w:rsidRDefault="00F9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5DC4" w14:textId="77777777" w:rsidR="005C7EDB" w:rsidRDefault="005C7EDB" w:rsidP="00E90377">
      <w:r>
        <w:separator/>
      </w:r>
    </w:p>
  </w:footnote>
  <w:footnote w:type="continuationSeparator" w:id="0">
    <w:p w14:paraId="131A7B6E" w14:textId="77777777" w:rsidR="005C7EDB" w:rsidRDefault="005C7EDB" w:rsidP="00E90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025"/>
    <w:multiLevelType w:val="hybridMultilevel"/>
    <w:tmpl w:val="5AAA8FB8"/>
    <w:lvl w:ilvl="0" w:tplc="B7BA0D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E146F00"/>
    <w:multiLevelType w:val="hybridMultilevel"/>
    <w:tmpl w:val="F14EDAE6"/>
    <w:lvl w:ilvl="0" w:tplc="DA3824D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58870642"/>
    <w:multiLevelType w:val="hybridMultilevel"/>
    <w:tmpl w:val="CDDE3DC0"/>
    <w:lvl w:ilvl="0" w:tplc="946C8E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80"/>
    <w:rsid w:val="000216CB"/>
    <w:rsid w:val="000363D6"/>
    <w:rsid w:val="0005062F"/>
    <w:rsid w:val="0005107A"/>
    <w:rsid w:val="000778F7"/>
    <w:rsid w:val="000955CD"/>
    <w:rsid w:val="000F41EA"/>
    <w:rsid w:val="00110FCD"/>
    <w:rsid w:val="001169D7"/>
    <w:rsid w:val="00173543"/>
    <w:rsid w:val="001E7742"/>
    <w:rsid w:val="001F56FA"/>
    <w:rsid w:val="00215803"/>
    <w:rsid w:val="0024461B"/>
    <w:rsid w:val="002512A9"/>
    <w:rsid w:val="002C235B"/>
    <w:rsid w:val="002C49D2"/>
    <w:rsid w:val="002F3155"/>
    <w:rsid w:val="002F560F"/>
    <w:rsid w:val="002F6439"/>
    <w:rsid w:val="00365280"/>
    <w:rsid w:val="00373D89"/>
    <w:rsid w:val="003B6F30"/>
    <w:rsid w:val="003C718E"/>
    <w:rsid w:val="003F2BA5"/>
    <w:rsid w:val="0040400E"/>
    <w:rsid w:val="004069F4"/>
    <w:rsid w:val="0042763C"/>
    <w:rsid w:val="00456814"/>
    <w:rsid w:val="00464D33"/>
    <w:rsid w:val="00466379"/>
    <w:rsid w:val="004A5E52"/>
    <w:rsid w:val="00513037"/>
    <w:rsid w:val="00526C53"/>
    <w:rsid w:val="00550C1F"/>
    <w:rsid w:val="0056281E"/>
    <w:rsid w:val="005C7376"/>
    <w:rsid w:val="005C7EDB"/>
    <w:rsid w:val="005D1419"/>
    <w:rsid w:val="005E411F"/>
    <w:rsid w:val="005F6DF0"/>
    <w:rsid w:val="006322B7"/>
    <w:rsid w:val="00653171"/>
    <w:rsid w:val="00672198"/>
    <w:rsid w:val="006B0BC9"/>
    <w:rsid w:val="006D08A9"/>
    <w:rsid w:val="00713A10"/>
    <w:rsid w:val="00763BC5"/>
    <w:rsid w:val="00765927"/>
    <w:rsid w:val="007A0304"/>
    <w:rsid w:val="007B6B0B"/>
    <w:rsid w:val="007C771B"/>
    <w:rsid w:val="00811227"/>
    <w:rsid w:val="00891290"/>
    <w:rsid w:val="008924D8"/>
    <w:rsid w:val="008972D7"/>
    <w:rsid w:val="008D06F8"/>
    <w:rsid w:val="009408D8"/>
    <w:rsid w:val="009512B5"/>
    <w:rsid w:val="00976FC5"/>
    <w:rsid w:val="00977A11"/>
    <w:rsid w:val="009E2120"/>
    <w:rsid w:val="00A17E78"/>
    <w:rsid w:val="00A20349"/>
    <w:rsid w:val="00A66FCF"/>
    <w:rsid w:val="00A7626F"/>
    <w:rsid w:val="00A9209D"/>
    <w:rsid w:val="00AA1AD9"/>
    <w:rsid w:val="00B0703E"/>
    <w:rsid w:val="00B115AB"/>
    <w:rsid w:val="00B37404"/>
    <w:rsid w:val="00B72201"/>
    <w:rsid w:val="00BB49A1"/>
    <w:rsid w:val="00BF608E"/>
    <w:rsid w:val="00C21E14"/>
    <w:rsid w:val="00C27A89"/>
    <w:rsid w:val="00C91FB4"/>
    <w:rsid w:val="00CB11D2"/>
    <w:rsid w:val="00CD1AD4"/>
    <w:rsid w:val="00CE0F8C"/>
    <w:rsid w:val="00CF17D0"/>
    <w:rsid w:val="00D51A61"/>
    <w:rsid w:val="00D55EDD"/>
    <w:rsid w:val="00D77B3D"/>
    <w:rsid w:val="00D8294F"/>
    <w:rsid w:val="00DB5957"/>
    <w:rsid w:val="00DB7A72"/>
    <w:rsid w:val="00DD3FCC"/>
    <w:rsid w:val="00DF1C2B"/>
    <w:rsid w:val="00DF4FAE"/>
    <w:rsid w:val="00E41F3C"/>
    <w:rsid w:val="00E511EB"/>
    <w:rsid w:val="00E90377"/>
    <w:rsid w:val="00EA7866"/>
    <w:rsid w:val="00EB03CF"/>
    <w:rsid w:val="00ED12F5"/>
    <w:rsid w:val="00EF7537"/>
    <w:rsid w:val="00F46B94"/>
    <w:rsid w:val="00F54D60"/>
    <w:rsid w:val="00F555DE"/>
    <w:rsid w:val="00F93695"/>
    <w:rsid w:val="00F97E06"/>
    <w:rsid w:val="00FC54DE"/>
    <w:rsid w:val="00FD3FF4"/>
    <w:rsid w:val="00FF31D7"/>
    <w:rsid w:val="00FF57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49F1E"/>
  <w15:chartTrackingRefBased/>
  <w15:docId w15:val="{E4CBF201-A712-4C67-89B7-316A77C8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377"/>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377"/>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E90377"/>
  </w:style>
  <w:style w:type="paragraph" w:styleId="Footer">
    <w:name w:val="footer"/>
    <w:basedOn w:val="Normal"/>
    <w:link w:val="FooterChar"/>
    <w:uiPriority w:val="99"/>
    <w:unhideWhenUsed/>
    <w:rsid w:val="00E90377"/>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E90377"/>
  </w:style>
  <w:style w:type="paragraph" w:styleId="FootnoteText">
    <w:name w:val="footnote text"/>
    <w:basedOn w:val="Normal"/>
    <w:link w:val="FootnoteTextChar"/>
    <w:uiPriority w:val="99"/>
    <w:unhideWhenUsed/>
    <w:rsid w:val="008972D7"/>
    <w:rPr>
      <w:sz w:val="20"/>
      <w:szCs w:val="20"/>
    </w:rPr>
  </w:style>
  <w:style w:type="character" w:customStyle="1" w:styleId="FootnoteTextChar">
    <w:name w:val="Footnote Text Char"/>
    <w:basedOn w:val="DefaultParagraphFont"/>
    <w:link w:val="FootnoteText"/>
    <w:uiPriority w:val="99"/>
    <w:rsid w:val="008972D7"/>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8972D7"/>
    <w:rPr>
      <w:vertAlign w:val="superscript"/>
    </w:rPr>
  </w:style>
  <w:style w:type="character" w:styleId="Hyperlink">
    <w:name w:val="Hyperlink"/>
    <w:basedOn w:val="DefaultParagraphFont"/>
    <w:uiPriority w:val="99"/>
    <w:unhideWhenUsed/>
    <w:rsid w:val="002F6439"/>
    <w:rPr>
      <w:color w:val="0563C1" w:themeColor="hyperlink"/>
      <w:u w:val="single"/>
    </w:rPr>
  </w:style>
  <w:style w:type="table" w:styleId="TableGrid">
    <w:name w:val="Table Grid"/>
    <w:basedOn w:val="TableNormal"/>
    <w:uiPriority w:val="39"/>
    <w:rsid w:val="00ED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BA5"/>
    <w:pPr>
      <w:ind w:left="720"/>
      <w:contextualSpacing/>
    </w:pPr>
  </w:style>
  <w:style w:type="character" w:styleId="CommentReference">
    <w:name w:val="annotation reference"/>
    <w:basedOn w:val="DefaultParagraphFont"/>
    <w:uiPriority w:val="99"/>
    <w:semiHidden/>
    <w:unhideWhenUsed/>
    <w:rsid w:val="00811227"/>
    <w:rPr>
      <w:sz w:val="16"/>
      <w:szCs w:val="16"/>
    </w:rPr>
  </w:style>
  <w:style w:type="paragraph" w:styleId="CommentText">
    <w:name w:val="annotation text"/>
    <w:basedOn w:val="Normal"/>
    <w:link w:val="CommentTextChar"/>
    <w:uiPriority w:val="99"/>
    <w:semiHidden/>
    <w:unhideWhenUsed/>
    <w:rsid w:val="00811227"/>
    <w:rPr>
      <w:sz w:val="20"/>
      <w:szCs w:val="20"/>
    </w:rPr>
  </w:style>
  <w:style w:type="character" w:customStyle="1" w:styleId="CommentTextChar">
    <w:name w:val="Comment Text Char"/>
    <w:basedOn w:val="DefaultParagraphFont"/>
    <w:link w:val="CommentText"/>
    <w:uiPriority w:val="99"/>
    <w:semiHidden/>
    <w:rsid w:val="0081122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11227"/>
    <w:rPr>
      <w:b/>
      <w:bCs/>
    </w:rPr>
  </w:style>
  <w:style w:type="character" w:customStyle="1" w:styleId="CommentSubjectChar">
    <w:name w:val="Comment Subject Char"/>
    <w:basedOn w:val="CommentTextChar"/>
    <w:link w:val="CommentSubject"/>
    <w:uiPriority w:val="99"/>
    <w:semiHidden/>
    <w:rsid w:val="00811227"/>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D77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3D"/>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AFDD-CD6F-448B-B114-3D365202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Molodtsova</dc:creator>
  <cp:keywords/>
  <dc:description/>
  <cp:lastModifiedBy>Димитрова, Силвия В.</cp:lastModifiedBy>
  <cp:revision>4</cp:revision>
  <dcterms:created xsi:type="dcterms:W3CDTF">2025-01-07T12:09:00Z</dcterms:created>
  <dcterms:modified xsi:type="dcterms:W3CDTF">2025-01-13T13:48:00Z</dcterms:modified>
</cp:coreProperties>
</file>