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A6DF8" w14:textId="77777777" w:rsidR="00BB618A" w:rsidRPr="00F26633" w:rsidRDefault="00F26633" w:rsidP="00D80E89">
      <w:pPr>
        <w:spacing w:before="120" w:after="0"/>
        <w:rPr>
          <w:b/>
          <w:bCs/>
        </w:rPr>
      </w:pPr>
      <w:r w:rsidRPr="00F26633">
        <w:rPr>
          <w:b/>
          <w:bCs/>
        </w:rPr>
        <w:t xml:space="preserve">DIRECȚIA GENERALĂ APE </w:t>
      </w:r>
    </w:p>
    <w:p w14:paraId="4D298182" w14:textId="77777777" w:rsidR="005755A7" w:rsidRPr="00F26633" w:rsidRDefault="00B95BFE" w:rsidP="00B95BFE">
      <w:pPr>
        <w:spacing w:before="120" w:after="0"/>
        <w:rPr>
          <w:b/>
          <w:bCs/>
        </w:rPr>
      </w:pPr>
      <w:r w:rsidRPr="00F26633">
        <w:rPr>
          <w:b/>
          <w:bCs/>
        </w:rPr>
        <w:t xml:space="preserve">Nr. </w:t>
      </w:r>
      <w:r w:rsidR="003B77C8" w:rsidRPr="00F26633">
        <w:rPr>
          <w:b/>
          <w:bCs/>
        </w:rPr>
        <w:t>D</w:t>
      </w:r>
      <w:r w:rsidR="00F26633">
        <w:rPr>
          <w:b/>
          <w:bCs/>
        </w:rPr>
        <w:t>.</w:t>
      </w:r>
      <w:r w:rsidR="003B77C8" w:rsidRPr="00F26633">
        <w:rPr>
          <w:b/>
          <w:bCs/>
        </w:rPr>
        <w:t>G</w:t>
      </w:r>
      <w:r w:rsidR="00F26633">
        <w:rPr>
          <w:b/>
          <w:bCs/>
        </w:rPr>
        <w:t>.</w:t>
      </w:r>
      <w:r w:rsidR="003B77C8" w:rsidRPr="00F26633">
        <w:rPr>
          <w:b/>
          <w:bCs/>
        </w:rPr>
        <w:t>A</w:t>
      </w:r>
      <w:r w:rsidR="00F26633">
        <w:rPr>
          <w:b/>
          <w:bCs/>
        </w:rPr>
        <w:t>.</w:t>
      </w:r>
      <w:r w:rsidR="003B77C8" w:rsidRPr="00F26633">
        <w:rPr>
          <w:b/>
          <w:bCs/>
        </w:rPr>
        <w:t>/130462/08.12.2022</w:t>
      </w:r>
    </w:p>
    <w:p w14:paraId="4C5A3DD4" w14:textId="77777777" w:rsidR="005755A7" w:rsidRDefault="005755A7" w:rsidP="00B95BFE">
      <w:pPr>
        <w:spacing w:before="120" w:after="0"/>
      </w:pPr>
    </w:p>
    <w:p w14:paraId="3D02D38B" w14:textId="77777777" w:rsidR="005755A7" w:rsidRDefault="005755A7" w:rsidP="00B95BFE">
      <w:pPr>
        <w:spacing w:before="120" w:after="0"/>
      </w:pPr>
    </w:p>
    <w:p w14:paraId="307A5A0F" w14:textId="77777777" w:rsidR="005755A7" w:rsidRDefault="005755A7" w:rsidP="005755A7">
      <w:pPr>
        <w:spacing w:before="120" w:after="0"/>
      </w:pPr>
    </w:p>
    <w:p w14:paraId="60DDADC4" w14:textId="77777777" w:rsidR="009C2AB7" w:rsidRDefault="009C2AB7" w:rsidP="005755A7">
      <w:pPr>
        <w:spacing w:before="120" w:after="0"/>
      </w:pPr>
    </w:p>
    <w:p w14:paraId="33601A83" w14:textId="77777777" w:rsidR="005755A7" w:rsidRDefault="005755A7" w:rsidP="002E15D5">
      <w:pPr>
        <w:spacing w:before="120" w:after="0"/>
        <w:jc w:val="center"/>
        <w:rPr>
          <w:b/>
        </w:rPr>
      </w:pPr>
      <w:r w:rsidRPr="002E15D5">
        <w:rPr>
          <w:b/>
        </w:rPr>
        <w:t>REFERAT DE APROBARE</w:t>
      </w:r>
    </w:p>
    <w:p w14:paraId="08E5D30F" w14:textId="77777777" w:rsidR="00844B26" w:rsidRDefault="00844B26" w:rsidP="002E15D5">
      <w:pPr>
        <w:spacing w:before="120" w:after="0"/>
        <w:jc w:val="center"/>
        <w:rPr>
          <w:b/>
        </w:rPr>
      </w:pPr>
    </w:p>
    <w:p w14:paraId="73DE9427" w14:textId="77777777" w:rsidR="009C2AB7" w:rsidRDefault="009C2AB7" w:rsidP="002E15D5">
      <w:pPr>
        <w:spacing w:before="120" w:after="0"/>
        <w:jc w:val="center"/>
        <w:rPr>
          <w:b/>
        </w:rPr>
      </w:pPr>
    </w:p>
    <w:p w14:paraId="3CE694BA" w14:textId="77777777" w:rsidR="00F26633" w:rsidRDefault="00844B26" w:rsidP="00844B26">
      <w:pPr>
        <w:spacing w:before="120" w:after="0"/>
      </w:pPr>
      <w:r>
        <w:rPr>
          <w:b/>
        </w:rPr>
        <w:tab/>
      </w:r>
      <w:r w:rsidRPr="00844B26">
        <w:t>În cadrul proiectului „Implementarea și dezvoltarea de sisteme și standarde comune pentru optimizarea proceselor decizionale în domeniul apelor și pădurilor, aplicarea sistemului de politici bazate pe dovezi în Ministerul Apelor și Pădurilor pentru sistematizarea și simplificarea legislației din domeniul apelor și realizarea unor proceduri simplificate pentru reducerea poverii administrative pentru mediul de afaceri în domeniul silviculturii” (SIPOCA 395)</w:t>
      </w:r>
      <w:r>
        <w:t xml:space="preserve"> a fost </w:t>
      </w:r>
      <w:r w:rsidR="007005CD">
        <w:t>întreprins</w:t>
      </w:r>
      <w:r>
        <w:t>ă o amplă analiză a cadrului legislativ în vigoare în domeniul managementului apelor, în vederea îmbunătățirii acestuia.</w:t>
      </w:r>
      <w:r w:rsidR="007005CD" w:rsidRPr="007005CD">
        <w:t xml:space="preserve"> </w:t>
      </w:r>
    </w:p>
    <w:p w14:paraId="74E48772" w14:textId="77777777" w:rsidR="00556DE0" w:rsidRDefault="00556DE0" w:rsidP="00844B26">
      <w:pPr>
        <w:spacing w:before="120" w:after="0"/>
        <w:rPr>
          <w:color w:val="FF0000"/>
        </w:rPr>
      </w:pPr>
      <w:r>
        <w:rPr>
          <w:color w:val="FF0000"/>
        </w:rPr>
        <w:t xml:space="preserve">            </w:t>
      </w:r>
      <w:r w:rsidRPr="00556DE0">
        <w:rPr>
          <w:color w:val="000000" w:themeColor="text1"/>
        </w:rPr>
        <w:t xml:space="preserve">Conform specificațiilor din cererea de finanțare, Subactivitatea A14.1: Propuneri de simplificare și sistematizare a legislației în domeniu, inclusiv cu parcurgerea unor etape de consultare publică, s-a efectuat o analiză a tuturor actelor normative din domeniul managementului apei, prin aplicarea riguroasă a principiilor necesității și proporționalității, cu verificarea corelațiilor și a redundanței reglementărilor din cuprinsul acestor acte normative. </w:t>
      </w:r>
    </w:p>
    <w:p w14:paraId="7E2D257C" w14:textId="77777777" w:rsidR="00F147B6" w:rsidRPr="00556DE0" w:rsidRDefault="00556DE0" w:rsidP="00844B26">
      <w:pPr>
        <w:spacing w:before="120" w:after="0"/>
        <w:rPr>
          <w:color w:val="000000" w:themeColor="text1"/>
        </w:rPr>
      </w:pPr>
      <w:r>
        <w:rPr>
          <w:color w:val="FF0000"/>
        </w:rPr>
        <w:t xml:space="preserve">            </w:t>
      </w:r>
      <w:r w:rsidR="007005CD" w:rsidRPr="00556DE0">
        <w:rPr>
          <w:color w:val="000000" w:themeColor="text1"/>
        </w:rPr>
        <w:t>Această analiză a avut ca rezultat l</w:t>
      </w:r>
      <w:r w:rsidR="00844B26" w:rsidRPr="00556DE0">
        <w:rPr>
          <w:color w:val="000000" w:themeColor="text1"/>
        </w:rPr>
        <w:t>ivrabilul intitula</w:t>
      </w:r>
      <w:r w:rsidR="007005CD" w:rsidRPr="00556DE0">
        <w:rPr>
          <w:color w:val="000000" w:themeColor="text1"/>
        </w:rPr>
        <w:t>t</w:t>
      </w:r>
      <w:r w:rsidR="00844B26" w:rsidRPr="00556DE0">
        <w:rPr>
          <w:color w:val="000000" w:themeColor="text1"/>
        </w:rPr>
        <w:t xml:space="preserve"> „Listă de propuneri de simplificare și sistematizare a legislației în domeniul managementului apei”</w:t>
      </w:r>
      <w:r w:rsidR="007005CD" w:rsidRPr="00556DE0">
        <w:rPr>
          <w:color w:val="000000" w:themeColor="text1"/>
        </w:rPr>
        <w:t>.</w:t>
      </w:r>
      <w:r w:rsidR="00E53694" w:rsidRPr="00556DE0">
        <w:rPr>
          <w:color w:val="000000" w:themeColor="text1"/>
        </w:rPr>
        <w:t xml:space="preserve"> În cadrul liste</w:t>
      </w:r>
      <w:r w:rsidR="00EC5979" w:rsidRPr="00556DE0">
        <w:rPr>
          <w:color w:val="000000" w:themeColor="text1"/>
        </w:rPr>
        <w:t>i menționate</w:t>
      </w:r>
      <w:r w:rsidR="00E53694" w:rsidRPr="00556DE0">
        <w:rPr>
          <w:color w:val="000000" w:themeColor="text1"/>
        </w:rPr>
        <w:t xml:space="preserve"> se regăsește </w:t>
      </w:r>
      <w:r w:rsidR="00557338" w:rsidRPr="00556DE0">
        <w:rPr>
          <w:color w:val="000000" w:themeColor="text1"/>
        </w:rPr>
        <w:t xml:space="preserve">și </w:t>
      </w:r>
      <w:r w:rsidR="00E53694" w:rsidRPr="00556DE0">
        <w:rPr>
          <w:color w:val="000000" w:themeColor="text1"/>
        </w:rPr>
        <w:t>propunerea de abrogare a Ordinului</w:t>
      </w:r>
      <w:r w:rsidR="00F147B6" w:rsidRPr="00556DE0">
        <w:rPr>
          <w:color w:val="000000" w:themeColor="text1"/>
        </w:rPr>
        <w:t xml:space="preserve"> </w:t>
      </w:r>
      <w:r w:rsidRPr="00556DE0">
        <w:rPr>
          <w:color w:val="000000" w:themeColor="text1"/>
        </w:rPr>
        <w:t xml:space="preserve">ministrului mediului și gospodăririi apelor </w:t>
      </w:r>
      <w:r w:rsidR="00557338" w:rsidRPr="00556DE0">
        <w:rPr>
          <w:color w:val="000000" w:themeColor="text1"/>
        </w:rPr>
        <w:t xml:space="preserve">nr.245/2005 </w:t>
      </w:r>
      <w:r w:rsidRPr="00556DE0">
        <w:rPr>
          <w:color w:val="000000" w:themeColor="text1"/>
        </w:rPr>
        <w:t>pentru aprobarea Metodologiei de evaluare a riscului substanţelor periculoase din listele I şi II şi al substanţelor prioritare/prioritar periculoase în mediul acvatic prin modelare matematică şi a Metodologiei de evaluare a impactului substanţelor periculoase din listele I şi II şi al substanţelor prioritare/prioritar periculoase asupra mediului acvatic prin teste ecotoxicologice - alge verzi, dafnia, peşti</w:t>
      </w:r>
      <w:r w:rsidR="00F147B6" w:rsidRPr="00556DE0">
        <w:rPr>
          <w:color w:val="000000" w:themeColor="text1"/>
        </w:rPr>
        <w:t>, publicat în Monitorul Oficial, Partea I</w:t>
      </w:r>
      <w:r w:rsidR="00EC5979" w:rsidRPr="00556DE0">
        <w:rPr>
          <w:color w:val="000000" w:themeColor="text1"/>
        </w:rPr>
        <w:t>,</w:t>
      </w:r>
      <w:r w:rsidR="00F147B6" w:rsidRPr="00556DE0">
        <w:rPr>
          <w:color w:val="000000" w:themeColor="text1"/>
        </w:rPr>
        <w:t xml:space="preserve"> nr. 5</w:t>
      </w:r>
      <w:r w:rsidR="00557338" w:rsidRPr="00556DE0">
        <w:rPr>
          <w:color w:val="000000" w:themeColor="text1"/>
        </w:rPr>
        <w:t>65</w:t>
      </w:r>
      <w:r w:rsidR="00F147B6" w:rsidRPr="00556DE0">
        <w:rPr>
          <w:color w:val="000000" w:themeColor="text1"/>
        </w:rPr>
        <w:t xml:space="preserve"> din </w:t>
      </w:r>
      <w:r w:rsidR="00557338" w:rsidRPr="00556DE0">
        <w:rPr>
          <w:color w:val="000000" w:themeColor="text1"/>
        </w:rPr>
        <w:t>01</w:t>
      </w:r>
      <w:r w:rsidR="00F147B6" w:rsidRPr="00556DE0">
        <w:rPr>
          <w:color w:val="000000" w:themeColor="text1"/>
        </w:rPr>
        <w:t xml:space="preserve"> </w:t>
      </w:r>
      <w:r w:rsidR="00557338" w:rsidRPr="00556DE0">
        <w:rPr>
          <w:color w:val="000000" w:themeColor="text1"/>
        </w:rPr>
        <w:t>iulie 2005</w:t>
      </w:r>
      <w:r w:rsidR="00F147B6" w:rsidRPr="00556DE0">
        <w:rPr>
          <w:color w:val="000000" w:themeColor="text1"/>
        </w:rPr>
        <w:t xml:space="preserve">. </w:t>
      </w:r>
    </w:p>
    <w:p w14:paraId="2503F6AB" w14:textId="77777777" w:rsidR="00556DE0" w:rsidRPr="00556DE0" w:rsidRDefault="00556DE0" w:rsidP="00556DE0">
      <w:pPr>
        <w:spacing w:before="120" w:after="0"/>
        <w:ind w:firstLine="720"/>
        <w:rPr>
          <w:color w:val="000000" w:themeColor="text1"/>
        </w:rPr>
      </w:pPr>
      <w:r w:rsidRPr="00556DE0">
        <w:rPr>
          <w:color w:val="000000" w:themeColor="text1"/>
        </w:rPr>
        <w:t>În acest context, menționăm că propunerea de abrogare se bazează pe argumente logice și pertinente.</w:t>
      </w:r>
    </w:p>
    <w:p w14:paraId="241AB1E6" w14:textId="591B6234" w:rsidR="00767311" w:rsidRPr="00767311" w:rsidRDefault="00556DE0" w:rsidP="00767311">
      <w:pPr>
        <w:spacing w:before="120" w:after="0"/>
        <w:ind w:firstLine="720"/>
        <w:rPr>
          <w:color w:val="000000" w:themeColor="text1"/>
          <w:highlight w:val="yellow"/>
        </w:rPr>
      </w:pPr>
      <w:r w:rsidRPr="00767311">
        <w:rPr>
          <w:color w:val="000000" w:themeColor="text1"/>
        </w:rPr>
        <w:t xml:space="preserve">Astfel, </w:t>
      </w:r>
      <w:r w:rsidR="00A00B93" w:rsidRPr="00767311">
        <w:rPr>
          <w:color w:val="000000" w:themeColor="text1"/>
        </w:rPr>
        <w:t xml:space="preserve">Ordinul </w:t>
      </w:r>
      <w:r w:rsidRPr="00767311">
        <w:rPr>
          <w:color w:val="000000" w:themeColor="text1"/>
        </w:rPr>
        <w:t xml:space="preserve">ministrului mediului și gospodăririi apelor </w:t>
      </w:r>
      <w:r w:rsidR="00A00B93" w:rsidRPr="00767311">
        <w:rPr>
          <w:color w:val="000000" w:themeColor="text1"/>
        </w:rPr>
        <w:t>nr.</w:t>
      </w:r>
      <w:r w:rsidR="00557338" w:rsidRPr="00767311">
        <w:rPr>
          <w:color w:val="000000" w:themeColor="text1"/>
        </w:rPr>
        <w:t xml:space="preserve">245/2005 </w:t>
      </w:r>
      <w:r w:rsidR="00A00B93" w:rsidRPr="00767311">
        <w:rPr>
          <w:color w:val="000000" w:themeColor="text1"/>
        </w:rPr>
        <w:t xml:space="preserve">a fost emis în </w:t>
      </w:r>
      <w:r w:rsidR="00767311" w:rsidRPr="00767311">
        <w:rPr>
          <w:color w:val="000000" w:themeColor="text1"/>
        </w:rPr>
        <w:t xml:space="preserve">scopul elaborării evaluării riscului pentru biotopul şi biocenoza mediului acvatic, pe baza prognozării nivelului de dispersie şi acumulare a substanţelor periculoase din listele I şi II şi a substanţelor prioritare/prioritar periculoase provenite de la evacuările acestor substanţe din surse punctiforme, precum și pentru stabilirea efectului toxic al evacuărilor de ape uzate din surse punctiforme, cu conţinut de substanţe periculoase din listele I şi II şi de substanţe prioritare/prioritar periculoase, asupra sistemelor biologice acvatice din mediul acvatic, în </w:t>
      </w:r>
      <w:r w:rsidR="00767311" w:rsidRPr="00767311">
        <w:rPr>
          <w:color w:val="000000" w:themeColor="text1"/>
        </w:rPr>
        <w:lastRenderedPageBreak/>
        <w:t>conformitate cu prevederile art. 6 alin. (6) din anexa la Hotărârea Guvernului nr.118/2002 privind aprobarea Programului de acţiune pentru reducerea poluării mediului acvatic şi a apelor subterane, cauzată de evacuarea unor substanţe periculoase.</w:t>
      </w:r>
    </w:p>
    <w:p w14:paraId="2F278BBD" w14:textId="77777777" w:rsidR="00F05BEE" w:rsidRPr="00767311" w:rsidRDefault="00767311" w:rsidP="00321DF9">
      <w:pPr>
        <w:spacing w:before="120" w:after="0"/>
        <w:ind w:firstLine="720"/>
        <w:rPr>
          <w:color w:val="000000" w:themeColor="text1"/>
        </w:rPr>
      </w:pPr>
      <w:r w:rsidRPr="00767311">
        <w:rPr>
          <w:color w:val="000000" w:themeColor="text1"/>
        </w:rPr>
        <w:t xml:space="preserve">Hotărârea Guvernului nr.118/2002 </w:t>
      </w:r>
      <w:r w:rsidR="00557338" w:rsidRPr="00767311">
        <w:rPr>
          <w:color w:val="000000" w:themeColor="text1"/>
        </w:rPr>
        <w:t xml:space="preserve">a transpus în legislația românească </w:t>
      </w:r>
      <w:r w:rsidR="00FE3B9F" w:rsidRPr="00767311">
        <w:rPr>
          <w:color w:val="000000" w:themeColor="text1"/>
        </w:rPr>
        <w:t>Directivel</w:t>
      </w:r>
      <w:r w:rsidR="00557338" w:rsidRPr="00767311">
        <w:rPr>
          <w:color w:val="000000" w:themeColor="text1"/>
        </w:rPr>
        <w:t>e</w:t>
      </w:r>
      <w:r w:rsidR="00FE3B9F" w:rsidRPr="00767311">
        <w:rPr>
          <w:color w:val="000000" w:themeColor="text1"/>
        </w:rPr>
        <w:t xml:space="preserve"> </w:t>
      </w:r>
      <w:r w:rsidRPr="00767311">
        <w:rPr>
          <w:color w:val="000000" w:themeColor="text1"/>
        </w:rPr>
        <w:t>nr.76/464/EEC, 82/176/CEE, 83/513/CEE, 84/491/CEE, 84/156/CEE, 86/280/CEE privind protecția apelor împotriva poluării cu anumite substanțe chimice periculoase.</w:t>
      </w:r>
    </w:p>
    <w:p w14:paraId="1B289A91" w14:textId="77777777" w:rsidR="00556DE0" w:rsidRPr="00556DE0" w:rsidRDefault="00453FDF" w:rsidP="006A60D9">
      <w:pPr>
        <w:spacing w:before="120" w:after="0"/>
        <w:ind w:firstLine="720"/>
        <w:rPr>
          <w:color w:val="000000" w:themeColor="text1"/>
        </w:rPr>
      </w:pPr>
      <w:r w:rsidRPr="00556DE0">
        <w:rPr>
          <w:color w:val="000000" w:themeColor="text1"/>
        </w:rPr>
        <w:t>Ulterior emiterii acestui ordin, cadrul legislativ european în domeniu a evoluat</w:t>
      </w:r>
      <w:r w:rsidR="00A36C3E" w:rsidRPr="00556DE0">
        <w:rPr>
          <w:color w:val="000000" w:themeColor="text1"/>
        </w:rPr>
        <w:t>,</w:t>
      </w:r>
      <w:r w:rsidRPr="00556DE0">
        <w:rPr>
          <w:color w:val="000000" w:themeColor="text1"/>
        </w:rPr>
        <w:t xml:space="preserve"> în scopul </w:t>
      </w:r>
      <w:r w:rsidR="00556DE0" w:rsidRPr="00556DE0">
        <w:rPr>
          <w:color w:val="000000" w:themeColor="text1"/>
        </w:rPr>
        <w:t>punerii în acord a</w:t>
      </w:r>
      <w:r w:rsidRPr="00556DE0">
        <w:rPr>
          <w:color w:val="000000" w:themeColor="text1"/>
        </w:rPr>
        <w:t xml:space="preserve"> directivelor amintite cu Directiva 2000/60/CE de stabilire a unui cadru de politică comunitară în domeniul apei (Directiva - cadru a Apelor). </w:t>
      </w:r>
    </w:p>
    <w:p w14:paraId="7FBE7C65" w14:textId="0A933A2A" w:rsidR="00556DE0" w:rsidRDefault="00453FDF" w:rsidP="006A60D9">
      <w:pPr>
        <w:spacing w:before="120" w:after="0"/>
        <w:ind w:firstLine="720"/>
        <w:rPr>
          <w:color w:val="000000" w:themeColor="text1"/>
        </w:rPr>
      </w:pPr>
      <w:r w:rsidRPr="00545025">
        <w:rPr>
          <w:color w:val="000000" w:themeColor="text1"/>
        </w:rPr>
        <w:t>P</w:t>
      </w:r>
      <w:r w:rsidR="00CE6CD6" w:rsidRPr="00545025">
        <w:rPr>
          <w:color w:val="000000" w:themeColor="text1"/>
        </w:rPr>
        <w:t>entru a transpune schimbările intervenite pe plan european, H</w:t>
      </w:r>
      <w:r w:rsidR="00545025" w:rsidRPr="00545025">
        <w:rPr>
          <w:color w:val="000000" w:themeColor="text1"/>
        </w:rPr>
        <w:t xml:space="preserve">otărârea </w:t>
      </w:r>
      <w:r w:rsidR="00CE6CD6" w:rsidRPr="00545025">
        <w:rPr>
          <w:color w:val="000000" w:themeColor="text1"/>
        </w:rPr>
        <w:t>G</w:t>
      </w:r>
      <w:r w:rsidR="00545025" w:rsidRPr="00545025">
        <w:rPr>
          <w:color w:val="000000" w:themeColor="text1"/>
        </w:rPr>
        <w:t>uvernului</w:t>
      </w:r>
      <w:r w:rsidR="00CE6CD6" w:rsidRPr="00545025">
        <w:rPr>
          <w:color w:val="000000" w:themeColor="text1"/>
        </w:rPr>
        <w:t xml:space="preserve"> nr.118/2002 </w:t>
      </w:r>
      <w:r w:rsidR="00545025" w:rsidRPr="00545025">
        <w:rPr>
          <w:color w:val="000000" w:themeColor="text1"/>
        </w:rPr>
        <w:t>a fost abrogată parțial</w:t>
      </w:r>
      <w:r w:rsidR="00CE6CD6" w:rsidRPr="00545025">
        <w:rPr>
          <w:color w:val="000000" w:themeColor="text1"/>
        </w:rPr>
        <w:t xml:space="preserve"> de Hotărârea Guvernului nr.351/2005 privind aprobarea Programului de măsuri împotriva poluării cu substanţe chimice. </w:t>
      </w:r>
    </w:p>
    <w:p w14:paraId="49B73915" w14:textId="3CD828BB" w:rsidR="00227F27" w:rsidRDefault="00227F27" w:rsidP="00227F27">
      <w:pPr>
        <w:spacing w:before="120" w:after="0"/>
        <w:ind w:firstLine="720"/>
        <w:rPr>
          <w:color w:val="000000" w:themeColor="text1"/>
        </w:rPr>
      </w:pPr>
      <w:r w:rsidRPr="00267DD5">
        <w:rPr>
          <w:color w:val="000000" w:themeColor="text1"/>
        </w:rPr>
        <w:t>În acest context, mențion</w:t>
      </w:r>
      <w:r>
        <w:rPr>
          <w:color w:val="000000" w:themeColor="text1"/>
        </w:rPr>
        <w:t>ăm</w:t>
      </w:r>
      <w:r w:rsidRPr="00267DD5">
        <w:rPr>
          <w:color w:val="000000" w:themeColor="text1"/>
        </w:rPr>
        <w:t xml:space="preserve"> faptul că </w:t>
      </w:r>
      <w:r>
        <w:rPr>
          <w:color w:val="000000" w:themeColor="text1"/>
        </w:rPr>
        <w:t xml:space="preserve">la </w:t>
      </w:r>
      <w:r w:rsidRPr="00267DD5">
        <w:rPr>
          <w:color w:val="000000" w:themeColor="text1"/>
        </w:rPr>
        <w:t>art.11 alin.(7) lit.c) din Programul de măsuri împotriva poluării cu substanţe chimice, aprobat prin Hotărârea Guvernului nr.351/2005</w:t>
      </w:r>
      <w:r>
        <w:rPr>
          <w:color w:val="000000" w:themeColor="text1"/>
        </w:rPr>
        <w:t xml:space="preserve">, </w:t>
      </w:r>
      <w:r w:rsidRPr="00267DD5">
        <w:rPr>
          <w:color w:val="000000" w:themeColor="text1"/>
          <w:lang w:val="en-US"/>
        </w:rPr>
        <w:t>„</w:t>
      </w:r>
      <w:r w:rsidRPr="00267DD5">
        <w:rPr>
          <w:color w:val="000000" w:themeColor="text1"/>
        </w:rPr>
        <w:t>Programele de reducere a poluării cuprind situaţia curentă a evaluării riscului şi impactului asupra resurselor de apă de suprafaţă şi subterane şi a mediului acvatic pentru poluanţii specifici din listele I şi II şi pentru substanţele prioritare, conform unei metodologii specifice, aprobată prin Ordinul ministrului mediului şi gospodăririi apelor pentru aprobarea Metodologiei de evaluare a riscului substanţelor periculoase din listele I şi II şi a substanţelor prioritare/prioritar periculoase în mediul acvatic prin modelare matematică şi a Metodologiei de evaluare a impactului substanţelor periculoase din listele I şi II şi a substanţelor prioritare/prioritar periculoase asupra mediului acvatic prin teste ecotoxicologice - alge verzi, Dafnia, peşti</w:t>
      </w:r>
      <w:r w:rsidRPr="00267DD5">
        <w:rPr>
          <w:color w:val="000000" w:themeColor="text1"/>
          <w:lang w:val="en-US"/>
        </w:rPr>
        <w:t>”</w:t>
      </w:r>
      <w:r w:rsidRPr="00267DD5">
        <w:rPr>
          <w:color w:val="000000" w:themeColor="text1"/>
        </w:rPr>
        <w:t xml:space="preserve">. </w:t>
      </w:r>
    </w:p>
    <w:p w14:paraId="1515C75A" w14:textId="4B9F53FE" w:rsidR="00227F27" w:rsidRPr="00545025" w:rsidRDefault="00227F27" w:rsidP="00227F27">
      <w:pPr>
        <w:spacing w:before="120" w:after="0"/>
        <w:ind w:firstLine="720"/>
        <w:rPr>
          <w:color w:val="000000" w:themeColor="text1"/>
        </w:rPr>
      </w:pPr>
      <w:r>
        <w:rPr>
          <w:color w:val="000000" w:themeColor="text1"/>
        </w:rPr>
        <w:t xml:space="preserve">Pe cale consecință, </w:t>
      </w:r>
      <w:r w:rsidRPr="00267DD5">
        <w:rPr>
          <w:color w:val="000000" w:themeColor="text1"/>
        </w:rPr>
        <w:t>Ordinul ministrului mediului și gospodăririi apelor nr.245/2005 nu a fost abrogat</w:t>
      </w:r>
      <w:r>
        <w:rPr>
          <w:color w:val="000000" w:themeColor="text1"/>
        </w:rPr>
        <w:t>.</w:t>
      </w:r>
    </w:p>
    <w:p w14:paraId="7F8D90AC" w14:textId="77777777" w:rsidR="00300B7E" w:rsidRPr="008E208B" w:rsidRDefault="00F05BEE" w:rsidP="00973DA2">
      <w:pPr>
        <w:spacing w:before="120" w:after="0"/>
        <w:ind w:firstLine="720"/>
        <w:rPr>
          <w:color w:val="000000" w:themeColor="text1"/>
        </w:rPr>
      </w:pPr>
      <w:r>
        <w:rPr>
          <w:color w:val="000000" w:themeColor="text1"/>
        </w:rPr>
        <w:t xml:space="preserve">Totodată, </w:t>
      </w:r>
      <w:r w:rsidR="00300B7E" w:rsidRPr="008E208B">
        <w:rPr>
          <w:color w:val="000000" w:themeColor="text1"/>
        </w:rPr>
        <w:t>s</w:t>
      </w:r>
      <w:r w:rsidR="0019721D" w:rsidRPr="008E208B">
        <w:rPr>
          <w:color w:val="000000" w:themeColor="text1"/>
        </w:rPr>
        <w:t>chimbări</w:t>
      </w:r>
      <w:r w:rsidR="006A60D9" w:rsidRPr="008E208B">
        <w:rPr>
          <w:color w:val="000000" w:themeColor="text1"/>
        </w:rPr>
        <w:t xml:space="preserve">le </w:t>
      </w:r>
      <w:r w:rsidR="00300B7E" w:rsidRPr="008E208B">
        <w:rPr>
          <w:color w:val="000000" w:themeColor="text1"/>
        </w:rPr>
        <w:t xml:space="preserve">fundamentale ale </w:t>
      </w:r>
      <w:r w:rsidR="0019721D" w:rsidRPr="008E208B">
        <w:rPr>
          <w:color w:val="000000" w:themeColor="text1"/>
        </w:rPr>
        <w:t>cadrului legislativ european în domeniu</w:t>
      </w:r>
      <w:r w:rsidR="006A60D9" w:rsidRPr="008E208B">
        <w:rPr>
          <w:color w:val="000000" w:themeColor="text1"/>
        </w:rPr>
        <w:t xml:space="preserve"> au condus </w:t>
      </w:r>
      <w:r w:rsidRPr="008E208B">
        <w:rPr>
          <w:color w:val="000000" w:themeColor="text1"/>
        </w:rPr>
        <w:t>la elaborarea și adoptarea unui nou Program de eliminare treptată a evacuărilor, emisiilor şi pierderilor de substanţe prioritar periculoase şi alte măsuri pentru principalii poluanţi, aprobat prin Hotărârea Guvernului nr.570/2016</w:t>
      </w:r>
      <w:r>
        <w:rPr>
          <w:color w:val="000000" w:themeColor="text1"/>
        </w:rPr>
        <w:t xml:space="preserve"> și implicit </w:t>
      </w:r>
      <w:r w:rsidR="008E208B" w:rsidRPr="008E208B">
        <w:rPr>
          <w:color w:val="000000" w:themeColor="text1"/>
        </w:rPr>
        <w:t>la abrogarea Hotărârii Guvernului nr.351/2005</w:t>
      </w:r>
      <w:r>
        <w:rPr>
          <w:color w:val="000000" w:themeColor="text1"/>
        </w:rPr>
        <w:t>.</w:t>
      </w:r>
    </w:p>
    <w:p w14:paraId="74F41389" w14:textId="77777777" w:rsidR="008E208B" w:rsidRPr="008E208B" w:rsidRDefault="00F05BEE" w:rsidP="00973DA2">
      <w:pPr>
        <w:spacing w:before="120" w:after="0"/>
        <w:ind w:firstLine="720"/>
        <w:rPr>
          <w:color w:val="000000" w:themeColor="text1"/>
        </w:rPr>
      </w:pPr>
      <w:r>
        <w:rPr>
          <w:color w:val="000000" w:themeColor="text1"/>
        </w:rPr>
        <w:t>În acest context</w:t>
      </w:r>
      <w:r w:rsidR="008E208B" w:rsidRPr="008E208B">
        <w:rPr>
          <w:color w:val="000000" w:themeColor="text1"/>
        </w:rPr>
        <w:t>, precizăm faptul că Programul de eliminare treptată a evacuărilor, emisiilor şi pierderilor de substanţe prioritar periculoase şi alte măsuri pentru principalii poluanţi, aprobat prin Hotărârea Guvernului nr.570/2016</w:t>
      </w:r>
      <w:r>
        <w:rPr>
          <w:color w:val="000000" w:themeColor="text1"/>
        </w:rPr>
        <w:t>,</w:t>
      </w:r>
      <w:r w:rsidR="008E208B" w:rsidRPr="008E208B">
        <w:rPr>
          <w:color w:val="000000" w:themeColor="text1"/>
        </w:rPr>
        <w:t xml:space="preserve"> </w:t>
      </w:r>
      <w:r w:rsidR="00973DA2" w:rsidRPr="008E208B">
        <w:rPr>
          <w:color w:val="000000" w:themeColor="text1"/>
        </w:rPr>
        <w:t xml:space="preserve">nu mai </w:t>
      </w:r>
      <w:r w:rsidR="008E208B" w:rsidRPr="008E208B">
        <w:rPr>
          <w:color w:val="000000" w:themeColor="text1"/>
        </w:rPr>
        <w:t>prevede</w:t>
      </w:r>
      <w:r w:rsidR="00973DA2" w:rsidRPr="008E208B">
        <w:rPr>
          <w:color w:val="000000" w:themeColor="text1"/>
        </w:rPr>
        <w:t xml:space="preserve"> nici o referire la evaluările de risc și de impact al substanțelor periculoase, </w:t>
      </w:r>
      <w:r w:rsidR="008E208B" w:rsidRPr="008E208B">
        <w:rPr>
          <w:color w:val="000000" w:themeColor="text1"/>
        </w:rPr>
        <w:t>dat fiind că</w:t>
      </w:r>
      <w:r w:rsidR="00973DA2" w:rsidRPr="008E208B">
        <w:rPr>
          <w:color w:val="000000" w:themeColor="text1"/>
        </w:rPr>
        <w:t xml:space="preserve"> noile directive transpuse nu conțin aceste cerințe. </w:t>
      </w:r>
    </w:p>
    <w:p w14:paraId="529E751D" w14:textId="77777777" w:rsidR="003D7A16" w:rsidRPr="008E208B" w:rsidRDefault="00973DA2" w:rsidP="00973DA2">
      <w:pPr>
        <w:spacing w:before="120" w:after="0"/>
        <w:ind w:firstLine="720"/>
        <w:rPr>
          <w:color w:val="000000" w:themeColor="text1"/>
        </w:rPr>
      </w:pPr>
      <w:r w:rsidRPr="008E208B">
        <w:rPr>
          <w:color w:val="000000" w:themeColor="text1"/>
        </w:rPr>
        <w:t>În prezent,</w:t>
      </w:r>
      <w:r w:rsidR="00F05BEE">
        <w:rPr>
          <w:color w:val="000000" w:themeColor="text1"/>
        </w:rPr>
        <w:t xml:space="preserve"> </w:t>
      </w:r>
      <w:r w:rsidRPr="008E208B">
        <w:rPr>
          <w:color w:val="000000" w:themeColor="text1"/>
        </w:rPr>
        <w:t xml:space="preserve">evaluările de risc și de impact al substanțelor periculoase se fac în conformitate cu cerințele detaliate din anexele Directivei-cadru a Apelor, transpusă în legislația românească prin Legea apelor nr.107/1996, cu modificările și completările ulterioare și sunt raportate la fiecare 6 ani Comisiei Europene în cadrul Planurilor de management al apelor pe bazine hidrografice.    </w:t>
      </w:r>
    </w:p>
    <w:p w14:paraId="23FFCD9A" w14:textId="704D1D52" w:rsidR="00F26633" w:rsidRDefault="003D7A16" w:rsidP="003D7A16">
      <w:pPr>
        <w:spacing w:before="120" w:after="0"/>
        <w:ind w:firstLine="720"/>
      </w:pPr>
      <w:r>
        <w:t xml:space="preserve">Având în vedere cele de mai sus, precum și necesitatea </w:t>
      </w:r>
      <w:r w:rsidRPr="003D7A16">
        <w:t>simplific</w:t>
      </w:r>
      <w:r>
        <w:t>ă</w:t>
      </w:r>
      <w:r w:rsidRPr="003D7A16">
        <w:t>r</w:t>
      </w:r>
      <w:r>
        <w:t>ii</w:t>
      </w:r>
      <w:r w:rsidRPr="003D7A16">
        <w:t xml:space="preserve"> și sistematiz</w:t>
      </w:r>
      <w:r>
        <w:t>ă</w:t>
      </w:r>
      <w:r w:rsidRPr="003D7A16">
        <w:t>r</w:t>
      </w:r>
      <w:r>
        <w:t>ii</w:t>
      </w:r>
      <w:r w:rsidRPr="003D7A16">
        <w:t xml:space="preserve"> legislației în domeniul apei</w:t>
      </w:r>
      <w:r>
        <w:t xml:space="preserve">, </w:t>
      </w:r>
      <w:r w:rsidR="00D85EAB">
        <w:t xml:space="preserve">Ministerul Mediului, Apelor și Pădurilor a consultat </w:t>
      </w:r>
      <w:r w:rsidR="00D85EAB" w:rsidRPr="00D85EAB">
        <w:t xml:space="preserve">Administraţia Naţională </w:t>
      </w:r>
      <w:r w:rsidR="00F26633">
        <w:t>„</w:t>
      </w:r>
      <w:r w:rsidR="00D85EAB" w:rsidRPr="00D85EAB">
        <w:t>Apele Române</w:t>
      </w:r>
      <w:r w:rsidR="00F26633">
        <w:t>”</w:t>
      </w:r>
      <w:r w:rsidR="00D85EAB">
        <w:t xml:space="preserve"> cu privire la </w:t>
      </w:r>
      <w:r w:rsidR="00F26633">
        <w:t xml:space="preserve">necesitatea </w:t>
      </w:r>
      <w:r w:rsidR="00D85EAB">
        <w:t xml:space="preserve">abrogării </w:t>
      </w:r>
      <w:r w:rsidR="009C2AB7">
        <w:t>Ordinului</w:t>
      </w:r>
      <w:r w:rsidR="009C2AB7" w:rsidRPr="00F147B6">
        <w:t xml:space="preserve"> </w:t>
      </w:r>
      <w:r w:rsidR="00F26633" w:rsidRPr="00F26633">
        <w:t xml:space="preserve">ministrului mediului și gospodăririi apelor </w:t>
      </w:r>
      <w:r w:rsidR="009C2AB7" w:rsidRPr="00557338">
        <w:t xml:space="preserve">nr.245/2005 pentru aprobarea Metodologiei de evaluare a riscului substanţelor periculoase din listele I şi II şi al substanţelor prioritare/prioritar periculoase în mediul acvatic </w:t>
      </w:r>
      <w:r w:rsidR="009C2AB7" w:rsidRPr="00557338">
        <w:lastRenderedPageBreak/>
        <w:t>prin modelare matematică şi a Metodologiei de evaluare a impactului substanţelor periculoase din listele I şi II şi al substanţelor prioritare/prioritar periculoase asupra mediului acvatic prin teste ecotoxicologice - alge verzi, dafnia, pe</w:t>
      </w:r>
      <w:r w:rsidR="00F26633">
        <w:t>ș</w:t>
      </w:r>
      <w:r w:rsidR="009C2AB7" w:rsidRPr="00557338">
        <w:t>ti</w:t>
      </w:r>
      <w:r w:rsidR="00F26633">
        <w:t xml:space="preserve">. </w:t>
      </w:r>
      <w:r w:rsidR="00F26633" w:rsidRPr="00F26633">
        <w:t>Astfel, prin adresa nr.DGA 130014/12.09.2022, s-a solicitat punctul de vedere al Administra</w:t>
      </w:r>
      <w:r w:rsidR="00F26633">
        <w:t>ț</w:t>
      </w:r>
      <w:r w:rsidR="00F26633" w:rsidRPr="00F26633">
        <w:t>iei Na</w:t>
      </w:r>
      <w:r w:rsidR="00F26633">
        <w:t>ț</w:t>
      </w:r>
      <w:r w:rsidR="00F26633" w:rsidRPr="00F26633">
        <w:t>ionale „Apele Române”, care cu adresa nr. 20627/CC/26.09.2022</w:t>
      </w:r>
      <w:r w:rsidR="00E33FEF">
        <w:t xml:space="preserve"> a</w:t>
      </w:r>
      <w:r w:rsidR="00F26633" w:rsidRPr="00F26633">
        <w:t xml:space="preserve"> comunic</w:t>
      </w:r>
      <w:r w:rsidR="00E33FEF">
        <w:t>at</w:t>
      </w:r>
      <w:r w:rsidR="00F26633" w:rsidRPr="00F26633">
        <w:t xml:space="preserve"> că este de acord cu acest demers.</w:t>
      </w:r>
    </w:p>
    <w:p w14:paraId="277F4E49" w14:textId="77777777" w:rsidR="005755A7" w:rsidRDefault="00F26633" w:rsidP="008934FA">
      <w:pPr>
        <w:spacing w:before="120" w:after="0"/>
        <w:ind w:firstLine="720"/>
      </w:pPr>
      <w:r w:rsidRPr="00F26633">
        <w:t xml:space="preserve">Ca urmare, a fost elaborat proiectul de ordin pentru abrogarea </w:t>
      </w:r>
      <w:r w:rsidR="009C2AB7">
        <w:t>Ordinului</w:t>
      </w:r>
      <w:r w:rsidR="009C2AB7" w:rsidRPr="00F147B6">
        <w:t xml:space="preserve"> </w:t>
      </w:r>
      <w:r w:rsidRPr="00F26633">
        <w:t xml:space="preserve">ministrului mediului și gospodăririi apelor </w:t>
      </w:r>
      <w:r w:rsidR="009C2AB7" w:rsidRPr="00557338">
        <w:t xml:space="preserve">nr.245/2005 pentru aprobarea Metodologiei de evaluare a riscului substanţelor periculoase din listele I şi II şi al substanţelor prioritare/prioritar periculoase în mediul acvatic prin modelare matematică şi a Metodologiei de evaluare a impactului substanţelor periculoase din listele I şi II şi al substanţelor prioritare/prioritar periculoase asupra mediului acvatic prin teste ecotoxicologice - </w:t>
      </w:r>
      <w:r w:rsidR="009C2AB7" w:rsidRPr="008820C2">
        <w:rPr>
          <w:color w:val="000000" w:themeColor="text1"/>
        </w:rPr>
        <w:t>alge verzi, dafnia, pe</w:t>
      </w:r>
      <w:r w:rsidRPr="008820C2">
        <w:rPr>
          <w:color w:val="000000" w:themeColor="text1"/>
        </w:rPr>
        <w:t>ș</w:t>
      </w:r>
      <w:r w:rsidR="009C2AB7" w:rsidRPr="008820C2">
        <w:rPr>
          <w:color w:val="000000" w:themeColor="text1"/>
        </w:rPr>
        <w:t>ti</w:t>
      </w:r>
      <w:r w:rsidRPr="008820C2">
        <w:rPr>
          <w:color w:val="000000" w:themeColor="text1"/>
        </w:rPr>
        <w:t>.</w:t>
      </w:r>
    </w:p>
    <w:p w14:paraId="59EB08FB" w14:textId="3B42EDC3" w:rsidR="005755A7" w:rsidRDefault="005755A7" w:rsidP="008934FA">
      <w:pPr>
        <w:spacing w:before="120" w:after="0"/>
        <w:ind w:firstLine="720"/>
      </w:pPr>
      <w:r>
        <w:t xml:space="preserve">Luând în considerare cele </w:t>
      </w:r>
      <w:r w:rsidR="008934FA">
        <w:t>prezentate anterior</w:t>
      </w:r>
      <w:r>
        <w:t xml:space="preserve">, </w:t>
      </w:r>
      <w:r w:rsidR="00F26633" w:rsidRPr="00F26633">
        <w:t xml:space="preserve">vă supunem spre aprobare proiectul de ordin pentru abrogarea </w:t>
      </w:r>
      <w:r w:rsidR="008934FA" w:rsidRPr="008934FA">
        <w:t>Ordinului ministrului mediului</w:t>
      </w:r>
      <w:r w:rsidR="009C2AB7">
        <w:t xml:space="preserve"> și gospodăririi apelor</w:t>
      </w:r>
      <w:r w:rsidR="008934FA" w:rsidRPr="008934FA">
        <w:t xml:space="preserve"> nr.</w:t>
      </w:r>
      <w:r w:rsidR="009C2AB7">
        <w:t>24</w:t>
      </w:r>
      <w:r w:rsidR="008934FA" w:rsidRPr="008934FA">
        <w:t>5/200</w:t>
      </w:r>
      <w:r w:rsidR="009C2AB7">
        <w:t>5</w:t>
      </w:r>
      <w:r w:rsidR="008934FA" w:rsidRPr="008934FA">
        <w:t xml:space="preserve">  </w:t>
      </w:r>
      <w:r w:rsidR="009C2AB7">
        <w:t xml:space="preserve">pentru </w:t>
      </w:r>
      <w:r w:rsidR="009C2AB7" w:rsidRPr="009C2AB7">
        <w:t>aprobarea Metodologiei de evaluare a riscului substanţelor periculoase din listele I şi II şi al substanţelor prioritare/prioritar periculoase în mediul acvatic prin modelare matematică şi a Metodologiei de evaluare a impactului substanţelor periculoase din listele I şi II şi al substanţelor prioritare/prioritar periculoase asupra mediului acvatic prin teste ecotoxicologice - alge verzi, dafnia, peşti</w:t>
      </w:r>
      <w:r>
        <w:t>.</w:t>
      </w:r>
    </w:p>
    <w:p w14:paraId="28C46372" w14:textId="77777777" w:rsidR="005755A7" w:rsidRDefault="005755A7" w:rsidP="005755A7">
      <w:pPr>
        <w:spacing w:before="120" w:after="0"/>
      </w:pPr>
    </w:p>
    <w:p w14:paraId="1127D339" w14:textId="77777777" w:rsidR="005755A7" w:rsidRPr="008E6600" w:rsidRDefault="005755A7" w:rsidP="008E6600">
      <w:pPr>
        <w:spacing w:before="120" w:after="0"/>
        <w:jc w:val="center"/>
        <w:rPr>
          <w:b/>
          <w:bCs/>
        </w:rPr>
      </w:pPr>
      <w:r w:rsidRPr="008E6600">
        <w:rPr>
          <w:b/>
          <w:bCs/>
        </w:rPr>
        <w:t>DIRECTOR GENERAL</w:t>
      </w:r>
    </w:p>
    <w:p w14:paraId="3FDEFE22" w14:textId="77777777" w:rsidR="005755A7" w:rsidRPr="008E6600" w:rsidRDefault="005755A7" w:rsidP="008E6600">
      <w:pPr>
        <w:spacing w:before="120" w:after="0"/>
        <w:jc w:val="center"/>
        <w:rPr>
          <w:b/>
          <w:bCs/>
        </w:rPr>
      </w:pPr>
      <w:r w:rsidRPr="008E6600">
        <w:rPr>
          <w:b/>
          <w:bCs/>
        </w:rPr>
        <w:t>Simona Olimpia NEGRU</w:t>
      </w:r>
    </w:p>
    <w:p w14:paraId="68C842AE" w14:textId="6AAE645B" w:rsidR="005755A7" w:rsidRDefault="005755A7" w:rsidP="008E6600">
      <w:pPr>
        <w:spacing w:before="120" w:after="0"/>
        <w:jc w:val="center"/>
        <w:rPr>
          <w:b/>
          <w:bCs/>
        </w:rPr>
      </w:pPr>
    </w:p>
    <w:p w14:paraId="3F4CE26E" w14:textId="03977AF8" w:rsidR="008E6600" w:rsidRDefault="008E6600" w:rsidP="008E6600">
      <w:pPr>
        <w:spacing w:before="120" w:after="0"/>
        <w:jc w:val="center"/>
        <w:rPr>
          <w:b/>
          <w:bCs/>
        </w:rPr>
      </w:pPr>
    </w:p>
    <w:p w14:paraId="655529DF" w14:textId="0F344F8B" w:rsidR="008E6600" w:rsidRDefault="008E6600" w:rsidP="008E6600">
      <w:pPr>
        <w:spacing w:before="120" w:after="0"/>
        <w:jc w:val="center"/>
        <w:rPr>
          <w:b/>
          <w:bCs/>
        </w:rPr>
      </w:pPr>
    </w:p>
    <w:p w14:paraId="64DC40D0" w14:textId="70AF6A0A" w:rsidR="008E6600" w:rsidRDefault="008E6600" w:rsidP="008E6600">
      <w:pPr>
        <w:spacing w:before="120" w:after="0"/>
        <w:jc w:val="center"/>
        <w:rPr>
          <w:b/>
          <w:bCs/>
        </w:rPr>
      </w:pPr>
    </w:p>
    <w:p w14:paraId="1483F2DA" w14:textId="25085A5B" w:rsidR="008E6600" w:rsidRDefault="008E6600" w:rsidP="008E6600">
      <w:pPr>
        <w:spacing w:before="120" w:after="0"/>
        <w:jc w:val="center"/>
        <w:rPr>
          <w:b/>
          <w:bCs/>
        </w:rPr>
      </w:pPr>
    </w:p>
    <w:p w14:paraId="5ED03F90" w14:textId="77777777" w:rsidR="00E33FEF" w:rsidRDefault="00E33FEF" w:rsidP="00E33FEF">
      <w:pPr>
        <w:tabs>
          <w:tab w:val="left" w:pos="1530"/>
        </w:tabs>
        <w:spacing w:before="0" w:after="0" w:line="240" w:lineRule="auto"/>
        <w:ind w:left="1627" w:hanging="1627"/>
      </w:pPr>
      <w:r>
        <w:t>Avizat:</w:t>
      </w:r>
    </w:p>
    <w:p w14:paraId="76235A84" w14:textId="77777777" w:rsidR="00E33FEF" w:rsidRDefault="00E33FEF" w:rsidP="00E33FEF">
      <w:pPr>
        <w:tabs>
          <w:tab w:val="left" w:pos="1530"/>
        </w:tabs>
        <w:spacing w:before="0" w:after="0" w:line="240" w:lineRule="auto"/>
        <w:ind w:left="1627" w:hanging="1627"/>
      </w:pPr>
    </w:p>
    <w:p w14:paraId="455466AD" w14:textId="77777777" w:rsidR="00E33FEF" w:rsidRDefault="00E33FEF" w:rsidP="00E33FEF">
      <w:pPr>
        <w:tabs>
          <w:tab w:val="left" w:pos="1530"/>
        </w:tabs>
        <w:spacing w:before="0" w:after="0" w:line="240" w:lineRule="auto"/>
        <w:ind w:left="1627" w:hanging="1627"/>
      </w:pPr>
      <w:r>
        <w:t>Gheorghe CONSTANTIN, director general adj., Direcția Generală Ape</w:t>
      </w:r>
    </w:p>
    <w:p w14:paraId="4C7F21A3" w14:textId="443A361E" w:rsidR="008E6600" w:rsidRDefault="008E6600" w:rsidP="00E33FEF">
      <w:pPr>
        <w:spacing w:before="120" w:after="0"/>
        <w:jc w:val="left"/>
        <w:rPr>
          <w:b/>
          <w:bCs/>
        </w:rPr>
      </w:pPr>
    </w:p>
    <w:p w14:paraId="083AF6D1" w14:textId="77777777" w:rsidR="008E6600" w:rsidRPr="008E6600" w:rsidRDefault="008E6600" w:rsidP="008E6600">
      <w:pPr>
        <w:spacing w:before="120" w:after="0"/>
        <w:jc w:val="center"/>
        <w:rPr>
          <w:b/>
          <w:bCs/>
        </w:rPr>
      </w:pPr>
    </w:p>
    <w:p w14:paraId="3610CBE3" w14:textId="77777777" w:rsidR="008E6600" w:rsidRDefault="008E6600" w:rsidP="008E6600">
      <w:pPr>
        <w:tabs>
          <w:tab w:val="left" w:pos="1530"/>
        </w:tabs>
        <w:spacing w:before="0" w:after="0"/>
        <w:ind w:left="1620" w:hanging="1620"/>
      </w:pPr>
    </w:p>
    <w:p w14:paraId="3D6A9955" w14:textId="0FAF5295" w:rsidR="008E6600" w:rsidRDefault="00E33FEF" w:rsidP="008E6600">
      <w:pPr>
        <w:tabs>
          <w:tab w:val="left" w:pos="1530"/>
        </w:tabs>
        <w:spacing w:before="0" w:after="0"/>
        <w:ind w:left="1620" w:hanging="1620"/>
      </w:pPr>
      <w:r>
        <w:t>E</w:t>
      </w:r>
      <w:bookmarkStart w:id="0" w:name="_GoBack"/>
      <w:bookmarkEnd w:id="0"/>
      <w:r w:rsidR="008E6600">
        <w:t xml:space="preserve">laborat : </w:t>
      </w:r>
    </w:p>
    <w:p w14:paraId="3D8931DD" w14:textId="77777777" w:rsidR="008E6600" w:rsidRDefault="008E6600" w:rsidP="008E6600">
      <w:pPr>
        <w:tabs>
          <w:tab w:val="left" w:pos="1530"/>
        </w:tabs>
        <w:spacing w:before="0" w:after="0"/>
        <w:ind w:left="1620" w:hanging="1620"/>
      </w:pPr>
    </w:p>
    <w:p w14:paraId="534AB8E9" w14:textId="77777777" w:rsidR="008E6600" w:rsidRDefault="008E6600" w:rsidP="008E6600">
      <w:pPr>
        <w:tabs>
          <w:tab w:val="left" w:pos="1530"/>
        </w:tabs>
        <w:spacing w:before="0" w:after="0"/>
        <w:ind w:left="1620" w:hanging="1620"/>
      </w:pPr>
      <w:r>
        <w:t xml:space="preserve">Raluca – Mihaela Marinescu, șef serviciu, Direcția Generală Resurse Umane, Juridică </w:t>
      </w:r>
    </w:p>
    <w:p w14:paraId="74A4A360" w14:textId="77777777" w:rsidR="008E6600" w:rsidRDefault="008E6600" w:rsidP="008E6600">
      <w:pPr>
        <w:tabs>
          <w:tab w:val="left" w:pos="1530"/>
        </w:tabs>
        <w:spacing w:before="0" w:after="0"/>
        <w:ind w:left="1620" w:hanging="1620"/>
      </w:pPr>
      <w:r>
        <w:t xml:space="preserve">                                                              și Relația cu Parlamentul</w:t>
      </w:r>
    </w:p>
    <w:p w14:paraId="6B1C86D2" w14:textId="77777777" w:rsidR="008E6600" w:rsidRDefault="008E6600" w:rsidP="008E6600">
      <w:pPr>
        <w:tabs>
          <w:tab w:val="left" w:pos="1530"/>
        </w:tabs>
        <w:spacing w:before="0" w:after="0"/>
        <w:ind w:left="1620" w:hanging="1620"/>
      </w:pPr>
    </w:p>
    <w:p w14:paraId="406D0453" w14:textId="77777777" w:rsidR="008E6600" w:rsidRDefault="008E6600" w:rsidP="008E6600">
      <w:pPr>
        <w:tabs>
          <w:tab w:val="left" w:pos="1530"/>
        </w:tabs>
        <w:spacing w:before="0" w:after="0"/>
        <w:ind w:left="1620" w:hanging="1620"/>
      </w:pPr>
      <w:r>
        <w:t>Ruxandra BĂLĂEȚ, consilier superior, Direcția Generală Ape.</w:t>
      </w:r>
    </w:p>
    <w:p w14:paraId="05DD6D0F" w14:textId="77777777" w:rsidR="00475082" w:rsidRPr="0033335B" w:rsidRDefault="00475082" w:rsidP="003B71C0">
      <w:pPr>
        <w:tabs>
          <w:tab w:val="left" w:pos="1530"/>
        </w:tabs>
        <w:spacing w:before="0" w:after="0" w:line="240" w:lineRule="auto"/>
        <w:ind w:left="1627" w:hanging="1627"/>
      </w:pPr>
    </w:p>
    <w:sectPr w:rsidR="00475082" w:rsidRPr="0033335B" w:rsidSect="00267DD5">
      <w:headerReference w:type="default" r:id="rId7"/>
      <w:headerReference w:type="first" r:id="rId8"/>
      <w:pgSz w:w="11906" w:h="16838" w:code="9"/>
      <w:pgMar w:top="1440" w:right="849" w:bottom="1440" w:left="1440" w:header="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84E70" w14:textId="77777777" w:rsidR="00B82BDB" w:rsidRDefault="00B82BDB" w:rsidP="009772BD">
      <w:r>
        <w:separator/>
      </w:r>
    </w:p>
  </w:endnote>
  <w:endnote w:type="continuationSeparator" w:id="0">
    <w:p w14:paraId="7118E7AC" w14:textId="77777777" w:rsidR="00B82BDB" w:rsidRDefault="00B82BDB"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Open Sans">
    <w:altName w:val="Arial"/>
    <w:charset w:val="00"/>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EF466" w14:textId="77777777" w:rsidR="00B82BDB" w:rsidRDefault="00B82BDB" w:rsidP="009772BD">
      <w:r>
        <w:separator/>
      </w:r>
    </w:p>
  </w:footnote>
  <w:footnote w:type="continuationSeparator" w:id="0">
    <w:p w14:paraId="381AB5A6" w14:textId="77777777" w:rsidR="00B82BDB" w:rsidRDefault="00B82BDB"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F3AFC" w14:textId="77777777" w:rsidR="006C5964" w:rsidRDefault="006C5964" w:rsidP="00FE17E8">
    <w:pPr>
      <w:pStyle w:val="Header"/>
      <w:ind w:left="7088" w:right="-569"/>
    </w:pPr>
  </w:p>
  <w:p w14:paraId="2776B77B" w14:textId="77777777" w:rsidR="006C5964" w:rsidRDefault="006C5964" w:rsidP="00FE17E8">
    <w:pPr>
      <w:pStyle w:val="Header"/>
      <w:ind w:left="7088" w:right="-569"/>
    </w:pPr>
  </w:p>
  <w:p w14:paraId="1069ACAC" w14:textId="77777777" w:rsidR="000745D4" w:rsidRDefault="00FE17E8" w:rsidP="00FE17E8">
    <w:pPr>
      <w:pStyle w:val="Header"/>
      <w:ind w:left="7088" w:right="-569"/>
    </w:pPr>
    <w:r>
      <w:t xml:space="preserve">   </w:t>
    </w:r>
    <w:r w:rsidR="00DF72AC">
      <w:t xml:space="preserve">   </w:t>
    </w:r>
    <w:r>
      <w:t xml:space="preserve">                                    </w:t>
    </w:r>
  </w:p>
  <w:p w14:paraId="411204CC" w14:textId="77777777"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2F60" w14:textId="77777777" w:rsidR="006C5964" w:rsidRDefault="00D80E89">
    <w:pPr>
      <w:pStyle w:val="Header"/>
    </w:pPr>
    <w:r>
      <w:rPr>
        <w:noProof/>
        <w:lang w:val="en-GB" w:eastAsia="en-GB"/>
      </w:rPr>
      <w:drawing>
        <wp:anchor distT="0" distB="0" distL="114300" distR="114300" simplePos="0" relativeHeight="251658240" behindDoc="0" locked="0" layoutInCell="1" allowOverlap="1" wp14:anchorId="325612D1" wp14:editId="2B1CB8C3">
          <wp:simplePos x="0" y="0"/>
          <wp:positionH relativeFrom="column">
            <wp:posOffset>93345</wp:posOffset>
          </wp:positionH>
          <wp:positionV relativeFrom="paragraph">
            <wp:posOffset>257175</wp:posOffset>
          </wp:positionV>
          <wp:extent cx="3236400" cy="900000"/>
          <wp:effectExtent l="0" t="0" r="2540" b="0"/>
          <wp:wrapSquare wrapText="bothSides"/>
          <wp:docPr id="6"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7741A0" w14:textId="77777777" w:rsidR="006C5964" w:rsidRDefault="006C5964">
    <w:pPr>
      <w:pStyle w:val="Header"/>
    </w:pPr>
  </w:p>
  <w:p w14:paraId="641D8977" w14:textId="77777777" w:rsidR="006C5964" w:rsidRDefault="006C5964">
    <w:pPr>
      <w:pStyle w:val="Header"/>
    </w:pPr>
  </w:p>
  <w:p w14:paraId="5C2F7B43" w14:textId="77777777" w:rsidR="006C5964" w:rsidRDefault="006C5964">
    <w:pPr>
      <w:pStyle w:val="Header"/>
    </w:pPr>
  </w:p>
  <w:p w14:paraId="24989BCC" w14:textId="77777777"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05867"/>
    <w:multiLevelType w:val="hybridMultilevel"/>
    <w:tmpl w:val="09347E2E"/>
    <w:lvl w:ilvl="0" w:tplc="116257EE">
      <w:numFmt w:val="bullet"/>
      <w:lvlText w:val="-"/>
      <w:lvlJc w:val="left"/>
      <w:pPr>
        <w:ind w:left="720" w:hanging="360"/>
      </w:pPr>
      <w:rPr>
        <w:rFonts w:ascii="Trebuchet MS" w:eastAsiaTheme="minorHAnsi" w:hAnsi="Trebuchet M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A315DE"/>
    <w:multiLevelType w:val="hybridMultilevel"/>
    <w:tmpl w:val="7EEA4CF0"/>
    <w:lvl w:ilvl="0" w:tplc="8E4A3E2C">
      <w:numFmt w:val="bullet"/>
      <w:lvlText w:val="-"/>
      <w:lvlJc w:val="left"/>
      <w:pPr>
        <w:ind w:left="1260" w:hanging="360"/>
      </w:pPr>
      <w:rPr>
        <w:rFonts w:ascii="Trebuchet MS" w:eastAsiaTheme="minorHAnsi" w:hAnsi="Trebuchet MS" w:cs="Open San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6F027BE9"/>
    <w:multiLevelType w:val="hybridMultilevel"/>
    <w:tmpl w:val="71928B28"/>
    <w:lvl w:ilvl="0" w:tplc="AF20EAB2">
      <w:numFmt w:val="bullet"/>
      <w:lvlText w:val="-"/>
      <w:lvlJc w:val="left"/>
      <w:pPr>
        <w:ind w:left="720" w:hanging="360"/>
      </w:pPr>
      <w:rPr>
        <w:rFonts w:ascii="Trebuchet MS" w:eastAsiaTheme="minorHAnsi" w:hAnsi="Trebuchet M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1AE4"/>
    <w:rsid w:val="0000505D"/>
    <w:rsid w:val="000271EB"/>
    <w:rsid w:val="00041AAC"/>
    <w:rsid w:val="00044620"/>
    <w:rsid w:val="000565C1"/>
    <w:rsid w:val="00062775"/>
    <w:rsid w:val="00066B4E"/>
    <w:rsid w:val="00067F33"/>
    <w:rsid w:val="00072A87"/>
    <w:rsid w:val="000745D4"/>
    <w:rsid w:val="000746AE"/>
    <w:rsid w:val="0007698E"/>
    <w:rsid w:val="00090DD2"/>
    <w:rsid w:val="000943DD"/>
    <w:rsid w:val="0009796B"/>
    <w:rsid w:val="000B1D8F"/>
    <w:rsid w:val="000C7A66"/>
    <w:rsid w:val="000E0063"/>
    <w:rsid w:val="0010076A"/>
    <w:rsid w:val="0011604A"/>
    <w:rsid w:val="001246DA"/>
    <w:rsid w:val="00127F32"/>
    <w:rsid w:val="001371EA"/>
    <w:rsid w:val="00137241"/>
    <w:rsid w:val="001466DC"/>
    <w:rsid w:val="0015170E"/>
    <w:rsid w:val="00153574"/>
    <w:rsid w:val="00154472"/>
    <w:rsid w:val="001679D2"/>
    <w:rsid w:val="00170C95"/>
    <w:rsid w:val="00183B86"/>
    <w:rsid w:val="00194E89"/>
    <w:rsid w:val="0019721D"/>
    <w:rsid w:val="00197E07"/>
    <w:rsid w:val="001A07C1"/>
    <w:rsid w:val="001A6158"/>
    <w:rsid w:val="001C0565"/>
    <w:rsid w:val="001C79A3"/>
    <w:rsid w:val="001D3721"/>
    <w:rsid w:val="001E5EF1"/>
    <w:rsid w:val="001E6FAE"/>
    <w:rsid w:val="002000A3"/>
    <w:rsid w:val="00205218"/>
    <w:rsid w:val="00207419"/>
    <w:rsid w:val="00212BA9"/>
    <w:rsid w:val="00227F27"/>
    <w:rsid w:val="002328DD"/>
    <w:rsid w:val="00240A43"/>
    <w:rsid w:val="0024619E"/>
    <w:rsid w:val="00253457"/>
    <w:rsid w:val="00263448"/>
    <w:rsid w:val="0026628D"/>
    <w:rsid w:val="00267DD5"/>
    <w:rsid w:val="00270DE2"/>
    <w:rsid w:val="00273C89"/>
    <w:rsid w:val="002746D4"/>
    <w:rsid w:val="00274E55"/>
    <w:rsid w:val="00277E79"/>
    <w:rsid w:val="0028397B"/>
    <w:rsid w:val="002B0ACF"/>
    <w:rsid w:val="002B0EC2"/>
    <w:rsid w:val="002B417B"/>
    <w:rsid w:val="002B43CB"/>
    <w:rsid w:val="002C5201"/>
    <w:rsid w:val="002C595D"/>
    <w:rsid w:val="002C7E97"/>
    <w:rsid w:val="002D1F5A"/>
    <w:rsid w:val="002E0DB9"/>
    <w:rsid w:val="002E15D5"/>
    <w:rsid w:val="002E33E7"/>
    <w:rsid w:val="002F2200"/>
    <w:rsid w:val="00300126"/>
    <w:rsid w:val="00300B7E"/>
    <w:rsid w:val="00302285"/>
    <w:rsid w:val="0030393F"/>
    <w:rsid w:val="003201C6"/>
    <w:rsid w:val="00321DF9"/>
    <w:rsid w:val="0033335B"/>
    <w:rsid w:val="00333BDE"/>
    <w:rsid w:val="0033769A"/>
    <w:rsid w:val="00343142"/>
    <w:rsid w:val="00347B87"/>
    <w:rsid w:val="00362584"/>
    <w:rsid w:val="00364AB8"/>
    <w:rsid w:val="0037027D"/>
    <w:rsid w:val="00385084"/>
    <w:rsid w:val="003932A5"/>
    <w:rsid w:val="00394632"/>
    <w:rsid w:val="00396AF6"/>
    <w:rsid w:val="003A01F7"/>
    <w:rsid w:val="003A5A8C"/>
    <w:rsid w:val="003B3C35"/>
    <w:rsid w:val="003B5EE8"/>
    <w:rsid w:val="003B71C0"/>
    <w:rsid w:val="003B77C8"/>
    <w:rsid w:val="003C2B8E"/>
    <w:rsid w:val="003C52AB"/>
    <w:rsid w:val="003C6B4F"/>
    <w:rsid w:val="003D69A6"/>
    <w:rsid w:val="003D7A16"/>
    <w:rsid w:val="003F1817"/>
    <w:rsid w:val="003F3DAA"/>
    <w:rsid w:val="00400493"/>
    <w:rsid w:val="0040453A"/>
    <w:rsid w:val="004045C5"/>
    <w:rsid w:val="00406E1F"/>
    <w:rsid w:val="00420FF2"/>
    <w:rsid w:val="00423017"/>
    <w:rsid w:val="00453FDF"/>
    <w:rsid w:val="004624FE"/>
    <w:rsid w:val="00474753"/>
    <w:rsid w:val="00475082"/>
    <w:rsid w:val="00487440"/>
    <w:rsid w:val="00492AB7"/>
    <w:rsid w:val="004A15E0"/>
    <w:rsid w:val="004B49B6"/>
    <w:rsid w:val="004B57E4"/>
    <w:rsid w:val="004C5205"/>
    <w:rsid w:val="004D2459"/>
    <w:rsid w:val="004D29FC"/>
    <w:rsid w:val="004D6F40"/>
    <w:rsid w:val="004E6870"/>
    <w:rsid w:val="00502CDD"/>
    <w:rsid w:val="00514B71"/>
    <w:rsid w:val="00520AD2"/>
    <w:rsid w:val="00534B9B"/>
    <w:rsid w:val="00540216"/>
    <w:rsid w:val="00545025"/>
    <w:rsid w:val="00545B2F"/>
    <w:rsid w:val="005521AD"/>
    <w:rsid w:val="005538E4"/>
    <w:rsid w:val="00556DE0"/>
    <w:rsid w:val="00557338"/>
    <w:rsid w:val="0056066E"/>
    <w:rsid w:val="00562E06"/>
    <w:rsid w:val="00566A8B"/>
    <w:rsid w:val="00566C98"/>
    <w:rsid w:val="005755A7"/>
    <w:rsid w:val="00575A8A"/>
    <w:rsid w:val="005777FE"/>
    <w:rsid w:val="0058229D"/>
    <w:rsid w:val="0059248E"/>
    <w:rsid w:val="005A0A49"/>
    <w:rsid w:val="005B792F"/>
    <w:rsid w:val="005C4A46"/>
    <w:rsid w:val="005C5B85"/>
    <w:rsid w:val="005D24C3"/>
    <w:rsid w:val="005E5841"/>
    <w:rsid w:val="005E64EE"/>
    <w:rsid w:val="005E6784"/>
    <w:rsid w:val="005E6A7B"/>
    <w:rsid w:val="005F23B7"/>
    <w:rsid w:val="005F4B99"/>
    <w:rsid w:val="006012FF"/>
    <w:rsid w:val="00604808"/>
    <w:rsid w:val="0060632D"/>
    <w:rsid w:val="00616D85"/>
    <w:rsid w:val="00623472"/>
    <w:rsid w:val="006322B4"/>
    <w:rsid w:val="00637F06"/>
    <w:rsid w:val="00643A52"/>
    <w:rsid w:val="006510F7"/>
    <w:rsid w:val="00672572"/>
    <w:rsid w:val="00673BE0"/>
    <w:rsid w:val="006878F6"/>
    <w:rsid w:val="00691BD4"/>
    <w:rsid w:val="0069750D"/>
    <w:rsid w:val="006A20C6"/>
    <w:rsid w:val="006A3F21"/>
    <w:rsid w:val="006A60D9"/>
    <w:rsid w:val="006C5964"/>
    <w:rsid w:val="006C5A49"/>
    <w:rsid w:val="006D1CDB"/>
    <w:rsid w:val="006F26EC"/>
    <w:rsid w:val="007005CD"/>
    <w:rsid w:val="0070111B"/>
    <w:rsid w:val="00716183"/>
    <w:rsid w:val="00735DE5"/>
    <w:rsid w:val="00736A75"/>
    <w:rsid w:val="00747F9D"/>
    <w:rsid w:val="007531D3"/>
    <w:rsid w:val="00764E75"/>
    <w:rsid w:val="00767311"/>
    <w:rsid w:val="0077793B"/>
    <w:rsid w:val="00792499"/>
    <w:rsid w:val="0079365B"/>
    <w:rsid w:val="00797D97"/>
    <w:rsid w:val="007A615A"/>
    <w:rsid w:val="007A7510"/>
    <w:rsid w:val="007B1A03"/>
    <w:rsid w:val="007B4D51"/>
    <w:rsid w:val="007B4E4C"/>
    <w:rsid w:val="007B55DB"/>
    <w:rsid w:val="007E7CD7"/>
    <w:rsid w:val="007F3B89"/>
    <w:rsid w:val="007F6ABD"/>
    <w:rsid w:val="008004C8"/>
    <w:rsid w:val="0080182D"/>
    <w:rsid w:val="008051BC"/>
    <w:rsid w:val="00811ACB"/>
    <w:rsid w:val="00820565"/>
    <w:rsid w:val="00821A8A"/>
    <w:rsid w:val="008225F7"/>
    <w:rsid w:val="00840A24"/>
    <w:rsid w:val="00840DAE"/>
    <w:rsid w:val="00844B26"/>
    <w:rsid w:val="00850E81"/>
    <w:rsid w:val="00851D2C"/>
    <w:rsid w:val="008532E6"/>
    <w:rsid w:val="00854C9A"/>
    <w:rsid w:val="00870136"/>
    <w:rsid w:val="008820C2"/>
    <w:rsid w:val="0089272E"/>
    <w:rsid w:val="008934FA"/>
    <w:rsid w:val="00893783"/>
    <w:rsid w:val="008A1C7F"/>
    <w:rsid w:val="008A6588"/>
    <w:rsid w:val="008C35FD"/>
    <w:rsid w:val="008C7038"/>
    <w:rsid w:val="008E208B"/>
    <w:rsid w:val="008E4CF0"/>
    <w:rsid w:val="008E6600"/>
    <w:rsid w:val="008F0E31"/>
    <w:rsid w:val="008F5C83"/>
    <w:rsid w:val="00901495"/>
    <w:rsid w:val="0090162B"/>
    <w:rsid w:val="00925077"/>
    <w:rsid w:val="00926830"/>
    <w:rsid w:val="00936402"/>
    <w:rsid w:val="0093672E"/>
    <w:rsid w:val="00941FC9"/>
    <w:rsid w:val="009430B8"/>
    <w:rsid w:val="00944CE9"/>
    <w:rsid w:val="00951543"/>
    <w:rsid w:val="00956F36"/>
    <w:rsid w:val="0096278C"/>
    <w:rsid w:val="009706EC"/>
    <w:rsid w:val="009713F8"/>
    <w:rsid w:val="00973DA2"/>
    <w:rsid w:val="009745FE"/>
    <w:rsid w:val="00975055"/>
    <w:rsid w:val="00975484"/>
    <w:rsid w:val="00976A50"/>
    <w:rsid w:val="009772BD"/>
    <w:rsid w:val="00984C3C"/>
    <w:rsid w:val="009917E9"/>
    <w:rsid w:val="009C2AB7"/>
    <w:rsid w:val="009C3827"/>
    <w:rsid w:val="009D553C"/>
    <w:rsid w:val="009E6837"/>
    <w:rsid w:val="009F2205"/>
    <w:rsid w:val="00A00B93"/>
    <w:rsid w:val="00A02D5E"/>
    <w:rsid w:val="00A04162"/>
    <w:rsid w:val="00A0480B"/>
    <w:rsid w:val="00A27359"/>
    <w:rsid w:val="00A27B4A"/>
    <w:rsid w:val="00A35A8C"/>
    <w:rsid w:val="00A36881"/>
    <w:rsid w:val="00A36C3E"/>
    <w:rsid w:val="00A41ABC"/>
    <w:rsid w:val="00A45812"/>
    <w:rsid w:val="00A56173"/>
    <w:rsid w:val="00A72315"/>
    <w:rsid w:val="00A7406E"/>
    <w:rsid w:val="00A800B2"/>
    <w:rsid w:val="00A80C6C"/>
    <w:rsid w:val="00A86694"/>
    <w:rsid w:val="00AB0312"/>
    <w:rsid w:val="00AB08F8"/>
    <w:rsid w:val="00AB2F15"/>
    <w:rsid w:val="00AB3800"/>
    <w:rsid w:val="00AC6785"/>
    <w:rsid w:val="00AD570D"/>
    <w:rsid w:val="00AD74FB"/>
    <w:rsid w:val="00AE5FDC"/>
    <w:rsid w:val="00AF46F8"/>
    <w:rsid w:val="00AF7878"/>
    <w:rsid w:val="00B02C3E"/>
    <w:rsid w:val="00B03923"/>
    <w:rsid w:val="00B074EC"/>
    <w:rsid w:val="00B2245E"/>
    <w:rsid w:val="00B32D57"/>
    <w:rsid w:val="00B50A63"/>
    <w:rsid w:val="00B52678"/>
    <w:rsid w:val="00B6785D"/>
    <w:rsid w:val="00B7161C"/>
    <w:rsid w:val="00B71F15"/>
    <w:rsid w:val="00B82BDB"/>
    <w:rsid w:val="00B8443A"/>
    <w:rsid w:val="00B87317"/>
    <w:rsid w:val="00B8745D"/>
    <w:rsid w:val="00B90990"/>
    <w:rsid w:val="00B95189"/>
    <w:rsid w:val="00B95BFE"/>
    <w:rsid w:val="00B96A34"/>
    <w:rsid w:val="00BA08EB"/>
    <w:rsid w:val="00BA5C92"/>
    <w:rsid w:val="00BB618A"/>
    <w:rsid w:val="00BC1FF9"/>
    <w:rsid w:val="00BC46B6"/>
    <w:rsid w:val="00BC5606"/>
    <w:rsid w:val="00BD0BE5"/>
    <w:rsid w:val="00BD3DA6"/>
    <w:rsid w:val="00BD4D8C"/>
    <w:rsid w:val="00BE2C53"/>
    <w:rsid w:val="00BF04C1"/>
    <w:rsid w:val="00BF2846"/>
    <w:rsid w:val="00C01BE5"/>
    <w:rsid w:val="00C07066"/>
    <w:rsid w:val="00C12804"/>
    <w:rsid w:val="00C23C63"/>
    <w:rsid w:val="00C2594F"/>
    <w:rsid w:val="00C25C40"/>
    <w:rsid w:val="00C3311B"/>
    <w:rsid w:val="00C33242"/>
    <w:rsid w:val="00C40D37"/>
    <w:rsid w:val="00C45C77"/>
    <w:rsid w:val="00C52970"/>
    <w:rsid w:val="00C60118"/>
    <w:rsid w:val="00C67135"/>
    <w:rsid w:val="00C6768A"/>
    <w:rsid w:val="00C7794F"/>
    <w:rsid w:val="00C93023"/>
    <w:rsid w:val="00C938F2"/>
    <w:rsid w:val="00C9392E"/>
    <w:rsid w:val="00C964ED"/>
    <w:rsid w:val="00CA2F53"/>
    <w:rsid w:val="00CB0B11"/>
    <w:rsid w:val="00CB0CBD"/>
    <w:rsid w:val="00CB19DC"/>
    <w:rsid w:val="00CC6DF0"/>
    <w:rsid w:val="00CC6E77"/>
    <w:rsid w:val="00CC7082"/>
    <w:rsid w:val="00CD5600"/>
    <w:rsid w:val="00CE6CD6"/>
    <w:rsid w:val="00CF591F"/>
    <w:rsid w:val="00D00520"/>
    <w:rsid w:val="00D06FCD"/>
    <w:rsid w:val="00D07B44"/>
    <w:rsid w:val="00D2043E"/>
    <w:rsid w:val="00D20E99"/>
    <w:rsid w:val="00D37854"/>
    <w:rsid w:val="00D45464"/>
    <w:rsid w:val="00D478E6"/>
    <w:rsid w:val="00D5120F"/>
    <w:rsid w:val="00D547D7"/>
    <w:rsid w:val="00D54A87"/>
    <w:rsid w:val="00D60EF6"/>
    <w:rsid w:val="00D64B51"/>
    <w:rsid w:val="00D7335B"/>
    <w:rsid w:val="00D74D0A"/>
    <w:rsid w:val="00D77F89"/>
    <w:rsid w:val="00D80E89"/>
    <w:rsid w:val="00D84E38"/>
    <w:rsid w:val="00D85EAB"/>
    <w:rsid w:val="00D86035"/>
    <w:rsid w:val="00D92F04"/>
    <w:rsid w:val="00DA1E55"/>
    <w:rsid w:val="00DA2A99"/>
    <w:rsid w:val="00DB19FE"/>
    <w:rsid w:val="00DC2126"/>
    <w:rsid w:val="00DD2D8E"/>
    <w:rsid w:val="00DD3EA6"/>
    <w:rsid w:val="00DE75C0"/>
    <w:rsid w:val="00DE77CE"/>
    <w:rsid w:val="00DF4517"/>
    <w:rsid w:val="00DF72AC"/>
    <w:rsid w:val="00E06F3B"/>
    <w:rsid w:val="00E15B6E"/>
    <w:rsid w:val="00E271D3"/>
    <w:rsid w:val="00E33FEF"/>
    <w:rsid w:val="00E41301"/>
    <w:rsid w:val="00E46BB2"/>
    <w:rsid w:val="00E53694"/>
    <w:rsid w:val="00E7168A"/>
    <w:rsid w:val="00E8374D"/>
    <w:rsid w:val="00E931A9"/>
    <w:rsid w:val="00EA05AB"/>
    <w:rsid w:val="00EB1A51"/>
    <w:rsid w:val="00EB3C35"/>
    <w:rsid w:val="00EB61C4"/>
    <w:rsid w:val="00EB6A2E"/>
    <w:rsid w:val="00EC5979"/>
    <w:rsid w:val="00ED5EA4"/>
    <w:rsid w:val="00ED7B19"/>
    <w:rsid w:val="00EE2942"/>
    <w:rsid w:val="00EE32D0"/>
    <w:rsid w:val="00EE52E5"/>
    <w:rsid w:val="00EF1693"/>
    <w:rsid w:val="00EF2504"/>
    <w:rsid w:val="00EF4E50"/>
    <w:rsid w:val="00F01939"/>
    <w:rsid w:val="00F02937"/>
    <w:rsid w:val="00F05BEE"/>
    <w:rsid w:val="00F07E16"/>
    <w:rsid w:val="00F113C6"/>
    <w:rsid w:val="00F147B6"/>
    <w:rsid w:val="00F26633"/>
    <w:rsid w:val="00F35A46"/>
    <w:rsid w:val="00F37172"/>
    <w:rsid w:val="00F40E2A"/>
    <w:rsid w:val="00F4251B"/>
    <w:rsid w:val="00F47278"/>
    <w:rsid w:val="00F55AC3"/>
    <w:rsid w:val="00F64E82"/>
    <w:rsid w:val="00F70992"/>
    <w:rsid w:val="00F7270A"/>
    <w:rsid w:val="00F94FED"/>
    <w:rsid w:val="00FA481E"/>
    <w:rsid w:val="00FB11B7"/>
    <w:rsid w:val="00FB18B2"/>
    <w:rsid w:val="00FB251A"/>
    <w:rsid w:val="00FB602D"/>
    <w:rsid w:val="00FC2C25"/>
    <w:rsid w:val="00FC4FEB"/>
    <w:rsid w:val="00FD41F9"/>
    <w:rsid w:val="00FE0C3B"/>
    <w:rsid w:val="00FE1585"/>
    <w:rsid w:val="00FE1797"/>
    <w:rsid w:val="00FE17E8"/>
    <w:rsid w:val="00FE18A4"/>
    <w:rsid w:val="00FE3B9F"/>
    <w:rsid w:val="00FE7EE1"/>
    <w:rsid w:val="00FF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D8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7E9"/>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character" w:styleId="Hyperlink">
    <w:name w:val="Hyperlink"/>
    <w:basedOn w:val="DefaultParagraphFont"/>
    <w:uiPriority w:val="99"/>
    <w:unhideWhenUsed/>
    <w:rsid w:val="007A615A"/>
    <w:rPr>
      <w:color w:val="0563C1" w:themeColor="hyperlink"/>
      <w:u w:val="single"/>
    </w:rPr>
  </w:style>
  <w:style w:type="paragraph" w:styleId="ListParagraph">
    <w:name w:val="List Paragraph"/>
    <w:basedOn w:val="Normal"/>
    <w:uiPriority w:val="34"/>
    <w:qFormat/>
    <w:rsid w:val="004B49B6"/>
    <w:pPr>
      <w:ind w:left="720"/>
      <w:contextualSpacing/>
    </w:pPr>
  </w:style>
  <w:style w:type="table" w:styleId="TableGrid">
    <w:name w:val="Table Grid"/>
    <w:basedOn w:val="TableNormal"/>
    <w:uiPriority w:val="39"/>
    <w:rsid w:val="001D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7781">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7069</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2023-01-30T14:09:00Z</dcterms:created>
  <dcterms:modified xsi:type="dcterms:W3CDTF">2023-01-30T14:13:00Z</dcterms:modified>
</cp:coreProperties>
</file>