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2A" w:rsidRPr="00B16B4B" w:rsidRDefault="00EA0B2A" w:rsidP="00EA0B2A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B16B4B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MINISTERUL </w:t>
      </w:r>
      <w:r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MEDIULUI, </w:t>
      </w:r>
      <w:r w:rsidRPr="00B16B4B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o-RO"/>
        </w:rPr>
        <w:t>APELOR ŞI PĂDURILOR</w:t>
      </w:r>
    </w:p>
    <w:p w:rsidR="00EA0B2A" w:rsidRPr="00B16B4B" w:rsidRDefault="00EA0B2A" w:rsidP="00EA0B2A">
      <w:pPr>
        <w:keepNext/>
        <w:keepLines/>
        <w:spacing w:after="0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ro-RO"/>
        </w:rPr>
      </w:pPr>
      <w:r w:rsidRPr="00B16B4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ro-RO"/>
        </w:rPr>
        <w:t>Direcția Politici și Strategii în Silvicultură</w:t>
      </w:r>
    </w:p>
    <w:p w:rsidR="00EA0B2A" w:rsidRPr="00B16B4B" w:rsidRDefault="00EA0B2A" w:rsidP="00EA0B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16B4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Nr.                </w:t>
      </w:r>
      <w:r w:rsidRPr="00B16B4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/DI/   .    .20</w:t>
      </w:r>
      <w:r w:rsidR="004220F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21</w:t>
      </w:r>
    </w:p>
    <w:p w:rsidR="00EA0B2A" w:rsidRPr="00B16B4B" w:rsidRDefault="00EA0B2A" w:rsidP="00EA0B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A0B2A" w:rsidRPr="00B16B4B" w:rsidRDefault="00EA0B2A" w:rsidP="00EA0B2A">
      <w:pPr>
        <w:keepNext/>
        <w:keepLines/>
        <w:spacing w:after="0"/>
        <w:outlineLvl w:val="5"/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  <w:lang w:val="ro-RO"/>
        </w:rPr>
      </w:pPr>
      <w:r w:rsidRPr="00B16B4B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ro-RO"/>
        </w:rPr>
        <w:tab/>
      </w:r>
      <w:r w:rsidRPr="00B16B4B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ro-RO"/>
        </w:rPr>
        <w:tab/>
      </w:r>
      <w:r w:rsidRPr="00B16B4B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ro-RO"/>
        </w:rPr>
        <w:tab/>
      </w:r>
      <w:r w:rsidRPr="00B16B4B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ro-RO"/>
        </w:rPr>
        <w:tab/>
      </w:r>
      <w:r w:rsidRPr="00B16B4B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ro-RO"/>
        </w:rPr>
        <w:tab/>
      </w:r>
      <w:r w:rsidRPr="00B16B4B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ro-RO"/>
        </w:rPr>
        <w:tab/>
      </w:r>
      <w:r w:rsidRPr="00B16B4B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ro-RO"/>
        </w:rPr>
        <w:tab/>
      </w:r>
      <w:r w:rsidRPr="00B16B4B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ro-RO"/>
        </w:rPr>
        <w:tab/>
      </w:r>
      <w:r w:rsidRPr="00B16B4B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ro-RO"/>
        </w:rPr>
        <w:tab/>
      </w:r>
      <w:r w:rsidRPr="00B16B4B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ro-RO"/>
        </w:rPr>
        <w:tab/>
      </w:r>
      <w:r w:rsidRPr="00B16B4B"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  <w:lang w:val="ro-RO"/>
        </w:rPr>
        <w:tab/>
      </w:r>
      <w:r w:rsidRPr="00B16B4B">
        <w:rPr>
          <w:rFonts w:ascii="Times New Roman" w:eastAsiaTheme="majorEastAsia" w:hAnsi="Times New Roman" w:cs="Times New Roman"/>
          <w:b/>
          <w:iCs/>
          <w:color w:val="000000" w:themeColor="text1"/>
          <w:sz w:val="24"/>
          <w:szCs w:val="24"/>
          <w:lang w:val="ro-RO"/>
        </w:rPr>
        <w:t>SE APROBĂ</w:t>
      </w:r>
      <w:r w:rsidRPr="00B16B4B">
        <w:rPr>
          <w:rFonts w:ascii="Times New Roman" w:eastAsiaTheme="majorEastAsia" w:hAnsi="Times New Roman" w:cs="Times New Roman"/>
          <w:i/>
          <w:iCs/>
          <w:color w:val="000000" w:themeColor="text1"/>
          <w:sz w:val="24"/>
          <w:szCs w:val="24"/>
          <w:lang w:val="ro-RO"/>
        </w:rPr>
        <w:t>,</w:t>
      </w:r>
    </w:p>
    <w:p w:rsidR="00EA0B2A" w:rsidRPr="00B16B4B" w:rsidRDefault="00EA0B2A" w:rsidP="00EA0B2A">
      <w:pPr>
        <w:ind w:left="6663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SECRETAR DE STAT </w:t>
      </w:r>
    </w:p>
    <w:p w:rsidR="00EA0B2A" w:rsidRPr="00B16B4B" w:rsidRDefault="00EA0B2A" w:rsidP="00EA0B2A">
      <w:pPr>
        <w:ind w:left="737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>George MIERLIȚĂ</w:t>
      </w:r>
    </w:p>
    <w:p w:rsidR="00EA0B2A" w:rsidRPr="00B16B4B" w:rsidRDefault="00EA0B2A" w:rsidP="00EA0B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B16B4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</w:p>
    <w:p w:rsidR="00EA0B2A" w:rsidRPr="00B16B4B" w:rsidRDefault="00EA0B2A" w:rsidP="00EA0B2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val="ro-RO"/>
        </w:rPr>
      </w:pPr>
    </w:p>
    <w:p w:rsidR="00EA0B2A" w:rsidRPr="00B16B4B" w:rsidRDefault="00EA0B2A" w:rsidP="00EA0B2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EA0B2A" w:rsidRPr="00B16B4B" w:rsidRDefault="00EA0B2A" w:rsidP="00EA0B2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16B4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REFERAT DE APROBARE</w:t>
      </w:r>
    </w:p>
    <w:p w:rsidR="00EA0B2A" w:rsidRPr="00B16B4B" w:rsidRDefault="00EA0B2A" w:rsidP="00EA0B2A">
      <w:pPr>
        <w:rPr>
          <w:b/>
          <w:lang w:val="ro-RO"/>
        </w:rPr>
      </w:pP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Autoritatea publică centrală care răspunde de silvicultură, în temeiul art. 115 alin. (1) din Legea nr. 46/2008 - Codul silvic, republicată, cu modificările ulterioare, a procedat la elaborarea  Normelor metodologice privind constituirea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utilizarea Fondului de ameliorare a fondului funciar cu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destinaţie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silvică.</w:t>
      </w:r>
    </w:p>
    <w:p w:rsidR="00EA0B2A" w:rsidRPr="00B16B4B" w:rsidRDefault="00EA0B2A" w:rsidP="000653DA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Normele metodologice privind constituirea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utilizarea Fondului de ameliorare a fondului funciar cu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destinaţie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silvică se aprobă </w:t>
      </w:r>
      <w:proofErr w:type="spellStart"/>
      <w:r w:rsidR="000653DA">
        <w:rPr>
          <w:rFonts w:ascii="Times New Roman" w:eastAsia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="0006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53DA" w:rsidRPr="00DA5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53DA" w:rsidRPr="00DA5983">
        <w:rPr>
          <w:rFonts w:ascii="Times New Roman" w:hAnsi="Times New Roman" w:cs="Times New Roman"/>
          <w:bCs/>
          <w:sz w:val="24"/>
          <w:szCs w:val="24"/>
          <w:lang w:val="ro-RO"/>
        </w:rPr>
        <w:t>art. 13 alin. (4) din Hotărârea Guvernului nr. 43/2020 privind organizarea și funcționarea Ministerului Mediului, Apelor și Pădurilor,</w:t>
      </w:r>
      <w:r w:rsidR="000653D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16B4B">
        <w:rPr>
          <w:rFonts w:ascii="Times New Roman" w:hAnsi="Times New Roman" w:cs="Times New Roman"/>
          <w:sz w:val="24"/>
          <w:szCs w:val="24"/>
          <w:lang w:val="ro-RO"/>
        </w:rPr>
        <w:t>prin ordin de ministru.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Constituirea și utilizarea fondului de ameliorare a fondului funciar cu destinație silvică se face în prezent în baza Ordinului ministrului mediului și pădurilor nr. 2353/2012 pentru aprobarea Normelor metodologice privind constituirea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utilizarea Fondului de ameliorare a fondului funciar cu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destinaţie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silvică, publicat în Monitorul Oficial al României, Partea I, nr. 422 din 25 iulie 2012.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Prezentele Norme metodologice pentru constituirea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utilizarea Fondului de ameliorare a fondului funciar cu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destinaţie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silvică,  se elaborează ca urmare a modificării cadrului legal de rang superior, respectiv a modificării, completării și republicării Legii nr. 46/2008 – Codul silvic - </w:t>
      </w:r>
      <w:hyperlink r:id="rId7" w:history="1">
        <w:r w:rsidRPr="00B16B4B">
          <w:rPr>
            <w:rFonts w:ascii="Times New Roman" w:hAnsi="Times New Roman" w:cs="Times New Roman"/>
            <w:sz w:val="24"/>
            <w:szCs w:val="24"/>
            <w:lang w:val="ro-RO"/>
          </w:rPr>
          <w:t>urmare în special a publicării Legii nr. 133/2015,</w:t>
        </w:r>
      </w:hyperlink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a modificării și completării Legii nr. 171/2010 privind stabilirea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sancţionarea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contravenţiilor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silvice,  a modificării și completării Legii nr. 289/2002, privind perdelele forestiere de protecție, republicată, a publicării Legii nr. 100/2010 privind împădurirea terenurilor degradate, respectiv în scopul punerii în acord cu legislația de rang superior care nu a fost avută în vedere anterior, așa cum este cazul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Ordonanţei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urgenţă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nr. 85/2006, privind stabilirea modalităților de evaluare a pagubelor produse vegetației forestiere din păduri și din afara acestora, cu modificările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completările ulterioare, ori în vederea corelării cu actele normative de același rang, așa cum este cazul Ordinului mediului, apelor și pădurilor nr. 694/2016 pentru aprobarea Metodologiei privind scoaterea definitivă, ocuparea temporară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schimbul de terenuri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de calcul al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obligaţiilor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băneşti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.    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6B4B">
        <w:rPr>
          <w:rFonts w:ascii="Times New Roman" w:hAnsi="Times New Roman" w:cs="Times New Roman"/>
          <w:sz w:val="24"/>
          <w:szCs w:val="24"/>
          <w:lang w:val="ro-RO"/>
        </w:rPr>
        <w:t>Normele metodologice propuse identifică sursele de constituire și utilizare a fondului de ameliorare a fondului funciar cu destinație silvică pe baza legislației în vigoare.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Virarea </w:t>
      </w:r>
      <w:proofErr w:type="spellStart"/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decontarea sumelor din Fondul de ameliorare a fondului funciar cu </w:t>
      </w:r>
      <w:proofErr w:type="spellStart"/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destinaţie</w:t>
      </w:r>
      <w:proofErr w:type="spellEnd"/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silvică se vor efectua în conformitate cu Ordonanța de urgență nr. 146/2002 privind formarea și utilizarea resurselor derulate prin trezoreria statului, cu modificările </w:t>
      </w:r>
      <w:proofErr w:type="spellStart"/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completările ulterioare.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În utilizarea Fondului de ameliorare a fondului funciar cu </w:t>
      </w:r>
      <w:proofErr w:type="spellStart"/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destinaţie</w:t>
      </w:r>
      <w:proofErr w:type="spellEnd"/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silvică, Ministerul </w:t>
      </w:r>
      <w:r w:rsidR="004220F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Mediului, </w:t>
      </w:r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Apelor </w:t>
      </w:r>
      <w:proofErr w:type="spellStart"/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Pădurilor </w:t>
      </w:r>
      <w:proofErr w:type="spellStart"/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îndeplineşte</w:t>
      </w:r>
      <w:proofErr w:type="spellEnd"/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atribuţiile</w:t>
      </w:r>
      <w:proofErr w:type="spellEnd"/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răspunderile ordonatorilor principali de credite bugetare. 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Regia </w:t>
      </w:r>
      <w:proofErr w:type="spellStart"/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Naţională</w:t>
      </w:r>
      <w:proofErr w:type="spellEnd"/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a Pădurilor - Romsilva </w:t>
      </w:r>
      <w:proofErr w:type="spellStart"/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structurile teritoriale de specialitate din subordinea </w:t>
      </w:r>
      <w:proofErr w:type="spellStart"/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autorităţii</w:t>
      </w:r>
      <w:proofErr w:type="spellEnd"/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publice centrale care răspunde de silvicultură au calitatea de autoritate contractantă la p</w:t>
      </w: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roiectarea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şi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execuţia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lucrărilor de ameliorare prin împădurire a terenurilor degradate cuprinse în perimetrele de ameliorare și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repectiv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la proiectarea și execuția lucrărilor de realizare a perdelelor forestiere de protecție.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6B4B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Bugetul de venituri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cheltuieli, lista obiectivelor de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investiţii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- obiective noi, obiective în continuare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programul de proiectare -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finanţate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din Fondul de ameliorare a fondului funciar cu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destinaţie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silvică se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întocmeşte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se aprobă de către Ministerul </w:t>
      </w:r>
      <w:r w:rsidR="004220F2">
        <w:rPr>
          <w:rFonts w:ascii="Times New Roman" w:hAnsi="Times New Roman" w:cs="Times New Roman"/>
          <w:sz w:val="24"/>
          <w:szCs w:val="24"/>
          <w:lang w:val="ro-RO"/>
        </w:rPr>
        <w:t xml:space="preserve">Mediului, </w:t>
      </w:r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Apelor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Pădurilor, prin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direcţiile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care au </w:t>
      </w:r>
      <w:proofErr w:type="spellStart"/>
      <w:r w:rsidRPr="00B16B4B">
        <w:rPr>
          <w:rFonts w:ascii="Times New Roman" w:hAnsi="Times New Roman" w:cs="Times New Roman"/>
          <w:sz w:val="24"/>
          <w:szCs w:val="24"/>
          <w:lang w:val="ro-RO"/>
        </w:rPr>
        <w:t>atribuţii</w:t>
      </w:r>
      <w:proofErr w:type="spellEnd"/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în domeniu. 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Documentaţiile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tehnico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-economice</w:t>
      </w:r>
      <w:r w:rsidRPr="00B16B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de p</w:t>
      </w: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roiectare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şi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execuţie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a lucrărilor de ameliorare prin împădurire a terenurilor degradate și de proiectare și execuție a lucrărilor de realizare a perdelelor forestiere de protecție se avizează de către Comisia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tehnico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-economică a Ministerului </w:t>
      </w:r>
      <w:r w:rsidR="004220F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Mediului, </w:t>
      </w: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Apelor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şi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Pădurilor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şi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se aprobă conform reglementărilor în vigoare.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Serviciile de proiectare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şi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execuţie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a lucrărilor din lista aprobată a obiectivelor de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investiţii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finanţate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din Fondul de ameliorare a fondului funciar cu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destinaţie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silvică  se realizează în conformitate cu reglementările privind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achiziţiile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publice.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Transmiterea sumelor din fondul de ameliorare a fondului funciar cu destinație silvică se aprobă de către Ministerul </w:t>
      </w:r>
      <w:r w:rsidR="004220F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Mediului, </w:t>
      </w: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Apelor și Pădurilor, prin direcțiile cu atribuții în domeniu, în cazul: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- sumelor reprezentând contravaloarea serviciilor ecosistemelor forestiere care se fac venit la administratorul fondului forestier proprietate publică a statului și la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ocolalele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silvice de regim, după caz;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- sumele reprezentând garanția și dobânzile aferente care se restituie beneficiarilor ocupării temporare a terenurilor din fondul forestier național;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- sumele care se virează ocoalelor silvice pentru aducerea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terenurilorîn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condițiile prevăzute în actul de aprobare;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- sumele reprezentând contravaloarea surplusului de unități de reținere prin sechestrare – RMU care se virează proprietarilor terenurilor forestiere;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- sumele reprezentând despăgubiri pentru pagube în păduri sau în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vegetaţia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forestieră pentru care nu este asigurată/nu sunt asigurate administrarea/serviciile silvice în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condiţiile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legii, care se virează la ocolul silvic;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- sumele reprezentând contravaloarea materialelor lemnoase confiscate care se virează instituției din care face parte agentul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constator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;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ro-RO" w:eastAsia="ro-RO"/>
        </w:rPr>
      </w:pP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- sumele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reprezentand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cheltuielile privind elaborarea amenajamentelor cu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suprafaţa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de maximum 10 ha/proprietate;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- sumele reprezentând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compensaţia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pentru pierderea de venit datorată proprietarilor persoane fizice sau juridice pentru suprafața ocupată efectiv prin înființarea perdelelor forestiere pe terenuri agricole.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Transmiterea sumelor din fondul de ameliorare a fondului funciar cu destinație silvică se face în baza: metodologiilor, notei/notelor, procedurilor prevăzute de legislația în vigoare ori a altor documente aprobatoare, după caz.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Pentru depunerea sumelor în fondul de ameliorare a fondului funciar cu destinație silvică autoritatea publică centrală care răspunde de silvicultură va deschide următoarele conturi: </w:t>
      </w:r>
    </w:p>
    <w:p w:rsidR="00EA0B2A" w:rsidRPr="00B16B4B" w:rsidRDefault="00EA0B2A" w:rsidP="00EA0B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contul pentru depunerea taxei pentru scoaterea definitivă a terenurilor din fondul forestier național și a celorlalte taxe asimilate acesteia;</w:t>
      </w:r>
    </w:p>
    <w:p w:rsidR="00EA0B2A" w:rsidRPr="00B16B4B" w:rsidRDefault="00EA0B2A" w:rsidP="00EA0B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contul pentru depunerea sumelor stabilite ca urmare a aplicării unor sancțiuni contravenționale complementare;</w:t>
      </w:r>
    </w:p>
    <w:p w:rsidR="00EA0B2A" w:rsidRPr="00B16B4B" w:rsidRDefault="00EA0B2A" w:rsidP="00EA0B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contul pentru depunerea garanției pentru ocuparea temporară a terenurilor din fondul forestier național;</w:t>
      </w:r>
    </w:p>
    <w:p w:rsidR="00EA0B2A" w:rsidRPr="00B16B4B" w:rsidRDefault="00EA0B2A" w:rsidP="00EA0B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contul pentru depunerea contravalorii serviciilor ecosistemelor forestiere, a contravalorii surplusului de unități de reținere prin sechestrare –RMU;</w:t>
      </w:r>
    </w:p>
    <w:p w:rsidR="00EA0B2A" w:rsidRPr="00B16B4B" w:rsidRDefault="00EA0B2A" w:rsidP="00EA0B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contul pentru depunerea a despăgubirilor pentru pagube constate în păduri neadministrate sau pentru care nu sunt asigurate serviciile silvice; </w:t>
      </w:r>
    </w:p>
    <w:p w:rsidR="00EA0B2A" w:rsidRPr="00B16B4B" w:rsidRDefault="00EA0B2A" w:rsidP="00EA0B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contul pentru depunerea sumelor din contravaloarea masei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lemonase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confiscate. 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6B4B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16B4B">
        <w:rPr>
          <w:rFonts w:ascii="Times New Roman" w:hAnsi="Times New Roman" w:cs="Times New Roman"/>
          <w:sz w:val="24"/>
          <w:szCs w:val="24"/>
          <w:lang w:val="ro-RO"/>
        </w:rPr>
        <w:lastRenderedPageBreak/>
        <w:t>Având în vedere cele anterior menționate vă</w:t>
      </w:r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rugăm să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fiţi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de acord cu elaborarea proiectului de ordin pentru aprobarea Normelor metodologice privind constituirea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şi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utilizarea Fondului de ameliorare a fondului funciar cu </w:t>
      </w:r>
      <w:proofErr w:type="spellStart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destinaţie</w:t>
      </w:r>
      <w:proofErr w:type="spellEnd"/>
      <w:r w:rsidRPr="00B16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silvică.</w:t>
      </w:r>
    </w:p>
    <w:p w:rsidR="00EA0B2A" w:rsidRPr="00B16B4B" w:rsidRDefault="00EA0B2A" w:rsidP="00EA0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A0B2A" w:rsidRPr="00B16B4B" w:rsidRDefault="00EA0B2A" w:rsidP="00EA0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16B4B">
        <w:rPr>
          <w:rFonts w:ascii="Times New Roman" w:hAnsi="Times New Roman" w:cs="Times New Roman"/>
          <w:b/>
          <w:sz w:val="24"/>
          <w:szCs w:val="24"/>
          <w:lang w:val="ro-RO"/>
        </w:rPr>
        <w:t>DIRECTOR,</w:t>
      </w:r>
      <w:bookmarkStart w:id="0" w:name="_GoBack"/>
      <w:bookmarkEnd w:id="0"/>
    </w:p>
    <w:p w:rsidR="00EA0B2A" w:rsidRPr="00B16B4B" w:rsidRDefault="00EA0B2A" w:rsidP="00EA0B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A0B2A" w:rsidRPr="00B16B4B" w:rsidRDefault="00EA0B2A" w:rsidP="00EA0B2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B16B4B">
        <w:rPr>
          <w:rFonts w:ascii="Times New Roman" w:hAnsi="Times New Roman" w:cs="Times New Roman"/>
          <w:b/>
          <w:sz w:val="24"/>
          <w:szCs w:val="24"/>
          <w:lang w:val="ro-RO"/>
        </w:rPr>
        <w:t>Dănuț IACOB</w:t>
      </w:r>
    </w:p>
    <w:p w:rsidR="00EA0B2A" w:rsidRPr="00B16B4B" w:rsidRDefault="00EA0B2A" w:rsidP="00EA0B2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B16B4B">
        <w:rPr>
          <w:rFonts w:ascii="Times New Roman" w:hAnsi="Times New Roman" w:cs="Times New Roman"/>
          <w:b/>
          <w:bCs/>
          <w:sz w:val="24"/>
          <w:szCs w:val="24"/>
          <w:lang w:val="pt-BR"/>
        </w:rPr>
        <w:br w:type="page"/>
      </w:r>
    </w:p>
    <w:p w:rsidR="00A8450B" w:rsidRDefault="007139D6"/>
    <w:sectPr w:rsidR="00A8450B" w:rsidSect="00422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D6" w:rsidRDefault="007139D6" w:rsidP="00051062">
      <w:pPr>
        <w:spacing w:after="0" w:line="240" w:lineRule="auto"/>
      </w:pPr>
      <w:r>
        <w:separator/>
      </w:r>
    </w:p>
  </w:endnote>
  <w:endnote w:type="continuationSeparator" w:id="0">
    <w:p w:rsidR="007139D6" w:rsidRDefault="007139D6" w:rsidP="0005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62" w:rsidRDefault="00051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62" w:rsidRDefault="000510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62" w:rsidRDefault="00051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D6" w:rsidRDefault="007139D6" w:rsidP="00051062">
      <w:pPr>
        <w:spacing w:after="0" w:line="240" w:lineRule="auto"/>
      </w:pPr>
      <w:r>
        <w:separator/>
      </w:r>
    </w:p>
  </w:footnote>
  <w:footnote w:type="continuationSeparator" w:id="0">
    <w:p w:rsidR="007139D6" w:rsidRDefault="007139D6" w:rsidP="0005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62" w:rsidRDefault="00051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520500"/>
      <w:docPartObj>
        <w:docPartGallery w:val="Watermarks"/>
        <w:docPartUnique/>
      </w:docPartObj>
    </w:sdtPr>
    <w:sdtContent>
      <w:p w:rsidR="00051062" w:rsidRDefault="0005106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47885159" o:spid="_x0000_s2049" type="#_x0000_t136" style="position:absolute;margin-left:0;margin-top:0;width:502.5pt;height:215.3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62" w:rsidRDefault="00051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35761"/>
    <w:multiLevelType w:val="hybridMultilevel"/>
    <w:tmpl w:val="1EA28DE0"/>
    <w:lvl w:ilvl="0" w:tplc="F20E8A32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2A"/>
    <w:rsid w:val="00051062"/>
    <w:rsid w:val="000653DA"/>
    <w:rsid w:val="00237D09"/>
    <w:rsid w:val="004220F2"/>
    <w:rsid w:val="0048151E"/>
    <w:rsid w:val="007139D6"/>
    <w:rsid w:val="00EA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2501C1-743E-4965-A3DE-A410F5B2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62"/>
  </w:style>
  <w:style w:type="paragraph" w:styleId="Footer">
    <w:name w:val="footer"/>
    <w:basedOn w:val="Normal"/>
    <w:link w:val="FooterChar"/>
    <w:uiPriority w:val="99"/>
    <w:unhideWhenUsed/>
    <w:rsid w:val="0005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George%202\Legislatie%20l%20a%2020.05.2010\Legislatie%20actualizata%20dupa%20Codul%20Penal\document-view.seam%3fdocumentId=nr4f6mjtgnptembrg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6</cp:revision>
  <dcterms:created xsi:type="dcterms:W3CDTF">2021-10-28T07:09:00Z</dcterms:created>
  <dcterms:modified xsi:type="dcterms:W3CDTF">2021-11-01T07:19:00Z</dcterms:modified>
</cp:coreProperties>
</file>