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8B47" w14:textId="77777777" w:rsidR="007F1704" w:rsidRDefault="007800F0">
      <w:pPr>
        <w:spacing w:after="26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Nr. ..................../............................2023</w:t>
      </w:r>
    </w:p>
    <w:p w14:paraId="1D0AF7D7" w14:textId="77777777" w:rsidR="007F1704" w:rsidRDefault="007F1704">
      <w:pPr>
        <w:spacing w:after="26" w:line="259" w:lineRule="auto"/>
        <w:ind w:firstLine="0"/>
        <w:jc w:val="left"/>
        <w:rPr>
          <w:sz w:val="24"/>
          <w:szCs w:val="24"/>
        </w:rPr>
      </w:pPr>
    </w:p>
    <w:p w14:paraId="48D2ACCD" w14:textId="77777777" w:rsidR="007F1704" w:rsidRDefault="007F17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553C0911" w14:textId="77777777" w:rsidR="007F1704" w:rsidRDefault="0078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DE APROBARE</w:t>
      </w:r>
    </w:p>
    <w:p w14:paraId="7B34ADC9" w14:textId="77777777" w:rsidR="007F1704" w:rsidRDefault="0078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</w:t>
      </w:r>
      <w:bookmarkStart w:id="0" w:name="_Hlk124842827"/>
      <w:r>
        <w:rPr>
          <w:b/>
          <w:bCs/>
          <w:i/>
          <w:iCs/>
          <w:sz w:val="24"/>
          <w:szCs w:val="24"/>
        </w:rPr>
        <w:t xml:space="preserve">Instrucţiunilor de utilizare a aplicaţiei informatice Sistemul informatic de asigurare a </w:t>
      </w:r>
      <w:r>
        <w:rPr>
          <w:b/>
          <w:bCs/>
          <w:i/>
          <w:iCs/>
          <w:sz w:val="24"/>
          <w:szCs w:val="24"/>
        </w:rPr>
        <w:t>trasabilităţii deşeurilor (SIATD), în vederea monitorizării şi verificării corectitudinii tranzacţiilor cu deşeuri de ambalaje, anvelope, echipamente electrice şi electronice, baterii şi acumulatori portabili în sistemul răspunderii extinse a producătorulu</w:t>
      </w:r>
      <w:r>
        <w:rPr>
          <w:b/>
          <w:bCs/>
          <w:i/>
          <w:iCs/>
          <w:sz w:val="24"/>
          <w:szCs w:val="24"/>
        </w:rPr>
        <w:t>i, precum și în vederea monitorizării și verificării tranzacțiilor cu deșeuri municipale</w:t>
      </w:r>
    </w:p>
    <w:p w14:paraId="2EFBE557" w14:textId="77777777" w:rsidR="007F1704" w:rsidRDefault="007F17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</w:p>
    <w:bookmarkEnd w:id="0"/>
    <w:p w14:paraId="109A150C" w14:textId="77777777" w:rsidR="007F1704" w:rsidRDefault="007F170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 w:val="24"/>
          <w:szCs w:val="24"/>
        </w:rPr>
      </w:pPr>
    </w:p>
    <w:p w14:paraId="02262A0E" w14:textId="77777777" w:rsidR="007F1704" w:rsidRDefault="007800F0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  <w:r>
        <w:rPr>
          <w:sz w:val="24"/>
          <w:szCs w:val="24"/>
        </w:rPr>
        <w:t>Prezentul referat de aprobare este elaborat în conformitate cu prevederile art. 6 alin. (3) și art. 30 alin. (1) lit. c) și alin. (2) din Legea nr. 24/2000 privind n</w:t>
      </w:r>
      <w:r>
        <w:rPr>
          <w:sz w:val="24"/>
          <w:szCs w:val="24"/>
        </w:rPr>
        <w:t xml:space="preserve">ormele de tehnică legislativă pentru elaborarea actelor normative, republicată, cu modificările și completările ulterioare, reprezentând instrumentul de prezentare și motivare a proiectului de ordin </w:t>
      </w:r>
      <w:bookmarkStart w:id="1" w:name="_Hlk122004650"/>
      <w:r>
        <w:rPr>
          <w:sz w:val="24"/>
          <w:szCs w:val="24"/>
        </w:rPr>
        <w:t xml:space="preserve">privind aprobarea </w:t>
      </w:r>
      <w:r>
        <w:rPr>
          <w:i/>
          <w:iCs/>
          <w:sz w:val="24"/>
          <w:szCs w:val="24"/>
        </w:rPr>
        <w:t>Instrucţiunilor de utilizare a aplicaţi</w:t>
      </w:r>
      <w:r>
        <w:rPr>
          <w:i/>
          <w:iCs/>
          <w:sz w:val="24"/>
          <w:szCs w:val="24"/>
        </w:rPr>
        <w:t>ei informatice Sistemul informatic de asigurare a trasabilităţii deşeurilor (SIATD), în vederea monitorizării şi verificării corectitudinii tranzacţiilor cu deşeuri de ambalaje, anvelope, echipamente electrice şi electronice, baterii şi acumulatori portabi</w:t>
      </w:r>
      <w:r>
        <w:rPr>
          <w:i/>
          <w:iCs/>
          <w:sz w:val="24"/>
          <w:szCs w:val="24"/>
        </w:rPr>
        <w:t xml:space="preserve">li în sistemul răspunderii extinse a producătorului, </w:t>
      </w:r>
      <w:r>
        <w:rPr>
          <w:bCs/>
          <w:i/>
          <w:iCs/>
          <w:sz w:val="24"/>
          <w:szCs w:val="24"/>
        </w:rPr>
        <w:t>precum și în vederea monitorizării și verificării tranzacțiilor cu deșeuri municipale.</w:t>
      </w:r>
    </w:p>
    <w:bookmarkEnd w:id="1"/>
    <w:p w14:paraId="11C1D7D8" w14:textId="77777777" w:rsidR="00EA09F1" w:rsidRDefault="00EA09F1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14:paraId="0D281383" w14:textId="0A344182" w:rsidR="007F1704" w:rsidRDefault="007800F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Baza legală a proiectului de ordin supus aprobării o constituie prevederile art. 10 alin. (9)-(12), ale art. 12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n Ordonanţa de urgenţă a Guvernului nr. 196/2005 privind Fondul pentru mediu, aprobată cu modificări şi completări prin Legea nr. 105/2006, cu modificările şi completările ulterioare. </w:t>
      </w:r>
    </w:p>
    <w:p w14:paraId="55813373" w14:textId="3F7F5BDA" w:rsidR="007F1704" w:rsidRPr="00EA09F1" w:rsidRDefault="007800F0" w:rsidP="00EA09F1">
      <w:pPr>
        <w:pStyle w:val="NormalWeb"/>
        <w:ind w:firstLine="708"/>
        <w:jc w:val="both"/>
        <w:rPr>
          <w:lang w:val="pt-BR" w:eastAsia="en-US"/>
        </w:rPr>
      </w:pPr>
      <w:r>
        <w:t>Invederăm faptul că, prin Ordonanța de urgență a Guvernului nr. 125/202</w:t>
      </w:r>
      <w:r>
        <w:t xml:space="preserve">2 pentru modificarea și completarea Ordonanței de Urgență nr. 196/2005 privind Fondul pentru mediu s-a instituit obligația persoanelor juridice legal constituite, autorizate de </w:t>
      </w:r>
      <w:r w:rsidR="00EA09F1">
        <w:t xml:space="preserve">Comisia de supraveghere a răspunderii extinse a producătorilor, </w:t>
      </w:r>
      <w:r w:rsidR="00EA09F1" w:rsidRPr="00EA09F1">
        <w:rPr>
          <w:lang w:val="pt-BR" w:eastAsia="en-US"/>
        </w:rPr>
        <w:t xml:space="preserve">prevăzute la </w:t>
      </w:r>
      <w:hyperlink w:history="1">
        <w:r w:rsidR="00EA09F1" w:rsidRPr="00EA09F1">
          <w:rPr>
            <w:lang w:val="pt-BR" w:eastAsia="en-US"/>
          </w:rPr>
          <w:t>art. 9 alin. (1) lit. v)</w:t>
        </w:r>
      </w:hyperlink>
      <w:r w:rsidR="00EA09F1" w:rsidRPr="00EA09F1">
        <w:rPr>
          <w:lang w:val="pt-BR" w:eastAsia="en-US"/>
        </w:rPr>
        <w:t xml:space="preserve">, care gestionează deşeuri de ambalaje, de către operatorii economici care desfăşoară activităţi de colectare, valorificare sau salubrizare şi raportează deşeuri pentru contribuabilii prevăzuţi la </w:t>
      </w:r>
      <w:hyperlink w:history="1">
        <w:r w:rsidR="00EA09F1" w:rsidRPr="00EA09F1">
          <w:rPr>
            <w:lang w:val="pt-BR" w:eastAsia="en-US"/>
          </w:rPr>
          <w:t>art. 9 alin. (1) lit. v)</w:t>
        </w:r>
      </w:hyperlink>
      <w:r w:rsidR="00EA09F1" w:rsidRPr="00EA09F1">
        <w:rPr>
          <w:lang w:val="pt-BR" w:eastAsia="en-US"/>
        </w:rPr>
        <w:t xml:space="preserve"> şi </w:t>
      </w:r>
      <w:hyperlink w:history="1">
        <w:r w:rsidR="00EA09F1" w:rsidRPr="00EA09F1">
          <w:rPr>
            <w:lang w:val="pt-BR" w:eastAsia="en-US"/>
          </w:rPr>
          <w:t>y)</w:t>
        </w:r>
      </w:hyperlink>
      <w:r w:rsidR="00EA09F1" w:rsidRPr="00EA09F1">
        <w:rPr>
          <w:lang w:val="pt-BR" w:eastAsia="en-US"/>
        </w:rPr>
        <w:t xml:space="preserve">, precum şi de către persoanele juridice ale căror costuri nete şi/sau costuri de colectare, valorificare, sortare sau raportare sunt finanţate de către persoanele juridice prevăzute la </w:t>
      </w:r>
      <w:hyperlink w:history="1">
        <w:r w:rsidR="00EA09F1" w:rsidRPr="00EA09F1">
          <w:rPr>
            <w:lang w:val="pt-BR" w:eastAsia="en-US"/>
          </w:rPr>
          <w:t>art. 9 alin. (1) lit. v)</w:t>
        </w:r>
      </w:hyperlink>
      <w:r w:rsidR="00EA09F1" w:rsidRPr="00EA09F1">
        <w:rPr>
          <w:lang w:val="pt-BR" w:eastAsia="en-US"/>
        </w:rPr>
        <w:t xml:space="preserve"> şi </w:t>
      </w:r>
      <w:hyperlink w:history="1">
        <w:r w:rsidR="00EA09F1" w:rsidRPr="00EA09F1">
          <w:rPr>
            <w:lang w:val="pt-BR" w:eastAsia="en-US"/>
          </w:rPr>
          <w:t>y)</w:t>
        </w:r>
      </w:hyperlink>
      <w:r w:rsidR="00EA09F1" w:rsidRPr="00EA09F1">
        <w:rPr>
          <w:lang w:val="pt-BR" w:eastAsia="en-US"/>
        </w:rPr>
        <w:t xml:space="preserve">, </w:t>
      </w:r>
      <w:r w:rsidRPr="00EA09F1">
        <w:t>d</w:t>
      </w:r>
      <w:r>
        <w:t>e a utiliza aplicația informatică SIATD</w:t>
      </w:r>
      <w:r w:rsidR="00EA09F1">
        <w:t xml:space="preserve">. </w:t>
      </w:r>
      <w:r>
        <w:t xml:space="preserve">De asemenea, s-au stabilit sancțiuni pentru nerespectarea obligațiilor de raportare la termen sau pentru neutilizarea tranzacțiilor în SIATD de către persoanele obligate să utilizeze aplicația SIATD.  </w:t>
      </w:r>
    </w:p>
    <w:p w14:paraId="589FAFB6" w14:textId="77777777" w:rsidR="007F1704" w:rsidRDefault="007800F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Menționăm că, prin Legea nr. 175/2023 </w:t>
      </w:r>
      <w:r>
        <w:rPr>
          <w:color w:val="auto"/>
          <w:sz w:val="24"/>
          <w:szCs w:val="24"/>
        </w:rPr>
        <w:t>privind aprobare</w:t>
      </w:r>
      <w:r>
        <w:rPr>
          <w:color w:val="auto"/>
          <w:sz w:val="24"/>
          <w:szCs w:val="24"/>
        </w:rPr>
        <w:t xml:space="preserve">a </w:t>
      </w:r>
      <w:hyperlink w:history="1">
        <w:r>
          <w:rPr>
            <w:color w:val="auto"/>
            <w:sz w:val="24"/>
            <w:szCs w:val="24"/>
          </w:rPr>
          <w:t>Ordonanţei de urgenţă a Guvernului nr. 125/2022</w:t>
        </w:r>
      </w:hyperlink>
      <w:r>
        <w:rPr>
          <w:color w:val="auto"/>
          <w:sz w:val="24"/>
          <w:szCs w:val="24"/>
        </w:rPr>
        <w:t xml:space="preserve"> pentru modificarea şi completarea </w:t>
      </w:r>
      <w:hyperlink w:history="1">
        <w:r>
          <w:rPr>
            <w:color w:val="auto"/>
            <w:sz w:val="24"/>
            <w:szCs w:val="24"/>
          </w:rPr>
          <w:t>Ordonanţei de urgenţă a Guvernului nr. 196/2005</w:t>
        </w:r>
      </w:hyperlink>
      <w:r>
        <w:rPr>
          <w:color w:val="auto"/>
          <w:sz w:val="24"/>
          <w:szCs w:val="24"/>
        </w:rPr>
        <w:t xml:space="preserve"> privind Fondul pentru mediu, s-a instituit obligația operatorilor economici care desfăşoară acti</w:t>
      </w:r>
      <w:r>
        <w:rPr>
          <w:color w:val="auto"/>
          <w:sz w:val="24"/>
          <w:szCs w:val="24"/>
        </w:rPr>
        <w:t>vităţi de colectare, valorificare, reciclare sau brokeraj şi raportează deşeuri în SIATD de a constitui o garanție în cuantum de 50 de lei/tonă în favoarea organizaţiilor care implementează răspunderea extinsă a producătorului</w:t>
      </w:r>
      <w:r>
        <w:rPr>
          <w:sz w:val="24"/>
          <w:szCs w:val="24"/>
        </w:rPr>
        <w:t xml:space="preserve">. </w:t>
      </w:r>
    </w:p>
    <w:p w14:paraId="037FE391" w14:textId="77777777" w:rsidR="00EA09F1" w:rsidRDefault="00EA09F1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14:paraId="173CB99F" w14:textId="77777777" w:rsidR="00EA09F1" w:rsidRDefault="007800F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Astfel, prin prezentul proiect de ordin se propune aprobarea </w:t>
      </w:r>
      <w:r>
        <w:rPr>
          <w:i/>
          <w:iCs/>
          <w:sz w:val="24"/>
          <w:szCs w:val="24"/>
        </w:rPr>
        <w:t>Instrucţiunilor de utilizare a aplicaţiei informatice Sistemul informatic de asigurare a trasabilităţii deşeurilor (SIATD), în vederea monitorizării şi verificării corectitudinii tranzacţiilor cu</w:t>
      </w:r>
      <w:r>
        <w:rPr>
          <w:i/>
          <w:iCs/>
          <w:sz w:val="24"/>
          <w:szCs w:val="24"/>
        </w:rPr>
        <w:t xml:space="preserve"> deşeuri de ambalaje, anvelope, echipamente electrice şi electronice, baterii şi acumulatori portabili în sistemul răspunderii extinse a producătorului,  </w:t>
      </w:r>
      <w:r>
        <w:rPr>
          <w:bCs/>
          <w:i/>
          <w:iCs/>
          <w:sz w:val="24"/>
          <w:szCs w:val="24"/>
        </w:rPr>
        <w:t>precum și în vederea monitorizării și verificării tranzacțiilor cu deșeuri municipale</w:t>
      </w:r>
      <w:r>
        <w:rPr>
          <w:sz w:val="24"/>
          <w:szCs w:val="24"/>
        </w:rPr>
        <w:t xml:space="preserve"> </w:t>
      </w:r>
    </w:p>
    <w:p w14:paraId="0124CE16" w14:textId="5C49D351" w:rsidR="007F1704" w:rsidRDefault="007800F0" w:rsidP="00EA09F1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și abrogarea Or</w:t>
      </w:r>
      <w:r>
        <w:rPr>
          <w:sz w:val="24"/>
          <w:szCs w:val="24"/>
        </w:rPr>
        <w:t>dinului ministrului mediului, apelor și pădurilor nr.1595/2020 pentru aprobarea Instrucţiunilor de utilizare a aplicaţiei informatice SIATD, în vederea monitorizării şi verificării corectitudinii tranzacţiilor cu deşeuri de ambalaje în sistemul răspunderii</w:t>
      </w:r>
      <w:r>
        <w:rPr>
          <w:sz w:val="24"/>
          <w:szCs w:val="24"/>
        </w:rPr>
        <w:t xml:space="preserve"> extinse a producătorului,  publicat în Monitorul Oficial al României, Partea I, nr. 775 din 25 august 2020.</w:t>
      </w:r>
    </w:p>
    <w:p w14:paraId="7C02C3DB" w14:textId="77777777" w:rsidR="007F1704" w:rsidRDefault="007F1704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</w:p>
    <w:p w14:paraId="1120ACA9" w14:textId="77777777" w:rsidR="007F1704" w:rsidRDefault="007800F0">
      <w:pPr>
        <w:autoSpaceDE w:val="0"/>
        <w:autoSpaceDN w:val="0"/>
        <w:adjustRightInd w:val="0"/>
        <w:spacing w:after="0" w:line="240" w:lineRule="auto"/>
        <w:contextualSpacing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Față de cele de mai sus și ținând seama de motivele invocate, vă rugăm să analizați și să aprobați </w:t>
      </w:r>
      <w:r>
        <w:rPr>
          <w:bCs/>
          <w:i/>
          <w:sz w:val="24"/>
          <w:szCs w:val="24"/>
        </w:rPr>
        <w:t>proiectul de ordin</w:t>
      </w:r>
      <w:r>
        <w:rPr>
          <w:b/>
          <w:i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privind aprobarea Instrucţiu</w:t>
      </w:r>
      <w:r>
        <w:rPr>
          <w:i/>
          <w:iCs/>
          <w:sz w:val="24"/>
          <w:szCs w:val="24"/>
        </w:rPr>
        <w:t>nilor de utilizare a aplicaţiei informatice Sistemul informatic de asigurare a trasabilităţii deşeurilor (SIATD), în vederea monitorizării şi verificării corectitudinii tranzacţiilor cu deşeuri de ambalaje, anvelope, echipamente electrice şi electronice, b</w:t>
      </w:r>
      <w:r>
        <w:rPr>
          <w:i/>
          <w:iCs/>
          <w:sz w:val="24"/>
          <w:szCs w:val="24"/>
        </w:rPr>
        <w:t xml:space="preserve">aterii şi acumulatori portabili în sistemul răspunderii extinse a producătorului, </w:t>
      </w:r>
      <w:r>
        <w:rPr>
          <w:bCs/>
          <w:i/>
          <w:iCs/>
          <w:sz w:val="24"/>
          <w:szCs w:val="24"/>
        </w:rPr>
        <w:t>precum și în vederea monitorizării și verificării tranzacțiilor cu deșeuri municipale.</w:t>
      </w:r>
    </w:p>
    <w:p w14:paraId="2D8C9767" w14:textId="77777777" w:rsidR="007F1704" w:rsidRDefault="007F1704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</w:p>
    <w:p w14:paraId="05991341" w14:textId="77777777" w:rsidR="007F1704" w:rsidRDefault="007F1704">
      <w:pPr>
        <w:autoSpaceDE w:val="0"/>
        <w:autoSpaceDN w:val="0"/>
        <w:adjustRightInd w:val="0"/>
        <w:spacing w:after="0" w:line="276" w:lineRule="auto"/>
        <w:ind w:firstLine="0"/>
        <w:rPr>
          <w:b/>
          <w:bCs/>
          <w:i/>
          <w:iCs/>
          <w:sz w:val="24"/>
          <w:szCs w:val="24"/>
        </w:rPr>
      </w:pPr>
    </w:p>
    <w:p w14:paraId="5C844701" w14:textId="77777777" w:rsidR="007F1704" w:rsidRDefault="007800F0">
      <w:pPr>
        <w:spacing w:after="0" w:line="276" w:lineRule="auto"/>
        <w:ind w:firstLine="0"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59A4D983" w14:textId="77777777" w:rsidR="007F1704" w:rsidRPr="00E8629C" w:rsidRDefault="007800F0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pt-BR" w:eastAsia="en-US"/>
        </w:rPr>
      </w:pPr>
      <w:r w:rsidRPr="00E8629C">
        <w:rPr>
          <w:rFonts w:eastAsia="Calibri"/>
          <w:b/>
          <w:bCs/>
          <w:color w:val="auto"/>
          <w:sz w:val="24"/>
          <w:szCs w:val="24"/>
          <w:lang w:val="pt-BR" w:eastAsia="en-US"/>
        </w:rPr>
        <w:t>Laurențiu Adrian NECULAESCU</w:t>
      </w:r>
    </w:p>
    <w:p w14:paraId="243962DD" w14:textId="77777777" w:rsidR="007F1704" w:rsidRPr="00E8629C" w:rsidRDefault="007F1704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pt-BR" w:eastAsia="en-US"/>
        </w:rPr>
      </w:pPr>
    </w:p>
    <w:p w14:paraId="48927DD2" w14:textId="77777777" w:rsidR="007F1704" w:rsidRPr="00E8629C" w:rsidRDefault="007F1704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pt-BR" w:eastAsia="en-US"/>
        </w:rPr>
      </w:pPr>
    </w:p>
    <w:p w14:paraId="554E3C06" w14:textId="77777777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  <w:bookmarkStart w:id="2" w:name="_GoBack"/>
    </w:p>
    <w:p w14:paraId="7AA16959" w14:textId="77777777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</w:p>
    <w:p w14:paraId="36F1AA58" w14:textId="35618E6B" w:rsidR="007F1704" w:rsidRPr="00BE58DD" w:rsidRDefault="007800F0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  <w:r w:rsidRPr="00BE58DD">
        <w:rPr>
          <w:rFonts w:eastAsia="Calibri"/>
          <w:color w:val="FFFFFF" w:themeColor="background1"/>
          <w:sz w:val="24"/>
          <w:szCs w:val="24"/>
          <w:lang w:val="pt-BR" w:eastAsia="en-US"/>
        </w:rPr>
        <w:t>Ș</w:t>
      </w:r>
      <w:r w:rsidRPr="00BE58DD">
        <w:rPr>
          <w:rFonts w:eastAsia="Calibri"/>
          <w:color w:val="FFFFFF" w:themeColor="background1"/>
          <w:sz w:val="24"/>
          <w:szCs w:val="24"/>
          <w:lang w:val="pt-BR" w:eastAsia="en-US"/>
        </w:rPr>
        <w:t xml:space="preserve">ef Serviciu Analiză și Avizare, </w:t>
      </w:r>
    </w:p>
    <w:p w14:paraId="2421E643" w14:textId="0B44ADB7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  <w:r w:rsidRPr="00BE58DD">
        <w:rPr>
          <w:rFonts w:eastAsia="Calibri"/>
          <w:color w:val="FFFFFF" w:themeColor="background1"/>
          <w:sz w:val="24"/>
          <w:szCs w:val="24"/>
          <w:lang w:val="pt-BR" w:eastAsia="en-US"/>
        </w:rPr>
        <w:t xml:space="preserve">Andreea Coman   </w:t>
      </w:r>
    </w:p>
    <w:p w14:paraId="0C34A9FE" w14:textId="77777777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</w:p>
    <w:p w14:paraId="51018A8E" w14:textId="77777777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</w:p>
    <w:p w14:paraId="3E5D51C8" w14:textId="57970F43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BE58DD">
        <w:rPr>
          <w:rFonts w:eastAsia="Calibri"/>
          <w:color w:val="FFFFFF" w:themeColor="background1"/>
          <w:sz w:val="24"/>
          <w:szCs w:val="24"/>
          <w:lang w:eastAsia="en-US"/>
        </w:rPr>
        <w:t xml:space="preserve">Întocmit, </w:t>
      </w:r>
    </w:p>
    <w:p w14:paraId="5712388D" w14:textId="21EB99AD" w:rsidR="00E8629C" w:rsidRPr="00BE58DD" w:rsidRDefault="00E8629C">
      <w:pPr>
        <w:spacing w:after="0" w:line="276" w:lineRule="auto"/>
        <w:ind w:firstLine="0"/>
        <w:jc w:val="left"/>
        <w:rPr>
          <w:rFonts w:eastAsia="Calibri"/>
          <w:color w:val="FFFFFF" w:themeColor="background1"/>
          <w:sz w:val="24"/>
          <w:szCs w:val="24"/>
          <w:lang w:val="pt-BR" w:eastAsia="en-US"/>
        </w:rPr>
      </w:pPr>
      <w:r w:rsidRPr="00BE58DD">
        <w:rPr>
          <w:rFonts w:eastAsia="Calibri"/>
          <w:color w:val="FFFFFF" w:themeColor="background1"/>
          <w:sz w:val="24"/>
          <w:szCs w:val="24"/>
          <w:lang w:eastAsia="en-US"/>
        </w:rPr>
        <w:t>Emilia Pavel</w:t>
      </w:r>
    </w:p>
    <w:bookmarkEnd w:id="2"/>
    <w:p w14:paraId="7020CFA0" w14:textId="3EB4C0A7" w:rsidR="007F1704" w:rsidRPr="003E10E2" w:rsidRDefault="007F1704">
      <w:pPr>
        <w:spacing w:after="0" w:line="276" w:lineRule="auto"/>
        <w:ind w:firstLine="0"/>
        <w:jc w:val="left"/>
        <w:rPr>
          <w:rFonts w:eastAsia="Calibri"/>
          <w:color w:val="auto"/>
          <w:sz w:val="24"/>
          <w:szCs w:val="24"/>
          <w:lang w:val="pt-BR" w:eastAsia="en-US"/>
        </w:rPr>
      </w:pPr>
    </w:p>
    <w:sectPr w:rsidR="007F1704" w:rsidRPr="003E10E2">
      <w:headerReference w:type="even" r:id="rId8"/>
      <w:headerReference w:type="default" r:id="rId9"/>
      <w:footerReference w:type="default" r:id="rId10"/>
      <w:headerReference w:type="first" r:id="rId11"/>
      <w:pgSz w:w="11909" w:h="16838"/>
      <w:pgMar w:top="284" w:right="994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8545" w14:textId="77777777" w:rsidR="007800F0" w:rsidRDefault="007800F0">
      <w:pPr>
        <w:spacing w:after="0" w:line="240" w:lineRule="auto"/>
      </w:pPr>
      <w:r>
        <w:separator/>
      </w:r>
    </w:p>
  </w:endnote>
  <w:endnote w:type="continuationSeparator" w:id="0">
    <w:p w14:paraId="1F12F79C" w14:textId="77777777" w:rsidR="007800F0" w:rsidRDefault="0078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B0E3" w14:textId="77777777" w:rsidR="007F1704" w:rsidRDefault="007800F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E44E8F5" wp14:editId="04A9B4E2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 xml:space="preserve">Splaiul Independenţei, nr. 294, </w:t>
    </w:r>
    <w:r>
      <w:rPr>
        <w:rFonts w:ascii="Trebuchet MS" w:hAnsi="Trebuchet MS"/>
        <w:color w:val="404040"/>
        <w:sz w:val="18"/>
        <w:szCs w:val="18"/>
      </w:rPr>
      <w:t>Sector 6, Bucureşti, Tel/Fax: 004/021.319.48.49; 004/021.319.48.50</w:t>
    </w:r>
  </w:p>
  <w:p w14:paraId="00C9EBE8" w14:textId="77777777" w:rsidR="007F1704" w:rsidRDefault="007800F0">
    <w:pPr>
      <w:spacing w:after="0"/>
      <w:jc w:val="center"/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81C3F" w14:textId="77777777" w:rsidR="007800F0" w:rsidRDefault="007800F0">
      <w:pPr>
        <w:spacing w:after="0" w:line="240" w:lineRule="auto"/>
      </w:pPr>
      <w:r>
        <w:separator/>
      </w:r>
    </w:p>
  </w:footnote>
  <w:footnote w:type="continuationSeparator" w:id="0">
    <w:p w14:paraId="056345B4" w14:textId="77777777" w:rsidR="007800F0" w:rsidRDefault="0078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014B" w14:textId="77777777" w:rsidR="007F1704" w:rsidRDefault="007800F0">
    <w:pPr>
      <w:pStyle w:val="Header"/>
    </w:pPr>
    <w:r>
      <w:rPr>
        <w:noProof/>
      </w:rPr>
      <w:pict w14:anchorId="7DD56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6" o:spid="_x0000_s2050" type="#_x0000_t136" style="position:absolute;left:0;text-align:left;margin-left:0;margin-top:0;width:536.3pt;height:153.2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3514" w14:textId="77777777" w:rsidR="007F1704" w:rsidRDefault="007800F0">
    <w:pPr>
      <w:pStyle w:val="Header"/>
      <w:ind w:left="-851"/>
    </w:pPr>
    <w:r>
      <w:rPr>
        <w:noProof/>
      </w:rPr>
      <w:pict w14:anchorId="001A7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7" o:spid="_x0000_s2051" type="#_x0000_t136" style="position:absolute;left:0;text-align:left;margin-left:0;margin-top:0;width:536.3pt;height:153.2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016724AC" w14:textId="77777777" w:rsidR="007F1704" w:rsidRDefault="007800F0">
    <w:pPr>
      <w:pStyle w:val="Header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23446" wp14:editId="50BC1C06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4" name="Picture 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8BFC09" wp14:editId="2450B9DE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5" name="Picture 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69D3E" w14:textId="77777777" w:rsidR="007F1704" w:rsidRDefault="007800F0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MINISTERUL MEDIULUI, APELOR ȘI PĂDURILOR</w:t>
    </w:r>
  </w:p>
  <w:p w14:paraId="4BFB4DA8" w14:textId="77777777" w:rsidR="007F1704" w:rsidRDefault="007800F0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02DF0E43" w14:textId="77777777" w:rsidR="007F1704" w:rsidRDefault="007800F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7F72FE5" wp14:editId="70F55182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" strokecolor="#2e74b5 [2404]" strokeweight="1.5pt">
              <o:lock v:ext="edit" shapetype="f"/>
            </v:line>
          </w:pict>
        </mc:Fallback>
      </mc:AlternateContent>
    </w:r>
  </w:p>
  <w:p w14:paraId="4232C6DA" w14:textId="77777777" w:rsidR="007F1704" w:rsidRDefault="007F1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440AD" w14:textId="77777777" w:rsidR="007F1704" w:rsidRDefault="007800F0">
    <w:pPr>
      <w:pStyle w:val="Header"/>
    </w:pPr>
    <w:r>
      <w:rPr>
        <w:noProof/>
      </w:rPr>
      <w:pict w14:anchorId="7D8CE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5" o:spid="_x0000_s2049" type="#_x0000_t136" style="position:absolute;left:0;text-align:left;margin-left:0;margin-top:0;width:536.3pt;height:153.2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FF07A3C"/>
    <w:multiLevelType w:val="hybridMultilevel"/>
    <w:tmpl w:val="4860D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04"/>
    <w:rsid w:val="0018162B"/>
    <w:rsid w:val="002646FB"/>
    <w:rsid w:val="00320BC6"/>
    <w:rsid w:val="003E10E2"/>
    <w:rsid w:val="004D076B"/>
    <w:rsid w:val="004F0418"/>
    <w:rsid w:val="0052188A"/>
    <w:rsid w:val="007800F0"/>
    <w:rsid w:val="007F1704"/>
    <w:rsid w:val="007F2439"/>
    <w:rsid w:val="008B76F0"/>
    <w:rsid w:val="00BE58DD"/>
    <w:rsid w:val="00E8629C"/>
    <w:rsid w:val="00E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D8D691"/>
  <w15:docId w15:val="{E9FA2DE1-AE5E-4E63-B72F-5DB684E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shdr">
    <w:name w:val="s_hdr"/>
    <w:basedOn w:val="Normal"/>
    <w:pPr>
      <w:spacing w:before="72" w:after="72" w:line="240" w:lineRule="auto"/>
      <w:ind w:left="72" w:right="72" w:firstLine="0"/>
      <w:jc w:val="left"/>
    </w:pPr>
    <w:rPr>
      <w:rFonts w:ascii="Verdana" w:eastAsiaTheme="minorEastAsia" w:hAnsi="Verdana"/>
      <w:b/>
      <w:bCs/>
      <w:color w:val="333333"/>
      <w:sz w:val="20"/>
      <w:szCs w:val="20"/>
      <w:lang w:val="en-US" w:eastAsia="en-US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Fontdeparagrafimplicit1">
    <w:name w:val="Font de paragraf implicit1"/>
    <w:uiPriority w:val="99"/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8941-4872-487F-92FE-B992220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714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Ramona Danulet</cp:lastModifiedBy>
  <cp:revision>10</cp:revision>
  <cp:lastPrinted>2023-08-03T08:03:00Z</cp:lastPrinted>
  <dcterms:created xsi:type="dcterms:W3CDTF">2023-08-01T10:21:00Z</dcterms:created>
  <dcterms:modified xsi:type="dcterms:W3CDTF">2023-08-24T07:50:00Z</dcterms:modified>
</cp:coreProperties>
</file>