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</w:t>
      </w:r>
      <w:r w:rsidR="006C4C8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MEDIULUI, </w:t>
      </w: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APELOR  ŞI PĂDURILOR </w:t>
      </w:r>
    </w:p>
    <w:p w:rsidR="00D57DE4" w:rsidRPr="0045298A" w:rsidRDefault="00D57DE4" w:rsidP="00D57DE4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Direcţia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Politici </w:t>
      </w: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Strategii în Silvicultură </w:t>
      </w:r>
    </w:p>
    <w:p w:rsidR="00D57DE4" w:rsidRPr="00D57DE4" w:rsidRDefault="00D57DE4" w:rsidP="00D57DE4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D57DE4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Nr. </w:t>
      </w:r>
      <w:r w:rsidR="008052A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162620</w:t>
      </w:r>
      <w:r w:rsidRPr="00D57DE4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/ </w:t>
      </w:r>
      <w:r w:rsidR="008052A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04.0</w:t>
      </w:r>
      <w:bookmarkStart w:id="0" w:name="_GoBack"/>
      <w:bookmarkEnd w:id="0"/>
      <w:r w:rsidR="008052AB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2.2022</w:t>
      </w: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D57DE4" w:rsidRPr="00D57DE4" w:rsidRDefault="00D57DE4" w:rsidP="00D5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7C0FEE" w:rsidRDefault="007C0FEE" w:rsidP="00D57D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Ordinul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>. 694/2016</w:t>
      </w:r>
      <w:r w:rsidRPr="00555A60">
        <w:rPr>
          <w:b/>
          <w:sz w:val="24"/>
          <w:szCs w:val="24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Metodologiei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privind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scoaterea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definitivă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ocuparea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temporară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schimbul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terenuri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calcul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obligațiilor</w:t>
      </w:r>
      <w:proofErr w:type="spellEnd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0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bănești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s-au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const</w:t>
      </w:r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atat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neclarități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blocaje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punerea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aplicare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proofErr w:type="gram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acestuia</w:t>
      </w:r>
      <w:proofErr w:type="spellEnd"/>
      <w:r w:rsidR="007C0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C08C1" w:rsidRPr="007C08C1" w:rsidRDefault="007C08C1" w:rsidP="00AD7904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C08C1">
        <w:rPr>
          <w:rFonts w:ascii="Times New Roman" w:eastAsia="Times New Roman" w:hAnsi="Times New Roman" w:cs="Times New Roman"/>
          <w:sz w:val="24"/>
          <w:szCs w:val="24"/>
          <w:lang w:val="ro-RO"/>
        </w:rPr>
        <w:t>Propunem modificarea articolului 2 alineatul 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motivat de faptul că s-au constatat situații în care </w:t>
      </w:r>
      <w:r w:rsidRPr="007C08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terenuri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le</w:t>
      </w:r>
      <w:r w:rsidRPr="007C08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din fondul forestier național care au, conform prevederilor amenajamentelor silvice, altă categorie de folosință decât "pădure", "clasă de regenerare" sau "neproductiv",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nu </w:t>
      </w:r>
      <w:r w:rsidR="00AB36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sunt limitrofe cu păduri, situație în care </w:t>
      </w:r>
      <w:r w:rsidRPr="007C08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D7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datele și </w:t>
      </w:r>
      <w:r w:rsidR="00CD36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informațiile necesare </w:t>
      </w:r>
      <w:r w:rsidR="00AD7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calculului taxelor și despăgubirilor scoaterii definitive nu pot fi identificate. În atare situații</w:t>
      </w:r>
      <w:r w:rsidR="00B269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="00AD7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propunem ca datele și informațiile necesare calculului taxelor și despăgubirilor </w:t>
      </w:r>
      <w:r w:rsidR="009B0A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cazul </w:t>
      </w:r>
      <w:r w:rsidR="00AD7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scoaterii definitive</w:t>
      </w:r>
      <w:r w:rsidR="009B0A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="00AD7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să se realizeze </w:t>
      </w:r>
      <w:r w:rsidRPr="007C08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baza unui studiu </w:t>
      </w:r>
      <w:proofErr w:type="spellStart"/>
      <w:r w:rsidRPr="007C08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pedostațional</w:t>
      </w:r>
      <w:proofErr w:type="spellEnd"/>
      <w:r w:rsidR="00AD7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care identifică cu o precizie ridicată potențialul acelui teren.</w:t>
      </w:r>
    </w:p>
    <w:p w:rsidR="005A1DC8" w:rsidRDefault="007C0FEE" w:rsidP="00D57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1DC8">
        <w:rPr>
          <w:rFonts w:ascii="Times New Roman" w:hAnsi="Times New Roman" w:cs="Times New Roman"/>
          <w:sz w:val="24"/>
          <w:szCs w:val="24"/>
        </w:rPr>
        <w:t xml:space="preserve">Metodologia privind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schimbul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DC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1DC8">
        <w:rPr>
          <w:rFonts w:ascii="Times New Roman" w:hAnsi="Times New Roman" w:cs="Times New Roman"/>
          <w:sz w:val="24"/>
          <w:szCs w:val="24"/>
        </w:rPr>
        <w:t>. 694/2016</w:t>
      </w:r>
      <w:r w:rsidRPr="00555A60">
        <w:rPr>
          <w:b/>
          <w:sz w:val="24"/>
          <w:szCs w:val="24"/>
        </w:rPr>
        <w:t xml:space="preserve"> </w:t>
      </w:r>
      <w:r w:rsidR="005A1DC8">
        <w:rPr>
          <w:rFonts w:ascii="Times New Roman" w:eastAsia="Times New Roman" w:hAnsi="Times New Roman" w:cs="Times New Roman"/>
          <w:sz w:val="24"/>
          <w:szCs w:val="24"/>
          <w:lang w:val="ro-RO"/>
        </w:rPr>
        <w:t>prevede la art. 39 alin. (1):</w:t>
      </w:r>
    </w:p>
    <w:p w:rsidR="005A1DC8" w:rsidRDefault="005A1DC8" w:rsidP="00D57DE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Avizarea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și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scoaterii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definitive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ocupării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temporare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fondul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forestier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național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terenurilor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forestiere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aflate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în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litigiu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rol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se pot face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numai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soluționarea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definitivă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și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irevocabilă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cauzei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instanța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judecată</w:t>
      </w:r>
      <w:proofErr w:type="spellEnd"/>
      <w:r w:rsidRPr="005A1D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</w:p>
    <w:p w:rsidR="005A1DC8" w:rsidRDefault="005A1DC8" w:rsidP="00D57D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Pr="005A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proofErr w:type="spellStart"/>
      <w:r w:rsidRPr="005A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practic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s-au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constatat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numeroase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situații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obiective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inclusiv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utilitate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publică</w:t>
      </w:r>
      <w:proofErr w:type="spellEnd"/>
      <w:r w:rsidR="008E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gram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 </w:t>
      </w:r>
      <w:r w:rsidRPr="005A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putut</w:t>
      </w:r>
      <w:proofErr w:type="spellEnd"/>
      <w:proofErr w:type="gram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realizate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deoarece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ocuparea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temporară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terenului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forestier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care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folosire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temporară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nu s-a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putut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</w:t>
      </w:r>
      <w:r w:rsidR="008E5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situația</w:t>
      </w:r>
      <w:r w:rsidR="0013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persoanele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aflate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litigiu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-au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acordul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realizarea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obiectivului</w:t>
      </w:r>
      <w:proofErr w:type="spellEnd"/>
      <w:r w:rsidR="00B0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27C0" w:rsidRPr="008762FE" w:rsidRDefault="00EC27C0" w:rsidP="00EC27C0">
      <w:pPr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Art. </w:t>
      </w:r>
      <w:proofErr w:type="gramStart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alim</w:t>
      </w:r>
      <w:proofErr w:type="spellEnd"/>
      <w:proofErr w:type="gram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(3)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(5) </w:t>
      </w:r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din </w:t>
      </w:r>
      <w:proofErr w:type="spellStart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energiei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electrice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gazelor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762FE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123/2012</w:t>
      </w:r>
      <w:r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</w:t>
      </w:r>
      <w:proofErr w:type="spellEnd"/>
      <w:r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C27C0" w:rsidRPr="00EC27C0" w:rsidRDefault="00EC27C0" w:rsidP="00EC27C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Lucrările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realizare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retehnologizare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capacităților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energetice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acordă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autorizații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activitățile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acordă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licențe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caz, </w:t>
      </w:r>
      <w:proofErr w:type="spellStart"/>
      <w:r w:rsidRPr="00E46533"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46533"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46533"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E46533">
        <w:rPr>
          <w:rStyle w:val="salnbdy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public,</w:t>
      </w:r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excepția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celor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exclusiv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satisfacerii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consumului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propriu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titularului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autorizației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licenței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C27C0" w:rsidRPr="00EC27C0" w:rsidRDefault="00EC27C0" w:rsidP="00EC27C0">
      <w:pPr>
        <w:tabs>
          <w:tab w:val="left" w:pos="1134"/>
        </w:tabs>
        <w:spacing w:after="0" w:line="240" w:lineRule="auto"/>
        <w:ind w:firstLine="709"/>
        <w:jc w:val="both"/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</w:t>
      </w:r>
    </w:p>
    <w:p w:rsidR="00EC27C0" w:rsidRPr="00EC27C0" w:rsidRDefault="00EC27C0" w:rsidP="00EC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C27C0">
        <w:rPr>
          <w:rStyle w:val="salnttl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(3)</w:t>
      </w:r>
      <w:r w:rsidRPr="00EC27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uz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servitute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 ca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obiect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utilitatea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au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iar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conținutul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35979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135979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r w:rsidRPr="00135979">
        <w:rPr>
          <w:rStyle w:val="slgi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art. 14 </w:t>
      </w:r>
      <w:proofErr w:type="spellStart"/>
      <w:r w:rsidRPr="00135979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35979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exercită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Cartea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funciară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toată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durata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existentei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capacității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energetice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temporar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ocazia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retehnologizării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capacități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funcțiune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reparației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reviziei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lucrărilor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intervenție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caz de </w:t>
      </w:r>
      <w:proofErr w:type="spellStart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avarie</w:t>
      </w:r>
      <w:proofErr w:type="spellEnd"/>
      <w:r w:rsidRPr="00EC27C0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EC27C0" w:rsidRPr="00EC27C0" w:rsidRDefault="00EC27C0" w:rsidP="00EC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6C4C8F" w:rsidRPr="008762FE" w:rsidRDefault="006C4C8F" w:rsidP="008E51C8">
      <w:pPr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Art. 14 din </w:t>
      </w:r>
      <w:proofErr w:type="spellStart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energiei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electrice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gazelor</w:t>
      </w:r>
      <w:proofErr w:type="spellEnd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8762FE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762FE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123/2012</w:t>
      </w:r>
      <w:r w:rsidR="008762FE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762FE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</w:t>
      </w:r>
      <w:proofErr w:type="spellEnd"/>
      <w:r w:rsidR="008762FE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C4C8F" w:rsidRPr="00EC27C0" w:rsidRDefault="00EC27C0" w:rsidP="008E51C8">
      <w:pPr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6C4C8F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(5)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derogare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history="1"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40 </w:t>
        </w:r>
        <w:proofErr w:type="spellStart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(1) </w:t>
        </w:r>
        <w:proofErr w:type="gramStart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din</w:t>
        </w:r>
        <w:proofErr w:type="gramEnd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nr</w:t>
        </w:r>
        <w:proofErr w:type="spellEnd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46/2008, </w:t>
        </w:r>
        <w:proofErr w:type="spellStart"/>
        <w:r w:rsidR="00E46B50" w:rsidRPr="00EC27C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realizarea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obiectivelor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investiții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declarate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utilitate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temporară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pășunilor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fânețelor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împădurite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se face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titularul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autorizației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licenței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contractului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concesiune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următoarelor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dovezi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privind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îndeplinirea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obligațiilor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notificare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acordare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despăgubiri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="00E46B50"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C4C8F" w:rsidRPr="00EC27C0" w:rsidRDefault="00E46B50" w:rsidP="008E51C8">
      <w:pPr>
        <w:spacing w:after="0" w:line="240" w:lineRule="auto"/>
        <w:ind w:firstLine="720"/>
        <w:jc w:val="both"/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C27C0">
        <w:rPr>
          <w:rStyle w:val="slitttl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a)</w:t>
      </w:r>
      <w:r w:rsidRPr="00EC27C0">
        <w:rPr>
          <w:rStyle w:val="slit"/>
          <w:rFonts w:ascii="Times New Roman" w:hAnsi="Times New Roman" w:cs="Times New Roman"/>
          <w:i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contractul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închiriere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convenție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părți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termenul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indemnizațiilor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despăgubirilor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fiind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30 de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încheierea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contractului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închiriere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convenției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proprietarii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identificați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C4C8F" w:rsidRPr="00EC27C0" w:rsidRDefault="00E46B50" w:rsidP="008E51C8">
      <w:pPr>
        <w:spacing w:after="0" w:line="240" w:lineRule="auto"/>
        <w:ind w:firstLine="720"/>
        <w:jc w:val="both"/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C27C0">
        <w:rPr>
          <w:rStyle w:val="slitttl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EC27C0">
        <w:rPr>
          <w:rStyle w:val="slit"/>
          <w:rFonts w:ascii="Times New Roman" w:hAnsi="Times New Roman" w:cs="Times New Roman"/>
          <w:i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proofErr w:type="gram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consemnării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prealabile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conturi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deschise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titularilor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licențe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contractului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concesiune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bani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despăgubirilor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indemnizațiilor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caz,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respectivele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proprietarii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identificați</w:t>
      </w:r>
      <w:proofErr w:type="spellEnd"/>
      <w:r w:rsidRPr="00EC27C0">
        <w:rPr>
          <w:rStyle w:val="slitbdy"/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C4C8F" w:rsidRPr="00EC27C0" w:rsidRDefault="00E46B50" w:rsidP="008E51C8">
      <w:pPr>
        <w:spacing w:after="0" w:line="240" w:lineRule="auto"/>
        <w:ind w:firstLine="720"/>
        <w:jc w:val="both"/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C27C0">
        <w:rPr>
          <w:rStyle w:val="slitttl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EC27C0">
        <w:rPr>
          <w:rStyle w:val="slit"/>
          <w:rFonts w:ascii="Times New Roman" w:hAnsi="Times New Roman" w:cs="Times New Roman"/>
          <w:i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consemnării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prealabile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dispoziția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termen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60 de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la data la care au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notificați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prezinte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semnării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convențiilor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nu s-au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prezentat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refuzat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încheierea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convenției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despăgubirilor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indemnizațiilor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proprietarii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identificați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nu se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prezintă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refuză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încheie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convenția</w:t>
      </w:r>
      <w:proofErr w:type="spellEnd"/>
      <w:r w:rsidRPr="00EC27C0">
        <w:rPr>
          <w:rStyle w:val="slit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C27C0" w:rsidRDefault="00E46B50" w:rsidP="008E51C8">
      <w:pPr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C27C0">
        <w:rPr>
          <w:rStyle w:val="salnttl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(6)</w:t>
      </w:r>
      <w:r w:rsidRPr="00EC27C0">
        <w:rPr>
          <w:rStyle w:val="sal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Titularul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licenței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obligat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înștiințeze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proprietarul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prestatorul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activităților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afectate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lucrărilor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capacitățile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energetice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excepția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cazurilor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avarii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celor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generate de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situații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forță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majoră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situație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proprietarii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înștiințați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termenul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scurt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E51C8" w:rsidRDefault="00E46B50" w:rsidP="008E51C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C27C0">
        <w:rPr>
          <w:rStyle w:val="salnttl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(7)</w:t>
      </w:r>
      <w:r w:rsidRPr="00EC27C0">
        <w:rPr>
          <w:rStyle w:val="saln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Titularul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licenței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obligat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plătească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proprietarilor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despăgubirea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cuvenită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pagubele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27C0">
        <w:rPr>
          <w:rStyle w:val="salnbdy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degaje</w:t>
      </w:r>
      <w:proofErr w:type="spellEnd"/>
      <w:r w:rsidR="008762FE" w:rsidRPr="00EC27C0">
        <w:rPr>
          <w:rFonts w:ascii="Verdana" w:hAnsi="Verdana"/>
          <w:i/>
          <w:sz w:val="23"/>
          <w:szCs w:val="23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terenul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să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îl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repună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situația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anterioară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cel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mai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scurt</w:t>
      </w:r>
      <w:proofErr w:type="spellEnd"/>
      <w:r w:rsidR="008762FE" w:rsidRPr="00EC2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timp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posibil</w:t>
      </w:r>
      <w:proofErr w:type="spellEnd"/>
      <w:r w:rsidR="008762FE" w:rsidRP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C27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</w:p>
    <w:p w:rsidR="00EC27C0" w:rsidRDefault="00EC27C0" w:rsidP="008E51C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5283B" w:rsidRDefault="0055283B" w:rsidP="00552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</w:t>
      </w:r>
      <w:r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Prezentul proiect de ordin propune o soluție legislativă care să permită realizarea obiectivelor </w:t>
      </w:r>
      <w:r w:rsidR="00E46533"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prevăzute de lege</w:t>
      </w:r>
      <w:r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situațiile </w:t>
      </w:r>
      <w:r w:rsidR="00E46533"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</w:t>
      </w:r>
      <w:r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litigiu</w:t>
      </w:r>
      <w:r w:rsidR="00E46533"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asupra terenului forestier</w:t>
      </w:r>
      <w:r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cu condiția ca persoanele aflate în litigiu să emită </w:t>
      </w:r>
      <w:r w:rsidRPr="00316F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în acest scop</w:t>
      </w:r>
      <w:r w:rsidRPr="00316F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un </w:t>
      </w:r>
      <w:r w:rsidRPr="00316F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acord sub formă autentică.</w:t>
      </w:r>
      <w:r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5A1DC8" w:rsidRPr="005A1DC8" w:rsidRDefault="002A2FD0" w:rsidP="002A2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În concluzie, este </w:t>
      </w:r>
      <w:r w:rsidR="005A1DC8" w:rsidRPr="005A1DC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ro-RO"/>
        </w:rPr>
        <w:t>permisă a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vizarea și aprobarea ocupării temporare din fondul forestier național a terenurilor forestiere aflate în litigiu pe rolul instanțelor, în baza acordului sub formă autentică a părților aflate în litigiu, emis în acest scop. </w:t>
      </w:r>
    </w:p>
    <w:p w:rsidR="005A1DC8" w:rsidRPr="005A1DC8" w:rsidRDefault="002A2FD0" w:rsidP="005A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Pentru terenurile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aflate în litigiu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s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umele rezultate din valorificarea masei lemnoase existentă pe terenul care face obiectul ocupării temporare și cele datorate pentru ocuparea temporară a terenului forestier potrivit art. 42 alin. (1) lit. b) și d) din Legea nr. 46/2008-Codul silvic, republicată, cu modificările și completările ulterioare, se consemnează într-un cont bancar deschis pe numele </w:t>
      </w:r>
      <w:proofErr w:type="spellStart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iniţiatorului</w:t>
      </w:r>
      <w:proofErr w:type="spellEnd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proiectului </w:t>
      </w:r>
      <w:proofErr w:type="spellStart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se eliberează  prin </w:t>
      </w:r>
      <w:proofErr w:type="spellStart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dispoziţia</w:t>
      </w:r>
      <w:proofErr w:type="spellEnd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iniţiatorului</w:t>
      </w:r>
      <w:proofErr w:type="spellEnd"/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proiectului, în termen de maxim 30 zile de la data rămânerii definitive a hotărârii instanței de judecată. </w:t>
      </w:r>
    </w:p>
    <w:p w:rsidR="005A1DC8" w:rsidRPr="005A1DC8" w:rsidRDefault="002A2FD0" w:rsidP="005A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Pentru terenurile prevăzute la alin.(1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val="ro-RO"/>
        </w:rPr>
        <w:t>1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), s</w:t>
      </w:r>
      <w:r w:rsidR="005A1DC8" w:rsidRPr="005A1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umele achitate potrivit art. 42 alin. (1) lit. c) și e) din Legea nr. 46/2008-Codul silvic, republicată, cu modificările și completările ulterioare se indisponibilizează de către ocolul silvic în fondul de conservare și regenerare a pădurilor, până la data rămânerii definitive a hotărârii instanței de judecată</w:t>
      </w:r>
      <w:r w:rsidR="005A1DC8" w:rsidRPr="005A1DC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A1DC8" w:rsidRPr="005A1DC8" w:rsidRDefault="005A1DC8" w:rsidP="00D57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9B0ADE" w:rsidRPr="009B0ADE" w:rsidRDefault="00316FFF" w:rsidP="009B0AD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0ADE">
        <w:rPr>
          <w:rFonts w:ascii="Times New Roman" w:hAnsi="Times New Roman" w:cs="Times New Roman"/>
          <w:sz w:val="24"/>
          <w:szCs w:val="24"/>
          <w:lang w:val="ro-RO"/>
        </w:rPr>
        <w:t xml:space="preserve">               Având în vedere cele anterior menționate vă</w:t>
      </w:r>
      <w:r w:rsidRPr="009B0A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9B0A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9B0A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modificarea și completarea Metodologiei privind scoaterea definitivă, ocuparea temporară </w:t>
      </w:r>
      <w:proofErr w:type="spellStart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schimbul de terenuri </w:t>
      </w:r>
      <w:proofErr w:type="spellStart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calcul al </w:t>
      </w:r>
      <w:proofErr w:type="spellStart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>obligaţiilor</w:t>
      </w:r>
      <w:proofErr w:type="spellEnd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>băneşti</w:t>
      </w:r>
      <w:proofErr w:type="spellEnd"/>
      <w:r w:rsidR="009B0ADE" w:rsidRPr="009B0AD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aprobată prin Ordinul ministrului mediului, apelor și pădurilor nr. 694/2016 </w:t>
      </w:r>
      <w:r w:rsidR="001978B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316FFF" w:rsidRPr="009B0ADE" w:rsidRDefault="00316FFF" w:rsidP="009B0ADE">
      <w:p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</w:pPr>
    </w:p>
    <w:p w:rsidR="00316FFF" w:rsidRPr="00316FFF" w:rsidRDefault="00316FFF" w:rsidP="00316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6FFF" w:rsidRPr="00316FFF" w:rsidRDefault="00316FFF" w:rsidP="0031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DIRECTOR,</w:t>
      </w:r>
    </w:p>
    <w:p w:rsidR="00316FFF" w:rsidRPr="00316FFF" w:rsidRDefault="00316FFF" w:rsidP="00316F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316FFF" w:rsidRPr="00316FFF" w:rsidRDefault="00316FFF" w:rsidP="00316F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316FFF" w:rsidRPr="00316FFF" w:rsidRDefault="00316FFF" w:rsidP="00316FF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16FFF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:rsidR="005A1DC8" w:rsidRDefault="005A1DC8" w:rsidP="00D57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D57DE4" w:rsidRPr="00D57DE4" w:rsidRDefault="00D57DE4" w:rsidP="00D5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C2554A" w:rsidRDefault="00C2554A"/>
    <w:sectPr w:rsidR="00C2554A" w:rsidSect="00876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6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D1" w:rsidRDefault="004029D1" w:rsidP="00373A55">
      <w:pPr>
        <w:spacing w:after="0" w:line="240" w:lineRule="auto"/>
      </w:pPr>
      <w:r>
        <w:separator/>
      </w:r>
    </w:p>
  </w:endnote>
  <w:endnote w:type="continuationSeparator" w:id="0">
    <w:p w:rsidR="004029D1" w:rsidRDefault="004029D1" w:rsidP="0037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55" w:rsidRDefault="00373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55" w:rsidRDefault="00373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55" w:rsidRDefault="0037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D1" w:rsidRDefault="004029D1" w:rsidP="00373A55">
      <w:pPr>
        <w:spacing w:after="0" w:line="240" w:lineRule="auto"/>
      </w:pPr>
      <w:r>
        <w:separator/>
      </w:r>
    </w:p>
  </w:footnote>
  <w:footnote w:type="continuationSeparator" w:id="0">
    <w:p w:rsidR="004029D1" w:rsidRDefault="004029D1" w:rsidP="0037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55" w:rsidRDefault="00373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944721"/>
      <w:docPartObj>
        <w:docPartGallery w:val="Watermarks"/>
        <w:docPartUnique/>
      </w:docPartObj>
    </w:sdtPr>
    <w:sdtEndPr/>
    <w:sdtContent>
      <w:p w:rsidR="00373A55" w:rsidRDefault="004029D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17.65pt;height:22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55" w:rsidRDefault="0037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3B86"/>
    <w:multiLevelType w:val="hybridMultilevel"/>
    <w:tmpl w:val="88801122"/>
    <w:lvl w:ilvl="0" w:tplc="8BDE6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648C"/>
    <w:multiLevelType w:val="hybridMultilevel"/>
    <w:tmpl w:val="4D2AD1A6"/>
    <w:lvl w:ilvl="0" w:tplc="09A6A90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E4"/>
    <w:rsid w:val="00135979"/>
    <w:rsid w:val="00161D8B"/>
    <w:rsid w:val="001978BE"/>
    <w:rsid w:val="002A2FD0"/>
    <w:rsid w:val="00316FFF"/>
    <w:rsid w:val="00373A55"/>
    <w:rsid w:val="004029D1"/>
    <w:rsid w:val="0045298A"/>
    <w:rsid w:val="0055283B"/>
    <w:rsid w:val="005A1DC8"/>
    <w:rsid w:val="006B04F2"/>
    <w:rsid w:val="006C4C8F"/>
    <w:rsid w:val="007C08C1"/>
    <w:rsid w:val="007C0FEE"/>
    <w:rsid w:val="008052AB"/>
    <w:rsid w:val="008153CF"/>
    <w:rsid w:val="008762FE"/>
    <w:rsid w:val="008E51C8"/>
    <w:rsid w:val="009B0ADE"/>
    <w:rsid w:val="009B3DE2"/>
    <w:rsid w:val="00AB36A9"/>
    <w:rsid w:val="00AD7904"/>
    <w:rsid w:val="00B00A5A"/>
    <w:rsid w:val="00B269CA"/>
    <w:rsid w:val="00C2554A"/>
    <w:rsid w:val="00CD3697"/>
    <w:rsid w:val="00D121B6"/>
    <w:rsid w:val="00D57DE4"/>
    <w:rsid w:val="00E46533"/>
    <w:rsid w:val="00E46B50"/>
    <w:rsid w:val="00EC27C0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368D15-0120-46BF-B0E2-DF76C15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">
    <w:name w:val="s_aln"/>
    <w:basedOn w:val="DefaultParagraphFont"/>
    <w:rsid w:val="00E46B50"/>
  </w:style>
  <w:style w:type="character" w:customStyle="1" w:styleId="salnbdy">
    <w:name w:val="s_aln_bdy"/>
    <w:basedOn w:val="DefaultParagraphFont"/>
    <w:rsid w:val="00E46B50"/>
  </w:style>
  <w:style w:type="character" w:styleId="Hyperlink">
    <w:name w:val="Hyperlink"/>
    <w:basedOn w:val="DefaultParagraphFont"/>
    <w:uiPriority w:val="99"/>
    <w:semiHidden/>
    <w:unhideWhenUsed/>
    <w:rsid w:val="00E46B50"/>
    <w:rPr>
      <w:color w:val="0000FF"/>
      <w:u w:val="single"/>
    </w:rPr>
  </w:style>
  <w:style w:type="character" w:customStyle="1" w:styleId="slit">
    <w:name w:val="s_lit"/>
    <w:basedOn w:val="DefaultParagraphFont"/>
    <w:rsid w:val="00E46B50"/>
  </w:style>
  <w:style w:type="character" w:customStyle="1" w:styleId="slitttl">
    <w:name w:val="s_lit_ttl"/>
    <w:basedOn w:val="DefaultParagraphFont"/>
    <w:rsid w:val="00E46B50"/>
  </w:style>
  <w:style w:type="character" w:customStyle="1" w:styleId="slitbdy">
    <w:name w:val="s_lit_bdy"/>
    <w:basedOn w:val="DefaultParagraphFont"/>
    <w:rsid w:val="00E46B50"/>
  </w:style>
  <w:style w:type="character" w:customStyle="1" w:styleId="salnttl">
    <w:name w:val="s_aln_ttl"/>
    <w:basedOn w:val="DefaultParagraphFont"/>
    <w:rsid w:val="00E46B50"/>
  </w:style>
  <w:style w:type="character" w:customStyle="1" w:styleId="sden">
    <w:name w:val="s_den"/>
    <w:basedOn w:val="DefaultParagraphFont"/>
    <w:rsid w:val="006C4C8F"/>
  </w:style>
  <w:style w:type="character" w:customStyle="1" w:styleId="shdr">
    <w:name w:val="s_hdr"/>
    <w:basedOn w:val="DefaultParagraphFont"/>
    <w:rsid w:val="006C4C8F"/>
  </w:style>
  <w:style w:type="paragraph" w:styleId="ListParagraph">
    <w:name w:val="List Paragraph"/>
    <w:basedOn w:val="Normal"/>
    <w:uiPriority w:val="34"/>
    <w:qFormat/>
    <w:rsid w:val="00EC27C0"/>
    <w:pPr>
      <w:ind w:left="720"/>
      <w:contextualSpacing/>
    </w:pPr>
  </w:style>
  <w:style w:type="character" w:customStyle="1" w:styleId="slgi">
    <w:name w:val="s_lgi"/>
    <w:basedOn w:val="DefaultParagraphFont"/>
    <w:rsid w:val="00EC27C0"/>
  </w:style>
  <w:style w:type="paragraph" w:styleId="Header">
    <w:name w:val="header"/>
    <w:basedOn w:val="Normal"/>
    <w:link w:val="HeaderChar"/>
    <w:uiPriority w:val="99"/>
    <w:unhideWhenUsed/>
    <w:rsid w:val="0037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55"/>
  </w:style>
  <w:style w:type="paragraph" w:styleId="Footer">
    <w:name w:val="footer"/>
    <w:basedOn w:val="Normal"/>
    <w:link w:val="FooterChar"/>
    <w:uiPriority w:val="99"/>
    <w:unhideWhenUsed/>
    <w:rsid w:val="0037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2717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18</cp:revision>
  <cp:lastPrinted>2021-12-06T08:26:00Z</cp:lastPrinted>
  <dcterms:created xsi:type="dcterms:W3CDTF">2021-11-17T09:57:00Z</dcterms:created>
  <dcterms:modified xsi:type="dcterms:W3CDTF">2022-02-21T09:54:00Z</dcterms:modified>
</cp:coreProperties>
</file>