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34855" w14:textId="77777777" w:rsidR="00797640" w:rsidRDefault="00797640" w:rsidP="00F94C0F">
      <w:pPr>
        <w:rPr>
          <w:b/>
          <w:bCs/>
        </w:rPr>
      </w:pPr>
    </w:p>
    <w:p w14:paraId="08DCFB0F" w14:textId="77777777" w:rsidR="00797640" w:rsidRPr="00797640" w:rsidRDefault="00797640" w:rsidP="00797640">
      <w:pPr>
        <w:keepNext/>
        <w:keepLines/>
        <w:spacing w:before="0" w:after="0" w:line="240" w:lineRule="auto"/>
        <w:ind w:left="1080"/>
        <w:jc w:val="center"/>
        <w:outlineLvl w:val="8"/>
        <w:rPr>
          <w:rFonts w:eastAsia="Times New Roman" w:cs="Times New Roman"/>
          <w:b/>
          <w:bCs/>
          <w:iCs/>
          <w:color w:val="auto"/>
          <w:sz w:val="24"/>
          <w:szCs w:val="24"/>
        </w:rPr>
      </w:pPr>
      <w:r w:rsidRPr="00797640">
        <w:rPr>
          <w:rFonts w:eastAsia="Times New Roman" w:cs="Times New Roman"/>
          <w:b/>
          <w:bCs/>
          <w:iCs/>
          <w:color w:val="auto"/>
          <w:sz w:val="24"/>
          <w:szCs w:val="24"/>
        </w:rPr>
        <w:t>RAPORT PRIVIND SITUAŢIA HIDROMETEOROLOGICĂ ŞI A CALITĂŢII MEDIULUI</w:t>
      </w:r>
    </w:p>
    <w:p w14:paraId="20983017" w14:textId="77777777" w:rsidR="00797640" w:rsidRPr="00797640" w:rsidRDefault="00797640" w:rsidP="00797640">
      <w:pPr>
        <w:spacing w:before="0" w:after="120" w:line="240" w:lineRule="auto"/>
        <w:ind w:left="1080"/>
        <w:jc w:val="center"/>
        <w:rPr>
          <w:rFonts w:eastAsia="MS Mincho" w:cs="Times New Roman"/>
          <w:b/>
          <w:noProof/>
          <w:color w:val="auto"/>
          <w:sz w:val="24"/>
          <w:szCs w:val="24"/>
        </w:rPr>
      </w:pPr>
      <w:r w:rsidRPr="00797640">
        <w:rPr>
          <w:rFonts w:eastAsia="MS Mincho" w:cs="Times New Roman"/>
          <w:b/>
          <w:noProof/>
          <w:color w:val="auto"/>
          <w:sz w:val="24"/>
          <w:szCs w:val="24"/>
        </w:rPr>
        <w:t>în intervalul 19.11.2024, ora 08:00 – 20.11.2024, ora 08:00</w:t>
      </w:r>
    </w:p>
    <w:p w14:paraId="09799A55" w14:textId="77777777" w:rsidR="00797640" w:rsidRPr="00797640" w:rsidRDefault="00797640" w:rsidP="00797640">
      <w:pPr>
        <w:spacing w:before="0" w:after="0" w:line="240" w:lineRule="auto"/>
        <w:rPr>
          <w:rFonts w:eastAsia="MS Mincho" w:cs="Times New Roman"/>
          <w:noProof/>
          <w:color w:val="auto"/>
        </w:rPr>
      </w:pPr>
    </w:p>
    <w:p w14:paraId="1922564B" w14:textId="77777777" w:rsidR="00797640" w:rsidRDefault="00797640" w:rsidP="00797640">
      <w:pPr>
        <w:spacing w:before="0" w:after="0" w:line="240" w:lineRule="auto"/>
        <w:rPr>
          <w:rFonts w:eastAsia="MS Mincho" w:cs="Times New Roman"/>
          <w:noProof/>
          <w:color w:val="auto"/>
        </w:rPr>
      </w:pPr>
    </w:p>
    <w:p w14:paraId="69490430" w14:textId="77777777" w:rsidR="00797640" w:rsidRPr="00797640" w:rsidRDefault="00797640" w:rsidP="00797640">
      <w:pPr>
        <w:spacing w:before="0" w:after="0" w:line="240" w:lineRule="auto"/>
        <w:rPr>
          <w:rFonts w:eastAsia="MS Mincho" w:cs="Times New Roman"/>
          <w:noProof/>
          <w:color w:val="auto"/>
        </w:rPr>
      </w:pPr>
    </w:p>
    <w:p w14:paraId="5555438D" w14:textId="77777777" w:rsidR="00797640" w:rsidRPr="00797640" w:rsidRDefault="00797640" w:rsidP="00797640">
      <w:pPr>
        <w:spacing w:before="0" w:after="0" w:line="240" w:lineRule="auto"/>
        <w:rPr>
          <w:rFonts w:eastAsia="MS Mincho" w:cs="Times New Roman"/>
          <w:noProof/>
          <w:color w:val="auto"/>
        </w:rPr>
      </w:pPr>
    </w:p>
    <w:p w14:paraId="430D5CED" w14:textId="77777777" w:rsidR="00797640" w:rsidRPr="00797640" w:rsidRDefault="00797640" w:rsidP="00797640">
      <w:pPr>
        <w:keepNext/>
        <w:numPr>
          <w:ilvl w:val="0"/>
          <w:numId w:val="1"/>
        </w:numPr>
        <w:tabs>
          <w:tab w:val="left" w:pos="720"/>
        </w:tabs>
        <w:spacing w:before="0" w:after="120"/>
        <w:ind w:left="1080" w:firstLine="0"/>
        <w:jc w:val="left"/>
        <w:outlineLvl w:val="3"/>
        <w:rPr>
          <w:rFonts w:eastAsia="Times New Roman" w:cs="Times New Roman"/>
          <w:b/>
          <w:bCs/>
          <w:i/>
          <w:color w:val="auto"/>
          <w:u w:val="single"/>
        </w:rPr>
      </w:pPr>
      <w:r w:rsidRPr="00797640">
        <w:rPr>
          <w:rFonts w:eastAsia="Times New Roman" w:cs="Times New Roman"/>
          <w:b/>
          <w:bCs/>
          <w:i/>
          <w:color w:val="auto"/>
          <w:u w:val="single"/>
        </w:rPr>
        <w:t>SITUAŢIA HIDROMETEOROLOGICĂ</w:t>
      </w:r>
    </w:p>
    <w:p w14:paraId="72B2CEBB" w14:textId="77777777" w:rsidR="00797640" w:rsidRPr="00797640" w:rsidRDefault="00797640" w:rsidP="00797640">
      <w:pPr>
        <w:spacing w:before="0" w:after="120"/>
        <w:ind w:left="1080"/>
        <w:rPr>
          <w:rFonts w:eastAsia="MS Mincho" w:cs="Times New Roman"/>
          <w:b/>
          <w:color w:val="auto"/>
          <w:u w:val="single"/>
        </w:rPr>
      </w:pPr>
      <w:r w:rsidRPr="00797640">
        <w:rPr>
          <w:rFonts w:eastAsia="MS Mincho" w:cs="Times New Roman"/>
          <w:b/>
          <w:noProof/>
          <w:color w:val="auto"/>
        </w:rPr>
        <w:t xml:space="preserve">1. </w:t>
      </w:r>
      <w:r w:rsidRPr="00797640">
        <w:rPr>
          <w:rFonts w:eastAsia="MS Mincho" w:cs="Times New Roman"/>
          <w:b/>
          <w:color w:val="auto"/>
          <w:u w:val="single"/>
        </w:rPr>
        <w:t>Situaţia şi prognoza hidrologică pe râurile interioare şi Dunăre din 20.11.2024, ora 07:00</w:t>
      </w:r>
    </w:p>
    <w:p w14:paraId="50B1C595" w14:textId="77777777" w:rsidR="00797640" w:rsidRPr="00797640" w:rsidRDefault="00797640" w:rsidP="00797640">
      <w:pPr>
        <w:spacing w:before="0" w:after="0"/>
        <w:ind w:left="1080"/>
        <w:rPr>
          <w:rFonts w:eastAsia="MS Mincho" w:cs="Times New Roman"/>
          <w:b/>
          <w:color w:val="auto"/>
          <w:u w:val="single"/>
        </w:rPr>
      </w:pPr>
      <w:r w:rsidRPr="00797640">
        <w:rPr>
          <w:rFonts w:eastAsia="MS Mincho" w:cs="Times New Roman"/>
          <w:b/>
          <w:color w:val="auto"/>
          <w:u w:val="single"/>
        </w:rPr>
        <w:t>RÂURI</w:t>
      </w:r>
    </w:p>
    <w:p w14:paraId="4EF5C377" w14:textId="77777777" w:rsidR="00797640" w:rsidRPr="00797640" w:rsidRDefault="00797640" w:rsidP="00797640">
      <w:pPr>
        <w:spacing w:before="0" w:after="0"/>
        <w:ind w:left="1080" w:right="13"/>
        <w:rPr>
          <w:rFonts w:eastAsia="MS Mincho" w:cs="Times New Roman"/>
          <w:b/>
          <w:color w:val="auto"/>
        </w:rPr>
      </w:pPr>
      <w:r w:rsidRPr="00797640">
        <w:rPr>
          <w:rFonts w:eastAsia="MS Mincho" w:cs="Times New Roman"/>
          <w:b/>
          <w:color w:val="auto"/>
        </w:rPr>
        <w:t>Debitele au fost, în general, staționare.</w:t>
      </w:r>
    </w:p>
    <w:p w14:paraId="45587A02" w14:textId="77777777" w:rsidR="00797640" w:rsidRPr="00797640" w:rsidRDefault="00797640" w:rsidP="00797640">
      <w:pPr>
        <w:spacing w:before="0" w:after="0"/>
        <w:ind w:left="1080" w:right="13"/>
        <w:rPr>
          <w:rFonts w:eastAsia="MS Mincho" w:cs="Times New Roman"/>
          <w:bCs/>
          <w:color w:val="auto"/>
        </w:rPr>
      </w:pPr>
      <w:r w:rsidRPr="00797640">
        <w:rPr>
          <w:rFonts w:eastAsia="MS Mincho" w:cs="Times New Roman"/>
          <w:bCs/>
          <w:color w:val="auto"/>
        </w:rPr>
        <w:t>Debitele se situează la valori sub mediile multianuale lunare, cu coeficienți moduli cuprinși între 30-70%, mai mici (sub 30% din normalele lunare) pe râurile din bazinele hidrografice: Iza, Tur, Someș (exceptând Someșul Mic), Barcău, Crișuri, Timiș, Bârzava, Moravița, Caraş, Nera, Cerna, Vedea, Rm. Sărat, Bârlad, bazinul mijlociu și inferior al Jiului, bazinul inferior al Oltului și pe unii afluenți ai Argeșului, Buzăului, Trotușului și Prutului.</w:t>
      </w:r>
    </w:p>
    <w:p w14:paraId="6E4D6708" w14:textId="77777777" w:rsidR="00797640" w:rsidRPr="00797640" w:rsidRDefault="00797640" w:rsidP="00797640">
      <w:pPr>
        <w:spacing w:before="0" w:after="0"/>
        <w:ind w:left="1080" w:right="13"/>
        <w:rPr>
          <w:rFonts w:eastAsia="MS Mincho" w:cs="Times New Roman"/>
          <w:bCs/>
          <w:color w:val="auto"/>
        </w:rPr>
      </w:pPr>
      <w:r w:rsidRPr="00797640">
        <w:rPr>
          <w:rFonts w:eastAsia="MS Mincho" w:cs="Times New Roman"/>
          <w:bCs/>
          <w:color w:val="auto"/>
        </w:rPr>
        <w:t>Formațiunile de gheață (gheață la maluri, năboi, pod de gheață) existente în bazinele superioare ale Someșului, Arieșului, Jiului, Oltului și Bistriței s-au menținut fără modificări importante.</w:t>
      </w:r>
    </w:p>
    <w:p w14:paraId="2A76829D" w14:textId="77777777" w:rsidR="00797640" w:rsidRPr="00797640" w:rsidRDefault="00797640" w:rsidP="00797640">
      <w:pPr>
        <w:spacing w:before="0" w:after="120"/>
        <w:ind w:left="1080" w:right="13"/>
        <w:rPr>
          <w:rFonts w:eastAsia="MS Mincho" w:cs="Times New Roman"/>
          <w:bCs/>
          <w:color w:val="auto"/>
        </w:rPr>
      </w:pPr>
      <w:r w:rsidRPr="00797640">
        <w:rPr>
          <w:rFonts w:eastAsia="MS Mincho" w:cs="Times New Roman"/>
          <w:bCs/>
          <w:color w:val="auto"/>
        </w:rPr>
        <w:t xml:space="preserve">Nivelurile pe râuri la stațiile hidrometrice se situează sub </w:t>
      </w:r>
      <w:r w:rsidRPr="00797640">
        <w:rPr>
          <w:rFonts w:eastAsia="MS Mincho" w:cs="Times New Roman"/>
          <w:b/>
          <w:color w:val="auto"/>
        </w:rPr>
        <w:t>COTELE DE ATENȚIE</w:t>
      </w:r>
      <w:r w:rsidRPr="00797640">
        <w:rPr>
          <w:rFonts w:eastAsia="MS Mincho" w:cs="Times New Roman"/>
          <w:bCs/>
          <w:color w:val="auto"/>
        </w:rPr>
        <w:t>.</w:t>
      </w:r>
    </w:p>
    <w:p w14:paraId="1F7D794F" w14:textId="77777777" w:rsidR="00797640" w:rsidRPr="00797640" w:rsidRDefault="00797640" w:rsidP="00797640">
      <w:pPr>
        <w:spacing w:before="0" w:after="0"/>
        <w:ind w:left="1080" w:right="13"/>
        <w:rPr>
          <w:rFonts w:eastAsia="MS Mincho" w:cs="Times New Roman"/>
          <w:bCs/>
          <w:color w:val="auto"/>
        </w:rPr>
      </w:pPr>
      <w:r w:rsidRPr="00797640">
        <w:rPr>
          <w:rFonts w:eastAsia="MS Mincho" w:cs="Times New Roman"/>
          <w:b/>
          <w:color w:val="auto"/>
        </w:rPr>
        <w:t>Debitele vor fi în ușoară creștere</w:t>
      </w:r>
      <w:r w:rsidRPr="00797640">
        <w:rPr>
          <w:rFonts w:eastAsia="MS Mincho" w:cs="Times New Roman"/>
          <w:bCs/>
          <w:color w:val="auto"/>
        </w:rPr>
        <w:t xml:space="preserve"> pe râurile din Banat, Crișana, Maramureș, Transilvania, Oltenia și nordul Moldovei datorită precipitațiilor prognozate.</w:t>
      </w:r>
    </w:p>
    <w:p w14:paraId="2BA38EFD" w14:textId="77777777" w:rsidR="00797640" w:rsidRPr="00797640" w:rsidRDefault="00797640" w:rsidP="00797640">
      <w:pPr>
        <w:spacing w:before="0" w:after="0"/>
        <w:ind w:left="1080" w:right="13"/>
        <w:rPr>
          <w:rFonts w:eastAsia="MS Mincho" w:cs="Times New Roman"/>
          <w:bCs/>
          <w:color w:val="auto"/>
        </w:rPr>
      </w:pPr>
      <w:r w:rsidRPr="00797640">
        <w:rPr>
          <w:rFonts w:eastAsia="MS Mincho" w:cs="Times New Roman"/>
          <w:bCs/>
          <w:color w:val="auto"/>
        </w:rPr>
        <w:t>Sunt posibile creșteri mai semnificative de niveluri și debite pe unele râuri mici din zonele de deal și munte din Oltenia, Muntenia, Dobrogea și sudul Moldovei datorită precipitațiilor prognozate și propagării.</w:t>
      </w:r>
    </w:p>
    <w:p w14:paraId="3CB137BB" w14:textId="77777777" w:rsidR="00797640" w:rsidRPr="00797640" w:rsidRDefault="00797640" w:rsidP="00797640">
      <w:pPr>
        <w:spacing w:before="0" w:after="0"/>
        <w:ind w:left="1080" w:right="13"/>
        <w:rPr>
          <w:rFonts w:eastAsia="MS Mincho" w:cs="Times New Roman"/>
          <w:bCs/>
          <w:color w:val="auto"/>
        </w:rPr>
      </w:pPr>
      <w:r w:rsidRPr="00797640">
        <w:rPr>
          <w:rFonts w:eastAsia="MS Mincho" w:cs="Times New Roman"/>
          <w:bCs/>
          <w:color w:val="auto"/>
        </w:rPr>
        <w:t>Formațiunile de gheață (gheață la maluri, năboi, pod de gheață) existente pe râurile aferente zonelor montane din centrul și nordul țării vor fi în extindere și se vor intensifica curgerile de năboi pe unele sectoare de râu.</w:t>
      </w:r>
    </w:p>
    <w:p w14:paraId="75B3E722" w14:textId="77777777" w:rsidR="00797640" w:rsidRPr="00797640" w:rsidRDefault="00797640" w:rsidP="00797640">
      <w:pPr>
        <w:spacing w:before="0" w:after="0"/>
        <w:ind w:left="1080" w:right="13"/>
        <w:rPr>
          <w:rFonts w:eastAsia="MS Mincho" w:cs="Times New Roman"/>
          <w:bCs/>
          <w:color w:val="auto"/>
        </w:rPr>
      </w:pPr>
      <w:r w:rsidRPr="00797640">
        <w:rPr>
          <w:rFonts w:eastAsia="MS Mincho" w:cs="Times New Roman"/>
          <w:bCs/>
          <w:color w:val="auto"/>
        </w:rPr>
        <w:t xml:space="preserve">Nivelurile pe râuri la stațiile hidrometrice se vor situa sub </w:t>
      </w:r>
      <w:r w:rsidRPr="00797640">
        <w:rPr>
          <w:rFonts w:eastAsia="MS Mincho" w:cs="Times New Roman"/>
          <w:b/>
          <w:color w:val="auto"/>
        </w:rPr>
        <w:t>COTELE DE ATENȚIE</w:t>
      </w:r>
      <w:r w:rsidRPr="00797640">
        <w:rPr>
          <w:rFonts w:eastAsia="MS Mincho" w:cs="Times New Roman"/>
          <w:bCs/>
          <w:color w:val="auto"/>
        </w:rPr>
        <w:t>.</w:t>
      </w:r>
    </w:p>
    <w:p w14:paraId="11B6FA44" w14:textId="77777777" w:rsidR="00797640" w:rsidRPr="00797640" w:rsidRDefault="00797640" w:rsidP="00797640">
      <w:pPr>
        <w:spacing w:before="0" w:after="0"/>
        <w:ind w:left="1080" w:right="13"/>
        <w:rPr>
          <w:rFonts w:eastAsia="MS Mincho" w:cs="Times New Roman"/>
          <w:bCs/>
          <w:color w:val="auto"/>
        </w:rPr>
      </w:pPr>
    </w:p>
    <w:p w14:paraId="33ABC05F" w14:textId="77777777" w:rsidR="00797640" w:rsidRPr="00797640" w:rsidRDefault="00797640" w:rsidP="00797640">
      <w:pPr>
        <w:spacing w:before="0" w:after="0"/>
        <w:ind w:left="1080" w:right="13"/>
        <w:rPr>
          <w:rFonts w:eastAsia="MS Mincho" w:cs="Times New Roman"/>
          <w:b/>
          <w:color w:val="auto"/>
          <w:u w:val="single"/>
        </w:rPr>
      </w:pPr>
      <w:r w:rsidRPr="00797640">
        <w:rPr>
          <w:rFonts w:eastAsia="MS Mincho" w:cs="Times New Roman"/>
          <w:b/>
          <w:color w:val="auto"/>
          <w:u w:val="single"/>
        </w:rPr>
        <w:t>DUNĂRE</w:t>
      </w:r>
    </w:p>
    <w:p w14:paraId="5EFFC2CB" w14:textId="77777777" w:rsidR="00797640" w:rsidRPr="00797640" w:rsidRDefault="00797640" w:rsidP="00797640">
      <w:pPr>
        <w:spacing w:before="0" w:after="0"/>
        <w:ind w:left="1080" w:right="13"/>
        <w:rPr>
          <w:rFonts w:eastAsia="MS Mincho" w:cs="Times New Roman"/>
          <w:bCs/>
          <w:color w:val="auto"/>
        </w:rPr>
      </w:pPr>
      <w:r w:rsidRPr="00797640">
        <w:rPr>
          <w:rFonts w:eastAsia="MS Mincho" w:cs="Times New Roman"/>
          <w:b/>
          <w:color w:val="auto"/>
        </w:rPr>
        <w:t>Debitul la intrarea în țară (secțiunea Baziaș) în intervalul 19 – 20.11.2024 a fost în scădere, având valoarea de 2800 m</w:t>
      </w:r>
      <w:r w:rsidRPr="00797640">
        <w:rPr>
          <w:rFonts w:eastAsia="MS Mincho" w:cs="Times New Roman"/>
          <w:b/>
          <w:color w:val="auto"/>
          <w:vertAlign w:val="superscript"/>
        </w:rPr>
        <w:t>3</w:t>
      </w:r>
      <w:r w:rsidRPr="00797640">
        <w:rPr>
          <w:rFonts w:eastAsia="MS Mincho" w:cs="Times New Roman"/>
          <w:b/>
          <w:color w:val="auto"/>
        </w:rPr>
        <w:t>/s</w:t>
      </w:r>
      <w:r w:rsidRPr="00797640">
        <w:rPr>
          <w:rFonts w:eastAsia="MS Mincho" w:cs="Times New Roman"/>
          <w:bCs/>
          <w:color w:val="auto"/>
        </w:rPr>
        <w:t>, sub media multianuală a lunii noiembrie (4650 m</w:t>
      </w:r>
      <w:r w:rsidRPr="00797640">
        <w:rPr>
          <w:rFonts w:eastAsia="MS Mincho" w:cs="Times New Roman"/>
          <w:bCs/>
          <w:color w:val="auto"/>
          <w:vertAlign w:val="superscript"/>
        </w:rPr>
        <w:t>3</w:t>
      </w:r>
      <w:r w:rsidRPr="00797640">
        <w:rPr>
          <w:rFonts w:eastAsia="MS Mincho" w:cs="Times New Roman"/>
          <w:bCs/>
          <w:color w:val="auto"/>
        </w:rPr>
        <w:t>/s).</w:t>
      </w:r>
    </w:p>
    <w:p w14:paraId="14E0CE20" w14:textId="77777777" w:rsidR="00797640" w:rsidRPr="00797640" w:rsidRDefault="00797640" w:rsidP="00797640">
      <w:pPr>
        <w:spacing w:before="0" w:after="120"/>
        <w:ind w:left="1080" w:right="13"/>
        <w:rPr>
          <w:rFonts w:eastAsia="MS Mincho" w:cs="Times New Roman"/>
          <w:bCs/>
          <w:color w:val="auto"/>
        </w:rPr>
      </w:pPr>
      <w:r w:rsidRPr="00797640">
        <w:rPr>
          <w:rFonts w:eastAsia="MS Mincho" w:cs="Times New Roman"/>
          <w:bCs/>
          <w:color w:val="auto"/>
        </w:rPr>
        <w:t>În aval de Porţile de Fier debitele au fost în scădere.</w:t>
      </w:r>
    </w:p>
    <w:p w14:paraId="0F505614" w14:textId="77777777" w:rsidR="00797640" w:rsidRPr="00797640" w:rsidRDefault="00797640" w:rsidP="00797640">
      <w:pPr>
        <w:spacing w:before="0" w:after="0"/>
        <w:ind w:left="1080" w:right="13"/>
        <w:rPr>
          <w:rFonts w:eastAsia="MS Mincho" w:cs="Times New Roman"/>
          <w:b/>
          <w:color w:val="auto"/>
        </w:rPr>
      </w:pPr>
      <w:r w:rsidRPr="00797640">
        <w:rPr>
          <w:rFonts w:eastAsia="MS Mincho" w:cs="Times New Roman"/>
          <w:b/>
          <w:color w:val="auto"/>
        </w:rPr>
        <w:t>Debitul la intrarea în țară (secțiunea Baziaș) va fi staționar (2800 m</w:t>
      </w:r>
      <w:r w:rsidRPr="00797640">
        <w:rPr>
          <w:rFonts w:eastAsia="MS Mincho" w:cs="Times New Roman"/>
          <w:b/>
          <w:color w:val="auto"/>
          <w:vertAlign w:val="superscript"/>
        </w:rPr>
        <w:t>3</w:t>
      </w:r>
      <w:r w:rsidRPr="00797640">
        <w:rPr>
          <w:rFonts w:eastAsia="MS Mincho" w:cs="Times New Roman"/>
          <w:b/>
          <w:color w:val="auto"/>
        </w:rPr>
        <w:t>/s).</w:t>
      </w:r>
    </w:p>
    <w:p w14:paraId="1802F670" w14:textId="77777777" w:rsidR="00797640" w:rsidRPr="00797640" w:rsidRDefault="00797640" w:rsidP="00797640">
      <w:pPr>
        <w:spacing w:before="0" w:after="0"/>
        <w:ind w:left="1080" w:right="13"/>
        <w:rPr>
          <w:rFonts w:eastAsia="MS Mincho" w:cs="Times New Roman"/>
          <w:bCs/>
          <w:color w:val="auto"/>
        </w:rPr>
      </w:pPr>
      <w:r w:rsidRPr="00797640">
        <w:rPr>
          <w:rFonts w:eastAsia="MS Mincho" w:cs="Times New Roman"/>
          <w:bCs/>
          <w:color w:val="auto"/>
        </w:rPr>
        <w:lastRenderedPageBreak/>
        <w:t>În aval de Porțile de Fier debitele vor fi în scădere.</w:t>
      </w:r>
    </w:p>
    <w:p w14:paraId="6C8947BE" w14:textId="77777777" w:rsidR="00797640" w:rsidRPr="00797640" w:rsidRDefault="00797640" w:rsidP="00797640">
      <w:pPr>
        <w:spacing w:before="0" w:after="0"/>
        <w:ind w:left="1080" w:right="13"/>
        <w:rPr>
          <w:rFonts w:eastAsia="MS Mincho" w:cs="Times New Roman"/>
          <w:bCs/>
          <w:color w:val="auto"/>
        </w:rPr>
      </w:pPr>
    </w:p>
    <w:p w14:paraId="69922EB8" w14:textId="77777777" w:rsidR="00797640" w:rsidRPr="00797640" w:rsidRDefault="00797640" w:rsidP="00797640">
      <w:pPr>
        <w:spacing w:before="0" w:after="120"/>
        <w:ind w:left="1080" w:right="13"/>
        <w:rPr>
          <w:rFonts w:eastAsia="MS Mincho" w:cs="Times New Roman"/>
          <w:b/>
          <w:color w:val="auto"/>
          <w:spacing w:val="-2"/>
          <w:u w:val="single"/>
        </w:rPr>
      </w:pPr>
      <w:r w:rsidRPr="00797640">
        <w:rPr>
          <w:rFonts w:eastAsia="MS Mincho" w:cs="Times New Roman"/>
          <w:b/>
          <w:color w:val="auto"/>
          <w:spacing w:val="-2"/>
        </w:rPr>
        <w:t>2.</w:t>
      </w:r>
      <w:r w:rsidRPr="00797640">
        <w:rPr>
          <w:rFonts w:eastAsia="MS Mincho" w:cs="Times New Roman"/>
          <w:bCs/>
          <w:color w:val="auto"/>
          <w:spacing w:val="-2"/>
        </w:rPr>
        <w:t xml:space="preserve"> </w:t>
      </w:r>
      <w:r w:rsidRPr="00797640">
        <w:rPr>
          <w:rFonts w:eastAsia="MS Mincho" w:cs="Times New Roman"/>
          <w:b/>
          <w:color w:val="auto"/>
          <w:spacing w:val="-2"/>
          <w:u w:val="single"/>
        </w:rPr>
        <w:t>Situaţia meteorologică în intervalul 19.11.2024, ora 09:00 –20.11.2024, ora 06:00</w:t>
      </w:r>
    </w:p>
    <w:p w14:paraId="28173BDC" w14:textId="77777777" w:rsidR="00797640" w:rsidRPr="00797640" w:rsidRDefault="00797640" w:rsidP="00797640">
      <w:pPr>
        <w:spacing w:before="0" w:after="0"/>
        <w:ind w:left="1080" w:right="13"/>
        <w:rPr>
          <w:rFonts w:eastAsia="MS Mincho" w:cs="Times New Roman"/>
          <w:color w:val="auto"/>
          <w:spacing w:val="-2"/>
        </w:rPr>
      </w:pPr>
      <w:r w:rsidRPr="00797640">
        <w:rPr>
          <w:rFonts w:eastAsia="MS Mincho" w:cs="Times New Roman"/>
          <w:b/>
          <w:color w:val="auto"/>
          <w:spacing w:val="-2"/>
        </w:rPr>
        <w:t>Administraţia Naţională de Meteorologie</w:t>
      </w:r>
      <w:r w:rsidRPr="00797640">
        <w:rPr>
          <w:rFonts w:eastAsia="MS Mincho" w:cs="Times New Roman"/>
          <w:color w:val="auto"/>
          <w:spacing w:val="-2"/>
        </w:rPr>
        <w:t xml:space="preserve"> (A.N.M.) a emis în data de 19.11.2024, la ora 10:00, </w:t>
      </w:r>
      <w:r w:rsidRPr="00797640">
        <w:rPr>
          <w:rFonts w:eastAsia="MS Mincho" w:cs="Times New Roman"/>
          <w:b/>
          <w:color w:val="auto"/>
          <w:spacing w:val="-2"/>
        </w:rPr>
        <w:t>Atenționarea Meteorologică nr. 149</w:t>
      </w:r>
      <w:r w:rsidRPr="00797640">
        <w:rPr>
          <w:rFonts w:eastAsia="MS Mincho" w:cs="Times New Roman"/>
          <w:color w:val="auto"/>
          <w:spacing w:val="-2"/>
        </w:rPr>
        <w:t>, conform căreia:</w:t>
      </w:r>
    </w:p>
    <w:p w14:paraId="1E6039CC" w14:textId="77777777" w:rsidR="00797640" w:rsidRPr="00797640" w:rsidRDefault="00797640" w:rsidP="00797640">
      <w:pPr>
        <w:spacing w:before="0" w:after="0"/>
        <w:ind w:left="1080" w:right="13"/>
        <w:rPr>
          <w:rFonts w:eastAsia="MS Mincho" w:cs="Times New Roman"/>
          <w:i/>
          <w:color w:val="auto"/>
          <w:spacing w:val="-2"/>
        </w:rPr>
      </w:pPr>
      <w:r w:rsidRPr="00797640">
        <w:rPr>
          <w:rFonts w:eastAsia="MS Mincho" w:cs="Times New Roman"/>
          <w:b/>
          <w:color w:val="auto"/>
          <w:spacing w:val="-2"/>
        </w:rPr>
        <w:t>- INFORMARE METEOROLOGICĂ:</w:t>
      </w:r>
      <w:r w:rsidRPr="00797640">
        <w:rPr>
          <w:rFonts w:eastAsia="MS Mincho" w:cs="Times New Roman"/>
          <w:color w:val="auto"/>
          <w:spacing w:val="-2"/>
        </w:rPr>
        <w:t xml:space="preserve"> ,,</w:t>
      </w:r>
      <w:r w:rsidRPr="00797640">
        <w:rPr>
          <w:rFonts w:eastAsia="MS Mincho" w:cs="Times New Roman"/>
          <w:i/>
          <w:color w:val="auto"/>
          <w:spacing w:val="-2"/>
        </w:rPr>
        <w:t>În intervalul 20 noiembrie, ora 10 – 23 noiembrie, ora 20 temporar vor fi precipitații în toate regiunile. În Oltenia, Muntenia, sudul Moldovei și în Dobrogea va ploua și pe arii restrânse vor fi și precipitații sub formă de lapoviță și ninsoare. În restul regiunilor pe parcursul zilei de miercuri vor fi ploi apoi vor predomina ninsorile. La munte va ninge și local se va depune strat de zăpadă consistent. Se vor acumula cantități de precipitații de 15...25 l/mp, iar cu precădere în vest și la munte, pe arii restrânse acestea vor depăși 30 l/mp. Local și temporar vor fi intensificări ale vântului în toate regiunile, cu viteze în general de 50…60 km/h. La munte, rafalele vor depăși 70 km/h, iar cu precădere în zona înaltă a Carpaților Meridionali, în noaptea de joi spre vineri (21/ 22 noiembrie) și pe parcursul zilei de vineri (22 noiembrie) vor fi rafale de peste 90 km/h, viscolind ninsoarea și spulberând zăpada.”</w:t>
      </w:r>
    </w:p>
    <w:p w14:paraId="6C95F689" w14:textId="77777777" w:rsidR="00797640" w:rsidRPr="00797640" w:rsidRDefault="00797640" w:rsidP="00797640">
      <w:pPr>
        <w:spacing w:before="0" w:after="0"/>
        <w:ind w:left="1080" w:right="13"/>
        <w:rPr>
          <w:rFonts w:eastAsia="MS Mincho" w:cs="Times New Roman"/>
          <w:i/>
          <w:color w:val="auto"/>
          <w:spacing w:val="-2"/>
        </w:rPr>
      </w:pPr>
      <w:r w:rsidRPr="00797640">
        <w:rPr>
          <w:rFonts w:eastAsia="MS Mincho" w:cs="Times New Roman"/>
          <w:b/>
          <w:color w:val="auto"/>
          <w:spacing w:val="-2"/>
        </w:rPr>
        <w:t>- COD GALBEN:</w:t>
      </w:r>
      <w:r w:rsidRPr="00797640">
        <w:rPr>
          <w:rFonts w:eastAsia="MS Mincho" w:cs="Times New Roman"/>
          <w:color w:val="auto"/>
          <w:spacing w:val="-2"/>
        </w:rPr>
        <w:t xml:space="preserve"> ,,</w:t>
      </w:r>
      <w:r w:rsidRPr="00797640">
        <w:rPr>
          <w:rFonts w:eastAsia="MS Mincho" w:cs="Times New Roman"/>
          <w:i/>
          <w:color w:val="auto"/>
          <w:spacing w:val="-2"/>
        </w:rPr>
        <w:t>Vântul va avea intensificări în Banat, Crișana, Maramureș, local în Transilvania, în nord-vestul Moldovei și pe litoral, cu viteze în general de 55...65 km/h. La munte vor fi rafale de 70...80 km/h, iar la altitudini mari, cu precădere în Carpații Occidentali și în nordul Carpaților Orientali vor depăși 90 km /h.”</w:t>
      </w:r>
    </w:p>
    <w:p w14:paraId="501FE526" w14:textId="77777777" w:rsidR="00797640" w:rsidRPr="00797640" w:rsidRDefault="00797640" w:rsidP="00797640">
      <w:pPr>
        <w:spacing w:before="0" w:after="0"/>
        <w:ind w:left="1080" w:right="13"/>
        <w:rPr>
          <w:rFonts w:eastAsia="MS Mincho" w:cs="Times New Roman"/>
          <w:color w:val="auto"/>
          <w:spacing w:val="-2"/>
        </w:rPr>
      </w:pPr>
      <w:r w:rsidRPr="00797640">
        <w:rPr>
          <w:rFonts w:eastAsia="MS Mincho" w:cs="Times New Roman"/>
          <w:color w:val="auto"/>
          <w:spacing w:val="-2"/>
        </w:rPr>
        <w:t xml:space="preserve">Această </w:t>
      </w:r>
      <w:r w:rsidRPr="00797640">
        <w:rPr>
          <w:rFonts w:eastAsia="MS Mincho" w:cs="Times New Roman"/>
          <w:b/>
          <w:color w:val="auto"/>
          <w:spacing w:val="-2"/>
        </w:rPr>
        <w:t xml:space="preserve">Atenționare Meteorologică </w:t>
      </w:r>
      <w:r w:rsidRPr="00797640">
        <w:rPr>
          <w:rFonts w:eastAsia="MS Mincho" w:cs="Times New Roman"/>
          <w:color w:val="auto"/>
          <w:spacing w:val="-2"/>
        </w:rPr>
        <w:t>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14:paraId="72A6B48C" w14:textId="77777777" w:rsidR="00797640" w:rsidRPr="00797640" w:rsidRDefault="00797640" w:rsidP="00797640">
      <w:pPr>
        <w:tabs>
          <w:tab w:val="left" w:pos="720"/>
        </w:tabs>
        <w:spacing w:before="0" w:after="0"/>
        <w:ind w:left="1080" w:right="13"/>
        <w:rPr>
          <w:rFonts w:eastAsia="MS Mincho" w:cs="Times New Roman"/>
          <w:i/>
          <w:color w:val="auto"/>
          <w:spacing w:val="-2"/>
        </w:rPr>
      </w:pPr>
      <w:r w:rsidRPr="00797640">
        <w:rPr>
          <w:rFonts w:eastAsia="MS Mincho" w:cs="Times New Roman"/>
          <w:i/>
          <w:color w:val="auto"/>
          <w:spacing w:val="-2"/>
        </w:rPr>
        <w:t xml:space="preserve">- ALBA, ARAD, ARGEŞ, BACĂU, BIHOR, BISTRIŢA-NĂSĂUD, BOTOŞANI, BRAŞOV, BRĂILA, BUZĂU, CARAŞ-SEVERIN, CĂLARAŞI, CLUJ, CONSTANŢA, COVASNA, DÂMBOVIŢA, DOLJ, GALAŢI, GIURGIU, GORJ, HARGHITA, HUNEDOARA, IALOMIŢA, IAŞI, ILFOV, MARAMUREŞ, MEHEDINŢI, MUREŞ, NEAMŢ, OLT, PRAHOVA, SĂLAJ, SATU MARE, SIBIU, SUCEAVA, TELEORMAN, TIMIŞ, TULCEA, VASLUI, VÂLCEA, VRANCEA şi Municipiul BUCUREŞTI (42 prefecturi) – </w:t>
      </w:r>
      <w:r w:rsidRPr="00797640">
        <w:rPr>
          <w:rFonts w:eastAsia="MS Mincho" w:cs="Times New Roman"/>
          <w:i/>
          <w:color w:val="auto"/>
          <w:spacing w:val="-2"/>
          <w:u w:val="single"/>
        </w:rPr>
        <w:t>INFORMARE METEOROLOGICĂ;</w:t>
      </w:r>
    </w:p>
    <w:p w14:paraId="00696596" w14:textId="77777777" w:rsidR="00797640" w:rsidRDefault="00797640" w:rsidP="00797640">
      <w:pPr>
        <w:tabs>
          <w:tab w:val="left" w:pos="720"/>
        </w:tabs>
        <w:spacing w:before="0" w:after="0"/>
        <w:ind w:left="1080" w:right="13"/>
        <w:rPr>
          <w:rFonts w:eastAsia="MS Mincho" w:cs="Times New Roman"/>
          <w:iCs/>
          <w:color w:val="auto"/>
          <w:spacing w:val="-2"/>
        </w:rPr>
      </w:pPr>
      <w:r w:rsidRPr="00797640">
        <w:rPr>
          <w:rFonts w:eastAsia="MS Mincho" w:cs="Times New Roman"/>
          <w:i/>
          <w:color w:val="auto"/>
          <w:spacing w:val="-2"/>
        </w:rPr>
        <w:t xml:space="preserve">- ALBA, ARAD, ARGEŞ, BACĂU, BIHOR, BISTRIŢA-NĂSĂUD, BRAŞOV, CARAŞ-SEVERIN, CLUJ, CONSTANŢA, DÂMBOVIŢA, GORJ, HARGHITA, HUNEDOARA, MARAMUREŞ, MEHEDINŢI, MUREŞ, NEAMŢ, PRAHOVA, SĂLAJ, SATU MARE, SIBIU, SUCEAVA, TIMIŞ, TULCEA şi VÂLCEA (26 prefecturi) – </w:t>
      </w:r>
      <w:r w:rsidRPr="00797640">
        <w:rPr>
          <w:rFonts w:eastAsia="MS Mincho" w:cs="Times New Roman"/>
          <w:i/>
          <w:color w:val="auto"/>
          <w:spacing w:val="-2"/>
          <w:u w:val="single"/>
        </w:rPr>
        <w:t>COD GALBEN</w:t>
      </w:r>
      <w:r w:rsidRPr="00797640">
        <w:rPr>
          <w:rFonts w:eastAsia="MS Mincho" w:cs="Times New Roman"/>
          <w:iCs/>
          <w:color w:val="auto"/>
          <w:spacing w:val="-2"/>
        </w:rPr>
        <w:t>.</w:t>
      </w:r>
    </w:p>
    <w:p w14:paraId="7B6E9FC3" w14:textId="77777777" w:rsidR="00797640" w:rsidRDefault="00797640" w:rsidP="00797640">
      <w:pPr>
        <w:tabs>
          <w:tab w:val="left" w:pos="720"/>
        </w:tabs>
        <w:spacing w:before="0" w:after="0"/>
        <w:ind w:left="1080" w:right="13"/>
        <w:rPr>
          <w:rFonts w:eastAsia="MS Mincho" w:cs="Times New Roman"/>
          <w:i/>
          <w:color w:val="auto"/>
          <w:spacing w:val="-2"/>
          <w:lang w:val="en-US"/>
        </w:rPr>
      </w:pPr>
    </w:p>
    <w:p w14:paraId="710E06B6" w14:textId="77777777" w:rsidR="00797640" w:rsidRPr="00797640" w:rsidRDefault="00797640" w:rsidP="00797640">
      <w:pPr>
        <w:tabs>
          <w:tab w:val="left" w:pos="720"/>
        </w:tabs>
        <w:spacing w:before="0" w:after="0"/>
        <w:ind w:left="1080" w:right="13"/>
        <w:rPr>
          <w:rFonts w:eastAsia="MS Mincho" w:cs="Times New Roman"/>
          <w:i/>
          <w:color w:val="auto"/>
          <w:spacing w:val="-2"/>
          <w:lang w:val="en-US"/>
        </w:rPr>
      </w:pPr>
    </w:p>
    <w:p w14:paraId="666ACF61" w14:textId="77777777" w:rsidR="00797640" w:rsidRPr="00797640" w:rsidRDefault="00797640" w:rsidP="00797640">
      <w:pPr>
        <w:tabs>
          <w:tab w:val="left" w:pos="720"/>
        </w:tabs>
        <w:spacing w:before="0" w:after="0"/>
        <w:ind w:left="1080" w:right="13"/>
        <w:rPr>
          <w:rFonts w:eastAsia="Times New Roman" w:cs="Times New Roman"/>
          <w:b/>
          <w:bCs/>
          <w:color w:val="auto"/>
          <w:u w:val="single"/>
        </w:rPr>
      </w:pPr>
    </w:p>
    <w:p w14:paraId="2AA2BCAB" w14:textId="77777777" w:rsidR="00797640" w:rsidRPr="00797640" w:rsidRDefault="00797640" w:rsidP="00797640">
      <w:pPr>
        <w:tabs>
          <w:tab w:val="left" w:pos="720"/>
        </w:tabs>
        <w:spacing w:before="0" w:after="0"/>
        <w:ind w:left="1080" w:right="13"/>
        <w:rPr>
          <w:rFonts w:eastAsia="Times New Roman" w:cs="Times New Roman"/>
          <w:b/>
          <w:bCs/>
          <w:color w:val="auto"/>
          <w:u w:val="single"/>
        </w:rPr>
      </w:pPr>
      <w:r w:rsidRPr="00797640">
        <w:rPr>
          <w:rFonts w:eastAsia="Times New Roman" w:cs="Times New Roman"/>
          <w:b/>
          <w:bCs/>
          <w:color w:val="auto"/>
          <w:u w:val="single"/>
        </w:rPr>
        <w:t>ÎN ŢARĂ</w:t>
      </w:r>
    </w:p>
    <w:p w14:paraId="402CBAB9" w14:textId="77777777" w:rsidR="00797640" w:rsidRPr="00797640" w:rsidRDefault="00797640" w:rsidP="00797640">
      <w:pPr>
        <w:tabs>
          <w:tab w:val="left" w:pos="720"/>
        </w:tabs>
        <w:spacing w:before="0" w:after="0"/>
        <w:ind w:left="1080" w:right="13"/>
        <w:rPr>
          <w:rFonts w:eastAsia="Times New Roman" w:cs="Arial"/>
        </w:rPr>
      </w:pPr>
      <w:r w:rsidRPr="00797640">
        <w:rPr>
          <w:rFonts w:eastAsia="Times New Roman" w:cs="Arial"/>
        </w:rPr>
        <w:t>Valorile termice diurne au fost în creștere față de ziua anterioară în cea mai mare parte a țării și s-au situat peste cele specifice datei, cu excepția zonelor unde au persistat norii joși sau ceața. Cerul, variabil ziua, s-a înnorat treptat seara și pe parcursul nopții în vestul, centrul și nordul țării. Pe arii restrânse a plouat în Banat, Crișana, Maramureș, Transilvania, Moldova și Oltenia, iar în zona montană aferentă au fost precipitații mixte. Vântul a suflat slab și moderat, cu ușoare intensificări la munte, cu precădere pe creste, cu rafale de peste 80...90 km/h, dar temporar și pe alocuri și în zonele joase din Banat, Crișana și sudul Transilvaniei, unde vitezele au fost în general de 55...65 km/h. Este strat de zăpadă local la munte și măsura la ora 20 până la 10 cm în Munții Bucegi. Temperaturile maxime s-au situat între -1 grad la Miercurea Ciuc și 18 grade la Oravița, iar la ora 6 se înregistrau valori termice cuprinse între -4 grade la Miercurea Ciuc și Joseni și 13 grade la Holod. Local la începutul zilei și pe arii restrânse noaptea a fost nebulozitate stratiformă și ceață mai ales în sudul, centrul și sud-estul teritoriului.</w:t>
      </w:r>
    </w:p>
    <w:p w14:paraId="0F041371" w14:textId="77777777" w:rsidR="00797640" w:rsidRPr="00797640" w:rsidRDefault="00797640" w:rsidP="00797640">
      <w:pPr>
        <w:tabs>
          <w:tab w:val="left" w:pos="720"/>
        </w:tabs>
        <w:spacing w:before="0" w:after="0"/>
        <w:ind w:left="1080" w:right="13"/>
        <w:rPr>
          <w:rFonts w:eastAsia="Times New Roman" w:cs="Arial"/>
          <w:i/>
          <w:iCs/>
        </w:rPr>
      </w:pPr>
      <w:r w:rsidRPr="00797640">
        <w:rPr>
          <w:rFonts w:eastAsia="Times New Roman" w:cs="Arial"/>
          <w:i/>
          <w:iCs/>
        </w:rPr>
        <w:t>Observație</w:t>
      </w:r>
      <w:r w:rsidRPr="00797640">
        <w:rPr>
          <w:rFonts w:eastAsia="Times New Roman" w:cs="Arial"/>
          <w:i/>
          <w:iCs/>
          <w:lang w:val="en-US"/>
        </w:rPr>
        <w:t xml:space="preserve">: </w:t>
      </w:r>
      <w:r w:rsidRPr="00797640">
        <w:rPr>
          <w:rFonts w:eastAsia="Times New Roman" w:cs="Arial"/>
          <w:i/>
          <w:iCs/>
        </w:rPr>
        <w:t>de ieri, de la ora 6, au fost emise 17 atenționări cod galben pentru fenomene meteorologice periculoase imediate, emise după cum urmează: 5 de către SRPV Sibiu, 3 de către SRPV Bacău, CNPM pentru Muntenia, respectiv SRPV Cluj, 2 de SRPV Timișoara și 1 de SRPV Constanța.</w:t>
      </w:r>
    </w:p>
    <w:p w14:paraId="2A6A8D6D" w14:textId="77777777" w:rsidR="00797640" w:rsidRPr="00797640" w:rsidRDefault="00797640" w:rsidP="00797640">
      <w:pPr>
        <w:tabs>
          <w:tab w:val="left" w:pos="720"/>
        </w:tabs>
        <w:spacing w:before="0" w:after="0"/>
        <w:ind w:left="1080" w:right="13"/>
        <w:rPr>
          <w:rFonts w:eastAsia="Times New Roman" w:cs="Arial"/>
          <w:b/>
          <w:bCs/>
          <w:u w:val="single"/>
        </w:rPr>
      </w:pPr>
    </w:p>
    <w:p w14:paraId="54C04AFD" w14:textId="77777777" w:rsidR="00797640" w:rsidRPr="00797640" w:rsidRDefault="00797640" w:rsidP="00797640">
      <w:pPr>
        <w:tabs>
          <w:tab w:val="left" w:pos="720"/>
        </w:tabs>
        <w:spacing w:before="0" w:after="0"/>
        <w:ind w:left="1080" w:right="13"/>
        <w:rPr>
          <w:rFonts w:eastAsia="Times New Roman" w:cs="Arial"/>
          <w:b/>
          <w:bCs/>
          <w:u w:val="single"/>
        </w:rPr>
      </w:pPr>
      <w:r w:rsidRPr="00797640">
        <w:rPr>
          <w:rFonts w:eastAsia="Times New Roman" w:cs="Arial"/>
          <w:b/>
          <w:bCs/>
          <w:u w:val="single"/>
        </w:rPr>
        <w:t>LA BUCUREŞTI</w:t>
      </w:r>
    </w:p>
    <w:p w14:paraId="7009B52F" w14:textId="77777777" w:rsidR="00797640" w:rsidRPr="00797640" w:rsidRDefault="00797640" w:rsidP="00797640">
      <w:pPr>
        <w:tabs>
          <w:tab w:val="left" w:pos="630"/>
          <w:tab w:val="left" w:pos="720"/>
        </w:tabs>
        <w:spacing w:before="0" w:after="0"/>
        <w:ind w:left="1080" w:right="13"/>
        <w:rPr>
          <w:rFonts w:eastAsia="MS Mincho" w:cs="Times New Roman"/>
          <w:color w:val="auto"/>
        </w:rPr>
      </w:pPr>
      <w:r w:rsidRPr="00797640">
        <w:rPr>
          <w:rFonts w:eastAsia="MS Mincho" w:cs="Times New Roman"/>
          <w:color w:val="auto"/>
        </w:rPr>
        <w:t>Valorile termice diurne au fost în creștere față de ziua anterioară și s-au situat ușor peste cele specifice datei, astfel că maxima a fost de 10 grade la Afumați, 11 grade la Filaret și 12 grade în Băneasa. La începutul zilei a fost nebulozitate joasă și ceață, apoi cerul a devenit variabil. Vântul a suflat în general slab. La ora 6 se înregistrau 1 grad în Afumați și Băneasa și 2 grade la Filaret.</w:t>
      </w:r>
    </w:p>
    <w:p w14:paraId="3F78ADC8" w14:textId="77777777" w:rsidR="00797640" w:rsidRPr="00797640" w:rsidRDefault="00797640" w:rsidP="00797640">
      <w:pPr>
        <w:tabs>
          <w:tab w:val="left" w:pos="630"/>
          <w:tab w:val="left" w:pos="720"/>
        </w:tabs>
        <w:spacing w:before="0" w:after="0"/>
        <w:ind w:left="1080" w:right="13"/>
        <w:rPr>
          <w:rFonts w:eastAsia="MS Mincho" w:cs="Times New Roman"/>
          <w:color w:val="auto"/>
        </w:rPr>
      </w:pPr>
    </w:p>
    <w:p w14:paraId="13AFA61A" w14:textId="77777777" w:rsidR="00797640" w:rsidRPr="00797640" w:rsidRDefault="00797640" w:rsidP="00797640">
      <w:pPr>
        <w:tabs>
          <w:tab w:val="left" w:pos="630"/>
          <w:tab w:val="left" w:pos="720"/>
        </w:tabs>
        <w:spacing w:before="0" w:after="0"/>
        <w:ind w:left="1080" w:right="13"/>
        <w:rPr>
          <w:rFonts w:eastAsia="MS Mincho" w:cs="Times New Roman"/>
          <w:color w:val="auto"/>
        </w:rPr>
      </w:pPr>
    </w:p>
    <w:p w14:paraId="5484021E" w14:textId="77777777" w:rsidR="00797640" w:rsidRPr="00797640" w:rsidRDefault="00797640" w:rsidP="00797640">
      <w:pPr>
        <w:tabs>
          <w:tab w:val="left" w:pos="630"/>
          <w:tab w:val="left" w:pos="720"/>
        </w:tabs>
        <w:spacing w:before="0" w:after="120"/>
        <w:ind w:left="1080" w:right="13"/>
        <w:rPr>
          <w:rFonts w:eastAsia="MS Mincho" w:cs="Times New Roman"/>
          <w:b/>
          <w:color w:val="auto"/>
          <w:u w:val="single"/>
        </w:rPr>
      </w:pPr>
      <w:r w:rsidRPr="00797640">
        <w:rPr>
          <w:rFonts w:eastAsia="MS Mincho" w:cs="Times New Roman"/>
          <w:b/>
          <w:color w:val="auto"/>
        </w:rPr>
        <w:t xml:space="preserve">3. </w:t>
      </w:r>
      <w:r w:rsidRPr="00797640">
        <w:rPr>
          <w:rFonts w:eastAsia="MS Mincho" w:cs="Times New Roman"/>
          <w:b/>
          <w:color w:val="auto"/>
          <w:u w:val="single"/>
        </w:rPr>
        <w:t>Prognoza meteorologică în intervalul 20.11.2024, ora 09:00 –21.11.2024, ora 09:00</w:t>
      </w:r>
    </w:p>
    <w:p w14:paraId="67522E75" w14:textId="77777777" w:rsidR="00797640" w:rsidRPr="00797640" w:rsidRDefault="00797640" w:rsidP="00797640">
      <w:pPr>
        <w:tabs>
          <w:tab w:val="left" w:pos="720"/>
        </w:tabs>
        <w:spacing w:before="0" w:after="0"/>
        <w:ind w:left="1080" w:right="13"/>
        <w:rPr>
          <w:rFonts w:eastAsia="Times New Roman" w:cs="Times New Roman"/>
          <w:b/>
          <w:bCs/>
          <w:color w:val="auto"/>
          <w:u w:val="single"/>
        </w:rPr>
      </w:pPr>
      <w:r w:rsidRPr="00797640">
        <w:rPr>
          <w:rFonts w:eastAsia="Times New Roman" w:cs="Times New Roman"/>
          <w:b/>
          <w:bCs/>
          <w:color w:val="auto"/>
          <w:u w:val="single"/>
        </w:rPr>
        <w:t>ÎN ŢARĂ</w:t>
      </w:r>
    </w:p>
    <w:p w14:paraId="56CD3E7B" w14:textId="77777777" w:rsidR="00797640" w:rsidRPr="00797640" w:rsidRDefault="00797640" w:rsidP="00797640">
      <w:pPr>
        <w:tabs>
          <w:tab w:val="left" w:pos="630"/>
          <w:tab w:val="left" w:pos="720"/>
        </w:tabs>
        <w:spacing w:before="0" w:after="0"/>
        <w:ind w:left="1080" w:right="13"/>
        <w:rPr>
          <w:rFonts w:eastAsia="MS Mincho" w:cs="Times New Roman"/>
          <w:color w:val="auto"/>
        </w:rPr>
      </w:pPr>
      <w:r w:rsidRPr="00797640">
        <w:rPr>
          <w:rFonts w:eastAsia="MS Mincho" w:cs="Times New Roman"/>
          <w:color w:val="auto"/>
        </w:rPr>
        <w:t xml:space="preserve">Valorile termice vor fi mai mari decât cele normale în cea mai mare parte a țării. Cerul se va înnora dinspre regiunile vestice, iar precipitațiile se vor extinde treptat și vor cuprinde toate regiunile. Pe parcursul zilei va ploua îndeosebi în Banat, Crișana, Maramureș, Transilvania, nordul Moldovei și în vestul și nordul Olteniei. Din orele serii și pe parcursul nopții, precipitații predominant sub formă de ploaie vor fi mai ales în Oltenia, Muntenia, Dobrogea și sudul Moldovei, iar în restul regiunilor vor predomina ninsorile și se va depune strat de zăpadă. Se vor acumula cantități de precipitații de 10...15 l/mp, iar cu precădere în vest și la munte, pe arii restrânse acestea vor depăși 20 l/mp. Vor fi intensificări ale vântului, la munte cu rafale de 70...80 km/h și la altitudini mari, cu precădere în Carpații Occidentali și în nordul Carpaților Orientali, de peste 90 km/h viscolind ninsoarea noaptea; viteze mai mici, în general de 55...65 km/h, vor fi, în prima parte a intervalului, cu </w:t>
      </w:r>
      <w:r w:rsidRPr="00797640">
        <w:rPr>
          <w:rFonts w:eastAsia="MS Mincho" w:cs="Times New Roman"/>
          <w:color w:val="auto"/>
        </w:rPr>
        <w:lastRenderedPageBreak/>
        <w:t>precădere în vest, nord și centru și pe litoral, apoi și în rest. Temperaturile maxime se vor situa între 8 și 18 grade, iar cele minime între -2 și 7 grade. La începutul intervalului, pe arii restrânse, va fi nebulozitate joasă și ceață.</w:t>
      </w:r>
    </w:p>
    <w:p w14:paraId="1AE2D7D1" w14:textId="77777777" w:rsidR="00797640" w:rsidRPr="00797640" w:rsidRDefault="00797640" w:rsidP="00797640">
      <w:pPr>
        <w:tabs>
          <w:tab w:val="left" w:pos="630"/>
          <w:tab w:val="left" w:pos="720"/>
        </w:tabs>
        <w:spacing w:before="0" w:after="0"/>
        <w:ind w:left="1080" w:right="13"/>
        <w:rPr>
          <w:rFonts w:eastAsia="MS Mincho" w:cs="Times New Roman"/>
          <w:color w:val="auto"/>
        </w:rPr>
      </w:pPr>
    </w:p>
    <w:p w14:paraId="0B7E2C52" w14:textId="77777777" w:rsidR="00797640" w:rsidRPr="00797640" w:rsidRDefault="00797640" w:rsidP="00797640">
      <w:pPr>
        <w:tabs>
          <w:tab w:val="left" w:pos="720"/>
        </w:tabs>
        <w:spacing w:before="0" w:after="0"/>
        <w:ind w:left="1080" w:right="13"/>
        <w:rPr>
          <w:rFonts w:eastAsia="Times New Roman" w:cs="Times New Roman"/>
          <w:b/>
          <w:bCs/>
          <w:color w:val="auto"/>
          <w:u w:val="single"/>
        </w:rPr>
      </w:pPr>
      <w:r w:rsidRPr="00797640">
        <w:rPr>
          <w:rFonts w:eastAsia="Times New Roman" w:cs="Times New Roman"/>
          <w:b/>
          <w:bCs/>
          <w:color w:val="auto"/>
          <w:u w:val="single"/>
        </w:rPr>
        <w:t>LA BUCUREŞTI</w:t>
      </w:r>
    </w:p>
    <w:p w14:paraId="0276EC88" w14:textId="77777777" w:rsidR="00797640" w:rsidRPr="00797640" w:rsidRDefault="00797640" w:rsidP="00797640">
      <w:pPr>
        <w:tabs>
          <w:tab w:val="left" w:pos="720"/>
        </w:tabs>
        <w:spacing w:before="0" w:after="0"/>
        <w:ind w:left="1080" w:right="13"/>
        <w:rPr>
          <w:rFonts w:eastAsia="Times New Roman" w:cs="Times New Roman"/>
          <w:bCs/>
          <w:color w:val="auto"/>
        </w:rPr>
      </w:pPr>
      <w:r w:rsidRPr="00797640">
        <w:rPr>
          <w:rFonts w:eastAsia="Times New Roman" w:cs="Times New Roman"/>
          <w:bCs/>
          <w:color w:val="auto"/>
        </w:rPr>
        <w:t>Cerul, variabil ziua, va avea înnorări seara și noaptea, când temporar va ploua. Vântul va sufla slab și moderat, cu ușoare intensificări în a doua parte a intervalului. Temperatura maximă se va situa în jurul valorii de 15 grade, iar cea minimă va fi de 5...6 grade. La începutul intervalului va fi nebulozitate joasă și posibil ceață.</w:t>
      </w:r>
    </w:p>
    <w:p w14:paraId="275CCD5D" w14:textId="77777777" w:rsidR="00797640" w:rsidRPr="00797640" w:rsidRDefault="00797640" w:rsidP="00797640">
      <w:pPr>
        <w:tabs>
          <w:tab w:val="left" w:pos="720"/>
        </w:tabs>
        <w:spacing w:before="0" w:after="0"/>
        <w:ind w:left="1080" w:right="13"/>
        <w:rPr>
          <w:rFonts w:eastAsia="Times New Roman" w:cs="Times New Roman"/>
          <w:bCs/>
          <w:color w:val="auto"/>
        </w:rPr>
      </w:pPr>
    </w:p>
    <w:p w14:paraId="2E3F25DB" w14:textId="77777777" w:rsidR="00797640" w:rsidRPr="00797640" w:rsidRDefault="00797640" w:rsidP="00797640">
      <w:pPr>
        <w:tabs>
          <w:tab w:val="left" w:pos="720"/>
        </w:tabs>
        <w:spacing w:before="0" w:after="0"/>
        <w:ind w:left="1080" w:right="13"/>
        <w:rPr>
          <w:rFonts w:eastAsia="Times New Roman" w:cs="Times New Roman"/>
          <w:bCs/>
          <w:color w:val="auto"/>
        </w:rPr>
      </w:pPr>
    </w:p>
    <w:p w14:paraId="479C0E76" w14:textId="77777777" w:rsidR="00797640" w:rsidRPr="00797640" w:rsidRDefault="00797640" w:rsidP="00797640">
      <w:pPr>
        <w:numPr>
          <w:ilvl w:val="0"/>
          <w:numId w:val="1"/>
        </w:numPr>
        <w:tabs>
          <w:tab w:val="left" w:pos="720"/>
        </w:tabs>
        <w:spacing w:before="0" w:after="120"/>
        <w:ind w:left="1080" w:right="13" w:firstLine="0"/>
        <w:rPr>
          <w:rFonts w:eastAsia="Times New Roman" w:cs="Times New Roman"/>
          <w:b/>
          <w:bCs/>
          <w:i/>
          <w:color w:val="auto"/>
          <w:u w:val="single"/>
        </w:rPr>
      </w:pPr>
      <w:r w:rsidRPr="00797640">
        <w:rPr>
          <w:rFonts w:eastAsia="Times New Roman" w:cs="Times New Roman"/>
          <w:b/>
          <w:bCs/>
          <w:i/>
          <w:color w:val="auto"/>
          <w:u w:val="single"/>
        </w:rPr>
        <w:t>CALITATEA APELOR</w:t>
      </w:r>
    </w:p>
    <w:p w14:paraId="48E39EC8" w14:textId="77777777" w:rsidR="00797640" w:rsidRPr="00797640" w:rsidRDefault="00797640" w:rsidP="00797640">
      <w:pPr>
        <w:spacing w:before="0" w:after="0"/>
        <w:ind w:left="1080"/>
        <w:rPr>
          <w:rFonts w:eastAsia="MS Mincho" w:cs="Times New Roman"/>
          <w:b/>
          <w:color w:val="auto"/>
        </w:rPr>
      </w:pPr>
      <w:r w:rsidRPr="00797640">
        <w:rPr>
          <w:rFonts w:eastAsia="MS Mincho" w:cs="Times New Roman"/>
          <w:b/>
          <w:color w:val="auto"/>
        </w:rPr>
        <w:t>1.</w:t>
      </w:r>
      <w:r w:rsidRPr="00797640">
        <w:rPr>
          <w:rFonts w:eastAsia="MS Mincho" w:cs="Times New Roman"/>
          <w:b/>
          <w:color w:val="auto"/>
        </w:rPr>
        <w:tab/>
        <w:t>Pe fluviul Dunărea</w:t>
      </w:r>
    </w:p>
    <w:p w14:paraId="5F4F374B" w14:textId="77777777" w:rsidR="00797640" w:rsidRPr="00797640" w:rsidRDefault="00797640" w:rsidP="00797640">
      <w:pPr>
        <w:spacing w:before="0" w:after="0"/>
        <w:ind w:left="1080" w:right="13"/>
        <w:outlineLvl w:val="5"/>
        <w:rPr>
          <w:rFonts w:eastAsia="MS Mincho" w:cs="Times New Roman"/>
          <w:color w:val="auto"/>
        </w:rPr>
      </w:pPr>
      <w:bookmarkStart w:id="0" w:name="_Hlk180950398"/>
      <w:r w:rsidRPr="00797640">
        <w:rPr>
          <w:rFonts w:eastAsia="MS Mincho" w:cs="Times New Roman"/>
          <w:color w:val="auto"/>
        </w:rPr>
        <w:t>Nu au fost semnalate evenimente deosebite</w:t>
      </w:r>
      <w:bookmarkEnd w:id="0"/>
      <w:r w:rsidRPr="00797640">
        <w:rPr>
          <w:rFonts w:eastAsia="MS Mincho" w:cs="Times New Roman"/>
          <w:bCs/>
          <w:iCs/>
          <w:color w:val="auto"/>
        </w:rPr>
        <w:t>.</w:t>
      </w:r>
    </w:p>
    <w:p w14:paraId="7D0933E0" w14:textId="77777777" w:rsidR="00797640" w:rsidRPr="00797640" w:rsidRDefault="00797640" w:rsidP="00797640">
      <w:pPr>
        <w:spacing w:before="0" w:after="0"/>
        <w:ind w:left="1080" w:right="13"/>
        <w:outlineLvl w:val="5"/>
        <w:rPr>
          <w:rFonts w:eastAsia="MS Mincho" w:cs="Times New Roman"/>
          <w:sz w:val="16"/>
          <w:szCs w:val="16"/>
        </w:rPr>
      </w:pPr>
    </w:p>
    <w:p w14:paraId="65180D56" w14:textId="77777777" w:rsidR="00797640" w:rsidRPr="00797640" w:rsidRDefault="00797640" w:rsidP="00797640">
      <w:pPr>
        <w:spacing w:before="0" w:after="0"/>
        <w:ind w:left="1080" w:right="13"/>
        <w:outlineLvl w:val="5"/>
        <w:rPr>
          <w:rFonts w:eastAsia="MS Mincho" w:cs="Times New Roman"/>
          <w:b/>
        </w:rPr>
      </w:pPr>
      <w:r w:rsidRPr="00797640">
        <w:rPr>
          <w:rFonts w:eastAsia="MS Mincho" w:cs="Times New Roman"/>
          <w:b/>
        </w:rPr>
        <w:t>2.</w:t>
      </w:r>
      <w:r w:rsidRPr="00797640">
        <w:rPr>
          <w:rFonts w:eastAsia="MS Mincho" w:cs="Times New Roman"/>
          <w:b/>
        </w:rPr>
        <w:tab/>
        <w:t>Pe râurile interioare</w:t>
      </w:r>
    </w:p>
    <w:p w14:paraId="66C48AE9" w14:textId="77777777" w:rsidR="00797640" w:rsidRPr="00797640" w:rsidRDefault="00797640" w:rsidP="00797640">
      <w:pPr>
        <w:spacing w:before="0" w:after="0"/>
        <w:ind w:left="1080" w:right="13"/>
        <w:outlineLvl w:val="5"/>
        <w:rPr>
          <w:rFonts w:eastAsia="MS Mincho" w:cs="Times New Roman"/>
          <w:color w:val="auto"/>
        </w:rPr>
      </w:pPr>
      <w:r w:rsidRPr="00797640">
        <w:rPr>
          <w:rFonts w:eastAsia="MS Mincho" w:cs="Times New Roman"/>
          <w:color w:val="auto"/>
        </w:rPr>
        <w:t>Nu au fost semnalate evenimente deosebite.</w:t>
      </w:r>
    </w:p>
    <w:p w14:paraId="1D11F15A" w14:textId="77777777" w:rsidR="00797640" w:rsidRPr="00797640" w:rsidRDefault="00797640" w:rsidP="00797640">
      <w:pPr>
        <w:spacing w:before="0" w:after="0"/>
        <w:ind w:left="1080" w:right="13"/>
        <w:outlineLvl w:val="5"/>
        <w:rPr>
          <w:rFonts w:eastAsia="MS Mincho" w:cs="Times New Roman"/>
          <w:b/>
          <w:sz w:val="16"/>
          <w:szCs w:val="16"/>
        </w:rPr>
      </w:pPr>
    </w:p>
    <w:p w14:paraId="5464C1F7" w14:textId="77777777" w:rsidR="00797640" w:rsidRPr="00797640" w:rsidRDefault="00797640" w:rsidP="00797640">
      <w:pPr>
        <w:spacing w:before="0" w:after="0"/>
        <w:ind w:left="1080" w:right="13"/>
        <w:outlineLvl w:val="5"/>
        <w:rPr>
          <w:rFonts w:eastAsia="MS Mincho" w:cs="Times New Roman"/>
          <w:b/>
        </w:rPr>
      </w:pPr>
      <w:r w:rsidRPr="00797640">
        <w:rPr>
          <w:rFonts w:eastAsia="MS Mincho" w:cs="Times New Roman"/>
          <w:b/>
        </w:rPr>
        <w:t>3.</w:t>
      </w:r>
      <w:r w:rsidRPr="00797640">
        <w:rPr>
          <w:rFonts w:eastAsia="MS Mincho" w:cs="Times New Roman"/>
          <w:b/>
        </w:rPr>
        <w:tab/>
        <w:t>Pe Marea Neagră</w:t>
      </w:r>
    </w:p>
    <w:p w14:paraId="38720A61" w14:textId="77777777" w:rsidR="00797640" w:rsidRPr="00797640" w:rsidRDefault="00797640" w:rsidP="00797640">
      <w:pPr>
        <w:tabs>
          <w:tab w:val="left" w:pos="6285"/>
        </w:tabs>
        <w:spacing w:before="0" w:after="0"/>
        <w:ind w:left="1080" w:right="13"/>
        <w:outlineLvl w:val="5"/>
        <w:rPr>
          <w:rFonts w:eastAsia="MS Mincho" w:cs="Times New Roman"/>
          <w:color w:val="auto"/>
        </w:rPr>
      </w:pPr>
      <w:bookmarkStart w:id="1" w:name="_Hlk177062661"/>
      <w:r w:rsidRPr="00797640">
        <w:rPr>
          <w:rFonts w:eastAsia="MS Mincho" w:cs="Times New Roman"/>
          <w:color w:val="auto"/>
        </w:rPr>
        <w:t>Nu au fost semnalate evenimente deosebite</w:t>
      </w:r>
      <w:bookmarkEnd w:id="1"/>
      <w:r w:rsidRPr="00797640">
        <w:rPr>
          <w:rFonts w:eastAsia="MS Mincho" w:cs="Times New Roman"/>
          <w:color w:val="auto"/>
        </w:rPr>
        <w:t>.</w:t>
      </w:r>
    </w:p>
    <w:p w14:paraId="0A05096D" w14:textId="77777777" w:rsidR="00797640" w:rsidRPr="00797640" w:rsidRDefault="00797640" w:rsidP="00797640">
      <w:pPr>
        <w:spacing w:before="0" w:after="0"/>
        <w:ind w:left="1080" w:right="13"/>
        <w:outlineLvl w:val="5"/>
        <w:rPr>
          <w:rFonts w:eastAsia="MS Mincho" w:cs="Times New Roman"/>
        </w:rPr>
      </w:pPr>
    </w:p>
    <w:p w14:paraId="7E475A6F" w14:textId="77777777" w:rsidR="00797640" w:rsidRPr="00797640" w:rsidRDefault="00797640" w:rsidP="00797640">
      <w:pPr>
        <w:spacing w:before="0" w:after="0"/>
        <w:ind w:left="1080" w:right="13"/>
        <w:outlineLvl w:val="5"/>
        <w:rPr>
          <w:rFonts w:eastAsia="MS Mincho" w:cs="Times New Roman"/>
          <w:bCs/>
          <w:color w:val="auto"/>
        </w:rPr>
      </w:pPr>
    </w:p>
    <w:p w14:paraId="12654B3D" w14:textId="77777777" w:rsidR="00797640" w:rsidRPr="00797640" w:rsidRDefault="00797640" w:rsidP="00797640">
      <w:pPr>
        <w:numPr>
          <w:ilvl w:val="0"/>
          <w:numId w:val="3"/>
        </w:numPr>
        <w:spacing w:before="0" w:after="120"/>
        <w:ind w:left="1080" w:right="13" w:firstLine="0"/>
        <w:outlineLvl w:val="5"/>
        <w:rPr>
          <w:rFonts w:eastAsia="Times New Roman" w:cs="Times New Roman"/>
          <w:b/>
          <w:bCs/>
          <w:i/>
          <w:color w:val="auto"/>
          <w:u w:val="single"/>
        </w:rPr>
      </w:pPr>
      <w:r w:rsidRPr="00797640">
        <w:rPr>
          <w:rFonts w:eastAsia="Times New Roman" w:cs="Times New Roman"/>
          <w:b/>
          <w:bCs/>
          <w:i/>
          <w:color w:val="auto"/>
          <w:u w:val="single"/>
        </w:rPr>
        <w:t>CALITATEA MEDIULUI</w:t>
      </w:r>
    </w:p>
    <w:p w14:paraId="530420D3" w14:textId="77777777" w:rsidR="00797640" w:rsidRPr="00797640" w:rsidRDefault="00797640" w:rsidP="00797640">
      <w:pPr>
        <w:numPr>
          <w:ilvl w:val="0"/>
          <w:numId w:val="2"/>
        </w:numPr>
        <w:tabs>
          <w:tab w:val="num" w:pos="720"/>
        </w:tabs>
        <w:spacing w:before="0" w:after="120"/>
        <w:ind w:left="1080" w:right="13" w:firstLine="0"/>
        <w:contextualSpacing/>
        <w:rPr>
          <w:rFonts w:eastAsia="MS Mincho" w:cs="Times New Roman"/>
          <w:b/>
          <w:noProof/>
          <w:color w:val="auto"/>
        </w:rPr>
      </w:pPr>
      <w:r w:rsidRPr="00797640">
        <w:rPr>
          <w:rFonts w:eastAsia="MS Mincho" w:cs="Times New Roman"/>
          <w:b/>
          <w:color w:val="auto"/>
        </w:rPr>
        <w:t>Î</w:t>
      </w:r>
      <w:r w:rsidRPr="00797640">
        <w:rPr>
          <w:rFonts w:eastAsia="MS Mincho" w:cs="Times New Roman"/>
          <w:b/>
          <w:noProof/>
          <w:color w:val="auto"/>
        </w:rPr>
        <w:t>n domeniul aerului</w:t>
      </w:r>
    </w:p>
    <w:p w14:paraId="606C2B4C" w14:textId="77777777" w:rsidR="00797640" w:rsidRPr="00797640" w:rsidRDefault="00797640" w:rsidP="00797640">
      <w:pPr>
        <w:spacing w:before="0" w:after="0"/>
        <w:ind w:left="1080" w:right="13"/>
        <w:outlineLvl w:val="5"/>
        <w:rPr>
          <w:rFonts w:eastAsia="MS Mincho" w:cs="Times New Roman"/>
          <w:b/>
        </w:rPr>
      </w:pPr>
      <w:bookmarkStart w:id="2" w:name="_Hlk181644885"/>
      <w:bookmarkStart w:id="3" w:name="_Hlk174219108"/>
      <w:r w:rsidRPr="00797640">
        <w:rPr>
          <w:rFonts w:eastAsia="MS Mincho" w:cs="Times New Roman"/>
          <w:b/>
          <w:i/>
        </w:rPr>
        <w:t>Agenţia Naţională pentru Protecţia Mediului</w:t>
      </w:r>
      <w:r w:rsidRPr="00797640">
        <w:rPr>
          <w:rFonts w:eastAsia="MS Mincho" w:cs="Times New Roman"/>
        </w:rPr>
        <w:t xml:space="preserve"> informează că, din rezultatele analizelor efectuate pentru data de 18.11.2024 în cadrul Reţelei Naţionale de Monitorizare, nu s-au constatat depășiri ale pragurilor de alertă pentru NO</w:t>
      </w:r>
      <w:r w:rsidRPr="00797640">
        <w:rPr>
          <w:rFonts w:eastAsia="MS Mincho" w:cs="Times New Roman"/>
          <w:vertAlign w:val="subscript"/>
        </w:rPr>
        <w:t>2</w:t>
      </w:r>
      <w:r w:rsidRPr="00797640">
        <w:rPr>
          <w:rFonts w:eastAsia="MS Mincho" w:cs="Times New Roman"/>
        </w:rPr>
        <w:t xml:space="preserve"> (dioxid de azot), SO</w:t>
      </w:r>
      <w:r w:rsidRPr="00797640">
        <w:rPr>
          <w:rFonts w:eastAsia="MS Mincho" w:cs="Times New Roman"/>
          <w:vertAlign w:val="subscript"/>
        </w:rPr>
        <w:t>2</w:t>
      </w:r>
      <w:r w:rsidRPr="00797640">
        <w:rPr>
          <w:rFonts w:eastAsia="MS Mincho" w:cs="Times New Roman"/>
        </w:rPr>
        <w:t xml:space="preserve"> (dioxid de sulf)</w:t>
      </w:r>
      <w:r w:rsidRPr="00797640">
        <w:rPr>
          <w:rFonts w:eastAsia="MS Mincho" w:cs="Times New Roman"/>
          <w:color w:val="auto"/>
        </w:rPr>
        <w:t xml:space="preserve"> </w:t>
      </w:r>
      <w:r w:rsidRPr="00797640">
        <w:rPr>
          <w:rFonts w:eastAsia="MS Mincho" w:cs="Times New Roman"/>
        </w:rPr>
        <w:t>și nici ale pragurilor de alertă și informare pentru O</w:t>
      </w:r>
      <w:r w:rsidRPr="00797640">
        <w:rPr>
          <w:rFonts w:eastAsia="MS Mincho" w:cs="Times New Roman"/>
          <w:vertAlign w:val="subscript"/>
        </w:rPr>
        <w:t>3</w:t>
      </w:r>
      <w:r w:rsidRPr="00797640">
        <w:rPr>
          <w:rFonts w:eastAsia="MS Mincho" w:cs="Times New Roman"/>
        </w:rPr>
        <w:t xml:space="preserve"> (ozon).</w:t>
      </w:r>
      <w:r w:rsidRPr="00797640">
        <w:rPr>
          <w:rFonts w:eastAsia="MS Mincho" w:cs="Times New Roman"/>
          <w:b/>
        </w:rPr>
        <w:t xml:space="preserve"> </w:t>
      </w:r>
    </w:p>
    <w:p w14:paraId="30C5EAFC" w14:textId="77777777" w:rsidR="00797640" w:rsidRPr="00797640" w:rsidRDefault="00797640" w:rsidP="00797640">
      <w:pPr>
        <w:spacing w:before="0" w:after="120"/>
        <w:ind w:left="1080" w:right="13"/>
        <w:outlineLvl w:val="5"/>
        <w:rPr>
          <w:rFonts w:eastAsia="MS Mincho" w:cs="Times New Roman"/>
          <w:b/>
          <w:i/>
          <w:color w:val="auto"/>
        </w:rPr>
      </w:pPr>
      <w:r w:rsidRPr="00797640">
        <w:rPr>
          <w:rFonts w:eastAsia="MS Mincho" w:cs="Times New Roman"/>
          <w:b/>
        </w:rPr>
        <w:t>A fost înregistrată depășirea valorii limită zilnice pentru indicatorul particule în suspensie PM</w:t>
      </w:r>
      <w:r w:rsidRPr="00797640">
        <w:rPr>
          <w:rFonts w:eastAsia="MS Mincho" w:cs="Times New Roman"/>
          <w:b/>
          <w:vertAlign w:val="subscript"/>
        </w:rPr>
        <w:t>10</w:t>
      </w:r>
      <w:r w:rsidRPr="00797640">
        <w:rPr>
          <w:rFonts w:eastAsia="MS Mincho" w:cs="Times New Roman"/>
          <w:b/>
        </w:rPr>
        <w:t xml:space="preserve"> (pulberi în suspensie cu diametrul sub 10 microni) la staţiile automate de monitorizare a calităţii aerului cu următoarele indicative:</w:t>
      </w:r>
      <w:r w:rsidRPr="00797640">
        <w:rPr>
          <w:rFonts w:eastAsia="MS Mincho" w:cs="Times New Roman"/>
          <w:color w:val="auto"/>
          <w:lang w:val="en-US"/>
        </w:rPr>
        <w:t xml:space="preserve"> </w:t>
      </w:r>
      <w:r w:rsidRPr="00797640">
        <w:rPr>
          <w:rFonts w:eastAsia="MS Mincho" w:cs="Times New Roman"/>
          <w:b/>
        </w:rPr>
        <w:t>AG-3 (com. Călinești), CT-4 (mun. Mangalia), BV-1, BV-2, BV-3, BV-5 (mun. Brașov), BV-4 (com. Sânpetru), BV-6 (mun. Codlea), IL-2 (mun. Urziceni), DB-1 (mun. Târgoviște), PH-1, PH-5, PH-6 (mun. Ploiești), IS-1, IS-2, IS-3 (mun. Iași), IS-5 (com. Tomești), BC-1 (mun. Bacău), GJ-3 (orașul Turceni), MM-1, MM-2 (mun. Baia Mare), MM-6 (mun. Sighetu Marmației), CS-3 (loc. Moldova Veche)</w:t>
      </w:r>
      <w:r w:rsidRPr="00797640">
        <w:rPr>
          <w:rFonts w:eastAsia="MS Mincho" w:cs="Times New Roman"/>
        </w:rPr>
        <w:t>.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r w:rsidRPr="00797640">
        <w:rPr>
          <w:rFonts w:eastAsia="MS Mincho" w:cs="Times New Roman"/>
          <w:color w:val="auto"/>
        </w:rPr>
        <w:t>.</w:t>
      </w:r>
    </w:p>
    <w:p w14:paraId="33D4A05C" w14:textId="77777777" w:rsidR="00797640" w:rsidRPr="00797640" w:rsidRDefault="00797640" w:rsidP="00797640">
      <w:pPr>
        <w:spacing w:before="0" w:after="120"/>
        <w:ind w:left="1080" w:right="13"/>
        <w:outlineLvl w:val="5"/>
        <w:rPr>
          <w:rFonts w:eastAsia="MS Mincho" w:cs="Times New Roman"/>
          <w:color w:val="auto"/>
          <w:lang w:val="en-US"/>
        </w:rPr>
      </w:pPr>
      <w:r w:rsidRPr="00797640">
        <w:rPr>
          <w:rFonts w:eastAsia="MS Mincho" w:cs="Times New Roman"/>
          <w:b/>
          <w:i/>
          <w:color w:val="auto"/>
        </w:rPr>
        <w:t>Agenţia pentru Protecţia Mediului</w:t>
      </w:r>
      <w:r w:rsidRPr="00797640">
        <w:rPr>
          <w:rFonts w:eastAsia="MS Mincho" w:cs="Times New Roman"/>
          <w:color w:val="auto"/>
          <w:lang w:val="it-IT"/>
        </w:rPr>
        <w:t xml:space="preserve"> </w:t>
      </w:r>
      <w:r w:rsidRPr="00797640">
        <w:rPr>
          <w:rFonts w:eastAsia="MS Mincho" w:cs="Times New Roman"/>
          <w:b/>
          <w:bCs/>
          <w:i/>
          <w:iCs/>
          <w:color w:val="auto"/>
          <w:lang w:val="it-IT"/>
        </w:rPr>
        <w:t>Dâmbovița</w:t>
      </w:r>
      <w:r w:rsidRPr="00797640">
        <w:rPr>
          <w:rFonts w:eastAsia="MS Mincho" w:cs="Times New Roman"/>
          <w:color w:val="auto"/>
          <w:lang w:val="it-IT"/>
        </w:rPr>
        <w:t xml:space="preserve"> </w:t>
      </w:r>
      <w:bookmarkEnd w:id="2"/>
      <w:r w:rsidRPr="00797640">
        <w:rPr>
          <w:rFonts w:eastAsia="MS Mincho" w:cs="Times New Roman"/>
          <w:color w:val="auto"/>
          <w:lang w:val="it-IT"/>
        </w:rPr>
        <w:t xml:space="preserve">informează despre producerea, în data de 19.11.2024, la ora 09:25, unui incendiu la depozitul de deșeuri nepericuloase (operator </w:t>
      </w:r>
      <w:r w:rsidRPr="00797640">
        <w:rPr>
          <w:rFonts w:eastAsia="MS Mincho" w:cs="Times New Roman"/>
          <w:color w:val="auto"/>
          <w:lang w:val="it-IT"/>
        </w:rPr>
        <w:lastRenderedPageBreak/>
        <w:t>depozit</w:t>
      </w:r>
      <w:r w:rsidRPr="00797640">
        <w:rPr>
          <w:rFonts w:eastAsia="MS Mincho" w:cs="Times New Roman"/>
          <w:color w:val="auto"/>
          <w:lang w:val="en-US"/>
        </w:rPr>
        <w:t xml:space="preserve">: </w:t>
      </w:r>
      <w:r w:rsidRPr="00797640">
        <w:rPr>
          <w:rFonts w:eastAsia="MS Mincho" w:cs="Times New Roman"/>
          <w:color w:val="auto"/>
          <w:lang w:val="it-IT"/>
        </w:rPr>
        <w:t>SC Supercom SA) din comuna Aninoasa, județul Dâmbovița. Au ars deșeuri menajere din corpul depozitului, cu degajare moderată de emisii de fum și abur, incendiul manifestându-se în adâncimea corpului depozitului, pe o suprafață de 100 mp. I.S.U. Dâmbovița a intervenit pentru stingerea incendiului.</w:t>
      </w:r>
      <w:r w:rsidRPr="00797640">
        <w:rPr>
          <w:rFonts w:eastAsia="MS Mincho" w:cs="Times New Roman"/>
          <w:color w:val="auto"/>
          <w:lang w:val="en-US"/>
        </w:rPr>
        <w:t xml:space="preserve"> </w:t>
      </w:r>
      <w:r w:rsidRPr="00797640">
        <w:rPr>
          <w:rFonts w:eastAsia="MS Mincho" w:cs="Times New Roman"/>
          <w:color w:val="auto"/>
          <w:lang w:val="it-IT"/>
        </w:rPr>
        <w:t>Lichidarea incendiului a fost anunțată la ora 16:15.</w:t>
      </w:r>
    </w:p>
    <w:p w14:paraId="7F18C8F4" w14:textId="77777777" w:rsidR="00797640" w:rsidRPr="00797640" w:rsidRDefault="00797640" w:rsidP="00797640">
      <w:pPr>
        <w:spacing w:before="0" w:after="0"/>
        <w:ind w:left="1080" w:right="13"/>
        <w:outlineLvl w:val="5"/>
        <w:rPr>
          <w:rFonts w:eastAsia="MS Mincho" w:cs="Times New Roman"/>
          <w:color w:val="auto"/>
          <w:lang w:val="it-IT"/>
        </w:rPr>
      </w:pPr>
      <w:r w:rsidRPr="00797640">
        <w:rPr>
          <w:rFonts w:eastAsia="MS Mincho" w:cs="Times New Roman"/>
          <w:b/>
          <w:bCs/>
          <w:i/>
          <w:iCs/>
          <w:color w:val="auto"/>
          <w:lang w:val="it-IT"/>
        </w:rPr>
        <w:t>Agenția Pentru Protecția Mediului Dâmbovița</w:t>
      </w:r>
      <w:r w:rsidRPr="00797640">
        <w:rPr>
          <w:rFonts w:eastAsia="MS Mincho" w:cs="Times New Roman"/>
          <w:color w:val="auto"/>
          <w:lang w:val="it-IT"/>
        </w:rPr>
        <w:t xml:space="preserve"> revine cu informații despre incidentul declanșat în data de 13.11.2024, în jurul orei 02</w:t>
      </w:r>
      <w:r w:rsidRPr="00797640">
        <w:rPr>
          <w:rFonts w:eastAsia="MS Mincho" w:cs="Times New Roman"/>
          <w:color w:val="auto"/>
          <w:lang w:val="en-US"/>
        </w:rPr>
        <w:t>:</w:t>
      </w:r>
      <w:r w:rsidRPr="00797640">
        <w:rPr>
          <w:rFonts w:eastAsia="MS Mincho" w:cs="Times New Roman"/>
          <w:color w:val="auto"/>
          <w:lang w:val="it-IT"/>
        </w:rPr>
        <w:t>00, ca urmare a executării unui foraj de prospectare (cercetare pentru exploatare sursa de apă subterană) pe amplasamentul Soceram SA, Sucursala Doicești, Fabrica BCA, manifestat prin apariția unei erupții spontane de fluid grosier constând, aparent, dintr-un amestec de apă și ”noroi”, componenta solidă a amestecului având aspect de nisip prăfos / argilă prăfoasă cenușie.</w:t>
      </w:r>
    </w:p>
    <w:p w14:paraId="74E2292E" w14:textId="77777777" w:rsidR="00797640" w:rsidRPr="00797640" w:rsidRDefault="00797640" w:rsidP="00797640">
      <w:pPr>
        <w:spacing w:before="0" w:after="0"/>
        <w:ind w:left="1080" w:right="13"/>
        <w:outlineLvl w:val="5"/>
        <w:rPr>
          <w:rFonts w:eastAsia="MS Mincho" w:cs="Times New Roman"/>
          <w:color w:val="auto"/>
          <w:lang w:val="it-IT"/>
        </w:rPr>
      </w:pPr>
      <w:r w:rsidRPr="00797640">
        <w:rPr>
          <w:rFonts w:eastAsia="MS Mincho" w:cs="Times New Roman"/>
          <w:color w:val="auto"/>
          <w:lang w:val="it-IT"/>
        </w:rPr>
        <w:t>Jetul de apă în amestec cu material solid se înalță până la circa 15-20 m, produce aerosoli care sunt preluați de vânt, manifestându-se sub formă de picături până la o distanță de circa 50-60 m. Prin măsuri de limitare a înălțimii jetului, s-au diminuat emisiile de aerosoli. Emisia de gaze s-a menținut, inclusiv prezența gazului metan în atmosferă.</w:t>
      </w:r>
    </w:p>
    <w:p w14:paraId="2352C352" w14:textId="77777777" w:rsidR="00797640" w:rsidRPr="00797640" w:rsidRDefault="00797640" w:rsidP="00797640">
      <w:pPr>
        <w:spacing w:before="0" w:after="0"/>
        <w:ind w:left="1080" w:right="13"/>
        <w:outlineLvl w:val="5"/>
        <w:rPr>
          <w:rFonts w:eastAsia="MS Mincho" w:cs="Times New Roman"/>
          <w:color w:val="auto"/>
          <w:lang w:val="it-IT"/>
        </w:rPr>
      </w:pPr>
      <w:r w:rsidRPr="00797640">
        <w:rPr>
          <w:rFonts w:eastAsia="MS Mincho" w:cs="Times New Roman"/>
          <w:color w:val="auto"/>
          <w:lang w:val="it-IT"/>
        </w:rPr>
        <w:t>Materialul solid se depune pe sol, având un aspect de nămol care face crustă prin uscare.</w:t>
      </w:r>
      <w:r w:rsidRPr="00797640">
        <w:rPr>
          <w:rFonts w:eastAsia="MS Mincho" w:cs="Times New Roman"/>
          <w:color w:val="auto"/>
          <w:lang w:val="en-US"/>
        </w:rPr>
        <w:t xml:space="preserve"> </w:t>
      </w:r>
      <w:r w:rsidRPr="00797640">
        <w:rPr>
          <w:rFonts w:eastAsia="MS Mincho" w:cs="Times New Roman"/>
          <w:color w:val="auto"/>
          <w:lang w:val="it-IT"/>
        </w:rPr>
        <w:t xml:space="preserve">Nămolul depus este preluat </w:t>
      </w:r>
      <w:r w:rsidRPr="00797640">
        <w:rPr>
          <w:rFonts w:eastAsia="MS Mincho" w:cs="Times New Roman"/>
          <w:color w:val="auto"/>
        </w:rPr>
        <w:t>ș</w:t>
      </w:r>
      <w:r w:rsidRPr="00797640">
        <w:rPr>
          <w:rFonts w:eastAsia="MS Mincho" w:cs="Times New Roman"/>
          <w:color w:val="auto"/>
          <w:lang w:val="it-IT"/>
        </w:rPr>
        <w:t>i depozitat temporar pe o suprafață betonată de pe amplasamentul Soceram SA. Suprafața afectată are un perimetru de 200 m, amplasat după cum urmează: SC SOCERAM SA, SC NOVA POWER și drum acces către cele două societăți industriale.</w:t>
      </w:r>
    </w:p>
    <w:p w14:paraId="391BF323" w14:textId="77777777" w:rsidR="00797640" w:rsidRPr="00797640" w:rsidRDefault="00797640" w:rsidP="00797640">
      <w:pPr>
        <w:spacing w:before="0" w:after="0"/>
        <w:ind w:left="1080" w:right="13"/>
        <w:outlineLvl w:val="5"/>
        <w:rPr>
          <w:rFonts w:eastAsia="MS Mincho" w:cs="Times New Roman"/>
          <w:color w:val="auto"/>
          <w:lang w:val="it-IT"/>
        </w:rPr>
      </w:pPr>
      <w:r w:rsidRPr="00797640">
        <w:rPr>
          <w:rFonts w:eastAsia="MS Mincho" w:cs="Times New Roman"/>
          <w:color w:val="auto"/>
          <w:lang w:val="it-IT"/>
        </w:rPr>
        <w:t>Apa evacuată din forajul eruptiv se scurge parțial pe solul înierbat, parțial este colectată ca o apă pluvială pe amplasament și se evacuează către râul Ialomița prin canalul de evacuare al apelor meteorice (”Canalul Cioroiu”).</w:t>
      </w:r>
    </w:p>
    <w:p w14:paraId="004B5119" w14:textId="77777777" w:rsidR="00797640" w:rsidRPr="00797640" w:rsidRDefault="00797640" w:rsidP="00797640">
      <w:pPr>
        <w:spacing w:before="0" w:after="0"/>
        <w:ind w:left="1080" w:right="13"/>
        <w:outlineLvl w:val="5"/>
        <w:rPr>
          <w:rFonts w:eastAsia="MS Mincho" w:cs="Times New Roman"/>
          <w:color w:val="auto"/>
          <w:sz w:val="16"/>
          <w:szCs w:val="16"/>
          <w:lang w:val="it-IT"/>
        </w:rPr>
      </w:pPr>
    </w:p>
    <w:p w14:paraId="6472D537" w14:textId="77777777" w:rsidR="00797640" w:rsidRPr="00797640" w:rsidRDefault="00797640" w:rsidP="00797640">
      <w:pPr>
        <w:spacing w:before="0" w:after="0"/>
        <w:ind w:left="1080"/>
        <w:jc w:val="center"/>
        <w:rPr>
          <w:rFonts w:eastAsia="Times New Roman" w:cs="Times New Roman"/>
          <w:i/>
          <w:iCs/>
          <w:color w:val="auto"/>
          <w:u w:val="single"/>
        </w:rPr>
      </w:pPr>
      <w:r w:rsidRPr="00797640">
        <w:rPr>
          <w:rFonts w:eastAsia="Times New Roman" w:cs="Times New Roman"/>
          <w:i/>
          <w:iCs/>
          <w:color w:val="auto"/>
          <w:u w:val="single"/>
        </w:rPr>
        <w:t>Date disponibile de calitate aer pentru poluanții monitorizați cu timpi de mediere de 24 de ore, probe zilnice recoltate în intervalul 14.11.2024 – 19.11.2024:</w:t>
      </w:r>
    </w:p>
    <w:p w14:paraId="246A9479" w14:textId="77777777" w:rsidR="00797640" w:rsidRPr="00797640" w:rsidRDefault="00797640" w:rsidP="00797640">
      <w:pPr>
        <w:spacing w:before="0" w:after="0"/>
        <w:ind w:left="1080"/>
        <w:jc w:val="center"/>
        <w:rPr>
          <w:rFonts w:eastAsia="Times New Roman" w:cs="Times New Roman"/>
          <w:color w:val="auto"/>
          <w:sz w:val="16"/>
          <w:szCs w:val="16"/>
          <w:u w:val="single"/>
        </w:rPr>
      </w:pPr>
    </w:p>
    <w:tbl>
      <w:tblPr>
        <w:tblStyle w:val="TableGrid2"/>
        <w:tblW w:w="0" w:type="dxa"/>
        <w:tblInd w:w="2245" w:type="dxa"/>
        <w:tblLook w:val="04A0" w:firstRow="1" w:lastRow="0" w:firstColumn="1" w:lastColumn="0" w:noHBand="0" w:noVBand="1"/>
      </w:tblPr>
      <w:tblGrid>
        <w:gridCol w:w="1815"/>
        <w:gridCol w:w="851"/>
        <w:gridCol w:w="850"/>
        <w:gridCol w:w="1276"/>
        <w:gridCol w:w="1392"/>
      </w:tblGrid>
      <w:tr w:rsidR="00797640" w:rsidRPr="00797640" w14:paraId="0F189BDD" w14:textId="77777777" w:rsidTr="00835E2C">
        <w:tc>
          <w:tcPr>
            <w:tcW w:w="1815" w:type="dxa"/>
          </w:tcPr>
          <w:p w14:paraId="27CEA0A1"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Interval de prelevare</w:t>
            </w:r>
          </w:p>
        </w:tc>
        <w:tc>
          <w:tcPr>
            <w:tcW w:w="851" w:type="dxa"/>
          </w:tcPr>
          <w:p w14:paraId="3CF4FC95"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Captura de date (%)</w:t>
            </w:r>
          </w:p>
        </w:tc>
        <w:tc>
          <w:tcPr>
            <w:tcW w:w="850" w:type="dxa"/>
          </w:tcPr>
          <w:p w14:paraId="1D8AAD88"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Poluant</w:t>
            </w:r>
          </w:p>
        </w:tc>
        <w:tc>
          <w:tcPr>
            <w:tcW w:w="1276" w:type="dxa"/>
          </w:tcPr>
          <w:p w14:paraId="6C30063B"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Valoare măsurată</w:t>
            </w:r>
          </w:p>
        </w:tc>
        <w:tc>
          <w:tcPr>
            <w:tcW w:w="1392" w:type="dxa"/>
          </w:tcPr>
          <w:p w14:paraId="096BFEBF"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 din VL (CMA)</w:t>
            </w:r>
          </w:p>
        </w:tc>
      </w:tr>
      <w:tr w:rsidR="00797640" w:rsidRPr="00797640" w14:paraId="2E7B239B" w14:textId="77777777" w:rsidTr="00835E2C">
        <w:tc>
          <w:tcPr>
            <w:tcW w:w="1815" w:type="dxa"/>
          </w:tcPr>
          <w:p w14:paraId="3E2022C9"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14:11.2024 (13:15) – 15.11.2024 (10:25)</w:t>
            </w:r>
          </w:p>
        </w:tc>
        <w:tc>
          <w:tcPr>
            <w:tcW w:w="851" w:type="dxa"/>
          </w:tcPr>
          <w:p w14:paraId="71E34704"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88,2 (%)</w:t>
            </w:r>
          </w:p>
        </w:tc>
        <w:tc>
          <w:tcPr>
            <w:tcW w:w="850" w:type="dxa"/>
          </w:tcPr>
          <w:p w14:paraId="37286807"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H</w:t>
            </w:r>
            <w:r w:rsidRPr="00797640">
              <w:rPr>
                <w:rFonts w:cs="Times New Roman"/>
                <w:color w:val="auto"/>
                <w:sz w:val="16"/>
                <w:szCs w:val="16"/>
                <w:vertAlign w:val="subscript"/>
              </w:rPr>
              <w:t>2</w:t>
            </w:r>
            <w:r w:rsidRPr="00797640">
              <w:rPr>
                <w:rFonts w:cs="Times New Roman"/>
                <w:color w:val="auto"/>
                <w:sz w:val="16"/>
                <w:szCs w:val="16"/>
              </w:rPr>
              <w:t>S</w:t>
            </w:r>
          </w:p>
          <w:p w14:paraId="242BACE3"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PM10</w:t>
            </w:r>
          </w:p>
        </w:tc>
        <w:tc>
          <w:tcPr>
            <w:tcW w:w="1276" w:type="dxa"/>
          </w:tcPr>
          <w:p w14:paraId="3A9439DC"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SLD*</w:t>
            </w:r>
          </w:p>
          <w:p w14:paraId="637C8C01"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74,58 µg/mc</w:t>
            </w:r>
          </w:p>
        </w:tc>
        <w:tc>
          <w:tcPr>
            <w:tcW w:w="1392" w:type="dxa"/>
          </w:tcPr>
          <w:p w14:paraId="3C13EF76"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w:t>
            </w:r>
          </w:p>
          <w:p w14:paraId="63D64753" w14:textId="77777777" w:rsidR="00797640" w:rsidRPr="00797640" w:rsidRDefault="00797640" w:rsidP="00797640">
            <w:pPr>
              <w:spacing w:before="0" w:after="0" w:line="240" w:lineRule="auto"/>
              <w:jc w:val="left"/>
              <w:rPr>
                <w:rFonts w:cs="Times New Roman"/>
                <w:b/>
                <w:color w:val="auto"/>
                <w:sz w:val="16"/>
                <w:szCs w:val="16"/>
              </w:rPr>
            </w:pPr>
            <w:r w:rsidRPr="00797640">
              <w:rPr>
                <w:rFonts w:cs="Times New Roman"/>
                <w:b/>
                <w:color w:val="auto"/>
                <w:sz w:val="16"/>
                <w:szCs w:val="16"/>
                <w:highlight w:val="yellow"/>
              </w:rPr>
              <w:t>148%</w:t>
            </w:r>
          </w:p>
        </w:tc>
      </w:tr>
      <w:tr w:rsidR="00797640" w:rsidRPr="00797640" w14:paraId="7885258D" w14:textId="77777777" w:rsidTr="00835E2C">
        <w:tc>
          <w:tcPr>
            <w:tcW w:w="1815" w:type="dxa"/>
          </w:tcPr>
          <w:p w14:paraId="4511ACBA" w14:textId="77777777" w:rsidR="00797640" w:rsidRPr="00797640" w:rsidRDefault="00797640" w:rsidP="00797640">
            <w:pPr>
              <w:spacing w:before="0" w:after="60" w:line="240" w:lineRule="auto"/>
              <w:jc w:val="left"/>
              <w:rPr>
                <w:rFonts w:cs="Times New Roman"/>
                <w:color w:val="auto"/>
                <w:sz w:val="16"/>
                <w:szCs w:val="16"/>
              </w:rPr>
            </w:pPr>
            <w:r w:rsidRPr="00797640">
              <w:rPr>
                <w:rFonts w:cs="Times New Roman"/>
                <w:color w:val="auto"/>
                <w:sz w:val="16"/>
                <w:szCs w:val="16"/>
              </w:rPr>
              <w:t>15.11.2024 (14:08)- 16.11.2024 (10:41)</w:t>
            </w:r>
          </w:p>
        </w:tc>
        <w:tc>
          <w:tcPr>
            <w:tcW w:w="851" w:type="dxa"/>
          </w:tcPr>
          <w:p w14:paraId="521C36FB"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85,6 (%)</w:t>
            </w:r>
          </w:p>
        </w:tc>
        <w:tc>
          <w:tcPr>
            <w:tcW w:w="850" w:type="dxa"/>
          </w:tcPr>
          <w:p w14:paraId="1F762C1A"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H</w:t>
            </w:r>
            <w:r w:rsidRPr="00797640">
              <w:rPr>
                <w:rFonts w:cs="Times New Roman"/>
                <w:color w:val="auto"/>
                <w:sz w:val="16"/>
                <w:szCs w:val="16"/>
                <w:vertAlign w:val="subscript"/>
              </w:rPr>
              <w:t>2</w:t>
            </w:r>
            <w:r w:rsidRPr="00797640">
              <w:rPr>
                <w:rFonts w:cs="Times New Roman"/>
                <w:color w:val="auto"/>
                <w:sz w:val="16"/>
                <w:szCs w:val="16"/>
              </w:rPr>
              <w:t>S</w:t>
            </w:r>
          </w:p>
          <w:p w14:paraId="1386B106"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PM10</w:t>
            </w:r>
          </w:p>
        </w:tc>
        <w:tc>
          <w:tcPr>
            <w:tcW w:w="1276" w:type="dxa"/>
          </w:tcPr>
          <w:p w14:paraId="3141E2E9"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SLD*</w:t>
            </w:r>
          </w:p>
          <w:p w14:paraId="47AAD32B"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 xml:space="preserve">46,31 µg/mc </w:t>
            </w:r>
          </w:p>
        </w:tc>
        <w:tc>
          <w:tcPr>
            <w:tcW w:w="1392" w:type="dxa"/>
          </w:tcPr>
          <w:p w14:paraId="7F74003E"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w:t>
            </w:r>
          </w:p>
          <w:p w14:paraId="203A52BF"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92,62 %</w:t>
            </w:r>
          </w:p>
        </w:tc>
      </w:tr>
      <w:tr w:rsidR="00797640" w:rsidRPr="00797640" w14:paraId="7E37A594" w14:textId="77777777" w:rsidTr="00835E2C">
        <w:tc>
          <w:tcPr>
            <w:tcW w:w="1815" w:type="dxa"/>
          </w:tcPr>
          <w:p w14:paraId="26FE8CF5" w14:textId="77777777" w:rsidR="00797640" w:rsidRPr="00797640" w:rsidRDefault="00797640" w:rsidP="00797640">
            <w:pPr>
              <w:spacing w:before="0" w:after="60" w:line="240" w:lineRule="auto"/>
              <w:jc w:val="left"/>
              <w:rPr>
                <w:rFonts w:cs="Times New Roman"/>
                <w:color w:val="auto"/>
                <w:sz w:val="16"/>
                <w:szCs w:val="16"/>
              </w:rPr>
            </w:pPr>
            <w:r w:rsidRPr="00797640">
              <w:rPr>
                <w:rFonts w:cs="Times New Roman"/>
                <w:color w:val="auto"/>
                <w:sz w:val="16"/>
                <w:szCs w:val="16"/>
              </w:rPr>
              <w:t>16.11.2024 (10:49) –17.11.2024 (09:40)</w:t>
            </w:r>
          </w:p>
        </w:tc>
        <w:tc>
          <w:tcPr>
            <w:tcW w:w="851" w:type="dxa"/>
          </w:tcPr>
          <w:p w14:paraId="0E725ADD"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95,2 (%)</w:t>
            </w:r>
          </w:p>
        </w:tc>
        <w:tc>
          <w:tcPr>
            <w:tcW w:w="850" w:type="dxa"/>
          </w:tcPr>
          <w:p w14:paraId="54148B2E"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H</w:t>
            </w:r>
            <w:r w:rsidRPr="00797640">
              <w:rPr>
                <w:rFonts w:cs="Times New Roman"/>
                <w:color w:val="auto"/>
                <w:sz w:val="16"/>
                <w:szCs w:val="16"/>
                <w:vertAlign w:val="subscript"/>
              </w:rPr>
              <w:t>2</w:t>
            </w:r>
            <w:r w:rsidRPr="00797640">
              <w:rPr>
                <w:rFonts w:cs="Times New Roman"/>
                <w:color w:val="auto"/>
                <w:sz w:val="16"/>
                <w:szCs w:val="16"/>
              </w:rPr>
              <w:t>S</w:t>
            </w:r>
          </w:p>
          <w:p w14:paraId="332C34B6"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PM10</w:t>
            </w:r>
          </w:p>
        </w:tc>
        <w:tc>
          <w:tcPr>
            <w:tcW w:w="1276" w:type="dxa"/>
          </w:tcPr>
          <w:p w14:paraId="41EEEB28"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SLD*</w:t>
            </w:r>
          </w:p>
          <w:p w14:paraId="05C02A7D"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47,92 µg/mc**</w:t>
            </w:r>
          </w:p>
        </w:tc>
        <w:tc>
          <w:tcPr>
            <w:tcW w:w="1392" w:type="dxa"/>
          </w:tcPr>
          <w:p w14:paraId="382A9F6E"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w:t>
            </w:r>
          </w:p>
          <w:p w14:paraId="56330445"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95,84 %*</w:t>
            </w:r>
          </w:p>
        </w:tc>
      </w:tr>
      <w:tr w:rsidR="00797640" w:rsidRPr="00797640" w14:paraId="63C1FD0B" w14:textId="77777777" w:rsidTr="00835E2C">
        <w:tc>
          <w:tcPr>
            <w:tcW w:w="1815" w:type="dxa"/>
          </w:tcPr>
          <w:p w14:paraId="37D808CA" w14:textId="77777777" w:rsidR="00797640" w:rsidRPr="00797640" w:rsidRDefault="00797640" w:rsidP="00797640">
            <w:pPr>
              <w:spacing w:before="0" w:after="60" w:line="240" w:lineRule="auto"/>
              <w:jc w:val="left"/>
              <w:rPr>
                <w:rFonts w:cs="Times New Roman"/>
                <w:color w:val="auto"/>
                <w:sz w:val="16"/>
                <w:szCs w:val="16"/>
              </w:rPr>
            </w:pPr>
            <w:r w:rsidRPr="00797640">
              <w:rPr>
                <w:rFonts w:cs="Times New Roman"/>
                <w:color w:val="auto"/>
                <w:sz w:val="16"/>
                <w:szCs w:val="16"/>
              </w:rPr>
              <w:t>17.11.2024 (9:45)-18.11.2024 (9:45</w:t>
            </w:r>
          </w:p>
        </w:tc>
        <w:tc>
          <w:tcPr>
            <w:tcW w:w="851" w:type="dxa"/>
          </w:tcPr>
          <w:p w14:paraId="75D6081E"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100 (%)</w:t>
            </w:r>
          </w:p>
        </w:tc>
        <w:tc>
          <w:tcPr>
            <w:tcW w:w="850" w:type="dxa"/>
          </w:tcPr>
          <w:p w14:paraId="2F0265D4"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H</w:t>
            </w:r>
            <w:r w:rsidRPr="00797640">
              <w:rPr>
                <w:rFonts w:cs="Times New Roman"/>
                <w:color w:val="auto"/>
                <w:sz w:val="16"/>
                <w:szCs w:val="16"/>
                <w:vertAlign w:val="subscript"/>
              </w:rPr>
              <w:t>2</w:t>
            </w:r>
            <w:r w:rsidRPr="00797640">
              <w:rPr>
                <w:rFonts w:cs="Times New Roman"/>
                <w:color w:val="auto"/>
                <w:sz w:val="16"/>
                <w:szCs w:val="16"/>
              </w:rPr>
              <w:t>S</w:t>
            </w:r>
          </w:p>
          <w:p w14:paraId="0A094478"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PM10</w:t>
            </w:r>
          </w:p>
        </w:tc>
        <w:tc>
          <w:tcPr>
            <w:tcW w:w="1276" w:type="dxa"/>
          </w:tcPr>
          <w:p w14:paraId="209469E4"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SLD*</w:t>
            </w:r>
          </w:p>
          <w:p w14:paraId="78AF0F70"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49,32***</w:t>
            </w:r>
          </w:p>
        </w:tc>
        <w:tc>
          <w:tcPr>
            <w:tcW w:w="1392" w:type="dxa"/>
          </w:tcPr>
          <w:p w14:paraId="6EF0440E"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w:t>
            </w:r>
          </w:p>
          <w:p w14:paraId="126FBD68"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98,64***</w:t>
            </w:r>
          </w:p>
        </w:tc>
      </w:tr>
      <w:tr w:rsidR="00797640" w:rsidRPr="00797640" w14:paraId="413D7911" w14:textId="77777777" w:rsidTr="00835E2C">
        <w:tc>
          <w:tcPr>
            <w:tcW w:w="1815" w:type="dxa"/>
          </w:tcPr>
          <w:p w14:paraId="24158D07" w14:textId="77777777" w:rsidR="00797640" w:rsidRPr="00797640" w:rsidRDefault="00797640" w:rsidP="00797640">
            <w:pPr>
              <w:spacing w:before="0" w:after="60" w:line="240" w:lineRule="auto"/>
              <w:jc w:val="left"/>
              <w:rPr>
                <w:rFonts w:cs="Times New Roman"/>
                <w:color w:val="auto"/>
                <w:sz w:val="16"/>
                <w:szCs w:val="16"/>
              </w:rPr>
            </w:pPr>
            <w:r w:rsidRPr="00797640">
              <w:rPr>
                <w:rFonts w:cs="Times New Roman"/>
                <w:color w:val="auto"/>
                <w:sz w:val="16"/>
                <w:szCs w:val="16"/>
              </w:rPr>
              <w:t xml:space="preserve">18.11.2024 (10:12) – </w:t>
            </w:r>
          </w:p>
          <w:p w14:paraId="69D00CF3" w14:textId="77777777" w:rsidR="00797640" w:rsidRPr="00797640" w:rsidRDefault="00797640" w:rsidP="00797640">
            <w:pPr>
              <w:spacing w:before="0" w:after="60" w:line="240" w:lineRule="auto"/>
              <w:jc w:val="left"/>
              <w:rPr>
                <w:rFonts w:cs="Times New Roman"/>
                <w:color w:val="auto"/>
                <w:sz w:val="16"/>
                <w:szCs w:val="16"/>
              </w:rPr>
            </w:pPr>
            <w:r w:rsidRPr="00797640">
              <w:rPr>
                <w:rFonts w:cs="Times New Roman"/>
                <w:color w:val="auto"/>
                <w:sz w:val="16"/>
                <w:szCs w:val="16"/>
              </w:rPr>
              <w:t>19.11.2024 (10:03)</w:t>
            </w:r>
          </w:p>
        </w:tc>
        <w:tc>
          <w:tcPr>
            <w:tcW w:w="851" w:type="dxa"/>
          </w:tcPr>
          <w:p w14:paraId="6D8DA416"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99,4 (%)</w:t>
            </w:r>
          </w:p>
        </w:tc>
        <w:tc>
          <w:tcPr>
            <w:tcW w:w="850" w:type="dxa"/>
          </w:tcPr>
          <w:p w14:paraId="6DDCC9B7"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H</w:t>
            </w:r>
            <w:r w:rsidRPr="00797640">
              <w:rPr>
                <w:rFonts w:cs="Times New Roman"/>
                <w:color w:val="auto"/>
                <w:sz w:val="16"/>
                <w:szCs w:val="16"/>
                <w:vertAlign w:val="subscript"/>
              </w:rPr>
              <w:t>2</w:t>
            </w:r>
            <w:r w:rsidRPr="00797640">
              <w:rPr>
                <w:rFonts w:cs="Times New Roman"/>
                <w:color w:val="auto"/>
                <w:sz w:val="16"/>
                <w:szCs w:val="16"/>
              </w:rPr>
              <w:t>S</w:t>
            </w:r>
          </w:p>
          <w:p w14:paraId="4A3356B5"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PM10</w:t>
            </w:r>
          </w:p>
        </w:tc>
        <w:tc>
          <w:tcPr>
            <w:tcW w:w="1276" w:type="dxa"/>
          </w:tcPr>
          <w:p w14:paraId="2E9246E1"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SLD*</w:t>
            </w:r>
          </w:p>
          <w:p w14:paraId="3CB5F982" w14:textId="77777777" w:rsidR="00797640" w:rsidRPr="00797640" w:rsidRDefault="00797640" w:rsidP="00797640">
            <w:pPr>
              <w:spacing w:before="0" w:after="0" w:line="240" w:lineRule="auto"/>
              <w:jc w:val="left"/>
              <w:rPr>
                <w:rFonts w:cs="Times New Roman"/>
                <w:color w:val="auto"/>
                <w:sz w:val="16"/>
                <w:szCs w:val="16"/>
              </w:rPr>
            </w:pPr>
            <w:r w:rsidRPr="00797640">
              <w:rPr>
                <w:rFonts w:cs="Times New Roman"/>
                <w:color w:val="auto"/>
                <w:sz w:val="16"/>
                <w:szCs w:val="16"/>
              </w:rPr>
              <w:t>79,12****</w:t>
            </w:r>
          </w:p>
        </w:tc>
        <w:tc>
          <w:tcPr>
            <w:tcW w:w="1392" w:type="dxa"/>
          </w:tcPr>
          <w:p w14:paraId="2C31CCEA" w14:textId="77777777" w:rsidR="00797640" w:rsidRPr="00797640" w:rsidRDefault="00797640" w:rsidP="00797640">
            <w:pPr>
              <w:spacing w:before="0" w:after="0" w:line="240" w:lineRule="auto"/>
              <w:jc w:val="left"/>
              <w:rPr>
                <w:rFonts w:cs="Times New Roman"/>
                <w:b/>
                <w:color w:val="auto"/>
                <w:sz w:val="16"/>
                <w:szCs w:val="16"/>
              </w:rPr>
            </w:pPr>
            <w:r w:rsidRPr="00797640">
              <w:rPr>
                <w:rFonts w:cs="Times New Roman"/>
                <w:b/>
                <w:color w:val="auto"/>
                <w:sz w:val="16"/>
                <w:szCs w:val="16"/>
              </w:rPr>
              <w:t>-</w:t>
            </w:r>
          </w:p>
          <w:p w14:paraId="0D8EFAF0" w14:textId="77777777" w:rsidR="00797640" w:rsidRPr="00797640" w:rsidRDefault="00797640" w:rsidP="00797640">
            <w:pPr>
              <w:spacing w:before="0" w:after="0" w:line="240" w:lineRule="auto"/>
              <w:jc w:val="left"/>
              <w:rPr>
                <w:rFonts w:cs="Times New Roman"/>
                <w:b/>
                <w:color w:val="auto"/>
                <w:sz w:val="16"/>
                <w:szCs w:val="16"/>
              </w:rPr>
            </w:pPr>
            <w:r w:rsidRPr="00797640">
              <w:rPr>
                <w:rFonts w:cs="Times New Roman"/>
                <w:b/>
                <w:color w:val="auto"/>
                <w:sz w:val="16"/>
                <w:szCs w:val="16"/>
                <w:highlight w:val="yellow"/>
              </w:rPr>
              <w:t>152,94 %****</w:t>
            </w:r>
          </w:p>
        </w:tc>
      </w:tr>
    </w:tbl>
    <w:p w14:paraId="6E5A5DA3" w14:textId="77777777" w:rsidR="00797640" w:rsidRPr="00797640" w:rsidRDefault="00797640" w:rsidP="00797640">
      <w:pPr>
        <w:spacing w:before="0" w:after="0" w:line="240" w:lineRule="auto"/>
        <w:ind w:left="1080"/>
        <w:jc w:val="left"/>
        <w:rPr>
          <w:rFonts w:eastAsia="Times New Roman" w:cs="Times New Roman"/>
          <w:color w:val="auto"/>
          <w:sz w:val="18"/>
          <w:szCs w:val="20"/>
        </w:rPr>
      </w:pPr>
    </w:p>
    <w:p w14:paraId="1BC7159A" w14:textId="77777777" w:rsidR="00797640" w:rsidRPr="00797640" w:rsidRDefault="00797640" w:rsidP="00797640">
      <w:pPr>
        <w:spacing w:before="0" w:after="0"/>
        <w:ind w:left="1260"/>
        <w:jc w:val="left"/>
        <w:rPr>
          <w:rFonts w:eastAsia="Times New Roman" w:cs="Times New Roman"/>
          <w:color w:val="auto"/>
          <w:sz w:val="18"/>
          <w:szCs w:val="20"/>
        </w:rPr>
      </w:pPr>
      <w:r w:rsidRPr="00797640">
        <w:rPr>
          <w:rFonts w:eastAsia="Times New Roman" w:cs="Times New Roman"/>
          <w:color w:val="auto"/>
          <w:sz w:val="18"/>
          <w:szCs w:val="20"/>
        </w:rPr>
        <w:t>*-SLD (sub limita de detecție); metoda se aplică pentru concentrații cuprinse între 0,002 – 0,2 mg/mc, în cazul probelor cu prelevare de 24 de ore;</w:t>
      </w:r>
    </w:p>
    <w:p w14:paraId="3F947143" w14:textId="77777777" w:rsidR="00797640" w:rsidRPr="00797640" w:rsidRDefault="00797640" w:rsidP="00797640">
      <w:pPr>
        <w:spacing w:before="0" w:after="0"/>
        <w:ind w:left="1260"/>
        <w:jc w:val="left"/>
        <w:rPr>
          <w:rFonts w:eastAsia="Times New Roman" w:cs="Times New Roman"/>
          <w:color w:val="auto"/>
          <w:sz w:val="18"/>
          <w:szCs w:val="20"/>
        </w:rPr>
      </w:pPr>
      <w:r w:rsidRPr="00797640">
        <w:rPr>
          <w:rFonts w:eastAsia="Times New Roman" w:cs="Times New Roman"/>
          <w:color w:val="auto"/>
          <w:sz w:val="18"/>
          <w:szCs w:val="20"/>
        </w:rPr>
        <w:t>**-rezultat parțial (după 48 de ore de condiționare a filtrului)</w:t>
      </w:r>
    </w:p>
    <w:p w14:paraId="3CC9F9A5" w14:textId="77777777" w:rsidR="00797640" w:rsidRPr="00797640" w:rsidRDefault="00797640" w:rsidP="00797640">
      <w:pPr>
        <w:spacing w:before="0" w:after="0"/>
        <w:ind w:left="1260"/>
        <w:jc w:val="left"/>
        <w:rPr>
          <w:rFonts w:eastAsia="Times New Roman" w:cs="Times New Roman"/>
          <w:color w:val="auto"/>
          <w:sz w:val="18"/>
          <w:szCs w:val="20"/>
        </w:rPr>
      </w:pPr>
      <w:r w:rsidRPr="00797640">
        <w:rPr>
          <w:rFonts w:eastAsia="Times New Roman" w:cs="Times New Roman"/>
          <w:color w:val="auto"/>
          <w:sz w:val="18"/>
          <w:szCs w:val="20"/>
        </w:rPr>
        <w:t>***- rezultat parțial (după 24 de ore de condiționare a filtrului);</w:t>
      </w:r>
    </w:p>
    <w:p w14:paraId="2B7B14C5" w14:textId="77777777" w:rsidR="00797640" w:rsidRPr="00797640" w:rsidRDefault="00797640" w:rsidP="00797640">
      <w:pPr>
        <w:spacing w:before="0" w:after="0"/>
        <w:ind w:left="1260" w:right="13"/>
        <w:outlineLvl w:val="5"/>
        <w:rPr>
          <w:rFonts w:eastAsia="MS Mincho" w:cs="Times New Roman"/>
          <w:color w:val="auto"/>
          <w:lang w:val="it-IT"/>
        </w:rPr>
      </w:pPr>
      <w:r w:rsidRPr="00797640">
        <w:rPr>
          <w:rFonts w:eastAsia="Times New Roman" w:cs="Times New Roman"/>
          <w:color w:val="auto"/>
          <w:sz w:val="18"/>
          <w:szCs w:val="20"/>
        </w:rPr>
        <w:t>****- rezultat parțial, (fără condiționarea filtrului după încheierea prelevării).</w:t>
      </w:r>
    </w:p>
    <w:p w14:paraId="2BD89DA3" w14:textId="77777777" w:rsidR="00797640" w:rsidRPr="00797640" w:rsidRDefault="00797640" w:rsidP="00797640">
      <w:pPr>
        <w:spacing w:before="0" w:after="0"/>
        <w:ind w:left="1080" w:right="13"/>
        <w:outlineLvl w:val="5"/>
        <w:rPr>
          <w:rFonts w:eastAsia="MS Mincho" w:cs="Times New Roman"/>
          <w:color w:val="auto"/>
          <w:sz w:val="16"/>
          <w:szCs w:val="16"/>
          <w:lang w:val="it-IT"/>
        </w:rPr>
      </w:pPr>
    </w:p>
    <w:p w14:paraId="3024486A" w14:textId="77777777" w:rsidR="00797640" w:rsidRPr="00797640" w:rsidRDefault="00797640" w:rsidP="00797640">
      <w:pPr>
        <w:spacing w:before="0" w:after="0"/>
        <w:ind w:left="1080" w:right="13"/>
        <w:outlineLvl w:val="5"/>
        <w:rPr>
          <w:rFonts w:eastAsia="MS Mincho" w:cs="Times New Roman"/>
          <w:color w:val="auto"/>
          <w:lang w:val="it-IT"/>
        </w:rPr>
      </w:pPr>
      <w:r w:rsidRPr="00797640">
        <w:rPr>
          <w:rFonts w:eastAsia="MS Mincho" w:cs="Times New Roman"/>
          <w:color w:val="auto"/>
          <w:lang w:val="it-IT"/>
        </w:rPr>
        <w:lastRenderedPageBreak/>
        <w:t>Titularul de activitate face demersuri pentru identificarea unei soluții pentru stoparea ”erupției”. În acest sens colaborează cu autorități locale (ISU DB, GNM - Comisariat DB, SGA DB, IPJ DB) și societăți comerciale specializate pentru închiderea forajului.</w:t>
      </w:r>
    </w:p>
    <w:p w14:paraId="7AFAC7F2" w14:textId="77777777" w:rsidR="00797640" w:rsidRPr="00797640" w:rsidRDefault="00797640" w:rsidP="00797640">
      <w:pPr>
        <w:spacing w:before="0" w:after="0"/>
        <w:ind w:left="1080" w:right="13"/>
        <w:outlineLvl w:val="5"/>
        <w:rPr>
          <w:rFonts w:eastAsia="MS Mincho" w:cs="Times New Roman"/>
          <w:color w:val="auto"/>
          <w:lang w:val="it-IT"/>
        </w:rPr>
      </w:pPr>
      <w:r w:rsidRPr="00797640">
        <w:rPr>
          <w:rFonts w:eastAsia="MS Mincho" w:cs="Times New Roman"/>
          <w:color w:val="auto"/>
          <w:lang w:val="it-IT"/>
        </w:rPr>
        <w:t>Conform planului de măsuri transmis de Soceram SA către APM Dâmbovița, în data de 18.11.2024, prin adresa 6805 / 17.11.2024, măsurile derulate și planificate au în vedere:</w:t>
      </w:r>
    </w:p>
    <w:p w14:paraId="01D58D06" w14:textId="77777777" w:rsidR="00797640" w:rsidRPr="00797640" w:rsidRDefault="00797640" w:rsidP="00797640">
      <w:pPr>
        <w:spacing w:before="0" w:after="0"/>
        <w:ind w:left="1080" w:right="13"/>
        <w:outlineLvl w:val="5"/>
        <w:rPr>
          <w:rFonts w:eastAsia="MS Mincho" w:cs="Times New Roman"/>
          <w:color w:val="auto"/>
          <w:lang w:val="it-IT"/>
        </w:rPr>
      </w:pPr>
      <w:r w:rsidRPr="00797640">
        <w:rPr>
          <w:rFonts w:eastAsia="MS Mincho" w:cs="Times New Roman"/>
          <w:color w:val="auto"/>
          <w:lang w:val="it-IT"/>
        </w:rPr>
        <w:t>- asigurarea unor piese și componente necesare pentru adaptarea la caracteristicile forajului existent;</w:t>
      </w:r>
    </w:p>
    <w:p w14:paraId="788FC743" w14:textId="77777777" w:rsidR="00797640" w:rsidRPr="00797640" w:rsidRDefault="00797640" w:rsidP="00797640">
      <w:pPr>
        <w:spacing w:before="0" w:after="0"/>
        <w:ind w:left="1080" w:right="13"/>
        <w:outlineLvl w:val="5"/>
        <w:rPr>
          <w:rFonts w:eastAsia="MS Mincho" w:cs="Times New Roman"/>
          <w:color w:val="auto"/>
          <w:lang w:val="it-IT"/>
        </w:rPr>
      </w:pPr>
      <w:r w:rsidRPr="00797640">
        <w:rPr>
          <w:rFonts w:eastAsia="MS Mincho" w:cs="Times New Roman"/>
          <w:color w:val="auto"/>
          <w:lang w:val="it-IT"/>
        </w:rPr>
        <w:t>- asigurare transport fluide de foraj;</w:t>
      </w:r>
    </w:p>
    <w:p w14:paraId="3EDC5C5D" w14:textId="77777777" w:rsidR="00797640" w:rsidRPr="00797640" w:rsidRDefault="00797640" w:rsidP="00797640">
      <w:pPr>
        <w:spacing w:before="0" w:after="0"/>
        <w:ind w:left="1080" w:right="13"/>
        <w:outlineLvl w:val="5"/>
        <w:rPr>
          <w:rFonts w:eastAsia="MS Mincho" w:cs="Times New Roman"/>
          <w:color w:val="auto"/>
          <w:lang w:val="it-IT"/>
        </w:rPr>
      </w:pPr>
      <w:r w:rsidRPr="00797640">
        <w:rPr>
          <w:rFonts w:eastAsia="MS Mincho" w:cs="Times New Roman"/>
          <w:color w:val="auto"/>
          <w:lang w:val="it-IT"/>
        </w:rPr>
        <w:t>- asigurare ”unitate hidraulică de închidere prevenitor și asistență tehnică pentru combaterea manifestării eruptive a forajului”;</w:t>
      </w:r>
    </w:p>
    <w:p w14:paraId="26D0327B" w14:textId="77777777" w:rsidR="00797640" w:rsidRPr="00797640" w:rsidRDefault="00797640" w:rsidP="00797640">
      <w:pPr>
        <w:spacing w:before="0" w:after="0"/>
        <w:ind w:left="1080" w:right="13"/>
        <w:outlineLvl w:val="5"/>
        <w:rPr>
          <w:rFonts w:eastAsia="MS Mincho" w:cs="Times New Roman"/>
          <w:color w:val="auto"/>
          <w:lang w:val="it-IT"/>
        </w:rPr>
      </w:pPr>
      <w:r w:rsidRPr="00797640">
        <w:rPr>
          <w:rFonts w:eastAsia="MS Mincho" w:cs="Times New Roman"/>
          <w:color w:val="auto"/>
          <w:lang w:val="it-IT"/>
        </w:rPr>
        <w:t>- asigurare fluid de foraj ecologic (bentonită / barită);</w:t>
      </w:r>
    </w:p>
    <w:p w14:paraId="1C2D523B" w14:textId="77777777" w:rsidR="00797640" w:rsidRPr="00797640" w:rsidRDefault="00797640" w:rsidP="00797640">
      <w:pPr>
        <w:spacing w:before="0" w:after="0"/>
        <w:ind w:left="1080" w:right="13"/>
        <w:outlineLvl w:val="5"/>
        <w:rPr>
          <w:rFonts w:eastAsia="MS Mincho" w:cs="Times New Roman"/>
          <w:color w:val="auto"/>
          <w:lang w:val="it-IT"/>
        </w:rPr>
      </w:pPr>
      <w:r w:rsidRPr="00797640">
        <w:rPr>
          <w:rFonts w:eastAsia="MS Mincho" w:cs="Times New Roman"/>
          <w:color w:val="auto"/>
          <w:lang w:val="it-IT"/>
        </w:rPr>
        <w:t>- asigurare ”agregat de circulație, pompare și cimentare”;</w:t>
      </w:r>
    </w:p>
    <w:p w14:paraId="11B86818" w14:textId="77777777" w:rsidR="00797640" w:rsidRPr="00797640" w:rsidRDefault="00797640" w:rsidP="00797640">
      <w:pPr>
        <w:spacing w:before="0" w:after="0"/>
        <w:ind w:left="1080" w:right="13"/>
        <w:outlineLvl w:val="5"/>
        <w:rPr>
          <w:rFonts w:eastAsia="MS Mincho" w:cs="Times New Roman"/>
          <w:color w:val="auto"/>
          <w:lang w:val="it-IT"/>
        </w:rPr>
      </w:pPr>
      <w:r w:rsidRPr="00797640">
        <w:rPr>
          <w:rFonts w:eastAsia="MS Mincho" w:cs="Times New Roman"/>
          <w:color w:val="auto"/>
          <w:lang w:val="it-IT"/>
        </w:rPr>
        <w:t>- asigurare utilaje necesare (macara).</w:t>
      </w:r>
    </w:p>
    <w:p w14:paraId="6A7E1F35" w14:textId="77777777" w:rsidR="00797640" w:rsidRPr="00797640" w:rsidRDefault="00797640" w:rsidP="00797640">
      <w:pPr>
        <w:spacing w:before="0" w:after="0"/>
        <w:ind w:left="1080" w:right="13"/>
        <w:outlineLvl w:val="5"/>
        <w:rPr>
          <w:rFonts w:eastAsia="MS Mincho" w:cs="Times New Roman"/>
          <w:color w:val="auto"/>
          <w:lang w:val="it-IT"/>
        </w:rPr>
      </w:pPr>
      <w:r w:rsidRPr="00797640">
        <w:rPr>
          <w:rFonts w:eastAsia="MS Mincho" w:cs="Times New Roman"/>
          <w:color w:val="auto"/>
          <w:lang w:val="it-IT"/>
        </w:rPr>
        <w:t>Conform Soceram SA, strategia de intervenție este dependentă de evoluția debitului eruptiv. Intervenția asupra forajului are în vedere injectarea de noroi de foraj, stoparea erupției și cimentarea forajului.</w:t>
      </w:r>
    </w:p>
    <w:p w14:paraId="038020D4" w14:textId="77777777" w:rsidR="00797640" w:rsidRPr="00797640" w:rsidRDefault="00797640" w:rsidP="00797640">
      <w:pPr>
        <w:spacing w:before="0" w:after="120"/>
        <w:ind w:left="1080" w:right="13"/>
        <w:outlineLvl w:val="5"/>
        <w:rPr>
          <w:rFonts w:eastAsia="MS Mincho" w:cs="Times New Roman"/>
          <w:color w:val="auto"/>
          <w:lang w:val="it-IT"/>
        </w:rPr>
      </w:pPr>
      <w:r w:rsidRPr="00797640">
        <w:rPr>
          <w:rFonts w:eastAsia="MS Mincho" w:cs="Times New Roman"/>
          <w:color w:val="auto"/>
          <w:lang w:val="it-IT"/>
        </w:rPr>
        <w:t>După finalizarea intervenției de stopare a manifestării eruptive, se au în vedere lucrări pentru redarea terenului la starea inițială.</w:t>
      </w:r>
    </w:p>
    <w:p w14:paraId="6578200F" w14:textId="77777777" w:rsidR="00797640" w:rsidRPr="00797640" w:rsidRDefault="00797640" w:rsidP="00797640">
      <w:pPr>
        <w:spacing w:before="0" w:after="120"/>
        <w:ind w:left="1080" w:right="13"/>
        <w:outlineLvl w:val="5"/>
        <w:rPr>
          <w:rFonts w:eastAsia="MS Mincho" w:cs="Times New Roman"/>
          <w:color w:val="auto"/>
          <w:lang w:val="it-IT"/>
        </w:rPr>
      </w:pPr>
      <w:r w:rsidRPr="00797640">
        <w:rPr>
          <w:rFonts w:eastAsia="MS Mincho" w:cs="Times New Roman"/>
          <w:b/>
          <w:i/>
          <w:color w:val="auto"/>
        </w:rPr>
        <w:t>Agenţia pentru Protecţia Mediului</w:t>
      </w:r>
      <w:r w:rsidRPr="00797640">
        <w:rPr>
          <w:rFonts w:eastAsia="MS Mincho" w:cs="Times New Roman"/>
          <w:color w:val="auto"/>
          <w:lang w:val="it-IT"/>
        </w:rPr>
        <w:t xml:space="preserve"> </w:t>
      </w:r>
      <w:r w:rsidRPr="00797640">
        <w:rPr>
          <w:rFonts w:eastAsia="MS Mincho" w:cs="Times New Roman"/>
          <w:b/>
          <w:bCs/>
          <w:i/>
          <w:iCs/>
          <w:color w:val="auto"/>
          <w:lang w:val="it-IT"/>
        </w:rPr>
        <w:t>Dâmbovița</w:t>
      </w:r>
      <w:r w:rsidRPr="00797640">
        <w:rPr>
          <w:rFonts w:eastAsia="MS Mincho" w:cs="Times New Roman"/>
          <w:color w:val="auto"/>
          <w:lang w:val="it-IT"/>
        </w:rPr>
        <w:t xml:space="preserve"> informează despre producerea, în data de 19.11.2024, la ora 18:26, unui incendiu pe raza localității Ghergani, oraș Răcari, județul Dâmbovița. A ars o cantitate de circa 1200 kg de deșeuri menajere și mase plastice, pe o suprafață de aproximativ 50 mp. I.S.U. Dâmbovița a intervenit pentru stingerea incendiului. Lichidarea incendiului a fost anunțată la ora 18:54.</w:t>
      </w:r>
    </w:p>
    <w:p w14:paraId="4C72BE62" w14:textId="77777777" w:rsidR="00797640" w:rsidRPr="00797640" w:rsidRDefault="00797640" w:rsidP="00797640">
      <w:pPr>
        <w:spacing w:before="0" w:after="0"/>
        <w:ind w:left="1080" w:right="13"/>
        <w:outlineLvl w:val="5"/>
        <w:rPr>
          <w:rFonts w:eastAsia="MS Mincho" w:cs="Times New Roman"/>
          <w:color w:val="auto"/>
          <w:lang w:val="it-IT"/>
        </w:rPr>
      </w:pPr>
      <w:r w:rsidRPr="00797640">
        <w:rPr>
          <w:rFonts w:eastAsia="MS Mincho" w:cs="Times New Roman"/>
          <w:b/>
          <w:i/>
          <w:color w:val="auto"/>
        </w:rPr>
        <w:t>Agenţia pentru Protecţia Mediului</w:t>
      </w:r>
      <w:r w:rsidRPr="00797640">
        <w:rPr>
          <w:rFonts w:eastAsia="MS Mincho" w:cs="Times New Roman"/>
          <w:color w:val="auto"/>
          <w:lang w:val="it-IT"/>
        </w:rPr>
        <w:t xml:space="preserve"> </w:t>
      </w:r>
      <w:r w:rsidRPr="00797640">
        <w:rPr>
          <w:rFonts w:eastAsia="MS Mincho" w:cs="Times New Roman"/>
          <w:b/>
          <w:bCs/>
          <w:i/>
          <w:iCs/>
          <w:color w:val="auto"/>
          <w:lang w:val="it-IT"/>
        </w:rPr>
        <w:t>Dâmbovița</w:t>
      </w:r>
      <w:r w:rsidRPr="00797640">
        <w:rPr>
          <w:rFonts w:eastAsia="MS Mincho" w:cs="Times New Roman"/>
          <w:color w:val="auto"/>
          <w:lang w:val="it-IT"/>
        </w:rPr>
        <w:t xml:space="preserve"> informează despre producerea, în data de 19.11.2024, la ora 18</w:t>
      </w:r>
      <w:r w:rsidRPr="00797640">
        <w:rPr>
          <w:rFonts w:eastAsia="MS Mincho" w:cs="Times New Roman"/>
          <w:color w:val="auto"/>
          <w:lang w:val="en-US"/>
        </w:rPr>
        <w:t>:</w:t>
      </w:r>
      <w:r w:rsidRPr="00797640">
        <w:rPr>
          <w:rFonts w:eastAsia="MS Mincho" w:cs="Times New Roman"/>
          <w:color w:val="auto"/>
          <w:lang w:val="it-IT"/>
        </w:rPr>
        <w:t>50, unui incendiu în localitatea Bălteni, județul Dâmbovița, în care a ars o cantitate de 300 kg de gunoi menajer. La ora 19:05 incendiul a fost lichidat.</w:t>
      </w:r>
    </w:p>
    <w:bookmarkEnd w:id="3"/>
    <w:p w14:paraId="68FE94C2" w14:textId="77777777" w:rsidR="00797640" w:rsidRPr="00797640" w:rsidRDefault="00797640" w:rsidP="00797640">
      <w:pPr>
        <w:spacing w:before="0" w:after="0"/>
        <w:ind w:left="1080" w:right="13"/>
        <w:outlineLvl w:val="5"/>
        <w:rPr>
          <w:rFonts w:eastAsia="MS Mincho" w:cs="Times New Roman"/>
          <w:color w:val="auto"/>
        </w:rPr>
      </w:pPr>
    </w:p>
    <w:p w14:paraId="099DCA8B" w14:textId="77777777" w:rsidR="00797640" w:rsidRPr="00797640" w:rsidRDefault="00797640" w:rsidP="00797640">
      <w:pPr>
        <w:numPr>
          <w:ilvl w:val="0"/>
          <w:numId w:val="2"/>
        </w:numPr>
        <w:tabs>
          <w:tab w:val="num" w:pos="709"/>
        </w:tabs>
        <w:spacing w:before="0" w:after="0"/>
        <w:ind w:left="1080" w:right="13" w:firstLine="0"/>
        <w:rPr>
          <w:rFonts w:eastAsia="MS Mincho" w:cs="Times New Roman"/>
          <w:b/>
          <w:color w:val="auto"/>
        </w:rPr>
      </w:pPr>
      <w:r w:rsidRPr="00797640">
        <w:rPr>
          <w:rFonts w:eastAsia="MS Mincho" w:cs="Times New Roman"/>
          <w:b/>
          <w:color w:val="auto"/>
        </w:rPr>
        <w:t>În domeniul solului şi vegetaţiei</w:t>
      </w:r>
    </w:p>
    <w:p w14:paraId="056FF7D6" w14:textId="77777777" w:rsidR="00797640" w:rsidRPr="00797640" w:rsidRDefault="00797640" w:rsidP="00797640">
      <w:pPr>
        <w:spacing w:before="0" w:after="0"/>
        <w:ind w:left="1080"/>
        <w:rPr>
          <w:rFonts w:eastAsia="MS Mincho" w:cs="Times New Roman"/>
          <w:bCs/>
          <w:color w:val="auto"/>
        </w:rPr>
      </w:pPr>
      <w:r w:rsidRPr="00797640">
        <w:rPr>
          <w:rFonts w:eastAsia="MS Mincho" w:cs="Times New Roman"/>
          <w:color w:val="auto"/>
        </w:rPr>
        <w:t>Nu au fost semnalate evenimente deosebite</w:t>
      </w:r>
      <w:r w:rsidRPr="00797640">
        <w:rPr>
          <w:rFonts w:eastAsia="MS Mincho" w:cs="Times New Roman"/>
          <w:bCs/>
          <w:color w:val="auto"/>
        </w:rPr>
        <w:t>.</w:t>
      </w:r>
    </w:p>
    <w:p w14:paraId="33838F34" w14:textId="77777777" w:rsidR="00797640" w:rsidRPr="00797640" w:rsidRDefault="00797640" w:rsidP="00797640">
      <w:pPr>
        <w:spacing w:before="0" w:after="0"/>
        <w:ind w:left="1080"/>
        <w:rPr>
          <w:rFonts w:eastAsia="MS Mincho" w:cs="Times New Roman"/>
          <w:bCs/>
          <w:iCs/>
          <w:color w:val="auto"/>
        </w:rPr>
      </w:pPr>
    </w:p>
    <w:p w14:paraId="59199C26" w14:textId="77777777" w:rsidR="00797640" w:rsidRPr="00797640" w:rsidRDefault="00797640" w:rsidP="00797640">
      <w:pPr>
        <w:numPr>
          <w:ilvl w:val="0"/>
          <w:numId w:val="2"/>
        </w:numPr>
        <w:tabs>
          <w:tab w:val="num" w:pos="709"/>
        </w:tabs>
        <w:spacing w:before="0" w:after="0"/>
        <w:ind w:left="1080" w:right="13" w:firstLine="0"/>
        <w:rPr>
          <w:rFonts w:eastAsia="MS Mincho" w:cs="Times New Roman"/>
          <w:b/>
          <w:noProof/>
          <w:color w:val="auto"/>
        </w:rPr>
      </w:pPr>
      <w:r w:rsidRPr="00797640">
        <w:rPr>
          <w:rFonts w:eastAsia="MS Mincho" w:cs="Times New Roman"/>
          <w:b/>
          <w:color w:val="auto"/>
        </w:rPr>
        <w:t>Î</w:t>
      </w:r>
      <w:r w:rsidRPr="00797640">
        <w:rPr>
          <w:rFonts w:eastAsia="MS Mincho" w:cs="Times New Roman"/>
          <w:b/>
          <w:noProof/>
          <w:color w:val="auto"/>
        </w:rPr>
        <w:t>n domeniul supravegherii radioactivităţii mediului</w:t>
      </w:r>
    </w:p>
    <w:p w14:paraId="46884AFA" w14:textId="77777777" w:rsidR="00797640" w:rsidRDefault="00797640" w:rsidP="00797640">
      <w:pPr>
        <w:spacing w:before="0" w:after="0"/>
        <w:ind w:left="1080" w:right="13"/>
        <w:outlineLvl w:val="5"/>
        <w:rPr>
          <w:rFonts w:eastAsia="MS Mincho" w:cs="Times New Roman"/>
          <w:color w:val="auto"/>
        </w:rPr>
      </w:pPr>
      <w:r w:rsidRPr="00797640">
        <w:rPr>
          <w:rFonts w:eastAsia="MS Mincho" w:cs="Times New Roman"/>
          <w:b/>
          <w:i/>
          <w:color w:val="auto"/>
        </w:rPr>
        <w:t>Agenţia Naţională pentru Protecţia Mediului</w:t>
      </w:r>
      <w:r w:rsidRPr="00797640">
        <w:rPr>
          <w:rFonts w:eastAsia="MS Mincho" w:cs="Times New Roman"/>
          <w:color w:val="auto"/>
        </w:rPr>
        <w:t xml:space="preserve"> informează că pentru factorii de mediu urmăriţi nu s-au înregistrat depăşiri ale limitelor de avertizare/alarmare, conform OM 1978/2010, în intervalul 18.11.2024-19.11.2024 şi nu s-au semnalat evenimente deosebite. Parametrii constataţi la staţiile de pe teritoriul României s-au situat în limitele normale de variație ale fondului natural.</w:t>
      </w:r>
    </w:p>
    <w:p w14:paraId="0C21D905" w14:textId="77777777" w:rsidR="00797640" w:rsidRDefault="00797640" w:rsidP="00797640">
      <w:pPr>
        <w:spacing w:before="0" w:after="0"/>
        <w:ind w:left="1080" w:right="13"/>
        <w:outlineLvl w:val="5"/>
        <w:rPr>
          <w:rFonts w:eastAsia="MS Mincho" w:cs="Times New Roman"/>
          <w:color w:val="auto"/>
        </w:rPr>
      </w:pPr>
    </w:p>
    <w:p w14:paraId="581A5F53" w14:textId="77777777" w:rsidR="00797640" w:rsidRDefault="00797640" w:rsidP="00797640">
      <w:pPr>
        <w:spacing w:before="0" w:after="0"/>
        <w:ind w:left="1080" w:right="13"/>
        <w:outlineLvl w:val="5"/>
        <w:rPr>
          <w:rFonts w:eastAsia="MS Mincho" w:cs="Times New Roman"/>
          <w:color w:val="auto"/>
        </w:rPr>
      </w:pPr>
    </w:p>
    <w:p w14:paraId="39E4DFE3" w14:textId="77777777" w:rsidR="00797640" w:rsidRDefault="00797640" w:rsidP="00797640">
      <w:pPr>
        <w:spacing w:before="0" w:after="0"/>
        <w:ind w:left="1080" w:right="13"/>
        <w:outlineLvl w:val="5"/>
        <w:rPr>
          <w:rFonts w:eastAsia="MS Mincho" w:cs="Times New Roman"/>
          <w:color w:val="auto"/>
        </w:rPr>
      </w:pPr>
    </w:p>
    <w:p w14:paraId="3C1BF985" w14:textId="77777777" w:rsidR="00797640" w:rsidRPr="00797640" w:rsidRDefault="00797640" w:rsidP="00797640">
      <w:pPr>
        <w:spacing w:before="0" w:after="0"/>
        <w:ind w:left="1080" w:right="13"/>
        <w:outlineLvl w:val="5"/>
        <w:rPr>
          <w:rFonts w:eastAsia="MS Mincho" w:cs="Times New Roman"/>
          <w:color w:val="auto"/>
        </w:rPr>
      </w:pPr>
    </w:p>
    <w:p w14:paraId="75B1253F" w14:textId="77777777" w:rsidR="00797640" w:rsidRPr="00797640" w:rsidRDefault="00797640" w:rsidP="00797640">
      <w:pPr>
        <w:widowControl w:val="0"/>
        <w:tabs>
          <w:tab w:val="left" w:pos="270"/>
        </w:tabs>
        <w:autoSpaceDE w:val="0"/>
        <w:autoSpaceDN w:val="0"/>
        <w:adjustRightInd w:val="0"/>
        <w:spacing w:before="0" w:after="0"/>
        <w:ind w:left="1080" w:right="13"/>
        <w:rPr>
          <w:rFonts w:eastAsia="MS Mincho" w:cs="Times New Roman"/>
          <w:color w:val="auto"/>
        </w:rPr>
      </w:pPr>
    </w:p>
    <w:p w14:paraId="27EEC638" w14:textId="77777777" w:rsidR="00797640" w:rsidRPr="00797640" w:rsidRDefault="00797640" w:rsidP="00797640">
      <w:pPr>
        <w:numPr>
          <w:ilvl w:val="0"/>
          <w:numId w:val="2"/>
        </w:numPr>
        <w:tabs>
          <w:tab w:val="num" w:pos="709"/>
        </w:tabs>
        <w:spacing w:before="0" w:after="0"/>
        <w:ind w:left="1080" w:right="13" w:firstLine="0"/>
        <w:rPr>
          <w:rFonts w:eastAsia="MS Mincho" w:cs="Times New Roman"/>
          <w:b/>
          <w:noProof/>
          <w:color w:val="auto"/>
        </w:rPr>
      </w:pPr>
      <w:r w:rsidRPr="00797640">
        <w:rPr>
          <w:rFonts w:eastAsia="MS Mincho" w:cs="Times New Roman"/>
          <w:b/>
          <w:color w:val="auto"/>
        </w:rPr>
        <w:lastRenderedPageBreak/>
        <w:t>Î</w:t>
      </w:r>
      <w:r w:rsidRPr="00797640">
        <w:rPr>
          <w:rFonts w:eastAsia="MS Mincho" w:cs="Times New Roman"/>
          <w:b/>
          <w:noProof/>
          <w:color w:val="auto"/>
        </w:rPr>
        <w:t>n municipiul Bucureşti</w:t>
      </w:r>
    </w:p>
    <w:p w14:paraId="0E370E37" w14:textId="77777777" w:rsidR="00797640" w:rsidRPr="00797640" w:rsidRDefault="00797640" w:rsidP="00797640">
      <w:pPr>
        <w:spacing w:before="0" w:after="0"/>
        <w:ind w:left="1080" w:right="13"/>
        <w:outlineLvl w:val="5"/>
        <w:rPr>
          <w:rFonts w:eastAsia="MS Mincho" w:cs="Times New Roman"/>
          <w:color w:val="auto"/>
        </w:rPr>
      </w:pPr>
      <w:r w:rsidRPr="00797640">
        <w:rPr>
          <w:rFonts w:eastAsia="MS Mincho" w:cs="Times New Roman"/>
          <w:color w:val="auto"/>
        </w:rPr>
        <w:t>Nu au fost semnalate evenimente deosebite.</w:t>
      </w:r>
    </w:p>
    <w:p w14:paraId="71290C79" w14:textId="77777777" w:rsidR="00797640" w:rsidRPr="00797640" w:rsidRDefault="00797640" w:rsidP="00797640">
      <w:pPr>
        <w:spacing w:before="0" w:after="0"/>
        <w:ind w:left="1080" w:right="13"/>
        <w:outlineLvl w:val="5"/>
        <w:rPr>
          <w:rFonts w:eastAsia="MS Mincho" w:cs="Times New Roman"/>
          <w:bCs/>
          <w:color w:val="auto"/>
        </w:rPr>
      </w:pPr>
    </w:p>
    <w:p w14:paraId="4ED07C83" w14:textId="77777777" w:rsidR="00797640" w:rsidRPr="00797640" w:rsidRDefault="00797640" w:rsidP="00797640">
      <w:pPr>
        <w:spacing w:before="0" w:after="0"/>
        <w:ind w:left="1080" w:right="13"/>
        <w:outlineLvl w:val="5"/>
        <w:rPr>
          <w:rFonts w:eastAsia="MS Mincho" w:cs="Times New Roman"/>
          <w:bCs/>
          <w:color w:val="auto"/>
        </w:rPr>
      </w:pPr>
    </w:p>
    <w:p w14:paraId="5261EF75" w14:textId="1B7AC9A9" w:rsidR="00FA65AC" w:rsidRPr="00AD1AB4" w:rsidRDefault="00BC3743" w:rsidP="00797640">
      <w:pPr>
        <w:ind w:left="360"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041B8" w14:textId="77777777" w:rsidR="00DB1894" w:rsidRDefault="00DB1894" w:rsidP="00F721A4">
      <w:pPr>
        <w:spacing w:after="0" w:line="240" w:lineRule="auto"/>
      </w:pPr>
      <w:r>
        <w:separator/>
      </w:r>
    </w:p>
  </w:endnote>
  <w:endnote w:type="continuationSeparator" w:id="0">
    <w:p w14:paraId="27C4A140" w14:textId="77777777" w:rsidR="00DB1894" w:rsidRDefault="00DB1894"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32785" w14:textId="77777777" w:rsidR="00DB1894" w:rsidRDefault="00DB1894" w:rsidP="00F721A4">
      <w:pPr>
        <w:spacing w:after="0" w:line="240" w:lineRule="auto"/>
      </w:pPr>
      <w:r>
        <w:separator/>
      </w:r>
    </w:p>
  </w:footnote>
  <w:footnote w:type="continuationSeparator" w:id="0">
    <w:p w14:paraId="3AC364CD" w14:textId="77777777" w:rsidR="00DB1894" w:rsidRDefault="00DB1894"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3"/>
  </w:num>
  <w:num w:numId="2" w16cid:durableId="1462578195">
    <w:abstractNumId w:val="10"/>
  </w:num>
  <w:num w:numId="3" w16cid:durableId="1009260877">
    <w:abstractNumId w:val="6"/>
  </w:num>
  <w:num w:numId="4" w16cid:durableId="598564097">
    <w:abstractNumId w:val="7"/>
  </w:num>
  <w:num w:numId="5" w16cid:durableId="1467163827">
    <w:abstractNumId w:val="1"/>
  </w:num>
  <w:num w:numId="6" w16cid:durableId="734545976">
    <w:abstractNumId w:val="4"/>
  </w:num>
  <w:num w:numId="7" w16cid:durableId="1338191393">
    <w:abstractNumId w:val="5"/>
  </w:num>
  <w:num w:numId="8" w16cid:durableId="1482843481">
    <w:abstractNumId w:val="9"/>
  </w:num>
  <w:num w:numId="9" w16cid:durableId="1357729762">
    <w:abstractNumId w:val="8"/>
  </w:num>
  <w:num w:numId="10" w16cid:durableId="290215077">
    <w:abstractNumId w:val="2"/>
  </w:num>
  <w:num w:numId="11" w16cid:durableId="6871717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5146"/>
    <w:rsid w:val="00056956"/>
    <w:rsid w:val="00056D7C"/>
    <w:rsid w:val="00062BBF"/>
    <w:rsid w:val="00063113"/>
    <w:rsid w:val="0006578C"/>
    <w:rsid w:val="00066753"/>
    <w:rsid w:val="00066BD6"/>
    <w:rsid w:val="00066D14"/>
    <w:rsid w:val="0008125C"/>
    <w:rsid w:val="00081B62"/>
    <w:rsid w:val="00081C4F"/>
    <w:rsid w:val="00084AD6"/>
    <w:rsid w:val="00085AAA"/>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4406"/>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F"/>
    <w:rsid w:val="00106846"/>
    <w:rsid w:val="0011274E"/>
    <w:rsid w:val="0011327A"/>
    <w:rsid w:val="001146F0"/>
    <w:rsid w:val="00115973"/>
    <w:rsid w:val="00117EEE"/>
    <w:rsid w:val="00120484"/>
    <w:rsid w:val="00124864"/>
    <w:rsid w:val="00125E51"/>
    <w:rsid w:val="00131B6F"/>
    <w:rsid w:val="001365DA"/>
    <w:rsid w:val="00136622"/>
    <w:rsid w:val="001439C7"/>
    <w:rsid w:val="00143FE4"/>
    <w:rsid w:val="00150617"/>
    <w:rsid w:val="00154174"/>
    <w:rsid w:val="00154D76"/>
    <w:rsid w:val="00155E14"/>
    <w:rsid w:val="00160649"/>
    <w:rsid w:val="00160F2F"/>
    <w:rsid w:val="001617FD"/>
    <w:rsid w:val="0016606E"/>
    <w:rsid w:val="00166533"/>
    <w:rsid w:val="0016735A"/>
    <w:rsid w:val="00167435"/>
    <w:rsid w:val="001720CF"/>
    <w:rsid w:val="00174AF7"/>
    <w:rsid w:val="00177862"/>
    <w:rsid w:val="001813A6"/>
    <w:rsid w:val="00181CA3"/>
    <w:rsid w:val="00182C9E"/>
    <w:rsid w:val="001852C0"/>
    <w:rsid w:val="001865FE"/>
    <w:rsid w:val="001874EE"/>
    <w:rsid w:val="00190DF5"/>
    <w:rsid w:val="0019124E"/>
    <w:rsid w:val="00197177"/>
    <w:rsid w:val="001A27D9"/>
    <w:rsid w:val="001A2F57"/>
    <w:rsid w:val="001A4176"/>
    <w:rsid w:val="001A48A1"/>
    <w:rsid w:val="001A553B"/>
    <w:rsid w:val="001A62B4"/>
    <w:rsid w:val="001A6F15"/>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2E73"/>
    <w:rsid w:val="001E3CB6"/>
    <w:rsid w:val="001E47F4"/>
    <w:rsid w:val="001E567B"/>
    <w:rsid w:val="001F1A9B"/>
    <w:rsid w:val="001F6E24"/>
    <w:rsid w:val="00202A91"/>
    <w:rsid w:val="00202E27"/>
    <w:rsid w:val="00205C3E"/>
    <w:rsid w:val="0021101F"/>
    <w:rsid w:val="00213657"/>
    <w:rsid w:val="002149F2"/>
    <w:rsid w:val="00214D0E"/>
    <w:rsid w:val="002150D0"/>
    <w:rsid w:val="002151C0"/>
    <w:rsid w:val="00216C92"/>
    <w:rsid w:val="00222015"/>
    <w:rsid w:val="00224407"/>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E44"/>
    <w:rsid w:val="00270FA0"/>
    <w:rsid w:val="00272895"/>
    <w:rsid w:val="0027395C"/>
    <w:rsid w:val="00274B78"/>
    <w:rsid w:val="00275029"/>
    <w:rsid w:val="00280DA4"/>
    <w:rsid w:val="002810A6"/>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C12"/>
    <w:rsid w:val="003130A0"/>
    <w:rsid w:val="00314340"/>
    <w:rsid w:val="003161AC"/>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6976"/>
    <w:rsid w:val="0044763B"/>
    <w:rsid w:val="00451E86"/>
    <w:rsid w:val="00453775"/>
    <w:rsid w:val="004537C8"/>
    <w:rsid w:val="00453D70"/>
    <w:rsid w:val="00454690"/>
    <w:rsid w:val="00454DB0"/>
    <w:rsid w:val="00462330"/>
    <w:rsid w:val="00462F3D"/>
    <w:rsid w:val="0046463E"/>
    <w:rsid w:val="004649A8"/>
    <w:rsid w:val="004749C0"/>
    <w:rsid w:val="00476001"/>
    <w:rsid w:val="0047731D"/>
    <w:rsid w:val="00480CF2"/>
    <w:rsid w:val="0048151C"/>
    <w:rsid w:val="004817AA"/>
    <w:rsid w:val="00482B9D"/>
    <w:rsid w:val="00482BC7"/>
    <w:rsid w:val="0048348D"/>
    <w:rsid w:val="0048510A"/>
    <w:rsid w:val="0049293F"/>
    <w:rsid w:val="00492FFF"/>
    <w:rsid w:val="004976F2"/>
    <w:rsid w:val="00497A34"/>
    <w:rsid w:val="00497B4A"/>
    <w:rsid w:val="004A15CD"/>
    <w:rsid w:val="004A2002"/>
    <w:rsid w:val="004A4250"/>
    <w:rsid w:val="004A431F"/>
    <w:rsid w:val="004B060E"/>
    <w:rsid w:val="004B0AD2"/>
    <w:rsid w:val="004B16F2"/>
    <w:rsid w:val="004B1BA5"/>
    <w:rsid w:val="004B22BA"/>
    <w:rsid w:val="004B421C"/>
    <w:rsid w:val="004B5C18"/>
    <w:rsid w:val="004B74A1"/>
    <w:rsid w:val="004B7671"/>
    <w:rsid w:val="004C26F0"/>
    <w:rsid w:val="004C2BAE"/>
    <w:rsid w:val="004C3CE7"/>
    <w:rsid w:val="004C6E32"/>
    <w:rsid w:val="004C72DA"/>
    <w:rsid w:val="004C7D90"/>
    <w:rsid w:val="004D2328"/>
    <w:rsid w:val="004D2ADB"/>
    <w:rsid w:val="004D5FFB"/>
    <w:rsid w:val="004D6D44"/>
    <w:rsid w:val="004E2C25"/>
    <w:rsid w:val="004E4901"/>
    <w:rsid w:val="004E5F4D"/>
    <w:rsid w:val="004E66BB"/>
    <w:rsid w:val="004E7415"/>
    <w:rsid w:val="004F1445"/>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363A"/>
    <w:rsid w:val="005545F4"/>
    <w:rsid w:val="00555270"/>
    <w:rsid w:val="005619D4"/>
    <w:rsid w:val="00562D6D"/>
    <w:rsid w:val="00564044"/>
    <w:rsid w:val="005642FB"/>
    <w:rsid w:val="0056576C"/>
    <w:rsid w:val="00565AB1"/>
    <w:rsid w:val="00566314"/>
    <w:rsid w:val="00567DB9"/>
    <w:rsid w:val="00567FB0"/>
    <w:rsid w:val="00571203"/>
    <w:rsid w:val="005719FB"/>
    <w:rsid w:val="0057549A"/>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2F86"/>
    <w:rsid w:val="00654E7A"/>
    <w:rsid w:val="006561B2"/>
    <w:rsid w:val="006562D8"/>
    <w:rsid w:val="00656C32"/>
    <w:rsid w:val="00656F69"/>
    <w:rsid w:val="0066027C"/>
    <w:rsid w:val="00660DA6"/>
    <w:rsid w:val="0066108B"/>
    <w:rsid w:val="00661CF6"/>
    <w:rsid w:val="00662BF7"/>
    <w:rsid w:val="006646C0"/>
    <w:rsid w:val="00664A48"/>
    <w:rsid w:val="006656E5"/>
    <w:rsid w:val="006659BA"/>
    <w:rsid w:val="00670C25"/>
    <w:rsid w:val="00671A20"/>
    <w:rsid w:val="006722E0"/>
    <w:rsid w:val="00672AD5"/>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822"/>
    <w:rsid w:val="0069684E"/>
    <w:rsid w:val="00696B6C"/>
    <w:rsid w:val="006A32E9"/>
    <w:rsid w:val="006A662E"/>
    <w:rsid w:val="006A6F0D"/>
    <w:rsid w:val="006A76F7"/>
    <w:rsid w:val="006B271E"/>
    <w:rsid w:val="006B368F"/>
    <w:rsid w:val="006B3AF6"/>
    <w:rsid w:val="006B43B3"/>
    <w:rsid w:val="006B6C1C"/>
    <w:rsid w:val="006C23CE"/>
    <w:rsid w:val="006C3253"/>
    <w:rsid w:val="006C38D7"/>
    <w:rsid w:val="006C45B1"/>
    <w:rsid w:val="006C6EB5"/>
    <w:rsid w:val="006D12B4"/>
    <w:rsid w:val="006D2A29"/>
    <w:rsid w:val="006D492B"/>
    <w:rsid w:val="006E00F8"/>
    <w:rsid w:val="006F071D"/>
    <w:rsid w:val="006F2233"/>
    <w:rsid w:val="006F26DE"/>
    <w:rsid w:val="006F306B"/>
    <w:rsid w:val="006F5C4F"/>
    <w:rsid w:val="006F672C"/>
    <w:rsid w:val="00701C85"/>
    <w:rsid w:val="00702B52"/>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70740"/>
    <w:rsid w:val="00780B83"/>
    <w:rsid w:val="00781C09"/>
    <w:rsid w:val="00781E81"/>
    <w:rsid w:val="00787340"/>
    <w:rsid w:val="00791B70"/>
    <w:rsid w:val="007925CB"/>
    <w:rsid w:val="0079301D"/>
    <w:rsid w:val="00794D4E"/>
    <w:rsid w:val="00797640"/>
    <w:rsid w:val="00797D16"/>
    <w:rsid w:val="007A07E4"/>
    <w:rsid w:val="007A218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644E"/>
    <w:rsid w:val="0089670A"/>
    <w:rsid w:val="00896CC8"/>
    <w:rsid w:val="00897063"/>
    <w:rsid w:val="008A1EAD"/>
    <w:rsid w:val="008A2B03"/>
    <w:rsid w:val="008A37E6"/>
    <w:rsid w:val="008A3CE6"/>
    <w:rsid w:val="008A40BE"/>
    <w:rsid w:val="008B00F7"/>
    <w:rsid w:val="008B06CA"/>
    <w:rsid w:val="008B0B24"/>
    <w:rsid w:val="008B0CCE"/>
    <w:rsid w:val="008B2DA7"/>
    <w:rsid w:val="008B4069"/>
    <w:rsid w:val="008B56AD"/>
    <w:rsid w:val="008C2C70"/>
    <w:rsid w:val="008C3747"/>
    <w:rsid w:val="008D0EDA"/>
    <w:rsid w:val="008D1A96"/>
    <w:rsid w:val="008D3E47"/>
    <w:rsid w:val="008D6413"/>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97A22"/>
    <w:rsid w:val="009A53B8"/>
    <w:rsid w:val="009A709F"/>
    <w:rsid w:val="009A7F97"/>
    <w:rsid w:val="009B15F5"/>
    <w:rsid w:val="009B19F6"/>
    <w:rsid w:val="009B2623"/>
    <w:rsid w:val="009B2EEE"/>
    <w:rsid w:val="009B39D5"/>
    <w:rsid w:val="009B656C"/>
    <w:rsid w:val="009B6684"/>
    <w:rsid w:val="009C5724"/>
    <w:rsid w:val="009C5E2E"/>
    <w:rsid w:val="009C7590"/>
    <w:rsid w:val="009D1113"/>
    <w:rsid w:val="009D270B"/>
    <w:rsid w:val="009D31FB"/>
    <w:rsid w:val="009D38DF"/>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EE6"/>
    <w:rsid w:val="00A24B77"/>
    <w:rsid w:val="00A24DB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6D0D"/>
    <w:rsid w:val="00AA4C5A"/>
    <w:rsid w:val="00AA621E"/>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2CC1"/>
    <w:rsid w:val="00B74B3F"/>
    <w:rsid w:val="00B81932"/>
    <w:rsid w:val="00B9102E"/>
    <w:rsid w:val="00B9543E"/>
    <w:rsid w:val="00B957CD"/>
    <w:rsid w:val="00B959A5"/>
    <w:rsid w:val="00BA19ED"/>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170E"/>
    <w:rsid w:val="00BE3A43"/>
    <w:rsid w:val="00BE6902"/>
    <w:rsid w:val="00BE6C22"/>
    <w:rsid w:val="00BF0168"/>
    <w:rsid w:val="00BF6109"/>
    <w:rsid w:val="00C018C4"/>
    <w:rsid w:val="00C024A6"/>
    <w:rsid w:val="00C039A8"/>
    <w:rsid w:val="00C04222"/>
    <w:rsid w:val="00C05439"/>
    <w:rsid w:val="00C0554A"/>
    <w:rsid w:val="00C0560F"/>
    <w:rsid w:val="00C073C4"/>
    <w:rsid w:val="00C1125C"/>
    <w:rsid w:val="00C1371E"/>
    <w:rsid w:val="00C172BE"/>
    <w:rsid w:val="00C2131A"/>
    <w:rsid w:val="00C2242A"/>
    <w:rsid w:val="00C27FEB"/>
    <w:rsid w:val="00C334AB"/>
    <w:rsid w:val="00C36510"/>
    <w:rsid w:val="00C41027"/>
    <w:rsid w:val="00C4197E"/>
    <w:rsid w:val="00C41997"/>
    <w:rsid w:val="00C429E2"/>
    <w:rsid w:val="00C438B9"/>
    <w:rsid w:val="00C50E09"/>
    <w:rsid w:val="00C5283B"/>
    <w:rsid w:val="00C53033"/>
    <w:rsid w:val="00C55D5E"/>
    <w:rsid w:val="00C5652E"/>
    <w:rsid w:val="00C57B38"/>
    <w:rsid w:val="00C61D62"/>
    <w:rsid w:val="00C64A40"/>
    <w:rsid w:val="00C65003"/>
    <w:rsid w:val="00C65CC9"/>
    <w:rsid w:val="00C65CED"/>
    <w:rsid w:val="00C70E09"/>
    <w:rsid w:val="00C70F13"/>
    <w:rsid w:val="00C7121F"/>
    <w:rsid w:val="00C74364"/>
    <w:rsid w:val="00C745E7"/>
    <w:rsid w:val="00C7502F"/>
    <w:rsid w:val="00C8035C"/>
    <w:rsid w:val="00C811C9"/>
    <w:rsid w:val="00C834F8"/>
    <w:rsid w:val="00C83BDA"/>
    <w:rsid w:val="00C870F8"/>
    <w:rsid w:val="00C8779F"/>
    <w:rsid w:val="00C877A8"/>
    <w:rsid w:val="00C87CCD"/>
    <w:rsid w:val="00C94173"/>
    <w:rsid w:val="00C9590C"/>
    <w:rsid w:val="00C95A8F"/>
    <w:rsid w:val="00C95C41"/>
    <w:rsid w:val="00C97F9E"/>
    <w:rsid w:val="00CA045F"/>
    <w:rsid w:val="00CA11BD"/>
    <w:rsid w:val="00CA2A98"/>
    <w:rsid w:val="00CA4295"/>
    <w:rsid w:val="00CB3725"/>
    <w:rsid w:val="00CB68DE"/>
    <w:rsid w:val="00CB6C8D"/>
    <w:rsid w:val="00CB6E1E"/>
    <w:rsid w:val="00CB7DCE"/>
    <w:rsid w:val="00CC01EE"/>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6A7C"/>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54BB"/>
    <w:rsid w:val="00D30218"/>
    <w:rsid w:val="00D32684"/>
    <w:rsid w:val="00D33D55"/>
    <w:rsid w:val="00D36A57"/>
    <w:rsid w:val="00D36C21"/>
    <w:rsid w:val="00D40CEA"/>
    <w:rsid w:val="00D41A62"/>
    <w:rsid w:val="00D430D1"/>
    <w:rsid w:val="00D44096"/>
    <w:rsid w:val="00D47E70"/>
    <w:rsid w:val="00D5057A"/>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C1A44"/>
    <w:rsid w:val="00DC27CA"/>
    <w:rsid w:val="00DC301D"/>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32D"/>
    <w:rsid w:val="00E3086E"/>
    <w:rsid w:val="00E31590"/>
    <w:rsid w:val="00E3159D"/>
    <w:rsid w:val="00E32BFB"/>
    <w:rsid w:val="00E33363"/>
    <w:rsid w:val="00E348D7"/>
    <w:rsid w:val="00E34AE6"/>
    <w:rsid w:val="00E35ACC"/>
    <w:rsid w:val="00E36EBD"/>
    <w:rsid w:val="00E40A3C"/>
    <w:rsid w:val="00E4296F"/>
    <w:rsid w:val="00E447AD"/>
    <w:rsid w:val="00E449ED"/>
    <w:rsid w:val="00E457F8"/>
    <w:rsid w:val="00E4637F"/>
    <w:rsid w:val="00E4686A"/>
    <w:rsid w:val="00E508A9"/>
    <w:rsid w:val="00E5164F"/>
    <w:rsid w:val="00E525E7"/>
    <w:rsid w:val="00E5410B"/>
    <w:rsid w:val="00E5578D"/>
    <w:rsid w:val="00E62A53"/>
    <w:rsid w:val="00E62A6F"/>
    <w:rsid w:val="00E65725"/>
    <w:rsid w:val="00E657AD"/>
    <w:rsid w:val="00E673EB"/>
    <w:rsid w:val="00E70412"/>
    <w:rsid w:val="00E7246D"/>
    <w:rsid w:val="00E72B1C"/>
    <w:rsid w:val="00E73607"/>
    <w:rsid w:val="00E80939"/>
    <w:rsid w:val="00E80D9A"/>
    <w:rsid w:val="00E84523"/>
    <w:rsid w:val="00E85678"/>
    <w:rsid w:val="00E8670F"/>
    <w:rsid w:val="00E92242"/>
    <w:rsid w:val="00E9232F"/>
    <w:rsid w:val="00E93D0E"/>
    <w:rsid w:val="00E960BD"/>
    <w:rsid w:val="00E9669F"/>
    <w:rsid w:val="00E97EFE"/>
    <w:rsid w:val="00EA033D"/>
    <w:rsid w:val="00EA2E8F"/>
    <w:rsid w:val="00EA30BD"/>
    <w:rsid w:val="00EA49A7"/>
    <w:rsid w:val="00EA49F8"/>
    <w:rsid w:val="00EA4EFD"/>
    <w:rsid w:val="00EA7023"/>
    <w:rsid w:val="00EB29BC"/>
    <w:rsid w:val="00EB3D08"/>
    <w:rsid w:val="00EB5DE8"/>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10B1A"/>
    <w:rsid w:val="00F1279D"/>
    <w:rsid w:val="00F13BD2"/>
    <w:rsid w:val="00F141A6"/>
    <w:rsid w:val="00F146B1"/>
    <w:rsid w:val="00F17391"/>
    <w:rsid w:val="00F226BA"/>
    <w:rsid w:val="00F2276A"/>
    <w:rsid w:val="00F23696"/>
    <w:rsid w:val="00F23B0F"/>
    <w:rsid w:val="00F2500E"/>
    <w:rsid w:val="00F253F9"/>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62AB"/>
    <w:rsid w:val="00F565AD"/>
    <w:rsid w:val="00F5783B"/>
    <w:rsid w:val="00F57858"/>
    <w:rsid w:val="00F66030"/>
    <w:rsid w:val="00F66BD9"/>
    <w:rsid w:val="00F721A4"/>
    <w:rsid w:val="00F72325"/>
    <w:rsid w:val="00F72799"/>
    <w:rsid w:val="00F73413"/>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3832"/>
    <w:rsid w:val="00FE5501"/>
    <w:rsid w:val="00FE61A5"/>
    <w:rsid w:val="00FF0077"/>
    <w:rsid w:val="00FF0FED"/>
    <w:rsid w:val="00FF13F2"/>
    <w:rsid w:val="00FF170F"/>
    <w:rsid w:val="00FF2C9F"/>
    <w:rsid w:val="00FF3A94"/>
    <w:rsid w:val="00FF460D"/>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2024-11-20T05:41:00Z</dcterms:created>
  <dcterms:modified xsi:type="dcterms:W3CDTF">2024-11-20T06:02:00Z</dcterms:modified>
</cp:coreProperties>
</file>