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0B180" w14:textId="09ACFF1A" w:rsidR="00FB53FC" w:rsidRPr="008E30EF" w:rsidRDefault="00FB53FC" w:rsidP="008E30EF">
      <w:pPr>
        <w:pStyle w:val="NoSpacing"/>
        <w:ind w:left="3141" w:firstLine="459"/>
        <w:rPr>
          <w:rFonts w:ascii="Times New Roman" w:hAnsi="Times New Roman"/>
          <w:b/>
          <w:bCs/>
          <w:sz w:val="24"/>
          <w:szCs w:val="24"/>
          <w:lang w:eastAsia="en-GB"/>
        </w:rPr>
      </w:pPr>
      <w:r w:rsidRPr="008E30EF">
        <w:rPr>
          <w:rFonts w:ascii="Times New Roman" w:hAnsi="Times New Roman"/>
          <w:b/>
          <w:bCs/>
          <w:sz w:val="24"/>
          <w:szCs w:val="24"/>
          <w:lang w:eastAsia="en-GB"/>
        </w:rPr>
        <w:t>GUVERNUL ROMÂNIEI</w:t>
      </w:r>
    </w:p>
    <w:p w14:paraId="359D925E" w14:textId="77777777" w:rsidR="00D56045" w:rsidRPr="00D56045" w:rsidRDefault="00D56045" w:rsidP="00625AF6">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p>
    <w:p w14:paraId="03D2CF04" w14:textId="4CC349A2" w:rsidR="00FB53FC" w:rsidRDefault="00FB53FC" w:rsidP="00625AF6">
      <w:pPr>
        <w:pBdr>
          <w:top w:val="nil"/>
          <w:left w:val="nil"/>
          <w:bottom w:val="nil"/>
          <w:right w:val="nil"/>
          <w:between w:val="nil"/>
        </w:pBdr>
        <w:spacing w:after="0" w:line="360" w:lineRule="auto"/>
        <w:ind w:left="0"/>
        <w:jc w:val="center"/>
        <w:rPr>
          <w:rFonts w:ascii="Times New Roman" w:eastAsia="Times New Roman" w:hAnsi="Times New Roman"/>
          <w:color w:val="000000"/>
          <w:sz w:val="24"/>
          <w:szCs w:val="24"/>
          <w:lang w:eastAsia="en-GB"/>
        </w:rPr>
      </w:pPr>
      <w:r w:rsidRPr="001E5870">
        <w:rPr>
          <w:rFonts w:ascii="Times New Roman" w:eastAsia="Times New Roman" w:hAnsi="Times New Roman"/>
          <w:noProof/>
          <w:color w:val="000000"/>
          <w:sz w:val="24"/>
          <w:szCs w:val="24"/>
          <w:lang w:eastAsia="ro-RO"/>
        </w:rPr>
        <w:drawing>
          <wp:inline distT="0" distB="0" distL="0" distR="0" wp14:anchorId="06FE6A7E" wp14:editId="6948294E">
            <wp:extent cx="6191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pic:spPr>
                </pic:pic>
              </a:graphicData>
            </a:graphic>
          </wp:inline>
        </w:drawing>
      </w:r>
    </w:p>
    <w:p w14:paraId="294E22E6" w14:textId="77777777" w:rsidR="00D56045" w:rsidRPr="00D56045" w:rsidRDefault="00D56045" w:rsidP="00625AF6">
      <w:pPr>
        <w:pBdr>
          <w:top w:val="nil"/>
          <w:left w:val="nil"/>
          <w:bottom w:val="nil"/>
          <w:right w:val="nil"/>
          <w:between w:val="nil"/>
        </w:pBdr>
        <w:spacing w:after="0" w:line="360" w:lineRule="auto"/>
        <w:ind w:left="0"/>
        <w:jc w:val="center"/>
        <w:rPr>
          <w:rFonts w:ascii="Times New Roman" w:eastAsia="Times New Roman" w:hAnsi="Times New Roman"/>
          <w:color w:val="000000"/>
          <w:sz w:val="24"/>
          <w:szCs w:val="24"/>
          <w:lang w:eastAsia="en-GB"/>
        </w:rPr>
      </w:pPr>
    </w:p>
    <w:p w14:paraId="495C8EEA" w14:textId="77777777" w:rsidR="00FB53FC" w:rsidRPr="001E5870" w:rsidRDefault="00FB53FC" w:rsidP="00625AF6">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r w:rsidRPr="001E5870">
        <w:rPr>
          <w:rFonts w:ascii="Times New Roman" w:eastAsia="Times New Roman" w:hAnsi="Times New Roman"/>
          <w:b/>
          <w:color w:val="000000"/>
          <w:sz w:val="24"/>
          <w:szCs w:val="24"/>
          <w:lang w:eastAsia="en-GB"/>
        </w:rPr>
        <w:t>ORDONANȚĂ DE URGENȚĂ</w:t>
      </w:r>
    </w:p>
    <w:p w14:paraId="7EE38544" w14:textId="09EE0DB8" w:rsidR="00FB53FC" w:rsidRPr="001E5870" w:rsidRDefault="006A4DAC" w:rsidP="006A4DAC">
      <w:pPr>
        <w:pBdr>
          <w:top w:val="nil"/>
          <w:left w:val="nil"/>
          <w:bottom w:val="nil"/>
          <w:right w:val="nil"/>
          <w:between w:val="nil"/>
        </w:pBdr>
        <w:spacing w:after="0" w:line="360" w:lineRule="auto"/>
        <w:ind w:left="0"/>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 xml:space="preserve">pentru </w:t>
      </w:r>
      <w:r w:rsidR="00A71E51">
        <w:rPr>
          <w:rFonts w:ascii="Times New Roman" w:eastAsia="Times New Roman" w:hAnsi="Times New Roman"/>
          <w:b/>
          <w:color w:val="000000"/>
          <w:sz w:val="24"/>
          <w:szCs w:val="24"/>
          <w:lang w:eastAsia="en-GB"/>
        </w:rPr>
        <w:t>modificarea și completarea</w:t>
      </w:r>
      <w:r>
        <w:rPr>
          <w:rFonts w:ascii="Times New Roman" w:eastAsia="Times New Roman" w:hAnsi="Times New Roman"/>
          <w:b/>
          <w:color w:val="000000"/>
          <w:sz w:val="24"/>
          <w:szCs w:val="24"/>
          <w:lang w:eastAsia="en-GB"/>
        </w:rPr>
        <w:t xml:space="preserve"> </w:t>
      </w:r>
      <w:r w:rsidRPr="001E5870">
        <w:rPr>
          <w:rFonts w:ascii="Times New Roman" w:hAnsi="Times New Roman"/>
          <w:b/>
          <w:bCs/>
          <w:sz w:val="24"/>
          <w:szCs w:val="24"/>
        </w:rPr>
        <w:t>Ordonanț</w:t>
      </w:r>
      <w:r w:rsidR="00A44B29">
        <w:rPr>
          <w:rFonts w:ascii="Times New Roman" w:hAnsi="Times New Roman"/>
          <w:b/>
          <w:bCs/>
          <w:sz w:val="24"/>
          <w:szCs w:val="24"/>
        </w:rPr>
        <w:t>ei</w:t>
      </w:r>
      <w:r w:rsidRPr="001E5870">
        <w:rPr>
          <w:rFonts w:ascii="Times New Roman" w:hAnsi="Times New Roman"/>
          <w:b/>
          <w:bCs/>
          <w:sz w:val="24"/>
          <w:szCs w:val="24"/>
        </w:rPr>
        <w:t xml:space="preserve"> de urgență a Guvernului nr. 196/2005 privind Fondul pentru mediu</w:t>
      </w:r>
    </w:p>
    <w:p w14:paraId="797C6EDF" w14:textId="77777777" w:rsidR="00FB53FC" w:rsidRPr="001E5870" w:rsidRDefault="00FB53FC" w:rsidP="00FB53FC">
      <w:pPr>
        <w:pBdr>
          <w:top w:val="nil"/>
          <w:left w:val="nil"/>
          <w:bottom w:val="nil"/>
          <w:right w:val="nil"/>
          <w:between w:val="nil"/>
        </w:pBdr>
        <w:spacing w:after="0" w:line="360" w:lineRule="auto"/>
        <w:ind w:left="0"/>
        <w:rPr>
          <w:rFonts w:ascii="Times New Roman" w:eastAsia="Times New Roman" w:hAnsi="Times New Roman"/>
          <w:b/>
          <w:color w:val="000000"/>
          <w:sz w:val="24"/>
          <w:szCs w:val="24"/>
          <w:lang w:eastAsia="en-GB"/>
        </w:rPr>
      </w:pPr>
    </w:p>
    <w:p w14:paraId="6D376E9D" w14:textId="48B8E3EF" w:rsidR="00FB53FC" w:rsidRPr="001E5870" w:rsidRDefault="007F1C9A" w:rsidP="001E5870">
      <w:pPr>
        <w:pStyle w:val="BodyText"/>
        <w:spacing w:after="120" w:line="360" w:lineRule="auto"/>
        <w:rPr>
          <w:rFonts w:ascii="Times New Roman" w:hAnsi="Times New Roman"/>
          <w:szCs w:val="24"/>
        </w:rPr>
      </w:pPr>
      <w:r>
        <w:rPr>
          <w:rFonts w:ascii="Times New Roman" w:hAnsi="Times New Roman"/>
          <w:szCs w:val="24"/>
        </w:rPr>
        <w:tab/>
      </w:r>
      <w:r w:rsidR="00FB53FC" w:rsidRPr="001E5870">
        <w:rPr>
          <w:rFonts w:ascii="Times New Roman" w:hAnsi="Times New Roman"/>
          <w:szCs w:val="24"/>
        </w:rPr>
        <w:t xml:space="preserve">Având în vedere </w:t>
      </w:r>
      <w:r w:rsidR="00F82A74">
        <w:rPr>
          <w:rFonts w:ascii="Times New Roman" w:hAnsi="Times New Roman"/>
          <w:szCs w:val="24"/>
        </w:rPr>
        <w:t xml:space="preserve">faptul </w:t>
      </w:r>
      <w:r w:rsidR="00FB53FC" w:rsidRPr="001E5870">
        <w:rPr>
          <w:rFonts w:ascii="Times New Roman" w:hAnsi="Times New Roman"/>
          <w:szCs w:val="24"/>
        </w:rPr>
        <w:t xml:space="preserve">că în cazul neîndeplinirii obiectivelor de returnare a ambalajelor </w:t>
      </w:r>
      <w:r w:rsidR="001B03F5">
        <w:rPr>
          <w:rFonts w:ascii="Times New Roman" w:hAnsi="Times New Roman"/>
          <w:szCs w:val="24"/>
        </w:rPr>
        <w:t>sistemului de garanție-returnare</w:t>
      </w:r>
      <w:r w:rsidR="00FB53FC" w:rsidRPr="001E5870">
        <w:rPr>
          <w:rFonts w:ascii="Times New Roman" w:hAnsi="Times New Roman"/>
          <w:szCs w:val="24"/>
        </w:rPr>
        <w:t xml:space="preserve">, producătorii, prin intermediul administratorului </w:t>
      </w:r>
      <w:r w:rsidR="001B03F5">
        <w:rPr>
          <w:rFonts w:ascii="Times New Roman" w:hAnsi="Times New Roman"/>
          <w:szCs w:val="24"/>
        </w:rPr>
        <w:t>sistemului de garanție-returnare</w:t>
      </w:r>
      <w:r w:rsidR="00FB53FC" w:rsidRPr="001E5870">
        <w:rPr>
          <w:rFonts w:ascii="Times New Roman" w:hAnsi="Times New Roman"/>
          <w:szCs w:val="24"/>
        </w:rPr>
        <w:t xml:space="preserve">, sunt obligaţi să declare şi să achite contribuţiile stabilite prin Ordonanţa de urgenţă a Guvernului nr. 196/2005 privind Fondul pentru mediu, aprobată cu modificări şi completări prin Legea nr. 105/2006, cu modificările şi completările ulterioare, </w:t>
      </w:r>
      <w:r w:rsidR="00F82A74">
        <w:rPr>
          <w:rFonts w:ascii="Times New Roman" w:hAnsi="Times New Roman"/>
          <w:szCs w:val="24"/>
        </w:rPr>
        <w:t xml:space="preserve">se </w:t>
      </w:r>
      <w:r w:rsidR="00837EBC" w:rsidRPr="006A4DAC">
        <w:rPr>
          <w:rFonts w:ascii="Times New Roman" w:hAnsi="Times New Roman"/>
          <w:color w:val="auto"/>
          <w:szCs w:val="24"/>
        </w:rPr>
        <w:t>impun</w:t>
      </w:r>
      <w:r w:rsidR="00F82A74">
        <w:rPr>
          <w:rFonts w:ascii="Times New Roman" w:hAnsi="Times New Roman"/>
          <w:color w:val="auto"/>
          <w:szCs w:val="24"/>
        </w:rPr>
        <w:t xml:space="preserve">e </w:t>
      </w:r>
      <w:r w:rsidR="00FB53FC" w:rsidRPr="001E5870">
        <w:rPr>
          <w:rFonts w:ascii="Times New Roman" w:hAnsi="Times New Roman"/>
          <w:szCs w:val="24"/>
        </w:rPr>
        <w:t>modificarea și completarea acestui act normativ</w:t>
      </w:r>
      <w:r w:rsidR="001B03F5">
        <w:rPr>
          <w:rFonts w:ascii="Times New Roman" w:hAnsi="Times New Roman"/>
          <w:szCs w:val="24"/>
        </w:rPr>
        <w:t>,</w:t>
      </w:r>
    </w:p>
    <w:p w14:paraId="0D5C41BA" w14:textId="43E712FE" w:rsidR="00FB53FC" w:rsidRDefault="007F1C9A" w:rsidP="001E5870">
      <w:pPr>
        <w:pStyle w:val="BodyText"/>
        <w:spacing w:after="120" w:line="360" w:lineRule="auto"/>
        <w:rPr>
          <w:rFonts w:ascii="Times New Roman" w:hAnsi="Times New Roman"/>
          <w:color w:val="auto"/>
          <w:szCs w:val="24"/>
        </w:rPr>
      </w:pPr>
      <w:r>
        <w:rPr>
          <w:rFonts w:ascii="Times New Roman" w:hAnsi="Times New Roman"/>
          <w:color w:val="auto"/>
          <w:szCs w:val="24"/>
        </w:rPr>
        <w:tab/>
      </w:r>
      <w:r w:rsidR="00FB53FC" w:rsidRPr="001E5870">
        <w:rPr>
          <w:rFonts w:ascii="Times New Roman" w:hAnsi="Times New Roman"/>
          <w:color w:val="auto"/>
          <w:szCs w:val="24"/>
        </w:rPr>
        <w:t xml:space="preserve">Ținând cont </w:t>
      </w:r>
      <w:r>
        <w:rPr>
          <w:rFonts w:ascii="Times New Roman" w:hAnsi="Times New Roman"/>
          <w:color w:val="auto"/>
          <w:szCs w:val="24"/>
        </w:rPr>
        <w:t xml:space="preserve">de faptul </w:t>
      </w:r>
      <w:r w:rsidR="00FB53FC" w:rsidRPr="001E5870">
        <w:rPr>
          <w:rFonts w:ascii="Times New Roman" w:hAnsi="Times New Roman"/>
          <w:color w:val="auto"/>
          <w:szCs w:val="24"/>
        </w:rPr>
        <w:t xml:space="preserve">că </w:t>
      </w:r>
      <w:r w:rsidR="006D561A">
        <w:rPr>
          <w:rFonts w:ascii="Times New Roman" w:hAnsi="Times New Roman"/>
          <w:color w:val="auto"/>
          <w:szCs w:val="24"/>
        </w:rPr>
        <w:t>Ministerul Mediului, Apelor și Pădurilor</w:t>
      </w:r>
      <w:r w:rsidR="00F82A74">
        <w:rPr>
          <w:rFonts w:ascii="Times New Roman" w:hAnsi="Times New Roman"/>
          <w:color w:val="auto"/>
          <w:szCs w:val="24"/>
        </w:rPr>
        <w:t xml:space="preserve"> emite </w:t>
      </w:r>
      <w:r w:rsidR="00FB53FC" w:rsidRPr="001E5870">
        <w:rPr>
          <w:rFonts w:ascii="Times New Roman" w:hAnsi="Times New Roman"/>
          <w:color w:val="auto"/>
          <w:szCs w:val="24"/>
        </w:rPr>
        <w:t xml:space="preserve">acte </w:t>
      </w:r>
      <w:r w:rsidR="00F82A74" w:rsidRPr="00F82A74">
        <w:rPr>
          <w:rFonts w:ascii="Times New Roman" w:hAnsi="Times New Roman"/>
          <w:color w:val="auto"/>
          <w:szCs w:val="24"/>
        </w:rPr>
        <w:t>de reglementare în domeniile sale de activitate, potrivit prevederilor legale</w:t>
      </w:r>
      <w:r w:rsidR="00F82A74">
        <w:rPr>
          <w:rFonts w:ascii="Times New Roman" w:hAnsi="Times New Roman"/>
          <w:color w:val="auto"/>
          <w:szCs w:val="24"/>
        </w:rPr>
        <w:t xml:space="preserve">, respectiv, acte </w:t>
      </w:r>
      <w:r w:rsidR="00FB53FC" w:rsidRPr="001E5870">
        <w:rPr>
          <w:rFonts w:ascii="Times New Roman" w:hAnsi="Times New Roman"/>
          <w:color w:val="auto"/>
          <w:szCs w:val="24"/>
        </w:rPr>
        <w:t>normative care creează cadrul necesar și predictibil pentru autoritățile</w:t>
      </w:r>
      <w:r w:rsidR="004B04BC">
        <w:rPr>
          <w:rFonts w:ascii="Times New Roman" w:hAnsi="Times New Roman"/>
          <w:color w:val="auto"/>
          <w:szCs w:val="24"/>
        </w:rPr>
        <w:t xml:space="preserve"> administrației publice </w:t>
      </w:r>
      <w:r w:rsidR="00FB53FC" w:rsidRPr="001E5870">
        <w:rPr>
          <w:rFonts w:ascii="Times New Roman" w:hAnsi="Times New Roman"/>
          <w:color w:val="auto"/>
          <w:szCs w:val="24"/>
        </w:rPr>
        <w:t>locale și mediul privat</w:t>
      </w:r>
      <w:r w:rsidR="00F82A74">
        <w:rPr>
          <w:rFonts w:ascii="Times New Roman" w:hAnsi="Times New Roman"/>
          <w:color w:val="auto"/>
          <w:szCs w:val="24"/>
        </w:rPr>
        <w:t>,</w:t>
      </w:r>
      <w:r w:rsidR="00FB53FC" w:rsidRPr="001E5870">
        <w:rPr>
          <w:rFonts w:ascii="Times New Roman" w:hAnsi="Times New Roman"/>
          <w:color w:val="auto"/>
          <w:szCs w:val="24"/>
        </w:rPr>
        <w:t xml:space="preserve"> în sensul stimulării performanței, concurenței echitabile, evitând astfel </w:t>
      </w:r>
      <w:r w:rsidR="00F82A74">
        <w:rPr>
          <w:rFonts w:ascii="Times New Roman" w:hAnsi="Times New Roman"/>
          <w:color w:val="auto"/>
          <w:szCs w:val="24"/>
        </w:rPr>
        <w:t>impedimentele</w:t>
      </w:r>
      <w:r w:rsidR="00F82A74" w:rsidRPr="001E5870">
        <w:rPr>
          <w:rFonts w:ascii="Times New Roman" w:hAnsi="Times New Roman"/>
          <w:color w:val="auto"/>
          <w:szCs w:val="24"/>
        </w:rPr>
        <w:t xml:space="preserve"> </w:t>
      </w:r>
      <w:r w:rsidR="00F82A74">
        <w:rPr>
          <w:rFonts w:ascii="Times New Roman" w:hAnsi="Times New Roman"/>
          <w:color w:val="auto"/>
          <w:szCs w:val="24"/>
        </w:rPr>
        <w:t>di</w:t>
      </w:r>
      <w:r w:rsidR="00FB53FC" w:rsidRPr="001E5870">
        <w:rPr>
          <w:rFonts w:ascii="Times New Roman" w:hAnsi="Times New Roman"/>
          <w:color w:val="auto"/>
          <w:szCs w:val="24"/>
        </w:rPr>
        <w:t xml:space="preserve">n calea </w:t>
      </w:r>
      <w:r w:rsidR="00F82A74">
        <w:rPr>
          <w:rFonts w:ascii="Times New Roman" w:hAnsi="Times New Roman"/>
          <w:color w:val="auto"/>
          <w:szCs w:val="24"/>
        </w:rPr>
        <w:t xml:space="preserve">unei </w:t>
      </w:r>
      <w:r w:rsidR="00FB53FC" w:rsidRPr="001E5870">
        <w:rPr>
          <w:rFonts w:ascii="Times New Roman" w:hAnsi="Times New Roman"/>
          <w:color w:val="auto"/>
          <w:szCs w:val="24"/>
        </w:rPr>
        <w:t>bune funcționări a pieței interne,</w:t>
      </w:r>
    </w:p>
    <w:p w14:paraId="410E357C" w14:textId="0FF73D23" w:rsidR="00F82A74" w:rsidRDefault="007F1C9A" w:rsidP="00DD2224">
      <w:pPr>
        <w:pStyle w:val="BodyText"/>
        <w:spacing w:line="360" w:lineRule="auto"/>
        <w:rPr>
          <w:rFonts w:ascii="Times New Roman" w:hAnsi="Times New Roman"/>
          <w:color w:val="auto"/>
          <w:szCs w:val="24"/>
        </w:rPr>
      </w:pPr>
      <w:r>
        <w:rPr>
          <w:rFonts w:ascii="Times New Roman" w:hAnsi="Times New Roman"/>
          <w:color w:val="auto"/>
          <w:szCs w:val="24"/>
        </w:rPr>
        <w:tab/>
      </w:r>
      <w:r w:rsidR="00DD2224">
        <w:rPr>
          <w:rFonts w:ascii="Times New Roman" w:hAnsi="Times New Roman"/>
          <w:color w:val="auto"/>
          <w:szCs w:val="24"/>
        </w:rPr>
        <w:t>A</w:t>
      </w:r>
      <w:r w:rsidR="00196EC1" w:rsidRPr="00196EC1">
        <w:rPr>
          <w:rFonts w:ascii="Times New Roman" w:hAnsi="Times New Roman"/>
          <w:color w:val="auto"/>
          <w:szCs w:val="24"/>
        </w:rPr>
        <w:t>vând în vedere</w:t>
      </w:r>
      <w:r w:rsidR="00DD2224">
        <w:rPr>
          <w:rFonts w:ascii="Times New Roman" w:hAnsi="Times New Roman"/>
          <w:color w:val="auto"/>
          <w:szCs w:val="24"/>
        </w:rPr>
        <w:t xml:space="preserve"> </w:t>
      </w:r>
      <w:r w:rsidR="00196EC1" w:rsidRPr="00196EC1">
        <w:rPr>
          <w:rFonts w:ascii="Times New Roman" w:hAnsi="Times New Roman"/>
          <w:color w:val="auto"/>
          <w:szCs w:val="24"/>
        </w:rPr>
        <w:t>consecințele imediate pe care plata unor eventuale</w:t>
      </w:r>
      <w:r w:rsidR="00DD2224">
        <w:rPr>
          <w:rFonts w:ascii="Times New Roman" w:hAnsi="Times New Roman"/>
          <w:color w:val="auto"/>
          <w:szCs w:val="24"/>
        </w:rPr>
        <w:t xml:space="preserve"> </w:t>
      </w:r>
      <w:r w:rsidR="00196EC1" w:rsidRPr="00196EC1">
        <w:rPr>
          <w:rFonts w:ascii="Times New Roman" w:hAnsi="Times New Roman"/>
          <w:color w:val="auto"/>
          <w:szCs w:val="24"/>
        </w:rPr>
        <w:t>contribuții pentru neîndeplinirea obiectivelor de</w:t>
      </w:r>
      <w:r w:rsidR="00DD2224">
        <w:rPr>
          <w:rFonts w:ascii="Times New Roman" w:hAnsi="Times New Roman"/>
          <w:color w:val="auto"/>
          <w:szCs w:val="24"/>
        </w:rPr>
        <w:t xml:space="preserve"> </w:t>
      </w:r>
      <w:r w:rsidR="00196EC1" w:rsidRPr="00196EC1">
        <w:rPr>
          <w:rFonts w:ascii="Times New Roman" w:hAnsi="Times New Roman"/>
          <w:color w:val="auto"/>
          <w:szCs w:val="24"/>
        </w:rPr>
        <w:t>returnare</w:t>
      </w:r>
      <w:r w:rsidR="00DD2224">
        <w:rPr>
          <w:rFonts w:ascii="Times New Roman" w:hAnsi="Times New Roman"/>
          <w:color w:val="auto"/>
          <w:szCs w:val="24"/>
        </w:rPr>
        <w:t xml:space="preserve"> aferente anului 2024</w:t>
      </w:r>
      <w:r w:rsidR="00196EC1" w:rsidRPr="00196EC1">
        <w:rPr>
          <w:rFonts w:ascii="Times New Roman" w:hAnsi="Times New Roman"/>
          <w:color w:val="auto"/>
          <w:szCs w:val="24"/>
        </w:rPr>
        <w:t xml:space="preserve"> le-ar putea avea asupra situației financiare</w:t>
      </w:r>
      <w:r w:rsidR="006D561A">
        <w:rPr>
          <w:rFonts w:ascii="Times New Roman" w:hAnsi="Times New Roman"/>
          <w:color w:val="auto"/>
          <w:szCs w:val="24"/>
        </w:rPr>
        <w:t xml:space="preserve"> a</w:t>
      </w:r>
      <w:r w:rsidR="003E140A">
        <w:rPr>
          <w:rFonts w:ascii="Times New Roman" w:hAnsi="Times New Roman"/>
          <w:color w:val="auto"/>
          <w:szCs w:val="24"/>
        </w:rPr>
        <w:t xml:space="preserve"> </w:t>
      </w:r>
      <w:r w:rsidR="00196EC1" w:rsidRPr="00196EC1">
        <w:rPr>
          <w:rFonts w:ascii="Times New Roman" w:hAnsi="Times New Roman"/>
          <w:color w:val="auto"/>
          <w:szCs w:val="24"/>
        </w:rPr>
        <w:t xml:space="preserve">administratorului </w:t>
      </w:r>
      <w:r w:rsidR="00F82A74">
        <w:rPr>
          <w:rFonts w:ascii="Times New Roman" w:hAnsi="Times New Roman"/>
          <w:color w:val="auto"/>
          <w:szCs w:val="24"/>
        </w:rPr>
        <w:t>sistemului de garanție – returnare, precum</w:t>
      </w:r>
      <w:r w:rsidR="00F82A74" w:rsidRPr="00196EC1">
        <w:rPr>
          <w:rFonts w:ascii="Times New Roman" w:hAnsi="Times New Roman"/>
          <w:color w:val="auto"/>
          <w:szCs w:val="24"/>
        </w:rPr>
        <w:t xml:space="preserve"> </w:t>
      </w:r>
      <w:r w:rsidR="00196EC1" w:rsidRPr="00196EC1">
        <w:rPr>
          <w:rFonts w:ascii="Times New Roman" w:hAnsi="Times New Roman"/>
          <w:color w:val="auto"/>
          <w:szCs w:val="24"/>
        </w:rPr>
        <w:t>și impactul</w:t>
      </w:r>
      <w:r w:rsidR="00F82A74">
        <w:rPr>
          <w:rFonts w:ascii="Times New Roman" w:hAnsi="Times New Roman"/>
          <w:color w:val="auto"/>
          <w:szCs w:val="24"/>
        </w:rPr>
        <w:t xml:space="preserve"> </w:t>
      </w:r>
      <w:r w:rsidR="00196EC1" w:rsidRPr="00196EC1">
        <w:rPr>
          <w:rFonts w:ascii="Times New Roman" w:hAnsi="Times New Roman"/>
          <w:color w:val="auto"/>
          <w:szCs w:val="24"/>
        </w:rPr>
        <w:t>acestora asupra</w:t>
      </w:r>
      <w:r w:rsidR="00DD2224">
        <w:rPr>
          <w:rFonts w:ascii="Times New Roman" w:hAnsi="Times New Roman"/>
          <w:color w:val="auto"/>
          <w:szCs w:val="24"/>
        </w:rPr>
        <w:t xml:space="preserve"> </w:t>
      </w:r>
      <w:r w:rsidR="00196EC1" w:rsidRPr="00196EC1">
        <w:rPr>
          <w:rFonts w:ascii="Times New Roman" w:hAnsi="Times New Roman"/>
          <w:color w:val="auto"/>
          <w:szCs w:val="24"/>
        </w:rPr>
        <w:t>producătorilor care finanțează crearea</w:t>
      </w:r>
      <w:r w:rsidR="00DD2224">
        <w:rPr>
          <w:rFonts w:ascii="Times New Roman" w:hAnsi="Times New Roman"/>
          <w:color w:val="auto"/>
          <w:szCs w:val="24"/>
        </w:rPr>
        <w:t xml:space="preserve"> </w:t>
      </w:r>
      <w:r w:rsidR="00196EC1" w:rsidRPr="00196EC1">
        <w:rPr>
          <w:rFonts w:ascii="Times New Roman" w:hAnsi="Times New Roman"/>
          <w:color w:val="auto"/>
          <w:szCs w:val="24"/>
        </w:rPr>
        <w:t>și funcționarea sistemului de garanție</w:t>
      </w:r>
      <w:r w:rsidR="00F82A74">
        <w:rPr>
          <w:rFonts w:ascii="Times New Roman" w:hAnsi="Times New Roman"/>
          <w:color w:val="auto"/>
          <w:szCs w:val="24"/>
        </w:rPr>
        <w:t xml:space="preserve"> -</w:t>
      </w:r>
      <w:r w:rsidR="00196EC1" w:rsidRPr="00196EC1">
        <w:rPr>
          <w:rFonts w:ascii="Times New Roman" w:hAnsi="Times New Roman"/>
          <w:color w:val="auto"/>
          <w:szCs w:val="24"/>
        </w:rPr>
        <w:t xml:space="preserve"> returnare, </w:t>
      </w:r>
    </w:p>
    <w:p w14:paraId="589BEA40" w14:textId="28A52BAD" w:rsidR="00F82A74" w:rsidRDefault="00F82A74" w:rsidP="00DD2224">
      <w:pPr>
        <w:pStyle w:val="BodyText"/>
        <w:spacing w:line="360" w:lineRule="auto"/>
        <w:rPr>
          <w:rFonts w:ascii="Times New Roman" w:hAnsi="Times New Roman"/>
          <w:color w:val="auto"/>
          <w:szCs w:val="24"/>
        </w:rPr>
      </w:pPr>
      <w:r>
        <w:rPr>
          <w:rFonts w:ascii="Times New Roman" w:hAnsi="Times New Roman"/>
          <w:color w:val="auto"/>
          <w:szCs w:val="24"/>
        </w:rPr>
        <w:t>În baza</w:t>
      </w:r>
      <w:r w:rsidR="006B4179">
        <w:rPr>
          <w:rFonts w:ascii="Times New Roman" w:hAnsi="Times New Roman"/>
          <w:color w:val="auto"/>
          <w:szCs w:val="24"/>
        </w:rPr>
        <w:t xml:space="preserve"> faptul</w:t>
      </w:r>
      <w:r>
        <w:rPr>
          <w:rFonts w:ascii="Times New Roman" w:hAnsi="Times New Roman"/>
          <w:color w:val="auto"/>
          <w:szCs w:val="24"/>
        </w:rPr>
        <w:t>ui</w:t>
      </w:r>
      <w:r w:rsidR="006B4179">
        <w:rPr>
          <w:rFonts w:ascii="Times New Roman" w:hAnsi="Times New Roman"/>
          <w:color w:val="auto"/>
          <w:szCs w:val="24"/>
        </w:rPr>
        <w:t xml:space="preserve"> că implementarea sistemului de garanție </w:t>
      </w:r>
      <w:r>
        <w:rPr>
          <w:rFonts w:ascii="Times New Roman" w:hAnsi="Times New Roman"/>
          <w:color w:val="auto"/>
          <w:szCs w:val="24"/>
        </w:rPr>
        <w:t xml:space="preserve">- </w:t>
      </w:r>
      <w:r w:rsidR="006B4179">
        <w:rPr>
          <w:rFonts w:ascii="Times New Roman" w:hAnsi="Times New Roman"/>
          <w:color w:val="auto"/>
          <w:szCs w:val="24"/>
        </w:rPr>
        <w:t xml:space="preserve">returnare </w:t>
      </w:r>
      <w:r w:rsidR="006D561A">
        <w:rPr>
          <w:rFonts w:ascii="Times New Roman" w:hAnsi="Times New Roman"/>
          <w:color w:val="auto"/>
          <w:szCs w:val="24"/>
        </w:rPr>
        <w:t xml:space="preserve">a </w:t>
      </w:r>
      <w:r>
        <w:rPr>
          <w:rFonts w:ascii="Times New Roman" w:hAnsi="Times New Roman"/>
          <w:color w:val="auto"/>
          <w:szCs w:val="24"/>
        </w:rPr>
        <w:t xml:space="preserve">constituit </w:t>
      </w:r>
      <w:r w:rsidR="006D561A">
        <w:rPr>
          <w:rFonts w:ascii="Times New Roman" w:hAnsi="Times New Roman"/>
          <w:color w:val="auto"/>
          <w:szCs w:val="24"/>
        </w:rPr>
        <w:t>pe parcursul anului 2024</w:t>
      </w:r>
      <w:r>
        <w:rPr>
          <w:rFonts w:ascii="Times New Roman" w:hAnsi="Times New Roman"/>
          <w:color w:val="auto"/>
          <w:szCs w:val="24"/>
        </w:rPr>
        <w:t>,</w:t>
      </w:r>
      <w:r w:rsidR="006D561A">
        <w:rPr>
          <w:rFonts w:ascii="Times New Roman" w:hAnsi="Times New Roman"/>
          <w:color w:val="auto"/>
          <w:szCs w:val="24"/>
        </w:rPr>
        <w:t xml:space="preserve"> </w:t>
      </w:r>
      <w:r w:rsidR="006B4179">
        <w:rPr>
          <w:rFonts w:ascii="Times New Roman" w:hAnsi="Times New Roman"/>
          <w:color w:val="auto"/>
          <w:szCs w:val="24"/>
        </w:rPr>
        <w:t xml:space="preserve">o serie de provocări și riscuri majore, inerente unui prim an tranzitoriu </w:t>
      </w:r>
      <w:r w:rsidR="006D561A">
        <w:rPr>
          <w:rFonts w:ascii="Times New Roman" w:hAnsi="Times New Roman"/>
          <w:color w:val="auto"/>
          <w:szCs w:val="24"/>
        </w:rPr>
        <w:t xml:space="preserve">și </w:t>
      </w:r>
      <w:r w:rsidR="006B4179">
        <w:rPr>
          <w:rFonts w:ascii="Times New Roman" w:hAnsi="Times New Roman"/>
          <w:color w:val="auto"/>
          <w:szCs w:val="24"/>
        </w:rPr>
        <w:t>care pot afecta progresul în continuare</w:t>
      </w:r>
      <w:r>
        <w:rPr>
          <w:rFonts w:ascii="Times New Roman" w:hAnsi="Times New Roman"/>
          <w:color w:val="auto"/>
          <w:szCs w:val="24"/>
        </w:rPr>
        <w:t>a implementării acestui sistem</w:t>
      </w:r>
      <w:r w:rsidR="006D561A">
        <w:rPr>
          <w:rFonts w:ascii="Times New Roman" w:hAnsi="Times New Roman"/>
          <w:color w:val="auto"/>
          <w:szCs w:val="24"/>
        </w:rPr>
        <w:t>,</w:t>
      </w:r>
    </w:p>
    <w:p w14:paraId="020844DB" w14:textId="03365F28" w:rsidR="006B4179" w:rsidRDefault="007F1C9A" w:rsidP="00DD2224">
      <w:pPr>
        <w:pStyle w:val="BodyText"/>
        <w:spacing w:line="360" w:lineRule="auto"/>
        <w:rPr>
          <w:rFonts w:ascii="Times New Roman" w:hAnsi="Times New Roman"/>
          <w:color w:val="auto"/>
          <w:szCs w:val="24"/>
        </w:rPr>
      </w:pPr>
      <w:r>
        <w:rPr>
          <w:rFonts w:ascii="Times New Roman" w:hAnsi="Times New Roman"/>
          <w:color w:val="auto"/>
          <w:szCs w:val="24"/>
        </w:rPr>
        <w:tab/>
      </w:r>
      <w:r w:rsidR="006B4179">
        <w:rPr>
          <w:rFonts w:ascii="Times New Roman" w:hAnsi="Times New Roman"/>
          <w:color w:val="auto"/>
          <w:szCs w:val="24"/>
        </w:rPr>
        <w:t xml:space="preserve">În contextul unei implementări anevoioase a sistemului de garanție </w:t>
      </w:r>
      <w:r w:rsidR="00405227">
        <w:rPr>
          <w:rFonts w:ascii="Times New Roman" w:hAnsi="Times New Roman"/>
          <w:color w:val="auto"/>
          <w:szCs w:val="24"/>
        </w:rPr>
        <w:t xml:space="preserve">- </w:t>
      </w:r>
      <w:r w:rsidR="006B4179">
        <w:rPr>
          <w:rFonts w:ascii="Times New Roman" w:hAnsi="Times New Roman"/>
          <w:color w:val="auto"/>
          <w:szCs w:val="24"/>
        </w:rPr>
        <w:t>returnare, al creșterii volumelor și provocărilor logistice,</w:t>
      </w:r>
    </w:p>
    <w:p w14:paraId="3D279A47" w14:textId="77777777" w:rsidR="007F1C9A" w:rsidRPr="007F1C9A" w:rsidRDefault="007F1C9A" w:rsidP="007F1C9A">
      <w:pPr>
        <w:spacing w:after="0" w:line="360" w:lineRule="auto"/>
        <w:ind w:left="0" w:firstLine="708"/>
        <w:rPr>
          <w:rFonts w:ascii="Times New Roman" w:eastAsia="Calibri" w:hAnsi="Times New Roman"/>
          <w:sz w:val="24"/>
          <w:szCs w:val="24"/>
        </w:rPr>
      </w:pPr>
      <w:r w:rsidRPr="007F1C9A">
        <w:rPr>
          <w:rFonts w:ascii="Times New Roman" w:eastAsia="Calibri" w:hAnsi="Times New Roman"/>
          <w:sz w:val="24"/>
          <w:szCs w:val="24"/>
        </w:rPr>
        <w:t xml:space="preserve">Având în vedere faptul că o prioritate majoră a Guvernului o constituie îmbunătăţirea gradului de absorbţie a fondurilor europene, </w:t>
      </w:r>
    </w:p>
    <w:p w14:paraId="3356752E" w14:textId="5AECB377" w:rsidR="007F1C9A" w:rsidRPr="007F1C9A" w:rsidRDefault="007F1C9A" w:rsidP="007F1C9A">
      <w:pPr>
        <w:spacing w:after="0" w:line="360" w:lineRule="auto"/>
        <w:ind w:left="0" w:firstLine="708"/>
        <w:rPr>
          <w:rFonts w:ascii="Times New Roman" w:eastAsia="Calibri" w:hAnsi="Times New Roman"/>
          <w:sz w:val="24"/>
          <w:szCs w:val="24"/>
        </w:rPr>
      </w:pPr>
      <w:r>
        <w:rPr>
          <w:rFonts w:ascii="Times New Roman" w:eastAsia="Calibri" w:hAnsi="Times New Roman"/>
          <w:sz w:val="24"/>
          <w:szCs w:val="24"/>
        </w:rPr>
        <w:t>În baza</w:t>
      </w:r>
      <w:r w:rsidRPr="007F1C9A">
        <w:rPr>
          <w:rFonts w:ascii="Times New Roman" w:eastAsia="Calibri" w:hAnsi="Times New Roman"/>
          <w:sz w:val="24"/>
          <w:szCs w:val="24"/>
        </w:rPr>
        <w:t xml:space="preserve"> faptul</w:t>
      </w:r>
      <w:r>
        <w:rPr>
          <w:rFonts w:ascii="Times New Roman" w:eastAsia="Calibri" w:hAnsi="Times New Roman"/>
          <w:sz w:val="24"/>
          <w:szCs w:val="24"/>
        </w:rPr>
        <w:t>ui</w:t>
      </w:r>
      <w:r w:rsidRPr="007F1C9A">
        <w:rPr>
          <w:rFonts w:ascii="Times New Roman" w:eastAsia="Calibri" w:hAnsi="Times New Roman"/>
          <w:sz w:val="24"/>
          <w:szCs w:val="24"/>
        </w:rPr>
        <w:t xml:space="preserve"> că lipsa de acţiune imediată ar putea conduce la blocaje şi întârzieri în implementarea proiectelor finanţate din fonduri europene, cu consecinţele aferente ce se răsfrâng la nivel naţional şi în relaţia cu Uniunea Europeană,</w:t>
      </w:r>
    </w:p>
    <w:p w14:paraId="16DA21F5" w14:textId="77777777" w:rsidR="007F1C9A" w:rsidRPr="007F1C9A" w:rsidRDefault="007F1C9A" w:rsidP="007F1C9A">
      <w:pPr>
        <w:spacing w:after="0" w:line="360" w:lineRule="auto"/>
        <w:ind w:left="0" w:firstLine="708"/>
        <w:rPr>
          <w:rFonts w:ascii="Times New Roman" w:eastAsia="Calibri" w:hAnsi="Times New Roman"/>
          <w:sz w:val="24"/>
          <w:szCs w:val="24"/>
        </w:rPr>
      </w:pPr>
      <w:r w:rsidRPr="007F1C9A">
        <w:rPr>
          <w:rFonts w:ascii="Times New Roman" w:eastAsia="Calibri" w:hAnsi="Times New Roman"/>
          <w:sz w:val="24"/>
          <w:szCs w:val="24"/>
        </w:rPr>
        <w:lastRenderedPageBreak/>
        <w:t>Luând în considerare faptul că prin adoptarea măsurilor propuse se creează cadrul legal care va permite accelerarea implementării acestor proiecte şi, totodată, va înlesni valorificarea, pe cât posibil, a finanţării externe nerambursabile,</w:t>
      </w:r>
    </w:p>
    <w:p w14:paraId="495568FA" w14:textId="77777777" w:rsidR="007F1C9A" w:rsidRPr="007F1C9A" w:rsidRDefault="007F1C9A" w:rsidP="007F1C9A">
      <w:pPr>
        <w:spacing w:after="0" w:line="360" w:lineRule="auto"/>
        <w:ind w:left="0" w:firstLine="708"/>
        <w:rPr>
          <w:rFonts w:ascii="Times New Roman" w:eastAsia="Calibri" w:hAnsi="Times New Roman"/>
          <w:sz w:val="24"/>
          <w:szCs w:val="24"/>
        </w:rPr>
      </w:pPr>
      <w:r w:rsidRPr="007F1C9A">
        <w:rPr>
          <w:rFonts w:ascii="Times New Roman" w:eastAsia="Calibri" w:hAnsi="Times New Roman"/>
          <w:sz w:val="24"/>
          <w:szCs w:val="24"/>
        </w:rPr>
        <w:t>Ținând cont de faptul că în lipsa unor măsuri imediate se poate compromite accesul la fondurile europene nerambursabile şi se poate afecta implementarea programelor operaţionale esenţiale pentru atingerea obiectivelor strategice,</w:t>
      </w:r>
    </w:p>
    <w:p w14:paraId="6CA928C4" w14:textId="77777777" w:rsidR="007F1C9A" w:rsidRPr="007F1C9A" w:rsidRDefault="007F1C9A" w:rsidP="007F1C9A">
      <w:pPr>
        <w:spacing w:after="0" w:line="360" w:lineRule="auto"/>
        <w:ind w:left="0" w:firstLine="708"/>
        <w:rPr>
          <w:rFonts w:ascii="Times New Roman" w:eastAsia="Calibri" w:hAnsi="Times New Roman"/>
          <w:sz w:val="24"/>
          <w:szCs w:val="24"/>
        </w:rPr>
      </w:pPr>
      <w:r w:rsidRPr="007F1C9A">
        <w:rPr>
          <w:rFonts w:ascii="Times New Roman" w:eastAsia="Calibri" w:hAnsi="Times New Roman"/>
          <w:sz w:val="24"/>
          <w:szCs w:val="24"/>
        </w:rPr>
        <w:t>Având în vedere că pentru finalizarea proiectelor derulate prin programele operaţionale aferente perioadei de programare 2014-2020 care au fost declarate nefuncţionale/nefinalizate la data de 31 decembrie 2023 şi care nu sunt etapizate prin programele aferente perioadei de programare 2021-2027 este necesară extinderea surselor din care pot fi suportate cheltuielile efectuate de beneficiari pentru implementarea şi operaţionalizarea proiectelor după data de 31 decembrie 2023, în cazul proiectelor nefuncţionale şi nefinalizate, prin includerea altor surse de finanţare legal constituite astfel încât acestea să se finalizeze şi să îşi îndeplinească indicatorii de realizare şi de rezultat asumaţi în cadrul programelor operaţionale,</w:t>
      </w:r>
    </w:p>
    <w:p w14:paraId="308DE143" w14:textId="59C97BFB" w:rsidR="007F1C9A" w:rsidRPr="007F1C9A" w:rsidRDefault="007F1C9A" w:rsidP="007F1C9A">
      <w:pPr>
        <w:spacing w:after="0" w:line="360" w:lineRule="auto"/>
        <w:ind w:left="0"/>
        <w:rPr>
          <w:rFonts w:ascii="Times New Roman" w:eastAsia="Calibri" w:hAnsi="Times New Roman"/>
          <w:sz w:val="24"/>
          <w:szCs w:val="24"/>
        </w:rPr>
      </w:pPr>
      <w:r w:rsidRPr="007F1C9A">
        <w:rPr>
          <w:rFonts w:ascii="Times New Roman" w:eastAsia="Calibri" w:hAnsi="Times New Roman"/>
          <w:sz w:val="24"/>
          <w:szCs w:val="24"/>
        </w:rPr>
        <w:t xml:space="preserve">          În considerarea faptului că</w:t>
      </w:r>
      <w:r w:rsidR="00080589">
        <w:rPr>
          <w:rFonts w:ascii="Times New Roman" w:eastAsia="Calibri" w:hAnsi="Times New Roman"/>
          <w:sz w:val="24"/>
          <w:szCs w:val="24"/>
        </w:rPr>
        <w:t xml:space="preserve"> </w:t>
      </w:r>
      <w:r w:rsidRPr="007F1C9A">
        <w:rPr>
          <w:rFonts w:ascii="Times New Roman" w:eastAsia="Calibri" w:hAnsi="Times New Roman"/>
          <w:sz w:val="24"/>
          <w:szCs w:val="24"/>
        </w:rPr>
        <w:t>pentru a se asigura că proiectele de dezvoltare a rețelelor inteligente de distribuție a gazelor naturale</w:t>
      </w:r>
      <w:r w:rsidRPr="007F1C9A" w:rsidDel="00094665">
        <w:rPr>
          <w:rFonts w:ascii="Times New Roman" w:eastAsia="Calibri" w:hAnsi="Times New Roman"/>
          <w:sz w:val="24"/>
          <w:szCs w:val="24"/>
        </w:rPr>
        <w:t xml:space="preserve"> </w:t>
      </w:r>
      <w:r w:rsidRPr="007F1C9A">
        <w:rPr>
          <w:rFonts w:ascii="Times New Roman" w:eastAsia="Calibri" w:hAnsi="Times New Roman"/>
          <w:sz w:val="24"/>
          <w:szCs w:val="24"/>
        </w:rPr>
        <w:t>nu determină sechestrarea emisiilor de carbon, sunt necesare asigurarea flexibilității rețelelor de gaze, în special prin utilizarea tehnologiilor IT pentru a răspunde provocărilor legate de cerere și ofertă, precum și faptul că infrastructura cuprinde active pentru prevenirea sau atenuarea scurgerilor de gaz, inclusiv sisteme de detectare și remediere a scurgerilor,</w:t>
      </w:r>
    </w:p>
    <w:p w14:paraId="4E079D22" w14:textId="77777777" w:rsidR="007F1C9A" w:rsidRPr="007F1C9A" w:rsidRDefault="007F1C9A" w:rsidP="007F1C9A">
      <w:pPr>
        <w:spacing w:after="0" w:line="360" w:lineRule="auto"/>
        <w:ind w:left="0"/>
        <w:rPr>
          <w:rFonts w:ascii="Times New Roman" w:eastAsia="Calibri" w:hAnsi="Times New Roman"/>
          <w:sz w:val="24"/>
          <w:szCs w:val="24"/>
        </w:rPr>
      </w:pPr>
      <w:bookmarkStart w:id="0" w:name="_Hlk179803234"/>
      <w:r w:rsidRPr="007F1C9A">
        <w:rPr>
          <w:rFonts w:ascii="Times New Roman" w:eastAsia="Calibri" w:hAnsi="Times New Roman"/>
          <w:sz w:val="24"/>
          <w:szCs w:val="24"/>
        </w:rPr>
        <w:t xml:space="preserve">         Având în vedere urgența asigurării de finanțare pentru tipurile de proiecte aferente dezvoltării sistemelor inteligente şi sustenabile de transport al energiei electrice şi gazelor naturale, care conduc la  diminuarea emisiilor de gaze cu efect de seră provenite din încălzirea prin arderea lemnului, astfel încât aceasta să contribuie la obţinerea unor niveluri de reducere care sunt considerate necesare pentru a se evita schimbări climatice periculoase</w:t>
      </w:r>
      <w:bookmarkEnd w:id="0"/>
      <w:r w:rsidRPr="007F1C9A">
        <w:rPr>
          <w:rFonts w:ascii="Times New Roman" w:eastAsia="Calibri" w:hAnsi="Times New Roman"/>
          <w:sz w:val="24"/>
          <w:szCs w:val="24"/>
        </w:rPr>
        <w:t>,</w:t>
      </w:r>
    </w:p>
    <w:p w14:paraId="20C3BAED" w14:textId="3FDD766D" w:rsidR="007F1C9A" w:rsidRPr="00D963A1" w:rsidRDefault="007F1C9A" w:rsidP="00D963A1">
      <w:pPr>
        <w:shd w:val="clear" w:color="auto" w:fill="FFFFFF"/>
        <w:spacing w:after="0" w:line="360" w:lineRule="auto"/>
        <w:ind w:left="0"/>
        <w:rPr>
          <w:rFonts w:ascii="Times New Roman" w:hAnsi="Times New Roman"/>
          <w:color w:val="000000"/>
          <w:szCs w:val="24"/>
          <w:lang w:eastAsia="ro-RO"/>
        </w:rPr>
      </w:pPr>
      <w:r w:rsidRPr="007F1C9A">
        <w:rPr>
          <w:rFonts w:ascii="Times New Roman" w:eastAsia="Times New Roman" w:hAnsi="Times New Roman"/>
          <w:color w:val="000000"/>
          <w:sz w:val="24"/>
          <w:szCs w:val="24"/>
          <w:lang w:eastAsia="ro-RO"/>
        </w:rPr>
        <w:t xml:space="preserve">          Ținând seama de faptul că Administrația Fondului pentru Mediu este instituția cu experiență și competență în ceea ce privește derularea proiectelor destinate protecției mediului, iar potrivit Ordonanţei de urgenţă a Guvernului nr. 196/2005 privind Fondul pentru mediu, aprobată cu modificări şi completări prin Legea nr. 105/2006, cu modificările şi completările ulterioare, Fondul pentru mediu este instrumentul economico-financiar destinat susţinerii şi realizării proiectelor şi programelor pentru protecţia mediului şi pentru atingerea obiectivelor Uniunii Europene în domeniul mediului şi schimbărilor climatice,</w:t>
      </w:r>
    </w:p>
    <w:p w14:paraId="6B34D7B1" w14:textId="1C470B78" w:rsidR="00FB53FC" w:rsidRPr="001E5870" w:rsidRDefault="00FB53FC" w:rsidP="00D963A1">
      <w:pPr>
        <w:spacing w:after="240" w:line="360" w:lineRule="auto"/>
        <w:ind w:left="0" w:right="8" w:firstLine="720"/>
        <w:rPr>
          <w:rFonts w:ascii="Times New Roman" w:hAnsi="Times New Roman"/>
          <w:sz w:val="24"/>
          <w:szCs w:val="24"/>
          <w:u w:val="single"/>
        </w:rPr>
      </w:pPr>
      <w:bookmarkStart w:id="1" w:name="_Hlk66868183"/>
      <w:r w:rsidRPr="001E5870">
        <w:rPr>
          <w:rFonts w:ascii="Times New Roman" w:hAnsi="Times New Roman"/>
          <w:sz w:val="24"/>
          <w:szCs w:val="24"/>
        </w:rPr>
        <w:t xml:space="preserve">În considerarea faptului că aceste aspecte </w:t>
      </w:r>
      <w:r w:rsidR="00405227">
        <w:rPr>
          <w:rFonts w:ascii="Times New Roman" w:hAnsi="Times New Roman"/>
          <w:sz w:val="24"/>
          <w:szCs w:val="24"/>
        </w:rPr>
        <w:t xml:space="preserve">antemenționate </w:t>
      </w:r>
      <w:r w:rsidRPr="001E5870">
        <w:rPr>
          <w:rFonts w:ascii="Times New Roman" w:hAnsi="Times New Roman"/>
          <w:sz w:val="24"/>
          <w:szCs w:val="24"/>
        </w:rPr>
        <w:t xml:space="preserve">vizează interesul public general și constituie situații de urgență și extraordinare a căror reglementare nu poate fi amânată, </w:t>
      </w:r>
      <w:bookmarkEnd w:id="1"/>
    </w:p>
    <w:p w14:paraId="65438028" w14:textId="77777777" w:rsidR="00FB53FC" w:rsidRPr="001E5870" w:rsidRDefault="00FB53FC" w:rsidP="001E5870">
      <w:pPr>
        <w:tabs>
          <w:tab w:val="center" w:pos="567"/>
        </w:tabs>
        <w:spacing w:after="0" w:line="360" w:lineRule="auto"/>
        <w:ind w:left="0"/>
        <w:rPr>
          <w:rFonts w:ascii="Times New Roman" w:hAnsi="Times New Roman"/>
          <w:bCs/>
          <w:iCs/>
          <w:noProof/>
          <w:color w:val="000000"/>
          <w:sz w:val="24"/>
          <w:szCs w:val="24"/>
        </w:rPr>
      </w:pPr>
      <w:r w:rsidRPr="001E5870">
        <w:rPr>
          <w:rFonts w:ascii="Times New Roman" w:hAnsi="Times New Roman"/>
          <w:bCs/>
          <w:iCs/>
          <w:noProof/>
          <w:color w:val="000000"/>
          <w:sz w:val="24"/>
          <w:szCs w:val="24"/>
        </w:rPr>
        <w:t xml:space="preserve">În temeiul art. 115 alin. (4) din Constituția României, republicată, </w:t>
      </w:r>
    </w:p>
    <w:p w14:paraId="69987D15" w14:textId="77777777" w:rsidR="00FB53FC" w:rsidRPr="001E5870" w:rsidRDefault="00FB53FC" w:rsidP="001E5870">
      <w:pPr>
        <w:tabs>
          <w:tab w:val="center" w:pos="567"/>
        </w:tabs>
        <w:spacing w:after="0" w:line="360" w:lineRule="auto"/>
        <w:ind w:left="0"/>
        <w:rPr>
          <w:rFonts w:ascii="Times New Roman" w:eastAsia="Arial" w:hAnsi="Times New Roman"/>
          <w:sz w:val="24"/>
          <w:szCs w:val="24"/>
        </w:rPr>
      </w:pPr>
    </w:p>
    <w:p w14:paraId="0402979F" w14:textId="77777777" w:rsidR="005C59F6" w:rsidRPr="001E5870" w:rsidRDefault="005C59F6" w:rsidP="005C59F6">
      <w:pPr>
        <w:spacing w:after="0" w:line="360" w:lineRule="auto"/>
        <w:ind w:left="0"/>
        <w:rPr>
          <w:rFonts w:ascii="Times New Roman" w:eastAsia="Arial" w:hAnsi="Times New Roman"/>
          <w:sz w:val="24"/>
          <w:szCs w:val="24"/>
        </w:rPr>
      </w:pPr>
      <w:r w:rsidRPr="001E5870">
        <w:rPr>
          <w:rFonts w:ascii="Times New Roman" w:eastAsia="Arial" w:hAnsi="Times New Roman"/>
          <w:b/>
          <w:sz w:val="24"/>
          <w:szCs w:val="24"/>
        </w:rPr>
        <w:t>Guvernul României</w:t>
      </w:r>
      <w:r w:rsidRPr="001E5870">
        <w:rPr>
          <w:rFonts w:ascii="Times New Roman" w:eastAsia="Arial" w:hAnsi="Times New Roman"/>
          <w:sz w:val="24"/>
          <w:szCs w:val="24"/>
        </w:rPr>
        <w:t xml:space="preserve"> adoptă prezenta ordonanță de urgență:</w:t>
      </w:r>
    </w:p>
    <w:p w14:paraId="727F56C5" w14:textId="77777777" w:rsidR="005C59F6" w:rsidRPr="001E5870" w:rsidRDefault="005C59F6" w:rsidP="005C59F6">
      <w:pPr>
        <w:pStyle w:val="ListParagraph"/>
        <w:tabs>
          <w:tab w:val="left" w:pos="284"/>
        </w:tabs>
        <w:spacing w:after="0" w:line="360" w:lineRule="auto"/>
        <w:ind w:left="0"/>
        <w:rPr>
          <w:rFonts w:ascii="Times New Roman" w:hAnsi="Times New Roman"/>
          <w:sz w:val="24"/>
          <w:szCs w:val="24"/>
        </w:rPr>
      </w:pPr>
    </w:p>
    <w:p w14:paraId="7276079B" w14:textId="77777777" w:rsidR="00EE7287" w:rsidRDefault="00EE7287" w:rsidP="00EE7287">
      <w:pPr>
        <w:spacing w:line="360" w:lineRule="auto"/>
        <w:ind w:left="0"/>
        <w:rPr>
          <w:rFonts w:ascii="Times New Roman" w:hAnsi="Times New Roman"/>
          <w:b/>
          <w:bCs/>
          <w:sz w:val="24"/>
          <w:szCs w:val="24"/>
        </w:rPr>
      </w:pPr>
      <w:r w:rsidRPr="00A92B89">
        <w:rPr>
          <w:rFonts w:ascii="Times New Roman" w:hAnsi="Times New Roman"/>
          <w:b/>
          <w:sz w:val="24"/>
          <w:szCs w:val="24"/>
        </w:rPr>
        <w:t xml:space="preserve">Articol </w:t>
      </w:r>
      <w:r>
        <w:rPr>
          <w:rFonts w:ascii="Times New Roman" w:hAnsi="Times New Roman"/>
          <w:b/>
          <w:sz w:val="24"/>
          <w:szCs w:val="24"/>
        </w:rPr>
        <w:t>unic</w:t>
      </w:r>
      <w:r w:rsidRPr="00A92B89">
        <w:rPr>
          <w:rFonts w:ascii="Times New Roman" w:hAnsi="Times New Roman"/>
          <w:b/>
          <w:sz w:val="24"/>
          <w:szCs w:val="24"/>
        </w:rPr>
        <w:t xml:space="preserve"> </w:t>
      </w:r>
      <w:r w:rsidRPr="00A92B89">
        <w:rPr>
          <w:rFonts w:ascii="Times New Roman" w:hAnsi="Times New Roman"/>
          <w:b/>
          <w:bCs/>
          <w:sz w:val="24"/>
          <w:szCs w:val="24"/>
        </w:rPr>
        <w:t xml:space="preserve"> </w:t>
      </w:r>
      <w:r w:rsidRPr="00E572C9">
        <w:rPr>
          <w:rFonts w:ascii="Times New Roman" w:hAnsi="Times New Roman"/>
          <w:b/>
          <w:bCs/>
          <w:sz w:val="24"/>
          <w:szCs w:val="24"/>
        </w:rPr>
        <w:t>- Ordonanța de urgență a Guvernului nr. 196/2005 privind Fondul pentru mediu, publicată în Monitorul Oficial al României, Partea I, nr. 1193 din 30 decembrie 2005, aprobată cu modificări și completări prin Legea nr. 105/2006, cu modificările și completările ulterioare, se modifică și se completează după cum urmează:</w:t>
      </w:r>
    </w:p>
    <w:p w14:paraId="58B8706A" w14:textId="6FBC363F" w:rsidR="001C43FF" w:rsidRPr="001C43FF" w:rsidRDefault="001C43FF" w:rsidP="001C43FF">
      <w:pPr>
        <w:spacing w:line="360" w:lineRule="auto"/>
        <w:ind w:left="0"/>
        <w:rPr>
          <w:rFonts w:ascii="Times New Roman" w:hAnsi="Times New Roman"/>
          <w:b/>
          <w:bCs/>
          <w:sz w:val="24"/>
          <w:szCs w:val="24"/>
        </w:rPr>
      </w:pPr>
      <w:r w:rsidRPr="001C43FF">
        <w:rPr>
          <w:rFonts w:ascii="Times New Roman" w:hAnsi="Times New Roman"/>
          <w:b/>
          <w:bCs/>
          <w:sz w:val="24"/>
          <w:szCs w:val="24"/>
        </w:rPr>
        <w:t>1.</w:t>
      </w:r>
      <w:r>
        <w:rPr>
          <w:rFonts w:ascii="Times New Roman" w:hAnsi="Times New Roman"/>
          <w:b/>
          <w:bCs/>
          <w:sz w:val="24"/>
          <w:szCs w:val="24"/>
        </w:rPr>
        <w:t xml:space="preserve"> </w:t>
      </w:r>
      <w:r w:rsidRPr="001C43FF">
        <w:rPr>
          <w:rFonts w:ascii="Times New Roman" w:hAnsi="Times New Roman"/>
          <w:b/>
          <w:bCs/>
          <w:sz w:val="24"/>
          <w:szCs w:val="24"/>
        </w:rPr>
        <w:t>La articolul 3, după alineatul (7) se introduce un nou alineat, alin</w:t>
      </w:r>
      <w:r w:rsidR="009E25E1">
        <w:rPr>
          <w:rFonts w:ascii="Times New Roman" w:hAnsi="Times New Roman"/>
          <w:b/>
          <w:bCs/>
          <w:sz w:val="24"/>
          <w:szCs w:val="24"/>
        </w:rPr>
        <w:t xml:space="preserve">. </w:t>
      </w:r>
      <w:r w:rsidRPr="001C43FF">
        <w:rPr>
          <w:rFonts w:ascii="Times New Roman" w:hAnsi="Times New Roman"/>
          <w:b/>
          <w:bCs/>
          <w:sz w:val="24"/>
          <w:szCs w:val="24"/>
        </w:rPr>
        <w:t>(8), cu următorul cuprins:</w:t>
      </w:r>
    </w:p>
    <w:p w14:paraId="70A9EC7B" w14:textId="3F5C97B8" w:rsidR="001C43FF" w:rsidRPr="001C43FF" w:rsidRDefault="001C43FF" w:rsidP="001C43FF">
      <w:pPr>
        <w:spacing w:line="360" w:lineRule="auto"/>
        <w:ind w:left="0"/>
        <w:rPr>
          <w:rFonts w:ascii="Times New Roman" w:hAnsi="Times New Roman"/>
          <w:sz w:val="24"/>
          <w:szCs w:val="24"/>
        </w:rPr>
      </w:pPr>
      <w:r>
        <w:rPr>
          <w:rFonts w:ascii="Times New Roman" w:hAnsi="Times New Roman"/>
          <w:sz w:val="24"/>
          <w:szCs w:val="24"/>
        </w:rPr>
        <w:t>„</w:t>
      </w:r>
      <w:r w:rsidRPr="001C43FF">
        <w:rPr>
          <w:rFonts w:ascii="Times New Roman" w:hAnsi="Times New Roman"/>
          <w:sz w:val="24"/>
          <w:szCs w:val="24"/>
        </w:rPr>
        <w:t>(8) Administraţia Fondului pentru Mediu asigură gestionarea proiectelor aferente lucrărilor de închidere şi ecologizare a depozitelor de deşeuri, care sunt finanțate din bugetul de stat</w:t>
      </w:r>
      <w:r>
        <w:rPr>
          <w:rFonts w:ascii="Times New Roman" w:hAnsi="Times New Roman"/>
          <w:sz w:val="24"/>
          <w:szCs w:val="24"/>
        </w:rPr>
        <w:t>.”</w:t>
      </w:r>
    </w:p>
    <w:p w14:paraId="350EAF09" w14:textId="392879A0" w:rsidR="00EE7287" w:rsidRPr="00E572C9" w:rsidRDefault="000735CE" w:rsidP="00EE7287">
      <w:pPr>
        <w:spacing w:line="360" w:lineRule="auto"/>
        <w:ind w:left="0"/>
        <w:rPr>
          <w:rFonts w:ascii="Times New Roman" w:hAnsi="Times New Roman"/>
          <w:b/>
          <w:sz w:val="24"/>
          <w:szCs w:val="24"/>
        </w:rPr>
      </w:pPr>
      <w:bookmarkStart w:id="2" w:name="_Hlk181269385"/>
      <w:r>
        <w:rPr>
          <w:rFonts w:ascii="Times New Roman" w:hAnsi="Times New Roman"/>
          <w:b/>
          <w:sz w:val="24"/>
          <w:szCs w:val="24"/>
        </w:rPr>
        <w:t>2</w:t>
      </w:r>
      <w:r w:rsidR="00EE7287" w:rsidRPr="00E572C9">
        <w:rPr>
          <w:rFonts w:ascii="Times New Roman" w:hAnsi="Times New Roman"/>
          <w:b/>
          <w:sz w:val="24"/>
          <w:szCs w:val="24"/>
        </w:rPr>
        <w:t xml:space="preserve">. La articolul 9 alineatul (1) litera z), după punctul 3 </w:t>
      </w:r>
      <w:r w:rsidR="00EE7287" w:rsidRPr="00B60727">
        <w:rPr>
          <w:rFonts w:ascii="Times New Roman" w:hAnsi="Times New Roman"/>
          <w:b/>
          <w:sz w:val="24"/>
          <w:szCs w:val="24"/>
        </w:rPr>
        <w:t xml:space="preserve">se introduc trei noi puncte, </w:t>
      </w:r>
      <w:r w:rsidR="009D265E" w:rsidRPr="00B60727">
        <w:rPr>
          <w:rFonts w:ascii="Times New Roman" w:hAnsi="Times New Roman"/>
          <w:b/>
          <w:sz w:val="24"/>
          <w:szCs w:val="24"/>
        </w:rPr>
        <w:t>p</w:t>
      </w:r>
      <w:r w:rsidR="009D265E">
        <w:rPr>
          <w:rFonts w:ascii="Times New Roman" w:hAnsi="Times New Roman"/>
          <w:b/>
          <w:sz w:val="24"/>
          <w:szCs w:val="24"/>
        </w:rPr>
        <w:t xml:space="preserve">ct. </w:t>
      </w:r>
      <w:r w:rsidR="00EE7287" w:rsidRPr="00B60727">
        <w:rPr>
          <w:rFonts w:ascii="Times New Roman" w:hAnsi="Times New Roman"/>
          <w:b/>
          <w:sz w:val="24"/>
          <w:szCs w:val="24"/>
        </w:rPr>
        <w:t>4</w:t>
      </w:r>
      <w:r w:rsidR="009D265E">
        <w:rPr>
          <w:rFonts w:ascii="Times New Roman" w:hAnsi="Times New Roman"/>
          <w:b/>
          <w:sz w:val="24"/>
          <w:szCs w:val="24"/>
        </w:rPr>
        <w:t xml:space="preserve"> - </w:t>
      </w:r>
      <w:r w:rsidR="00EE7287" w:rsidRPr="00B60727">
        <w:rPr>
          <w:rFonts w:ascii="Times New Roman" w:hAnsi="Times New Roman"/>
          <w:b/>
          <w:sz w:val="24"/>
          <w:szCs w:val="24"/>
        </w:rPr>
        <w:t>6</w:t>
      </w:r>
      <w:r w:rsidR="00EE7287" w:rsidRPr="00E572C9">
        <w:rPr>
          <w:rFonts w:ascii="Times New Roman" w:hAnsi="Times New Roman"/>
          <w:b/>
          <w:sz w:val="24"/>
          <w:szCs w:val="24"/>
        </w:rPr>
        <w:t>, cu următorul cuprins:</w:t>
      </w:r>
      <w:bookmarkEnd w:id="2"/>
      <w:r w:rsidR="00EE7287">
        <w:rPr>
          <w:rFonts w:ascii="Times New Roman" w:hAnsi="Times New Roman"/>
          <w:b/>
          <w:sz w:val="24"/>
          <w:szCs w:val="24"/>
        </w:rPr>
        <w:t xml:space="preserve"> </w:t>
      </w:r>
    </w:p>
    <w:p w14:paraId="0F5DAB23" w14:textId="55C8DBFD" w:rsidR="00EE7287" w:rsidRDefault="00EE7287" w:rsidP="00EE7287">
      <w:pPr>
        <w:spacing w:line="360" w:lineRule="auto"/>
        <w:ind w:left="0"/>
        <w:rPr>
          <w:rFonts w:ascii="Times New Roman" w:hAnsi="Times New Roman"/>
          <w:bCs/>
          <w:sz w:val="24"/>
          <w:szCs w:val="24"/>
        </w:rPr>
      </w:pPr>
      <w:r w:rsidRPr="00E572C9">
        <w:rPr>
          <w:rFonts w:ascii="Times New Roman" w:hAnsi="Times New Roman"/>
          <w:bCs/>
          <w:sz w:val="24"/>
          <w:szCs w:val="24"/>
        </w:rPr>
        <w:t>„4. fără a aduce atingere obligațiilor de realizare a obiectivelor minime anuale de returnare prevăzute la art. 4 alin. (2) din Hotărârea Guvernului nr. 1074/2021, republicată, cu modificările și completările ulterioare, contribuțiile prevăzute la pct. 1 și 2 nu se datorează pentru perioada de implementare cuprinsă între 01 ianuarie și 31 decembrie a anului 2024</w:t>
      </w:r>
      <w:r w:rsidR="009D265E">
        <w:rPr>
          <w:rFonts w:ascii="Times New Roman" w:hAnsi="Times New Roman"/>
          <w:bCs/>
          <w:sz w:val="24"/>
          <w:szCs w:val="24"/>
        </w:rPr>
        <w:t>;</w:t>
      </w:r>
    </w:p>
    <w:p w14:paraId="177B2067" w14:textId="15AC4DE2" w:rsidR="00EE7287" w:rsidRPr="00B60727" w:rsidRDefault="00EE7287" w:rsidP="00EE7287">
      <w:pPr>
        <w:spacing w:line="360" w:lineRule="auto"/>
        <w:ind w:left="0"/>
        <w:rPr>
          <w:rFonts w:ascii="Times New Roman" w:hAnsi="Times New Roman"/>
          <w:bCs/>
          <w:sz w:val="24"/>
          <w:szCs w:val="24"/>
        </w:rPr>
      </w:pPr>
      <w:r w:rsidRPr="00B60727">
        <w:rPr>
          <w:rFonts w:ascii="Times New Roman" w:hAnsi="Times New Roman"/>
          <w:bCs/>
          <w:sz w:val="24"/>
          <w:szCs w:val="24"/>
        </w:rPr>
        <w:t>5. în cazul neîndeplinirii obiectivelor minime anuale de returnare pentru anul 2024 prevăzute la art. 4 alin. (2) din Hotărârea Guvernului nr. 1.074/2021, republicată, cu modificările</w:t>
      </w:r>
      <w:r w:rsidR="009D265E">
        <w:rPr>
          <w:rFonts w:ascii="Times New Roman" w:hAnsi="Times New Roman"/>
          <w:bCs/>
          <w:sz w:val="24"/>
          <w:szCs w:val="24"/>
        </w:rPr>
        <w:t xml:space="preserve"> și completările</w:t>
      </w:r>
      <w:r w:rsidRPr="00B60727">
        <w:rPr>
          <w:rFonts w:ascii="Times New Roman" w:hAnsi="Times New Roman"/>
          <w:bCs/>
          <w:sz w:val="24"/>
          <w:szCs w:val="24"/>
        </w:rPr>
        <w:t xml:space="preserve"> ulterioare, administratorul SGR propune, până la data de 31 ianuarie 2025, </w:t>
      </w:r>
      <w:r w:rsidR="00030CCE" w:rsidRPr="00B60727">
        <w:rPr>
          <w:rFonts w:ascii="Times New Roman" w:hAnsi="Times New Roman"/>
          <w:bCs/>
          <w:sz w:val="24"/>
          <w:szCs w:val="24"/>
        </w:rPr>
        <w:t>autorității</w:t>
      </w:r>
      <w:r w:rsidRPr="00B60727">
        <w:rPr>
          <w:rFonts w:ascii="Times New Roman" w:hAnsi="Times New Roman"/>
          <w:bCs/>
          <w:sz w:val="24"/>
          <w:szCs w:val="24"/>
        </w:rPr>
        <w:t xml:space="preserve"> competente pentru </w:t>
      </w:r>
      <w:r w:rsidR="00030CCE" w:rsidRPr="00B60727">
        <w:rPr>
          <w:rFonts w:ascii="Times New Roman" w:hAnsi="Times New Roman"/>
          <w:bCs/>
          <w:sz w:val="24"/>
          <w:szCs w:val="24"/>
        </w:rPr>
        <w:t>protecția</w:t>
      </w:r>
      <w:r w:rsidRPr="00B60727">
        <w:rPr>
          <w:rFonts w:ascii="Times New Roman" w:hAnsi="Times New Roman"/>
          <w:bCs/>
          <w:sz w:val="24"/>
          <w:szCs w:val="24"/>
        </w:rPr>
        <w:t xml:space="preserve"> mediului programul prioritar de investiții multianual pentru perioada 2025-2029 cu un buget anual de cel puțin 60 milioane lei, până la concurența valorii investițiilor de 300 milioane lei</w:t>
      </w:r>
      <w:r w:rsidR="009D265E">
        <w:rPr>
          <w:rFonts w:ascii="Times New Roman" w:hAnsi="Times New Roman"/>
          <w:bCs/>
          <w:sz w:val="24"/>
          <w:szCs w:val="24"/>
        </w:rPr>
        <w:t>;</w:t>
      </w:r>
    </w:p>
    <w:p w14:paraId="6996DC38" w14:textId="77777777" w:rsidR="00EE7287" w:rsidRPr="00B60727" w:rsidRDefault="00EE7287" w:rsidP="00EE7287">
      <w:pPr>
        <w:spacing w:line="360" w:lineRule="auto"/>
        <w:ind w:left="0"/>
        <w:rPr>
          <w:rFonts w:ascii="Times New Roman" w:hAnsi="Times New Roman"/>
          <w:bCs/>
          <w:sz w:val="24"/>
          <w:szCs w:val="24"/>
        </w:rPr>
      </w:pPr>
      <w:r w:rsidRPr="00B60727">
        <w:rPr>
          <w:rFonts w:ascii="Times New Roman" w:hAnsi="Times New Roman"/>
          <w:bCs/>
          <w:sz w:val="24"/>
          <w:szCs w:val="24"/>
        </w:rPr>
        <w:t>6. programul anual de investiții destinat creșterii eficienței sistemului de garanție-returnare, inclusiv în ceea ce privește capacitățile proprii de procesare, se avizează de către Administrația Fondului pentru Mediu, Ministerul Mediului, Apelor și Pădurilor și se aprobă prin hotărâre a Guvernului.”</w:t>
      </w:r>
    </w:p>
    <w:p w14:paraId="5B8B3126" w14:textId="77B00105" w:rsidR="00EE7287" w:rsidRPr="00423B57" w:rsidRDefault="000735CE" w:rsidP="00EE7287">
      <w:pPr>
        <w:spacing w:line="360" w:lineRule="auto"/>
        <w:ind w:left="0"/>
        <w:rPr>
          <w:rFonts w:ascii="Times New Roman" w:eastAsia="Calibri" w:hAnsi="Times New Roman"/>
          <w:b/>
          <w:bCs/>
          <w:sz w:val="24"/>
          <w:szCs w:val="24"/>
          <w:lang w:eastAsia="ro-RO"/>
        </w:rPr>
      </w:pPr>
      <w:r>
        <w:rPr>
          <w:rFonts w:ascii="Times New Roman" w:hAnsi="Times New Roman"/>
          <w:b/>
          <w:bCs/>
          <w:sz w:val="24"/>
          <w:szCs w:val="24"/>
        </w:rPr>
        <w:t>3</w:t>
      </w:r>
      <w:r w:rsidR="00EE7287" w:rsidRPr="00E572C9">
        <w:rPr>
          <w:rFonts w:ascii="Times New Roman" w:eastAsia="Calibri" w:hAnsi="Times New Roman"/>
          <w:b/>
          <w:bCs/>
          <w:sz w:val="24"/>
          <w:szCs w:val="24"/>
          <w:lang w:eastAsia="ro-RO"/>
        </w:rPr>
        <w:t>. La articolul 9 alineatul (1)</w:t>
      </w:r>
      <w:r w:rsidR="00EE7287">
        <w:rPr>
          <w:rFonts w:ascii="Times New Roman" w:eastAsia="Calibri" w:hAnsi="Times New Roman"/>
          <w:b/>
          <w:bCs/>
          <w:sz w:val="24"/>
          <w:szCs w:val="24"/>
          <w:lang w:eastAsia="ro-RO"/>
        </w:rPr>
        <w:t xml:space="preserve">, </w:t>
      </w:r>
      <w:r w:rsidR="00EE7287" w:rsidRPr="00E572C9">
        <w:rPr>
          <w:rFonts w:ascii="Times New Roman" w:eastAsia="Calibri" w:hAnsi="Times New Roman"/>
          <w:b/>
          <w:bCs/>
          <w:sz w:val="24"/>
          <w:szCs w:val="24"/>
          <w:lang w:eastAsia="ro-RO"/>
        </w:rPr>
        <w:t>după liter</w:t>
      </w:r>
      <w:r w:rsidR="00EE7287" w:rsidRPr="00423B57">
        <w:rPr>
          <w:rFonts w:ascii="Times New Roman" w:eastAsia="Calibri" w:hAnsi="Times New Roman"/>
          <w:b/>
          <w:bCs/>
          <w:sz w:val="24"/>
          <w:szCs w:val="24"/>
          <w:lang w:eastAsia="ro-RO"/>
        </w:rPr>
        <w:t>a z) se introduce o nouă literă, lit. z</w:t>
      </w:r>
      <w:r w:rsidR="00EE7287" w:rsidRPr="00423B57">
        <w:rPr>
          <w:rFonts w:ascii="Times New Roman" w:eastAsia="Calibri" w:hAnsi="Times New Roman"/>
          <w:b/>
          <w:bCs/>
          <w:sz w:val="24"/>
          <w:szCs w:val="24"/>
          <w:vertAlign w:val="superscript"/>
          <w:lang w:eastAsia="ro-RO"/>
        </w:rPr>
        <w:t>1</w:t>
      </w:r>
      <w:r w:rsidR="00EE7287" w:rsidRPr="00423B57">
        <w:rPr>
          <w:rFonts w:ascii="Times New Roman" w:eastAsia="Calibri" w:hAnsi="Times New Roman"/>
          <w:b/>
          <w:bCs/>
          <w:sz w:val="24"/>
          <w:szCs w:val="24"/>
          <w:lang w:eastAsia="ro-RO"/>
        </w:rPr>
        <w:t>), cu următorul cuprins:</w:t>
      </w:r>
    </w:p>
    <w:p w14:paraId="05E972B9" w14:textId="14922FCA" w:rsidR="00EE7287" w:rsidRPr="00B60727" w:rsidRDefault="00EE7287" w:rsidP="00EE7287">
      <w:pPr>
        <w:spacing w:after="0" w:line="360" w:lineRule="auto"/>
        <w:ind w:left="0"/>
        <w:rPr>
          <w:rFonts w:ascii="Times New Roman" w:eastAsia="Calibri" w:hAnsi="Times New Roman"/>
          <w:bCs/>
          <w:sz w:val="24"/>
          <w:szCs w:val="24"/>
          <w:lang w:eastAsia="ro-RO"/>
        </w:rPr>
      </w:pPr>
      <w:r w:rsidRPr="00423B57">
        <w:rPr>
          <w:rFonts w:ascii="Times New Roman" w:eastAsia="Calibri" w:hAnsi="Times New Roman"/>
          <w:bCs/>
          <w:sz w:val="24"/>
          <w:szCs w:val="24"/>
          <w:lang w:eastAsia="ro-RO"/>
        </w:rPr>
        <w:t>„z</w:t>
      </w:r>
      <w:r w:rsidRPr="00423B57">
        <w:rPr>
          <w:rFonts w:ascii="Times New Roman" w:eastAsia="Calibri" w:hAnsi="Times New Roman"/>
          <w:bCs/>
          <w:sz w:val="24"/>
          <w:szCs w:val="24"/>
          <w:vertAlign w:val="superscript"/>
          <w:lang w:eastAsia="ro-RO"/>
        </w:rPr>
        <w:t>1</w:t>
      </w:r>
      <w:r w:rsidRPr="00423B57">
        <w:rPr>
          <w:rFonts w:ascii="Times New Roman" w:eastAsia="Calibri" w:hAnsi="Times New Roman"/>
          <w:bCs/>
          <w:sz w:val="24"/>
          <w:szCs w:val="24"/>
          <w:lang w:eastAsia="ro-RO"/>
        </w:rPr>
        <w:t>)</w:t>
      </w:r>
      <w:r w:rsidRPr="00423B57">
        <w:rPr>
          <w:rFonts w:ascii="Times New Roman" w:eastAsia="Calibri" w:hAnsi="Times New Roman"/>
          <w:bCs/>
          <w:i/>
          <w:iCs/>
          <w:sz w:val="24"/>
          <w:szCs w:val="24"/>
          <w:lang w:eastAsia="ro-RO"/>
        </w:rPr>
        <w:t xml:space="preserve"> </w:t>
      </w:r>
      <w:r w:rsidRPr="00423B57">
        <w:rPr>
          <w:rFonts w:ascii="Times New Roman" w:eastAsia="Calibri" w:hAnsi="Times New Roman"/>
          <w:sz w:val="24"/>
          <w:szCs w:val="24"/>
          <w:lang w:eastAsia="ro-RO"/>
        </w:rPr>
        <w:t xml:space="preserve">o </w:t>
      </w:r>
      <w:r w:rsidR="00030CCE" w:rsidRPr="00423B57">
        <w:rPr>
          <w:rFonts w:ascii="Times New Roman" w:eastAsia="Calibri" w:hAnsi="Times New Roman"/>
          <w:sz w:val="24"/>
          <w:szCs w:val="24"/>
          <w:lang w:eastAsia="ro-RO"/>
        </w:rPr>
        <w:t>contribuție</w:t>
      </w:r>
      <w:r w:rsidRPr="00423B57">
        <w:rPr>
          <w:rFonts w:ascii="Times New Roman" w:eastAsia="Calibri" w:hAnsi="Times New Roman"/>
          <w:sz w:val="24"/>
          <w:szCs w:val="24"/>
          <w:lang w:eastAsia="ro-RO"/>
        </w:rPr>
        <w:t xml:space="preserve"> de 2 lei/kg, datorată de la data de 1 ianuarie 2024 de</w:t>
      </w:r>
      <w:r w:rsidR="00423B57" w:rsidRPr="00423B57">
        <w:rPr>
          <w:rFonts w:ascii="Times New Roman" w:eastAsia="Calibri" w:hAnsi="Times New Roman"/>
          <w:sz w:val="24"/>
          <w:szCs w:val="24"/>
        </w:rPr>
        <w:t xml:space="preserve"> </w:t>
      </w:r>
      <w:r w:rsidR="00423B57" w:rsidRPr="00423B57">
        <w:rPr>
          <w:rFonts w:ascii="Times New Roman" w:eastAsia="Calibri" w:hAnsi="Times New Roman"/>
          <w:sz w:val="24"/>
          <w:szCs w:val="24"/>
          <w:lang w:eastAsia="ro-RO"/>
        </w:rPr>
        <w:t>operatorii economici prevăzuți la art. 16 alin. (1) din Legea nr. 249/2015, cu modificările şi completările ulterioare prin intermediul</w:t>
      </w:r>
      <w:r w:rsidRPr="00423B57">
        <w:rPr>
          <w:rFonts w:ascii="Times New Roman" w:eastAsia="Calibri" w:hAnsi="Times New Roman"/>
          <w:sz w:val="24"/>
          <w:szCs w:val="24"/>
          <w:lang w:eastAsia="ro-RO"/>
        </w:rPr>
        <w:t xml:space="preserve"> a</w:t>
      </w:r>
      <w:r w:rsidRPr="00423B57">
        <w:rPr>
          <w:rFonts w:ascii="Times New Roman" w:eastAsia="Calibri" w:hAnsi="Times New Roman"/>
          <w:bCs/>
          <w:sz w:val="24"/>
          <w:szCs w:val="24"/>
          <w:lang w:eastAsia="ro-RO"/>
        </w:rPr>
        <w:t>dministratorul</w:t>
      </w:r>
      <w:r w:rsidR="00423B57" w:rsidRPr="00423B57">
        <w:rPr>
          <w:rFonts w:ascii="Times New Roman" w:eastAsia="Calibri" w:hAnsi="Times New Roman"/>
          <w:bCs/>
          <w:sz w:val="24"/>
          <w:szCs w:val="24"/>
          <w:lang w:eastAsia="ro-RO"/>
        </w:rPr>
        <w:t>ui</w:t>
      </w:r>
      <w:r w:rsidRPr="00423B57">
        <w:rPr>
          <w:rFonts w:ascii="Times New Roman" w:eastAsia="Calibri" w:hAnsi="Times New Roman"/>
          <w:bCs/>
          <w:sz w:val="24"/>
          <w:szCs w:val="24"/>
          <w:lang w:eastAsia="ro-RO"/>
        </w:rPr>
        <w:t xml:space="preserve"> sistemului de garanție-returnare, plata făcându</w:t>
      </w:r>
      <w:r w:rsidRPr="00B60727">
        <w:rPr>
          <w:rFonts w:ascii="Times New Roman" w:eastAsia="Calibri" w:hAnsi="Times New Roman"/>
          <w:bCs/>
          <w:sz w:val="24"/>
          <w:szCs w:val="24"/>
          <w:lang w:eastAsia="ro-RO"/>
        </w:rPr>
        <w:t xml:space="preserve">-se pentru </w:t>
      </w:r>
      <w:r w:rsidR="00030CCE" w:rsidRPr="00B60727">
        <w:rPr>
          <w:rFonts w:ascii="Times New Roman" w:eastAsia="Calibri" w:hAnsi="Times New Roman"/>
          <w:bCs/>
          <w:sz w:val="24"/>
          <w:szCs w:val="24"/>
          <w:lang w:eastAsia="ro-RO"/>
        </w:rPr>
        <w:t>diferența</w:t>
      </w:r>
      <w:r w:rsidRPr="00B60727">
        <w:rPr>
          <w:rFonts w:ascii="Times New Roman" w:eastAsia="Calibri" w:hAnsi="Times New Roman"/>
          <w:bCs/>
          <w:sz w:val="24"/>
          <w:szCs w:val="24"/>
          <w:lang w:eastAsia="ro-RO"/>
        </w:rPr>
        <w:t xml:space="preserve"> dintre </w:t>
      </w:r>
      <w:r w:rsidR="00030CCE" w:rsidRPr="00B60727">
        <w:rPr>
          <w:rFonts w:ascii="Times New Roman" w:eastAsia="Calibri" w:hAnsi="Times New Roman"/>
          <w:bCs/>
          <w:sz w:val="24"/>
          <w:szCs w:val="24"/>
          <w:lang w:eastAsia="ro-RO"/>
        </w:rPr>
        <w:t>cantitățile</w:t>
      </w:r>
      <w:r w:rsidRPr="00B60727">
        <w:rPr>
          <w:rFonts w:ascii="Times New Roman" w:eastAsia="Calibri" w:hAnsi="Times New Roman"/>
          <w:bCs/>
          <w:sz w:val="24"/>
          <w:szCs w:val="24"/>
          <w:lang w:eastAsia="ro-RO"/>
        </w:rPr>
        <w:t xml:space="preserve"> de </w:t>
      </w:r>
      <w:r w:rsidR="00030CCE" w:rsidRPr="00B60727">
        <w:rPr>
          <w:rFonts w:ascii="Times New Roman" w:eastAsia="Calibri" w:hAnsi="Times New Roman"/>
          <w:bCs/>
          <w:sz w:val="24"/>
          <w:szCs w:val="24"/>
          <w:lang w:eastAsia="ro-RO"/>
        </w:rPr>
        <w:t>deșeuri</w:t>
      </w:r>
      <w:r w:rsidRPr="00B60727">
        <w:rPr>
          <w:rFonts w:ascii="Times New Roman" w:eastAsia="Calibri" w:hAnsi="Times New Roman"/>
          <w:bCs/>
          <w:sz w:val="24"/>
          <w:szCs w:val="24"/>
          <w:lang w:eastAsia="ro-RO"/>
        </w:rPr>
        <w:t xml:space="preserve"> corespunzătoare obiectivelor minime anuale pentru toate tipurile de materiale provenite din ambalaje SGR, şi </w:t>
      </w:r>
      <w:r w:rsidR="00030CCE" w:rsidRPr="00B60727">
        <w:rPr>
          <w:rFonts w:ascii="Times New Roman" w:eastAsia="Calibri" w:hAnsi="Times New Roman"/>
          <w:bCs/>
          <w:sz w:val="24"/>
          <w:szCs w:val="24"/>
          <w:lang w:eastAsia="ro-RO"/>
        </w:rPr>
        <w:t>cantitățile</w:t>
      </w:r>
      <w:r w:rsidRPr="00B60727">
        <w:rPr>
          <w:rFonts w:ascii="Times New Roman" w:eastAsia="Calibri" w:hAnsi="Times New Roman"/>
          <w:bCs/>
          <w:sz w:val="24"/>
          <w:szCs w:val="24"/>
          <w:lang w:eastAsia="ro-RO"/>
        </w:rPr>
        <w:t xml:space="preserve"> care intră în </w:t>
      </w:r>
      <w:r w:rsidR="00030CCE" w:rsidRPr="00B60727">
        <w:rPr>
          <w:rFonts w:ascii="Times New Roman" w:eastAsia="Calibri" w:hAnsi="Times New Roman"/>
          <w:bCs/>
          <w:sz w:val="24"/>
          <w:szCs w:val="24"/>
          <w:lang w:eastAsia="ro-RO"/>
        </w:rPr>
        <w:t>instalații</w:t>
      </w:r>
      <w:r w:rsidRPr="00B60727">
        <w:rPr>
          <w:rFonts w:ascii="Times New Roman" w:eastAsia="Calibri" w:hAnsi="Times New Roman"/>
          <w:bCs/>
          <w:sz w:val="24"/>
          <w:szCs w:val="24"/>
          <w:lang w:eastAsia="ro-RO"/>
        </w:rPr>
        <w:t xml:space="preserve"> de valorificare/reciclare;” </w:t>
      </w:r>
    </w:p>
    <w:p w14:paraId="67E2D69B" w14:textId="77777777" w:rsidR="00EE7287" w:rsidRPr="00796FC3" w:rsidRDefault="00EE7287" w:rsidP="00EE7287">
      <w:pPr>
        <w:spacing w:after="0" w:line="360" w:lineRule="auto"/>
        <w:rPr>
          <w:rFonts w:ascii="Times New Roman" w:eastAsia="Calibri" w:hAnsi="Times New Roman"/>
          <w:bCs/>
          <w:i/>
          <w:iCs/>
          <w:sz w:val="24"/>
          <w:szCs w:val="24"/>
          <w:lang w:eastAsia="ro-RO"/>
        </w:rPr>
      </w:pPr>
    </w:p>
    <w:p w14:paraId="044FE961" w14:textId="22745AD3" w:rsidR="00EE7287" w:rsidRPr="00E572C9" w:rsidRDefault="000735CE" w:rsidP="00EE7287">
      <w:pPr>
        <w:spacing w:after="0" w:line="360" w:lineRule="auto"/>
        <w:ind w:left="0"/>
        <w:rPr>
          <w:rFonts w:ascii="Times New Roman" w:eastAsia="Calibri" w:hAnsi="Times New Roman"/>
          <w:b/>
          <w:sz w:val="24"/>
          <w:szCs w:val="24"/>
          <w:lang w:eastAsia="ro-RO"/>
        </w:rPr>
      </w:pPr>
      <w:r>
        <w:rPr>
          <w:rFonts w:ascii="Times New Roman" w:eastAsia="Calibri" w:hAnsi="Times New Roman"/>
          <w:b/>
          <w:sz w:val="24"/>
          <w:szCs w:val="24"/>
          <w:lang w:eastAsia="ro-RO"/>
        </w:rPr>
        <w:t>4</w:t>
      </w:r>
      <w:r w:rsidR="00EE7287" w:rsidRPr="00E572C9">
        <w:rPr>
          <w:rFonts w:ascii="Times New Roman" w:eastAsia="Calibri" w:hAnsi="Times New Roman"/>
          <w:b/>
          <w:sz w:val="24"/>
          <w:szCs w:val="24"/>
          <w:lang w:eastAsia="ro-RO"/>
        </w:rPr>
        <w:t>. La articolul 10 alineatul (2)</w:t>
      </w:r>
      <w:r w:rsidR="00EE7287">
        <w:rPr>
          <w:rFonts w:ascii="Times New Roman" w:eastAsia="Calibri" w:hAnsi="Times New Roman"/>
          <w:b/>
          <w:sz w:val="24"/>
          <w:szCs w:val="24"/>
          <w:lang w:eastAsia="ro-RO"/>
        </w:rPr>
        <w:t xml:space="preserve">, </w:t>
      </w:r>
      <w:r w:rsidR="00EE7287" w:rsidRPr="00E572C9">
        <w:rPr>
          <w:rFonts w:ascii="Times New Roman" w:eastAsia="Calibri" w:hAnsi="Times New Roman"/>
          <w:b/>
          <w:sz w:val="24"/>
          <w:szCs w:val="24"/>
          <w:lang w:eastAsia="ro-RO"/>
        </w:rPr>
        <w:t>după litera g)</w:t>
      </w:r>
      <w:r w:rsidR="00EE7287">
        <w:rPr>
          <w:rFonts w:ascii="Times New Roman" w:eastAsia="Calibri" w:hAnsi="Times New Roman"/>
          <w:b/>
          <w:sz w:val="24"/>
          <w:szCs w:val="24"/>
          <w:lang w:eastAsia="ro-RO"/>
        </w:rPr>
        <w:t xml:space="preserve"> </w:t>
      </w:r>
      <w:r w:rsidR="00EE7287" w:rsidRPr="00E572C9">
        <w:rPr>
          <w:rFonts w:ascii="Times New Roman" w:eastAsia="Calibri" w:hAnsi="Times New Roman"/>
          <w:b/>
          <w:sz w:val="24"/>
          <w:szCs w:val="24"/>
          <w:lang w:eastAsia="ro-RO"/>
        </w:rPr>
        <w:t xml:space="preserve">se introduce </w:t>
      </w:r>
      <w:r w:rsidR="00EE7287">
        <w:rPr>
          <w:rFonts w:ascii="Times New Roman" w:eastAsia="Calibri" w:hAnsi="Times New Roman"/>
          <w:b/>
          <w:sz w:val="24"/>
          <w:szCs w:val="24"/>
          <w:lang w:eastAsia="ro-RO"/>
        </w:rPr>
        <w:t xml:space="preserve">o nouă literă, </w:t>
      </w:r>
      <w:r w:rsidR="00EE7287" w:rsidRPr="00E572C9">
        <w:rPr>
          <w:rFonts w:ascii="Times New Roman" w:eastAsia="Calibri" w:hAnsi="Times New Roman"/>
          <w:b/>
          <w:sz w:val="24"/>
          <w:szCs w:val="24"/>
          <w:lang w:eastAsia="ro-RO"/>
        </w:rPr>
        <w:t>lit</w:t>
      </w:r>
      <w:r w:rsidR="00EE7287">
        <w:rPr>
          <w:rFonts w:ascii="Times New Roman" w:eastAsia="Calibri" w:hAnsi="Times New Roman"/>
          <w:b/>
          <w:sz w:val="24"/>
          <w:szCs w:val="24"/>
          <w:lang w:eastAsia="ro-RO"/>
        </w:rPr>
        <w:t xml:space="preserve">. </w:t>
      </w:r>
      <w:r w:rsidR="00EE7287" w:rsidRPr="00E572C9">
        <w:rPr>
          <w:rFonts w:ascii="Times New Roman" w:eastAsia="Calibri" w:hAnsi="Times New Roman"/>
          <w:b/>
          <w:sz w:val="24"/>
          <w:szCs w:val="24"/>
          <w:lang w:eastAsia="ro-RO"/>
        </w:rPr>
        <w:t>h)</w:t>
      </w:r>
      <w:r w:rsidR="00EE7287">
        <w:rPr>
          <w:rFonts w:ascii="Times New Roman" w:eastAsia="Calibri" w:hAnsi="Times New Roman"/>
          <w:b/>
          <w:sz w:val="24"/>
          <w:szCs w:val="24"/>
          <w:lang w:eastAsia="ro-RO"/>
        </w:rPr>
        <w:t>, cu următorul cuprins:</w:t>
      </w:r>
      <w:r w:rsidR="00EE7287" w:rsidRPr="00E572C9">
        <w:rPr>
          <w:rFonts w:ascii="Times New Roman" w:eastAsia="Calibri" w:hAnsi="Times New Roman"/>
          <w:b/>
          <w:sz w:val="24"/>
          <w:szCs w:val="24"/>
          <w:lang w:eastAsia="ro-RO"/>
        </w:rPr>
        <w:t xml:space="preserve"> </w:t>
      </w:r>
    </w:p>
    <w:p w14:paraId="08B8E564" w14:textId="0E3489D5" w:rsidR="00EE7287" w:rsidRPr="007C1C02" w:rsidRDefault="00EE7287" w:rsidP="00EE7287">
      <w:pPr>
        <w:spacing w:after="200" w:line="360" w:lineRule="auto"/>
        <w:ind w:left="0"/>
        <w:rPr>
          <w:rFonts w:ascii="Times New Roman" w:eastAsia="Calibri" w:hAnsi="Times New Roman"/>
          <w:bCs/>
          <w:sz w:val="24"/>
          <w:szCs w:val="24"/>
          <w:lang w:eastAsia="ro-RO"/>
        </w:rPr>
      </w:pPr>
      <w:r>
        <w:rPr>
          <w:rFonts w:ascii="Times New Roman" w:eastAsia="Calibri" w:hAnsi="Times New Roman"/>
          <w:sz w:val="24"/>
          <w:szCs w:val="24"/>
          <w:lang w:eastAsia="ro-RO"/>
        </w:rPr>
        <w:t>„</w:t>
      </w:r>
      <w:r w:rsidRPr="00E572C9">
        <w:rPr>
          <w:rFonts w:ascii="Times New Roman" w:eastAsia="Calibri" w:hAnsi="Times New Roman"/>
          <w:sz w:val="24"/>
          <w:szCs w:val="24"/>
          <w:lang w:eastAsia="ro-RO"/>
        </w:rPr>
        <w:t xml:space="preserve">h) </w:t>
      </w:r>
      <w:r w:rsidR="00030CCE" w:rsidRPr="00E572C9">
        <w:rPr>
          <w:rFonts w:ascii="Times New Roman" w:eastAsia="Calibri" w:hAnsi="Times New Roman"/>
          <w:sz w:val="24"/>
          <w:szCs w:val="24"/>
          <w:lang w:eastAsia="ro-RO"/>
        </w:rPr>
        <w:t>cantitățile</w:t>
      </w:r>
      <w:r w:rsidRPr="00E572C9">
        <w:rPr>
          <w:rFonts w:ascii="Times New Roman" w:eastAsia="Calibri" w:hAnsi="Times New Roman"/>
          <w:sz w:val="24"/>
          <w:szCs w:val="24"/>
          <w:lang w:eastAsia="ro-RO"/>
        </w:rPr>
        <w:t xml:space="preserve"> de </w:t>
      </w:r>
      <w:r w:rsidR="00030CCE" w:rsidRPr="00E572C9">
        <w:rPr>
          <w:rFonts w:ascii="Times New Roman" w:eastAsia="Calibri" w:hAnsi="Times New Roman"/>
          <w:sz w:val="24"/>
          <w:szCs w:val="24"/>
          <w:lang w:eastAsia="ro-RO"/>
        </w:rPr>
        <w:t>deșeuri</w:t>
      </w:r>
      <w:r w:rsidRPr="00E572C9">
        <w:rPr>
          <w:rFonts w:ascii="Times New Roman" w:eastAsia="Calibri" w:hAnsi="Times New Roman"/>
          <w:sz w:val="24"/>
          <w:szCs w:val="24"/>
          <w:lang w:eastAsia="ro-RO"/>
        </w:rPr>
        <w:t xml:space="preserve"> de ambalaje corespunzătoare ambalajelor </w:t>
      </w:r>
      <w:r w:rsidRPr="00E572C9">
        <w:rPr>
          <w:rFonts w:ascii="Times New Roman" w:eastAsia="Calibri" w:hAnsi="Times New Roman"/>
          <w:sz w:val="24"/>
          <w:szCs w:val="24"/>
        </w:rPr>
        <w:t>primare nereutilizabile</w:t>
      </w:r>
      <w:r w:rsidR="003353DD">
        <w:rPr>
          <w:rFonts w:ascii="Times New Roman" w:eastAsia="Calibri" w:hAnsi="Times New Roman"/>
          <w:sz w:val="24"/>
          <w:szCs w:val="24"/>
        </w:rPr>
        <w:t xml:space="preserve"> </w:t>
      </w:r>
      <w:r w:rsidRPr="00E572C9">
        <w:rPr>
          <w:rFonts w:ascii="Times New Roman" w:eastAsia="Calibri" w:hAnsi="Times New Roman"/>
          <w:sz w:val="24"/>
          <w:szCs w:val="24"/>
          <w:lang w:eastAsia="ro-RO"/>
        </w:rPr>
        <w:t xml:space="preserve">pe care operatorii economici </w:t>
      </w:r>
      <w:r w:rsidR="00030CCE" w:rsidRPr="00E572C9">
        <w:rPr>
          <w:rFonts w:ascii="Times New Roman" w:eastAsia="Calibri" w:hAnsi="Times New Roman"/>
          <w:sz w:val="24"/>
          <w:szCs w:val="24"/>
          <w:lang w:eastAsia="ro-RO"/>
        </w:rPr>
        <w:t>prevăzuți</w:t>
      </w:r>
      <w:r w:rsidRPr="00E572C9">
        <w:rPr>
          <w:rFonts w:ascii="Times New Roman" w:eastAsia="Calibri" w:hAnsi="Times New Roman"/>
          <w:sz w:val="24"/>
          <w:szCs w:val="24"/>
          <w:lang w:eastAsia="ro-RO"/>
        </w:rPr>
        <w:t xml:space="preserve"> la </w:t>
      </w:r>
      <w:hyperlink w:history="1">
        <w:r w:rsidRPr="00E572C9">
          <w:rPr>
            <w:rFonts w:ascii="Times New Roman" w:eastAsia="Calibri" w:hAnsi="Times New Roman"/>
            <w:sz w:val="24"/>
            <w:szCs w:val="24"/>
            <w:lang w:eastAsia="ro-RO"/>
          </w:rPr>
          <w:t>art. 9 alin. (1) lit. d)</w:t>
        </w:r>
      </w:hyperlink>
      <w:r w:rsidRPr="00E572C9">
        <w:rPr>
          <w:rFonts w:ascii="Times New Roman" w:eastAsia="Calibri" w:hAnsi="Times New Roman"/>
          <w:sz w:val="24"/>
          <w:szCs w:val="24"/>
          <w:lang w:eastAsia="ro-RO"/>
        </w:rPr>
        <w:t xml:space="preserve"> nu le-au raportat,</w:t>
      </w:r>
      <w:r w:rsidRPr="00E572C9">
        <w:rPr>
          <w:rFonts w:ascii="Times New Roman" w:eastAsia="Calibri" w:hAnsi="Times New Roman"/>
          <w:bCs/>
          <w:sz w:val="24"/>
          <w:szCs w:val="24"/>
          <w:lang w:eastAsia="ro-RO"/>
        </w:rPr>
        <w:t xml:space="preserve"> începând cu data de 1 ianuarie 2024, c</w:t>
      </w:r>
      <w:r w:rsidRPr="00E572C9">
        <w:rPr>
          <w:rFonts w:ascii="Times New Roman" w:eastAsia="Calibri" w:hAnsi="Times New Roman"/>
          <w:sz w:val="24"/>
          <w:szCs w:val="24"/>
          <w:lang w:eastAsia="ro-RO"/>
        </w:rPr>
        <w:t>a ambalaje SGR a</w:t>
      </w:r>
      <w:r w:rsidRPr="00E572C9">
        <w:rPr>
          <w:rFonts w:ascii="Times New Roman" w:eastAsia="Calibri" w:hAnsi="Times New Roman"/>
          <w:bCs/>
          <w:sz w:val="24"/>
          <w:szCs w:val="24"/>
          <w:lang w:eastAsia="ro-RO"/>
        </w:rPr>
        <w:t>dministratorului sistemului de garanție-returnare</w:t>
      </w:r>
      <w:r w:rsidRPr="004D5473">
        <w:rPr>
          <w:rFonts w:ascii="Times New Roman" w:eastAsia="Calibri" w:hAnsi="Times New Roman"/>
          <w:bCs/>
          <w:sz w:val="24"/>
          <w:szCs w:val="24"/>
          <w:lang w:eastAsia="ro-RO"/>
        </w:rPr>
        <w:t>.</w:t>
      </w:r>
      <w:r>
        <w:rPr>
          <w:rFonts w:ascii="Times New Roman" w:eastAsia="Calibri" w:hAnsi="Times New Roman"/>
          <w:bCs/>
          <w:sz w:val="24"/>
          <w:szCs w:val="24"/>
          <w:lang w:eastAsia="ro-RO"/>
        </w:rPr>
        <w:t>”</w:t>
      </w:r>
    </w:p>
    <w:p w14:paraId="3844D4D1" w14:textId="2A5A7E2F" w:rsidR="00EE7287" w:rsidRPr="00E572C9" w:rsidRDefault="000735CE" w:rsidP="00EE7287">
      <w:pPr>
        <w:spacing w:after="0" w:line="360" w:lineRule="auto"/>
        <w:ind w:left="0"/>
        <w:rPr>
          <w:rFonts w:ascii="Times New Roman" w:eastAsia="Calibri" w:hAnsi="Times New Roman"/>
          <w:b/>
          <w:sz w:val="24"/>
          <w:szCs w:val="24"/>
          <w:lang w:eastAsia="ro-RO"/>
        </w:rPr>
      </w:pPr>
      <w:r>
        <w:rPr>
          <w:rFonts w:ascii="Times New Roman" w:eastAsia="Calibri" w:hAnsi="Times New Roman"/>
          <w:b/>
          <w:sz w:val="24"/>
          <w:szCs w:val="24"/>
          <w:lang w:eastAsia="ro-RO"/>
        </w:rPr>
        <w:lastRenderedPageBreak/>
        <w:t>5</w:t>
      </w:r>
      <w:r w:rsidR="00EE7287" w:rsidRPr="00E572C9">
        <w:rPr>
          <w:rFonts w:ascii="Times New Roman" w:eastAsia="Calibri" w:hAnsi="Times New Roman"/>
          <w:b/>
          <w:sz w:val="24"/>
          <w:szCs w:val="24"/>
          <w:lang w:eastAsia="ro-RO"/>
        </w:rPr>
        <w:t>. La articolul 10</w:t>
      </w:r>
      <w:r w:rsidR="00EE7287">
        <w:rPr>
          <w:rFonts w:ascii="Times New Roman" w:eastAsia="Calibri" w:hAnsi="Times New Roman"/>
          <w:b/>
          <w:sz w:val="24"/>
          <w:szCs w:val="24"/>
          <w:lang w:eastAsia="ro-RO"/>
        </w:rPr>
        <w:t>,</w:t>
      </w:r>
      <w:r w:rsidR="00EE7287" w:rsidRPr="00E572C9">
        <w:rPr>
          <w:rFonts w:ascii="Times New Roman" w:eastAsia="Calibri" w:hAnsi="Times New Roman"/>
          <w:b/>
          <w:sz w:val="24"/>
          <w:szCs w:val="24"/>
          <w:lang w:eastAsia="ro-RO"/>
        </w:rPr>
        <w:t xml:space="preserve"> după alineatul (14)</w:t>
      </w:r>
      <w:r w:rsidR="00EE7287">
        <w:rPr>
          <w:rFonts w:ascii="Times New Roman" w:eastAsia="Calibri" w:hAnsi="Times New Roman"/>
          <w:b/>
          <w:sz w:val="24"/>
          <w:szCs w:val="24"/>
          <w:lang w:eastAsia="ro-RO"/>
        </w:rPr>
        <w:t xml:space="preserve"> </w:t>
      </w:r>
      <w:r w:rsidR="00EE7287" w:rsidRPr="00E572C9">
        <w:rPr>
          <w:rFonts w:ascii="Times New Roman" w:eastAsia="Calibri" w:hAnsi="Times New Roman"/>
          <w:b/>
          <w:sz w:val="24"/>
          <w:szCs w:val="24"/>
          <w:lang w:eastAsia="ro-RO"/>
        </w:rPr>
        <w:t xml:space="preserve">se introduce </w:t>
      </w:r>
      <w:r w:rsidR="00EE7287">
        <w:rPr>
          <w:rFonts w:ascii="Times New Roman" w:eastAsia="Calibri" w:hAnsi="Times New Roman"/>
          <w:b/>
          <w:sz w:val="24"/>
          <w:szCs w:val="24"/>
          <w:lang w:eastAsia="ro-RO"/>
        </w:rPr>
        <w:t>un nou a</w:t>
      </w:r>
      <w:r w:rsidR="00EE7287" w:rsidRPr="00E572C9">
        <w:rPr>
          <w:rFonts w:ascii="Times New Roman" w:eastAsia="Calibri" w:hAnsi="Times New Roman"/>
          <w:b/>
          <w:sz w:val="24"/>
          <w:szCs w:val="24"/>
          <w:lang w:eastAsia="ro-RO"/>
        </w:rPr>
        <w:t>lineat</w:t>
      </w:r>
      <w:r w:rsidR="00EE7287">
        <w:rPr>
          <w:rFonts w:ascii="Times New Roman" w:eastAsia="Calibri" w:hAnsi="Times New Roman"/>
          <w:b/>
          <w:sz w:val="24"/>
          <w:szCs w:val="24"/>
          <w:lang w:eastAsia="ro-RO"/>
        </w:rPr>
        <w:t xml:space="preserve">, alin. </w:t>
      </w:r>
      <w:r w:rsidR="00EE7287" w:rsidRPr="00E572C9">
        <w:rPr>
          <w:rFonts w:ascii="Times New Roman" w:eastAsia="Calibri" w:hAnsi="Times New Roman"/>
          <w:b/>
          <w:sz w:val="24"/>
          <w:szCs w:val="24"/>
          <w:lang w:eastAsia="ro-RO"/>
        </w:rPr>
        <w:t>(15)</w:t>
      </w:r>
      <w:r w:rsidR="00EE7287">
        <w:rPr>
          <w:rFonts w:ascii="Times New Roman" w:eastAsia="Calibri" w:hAnsi="Times New Roman"/>
          <w:b/>
          <w:sz w:val="24"/>
          <w:szCs w:val="24"/>
          <w:lang w:eastAsia="ro-RO"/>
        </w:rPr>
        <w:t>, cu următorul cuprins:</w:t>
      </w:r>
      <w:r w:rsidR="00EE7287" w:rsidRPr="00E572C9">
        <w:rPr>
          <w:rFonts w:ascii="Times New Roman" w:eastAsia="Calibri" w:hAnsi="Times New Roman"/>
          <w:b/>
          <w:sz w:val="24"/>
          <w:szCs w:val="24"/>
          <w:lang w:eastAsia="ro-RO"/>
        </w:rPr>
        <w:t xml:space="preserve"> </w:t>
      </w:r>
    </w:p>
    <w:p w14:paraId="43A52533" w14:textId="5703F920" w:rsidR="00EE7287" w:rsidRPr="00E572C9" w:rsidRDefault="00EE7287" w:rsidP="00EE7287">
      <w:pPr>
        <w:spacing w:after="200" w:line="360" w:lineRule="auto"/>
        <w:ind w:left="0"/>
        <w:rPr>
          <w:rFonts w:ascii="Times New Roman" w:eastAsia="Calibri" w:hAnsi="Times New Roman"/>
          <w:sz w:val="24"/>
          <w:szCs w:val="24"/>
          <w:lang w:eastAsia="ro-RO"/>
        </w:rPr>
      </w:pPr>
      <w:r>
        <w:rPr>
          <w:rFonts w:ascii="Times New Roman" w:eastAsia="Calibri" w:hAnsi="Times New Roman"/>
          <w:sz w:val="24"/>
          <w:szCs w:val="24"/>
          <w:lang w:eastAsia="ro-RO"/>
        </w:rPr>
        <w:t>„</w:t>
      </w:r>
      <w:r w:rsidRPr="00E572C9">
        <w:rPr>
          <w:rFonts w:ascii="Times New Roman" w:eastAsia="Calibri" w:hAnsi="Times New Roman"/>
          <w:sz w:val="24"/>
          <w:szCs w:val="24"/>
          <w:lang w:eastAsia="ro-RO"/>
        </w:rPr>
        <w:t>(15) A</w:t>
      </w:r>
      <w:r w:rsidRPr="00E572C9">
        <w:rPr>
          <w:rFonts w:ascii="Times New Roman" w:eastAsia="Calibri" w:hAnsi="Times New Roman"/>
          <w:bCs/>
          <w:sz w:val="24"/>
          <w:szCs w:val="24"/>
          <w:lang w:eastAsia="ro-RO"/>
        </w:rPr>
        <w:t>dministratorul sistemului de garanție-returnare</w:t>
      </w:r>
      <w:r>
        <w:rPr>
          <w:rFonts w:ascii="Times New Roman" w:eastAsia="Calibri" w:hAnsi="Times New Roman"/>
          <w:bCs/>
          <w:sz w:val="24"/>
          <w:szCs w:val="24"/>
          <w:lang w:eastAsia="ro-RO"/>
        </w:rPr>
        <w:t xml:space="preserve"> </w:t>
      </w:r>
      <w:r w:rsidRPr="00E572C9">
        <w:rPr>
          <w:rFonts w:ascii="Times New Roman" w:eastAsia="Calibri" w:hAnsi="Times New Roman"/>
          <w:sz w:val="24"/>
          <w:szCs w:val="24"/>
          <w:lang w:eastAsia="ro-RO"/>
        </w:rPr>
        <w:t xml:space="preserve">este obligat să declare semestrial, până la data de 25 a lunii următoare semestrului de raportare, </w:t>
      </w:r>
      <w:r w:rsidR="00030CCE" w:rsidRPr="00E572C9">
        <w:rPr>
          <w:rFonts w:ascii="Times New Roman" w:eastAsia="Calibri" w:hAnsi="Times New Roman"/>
          <w:sz w:val="24"/>
          <w:szCs w:val="24"/>
          <w:lang w:eastAsia="ro-RO"/>
        </w:rPr>
        <w:t>cantitățile</w:t>
      </w:r>
      <w:r w:rsidRPr="00E572C9">
        <w:rPr>
          <w:rFonts w:ascii="Times New Roman" w:eastAsia="Calibri" w:hAnsi="Times New Roman"/>
          <w:sz w:val="24"/>
          <w:szCs w:val="24"/>
          <w:lang w:eastAsia="ro-RO"/>
        </w:rPr>
        <w:t xml:space="preserve"> de ambalaje, respectiv cantitățile de </w:t>
      </w:r>
      <w:r w:rsidR="00030CCE" w:rsidRPr="00E572C9">
        <w:rPr>
          <w:rFonts w:ascii="Times New Roman" w:eastAsia="Calibri" w:hAnsi="Times New Roman"/>
          <w:sz w:val="24"/>
          <w:szCs w:val="24"/>
          <w:lang w:eastAsia="ro-RO"/>
        </w:rPr>
        <w:t>deșeuri</w:t>
      </w:r>
      <w:r w:rsidRPr="00E572C9">
        <w:rPr>
          <w:rFonts w:ascii="Times New Roman" w:eastAsia="Calibri" w:hAnsi="Times New Roman"/>
          <w:sz w:val="24"/>
          <w:szCs w:val="24"/>
          <w:lang w:eastAsia="ro-RO"/>
        </w:rPr>
        <w:t xml:space="preserve"> de ambalaje valorificate în numele producătorilor cu care are contract </w:t>
      </w:r>
      <w:r w:rsidRPr="00E572C9">
        <w:rPr>
          <w:rFonts w:ascii="Times New Roman" w:eastAsia="Calibri" w:hAnsi="Times New Roman"/>
          <w:sz w:val="24"/>
          <w:szCs w:val="24"/>
        </w:rPr>
        <w:t xml:space="preserve">în vederea îndeplinirii </w:t>
      </w:r>
      <w:r w:rsidR="00030CCE" w:rsidRPr="00E572C9">
        <w:rPr>
          <w:rFonts w:ascii="Times New Roman" w:eastAsia="Calibri" w:hAnsi="Times New Roman"/>
          <w:sz w:val="24"/>
          <w:szCs w:val="24"/>
        </w:rPr>
        <w:t>obligațiilor</w:t>
      </w:r>
      <w:r w:rsidRPr="00E572C9">
        <w:rPr>
          <w:rFonts w:ascii="Times New Roman" w:eastAsia="Calibri" w:hAnsi="Times New Roman"/>
          <w:sz w:val="24"/>
          <w:szCs w:val="24"/>
        </w:rPr>
        <w:t xml:space="preserve"> prevăzute de Hotărârea </w:t>
      </w:r>
      <w:r>
        <w:rPr>
          <w:rFonts w:ascii="Times New Roman" w:eastAsia="Calibri" w:hAnsi="Times New Roman"/>
          <w:sz w:val="24"/>
          <w:szCs w:val="24"/>
        </w:rPr>
        <w:t xml:space="preserve">Guvernului </w:t>
      </w:r>
      <w:r w:rsidRPr="00E572C9">
        <w:rPr>
          <w:rFonts w:ascii="Times New Roman" w:eastAsia="Calibri" w:hAnsi="Times New Roman"/>
          <w:sz w:val="24"/>
          <w:szCs w:val="24"/>
        </w:rPr>
        <w:t>nr. 1074</w:t>
      </w:r>
      <w:r>
        <w:rPr>
          <w:rFonts w:ascii="Times New Roman" w:eastAsia="Calibri" w:hAnsi="Times New Roman"/>
          <w:sz w:val="24"/>
          <w:szCs w:val="24"/>
        </w:rPr>
        <w:t>/</w:t>
      </w:r>
      <w:r w:rsidRPr="00E572C9">
        <w:rPr>
          <w:rFonts w:ascii="Times New Roman" w:eastAsia="Calibri" w:hAnsi="Times New Roman"/>
          <w:sz w:val="24"/>
          <w:szCs w:val="24"/>
        </w:rPr>
        <w:t>2021</w:t>
      </w:r>
      <w:r>
        <w:rPr>
          <w:rFonts w:ascii="Times New Roman" w:eastAsia="Calibri" w:hAnsi="Times New Roman"/>
          <w:sz w:val="24"/>
          <w:szCs w:val="24"/>
        </w:rPr>
        <w:t xml:space="preserve">, </w:t>
      </w:r>
      <w:r w:rsidRPr="00E572C9">
        <w:rPr>
          <w:rFonts w:ascii="Times New Roman" w:eastAsia="Calibri" w:hAnsi="Times New Roman"/>
          <w:sz w:val="24"/>
          <w:szCs w:val="24"/>
        </w:rPr>
        <w:t>republicată</w:t>
      </w:r>
      <w:r>
        <w:rPr>
          <w:rFonts w:ascii="Times New Roman" w:eastAsia="Calibri" w:hAnsi="Times New Roman"/>
          <w:sz w:val="24"/>
          <w:szCs w:val="24"/>
        </w:rPr>
        <w:t>, cu modificările și completările ulterioare</w:t>
      </w:r>
      <w:r w:rsidRPr="00E572C9">
        <w:rPr>
          <w:rFonts w:ascii="Times New Roman" w:eastAsia="Calibri" w:hAnsi="Times New Roman"/>
          <w:sz w:val="24"/>
          <w:szCs w:val="24"/>
        </w:rPr>
        <w:t>.</w:t>
      </w:r>
      <w:r>
        <w:rPr>
          <w:rFonts w:ascii="Times New Roman" w:eastAsia="Calibri" w:hAnsi="Times New Roman"/>
          <w:sz w:val="24"/>
          <w:szCs w:val="24"/>
          <w:lang w:eastAsia="ro-RO"/>
        </w:rPr>
        <w:t>”</w:t>
      </w:r>
    </w:p>
    <w:p w14:paraId="3190F61C" w14:textId="7654D030" w:rsidR="00EE7287" w:rsidRPr="00010755" w:rsidRDefault="000735CE" w:rsidP="00EE7287">
      <w:pPr>
        <w:spacing w:after="0" w:line="360" w:lineRule="auto"/>
        <w:ind w:left="0"/>
        <w:rPr>
          <w:rFonts w:ascii="Times New Roman" w:eastAsia="Calibri" w:hAnsi="Times New Roman"/>
          <w:b/>
          <w:sz w:val="24"/>
          <w:szCs w:val="24"/>
          <w:lang w:eastAsia="ro-RO"/>
        </w:rPr>
      </w:pPr>
      <w:r>
        <w:rPr>
          <w:rFonts w:ascii="Times New Roman" w:eastAsia="Calibri" w:hAnsi="Times New Roman"/>
          <w:b/>
          <w:sz w:val="24"/>
          <w:szCs w:val="24"/>
          <w:lang w:eastAsia="ro-RO"/>
        </w:rPr>
        <w:t>6</w:t>
      </w:r>
      <w:r w:rsidR="00EE7287" w:rsidRPr="00E572C9">
        <w:rPr>
          <w:rFonts w:ascii="Times New Roman" w:eastAsia="Calibri" w:hAnsi="Times New Roman"/>
          <w:b/>
          <w:sz w:val="24"/>
          <w:szCs w:val="24"/>
          <w:lang w:eastAsia="ro-RO"/>
        </w:rPr>
        <w:t xml:space="preserve">. </w:t>
      </w:r>
      <w:r w:rsidR="00EE7287">
        <w:rPr>
          <w:rFonts w:ascii="Times New Roman" w:eastAsia="Calibri" w:hAnsi="Times New Roman"/>
          <w:b/>
          <w:sz w:val="24"/>
          <w:szCs w:val="24"/>
          <w:lang w:eastAsia="ro-RO"/>
        </w:rPr>
        <w:t>L</w:t>
      </w:r>
      <w:r w:rsidR="00EE7287" w:rsidRPr="00010755">
        <w:rPr>
          <w:rFonts w:ascii="Times New Roman" w:eastAsia="Calibri" w:hAnsi="Times New Roman"/>
          <w:b/>
          <w:sz w:val="24"/>
          <w:szCs w:val="24"/>
          <w:lang w:eastAsia="ro-RO"/>
        </w:rPr>
        <w:t>a articolul 11, alineatul (2</w:t>
      </w:r>
      <w:r w:rsidR="00EE7287" w:rsidRPr="00096D3D">
        <w:rPr>
          <w:rFonts w:ascii="Times New Roman" w:eastAsia="Calibri" w:hAnsi="Times New Roman"/>
          <w:b/>
          <w:sz w:val="24"/>
          <w:szCs w:val="24"/>
          <w:vertAlign w:val="superscript"/>
          <w:lang w:eastAsia="ro-RO"/>
        </w:rPr>
        <w:t>5</w:t>
      </w:r>
      <w:r w:rsidR="00EE7287" w:rsidRPr="00010755">
        <w:rPr>
          <w:rFonts w:ascii="Times New Roman" w:eastAsia="Calibri" w:hAnsi="Times New Roman"/>
          <w:b/>
          <w:sz w:val="24"/>
          <w:szCs w:val="24"/>
          <w:lang w:eastAsia="ro-RO"/>
        </w:rPr>
        <w:t>) se modifică și v</w:t>
      </w:r>
      <w:r w:rsidR="00EE7287">
        <w:rPr>
          <w:rFonts w:ascii="Times New Roman" w:eastAsia="Calibri" w:hAnsi="Times New Roman"/>
          <w:b/>
          <w:sz w:val="24"/>
          <w:szCs w:val="24"/>
          <w:lang w:eastAsia="ro-RO"/>
        </w:rPr>
        <w:t>a</w:t>
      </w:r>
      <w:r w:rsidR="00EE7287" w:rsidRPr="00010755">
        <w:rPr>
          <w:rFonts w:ascii="Times New Roman" w:eastAsia="Calibri" w:hAnsi="Times New Roman"/>
          <w:b/>
          <w:sz w:val="24"/>
          <w:szCs w:val="24"/>
          <w:lang w:eastAsia="ro-RO"/>
        </w:rPr>
        <w:t xml:space="preserve"> avea următorul cuprins:</w:t>
      </w:r>
    </w:p>
    <w:p w14:paraId="213E6F2F" w14:textId="7D099794" w:rsidR="00EE7287" w:rsidRDefault="00EE7287" w:rsidP="00EE7287">
      <w:pPr>
        <w:spacing w:after="200" w:line="360" w:lineRule="auto"/>
        <w:ind w:left="0"/>
        <w:rPr>
          <w:rFonts w:ascii="Times New Roman" w:eastAsia="Calibri" w:hAnsi="Times New Roman"/>
          <w:sz w:val="24"/>
          <w:szCs w:val="24"/>
        </w:rPr>
      </w:pPr>
      <w:r w:rsidRPr="00096D3D">
        <w:rPr>
          <w:rFonts w:ascii="Times New Roman" w:eastAsia="Calibri" w:hAnsi="Times New Roman"/>
          <w:sz w:val="24"/>
          <w:szCs w:val="24"/>
        </w:rPr>
        <w:t>„</w:t>
      </w:r>
      <w:r w:rsidRPr="00313732">
        <w:rPr>
          <w:rFonts w:ascii="Times New Roman" w:eastAsia="Calibri" w:hAnsi="Times New Roman"/>
          <w:sz w:val="24"/>
          <w:szCs w:val="24"/>
        </w:rPr>
        <w:t>(2</w:t>
      </w:r>
      <w:r w:rsidRPr="00096D3D">
        <w:rPr>
          <w:rFonts w:ascii="Times New Roman" w:eastAsia="Calibri" w:hAnsi="Times New Roman"/>
          <w:sz w:val="24"/>
          <w:szCs w:val="24"/>
          <w:vertAlign w:val="superscript"/>
        </w:rPr>
        <w:t>5</w:t>
      </w:r>
      <w:r w:rsidRPr="00313732">
        <w:rPr>
          <w:rFonts w:ascii="Times New Roman" w:eastAsia="Calibri" w:hAnsi="Times New Roman"/>
          <w:sz w:val="24"/>
          <w:szCs w:val="24"/>
        </w:rPr>
        <w:t xml:space="preserve">) Sumele prevăzute la art. 9 alin. (1) </w:t>
      </w:r>
      <w:r w:rsidRPr="00B60727">
        <w:rPr>
          <w:rFonts w:ascii="Times New Roman" w:eastAsia="Calibri" w:hAnsi="Times New Roman"/>
          <w:sz w:val="24"/>
          <w:szCs w:val="24"/>
        </w:rPr>
        <w:t xml:space="preserve">lit. z) </w:t>
      </w:r>
      <w:r w:rsidRPr="00572961">
        <w:rPr>
          <w:rFonts w:ascii="Times New Roman" w:eastAsia="Calibri" w:hAnsi="Times New Roman"/>
          <w:sz w:val="24"/>
          <w:szCs w:val="24"/>
        </w:rPr>
        <w:t xml:space="preserve">și </w:t>
      </w:r>
      <w:hyperlink r:id="rId9" w:anchor="p-543840977" w:tgtFrame="_blank" w:history="1">
        <w:r w:rsidRPr="00D963A1">
          <w:rPr>
            <w:rStyle w:val="Hyperlink"/>
            <w:rFonts w:ascii="Times New Roman" w:eastAsia="Calibri" w:hAnsi="Times New Roman"/>
            <w:color w:val="auto"/>
            <w:sz w:val="24"/>
            <w:szCs w:val="24"/>
            <w:u w:val="none"/>
          </w:rPr>
          <w:t>lit. z</w:t>
        </w:r>
        <w:r w:rsidRPr="00D963A1">
          <w:rPr>
            <w:rStyle w:val="Hyperlink"/>
            <w:rFonts w:ascii="Times New Roman" w:eastAsia="Calibri" w:hAnsi="Times New Roman"/>
            <w:color w:val="auto"/>
            <w:sz w:val="24"/>
            <w:szCs w:val="24"/>
            <w:u w:val="none"/>
            <w:vertAlign w:val="superscript"/>
          </w:rPr>
          <w:t>1</w:t>
        </w:r>
        <w:r w:rsidRPr="00D963A1">
          <w:rPr>
            <w:rStyle w:val="Hyperlink"/>
            <w:rFonts w:ascii="Times New Roman" w:eastAsia="Calibri" w:hAnsi="Times New Roman"/>
            <w:color w:val="auto"/>
            <w:sz w:val="24"/>
            <w:szCs w:val="24"/>
            <w:u w:val="none"/>
          </w:rPr>
          <w:t>)</w:t>
        </w:r>
      </w:hyperlink>
      <w:r w:rsidRPr="00572961">
        <w:rPr>
          <w:rFonts w:ascii="Times New Roman" w:eastAsia="Calibri" w:hAnsi="Times New Roman"/>
          <w:sz w:val="24"/>
          <w:szCs w:val="24"/>
        </w:rPr>
        <w:t xml:space="preserve"> se datorează </w:t>
      </w:r>
      <w:r w:rsidRPr="008A7DC7">
        <w:rPr>
          <w:rFonts w:ascii="Times New Roman" w:eastAsia="Calibri" w:hAnsi="Times New Roman"/>
          <w:sz w:val="24"/>
          <w:szCs w:val="24"/>
        </w:rPr>
        <w:t>anual de către operatorii economici</w:t>
      </w:r>
      <w:r w:rsidRPr="00313732">
        <w:rPr>
          <w:rFonts w:ascii="Times New Roman" w:eastAsia="Calibri" w:hAnsi="Times New Roman"/>
          <w:sz w:val="24"/>
          <w:szCs w:val="24"/>
        </w:rPr>
        <w:t xml:space="preserve"> </w:t>
      </w:r>
      <w:r w:rsidR="00030CCE" w:rsidRPr="00313732">
        <w:rPr>
          <w:rFonts w:ascii="Times New Roman" w:eastAsia="Calibri" w:hAnsi="Times New Roman"/>
          <w:sz w:val="24"/>
          <w:szCs w:val="24"/>
        </w:rPr>
        <w:t>prevăzuți</w:t>
      </w:r>
      <w:r w:rsidRPr="00313732">
        <w:rPr>
          <w:rFonts w:ascii="Times New Roman" w:eastAsia="Calibri" w:hAnsi="Times New Roman"/>
          <w:sz w:val="24"/>
          <w:szCs w:val="24"/>
        </w:rPr>
        <w:t xml:space="preserve"> la art. 16 alin. (1) din Legea nr. 249/2015, cu modificările şi completările ulterioare, şi se plătesc prin intermediul administratorului sistemului de </w:t>
      </w:r>
      <w:r w:rsidR="00030CCE" w:rsidRPr="00313732">
        <w:rPr>
          <w:rFonts w:ascii="Times New Roman" w:eastAsia="Calibri" w:hAnsi="Times New Roman"/>
          <w:sz w:val="24"/>
          <w:szCs w:val="24"/>
        </w:rPr>
        <w:t>garanție</w:t>
      </w:r>
      <w:r w:rsidRPr="00313732">
        <w:rPr>
          <w:rFonts w:ascii="Times New Roman" w:eastAsia="Calibri" w:hAnsi="Times New Roman"/>
          <w:sz w:val="24"/>
          <w:szCs w:val="24"/>
        </w:rPr>
        <w:t>-returnare până la data de 25 ianuarie inclusiv a anului următor.</w:t>
      </w:r>
      <w:r w:rsidR="00572961">
        <w:rPr>
          <w:rFonts w:ascii="Times New Roman" w:eastAsia="Calibri" w:hAnsi="Times New Roman"/>
          <w:sz w:val="24"/>
          <w:szCs w:val="24"/>
        </w:rPr>
        <w:t>”</w:t>
      </w:r>
    </w:p>
    <w:p w14:paraId="733C1DD6" w14:textId="24536012" w:rsidR="00EE7287" w:rsidRPr="0068680C" w:rsidRDefault="000735CE" w:rsidP="00EE7287">
      <w:pPr>
        <w:spacing w:after="0" w:line="360" w:lineRule="auto"/>
        <w:ind w:left="0"/>
        <w:rPr>
          <w:rFonts w:ascii="Times New Roman" w:eastAsia="Calibri" w:hAnsi="Times New Roman"/>
          <w:b/>
          <w:bCs/>
          <w:sz w:val="24"/>
          <w:szCs w:val="24"/>
          <w:lang w:eastAsia="ro-RO"/>
        </w:rPr>
      </w:pPr>
      <w:r>
        <w:rPr>
          <w:rFonts w:ascii="Times New Roman" w:eastAsia="Calibri" w:hAnsi="Times New Roman"/>
          <w:b/>
          <w:bCs/>
          <w:sz w:val="24"/>
          <w:szCs w:val="24"/>
          <w:lang w:eastAsia="ro-RO"/>
        </w:rPr>
        <w:t>7</w:t>
      </w:r>
      <w:r w:rsidR="00EE7287" w:rsidRPr="0068680C">
        <w:rPr>
          <w:rFonts w:ascii="Times New Roman" w:eastAsia="Calibri" w:hAnsi="Times New Roman"/>
          <w:b/>
          <w:bCs/>
          <w:sz w:val="24"/>
          <w:szCs w:val="24"/>
          <w:lang w:eastAsia="ro-RO"/>
        </w:rPr>
        <w:t>. La articolul 13, alineatul (5</w:t>
      </w:r>
      <w:r w:rsidR="00EE7287" w:rsidRPr="0068680C">
        <w:rPr>
          <w:rFonts w:ascii="Times New Roman" w:eastAsia="Calibri" w:hAnsi="Times New Roman"/>
          <w:b/>
          <w:bCs/>
          <w:sz w:val="24"/>
          <w:szCs w:val="24"/>
          <w:vertAlign w:val="superscript"/>
          <w:lang w:eastAsia="ro-RO"/>
        </w:rPr>
        <w:t>13</w:t>
      </w:r>
      <w:r w:rsidR="00EE7287" w:rsidRPr="0068680C">
        <w:rPr>
          <w:rFonts w:ascii="Times New Roman" w:eastAsia="Calibri" w:hAnsi="Times New Roman"/>
          <w:b/>
          <w:bCs/>
          <w:sz w:val="24"/>
          <w:szCs w:val="24"/>
          <w:lang w:eastAsia="ro-RO"/>
        </w:rPr>
        <w:t>) se modifică și va avea următorul cuprins:</w:t>
      </w:r>
    </w:p>
    <w:p w14:paraId="64518AAF" w14:textId="548A0509" w:rsidR="00EE7287" w:rsidRPr="0068680C" w:rsidRDefault="00EE7287" w:rsidP="00EE7287">
      <w:pPr>
        <w:spacing w:after="0" w:line="360" w:lineRule="auto"/>
        <w:ind w:left="0"/>
        <w:rPr>
          <w:rFonts w:ascii="Times New Roman" w:eastAsia="Calibri" w:hAnsi="Times New Roman"/>
          <w:b/>
          <w:sz w:val="24"/>
          <w:szCs w:val="24"/>
          <w:lang w:eastAsia="ro-RO"/>
        </w:rPr>
      </w:pPr>
      <w:r w:rsidRPr="0068680C">
        <w:rPr>
          <w:rFonts w:ascii="Times New Roman" w:eastAsia="Calibri" w:hAnsi="Times New Roman"/>
          <w:sz w:val="24"/>
          <w:szCs w:val="24"/>
          <w:lang w:eastAsia="ro-RO"/>
        </w:rPr>
        <w:t>„(5</w:t>
      </w:r>
      <w:r w:rsidRPr="0068680C">
        <w:rPr>
          <w:rFonts w:ascii="Times New Roman" w:eastAsia="Calibri" w:hAnsi="Times New Roman"/>
          <w:sz w:val="24"/>
          <w:szCs w:val="24"/>
          <w:vertAlign w:val="superscript"/>
          <w:lang w:eastAsia="ro-RO"/>
        </w:rPr>
        <w:t>13</w:t>
      </w:r>
      <w:r w:rsidRPr="0068680C">
        <w:rPr>
          <w:rFonts w:ascii="Times New Roman" w:eastAsia="Calibri" w:hAnsi="Times New Roman"/>
          <w:sz w:val="24"/>
          <w:szCs w:val="24"/>
          <w:lang w:eastAsia="ro-RO"/>
        </w:rPr>
        <w:t>) În cadrul proiectelor și programelor pentru  protecția mediului prevăzute la alin.</w:t>
      </w:r>
      <w:r w:rsidR="00C048A6">
        <w:rPr>
          <w:rFonts w:ascii="Times New Roman" w:eastAsia="Calibri" w:hAnsi="Times New Roman"/>
          <w:sz w:val="24"/>
          <w:szCs w:val="24"/>
          <w:lang w:eastAsia="ro-RO"/>
        </w:rPr>
        <w:t xml:space="preserve"> </w:t>
      </w:r>
      <w:r w:rsidRPr="0068680C">
        <w:rPr>
          <w:rFonts w:ascii="Times New Roman" w:eastAsia="Calibri" w:hAnsi="Times New Roman"/>
          <w:sz w:val="24"/>
          <w:szCs w:val="24"/>
          <w:lang w:eastAsia="ro-RO"/>
        </w:rPr>
        <w:t>(1) lit.</w:t>
      </w:r>
      <w:r w:rsidR="00C048A6">
        <w:rPr>
          <w:rFonts w:ascii="Times New Roman" w:eastAsia="Calibri" w:hAnsi="Times New Roman"/>
          <w:sz w:val="24"/>
          <w:szCs w:val="24"/>
          <w:lang w:eastAsia="ro-RO"/>
        </w:rPr>
        <w:t xml:space="preserve"> </w:t>
      </w:r>
      <w:r w:rsidRPr="0068680C">
        <w:rPr>
          <w:rFonts w:ascii="Times New Roman" w:eastAsia="Calibri" w:hAnsi="Times New Roman"/>
          <w:sz w:val="24"/>
          <w:szCs w:val="24"/>
          <w:lang w:eastAsia="ro-RO"/>
        </w:rPr>
        <w:t>ii), categoriile de cheltuieli aprobate anterior încheierii contractelor de finanțare cu  Administrația Fondului pentru Mediu pentru a fi finanțate prin Programul Operațional Infrastructură Mare (POIM) 2014-2020, în cadrul Axei Prioritare 8-Sisteme inteligente și sustenabile de  transport al energiei electrice și gazelor naturale, Obiectivul Specific 8.2-Creșterea gradului de interconectare a Sistemului Național de Transport a gazelor naturale cu alte state vecine, aferente investițiilor/lucrărilor, prestărilor de servicii, achizițiilor de bunuri contractate și/sau achiziționate, după caz, efectuate de unitățile administrativ-teritoriale și asociațiile de dezvoltare intercomunitară în  baza contractelor de finanțare încheiate cu autoritatea de management, se pot deconta din veniturile Fondului pentru mediu, în conformitate cu prevederile art.</w:t>
      </w:r>
      <w:r w:rsidR="00C048A6">
        <w:rPr>
          <w:rFonts w:ascii="Times New Roman" w:eastAsia="Calibri" w:hAnsi="Times New Roman"/>
          <w:sz w:val="24"/>
          <w:szCs w:val="24"/>
          <w:lang w:eastAsia="ro-RO"/>
        </w:rPr>
        <w:t xml:space="preserve"> </w:t>
      </w:r>
      <w:r w:rsidRPr="0068680C">
        <w:rPr>
          <w:rFonts w:ascii="Times New Roman" w:eastAsia="Calibri" w:hAnsi="Times New Roman"/>
          <w:sz w:val="24"/>
          <w:szCs w:val="24"/>
          <w:lang w:eastAsia="ro-RO"/>
        </w:rPr>
        <w:t>12 din Ordonanța de urgență nr. 115/2011 privind stabilirea cadrului instituțional și autorizarea Guvernului prin Ministerul Finanțelor, de a scoate la licitație certificatele de emisii de gaze cu efect de seră atribuite României la nivelul Uniunii Europene, aprobată prin Legea nr.163/2012, cu modificările și completările ulterioare, și cu condiția ca respectivele cheltuieli să nu fi fost rambursate parțial/integral din fonduri europene, prin alte programe naționale susținute din fonduri publice ori din ajutoare de stat/minimis.”</w:t>
      </w:r>
    </w:p>
    <w:p w14:paraId="274243CD" w14:textId="77777777" w:rsidR="00EE7287" w:rsidRPr="00E572C9" w:rsidRDefault="00EE7287" w:rsidP="00EE7287">
      <w:pPr>
        <w:spacing w:after="0" w:line="360" w:lineRule="auto"/>
        <w:rPr>
          <w:rFonts w:ascii="Times New Roman" w:eastAsia="Calibri" w:hAnsi="Times New Roman"/>
          <w:sz w:val="24"/>
          <w:szCs w:val="24"/>
          <w:lang w:eastAsia="ro-RO"/>
        </w:rPr>
      </w:pPr>
    </w:p>
    <w:p w14:paraId="7A372AA6" w14:textId="77777777" w:rsidR="003E140A" w:rsidRDefault="003E140A" w:rsidP="00D963A1">
      <w:pPr>
        <w:spacing w:after="0" w:line="360" w:lineRule="auto"/>
        <w:ind w:left="0" w:right="337"/>
        <w:rPr>
          <w:rFonts w:ascii="Times New Roman" w:hAnsi="Times New Roman"/>
          <w:b/>
          <w:sz w:val="24"/>
          <w:szCs w:val="24"/>
        </w:rPr>
      </w:pPr>
    </w:p>
    <w:p w14:paraId="0F5A6176" w14:textId="287DB937" w:rsidR="003E140A" w:rsidRPr="001E5870" w:rsidRDefault="003E140A" w:rsidP="003E140A">
      <w:pPr>
        <w:spacing w:after="0" w:line="360" w:lineRule="auto"/>
        <w:ind w:left="0" w:right="337"/>
        <w:jc w:val="center"/>
        <w:rPr>
          <w:rFonts w:ascii="Times New Roman" w:hAnsi="Times New Roman"/>
          <w:sz w:val="24"/>
          <w:szCs w:val="24"/>
        </w:rPr>
      </w:pPr>
      <w:r w:rsidRPr="001E5870">
        <w:rPr>
          <w:rFonts w:ascii="Times New Roman" w:hAnsi="Times New Roman"/>
          <w:b/>
          <w:sz w:val="24"/>
          <w:szCs w:val="24"/>
        </w:rPr>
        <w:t>PRIM - MINISTRU</w:t>
      </w:r>
    </w:p>
    <w:p w14:paraId="1959B0A7" w14:textId="77777777" w:rsidR="003E140A" w:rsidRDefault="003E140A" w:rsidP="003E140A">
      <w:pPr>
        <w:spacing w:after="0" w:line="360" w:lineRule="auto"/>
        <w:ind w:left="0" w:right="337"/>
        <w:jc w:val="center"/>
        <w:rPr>
          <w:rFonts w:ascii="Times New Roman" w:hAnsi="Times New Roman"/>
          <w:b/>
          <w:sz w:val="24"/>
          <w:szCs w:val="24"/>
        </w:rPr>
      </w:pPr>
      <w:r w:rsidRPr="001E5870">
        <w:rPr>
          <w:rFonts w:ascii="Times New Roman" w:hAnsi="Times New Roman"/>
          <w:b/>
          <w:sz w:val="24"/>
          <w:szCs w:val="24"/>
        </w:rPr>
        <w:t>ION-MARCEL CIOLACU</w:t>
      </w:r>
    </w:p>
    <w:p w14:paraId="499DE8C9" w14:textId="20DAC6C5" w:rsidR="00397739" w:rsidRDefault="00397739">
      <w:pPr>
        <w:spacing w:after="0" w:line="240" w:lineRule="auto"/>
        <w:ind w:left="0"/>
        <w:jc w:val="left"/>
        <w:rPr>
          <w:rFonts w:ascii="Times New Roman" w:hAnsi="Times New Roman"/>
          <w:bCs/>
          <w:sz w:val="24"/>
          <w:szCs w:val="24"/>
        </w:rPr>
      </w:pPr>
    </w:p>
    <w:p w14:paraId="56808B33" w14:textId="540BE49E" w:rsidR="00397739" w:rsidRPr="005E1B8E" w:rsidRDefault="00397739" w:rsidP="005E1B8E">
      <w:pPr>
        <w:spacing w:after="0" w:line="240" w:lineRule="auto"/>
        <w:ind w:left="0"/>
        <w:jc w:val="left"/>
        <w:rPr>
          <w:rFonts w:ascii="Times New Roman" w:eastAsia="Arial" w:hAnsi="Times New Roman"/>
          <w:b/>
          <w:sz w:val="24"/>
          <w:szCs w:val="24"/>
        </w:rPr>
      </w:pPr>
    </w:p>
    <w:sectPr w:rsidR="00397739" w:rsidRPr="005E1B8E" w:rsidSect="005A52C0">
      <w:headerReference w:type="even" r:id="rId10"/>
      <w:headerReference w:type="default" r:id="rId11"/>
      <w:footerReference w:type="even" r:id="rId12"/>
      <w:footerReference w:type="default" r:id="rId13"/>
      <w:headerReference w:type="first" r:id="rId14"/>
      <w:footerReference w:type="first" r:id="rId15"/>
      <w:pgSz w:w="11906" w:h="16838"/>
      <w:pgMar w:top="630" w:right="836" w:bottom="1134" w:left="9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7D7FD" w14:textId="77777777" w:rsidR="00BC1A7C" w:rsidRDefault="00BC1A7C">
      <w:pPr>
        <w:spacing w:after="0" w:line="240" w:lineRule="auto"/>
      </w:pPr>
      <w:r>
        <w:separator/>
      </w:r>
    </w:p>
  </w:endnote>
  <w:endnote w:type="continuationSeparator" w:id="0">
    <w:p w14:paraId="2D1DC849" w14:textId="77777777" w:rsidR="00BC1A7C" w:rsidRDefault="00BC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B907" w14:textId="77777777" w:rsidR="00144DEB" w:rsidRDefault="0014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C875" w14:textId="77777777" w:rsidR="00144DEB" w:rsidRDefault="00144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673A" w14:textId="77777777" w:rsidR="00144DEB" w:rsidRDefault="0014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ED8AE" w14:textId="77777777" w:rsidR="00BC1A7C" w:rsidRDefault="00BC1A7C">
      <w:pPr>
        <w:spacing w:after="0" w:line="240" w:lineRule="auto"/>
      </w:pPr>
      <w:r>
        <w:separator/>
      </w:r>
    </w:p>
  </w:footnote>
  <w:footnote w:type="continuationSeparator" w:id="0">
    <w:p w14:paraId="28AB7880" w14:textId="77777777" w:rsidR="00BC1A7C" w:rsidRDefault="00BC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C9E0" w14:textId="77777777" w:rsidR="00144DEB" w:rsidRDefault="0014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32B7" w14:textId="77777777" w:rsidR="00144DEB" w:rsidRDefault="00144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BE99" w14:textId="77777777" w:rsidR="00144DEB" w:rsidRDefault="00144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1433B"/>
    <w:multiLevelType w:val="hybridMultilevel"/>
    <w:tmpl w:val="3A2E63A0"/>
    <w:lvl w:ilvl="0" w:tplc="5E2E660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516025"/>
    <w:multiLevelType w:val="hybridMultilevel"/>
    <w:tmpl w:val="279A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50C3B"/>
    <w:multiLevelType w:val="hybridMultilevel"/>
    <w:tmpl w:val="AD729AC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7A943C1"/>
    <w:multiLevelType w:val="hybridMultilevel"/>
    <w:tmpl w:val="28A8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801EE"/>
    <w:multiLevelType w:val="hybridMultilevel"/>
    <w:tmpl w:val="DD28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96138">
    <w:abstractNumId w:val="2"/>
  </w:num>
  <w:num w:numId="2" w16cid:durableId="1157302256">
    <w:abstractNumId w:val="1"/>
  </w:num>
  <w:num w:numId="3" w16cid:durableId="161624268">
    <w:abstractNumId w:val="0"/>
  </w:num>
  <w:num w:numId="4" w16cid:durableId="1093824038">
    <w:abstractNumId w:val="4"/>
  </w:num>
  <w:num w:numId="5" w16cid:durableId="87295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FC"/>
    <w:rsid w:val="000000F8"/>
    <w:rsid w:val="00012C1B"/>
    <w:rsid w:val="00030CCE"/>
    <w:rsid w:val="000352C3"/>
    <w:rsid w:val="00051B38"/>
    <w:rsid w:val="00053B90"/>
    <w:rsid w:val="00057AB0"/>
    <w:rsid w:val="0006428C"/>
    <w:rsid w:val="00067AFF"/>
    <w:rsid w:val="000735CE"/>
    <w:rsid w:val="00076128"/>
    <w:rsid w:val="00077E15"/>
    <w:rsid w:val="00080589"/>
    <w:rsid w:val="00084E7C"/>
    <w:rsid w:val="00093D0D"/>
    <w:rsid w:val="000B0159"/>
    <w:rsid w:val="000F47CD"/>
    <w:rsid w:val="000F7DCE"/>
    <w:rsid w:val="00127FA3"/>
    <w:rsid w:val="00142AD9"/>
    <w:rsid w:val="00144DEB"/>
    <w:rsid w:val="0016107A"/>
    <w:rsid w:val="001715EE"/>
    <w:rsid w:val="00171883"/>
    <w:rsid w:val="00182FA5"/>
    <w:rsid w:val="00190422"/>
    <w:rsid w:val="00191AA4"/>
    <w:rsid w:val="001947BE"/>
    <w:rsid w:val="00196EC1"/>
    <w:rsid w:val="001A39A3"/>
    <w:rsid w:val="001B03F5"/>
    <w:rsid w:val="001B413A"/>
    <w:rsid w:val="001C43FF"/>
    <w:rsid w:val="001D4A47"/>
    <w:rsid w:val="001D5D8C"/>
    <w:rsid w:val="001E49A5"/>
    <w:rsid w:val="001E5870"/>
    <w:rsid w:val="001F6931"/>
    <w:rsid w:val="00206963"/>
    <w:rsid w:val="0022778D"/>
    <w:rsid w:val="00233742"/>
    <w:rsid w:val="0023643F"/>
    <w:rsid w:val="00242A58"/>
    <w:rsid w:val="00243F2A"/>
    <w:rsid w:val="00244892"/>
    <w:rsid w:val="00253FF1"/>
    <w:rsid w:val="0025455A"/>
    <w:rsid w:val="00262E6F"/>
    <w:rsid w:val="002635E9"/>
    <w:rsid w:val="00265A7A"/>
    <w:rsid w:val="00270504"/>
    <w:rsid w:val="00271C49"/>
    <w:rsid w:val="002779AD"/>
    <w:rsid w:val="0028034E"/>
    <w:rsid w:val="002811C6"/>
    <w:rsid w:val="002A5217"/>
    <w:rsid w:val="002B0E7C"/>
    <w:rsid w:val="002B1F69"/>
    <w:rsid w:val="002B4887"/>
    <w:rsid w:val="002D6B0E"/>
    <w:rsid w:val="002E6FC7"/>
    <w:rsid w:val="002F2702"/>
    <w:rsid w:val="002F7012"/>
    <w:rsid w:val="003016CE"/>
    <w:rsid w:val="003353DD"/>
    <w:rsid w:val="00340713"/>
    <w:rsid w:val="0034166D"/>
    <w:rsid w:val="003445A2"/>
    <w:rsid w:val="003448BC"/>
    <w:rsid w:val="00374F8C"/>
    <w:rsid w:val="00381837"/>
    <w:rsid w:val="00397739"/>
    <w:rsid w:val="003A106D"/>
    <w:rsid w:val="003A3BC3"/>
    <w:rsid w:val="003B1DCB"/>
    <w:rsid w:val="003C6645"/>
    <w:rsid w:val="003D6EE1"/>
    <w:rsid w:val="003E140A"/>
    <w:rsid w:val="003E1B13"/>
    <w:rsid w:val="003E1CEE"/>
    <w:rsid w:val="003E3D51"/>
    <w:rsid w:val="003F15F2"/>
    <w:rsid w:val="003F5F24"/>
    <w:rsid w:val="00404485"/>
    <w:rsid w:val="00405227"/>
    <w:rsid w:val="004111BC"/>
    <w:rsid w:val="00422B95"/>
    <w:rsid w:val="00423B57"/>
    <w:rsid w:val="0043687A"/>
    <w:rsid w:val="00455EE9"/>
    <w:rsid w:val="00464C73"/>
    <w:rsid w:val="00464E15"/>
    <w:rsid w:val="00466B81"/>
    <w:rsid w:val="00481852"/>
    <w:rsid w:val="00481B98"/>
    <w:rsid w:val="004929BD"/>
    <w:rsid w:val="004961A5"/>
    <w:rsid w:val="004A441F"/>
    <w:rsid w:val="004B04BC"/>
    <w:rsid w:val="004C7D27"/>
    <w:rsid w:val="004C7DFF"/>
    <w:rsid w:val="004D2482"/>
    <w:rsid w:val="004D3964"/>
    <w:rsid w:val="004F1840"/>
    <w:rsid w:val="004F76FA"/>
    <w:rsid w:val="00503C00"/>
    <w:rsid w:val="00506AD5"/>
    <w:rsid w:val="005074BE"/>
    <w:rsid w:val="00515DB3"/>
    <w:rsid w:val="00526D0C"/>
    <w:rsid w:val="00527DF9"/>
    <w:rsid w:val="005541E3"/>
    <w:rsid w:val="00572961"/>
    <w:rsid w:val="00586B7A"/>
    <w:rsid w:val="0058759C"/>
    <w:rsid w:val="005934FA"/>
    <w:rsid w:val="00593E13"/>
    <w:rsid w:val="005B3BF7"/>
    <w:rsid w:val="005B5E7D"/>
    <w:rsid w:val="005C59F6"/>
    <w:rsid w:val="005C6841"/>
    <w:rsid w:val="005D063B"/>
    <w:rsid w:val="005D1328"/>
    <w:rsid w:val="005E1B8E"/>
    <w:rsid w:val="005E1ED7"/>
    <w:rsid w:val="005E54F1"/>
    <w:rsid w:val="005F65C5"/>
    <w:rsid w:val="005F74A5"/>
    <w:rsid w:val="00604CE2"/>
    <w:rsid w:val="00615BCB"/>
    <w:rsid w:val="00617B4A"/>
    <w:rsid w:val="00625AF6"/>
    <w:rsid w:val="00634ADE"/>
    <w:rsid w:val="0063522D"/>
    <w:rsid w:val="00636FD6"/>
    <w:rsid w:val="00647055"/>
    <w:rsid w:val="00653A1B"/>
    <w:rsid w:val="00654692"/>
    <w:rsid w:val="006678E7"/>
    <w:rsid w:val="00672C93"/>
    <w:rsid w:val="00677B99"/>
    <w:rsid w:val="00680861"/>
    <w:rsid w:val="006878E1"/>
    <w:rsid w:val="00692ACD"/>
    <w:rsid w:val="0069384A"/>
    <w:rsid w:val="0069389C"/>
    <w:rsid w:val="006A16BD"/>
    <w:rsid w:val="006A34EE"/>
    <w:rsid w:val="006A39A2"/>
    <w:rsid w:val="006A4DAC"/>
    <w:rsid w:val="006B4179"/>
    <w:rsid w:val="006C1D70"/>
    <w:rsid w:val="006D561A"/>
    <w:rsid w:val="006E0F98"/>
    <w:rsid w:val="006E2E7F"/>
    <w:rsid w:val="006E3EF7"/>
    <w:rsid w:val="00713847"/>
    <w:rsid w:val="0073152A"/>
    <w:rsid w:val="00734FB8"/>
    <w:rsid w:val="00736959"/>
    <w:rsid w:val="0078226B"/>
    <w:rsid w:val="007B6ED0"/>
    <w:rsid w:val="007C4312"/>
    <w:rsid w:val="007D7B3B"/>
    <w:rsid w:val="007E0410"/>
    <w:rsid w:val="007E33C6"/>
    <w:rsid w:val="007E5BC7"/>
    <w:rsid w:val="007E7D75"/>
    <w:rsid w:val="007F1C9A"/>
    <w:rsid w:val="00802FF7"/>
    <w:rsid w:val="00815C1E"/>
    <w:rsid w:val="0082083C"/>
    <w:rsid w:val="00827F6B"/>
    <w:rsid w:val="008337BC"/>
    <w:rsid w:val="00834900"/>
    <w:rsid w:val="00837EBC"/>
    <w:rsid w:val="008526DE"/>
    <w:rsid w:val="008763DD"/>
    <w:rsid w:val="0087677F"/>
    <w:rsid w:val="00877B45"/>
    <w:rsid w:val="00880A49"/>
    <w:rsid w:val="00880CD2"/>
    <w:rsid w:val="0089143E"/>
    <w:rsid w:val="008A292B"/>
    <w:rsid w:val="008A5A25"/>
    <w:rsid w:val="008A7DC7"/>
    <w:rsid w:val="008B4234"/>
    <w:rsid w:val="008D013F"/>
    <w:rsid w:val="008D1ED1"/>
    <w:rsid w:val="008E0FAA"/>
    <w:rsid w:val="008E30EF"/>
    <w:rsid w:val="008F10ED"/>
    <w:rsid w:val="00904647"/>
    <w:rsid w:val="009079B6"/>
    <w:rsid w:val="00925877"/>
    <w:rsid w:val="00925B26"/>
    <w:rsid w:val="00932EEB"/>
    <w:rsid w:val="0094219F"/>
    <w:rsid w:val="0094446C"/>
    <w:rsid w:val="00967D8B"/>
    <w:rsid w:val="00970BAA"/>
    <w:rsid w:val="00976472"/>
    <w:rsid w:val="009766BE"/>
    <w:rsid w:val="009828CD"/>
    <w:rsid w:val="0099423E"/>
    <w:rsid w:val="009B1D64"/>
    <w:rsid w:val="009B2CEB"/>
    <w:rsid w:val="009C11F6"/>
    <w:rsid w:val="009D265E"/>
    <w:rsid w:val="009E25E1"/>
    <w:rsid w:val="009E2762"/>
    <w:rsid w:val="009E5CFB"/>
    <w:rsid w:val="009E6DE5"/>
    <w:rsid w:val="00A132B7"/>
    <w:rsid w:val="00A2104B"/>
    <w:rsid w:val="00A2261A"/>
    <w:rsid w:val="00A2407D"/>
    <w:rsid w:val="00A26F6A"/>
    <w:rsid w:val="00A32842"/>
    <w:rsid w:val="00A33436"/>
    <w:rsid w:val="00A44B29"/>
    <w:rsid w:val="00A6752E"/>
    <w:rsid w:val="00A70DC4"/>
    <w:rsid w:val="00A71E51"/>
    <w:rsid w:val="00A81A1D"/>
    <w:rsid w:val="00A846D7"/>
    <w:rsid w:val="00A85224"/>
    <w:rsid w:val="00A913FE"/>
    <w:rsid w:val="00A92D34"/>
    <w:rsid w:val="00AB00BD"/>
    <w:rsid w:val="00AB0962"/>
    <w:rsid w:val="00AB0B3A"/>
    <w:rsid w:val="00AC515D"/>
    <w:rsid w:val="00AC629C"/>
    <w:rsid w:val="00AE43C4"/>
    <w:rsid w:val="00AE54D7"/>
    <w:rsid w:val="00AE57F9"/>
    <w:rsid w:val="00AE67FA"/>
    <w:rsid w:val="00AF23A7"/>
    <w:rsid w:val="00B07DFC"/>
    <w:rsid w:val="00B10A66"/>
    <w:rsid w:val="00B13C77"/>
    <w:rsid w:val="00B334C8"/>
    <w:rsid w:val="00B82461"/>
    <w:rsid w:val="00B8579C"/>
    <w:rsid w:val="00B9557F"/>
    <w:rsid w:val="00BB26B4"/>
    <w:rsid w:val="00BC1A7C"/>
    <w:rsid w:val="00BC37E0"/>
    <w:rsid w:val="00BF7EC2"/>
    <w:rsid w:val="00C048A6"/>
    <w:rsid w:val="00C11510"/>
    <w:rsid w:val="00C13877"/>
    <w:rsid w:val="00C27762"/>
    <w:rsid w:val="00C323F3"/>
    <w:rsid w:val="00C6633C"/>
    <w:rsid w:val="00C70EC6"/>
    <w:rsid w:val="00C72AAE"/>
    <w:rsid w:val="00C7350F"/>
    <w:rsid w:val="00C84AF7"/>
    <w:rsid w:val="00C84F03"/>
    <w:rsid w:val="00C90C29"/>
    <w:rsid w:val="00C97871"/>
    <w:rsid w:val="00C97912"/>
    <w:rsid w:val="00CA52AC"/>
    <w:rsid w:val="00CA63D2"/>
    <w:rsid w:val="00CC7919"/>
    <w:rsid w:val="00CD27DF"/>
    <w:rsid w:val="00CD4FB8"/>
    <w:rsid w:val="00CE75D6"/>
    <w:rsid w:val="00CF09F3"/>
    <w:rsid w:val="00CF3857"/>
    <w:rsid w:val="00D03A86"/>
    <w:rsid w:val="00D24FDE"/>
    <w:rsid w:val="00D41E04"/>
    <w:rsid w:val="00D45BA1"/>
    <w:rsid w:val="00D56045"/>
    <w:rsid w:val="00D64196"/>
    <w:rsid w:val="00D80B52"/>
    <w:rsid w:val="00D811BB"/>
    <w:rsid w:val="00D8360B"/>
    <w:rsid w:val="00D963A1"/>
    <w:rsid w:val="00DB049F"/>
    <w:rsid w:val="00DB0B33"/>
    <w:rsid w:val="00DB586D"/>
    <w:rsid w:val="00DB6FA9"/>
    <w:rsid w:val="00DD2224"/>
    <w:rsid w:val="00DD426B"/>
    <w:rsid w:val="00DF0353"/>
    <w:rsid w:val="00DF3D1A"/>
    <w:rsid w:val="00DF59BF"/>
    <w:rsid w:val="00DF5A5E"/>
    <w:rsid w:val="00E0593E"/>
    <w:rsid w:val="00E16BED"/>
    <w:rsid w:val="00E24F4E"/>
    <w:rsid w:val="00E44B8A"/>
    <w:rsid w:val="00E46E29"/>
    <w:rsid w:val="00E50644"/>
    <w:rsid w:val="00E54CDC"/>
    <w:rsid w:val="00E62657"/>
    <w:rsid w:val="00E63150"/>
    <w:rsid w:val="00E66023"/>
    <w:rsid w:val="00E664A1"/>
    <w:rsid w:val="00E667D8"/>
    <w:rsid w:val="00E75A08"/>
    <w:rsid w:val="00E80FDB"/>
    <w:rsid w:val="00E8487D"/>
    <w:rsid w:val="00EA4CC6"/>
    <w:rsid w:val="00EC6FDF"/>
    <w:rsid w:val="00EC7C7B"/>
    <w:rsid w:val="00EC7F4F"/>
    <w:rsid w:val="00ED0467"/>
    <w:rsid w:val="00ED3473"/>
    <w:rsid w:val="00EE15AE"/>
    <w:rsid w:val="00EE2011"/>
    <w:rsid w:val="00EE7287"/>
    <w:rsid w:val="00EF296B"/>
    <w:rsid w:val="00EF5253"/>
    <w:rsid w:val="00F049FD"/>
    <w:rsid w:val="00F04A64"/>
    <w:rsid w:val="00F20162"/>
    <w:rsid w:val="00F31559"/>
    <w:rsid w:val="00F33FFD"/>
    <w:rsid w:val="00F61FEF"/>
    <w:rsid w:val="00F670D1"/>
    <w:rsid w:val="00F70279"/>
    <w:rsid w:val="00F82A74"/>
    <w:rsid w:val="00F97E78"/>
    <w:rsid w:val="00FB2A6D"/>
    <w:rsid w:val="00FB53FC"/>
    <w:rsid w:val="00FC6791"/>
    <w:rsid w:val="00FE05B9"/>
    <w:rsid w:val="00FE6BEE"/>
    <w:rsid w:val="00FF06FB"/>
    <w:rsid w:val="00FF2443"/>
    <w:rsid w:val="00FF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778A"/>
  <w15:chartTrackingRefBased/>
  <w15:docId w15:val="{95F73C68-D5AB-2D4D-9740-F74AE3E6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FC"/>
    <w:pPr>
      <w:spacing w:after="120" w:line="276" w:lineRule="auto"/>
      <w:ind w:left="1701"/>
      <w:jc w:val="both"/>
    </w:pPr>
    <w:rPr>
      <w:rFonts w:ascii="Trebuchet MS" w:hAnsi="Trebuchet MS" w:cs="Times New Roman"/>
      <w:kern w:val="0"/>
      <w:sz w:val="22"/>
      <w:szCs w:val="22"/>
      <w:lang w:val="ro-RO"/>
      <w14:ligatures w14:val="none"/>
    </w:rPr>
  </w:style>
  <w:style w:type="paragraph" w:styleId="Heading1">
    <w:name w:val="heading 1"/>
    <w:basedOn w:val="Normal"/>
    <w:next w:val="Normal"/>
    <w:link w:val="Heading1Char"/>
    <w:uiPriority w:val="9"/>
    <w:qFormat/>
    <w:rsid w:val="001B03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er bold"/>
    <w:basedOn w:val="Normal"/>
    <w:link w:val="ListParagraphChar"/>
    <w:uiPriority w:val="34"/>
    <w:qFormat/>
    <w:rsid w:val="00FB53FC"/>
    <w:pPr>
      <w:ind w:left="708"/>
    </w:pPr>
  </w:style>
  <w:style w:type="character" w:styleId="CommentReference">
    <w:name w:val="annotation reference"/>
    <w:basedOn w:val="DefaultParagraphFont"/>
    <w:uiPriority w:val="99"/>
    <w:semiHidden/>
    <w:unhideWhenUsed/>
    <w:rsid w:val="00FB53FC"/>
    <w:rPr>
      <w:sz w:val="16"/>
      <w:szCs w:val="16"/>
    </w:rPr>
  </w:style>
  <w:style w:type="paragraph" w:styleId="CommentText">
    <w:name w:val="annotation text"/>
    <w:basedOn w:val="Normal"/>
    <w:link w:val="CommentTextChar"/>
    <w:uiPriority w:val="99"/>
    <w:semiHidden/>
    <w:unhideWhenUsed/>
    <w:rsid w:val="00FB53FC"/>
    <w:pPr>
      <w:spacing w:line="240" w:lineRule="auto"/>
    </w:pPr>
    <w:rPr>
      <w:sz w:val="20"/>
      <w:szCs w:val="20"/>
    </w:rPr>
  </w:style>
  <w:style w:type="character" w:customStyle="1" w:styleId="CommentTextChar">
    <w:name w:val="Comment Text Char"/>
    <w:basedOn w:val="DefaultParagraphFont"/>
    <w:link w:val="CommentText"/>
    <w:uiPriority w:val="99"/>
    <w:semiHidden/>
    <w:rsid w:val="00FB53FC"/>
    <w:rPr>
      <w:rFonts w:ascii="Trebuchet MS" w:hAnsi="Trebuchet MS" w:cs="Times New Roman"/>
      <w:kern w:val="0"/>
      <w:sz w:val="20"/>
      <w:szCs w:val="20"/>
      <w:lang w:val="ro-RO"/>
      <w14:ligatures w14:val="none"/>
    </w:rPr>
  </w:style>
  <w:style w:type="paragraph" w:styleId="Header">
    <w:name w:val="header"/>
    <w:basedOn w:val="Normal"/>
    <w:link w:val="HeaderChar"/>
    <w:uiPriority w:val="99"/>
    <w:unhideWhenUsed/>
    <w:rsid w:val="00FB5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53FC"/>
    <w:rPr>
      <w:rFonts w:ascii="Trebuchet MS" w:hAnsi="Trebuchet MS" w:cs="Times New Roman"/>
      <w:kern w:val="0"/>
      <w:sz w:val="22"/>
      <w:szCs w:val="22"/>
      <w:lang w:val="ro-RO"/>
      <w14:ligatures w14:val="none"/>
    </w:rPr>
  </w:style>
  <w:style w:type="paragraph" w:styleId="Footer">
    <w:name w:val="footer"/>
    <w:basedOn w:val="Normal"/>
    <w:link w:val="FooterChar"/>
    <w:uiPriority w:val="99"/>
    <w:unhideWhenUsed/>
    <w:rsid w:val="00FB5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53FC"/>
    <w:rPr>
      <w:rFonts w:ascii="Trebuchet MS" w:hAnsi="Trebuchet MS" w:cs="Times New Roman"/>
      <w:kern w:val="0"/>
      <w:sz w:val="22"/>
      <w:szCs w:val="22"/>
      <w:lang w:val="ro-RO"/>
      <w14:ligatures w14:val="none"/>
    </w:rPr>
  </w:style>
  <w:style w:type="paragraph" w:styleId="NormalWeb">
    <w:name w:val="Normal (Web)"/>
    <w:basedOn w:val="Normal"/>
    <w:uiPriority w:val="99"/>
    <w:unhideWhenUsed/>
    <w:rsid w:val="00FB53FC"/>
    <w:pPr>
      <w:shd w:val="clear" w:color="auto" w:fill="FFFFFF"/>
      <w:spacing w:after="0" w:line="240" w:lineRule="auto"/>
      <w:ind w:left="0"/>
    </w:pPr>
    <w:rPr>
      <w:rFonts w:ascii="Verdana" w:eastAsia="Times New Roman" w:hAnsi="Verdana"/>
      <w:color w:val="000000"/>
      <w:sz w:val="20"/>
      <w:szCs w:val="20"/>
      <w:lang w:eastAsia="ro-RO"/>
    </w:rPr>
  </w:style>
  <w:style w:type="paragraph" w:styleId="BodyText">
    <w:name w:val="Body Text"/>
    <w:basedOn w:val="Normal"/>
    <w:link w:val="BodyTextChar"/>
    <w:rsid w:val="00FB53FC"/>
    <w:pPr>
      <w:widowControl w:val="0"/>
      <w:tabs>
        <w:tab w:val="left" w:pos="720"/>
      </w:tabs>
      <w:spacing w:after="0" w:line="240" w:lineRule="auto"/>
      <w:ind w:left="0"/>
    </w:pPr>
    <w:rPr>
      <w:rFonts w:ascii="Arial" w:eastAsia="Times New Roman" w:hAnsi="Arial"/>
      <w:noProof/>
      <w:snapToGrid w:val="0"/>
      <w:color w:val="000000"/>
      <w:sz w:val="24"/>
      <w:szCs w:val="20"/>
    </w:rPr>
  </w:style>
  <w:style w:type="character" w:customStyle="1" w:styleId="BodyTextChar">
    <w:name w:val="Body Text Char"/>
    <w:basedOn w:val="DefaultParagraphFont"/>
    <w:link w:val="BodyText"/>
    <w:rsid w:val="00FB53FC"/>
    <w:rPr>
      <w:rFonts w:ascii="Arial" w:eastAsia="Times New Roman" w:hAnsi="Arial" w:cs="Times New Roman"/>
      <w:noProof/>
      <w:snapToGrid w:val="0"/>
      <w:color w:val="000000"/>
      <w:kern w:val="0"/>
      <w:szCs w:val="20"/>
      <w:lang w:val="ro-RO"/>
      <w14:ligatures w14:val="none"/>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er bold Char"/>
    <w:link w:val="ListParagraph"/>
    <w:uiPriority w:val="34"/>
    <w:rsid w:val="00FB53FC"/>
    <w:rPr>
      <w:rFonts w:ascii="Trebuchet MS" w:hAnsi="Trebuchet MS" w:cs="Times New Roman"/>
      <w:kern w:val="0"/>
      <w:sz w:val="22"/>
      <w:szCs w:val="22"/>
      <w:lang w:val="ro-RO"/>
      <w14:ligatures w14:val="none"/>
    </w:rPr>
  </w:style>
  <w:style w:type="paragraph" w:customStyle="1" w:styleId="Default">
    <w:name w:val="Default"/>
    <w:rsid w:val="00FB53FC"/>
    <w:pPr>
      <w:autoSpaceDE w:val="0"/>
      <w:autoSpaceDN w:val="0"/>
      <w:adjustRightInd w:val="0"/>
    </w:pPr>
    <w:rPr>
      <w:rFonts w:ascii="Calibri" w:eastAsia="Times New Roman" w:hAnsi="Calibri" w:cs="Calibri"/>
      <w:color w:val="000000"/>
      <w:kern w:val="0"/>
      <w:lang w:val="en-US" w:eastAsia="hu-HU"/>
      <w14:ligatures w14:val="none"/>
    </w:rPr>
  </w:style>
  <w:style w:type="paragraph" w:styleId="Revision">
    <w:name w:val="Revision"/>
    <w:hidden/>
    <w:uiPriority w:val="99"/>
    <w:semiHidden/>
    <w:rsid w:val="005D1328"/>
    <w:rPr>
      <w:rFonts w:ascii="Trebuchet MS" w:hAnsi="Trebuchet MS" w:cs="Times New Roman"/>
      <w:kern w:val="0"/>
      <w:sz w:val="22"/>
      <w:szCs w:val="22"/>
      <w:lang w:val="ro-RO"/>
      <w14:ligatures w14:val="none"/>
    </w:rPr>
  </w:style>
  <w:style w:type="paragraph" w:styleId="CommentSubject">
    <w:name w:val="annotation subject"/>
    <w:basedOn w:val="CommentText"/>
    <w:next w:val="CommentText"/>
    <w:link w:val="CommentSubjectChar"/>
    <w:uiPriority w:val="99"/>
    <w:semiHidden/>
    <w:unhideWhenUsed/>
    <w:rsid w:val="000B0159"/>
    <w:rPr>
      <w:b/>
      <w:bCs/>
    </w:rPr>
  </w:style>
  <w:style w:type="character" w:customStyle="1" w:styleId="CommentSubjectChar">
    <w:name w:val="Comment Subject Char"/>
    <w:basedOn w:val="CommentTextChar"/>
    <w:link w:val="CommentSubject"/>
    <w:uiPriority w:val="99"/>
    <w:semiHidden/>
    <w:rsid w:val="000B0159"/>
    <w:rPr>
      <w:rFonts w:ascii="Trebuchet MS" w:hAnsi="Trebuchet MS" w:cs="Times New Roman"/>
      <w:b/>
      <w:bCs/>
      <w:kern w:val="0"/>
      <w:sz w:val="20"/>
      <w:szCs w:val="20"/>
      <w:lang w:val="ro-RO"/>
      <w14:ligatures w14:val="none"/>
    </w:rPr>
  </w:style>
  <w:style w:type="paragraph" w:styleId="BalloonText">
    <w:name w:val="Balloon Text"/>
    <w:basedOn w:val="Normal"/>
    <w:link w:val="BalloonTextChar"/>
    <w:uiPriority w:val="99"/>
    <w:semiHidden/>
    <w:unhideWhenUsed/>
    <w:rsid w:val="000B0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159"/>
    <w:rPr>
      <w:rFonts w:ascii="Segoe UI" w:hAnsi="Segoe UI" w:cs="Segoe UI"/>
      <w:kern w:val="0"/>
      <w:sz w:val="18"/>
      <w:szCs w:val="18"/>
      <w:lang w:val="ro-RO"/>
      <w14:ligatures w14:val="none"/>
    </w:rPr>
  </w:style>
  <w:style w:type="character" w:customStyle="1" w:styleId="Heading1Char">
    <w:name w:val="Heading 1 Char"/>
    <w:basedOn w:val="DefaultParagraphFont"/>
    <w:link w:val="Heading1"/>
    <w:uiPriority w:val="9"/>
    <w:rsid w:val="001B03F5"/>
    <w:rPr>
      <w:rFonts w:asciiTheme="majorHAnsi" w:eastAsiaTheme="majorEastAsia" w:hAnsiTheme="majorHAnsi" w:cstheme="majorBidi"/>
      <w:color w:val="2F5496" w:themeColor="accent1" w:themeShade="BF"/>
      <w:kern w:val="0"/>
      <w:sz w:val="32"/>
      <w:szCs w:val="32"/>
      <w:lang w:val="ro-RO"/>
      <w14:ligatures w14:val="none"/>
    </w:rPr>
  </w:style>
  <w:style w:type="paragraph" w:styleId="NoSpacing">
    <w:name w:val="No Spacing"/>
    <w:uiPriority w:val="1"/>
    <w:qFormat/>
    <w:rsid w:val="006878E1"/>
    <w:pPr>
      <w:ind w:left="1701"/>
      <w:jc w:val="both"/>
    </w:pPr>
    <w:rPr>
      <w:rFonts w:ascii="Trebuchet MS" w:hAnsi="Trebuchet MS" w:cs="Times New Roman"/>
      <w:kern w:val="0"/>
      <w:sz w:val="22"/>
      <w:szCs w:val="22"/>
      <w:lang w:val="ro-RO"/>
      <w14:ligatures w14:val="none"/>
    </w:rPr>
  </w:style>
  <w:style w:type="character" w:styleId="Hyperlink">
    <w:name w:val="Hyperlink"/>
    <w:basedOn w:val="DefaultParagraphFont"/>
    <w:uiPriority w:val="99"/>
    <w:unhideWhenUsed/>
    <w:rsid w:val="006A4DAC"/>
    <w:rPr>
      <w:color w:val="0563C1" w:themeColor="hyperlink"/>
      <w:u w:val="single"/>
    </w:rPr>
  </w:style>
  <w:style w:type="character" w:styleId="UnresolvedMention">
    <w:name w:val="Unresolved Mention"/>
    <w:basedOn w:val="DefaultParagraphFont"/>
    <w:uiPriority w:val="99"/>
    <w:semiHidden/>
    <w:unhideWhenUsed/>
    <w:rsid w:val="006A4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56931">
      <w:bodyDiv w:val="1"/>
      <w:marLeft w:val="0"/>
      <w:marRight w:val="0"/>
      <w:marTop w:val="0"/>
      <w:marBottom w:val="0"/>
      <w:divBdr>
        <w:top w:val="none" w:sz="0" w:space="0" w:color="auto"/>
        <w:left w:val="none" w:sz="0" w:space="0" w:color="auto"/>
        <w:bottom w:val="none" w:sz="0" w:space="0" w:color="auto"/>
        <w:right w:val="none" w:sz="0" w:space="0" w:color="auto"/>
      </w:divBdr>
    </w:div>
    <w:div w:id="906889333">
      <w:bodyDiv w:val="1"/>
      <w:marLeft w:val="0"/>
      <w:marRight w:val="0"/>
      <w:marTop w:val="0"/>
      <w:marBottom w:val="0"/>
      <w:divBdr>
        <w:top w:val="none" w:sz="0" w:space="0" w:color="auto"/>
        <w:left w:val="none" w:sz="0" w:space="0" w:color="auto"/>
        <w:bottom w:val="none" w:sz="0" w:space="0" w:color="auto"/>
        <w:right w:val="none" w:sz="0" w:space="0" w:color="auto"/>
      </w:divBdr>
    </w:div>
    <w:div w:id="965811971">
      <w:bodyDiv w:val="1"/>
      <w:marLeft w:val="0"/>
      <w:marRight w:val="0"/>
      <w:marTop w:val="0"/>
      <w:marBottom w:val="0"/>
      <w:divBdr>
        <w:top w:val="none" w:sz="0" w:space="0" w:color="auto"/>
        <w:left w:val="none" w:sz="0" w:space="0" w:color="auto"/>
        <w:bottom w:val="none" w:sz="0" w:space="0" w:color="auto"/>
        <w:right w:val="none" w:sz="0" w:space="0" w:color="auto"/>
      </w:divBdr>
    </w:div>
    <w:div w:id="1247812648">
      <w:bodyDiv w:val="1"/>
      <w:marLeft w:val="0"/>
      <w:marRight w:val="0"/>
      <w:marTop w:val="0"/>
      <w:marBottom w:val="0"/>
      <w:divBdr>
        <w:top w:val="none" w:sz="0" w:space="0" w:color="auto"/>
        <w:left w:val="none" w:sz="0" w:space="0" w:color="auto"/>
        <w:bottom w:val="none" w:sz="0" w:space="0" w:color="auto"/>
        <w:right w:val="none" w:sz="0" w:space="0" w:color="auto"/>
      </w:divBdr>
    </w:div>
    <w:div w:id="1471510571">
      <w:bodyDiv w:val="1"/>
      <w:marLeft w:val="0"/>
      <w:marRight w:val="0"/>
      <w:marTop w:val="0"/>
      <w:marBottom w:val="0"/>
      <w:divBdr>
        <w:top w:val="none" w:sz="0" w:space="0" w:color="auto"/>
        <w:left w:val="none" w:sz="0" w:space="0" w:color="auto"/>
        <w:bottom w:val="none" w:sz="0" w:space="0" w:color="auto"/>
        <w:right w:val="none" w:sz="0" w:space="0" w:color="auto"/>
      </w:divBdr>
    </w:div>
    <w:div w:id="1513838379">
      <w:bodyDiv w:val="1"/>
      <w:marLeft w:val="0"/>
      <w:marRight w:val="0"/>
      <w:marTop w:val="0"/>
      <w:marBottom w:val="0"/>
      <w:divBdr>
        <w:top w:val="none" w:sz="0" w:space="0" w:color="auto"/>
        <w:left w:val="none" w:sz="0" w:space="0" w:color="auto"/>
        <w:bottom w:val="none" w:sz="0" w:space="0" w:color="auto"/>
        <w:right w:val="none" w:sz="0" w:space="0" w:color="auto"/>
      </w:divBdr>
    </w:div>
    <w:div w:id="1760636265">
      <w:bodyDiv w:val="1"/>
      <w:marLeft w:val="0"/>
      <w:marRight w:val="0"/>
      <w:marTop w:val="0"/>
      <w:marBottom w:val="0"/>
      <w:divBdr>
        <w:top w:val="none" w:sz="0" w:space="0" w:color="auto"/>
        <w:left w:val="none" w:sz="0" w:space="0" w:color="auto"/>
        <w:bottom w:val="none" w:sz="0" w:space="0" w:color="auto"/>
        <w:right w:val="none" w:sz="0" w:space="0" w:color="auto"/>
      </w:divBdr>
    </w:div>
    <w:div w:id="1838493839">
      <w:bodyDiv w:val="1"/>
      <w:marLeft w:val="0"/>
      <w:marRight w:val="0"/>
      <w:marTop w:val="0"/>
      <w:marBottom w:val="0"/>
      <w:divBdr>
        <w:top w:val="none" w:sz="0" w:space="0" w:color="auto"/>
        <w:left w:val="none" w:sz="0" w:space="0" w:color="auto"/>
        <w:bottom w:val="none" w:sz="0" w:space="0" w:color="auto"/>
        <w:right w:val="none" w:sz="0" w:space="0" w:color="auto"/>
      </w:divBdr>
    </w:div>
    <w:div w:id="1930505436">
      <w:bodyDiv w:val="1"/>
      <w:marLeft w:val="0"/>
      <w:marRight w:val="0"/>
      <w:marTop w:val="0"/>
      <w:marBottom w:val="0"/>
      <w:divBdr>
        <w:top w:val="none" w:sz="0" w:space="0" w:color="auto"/>
        <w:left w:val="none" w:sz="0" w:space="0" w:color="auto"/>
        <w:bottom w:val="none" w:sz="0" w:space="0" w:color="auto"/>
        <w:right w:val="none" w:sz="0" w:space="0" w:color="auto"/>
      </w:divBdr>
    </w:div>
    <w:div w:id="21020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App/Document/hazdinrt/ordonanta-de-urgenta-nr-196-2005-privind-fondul-pentru-mediu?pid=543840977&amp;d=2024-11-2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36EF-8DA5-4765-9652-8B293FC2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fechet</dc:creator>
  <cp:keywords/>
  <dc:description/>
  <cp:lastModifiedBy>Ramona Danulet</cp:lastModifiedBy>
  <cp:revision>29</cp:revision>
  <cp:lastPrinted>2024-10-31T06:57:00Z</cp:lastPrinted>
  <dcterms:created xsi:type="dcterms:W3CDTF">2024-11-27T13:52:00Z</dcterms:created>
  <dcterms:modified xsi:type="dcterms:W3CDTF">2024-12-05T08:17:00Z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61e2948163634486ff271acdbc329d6b25db6bac3daca151526f359f4bb71258</vt:lpwstr>
  </property>
</Properties>
</file>