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06A65" w14:textId="0E6E9C42" w:rsidR="00054265" w:rsidRDefault="00054265" w:rsidP="00867C41">
      <w:pPr>
        <w:spacing w:after="0"/>
        <w:rPr>
          <w:rFonts w:ascii="Times New Roman" w:hAnsi="Times New Roman"/>
          <w:b/>
          <w:sz w:val="24"/>
          <w:szCs w:val="24"/>
        </w:rPr>
      </w:pPr>
    </w:p>
    <w:p w14:paraId="17AE99EB" w14:textId="77777777" w:rsidR="00054265" w:rsidRDefault="005A0E08">
      <w:pPr>
        <w:spacing w:after="0"/>
        <w:jc w:val="center"/>
        <w:rPr>
          <w:rFonts w:ascii="Times New Roman" w:hAnsi="Times New Roman"/>
          <w:b/>
          <w:sz w:val="24"/>
          <w:szCs w:val="24"/>
        </w:rPr>
      </w:pPr>
      <w:r>
        <w:rPr>
          <w:rFonts w:ascii="Times New Roman" w:hAnsi="Times New Roman"/>
          <w:b/>
          <w:sz w:val="24"/>
          <w:szCs w:val="24"/>
        </w:rPr>
        <w:t>NOTĂ DE FUNDAMENTARE</w:t>
      </w:r>
    </w:p>
    <w:p w14:paraId="205399ED" w14:textId="77777777" w:rsidR="00054265" w:rsidRDefault="00054265">
      <w:pPr>
        <w:spacing w:after="0"/>
        <w:rPr>
          <w:rFonts w:ascii="Times New Roman" w:hAnsi="Times New Roman"/>
          <w:b/>
          <w:sz w:val="24"/>
          <w:szCs w:val="24"/>
        </w:rPr>
      </w:pP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6"/>
        <w:gridCol w:w="1393"/>
        <w:gridCol w:w="5822"/>
      </w:tblGrid>
      <w:tr w:rsidR="00054265" w14:paraId="7C0CB271" w14:textId="77777777">
        <w:trPr>
          <w:trHeight w:val="990"/>
        </w:trPr>
        <w:tc>
          <w:tcPr>
            <w:tcW w:w="9781" w:type="dxa"/>
            <w:gridSpan w:val="3"/>
            <w:shd w:val="clear" w:color="auto" w:fill="auto"/>
          </w:tcPr>
          <w:p w14:paraId="4244CC80" w14:textId="77777777" w:rsidR="00054265" w:rsidRDefault="00054265">
            <w:pPr>
              <w:spacing w:after="0"/>
              <w:jc w:val="center"/>
              <w:rPr>
                <w:rFonts w:ascii="Times New Roman" w:hAnsi="Times New Roman"/>
                <w:b/>
                <w:sz w:val="24"/>
                <w:szCs w:val="24"/>
              </w:rPr>
            </w:pPr>
          </w:p>
          <w:p w14:paraId="64661534" w14:textId="77777777" w:rsidR="00054265" w:rsidRDefault="005A0E08">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Secţiunea 1</w:t>
            </w:r>
            <w:r>
              <w:rPr>
                <w:rFonts w:ascii="Times New Roman" w:hAnsi="Times New Roman"/>
                <w:sz w:val="24"/>
                <w:szCs w:val="24"/>
              </w:rPr>
              <w:t xml:space="preserve">. </w:t>
            </w:r>
            <w:r>
              <w:rPr>
                <w:rFonts w:ascii="Times New Roman" w:hAnsi="Times New Roman"/>
                <w:b/>
                <w:sz w:val="24"/>
                <w:szCs w:val="24"/>
              </w:rPr>
              <w:t>Titlul proiectului de act normativ</w:t>
            </w:r>
          </w:p>
          <w:p w14:paraId="3B484967" w14:textId="77777777" w:rsidR="00054265" w:rsidRDefault="00054265">
            <w:pPr>
              <w:autoSpaceDE w:val="0"/>
              <w:autoSpaceDN w:val="0"/>
              <w:adjustRightInd w:val="0"/>
              <w:spacing w:after="0" w:line="240" w:lineRule="auto"/>
              <w:jc w:val="center"/>
              <w:rPr>
                <w:rFonts w:ascii="Times New Roman" w:hAnsi="Times New Roman"/>
                <w:b/>
                <w:sz w:val="24"/>
                <w:szCs w:val="24"/>
              </w:rPr>
            </w:pPr>
          </w:p>
          <w:p w14:paraId="5F34C244" w14:textId="77777777" w:rsidR="00054265" w:rsidRDefault="005A0E08">
            <w:pPr>
              <w:spacing w:after="0"/>
              <w:jc w:val="center"/>
              <w:rPr>
                <w:rFonts w:ascii="Times New Roman" w:hAnsi="Times New Roman"/>
                <w:b/>
                <w:bCs/>
                <w:sz w:val="24"/>
                <w:szCs w:val="24"/>
              </w:rPr>
            </w:pPr>
            <w:r>
              <w:rPr>
                <w:rFonts w:ascii="Times New Roman" w:hAnsi="Times New Roman"/>
                <w:b/>
                <w:bCs/>
                <w:sz w:val="24"/>
                <w:szCs w:val="24"/>
              </w:rPr>
              <w:t>HOTĂRÂRE</w:t>
            </w:r>
          </w:p>
          <w:p w14:paraId="060DA058" w14:textId="77777777" w:rsidR="00054265" w:rsidRDefault="005A0E08">
            <w:pPr>
              <w:spacing w:after="0"/>
              <w:jc w:val="center"/>
              <w:rPr>
                <w:rFonts w:ascii="Times New Roman" w:hAnsi="Times New Roman"/>
                <w:b/>
                <w:bCs/>
                <w:sz w:val="24"/>
                <w:szCs w:val="24"/>
              </w:rPr>
            </w:pPr>
            <w:r>
              <w:rPr>
                <w:rFonts w:ascii="Times New Roman" w:hAnsi="Times New Roman"/>
                <w:b/>
                <w:bCs/>
                <w:sz w:val="24"/>
                <w:szCs w:val="24"/>
              </w:rPr>
              <w:t>pentru aprobarea bugetului de venituri şi cheltuieli pe anul 2021 al Fondului pentru mediu şi al Administraţiei Fondului pentru Mediu, rectificat</w:t>
            </w:r>
          </w:p>
          <w:p w14:paraId="53CD0A30" w14:textId="77777777" w:rsidR="00054265" w:rsidRDefault="00054265">
            <w:pPr>
              <w:spacing w:after="0"/>
              <w:jc w:val="both"/>
              <w:rPr>
                <w:rFonts w:ascii="Times New Roman" w:hAnsi="Times New Roman"/>
                <w:b/>
                <w:bCs/>
                <w:sz w:val="24"/>
                <w:szCs w:val="24"/>
              </w:rPr>
            </w:pPr>
          </w:p>
        </w:tc>
      </w:tr>
      <w:tr w:rsidR="00054265" w14:paraId="587C9C39" w14:textId="77777777">
        <w:trPr>
          <w:trHeight w:val="990"/>
        </w:trPr>
        <w:tc>
          <w:tcPr>
            <w:tcW w:w="9781" w:type="dxa"/>
            <w:gridSpan w:val="3"/>
            <w:shd w:val="clear" w:color="auto" w:fill="auto"/>
          </w:tcPr>
          <w:p w14:paraId="0E26A58B" w14:textId="77777777" w:rsidR="00054265" w:rsidRDefault="00054265">
            <w:pPr>
              <w:spacing w:after="0"/>
              <w:jc w:val="center"/>
              <w:rPr>
                <w:rFonts w:ascii="Times New Roman" w:hAnsi="Times New Roman"/>
                <w:b/>
                <w:sz w:val="24"/>
                <w:szCs w:val="24"/>
              </w:rPr>
            </w:pPr>
          </w:p>
          <w:p w14:paraId="7BA98F26" w14:textId="77777777" w:rsidR="00054265" w:rsidRDefault="005A0E08">
            <w:pPr>
              <w:spacing w:after="0"/>
              <w:jc w:val="center"/>
              <w:rPr>
                <w:rFonts w:ascii="Times New Roman" w:hAnsi="Times New Roman"/>
                <w:b/>
                <w:sz w:val="24"/>
                <w:szCs w:val="24"/>
              </w:rPr>
            </w:pPr>
            <w:r>
              <w:rPr>
                <w:rFonts w:ascii="Times New Roman" w:hAnsi="Times New Roman"/>
                <w:b/>
                <w:sz w:val="24"/>
                <w:szCs w:val="24"/>
              </w:rPr>
              <w:t>Secţiunea a 2-a</w:t>
            </w:r>
          </w:p>
          <w:p w14:paraId="32E593D9" w14:textId="77777777" w:rsidR="00054265" w:rsidRDefault="005A0E08">
            <w:pPr>
              <w:spacing w:after="0"/>
              <w:jc w:val="center"/>
              <w:rPr>
                <w:rFonts w:ascii="Times New Roman" w:hAnsi="Times New Roman"/>
                <w:b/>
                <w:sz w:val="24"/>
                <w:szCs w:val="24"/>
              </w:rPr>
            </w:pPr>
            <w:r>
              <w:rPr>
                <w:rFonts w:ascii="Times New Roman" w:hAnsi="Times New Roman"/>
                <w:b/>
                <w:sz w:val="24"/>
                <w:szCs w:val="24"/>
              </w:rPr>
              <w:t>Motivul emiterii prezentului act normativ</w:t>
            </w:r>
          </w:p>
          <w:p w14:paraId="2C65CD2A" w14:textId="77777777" w:rsidR="00054265" w:rsidRDefault="005A0E08">
            <w:pPr>
              <w:spacing w:after="0"/>
              <w:jc w:val="center"/>
              <w:rPr>
                <w:rFonts w:ascii="Times New Roman" w:hAnsi="Times New Roman"/>
                <w:b/>
                <w:sz w:val="24"/>
                <w:szCs w:val="24"/>
              </w:rPr>
            </w:pPr>
            <w:r>
              <w:rPr>
                <w:rFonts w:ascii="Times New Roman" w:hAnsi="Times New Roman"/>
                <w:b/>
                <w:sz w:val="24"/>
                <w:szCs w:val="24"/>
              </w:rPr>
              <w:t xml:space="preserve">        </w:t>
            </w:r>
          </w:p>
        </w:tc>
      </w:tr>
      <w:tr w:rsidR="00054265" w14:paraId="1798A9E8" w14:textId="77777777">
        <w:tc>
          <w:tcPr>
            <w:tcW w:w="2566" w:type="dxa"/>
            <w:shd w:val="clear" w:color="auto" w:fill="auto"/>
          </w:tcPr>
          <w:p w14:paraId="3F8219FD" w14:textId="77777777" w:rsidR="00054265" w:rsidRDefault="005A0E08">
            <w:pPr>
              <w:pStyle w:val="ListParagraph"/>
              <w:spacing w:after="0"/>
              <w:ind w:left="0"/>
              <w:jc w:val="both"/>
              <w:rPr>
                <w:rFonts w:ascii="Times New Roman" w:hAnsi="Times New Roman"/>
                <w:b/>
                <w:sz w:val="24"/>
                <w:szCs w:val="24"/>
              </w:rPr>
            </w:pPr>
            <w:r>
              <w:rPr>
                <w:rFonts w:ascii="Times New Roman" w:hAnsi="Times New Roman"/>
                <w:b/>
                <w:sz w:val="24"/>
                <w:szCs w:val="24"/>
              </w:rPr>
              <w:t xml:space="preserve">1. Descrierea situaţiei actuale   </w:t>
            </w:r>
          </w:p>
        </w:tc>
        <w:tc>
          <w:tcPr>
            <w:tcW w:w="7215" w:type="dxa"/>
            <w:gridSpan w:val="2"/>
            <w:shd w:val="clear" w:color="auto" w:fill="auto"/>
          </w:tcPr>
          <w:p w14:paraId="14470506" w14:textId="3F9AD09D" w:rsidR="00054265" w:rsidRPr="003C280D" w:rsidRDefault="005A0E08" w:rsidP="003C280D">
            <w:pPr>
              <w:spacing w:line="240" w:lineRule="auto"/>
              <w:jc w:val="both"/>
              <w:rPr>
                <w:rFonts w:ascii="Times New Roman" w:hAnsi="Times New Roman"/>
                <w:sz w:val="24"/>
                <w:szCs w:val="24"/>
              </w:rPr>
            </w:pPr>
            <w:r>
              <w:rPr>
                <w:rFonts w:ascii="Times New Roman" w:hAnsi="Times New Roman"/>
                <w:sz w:val="24"/>
                <w:szCs w:val="24"/>
              </w:rPr>
              <w:t xml:space="preserve">Administraţia Fondului pentru Mediu este instituţie publică aflată în coordonarea Ministerului Mediului, </w:t>
            </w:r>
            <w:r w:rsidR="002949B0">
              <w:rPr>
                <w:rFonts w:ascii="Times New Roman" w:hAnsi="Times New Roman"/>
                <w:sz w:val="24"/>
                <w:szCs w:val="24"/>
              </w:rPr>
              <w:t xml:space="preserve">Apelor și Pădurilor, </w:t>
            </w:r>
            <w:r>
              <w:rPr>
                <w:rFonts w:ascii="Times New Roman" w:hAnsi="Times New Roman"/>
                <w:sz w:val="24"/>
                <w:szCs w:val="24"/>
              </w:rPr>
              <w:t xml:space="preserve">finanţată integral din venituri proprii, conform </w:t>
            </w:r>
            <w:r>
              <w:rPr>
                <w:rFonts w:ascii="Times New Roman" w:hAnsi="Times New Roman"/>
                <w:sz w:val="24"/>
                <w:szCs w:val="24"/>
                <w:lang w:eastAsia="ro-RO"/>
              </w:rPr>
              <w:t>Ordonanţei de urgenţă a Guvernului nr. 196/2005 privind Fondul pentru mediu, aprobată cu modificări şi completări prin Legea nr. 105/2006, cu modificările şi completările ulterioare</w:t>
            </w:r>
            <w:r>
              <w:rPr>
                <w:rFonts w:ascii="Times New Roman" w:hAnsi="Times New Roman"/>
                <w:sz w:val="24"/>
                <w:szCs w:val="24"/>
              </w:rPr>
              <w:t xml:space="preserve">. Necesitatea rectificării bugetului de venituri și cheltuieli al Fondului pentru mediu și al Administrației Fondului pentru Mediu pentru anul 2021 este justificată prin propunerile compartimentelor de specialitate ale instituției, referitoare la: </w:t>
            </w:r>
          </w:p>
          <w:p w14:paraId="039867F6" w14:textId="24F656A9" w:rsidR="00054265" w:rsidRDefault="005A0E08" w:rsidP="004837CB">
            <w:pPr>
              <w:spacing w:after="0" w:line="240" w:lineRule="auto"/>
              <w:jc w:val="both"/>
              <w:rPr>
                <w:rFonts w:ascii="Times New Roman" w:hAnsi="Times New Roman"/>
                <w:sz w:val="24"/>
                <w:szCs w:val="24"/>
              </w:rPr>
            </w:pPr>
            <w:r>
              <w:rPr>
                <w:rFonts w:ascii="Times New Roman" w:hAnsi="Times New Roman"/>
                <w:sz w:val="24"/>
                <w:szCs w:val="24"/>
              </w:rPr>
              <w:t>- modificarea veniturilor estimate a fi încasate la Fondul pentru mediu în anul 2021;</w:t>
            </w:r>
          </w:p>
          <w:p w14:paraId="08D9055D" w14:textId="77777777" w:rsidR="00054265" w:rsidRDefault="005A0E08" w:rsidP="004837CB">
            <w:pPr>
              <w:spacing w:after="0" w:line="240" w:lineRule="auto"/>
              <w:jc w:val="both"/>
              <w:rPr>
                <w:rFonts w:ascii="Times New Roman" w:hAnsi="Times New Roman"/>
                <w:sz w:val="24"/>
                <w:szCs w:val="24"/>
              </w:rPr>
            </w:pPr>
            <w:r>
              <w:t xml:space="preserve">- </w:t>
            </w:r>
            <w:r>
              <w:rPr>
                <w:rFonts w:ascii="Times New Roman" w:hAnsi="Times New Roman"/>
                <w:sz w:val="24"/>
                <w:szCs w:val="24"/>
              </w:rPr>
              <w:t>valoarea totală a cheltuielilor estimate a fi efectuate din bugetul Fondului pentru mediu și al Administrației Fondului pentru Mediu în anul 2021;</w:t>
            </w:r>
          </w:p>
          <w:p w14:paraId="08AF6EB8" w14:textId="77777777" w:rsidR="00054265" w:rsidRDefault="005A0E08" w:rsidP="004837CB">
            <w:pPr>
              <w:spacing w:after="0" w:line="240" w:lineRule="auto"/>
              <w:jc w:val="both"/>
              <w:rPr>
                <w:rFonts w:ascii="Times New Roman" w:hAnsi="Times New Roman"/>
                <w:sz w:val="24"/>
                <w:szCs w:val="24"/>
              </w:rPr>
            </w:pPr>
            <w:r>
              <w:rPr>
                <w:rFonts w:ascii="Times New Roman" w:hAnsi="Times New Roman"/>
                <w:sz w:val="24"/>
                <w:szCs w:val="24"/>
              </w:rPr>
              <w:t>- suplimentări și diminuări de credite  de angajament  și bugetare la anumite alineate de cheltuieli, în cadrul titlului 20 ”Bunuri și servicii”;</w:t>
            </w:r>
          </w:p>
          <w:p w14:paraId="4D374995" w14:textId="77777777" w:rsidR="00054265" w:rsidRDefault="005A0E08" w:rsidP="004837CB">
            <w:pPr>
              <w:spacing w:after="0" w:line="240" w:lineRule="auto"/>
              <w:jc w:val="both"/>
              <w:rPr>
                <w:rFonts w:ascii="Times New Roman" w:hAnsi="Times New Roman"/>
                <w:sz w:val="24"/>
                <w:szCs w:val="24"/>
              </w:rPr>
            </w:pPr>
            <w:r>
              <w:rPr>
                <w:rFonts w:ascii="Times New Roman" w:hAnsi="Times New Roman"/>
                <w:sz w:val="24"/>
                <w:szCs w:val="24"/>
              </w:rPr>
              <w:t>- propunerile de suplimentare pentru  articolul 59.17 Despăgubiri civile;</w:t>
            </w:r>
          </w:p>
          <w:p w14:paraId="5D0EB092" w14:textId="77777777" w:rsidR="00054265" w:rsidRDefault="005A0E08" w:rsidP="004837CB">
            <w:pPr>
              <w:spacing w:after="0" w:line="240" w:lineRule="auto"/>
              <w:jc w:val="both"/>
              <w:rPr>
                <w:rFonts w:ascii="Times New Roman" w:hAnsi="Times New Roman"/>
                <w:sz w:val="24"/>
                <w:szCs w:val="24"/>
              </w:rPr>
            </w:pPr>
            <w:r>
              <w:rPr>
                <w:rFonts w:ascii="Times New Roman" w:hAnsi="Times New Roman"/>
                <w:sz w:val="24"/>
                <w:szCs w:val="24"/>
              </w:rPr>
              <w:t>- modificarea creditelor de angajament și bugetare aferente categoriilor de programe finanțate din Fondul pentru mediu.</w:t>
            </w:r>
          </w:p>
        </w:tc>
      </w:tr>
      <w:tr w:rsidR="00054265" w14:paraId="5F2D6797" w14:textId="77777777">
        <w:trPr>
          <w:trHeight w:val="1522"/>
        </w:trPr>
        <w:tc>
          <w:tcPr>
            <w:tcW w:w="2566" w:type="dxa"/>
          </w:tcPr>
          <w:p w14:paraId="56BAED17" w14:textId="77777777" w:rsidR="00054265" w:rsidRDefault="005A0E08">
            <w:pPr>
              <w:spacing w:after="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xml:space="preserve"> În cazul proiectelor de acte normative care transpun legislaţie comunitară sau creează cadrul pentru aplicarea directă a acesteia</w:t>
            </w:r>
          </w:p>
        </w:tc>
        <w:tc>
          <w:tcPr>
            <w:tcW w:w="7215" w:type="dxa"/>
            <w:gridSpan w:val="2"/>
          </w:tcPr>
          <w:p w14:paraId="5C2673F4" w14:textId="77777777" w:rsidR="00054265" w:rsidRDefault="00054265">
            <w:pPr>
              <w:spacing w:after="0"/>
              <w:jc w:val="both"/>
              <w:rPr>
                <w:rFonts w:ascii="Times New Roman" w:hAnsi="Times New Roman"/>
                <w:bCs/>
                <w:sz w:val="24"/>
                <w:szCs w:val="24"/>
              </w:rPr>
            </w:pPr>
          </w:p>
          <w:p w14:paraId="4A3B475C" w14:textId="77777777" w:rsidR="00054265" w:rsidRDefault="005A0E08">
            <w:pPr>
              <w:spacing w:after="0"/>
              <w:jc w:val="both"/>
              <w:rPr>
                <w:rFonts w:ascii="Times New Roman" w:hAnsi="Times New Roman"/>
                <w:bCs/>
                <w:sz w:val="24"/>
                <w:szCs w:val="24"/>
              </w:rPr>
            </w:pPr>
            <w:r>
              <w:rPr>
                <w:rFonts w:ascii="Times New Roman" w:hAnsi="Times New Roman"/>
                <w:bCs/>
                <w:sz w:val="24"/>
                <w:szCs w:val="24"/>
              </w:rPr>
              <w:t>Proiectul de act normativ nu se referă la acest subiect.</w:t>
            </w:r>
          </w:p>
        </w:tc>
      </w:tr>
      <w:tr w:rsidR="00054265" w14:paraId="60BFA7CF" w14:textId="77777777">
        <w:trPr>
          <w:trHeight w:val="703"/>
        </w:trPr>
        <w:tc>
          <w:tcPr>
            <w:tcW w:w="2566" w:type="dxa"/>
          </w:tcPr>
          <w:p w14:paraId="6BEBFD85" w14:textId="77777777" w:rsidR="00054265" w:rsidRDefault="005A0E08">
            <w:pPr>
              <w:spacing w:after="0"/>
              <w:jc w:val="both"/>
              <w:rPr>
                <w:rFonts w:ascii="Times New Roman" w:hAnsi="Times New Roman"/>
                <w:b/>
                <w:sz w:val="24"/>
                <w:szCs w:val="24"/>
              </w:rPr>
            </w:pPr>
            <w:r>
              <w:rPr>
                <w:rFonts w:ascii="Times New Roman" w:hAnsi="Times New Roman"/>
                <w:b/>
                <w:sz w:val="24"/>
                <w:szCs w:val="24"/>
              </w:rPr>
              <w:t>2.Schimbări preconizate</w:t>
            </w:r>
          </w:p>
        </w:tc>
        <w:tc>
          <w:tcPr>
            <w:tcW w:w="7215" w:type="dxa"/>
            <w:gridSpan w:val="2"/>
            <w:shd w:val="clear" w:color="auto" w:fill="auto"/>
          </w:tcPr>
          <w:p w14:paraId="5769C636" w14:textId="77777777" w:rsidR="00054265" w:rsidRDefault="005A0E08">
            <w:pPr>
              <w:pStyle w:val="NoSpacing"/>
              <w:jc w:val="both"/>
            </w:pPr>
            <w:r>
              <w:t xml:space="preserve">Conform propunerilor compartimentelor de specialitate, valoarea totală a veniturilor estimate a fi încasate la Fondul pentru mediu în anul 2021  este în sumă de 2 648 884 mii lei, valoare modificată faţă de programul iniţial în sumă de 2 531 884 mii lei, aprobat prin H.G. nr. 469/2021  și se detaliază conform anexei nr.1- rectificată, astfel: </w:t>
            </w:r>
          </w:p>
          <w:p w14:paraId="0FE5D8DE" w14:textId="2A202CCE" w:rsidR="00054265" w:rsidRDefault="005A0E08">
            <w:pPr>
              <w:pStyle w:val="NoSpacing"/>
              <w:jc w:val="both"/>
            </w:pPr>
            <w:r>
              <w:t>- la paragraful 18.10.50 “Alte impozite şi taxe fiscale” s-au estimat valori ale veniturilor din taxe şi contribuţii în sumă de 822 694 mii lei valoare modificată faţă de programul iniţial</w:t>
            </w:r>
            <w:r w:rsidR="002949B0">
              <w:t>;</w:t>
            </w:r>
            <w:r>
              <w:t xml:space="preserve"> </w:t>
            </w:r>
          </w:p>
          <w:p w14:paraId="7FBD688E" w14:textId="77777777" w:rsidR="00054265" w:rsidRDefault="005A0E08">
            <w:pPr>
              <w:pStyle w:val="NoSpacing"/>
              <w:jc w:val="both"/>
            </w:pPr>
            <w:r>
              <w:t>- la paragraful 30.10.11 ” Venituri din vânzarea certificatelor de emisii de gaze cu efect de seră”, s-au estimat venituri în valoare totală de 1.500.278 mii lei, valoare nemodificată față de programul aprobat inițial;</w:t>
            </w:r>
          </w:p>
          <w:p w14:paraId="2060FA5C" w14:textId="77777777" w:rsidR="00054265" w:rsidRDefault="005A0E08">
            <w:pPr>
              <w:pStyle w:val="NoSpacing"/>
              <w:jc w:val="both"/>
            </w:pPr>
            <w:r>
              <w:lastRenderedPageBreak/>
              <w:t>-la paragraful 31.10.03 ”Alte venituri din dobânzi”, s-au estimat venituri în valoare totală de 3.390 mii lei, valoare nemodificată faţă de programul iniţial.</w:t>
            </w:r>
          </w:p>
          <w:p w14:paraId="43716F1E" w14:textId="77777777" w:rsidR="00054265" w:rsidRDefault="005A0E08">
            <w:pPr>
              <w:pStyle w:val="NoSpacing"/>
              <w:jc w:val="both"/>
            </w:pPr>
            <w:r>
              <w:t>Conform propunerilor compartimentelor de specialitate, valoarea totală a cheltuielilor estimate a fi efectuate din bugetul Fondului pentru mediu și al Administrației Fondului pentru Mediu în anul 2021 este în sumă de 1.559.834 mii lei, valoare modificată faţă de programul iniţial, aprobat prin H.G. nr.  469/2021, detaliată astfel:</w:t>
            </w:r>
          </w:p>
          <w:p w14:paraId="71C0A79D" w14:textId="77777777" w:rsidR="00054265" w:rsidRDefault="005A0E08">
            <w:pPr>
              <w:pStyle w:val="NoSpacing"/>
              <w:jc w:val="both"/>
            </w:pPr>
            <w:r>
              <w:t>Cheltuieli curente, în sumă de 1.900.664 mii  lei, valoare modificată faţă de programul iniţial, din care:</w:t>
            </w:r>
          </w:p>
          <w:p w14:paraId="06EB2A73" w14:textId="77777777" w:rsidR="00054265" w:rsidRDefault="005A0E08">
            <w:pPr>
              <w:pStyle w:val="NoSpacing"/>
              <w:jc w:val="both"/>
            </w:pPr>
            <w:r>
              <w:t>Titlul 10 „Cheltuieli de personal” – 30.210 mii lei, valoare nemodificată faţă de programul iniţial;</w:t>
            </w:r>
          </w:p>
          <w:p w14:paraId="06C82D5C" w14:textId="77777777" w:rsidR="00054265" w:rsidRDefault="005A0E08">
            <w:pPr>
              <w:pStyle w:val="NoSpacing"/>
              <w:jc w:val="both"/>
            </w:pPr>
            <w:r>
              <w:t>Titlul 20 „Bunuri şi servicii” – 32.755 mii lei, valoare modificată faţă de programul iniţial;</w:t>
            </w:r>
          </w:p>
          <w:p w14:paraId="4880E303" w14:textId="77777777" w:rsidR="00054265" w:rsidRDefault="005A0E08">
            <w:pPr>
              <w:pStyle w:val="NoSpacing"/>
              <w:jc w:val="both"/>
            </w:pPr>
            <w:r>
              <w:t xml:space="preserve">Titlul 51 „Transferuri de capital”, - 425.000 mii lei –titlul nou introdus; </w:t>
            </w:r>
          </w:p>
          <w:p w14:paraId="1391B399" w14:textId="77777777" w:rsidR="00054265" w:rsidRDefault="005A0E08">
            <w:pPr>
              <w:pStyle w:val="NoSpacing"/>
              <w:jc w:val="both"/>
            </w:pPr>
            <w:r>
              <w:t xml:space="preserve">Având în vedere adresa transmisă de Ministerul Finanțelor nr. 465252/30.07.2021, înregistrată la A.F.M. cu nr. 55888/09.08.2021,se introduce titlul VI TRANSFERURI INTRE UNITATI ALE ADMINISTRATIEI PUBLICE, cod 51, articolul „Transferuri de capital”, cod 51.02, alineatul „Transferuri din sumele obținute din vânzarea certificatelor de emisii de gaze cu efect de seră pentru finanțarea proiectelor de investiții”, cod. 51.32.39. </w:t>
            </w:r>
          </w:p>
          <w:p w14:paraId="57A3AF53" w14:textId="77777777" w:rsidR="00054265" w:rsidRPr="00867C41" w:rsidRDefault="005A0E08">
            <w:pPr>
              <w:pStyle w:val="NoSpacing"/>
              <w:jc w:val="both"/>
            </w:pPr>
            <w:r>
              <w:t xml:space="preserve">Titlul 55 ”Alte transferuri”, articol 55.01 „Transferuri interne” – </w:t>
            </w:r>
            <w:r w:rsidRPr="00867C41">
              <w:t xml:space="preserve">1.164.130 mii lei, valoare modificată faţă de programul iniţial, în sumă de 2.721.130 mii lei, compusă din: </w:t>
            </w:r>
          </w:p>
          <w:p w14:paraId="3D89EC94" w14:textId="77777777" w:rsidR="00054265" w:rsidRPr="00867C41" w:rsidRDefault="005A0E08">
            <w:pPr>
              <w:pStyle w:val="NoSpacing"/>
              <w:jc w:val="both"/>
            </w:pPr>
            <w:r w:rsidRPr="00867C41">
              <w:t>- sume alocate  proiectelor şi programelor pentru protecţia mediului  finanţate din Fondul pentru mediu în anul 2021 în valoare de 624 130  mii lei, valoare modificată față de programul inițial, în sumă de 751 130 mii lei (detaliate în anexa nr.2a  -rectificată);</w:t>
            </w:r>
          </w:p>
          <w:p w14:paraId="6F45B30B" w14:textId="0A26B1A2" w:rsidR="00054265" w:rsidRDefault="005A0E08">
            <w:pPr>
              <w:pStyle w:val="NoSpacing"/>
              <w:jc w:val="both"/>
            </w:pPr>
            <w:r w:rsidRPr="00867C41">
              <w:t>- sume alocate categoriilor de proiecte prioritare finanțate din Fondul pentru mediu, în temeiul Ordinului ministrului mediului</w:t>
            </w:r>
            <w:r w:rsidR="005371B4">
              <w:t xml:space="preserve">, apelor și pădurilor </w:t>
            </w:r>
            <w:r w:rsidRPr="00867C41">
              <w:t>nr.</w:t>
            </w:r>
            <w:r w:rsidR="005371B4">
              <w:t xml:space="preserve"> 2084</w:t>
            </w:r>
            <w:r w:rsidRPr="00867C41">
              <w:t>/</w:t>
            </w:r>
            <w:r w:rsidR="005371B4">
              <w:t>11</w:t>
            </w:r>
            <w:r w:rsidRPr="00867C41">
              <w:t>.</w:t>
            </w:r>
            <w:r w:rsidR="005371B4">
              <w:t>11</w:t>
            </w:r>
            <w:r w:rsidRPr="00867C41">
              <w:t>.2021, în valoare de 1.133.681 mii lei,</w:t>
            </w:r>
            <w:r>
              <w:t xml:space="preserve"> valoare modificată față de programul inițial în sumă de 1.986 381  mii lei (detaliate în anexa nr.2b-rectificată).</w:t>
            </w:r>
          </w:p>
          <w:p w14:paraId="5FF29F8F" w14:textId="77777777" w:rsidR="00054265" w:rsidRDefault="00054265">
            <w:pPr>
              <w:pStyle w:val="NoSpacing"/>
              <w:jc w:val="both"/>
            </w:pPr>
          </w:p>
          <w:p w14:paraId="79E026CF" w14:textId="77777777" w:rsidR="00054265" w:rsidRDefault="005A0E08">
            <w:pPr>
              <w:pStyle w:val="NoSpacing"/>
              <w:jc w:val="both"/>
            </w:pPr>
            <w:r>
              <w:t xml:space="preserve">Astfel, programele cuprinse în anexa nr. 2b- rectificată, au fost evidențiate atât pe codul 51, articolul „Transferuri de capital”, cât și pe codul 55, articolul „Alte transferuri”. </w:t>
            </w:r>
          </w:p>
          <w:p w14:paraId="273DC8B0" w14:textId="77777777" w:rsidR="00054265" w:rsidRDefault="00054265">
            <w:pPr>
              <w:pStyle w:val="NoSpacing"/>
              <w:jc w:val="both"/>
            </w:pPr>
          </w:p>
          <w:p w14:paraId="0848DA96" w14:textId="77777777" w:rsidR="00054265" w:rsidRDefault="005A0E08">
            <w:pPr>
              <w:pStyle w:val="NoSpacing"/>
              <w:jc w:val="both"/>
            </w:pPr>
            <w:r>
              <w:t>Cheltuielile în cadrul Titlului 70 „Cheltuieli de capital” -  sunt estimate la  o valoare a creditelor de angajament  și bugetare în cuantum de 9 170 mii lei, valoare modificată faţă de programul iniţial, în sumă de 17 367 mii lei și sunt detaliate pe alineate astfel:</w:t>
            </w:r>
          </w:p>
          <w:p w14:paraId="6DF66D61" w14:textId="77777777" w:rsidR="00054265" w:rsidRDefault="005A0E08">
            <w:pPr>
              <w:pStyle w:val="NoSpacing"/>
              <w:jc w:val="both"/>
            </w:pPr>
            <w:r>
              <w:t>- art. 71.01.03 Mobilier, aparatură birotică și alte active corporale- s-a estimat o valoare a creditelor de angajament  și bugetare de 985 mii, valoare modificată faţă de programul iniţial,în sumă de 4107 mii lei;</w:t>
            </w:r>
          </w:p>
          <w:p w14:paraId="21CF079E" w14:textId="7FEEC0A2" w:rsidR="00054265" w:rsidRDefault="005A0E08">
            <w:pPr>
              <w:pStyle w:val="NoSpacing"/>
              <w:jc w:val="both"/>
            </w:pPr>
            <w:r>
              <w:t>- art. 71.01.30 Alte active fixe - s-a estimat o valoare a creditelor de angajament</w:t>
            </w:r>
            <w:r w:rsidR="00931029">
              <w:t xml:space="preserve"> </w:t>
            </w:r>
            <w:r>
              <w:t>și bugetare de 7.485 mii, valoare modificată faţă de programul iniţial,</w:t>
            </w:r>
            <w:r w:rsidR="00931029">
              <w:t xml:space="preserve"> </w:t>
            </w:r>
            <w:r>
              <w:t>în sumă de 13.260 mii lei.</w:t>
            </w:r>
          </w:p>
          <w:p w14:paraId="1E640919" w14:textId="77777777" w:rsidR="00054265" w:rsidRDefault="00054265">
            <w:pPr>
              <w:pStyle w:val="NoSpacing"/>
              <w:jc w:val="both"/>
            </w:pPr>
          </w:p>
          <w:p w14:paraId="7EBDCF9B" w14:textId="77777777" w:rsidR="00054265" w:rsidRDefault="005A0E08">
            <w:pPr>
              <w:pStyle w:val="NoSpacing"/>
              <w:jc w:val="both"/>
            </w:pPr>
            <w:r>
              <w:t xml:space="preserve">În baza fundamentărilor transmise de compartimentele de specialitate, au fost propuse suplimentări și diminuări de credite  de angajament  și </w:t>
            </w:r>
            <w:r>
              <w:lastRenderedPageBreak/>
              <w:t>bugetare la anumite alineate de cheltuieli, în cadrul titlului 20 ”Bunuri și servicii”  estimându-se un necesar de 32.755 mii lei valoare modificată faţă de programul iniţial, în sumă de 32.335 mii lei, pe total titlu de cheltuieli.</w:t>
            </w:r>
          </w:p>
          <w:p w14:paraId="52D2711B" w14:textId="77777777" w:rsidR="00054265" w:rsidRDefault="005A0E08">
            <w:pPr>
              <w:pStyle w:val="NoSpacing"/>
              <w:jc w:val="both"/>
            </w:pPr>
            <w:r>
              <w:t>Detaliate pe alineate, cheltuielile la titlul 20 ” Bunuri și servicii” se prezintă astfel:</w:t>
            </w:r>
          </w:p>
          <w:p w14:paraId="6E4A0620" w14:textId="77777777" w:rsidR="00054265" w:rsidRDefault="005A0E08">
            <w:pPr>
              <w:pStyle w:val="NoSpacing"/>
              <w:jc w:val="both"/>
            </w:pPr>
            <w:r>
              <w:t>- alin. 20.01.01  Furnituri de birou (rechizite, tonere, tipizate, hârtie, cutii arhivare) – s-a estimat o valoare a creditelor de angajament  și bugetare de 380 mii lei, valoare modificată faţă de programul iniţial, în sumă de 280 mii lei;</w:t>
            </w:r>
          </w:p>
          <w:p w14:paraId="28D9FA5B" w14:textId="19A6949F" w:rsidR="00054265" w:rsidRDefault="005A0E08">
            <w:pPr>
              <w:pStyle w:val="NoSpacing"/>
              <w:jc w:val="both"/>
            </w:pPr>
            <w:r>
              <w:t xml:space="preserve">- alin. 20.01.03  Iluminat, încălzit şi forţă motrică - s-a estimat o valoare a creditelor de angajament și bugetare de 300 mii lei, valoare nemodificată faţă de programul iniţial; </w:t>
            </w:r>
          </w:p>
          <w:p w14:paraId="4D662AEE" w14:textId="77777777" w:rsidR="00054265" w:rsidRDefault="005A0E08">
            <w:pPr>
              <w:pStyle w:val="NoSpacing"/>
              <w:jc w:val="both"/>
            </w:pPr>
            <w:r>
              <w:t xml:space="preserve">- alin. 20.01.04  Apă, canal, salubritate - s-a estimat o valoare a creditelor de angajament  și bugetare de  70 mii lei,  valoare nemodificată faţă de programul iniţial; </w:t>
            </w:r>
          </w:p>
          <w:p w14:paraId="6389DD4D" w14:textId="77777777" w:rsidR="00054265" w:rsidRDefault="005A0E08">
            <w:pPr>
              <w:pStyle w:val="NoSpacing"/>
              <w:jc w:val="both"/>
            </w:pPr>
            <w:r>
              <w:t>- alin. 20.01.05  Carburanţi şi lubrifianţi -  s-a estimat o valoare  a creditelor de angajament  și bugetare de 270 mii lei, valoare rămasă nemodificată faţă de programul iniţial;</w:t>
            </w:r>
          </w:p>
          <w:p w14:paraId="3AFBC1F1" w14:textId="77777777" w:rsidR="00054265" w:rsidRDefault="005A0E08">
            <w:pPr>
              <w:pStyle w:val="NoSpacing"/>
              <w:jc w:val="both"/>
            </w:pPr>
            <w:r>
              <w:t xml:space="preserve">- alin. 20.01.08  Poşta, telecomunicaţii, radio tv, internet - s-a estimat o valoare a creditelor de angajament  și bugetare de  925 mii lei, valoare modificată faţă de programul iniţial, în sumă de 525 mii lei care să asigure necesităţile privind serviciile de internet, telefonie fixă şi mobilă, transmitere SMS către beneficiari,  precum şi serviciile poştale, pentru estimarea cărora s-a avut în vedere numărul mare de acte administrativ- fiscale si de procedura transmise de Administraţia Fondului pentru Mediu (înştiinţări, somaţii, titluri executorii) care se transmit cu confirmare de primire conform Codului de procedură fiscală;           </w:t>
            </w:r>
          </w:p>
          <w:p w14:paraId="674C14C3" w14:textId="77777777" w:rsidR="00054265" w:rsidRDefault="005A0E08">
            <w:pPr>
              <w:pStyle w:val="NoSpacing"/>
              <w:jc w:val="both"/>
            </w:pPr>
            <w:r>
              <w:t>- alin. 20.01.09  Materiale şi prestări servicii cu caracter funcţional -  s-a estimat o valoare a creditelor de angajament  și bugetare de 200 mii lei, valoare modificată faţă de programul iniţial, în sumă de 150 mii lei;</w:t>
            </w:r>
          </w:p>
          <w:p w14:paraId="6CC5715A" w14:textId="77777777" w:rsidR="00054265" w:rsidRDefault="005A0E08">
            <w:pPr>
              <w:pStyle w:val="NoSpacing"/>
              <w:jc w:val="both"/>
            </w:pPr>
            <w:r>
              <w:t xml:space="preserve">- alin. 20.01.30 – Alte bunuri şi servicii pentru întreţinere şi funcţionare - s-a estimat o valoare a creditelor de angajament  și bugetare de 7.000 mii lei, valoare modificată faţă de programul iniţial, în sumă de 7.300 mii lei pentru achiziţionarea de bunuri şi servicii necesare desfăşurării activității în condiţii optime;       </w:t>
            </w:r>
          </w:p>
          <w:p w14:paraId="6D9A74D7" w14:textId="77777777" w:rsidR="00054265" w:rsidRDefault="005A0E08">
            <w:pPr>
              <w:pStyle w:val="NoSpacing"/>
              <w:jc w:val="both"/>
            </w:pPr>
            <w:r>
              <w:t>- art. 20.02 Reparaţii curente - s-a estimat o valoare a creditelor de angajament  și bugetare de 400 mii lei, valoare rămasă nemodificată faţă de programul iniţial;</w:t>
            </w:r>
          </w:p>
          <w:p w14:paraId="598152B7" w14:textId="77777777" w:rsidR="00054265" w:rsidRDefault="005A0E08">
            <w:pPr>
              <w:pStyle w:val="NoSpacing"/>
              <w:jc w:val="both"/>
            </w:pPr>
            <w:r>
              <w:t>- alin. 20.05.30 Obiecte de inventar - s-a estimat o valoare a creditelor de angajament  și bugetare de 260 mii lei, valoare modificată faţă de programul iniţial, în sumă de 140 mii lei, necesare achiziţionării de obiecte de inventar necesare desfăşurării activităţii în condiţii optime;</w:t>
            </w:r>
          </w:p>
          <w:p w14:paraId="514F2500" w14:textId="77777777" w:rsidR="00054265" w:rsidRDefault="005A0E08">
            <w:pPr>
              <w:pStyle w:val="NoSpacing"/>
              <w:jc w:val="both"/>
            </w:pPr>
            <w:r>
              <w:t>- art. 20.06. – Deplasări, detaşări, transferări – s-a estimat o valoare a creditelor de angajament  și bugetare de 170 mii lei, valoare nemodificată faţă de programul iniţial;</w:t>
            </w:r>
          </w:p>
          <w:p w14:paraId="644B47C4" w14:textId="6E0319E0" w:rsidR="00054265" w:rsidRDefault="005A0E08">
            <w:pPr>
              <w:pStyle w:val="NoSpacing"/>
              <w:jc w:val="both"/>
            </w:pPr>
            <w:r>
              <w:t>- alin. 20.06.02-</w:t>
            </w:r>
            <w:r w:rsidR="00A96B6B">
              <w:t xml:space="preserve"> </w:t>
            </w:r>
            <w:r>
              <w:t>Deplasări în străinătate- s-a estimat o valoare a creditelor de angajament și bugetare de 20 mii lei, valoare modificată faţă de programul iniţial, în sumă de 0 lei, pentru deplasarea domnului președinte;</w:t>
            </w:r>
          </w:p>
          <w:p w14:paraId="370D1115" w14:textId="77777777" w:rsidR="00054265" w:rsidRDefault="005A0E08">
            <w:pPr>
              <w:pStyle w:val="NoSpacing"/>
              <w:jc w:val="both"/>
            </w:pPr>
            <w:r>
              <w:t xml:space="preserve">- art. 20.11 Cărţi şi publicaţii – s-a estimat o valoare a creditelor de angajament  și bugetare de 10 mii lei, valoare rămasă nemodificată faţă </w:t>
            </w:r>
            <w:r>
              <w:lastRenderedPageBreak/>
              <w:t>de programul iniţial, pentru asigurarea cheltuielilor destinate  unei  informări în timp util privind aspectele juridice, socio-economice şi de mediu concretizată prin achiziţionarea unor publicaţii periodice şi cotidiene cum ar fi: Monitorul Oficial, Tribuna Economică, Dreptul, Buletinul Casaţiei, Revista de Drept Public, Revista de Drept Comercial, Revista de achiziţii publice;</w:t>
            </w:r>
          </w:p>
          <w:p w14:paraId="0B55152B" w14:textId="08048709" w:rsidR="00054265" w:rsidRDefault="005A0E08">
            <w:pPr>
              <w:pStyle w:val="NoSpacing"/>
              <w:jc w:val="both"/>
            </w:pPr>
            <w:r>
              <w:t xml:space="preserve">-art.20.11 Cărţi, publicaţii şi materiale documentare – s-a estimat o valoare a creditelor de angajament și bugetare de 20 mii lei, valoare nemodificată faţă de programul iniţial; </w:t>
            </w:r>
          </w:p>
          <w:p w14:paraId="5A19D17C" w14:textId="4C710AE8" w:rsidR="00054265" w:rsidRDefault="005A0E08">
            <w:pPr>
              <w:pStyle w:val="NoSpacing"/>
              <w:jc w:val="both"/>
            </w:pPr>
            <w:r>
              <w:t>-art.20.12</w:t>
            </w:r>
            <w:r w:rsidR="00A96B6B">
              <w:t xml:space="preserve"> </w:t>
            </w:r>
            <w:r>
              <w:t>Consultanţă şi expertiză documentare – s-a estimat o valoare a creditelor de angajament și bugetare de 14.450 mii lei, valoare nemodificată faţă de programul iniţial;</w:t>
            </w:r>
          </w:p>
          <w:p w14:paraId="2B866B19" w14:textId="77777777" w:rsidR="00054265" w:rsidRDefault="005A0E08">
            <w:pPr>
              <w:pStyle w:val="NoSpacing"/>
              <w:jc w:val="both"/>
            </w:pPr>
            <w:r>
              <w:t>- art. 20.13  Pregătire profesională – s-a estimat o valoare a creditelor de angajament  și bugetare de 300 mii lei, valoare nemodificată faţă de programul iniţial;</w:t>
            </w:r>
          </w:p>
          <w:p w14:paraId="5EC76AE2" w14:textId="77777777" w:rsidR="00054265" w:rsidRDefault="005A0E08">
            <w:pPr>
              <w:pStyle w:val="NoSpacing"/>
              <w:jc w:val="both"/>
            </w:pPr>
            <w:r>
              <w:t>- art. 20.14  Protecţia muncii - s-a estimat o valoare a creditelor de angajament  și bugetare de 80 mii lei, valoare rămasă nemodificată faţă de programul iniţial, destinate asigurării controlului medical la angajare şi periodic pentru cei 256 salariaţi, truse medicale în instituţie, precum şi apă minerală pe timp de caniculă, obligaţii puse în sarcina angajatorului conform prevederilor legale în vigoare;</w:t>
            </w:r>
          </w:p>
          <w:p w14:paraId="235C40E9" w14:textId="77777777" w:rsidR="00054265" w:rsidRDefault="005A0E08">
            <w:pPr>
              <w:pStyle w:val="NoSpacing"/>
              <w:jc w:val="both"/>
            </w:pPr>
            <w:r>
              <w:t>-art.20.16 Studii și cercetări -s-a estimat o valoare a creditelor de angajament  și bugetare de 0 mii lei, valoare modificată faţă de programul iniţial, în sumă de 1.000 mii lei;</w:t>
            </w:r>
          </w:p>
          <w:p w14:paraId="2532F833" w14:textId="77777777" w:rsidR="00054265" w:rsidRDefault="005A0E08">
            <w:pPr>
              <w:pStyle w:val="NoSpacing"/>
              <w:jc w:val="both"/>
            </w:pPr>
            <w:r>
              <w:t>-  art. 20.25 Cheltuieli judiciare şi extrajudiciare - s-a estimat o valoare a creditelor de angajament  și bugetare de 50 mii lei, valoare nemodificată faţă de programul iniţial;</w:t>
            </w:r>
          </w:p>
          <w:p w14:paraId="2F686FEE" w14:textId="27BC4B96" w:rsidR="00054265" w:rsidRDefault="005A0E08">
            <w:pPr>
              <w:pStyle w:val="NoSpacing"/>
              <w:jc w:val="both"/>
            </w:pPr>
            <w:r>
              <w:t xml:space="preserve">- alin. 20.30.02 Protocol şi reprezentare  - s-a estimat o valoare a creditelor de angajament și bugetare de 60 mii lei, valoare nemodificată faţă de programul iniţial, destinate organizării de către Administraţia Fondului pentru Mediu a unor evenimente pe plan intern şi internaţional cu respectarea condiţiilor restrictive impuse prin actele normative în vigoare; </w:t>
            </w:r>
          </w:p>
          <w:p w14:paraId="549AC82A" w14:textId="77777777" w:rsidR="00054265" w:rsidRDefault="005A0E08">
            <w:pPr>
              <w:pStyle w:val="NoSpacing"/>
              <w:jc w:val="both"/>
            </w:pPr>
            <w:r>
              <w:t>- alin. 20.30.03 Prime asigurare non viaţă - s-a estimat o valoare a creditelor de angajament  și bugetare de 70 mii lei, valoare rămasă nemodificată faţă de programul iniţial,  destinate serviciilor de asigurare auto obligatorie, asigurare CASCO pentru autoturismele din dotarea Administraţiei Fondului pentru Mediu;</w:t>
            </w:r>
          </w:p>
          <w:p w14:paraId="50FDD0C5" w14:textId="1E367383" w:rsidR="00054265" w:rsidRDefault="005A0E08">
            <w:pPr>
              <w:pStyle w:val="NoSpacing"/>
              <w:jc w:val="both"/>
            </w:pPr>
            <w:r>
              <w:t xml:space="preserve">- alin. 20.30.04 Chirii  - s-a estimat o valoare a creditelor de angajament  și bugetare de 500 mii lei, valoare modificată faţă de programul iniţial, în sumă de 80 mii lei pentru plata chiriilor de spații de birouri ca urmare a modificării O.U.G. </w:t>
            </w:r>
            <w:r w:rsidR="00F46157">
              <w:t xml:space="preserve">nr. </w:t>
            </w:r>
            <w:r>
              <w:t>196/200</w:t>
            </w:r>
            <w:r w:rsidR="00F46157">
              <w:t>5</w:t>
            </w:r>
            <w:r>
              <w:t xml:space="preserve"> </w:t>
            </w:r>
            <w:r w:rsidR="00F46157">
              <w:t>prin</w:t>
            </w:r>
            <w:r>
              <w:t xml:space="preserve"> O.U.G. nr. 108/2021;</w:t>
            </w:r>
          </w:p>
          <w:p w14:paraId="343EE36B" w14:textId="77777777" w:rsidR="00054265" w:rsidRDefault="005A0E08">
            <w:pPr>
              <w:pStyle w:val="NoSpacing"/>
              <w:jc w:val="both"/>
            </w:pPr>
            <w:r>
              <w:t>- alin. 20.30.30 – Alte cheltuieli cu bunuri şi servicii - s-a estimat o valoare a creditelor de angajament  și bugetare de  6320 mii lei, valoare modificată faţă de programul iniţial, în sumă de 6130 mii lei.</w:t>
            </w:r>
          </w:p>
          <w:p w14:paraId="6BA74F25" w14:textId="77777777" w:rsidR="00054265" w:rsidRDefault="00054265">
            <w:pPr>
              <w:pStyle w:val="NoSpacing"/>
              <w:jc w:val="both"/>
            </w:pPr>
          </w:p>
          <w:p w14:paraId="0C941F07" w14:textId="5E30117C" w:rsidR="00054265" w:rsidRDefault="005A0E08">
            <w:pPr>
              <w:pStyle w:val="NoSpacing"/>
              <w:jc w:val="both"/>
            </w:pPr>
            <w:r>
              <w:t>Având în vedere execuția bugetară la data de 30.09.2021, la Titlul 57 “Asistență Socială”</w:t>
            </w:r>
            <w:r w:rsidR="00A96B6B">
              <w:t xml:space="preserve"> </w:t>
            </w:r>
            <w:r>
              <w:t>s-a estimat o valoare a creditelor de angajament  și bugetare de 172 mii lei, valoare modificată față de valoare inițială, în sumă de 742  mii lei, astfel:</w:t>
            </w:r>
          </w:p>
          <w:p w14:paraId="29770844" w14:textId="77777777" w:rsidR="00054265" w:rsidRDefault="005A0E08">
            <w:pPr>
              <w:pStyle w:val="NoSpacing"/>
              <w:jc w:val="both"/>
            </w:pPr>
            <w:r>
              <w:t>-alin. 57.02.01 Ajutoare sociale în numerar- s-a estimat o valoare a creditelor de angajament  și bugetare 143 mii lei, valoare modificată față de programul iniţial, în sumă de 742 mii lei;</w:t>
            </w:r>
          </w:p>
          <w:p w14:paraId="5684DF6F" w14:textId="77777777" w:rsidR="00054265" w:rsidRDefault="005A0E08">
            <w:pPr>
              <w:pStyle w:val="NoSpacing"/>
              <w:jc w:val="both"/>
            </w:pPr>
            <w:r>
              <w:lastRenderedPageBreak/>
              <w:t>-alin. 57.02.03 Tichete de creșă și tichete sociale pentru grădiniță - s-a estimat o valoare a creditelor de angajament  și bugetare 29 mii lei, valoare modificată față de programul iniţial, în sumă de 54 mii lei.</w:t>
            </w:r>
          </w:p>
          <w:p w14:paraId="427C9125" w14:textId="77777777" w:rsidR="00054265" w:rsidRDefault="005A0E08">
            <w:pPr>
              <w:pStyle w:val="NoSpacing"/>
              <w:jc w:val="both"/>
            </w:pPr>
            <w:r>
              <w:t xml:space="preserve">                         </w:t>
            </w:r>
          </w:p>
          <w:p w14:paraId="3FD920E4" w14:textId="40579834" w:rsidR="00054265" w:rsidRDefault="005A0E08">
            <w:pPr>
              <w:pStyle w:val="NoSpacing"/>
              <w:jc w:val="both"/>
            </w:pPr>
            <w:r>
              <w:t xml:space="preserve"> În baza fundamentării transmise de compartimentele de specialitate, au fost propuse suplimentări și diminuări de credite de angajament și bugetare la anumite alineate de cheltuieli, în cadrul Titlului 59 ”Alte cheltuieli”  estimându-se un necesar de 1294 mii lei valoare modificată faţă de programul iniţial, în sumă de 470 mii lei, pe total titlu de cheltuieli.</w:t>
            </w:r>
          </w:p>
          <w:p w14:paraId="07CFAC9D" w14:textId="77777777" w:rsidR="00054265" w:rsidRDefault="00054265">
            <w:pPr>
              <w:pStyle w:val="NoSpacing"/>
              <w:jc w:val="both"/>
            </w:pPr>
          </w:p>
          <w:p w14:paraId="451DB816" w14:textId="77777777" w:rsidR="00054265" w:rsidRDefault="005A0E08">
            <w:pPr>
              <w:pStyle w:val="NoSpacing"/>
              <w:jc w:val="both"/>
            </w:pPr>
            <w:r>
              <w:t>Astfel, au fost prezentate propunerile de suplimentare pentru  articolul 59.17 Despăgubiri civile în valoare de 800 mii lei, astfel valoarea creditelor de angajament și bugetare este de 1075 mii lei, valoare modificată față de progrmul initial, în sumă de 275 mii lei.</w:t>
            </w:r>
          </w:p>
          <w:p w14:paraId="202BEE8C" w14:textId="77777777" w:rsidR="00054265" w:rsidRDefault="005A0E08">
            <w:pPr>
              <w:pStyle w:val="NoSpacing"/>
              <w:jc w:val="both"/>
            </w:pPr>
            <w:r>
              <w:t xml:space="preserve">  La art. 59.40 Sume aferente persoanelor cu handicap neîncadrate - s-a estimat o valoare a creditelor de angajament  și bugetare de 219 mii lei, valoare modificată faţă de programul iniţial, în sumă de 195 mii lei.</w:t>
            </w:r>
          </w:p>
          <w:p w14:paraId="506B406F" w14:textId="77777777" w:rsidR="00054265" w:rsidRDefault="00054265">
            <w:pPr>
              <w:pStyle w:val="NoSpacing"/>
              <w:jc w:val="both"/>
            </w:pPr>
          </w:p>
          <w:p w14:paraId="3D93B86B" w14:textId="77777777" w:rsidR="00054265" w:rsidRDefault="005A0E08">
            <w:pPr>
              <w:pStyle w:val="NoSpacing"/>
              <w:jc w:val="both"/>
            </w:pPr>
            <w:r>
              <w:t>Finanţarea proiectelor și programelor pentru protecţia mediului  se face cu respectarea legislaţiei privind ajutorul de stat (unde acest lucru se impune), conform Ordonanţei de urgenţă a Guvernului nr. 77/2014 privind procedurile naţionale în domeniul ajutorului de stat, precum şi pentru modificarea şi completarea Legii concurenţei nr. 21/1996.</w:t>
            </w:r>
          </w:p>
          <w:p w14:paraId="6716AF65" w14:textId="77777777" w:rsidR="00054265" w:rsidRDefault="005A0E08">
            <w:pPr>
              <w:pStyle w:val="NoSpacing"/>
              <w:jc w:val="both"/>
            </w:pPr>
            <w:r>
              <w:t>În prezent, Administrația Fondului pentru Mediu are în derulare contracte pentru finanțare nerambursabilă semnate în anii anteriori și este în proces de elaborare și modificare a unor ghiduri pentru lansarea unor noi sesiuni în cadrul unor programe existente sau în cadrul unor noi programe de finanțare, sumele necesare urmând a fi asigurate din veniturile Fondului pentru mediu.</w:t>
            </w:r>
          </w:p>
          <w:p w14:paraId="6C539D51" w14:textId="77777777" w:rsidR="00054265" w:rsidRDefault="005A0E08">
            <w:pPr>
              <w:pStyle w:val="NoSpacing"/>
              <w:jc w:val="both"/>
            </w:pPr>
            <w:r>
              <w:t>Întrucât necesarul de finanțare, atât în ceea ce privește creditele bugetare, pentru susținerea  contractelor și angajamentelor în vigoare, cât și cel aferent creditelor de angajament, pentru susținerea strategiilor de mediu prin lansarea de noi sesiuni și programe, excede veniturilor încasate potrivit art. 9 alin. (1) din OUG nr. 196/20015, privind Fondul pentru mediu, AFM a întreprins demersurile pentru identificarea și atragerea de noi surse de venit. Urmare a acestor demersuri, a fost aprobată Ordonanța de Urgență nr. 37/2018, potrivit căreia sumele prevăzute la art. 10, alin. (1), lit. b), respectiv art. 11, alin. (1), lit. b) din OUG nr. 115/2011, cu modificările ulterioare, se fac venit la Fondul pentru mediu și se utilizează pentru finanțarea categoriilor de proiecte prioritare, stabilite prin ordin al ministrului autorității publice centrale pentru protecția mediului, în domeniile din Directiva 2003/87/CE.</w:t>
            </w:r>
          </w:p>
          <w:p w14:paraId="5EC70E48" w14:textId="74407CF2" w:rsidR="00054265" w:rsidRDefault="005A0E08">
            <w:pPr>
              <w:pStyle w:val="NoSpacing"/>
              <w:jc w:val="both"/>
            </w:pPr>
            <w:r>
              <w:t xml:space="preserve">Astfel, în temeiul prevederilor art. 12, alin. (1) și (2) din OUG nr. 115/2011, cu modificările și completările ulterioare, a fost emis Ordinul Ministrului Mediului, Apelor </w:t>
            </w:r>
            <w:r w:rsidR="00A96B6B">
              <w:t>ș</w:t>
            </w:r>
            <w:r>
              <w:t>i P</w:t>
            </w:r>
            <w:r w:rsidR="00A96B6B">
              <w:t>ă</w:t>
            </w:r>
            <w:r>
              <w:t>durilor nr. 549/31.03.2021 pentru aprobarea listei categoriilor de proiecte prioritare pentru anul 2021. Finanțarea proiectelor prevăzute în lista menționată se realizează de către Administrația Fondului pentru Mediu în limita sumelor stabilite în anexa la ordinul menționat și a fondurilor aprobate cu această destinație în bugetul de venituri și cheltuieli al Fondului pentru Mediu și Administrației Fondului pentru Mediu, evidențiate în anexa 2b la acesta.</w:t>
            </w:r>
          </w:p>
          <w:p w14:paraId="157BC2B1" w14:textId="77777777" w:rsidR="00054265" w:rsidRDefault="005A0E08">
            <w:pPr>
              <w:pStyle w:val="NoSpacing"/>
              <w:jc w:val="both"/>
            </w:pPr>
            <w:r>
              <w:lastRenderedPageBreak/>
              <w:t>În cele ce urmează este fundamentată detalierea creditelor de angajament și bugetare aferente categoriilor de programe finanțate din Fondul pentru mediu, propuse în vederea rectificării.</w:t>
            </w:r>
          </w:p>
          <w:p w14:paraId="47E8AE4E" w14:textId="77777777" w:rsidR="00054265" w:rsidRDefault="00054265">
            <w:pPr>
              <w:pStyle w:val="NoSpacing"/>
              <w:jc w:val="both"/>
            </w:pPr>
          </w:p>
          <w:p w14:paraId="2AA86D1A" w14:textId="77777777" w:rsidR="00054265" w:rsidRDefault="005A0E08">
            <w:pPr>
              <w:pStyle w:val="NoSpacing"/>
              <w:jc w:val="both"/>
              <w:rPr>
                <w:b/>
                <w:bCs/>
              </w:rPr>
            </w:pPr>
            <w:r>
              <w:rPr>
                <w:b/>
                <w:bCs/>
              </w:rPr>
              <w:t>ANEXA 2a</w:t>
            </w:r>
          </w:p>
          <w:p w14:paraId="1A6E57B0" w14:textId="77777777" w:rsidR="00054265" w:rsidRDefault="005A0E08">
            <w:pPr>
              <w:pStyle w:val="NoSpacing"/>
              <w:jc w:val="both"/>
            </w:pPr>
            <w:r>
              <w:t>Proiectele și programele pentru protecţia mediului finanțate din Fondul pentru mediu sunt detaliate ,conform Anexei Nr.2a ”Lista sumelor alocate proiectelor și programelor pentru protecția mediului finanțate din Fondul pentru mediu - rectificată”, astfel:</w:t>
            </w:r>
          </w:p>
          <w:p w14:paraId="1626BB3B" w14:textId="77777777" w:rsidR="00054265" w:rsidRDefault="005A0E08">
            <w:pPr>
              <w:pStyle w:val="NoSpacing"/>
              <w:jc w:val="both"/>
              <w:rPr>
                <w:i/>
                <w:iCs/>
              </w:rPr>
            </w:pPr>
            <w:r>
              <w:rPr>
                <w:i/>
                <w:iCs/>
              </w:rPr>
              <w:t xml:space="preserve">1) categoria c) -  gestionarea deşeurilor </w:t>
            </w:r>
          </w:p>
          <w:p w14:paraId="66E97410" w14:textId="77777777" w:rsidR="00054265" w:rsidRDefault="005A0E08">
            <w:pPr>
              <w:pStyle w:val="NoSpacing"/>
              <w:jc w:val="both"/>
            </w:pPr>
            <w:r>
              <w:t>- credite angajament – 2.300.000 mii lei;</w:t>
            </w:r>
          </w:p>
          <w:p w14:paraId="25167B68" w14:textId="77777777" w:rsidR="00054265" w:rsidRDefault="005A0E08">
            <w:pPr>
              <w:pStyle w:val="NoSpacing"/>
              <w:jc w:val="both"/>
            </w:pPr>
            <w:r>
              <w:t>Valoarea creditelor de angajament s-a suplimentat pentru lansare sesiune Program colectare selectivă UAT, relansare sesiune Program închidere depozite deșeuri municipale neconforme și lansare sesiune Program reciclare operatori economici.</w:t>
            </w:r>
          </w:p>
          <w:p w14:paraId="6A890657" w14:textId="77777777" w:rsidR="00054265" w:rsidRDefault="005A0E08">
            <w:pPr>
              <w:pStyle w:val="NoSpacing"/>
              <w:jc w:val="both"/>
            </w:pPr>
            <w:r>
              <w:t>- credite bugetare – 30.000 mii lei;</w:t>
            </w:r>
          </w:p>
          <w:p w14:paraId="25C53556" w14:textId="77777777" w:rsidR="00054265" w:rsidRDefault="005A0E08">
            <w:pPr>
              <w:pStyle w:val="NoSpacing"/>
              <w:jc w:val="both"/>
            </w:pPr>
            <w:r>
              <w:t>Valoarea creditelor bugetare s-a diminuat la 30.000 mii lei pentru plata contractelor în vigoare în cadrul Programului Închiderea depozitelor de deșeuri municipale neconforme.</w:t>
            </w:r>
          </w:p>
          <w:p w14:paraId="199BF624" w14:textId="77777777" w:rsidR="00054265" w:rsidRDefault="005A0E08">
            <w:pPr>
              <w:pStyle w:val="NoSpacing"/>
              <w:jc w:val="both"/>
              <w:rPr>
                <w:i/>
                <w:iCs/>
              </w:rPr>
            </w:pPr>
            <w:r>
              <w:rPr>
                <w:i/>
                <w:iCs/>
              </w:rPr>
              <w:t>2) categoria d) - protecţia resurselor de apă, sisteme integrate de alimentare cu apă, staţii de tratare, canalizare şi staţii de epurare</w:t>
            </w:r>
          </w:p>
          <w:p w14:paraId="0F3E8B03" w14:textId="77777777" w:rsidR="00054265" w:rsidRDefault="005A0E08">
            <w:pPr>
              <w:pStyle w:val="NoSpacing"/>
              <w:jc w:val="both"/>
            </w:pPr>
            <w:r>
              <w:t>- credite angajament – 1.000.000 mii lei;</w:t>
            </w:r>
          </w:p>
          <w:p w14:paraId="6D67B3F3" w14:textId="77777777" w:rsidR="00054265" w:rsidRDefault="005A0E08">
            <w:pPr>
              <w:pStyle w:val="NoSpacing"/>
              <w:jc w:val="both"/>
            </w:pPr>
            <w:r>
              <w:t>Reîntregirea creditelor de angajament cu 700.000 mii lei pentru relansarea programului printr-o nouă sesiune în anul 2021 și semnarea contractelor cu UAT, pentru finanțarea sistemelor de alimentare cu apă, a celor pentru colectarea apelor uzate și a stațiilor de tratare/epurare a apei, luând în calcul numărul mare de localități deficitare din acest punct de vedere la nivel național.</w:t>
            </w:r>
          </w:p>
          <w:p w14:paraId="3E6F6484" w14:textId="77777777" w:rsidR="00054265" w:rsidRDefault="005A0E08">
            <w:pPr>
              <w:pStyle w:val="NoSpacing"/>
              <w:jc w:val="both"/>
            </w:pPr>
            <w:r>
              <w:t>-  credite bugetare – 25.000 mii lei;</w:t>
            </w:r>
          </w:p>
          <w:p w14:paraId="527003E1" w14:textId="77777777" w:rsidR="00054265" w:rsidRDefault="005A0E08">
            <w:pPr>
              <w:pStyle w:val="NoSpacing"/>
              <w:jc w:val="both"/>
            </w:pPr>
            <w:r>
              <w:t>Valoarea creditelor bugetare s-a diminuat la 25.000 mii lei pentru plata contractelor în vigoare în cadrul Programului.</w:t>
            </w:r>
          </w:p>
          <w:p w14:paraId="2E51A61B" w14:textId="77777777" w:rsidR="00054265" w:rsidRDefault="005A0E08">
            <w:pPr>
              <w:pStyle w:val="NoSpacing"/>
              <w:jc w:val="both"/>
              <w:rPr>
                <w:i/>
                <w:iCs/>
              </w:rPr>
            </w:pPr>
            <w:r>
              <w:rPr>
                <w:i/>
                <w:iCs/>
              </w:rPr>
              <w:t>3) categoria g) împădurirea terenurilor degradate, reconstrucţia ecologică şi gospodărirea durabilă a pădurilor</w:t>
            </w:r>
          </w:p>
          <w:p w14:paraId="0D5E2BB5" w14:textId="77777777" w:rsidR="00054265" w:rsidRDefault="005A0E08">
            <w:pPr>
              <w:pStyle w:val="NoSpacing"/>
              <w:jc w:val="both"/>
            </w:pPr>
            <w:r>
              <w:t>- credite angajament – 10.000 mii lei, valoare nemodificată;</w:t>
            </w:r>
          </w:p>
          <w:p w14:paraId="7E9ECFCC" w14:textId="76B2C7AC" w:rsidR="00054265" w:rsidRDefault="005A0E08">
            <w:pPr>
              <w:pStyle w:val="NoSpacing"/>
              <w:jc w:val="both"/>
            </w:pPr>
            <w:r>
              <w:t>- credite bugetare- 10.000 mii lei, valoare nemodificată;</w:t>
            </w:r>
          </w:p>
          <w:p w14:paraId="2D96B86D" w14:textId="77777777" w:rsidR="00054265" w:rsidRDefault="005A0E08">
            <w:pPr>
              <w:pStyle w:val="NoSpacing"/>
              <w:jc w:val="both"/>
              <w:rPr>
                <w:i/>
                <w:iCs/>
              </w:rPr>
            </w:pPr>
            <w:r>
              <w:rPr>
                <w:i/>
                <w:iCs/>
              </w:rPr>
              <w:t>4) categoria h) - educaţia şi conştientizarea publicului privind protecţia mediului</w:t>
            </w:r>
          </w:p>
          <w:p w14:paraId="0A2DF60F" w14:textId="77777777" w:rsidR="00054265" w:rsidRDefault="005A0E08">
            <w:pPr>
              <w:pStyle w:val="NoSpacing"/>
              <w:jc w:val="both"/>
            </w:pPr>
            <w:r>
              <w:t>- credite angajament – 60.000 mii lei;</w:t>
            </w:r>
          </w:p>
          <w:p w14:paraId="2045435D" w14:textId="77777777" w:rsidR="00054265" w:rsidRDefault="005A0E08">
            <w:pPr>
              <w:pStyle w:val="NoSpacing"/>
              <w:jc w:val="both"/>
            </w:pPr>
            <w:r>
              <w:t>Valoarea creditelor de angajament s-a suplimentat pentru contractul încheiat anul acesta cu MMAP și pentru lansare sesiune Program UNESCO.</w:t>
            </w:r>
          </w:p>
          <w:p w14:paraId="1C361D2E" w14:textId="77777777" w:rsidR="00054265" w:rsidRDefault="005A0E08">
            <w:pPr>
              <w:pStyle w:val="NoSpacing"/>
              <w:jc w:val="both"/>
            </w:pPr>
            <w:r>
              <w:t>-  credite bugetare – 1 mie lei;</w:t>
            </w:r>
          </w:p>
          <w:p w14:paraId="630A31BE" w14:textId="77777777" w:rsidR="00054265" w:rsidRDefault="005A0E08">
            <w:pPr>
              <w:pStyle w:val="NoSpacing"/>
              <w:jc w:val="both"/>
            </w:pPr>
            <w:r>
              <w:t>Valoarea creditelor bugetare rămâne neschimbată.</w:t>
            </w:r>
          </w:p>
          <w:p w14:paraId="19234388" w14:textId="77777777" w:rsidR="00054265" w:rsidRDefault="005A0E08">
            <w:pPr>
              <w:pStyle w:val="NoSpacing"/>
              <w:jc w:val="both"/>
            </w:pPr>
            <w:r>
              <w:rPr>
                <w:i/>
                <w:iCs/>
              </w:rPr>
              <w:t>5) categoria i) - creşterea producţiei de energie din surse regenerabile</w:t>
            </w:r>
            <w:r>
              <w:t xml:space="preserve"> </w:t>
            </w:r>
          </w:p>
          <w:p w14:paraId="78E27565" w14:textId="77777777" w:rsidR="00054265" w:rsidRDefault="005A0E08">
            <w:pPr>
              <w:pStyle w:val="NoSpacing"/>
              <w:jc w:val="both"/>
            </w:pPr>
            <w:r>
              <w:t xml:space="preserve"> - credite angajament – 18 000 mii lei;</w:t>
            </w:r>
          </w:p>
          <w:p w14:paraId="22BE9E5A" w14:textId="77777777" w:rsidR="00054265" w:rsidRDefault="005A0E08">
            <w:pPr>
              <w:pStyle w:val="NoSpacing"/>
              <w:jc w:val="both"/>
            </w:pPr>
            <w:r>
              <w:t>18.000 mii lei – angajarea sumelor aferente contractelor reziliate, în situația în care s-au emis hotărâri judecătorești prin care se dispun măsuri de repunere în vigoare a acestora.</w:t>
            </w:r>
          </w:p>
          <w:p w14:paraId="05CDA383" w14:textId="77777777" w:rsidR="00054265" w:rsidRDefault="005A0E08">
            <w:pPr>
              <w:pStyle w:val="NoSpacing"/>
              <w:jc w:val="both"/>
            </w:pPr>
            <w:r>
              <w:t>- credite bugetare – 0 mii lei;</w:t>
            </w:r>
          </w:p>
          <w:p w14:paraId="3D0690A3" w14:textId="77777777" w:rsidR="00054265" w:rsidRDefault="005A0E08">
            <w:pPr>
              <w:pStyle w:val="NoSpacing"/>
              <w:jc w:val="both"/>
            </w:pPr>
            <w:r>
              <w:t>Valoarea creditelor bugetare rămâne neschimbată.</w:t>
            </w:r>
          </w:p>
          <w:p w14:paraId="3FE791F6" w14:textId="77777777" w:rsidR="00054265" w:rsidRDefault="005A0E08">
            <w:pPr>
              <w:pStyle w:val="NoSpacing"/>
              <w:jc w:val="both"/>
              <w:rPr>
                <w:i/>
              </w:rPr>
            </w:pPr>
            <w:r>
              <w:t xml:space="preserve"> </w:t>
            </w:r>
            <w:r>
              <w:rPr>
                <w:i/>
              </w:rPr>
              <w:t xml:space="preserve">6) categoria m) efectuarea de monitorizări, studii şi cercetări în domeniul protecţiei mediului şi schimbărilor climatice privind sarcini </w:t>
            </w:r>
            <w:r>
              <w:rPr>
                <w:i/>
              </w:rPr>
              <w:lastRenderedPageBreak/>
              <w:t>derivate din acorduri internaţionale, directive europene sau alte reglementări naţionale sau internaţionale, precum şi cercetare - dezvoltare în domeniul schimbărilor climatice</w:t>
            </w:r>
          </w:p>
          <w:p w14:paraId="2BED5C4D" w14:textId="77777777" w:rsidR="00054265" w:rsidRDefault="00054265">
            <w:pPr>
              <w:pStyle w:val="NoSpacing"/>
              <w:jc w:val="both"/>
            </w:pPr>
          </w:p>
          <w:p w14:paraId="4BFAD116" w14:textId="77777777" w:rsidR="00054265" w:rsidRDefault="005A0E08">
            <w:pPr>
              <w:pStyle w:val="NoSpacing"/>
              <w:jc w:val="both"/>
            </w:pPr>
            <w:r>
              <w:t>- credite angajament – 18.000 mii lei, valoare nemodificată;</w:t>
            </w:r>
          </w:p>
          <w:p w14:paraId="70340E08" w14:textId="77777777" w:rsidR="00054265" w:rsidRDefault="005A0E08">
            <w:pPr>
              <w:pStyle w:val="NoSpacing"/>
              <w:jc w:val="both"/>
            </w:pPr>
            <w:r>
              <w:t>- credite bugetare- 14.000 mii lei, valoare nemodificată;</w:t>
            </w:r>
          </w:p>
          <w:p w14:paraId="180B4F55" w14:textId="77777777" w:rsidR="00054265" w:rsidRDefault="005A0E08">
            <w:pPr>
              <w:pStyle w:val="NoSpacing"/>
              <w:jc w:val="both"/>
              <w:rPr>
                <w:i/>
              </w:rPr>
            </w:pPr>
            <w:r>
              <w:rPr>
                <w:i/>
              </w:rPr>
              <w:t>7) categoria o)  închiderea iazurilor de decantare din sectorul minier</w:t>
            </w:r>
          </w:p>
          <w:p w14:paraId="04EF1E43" w14:textId="77777777" w:rsidR="00054265" w:rsidRDefault="00054265">
            <w:pPr>
              <w:pStyle w:val="NoSpacing"/>
              <w:jc w:val="both"/>
            </w:pPr>
          </w:p>
          <w:p w14:paraId="6468B486" w14:textId="77777777" w:rsidR="00054265" w:rsidRDefault="005A0E08">
            <w:pPr>
              <w:pStyle w:val="NoSpacing"/>
              <w:jc w:val="both"/>
            </w:pPr>
            <w:r>
              <w:t>- credite angajament – 0 lei, valoare nemodificată;</w:t>
            </w:r>
          </w:p>
          <w:p w14:paraId="1FE25DC3" w14:textId="77777777" w:rsidR="00054265" w:rsidRDefault="005A0E08">
            <w:pPr>
              <w:pStyle w:val="NoSpacing"/>
              <w:jc w:val="both"/>
            </w:pPr>
            <w:r>
              <w:t>- credite bugetare- 27.000 mii lei, valoare nemodificată;</w:t>
            </w:r>
          </w:p>
          <w:p w14:paraId="4A33B697" w14:textId="77777777" w:rsidR="00054265" w:rsidRDefault="005A0E08">
            <w:pPr>
              <w:pStyle w:val="NoSpacing"/>
              <w:jc w:val="both"/>
              <w:rPr>
                <w:i/>
              </w:rPr>
            </w:pPr>
            <w:r>
              <w:rPr>
                <w:i/>
              </w:rPr>
              <w:t>8) categoria q) instalarea sistemelor de incălzire care utilizează energie regenerabilă, inclusiv inlocuirea sau completarea sistemelor clasice de încălzire</w:t>
            </w:r>
          </w:p>
          <w:p w14:paraId="3CF093E6" w14:textId="77777777" w:rsidR="00054265" w:rsidRDefault="005A0E08">
            <w:pPr>
              <w:pStyle w:val="NoSpacing"/>
              <w:jc w:val="both"/>
            </w:pPr>
            <w:r>
              <w:t>- credite angajament – 500 mii lei, valoare nemodificată;</w:t>
            </w:r>
          </w:p>
          <w:p w14:paraId="24AB61A2" w14:textId="75A58C30" w:rsidR="00054265" w:rsidRPr="00B620F4" w:rsidRDefault="005A0E08">
            <w:pPr>
              <w:pStyle w:val="NoSpacing"/>
              <w:jc w:val="both"/>
            </w:pPr>
            <w:r>
              <w:t>- credite bugetare- 500 mii lei, valoare nemodificată;</w:t>
            </w:r>
          </w:p>
          <w:p w14:paraId="5DCD3A2C" w14:textId="77777777" w:rsidR="00054265" w:rsidRDefault="005A0E08">
            <w:pPr>
              <w:pStyle w:val="NoSpacing"/>
              <w:jc w:val="both"/>
              <w:rPr>
                <w:i/>
              </w:rPr>
            </w:pPr>
            <w:r>
              <w:rPr>
                <w:i/>
              </w:rPr>
              <w:t>9)</w:t>
            </w:r>
            <w:r>
              <w:t xml:space="preserve">categoria </w:t>
            </w:r>
            <w:r>
              <w:rPr>
                <w:i/>
              </w:rPr>
              <w:t>r) Programul naţional de îmbunătăţire a calităţii mediului prin realizarea despaţii verzi în localităţile din mediul urban</w:t>
            </w:r>
          </w:p>
          <w:p w14:paraId="253D9E46" w14:textId="77777777" w:rsidR="00054265" w:rsidRDefault="005A0E08">
            <w:pPr>
              <w:pStyle w:val="NoSpacing"/>
              <w:jc w:val="both"/>
            </w:pPr>
            <w:r>
              <w:t>- credite angajament – 2.000 mii lei, valoare nemodificată;</w:t>
            </w:r>
          </w:p>
          <w:p w14:paraId="05F8D7F3" w14:textId="6AFFFA62" w:rsidR="00054265" w:rsidRDefault="005A0E08">
            <w:pPr>
              <w:pStyle w:val="NoSpacing"/>
              <w:jc w:val="both"/>
            </w:pPr>
            <w:r>
              <w:t>- credite bugetare- 2.000 mii lei, valoare nemodificată;</w:t>
            </w:r>
          </w:p>
          <w:p w14:paraId="36813E4C" w14:textId="77777777" w:rsidR="00054265" w:rsidRDefault="005A0E08">
            <w:pPr>
              <w:pStyle w:val="NoSpacing"/>
              <w:jc w:val="both"/>
            </w:pPr>
            <w:r>
              <w:rPr>
                <w:i/>
              </w:rPr>
              <w:t>10</w:t>
            </w:r>
            <w:r>
              <w:rPr>
                <w:i/>
                <w:iCs/>
              </w:rPr>
              <w:t>) categoria s) -</w:t>
            </w:r>
            <w:r>
              <w:t xml:space="preserve"> </w:t>
            </w:r>
            <w:r>
              <w:rPr>
                <w:i/>
                <w:iCs/>
              </w:rPr>
              <w:t>Programul de stimulare a înoirii Parcului auto national</w:t>
            </w:r>
          </w:p>
          <w:p w14:paraId="173FCC38" w14:textId="77777777" w:rsidR="00054265" w:rsidRDefault="005A0E08">
            <w:pPr>
              <w:pStyle w:val="NoSpacing"/>
              <w:jc w:val="both"/>
            </w:pPr>
            <w:r>
              <w:t>- credite angajament – 1.040.000 mii lei;</w:t>
            </w:r>
          </w:p>
          <w:p w14:paraId="058A3552" w14:textId="77777777" w:rsidR="00054265" w:rsidRDefault="005A0E08">
            <w:pPr>
              <w:pStyle w:val="NoSpacing"/>
              <w:jc w:val="both"/>
            </w:pPr>
            <w:r>
              <w:t xml:space="preserve">Suplimentarea creditelor de angajament cu </w:t>
            </w:r>
            <w:r w:rsidRPr="008D15CA">
              <w:t xml:space="preserve">100.000 mii lei, </w:t>
            </w:r>
            <w:r>
              <w:t>având în vedere interesul manifestat atât de persoanele fizice, cât și juridice, pentru acest program.</w:t>
            </w:r>
          </w:p>
          <w:p w14:paraId="222C4E60" w14:textId="77777777" w:rsidR="00054265" w:rsidRDefault="005A0E08">
            <w:pPr>
              <w:pStyle w:val="NoSpacing"/>
              <w:jc w:val="both"/>
            </w:pPr>
            <w:r>
              <w:t>- credite bugetare – 500.000 mii lei;</w:t>
            </w:r>
          </w:p>
          <w:p w14:paraId="18C78C93" w14:textId="77777777" w:rsidR="00054265" w:rsidRDefault="005A0E08">
            <w:pPr>
              <w:pStyle w:val="NoSpacing"/>
              <w:jc w:val="both"/>
            </w:pPr>
            <w:r>
              <w:t>Valoarea creditelor bugetare se suplimentează cu 100.000 mii lei pentru plata cererilor de decontare depuse până la sfârșitul anului 2021.</w:t>
            </w:r>
          </w:p>
          <w:p w14:paraId="3A6892C2" w14:textId="77777777" w:rsidR="00054265" w:rsidRDefault="005A0E08">
            <w:pPr>
              <w:pStyle w:val="NoSpacing"/>
              <w:jc w:val="both"/>
            </w:pPr>
            <w:r>
              <w:rPr>
                <w:i/>
                <w:iCs/>
              </w:rPr>
              <w:t>11) categoria v) - Programul de dezvoltare si optimizare a Reţelei Naţionale de Monitorizare a Calităţii Aerului (contract MMAP)</w:t>
            </w:r>
          </w:p>
          <w:p w14:paraId="58D2EE86" w14:textId="77777777" w:rsidR="00054265" w:rsidRDefault="005A0E08">
            <w:pPr>
              <w:pStyle w:val="NoSpacing"/>
              <w:jc w:val="both"/>
            </w:pPr>
            <w:r>
              <w:t>- credite angajament – 56.437 mii lei;</w:t>
            </w:r>
          </w:p>
          <w:p w14:paraId="2F15608D" w14:textId="121F890B" w:rsidR="00054265" w:rsidRDefault="005A0E08">
            <w:pPr>
              <w:pStyle w:val="NoSpacing"/>
              <w:jc w:val="both"/>
            </w:pPr>
            <w:r>
              <w:t>În baza Hotărârii de Guvern nr.</w:t>
            </w:r>
            <w:r w:rsidR="00174D5E">
              <w:t xml:space="preserve"> </w:t>
            </w:r>
            <w:r>
              <w:t>314/15.04.2020, adreselor MMAP nr.20505/CA/05.05.2020, nr.</w:t>
            </w:r>
            <w:r w:rsidR="00151CFE">
              <w:t xml:space="preserve"> </w:t>
            </w:r>
            <w:r>
              <w:t xml:space="preserve">DEICP/120.129/16.06.2020 și a </w:t>
            </w:r>
            <w:r w:rsidR="00151CFE">
              <w:t xml:space="preserve">              </w:t>
            </w:r>
            <w:r>
              <w:t>Deciziilor Comitetului</w:t>
            </w:r>
            <w:r w:rsidR="00174D5E">
              <w:t xml:space="preserve"> </w:t>
            </w:r>
            <w:r>
              <w:t>director nr.</w:t>
            </w:r>
            <w:r w:rsidR="00174D5E">
              <w:t xml:space="preserve"> </w:t>
            </w:r>
            <w:r>
              <w:t>149/DCD/09.07.2020</w:t>
            </w:r>
            <w:r w:rsidR="00174D5E">
              <w:t xml:space="preserve"> </w:t>
            </w:r>
            <w:r>
              <w:t>și nr. 174/DCD/21.07.2020, valoarea contractului încheiat cu MMAP pentru Programul de dezvoltare si optimizare a Reţelei Naţionale de Monitorizare a Calităţii Aerului, s-a suplimentat cu 100.000 mii lei. În anul 2020 a fost angajată în limita creditelor de angajament suma de 43.563 mii lei, diferența fiind necesară a fi angajată în anul 2021.</w:t>
            </w:r>
          </w:p>
          <w:p w14:paraId="6225BAD7" w14:textId="77777777" w:rsidR="00054265" w:rsidRDefault="005A0E08">
            <w:pPr>
              <w:pStyle w:val="NoSpacing"/>
              <w:jc w:val="both"/>
            </w:pPr>
            <w:r>
              <w:t>- credite bugetare –14.000 mii lei;</w:t>
            </w:r>
          </w:p>
          <w:p w14:paraId="5EF27F73" w14:textId="79355FA2" w:rsidR="00054265" w:rsidRDefault="005A0E08">
            <w:pPr>
              <w:pStyle w:val="NoSpacing"/>
              <w:jc w:val="both"/>
            </w:pPr>
            <w:r>
              <w:t>Valoarea creditelor bugetare se diminuează cu 6.000 mii lei pentru plata contractului încheiat cu MMAP.</w:t>
            </w:r>
          </w:p>
          <w:p w14:paraId="18104BBA" w14:textId="77777777" w:rsidR="00054265" w:rsidRDefault="005A0E08">
            <w:pPr>
              <w:pStyle w:val="NoSpacing"/>
              <w:jc w:val="both"/>
              <w:rPr>
                <w:i/>
              </w:rPr>
            </w:pPr>
            <w:r>
              <w:rPr>
                <w:i/>
              </w:rPr>
              <w:t>12) categoria w) reducerea emisiilor de gaze cu efect de seră în transporturi, prin promovarea vehiculelor de transport rutier nepoluante din punct de vedere energetic</w:t>
            </w:r>
          </w:p>
          <w:p w14:paraId="4435D618" w14:textId="77777777" w:rsidR="00054265" w:rsidRDefault="005A0E08">
            <w:pPr>
              <w:pStyle w:val="NoSpacing"/>
              <w:jc w:val="both"/>
            </w:pPr>
            <w:r>
              <w:t xml:space="preserve"> - credite angajament – 0 lei, valoare nemodificată;</w:t>
            </w:r>
          </w:p>
          <w:p w14:paraId="55F7AA64" w14:textId="0FA2C88F" w:rsidR="00054265" w:rsidRPr="00B620F4" w:rsidRDefault="005A0E08">
            <w:pPr>
              <w:pStyle w:val="NoSpacing"/>
              <w:jc w:val="both"/>
            </w:pPr>
            <w:r>
              <w:t>- credite bugetare- 630 mii lei, valoare nemodificată;</w:t>
            </w:r>
          </w:p>
          <w:p w14:paraId="1950A0C9" w14:textId="77777777" w:rsidR="00054265" w:rsidRDefault="005A0E08">
            <w:pPr>
              <w:pStyle w:val="NoSpacing"/>
              <w:jc w:val="both"/>
            </w:pPr>
            <w:r>
              <w:rPr>
                <w:i/>
                <w:iCs/>
              </w:rPr>
              <w:t xml:space="preserve">13) categoria ff) - </w:t>
            </w:r>
            <w:r>
              <w:t xml:space="preserve"> </w:t>
            </w:r>
            <w:r>
              <w:rPr>
                <w:i/>
                <w:iCs/>
              </w:rPr>
              <w:t>protecţia speciilor de floră şi faună sălbatică</w:t>
            </w:r>
          </w:p>
          <w:p w14:paraId="45350C6C" w14:textId="77777777" w:rsidR="00054265" w:rsidRDefault="005A0E08">
            <w:pPr>
              <w:pStyle w:val="NoSpacing"/>
              <w:jc w:val="both"/>
            </w:pPr>
            <w:r>
              <w:t>- credite angajament – 70.000 mii lei;</w:t>
            </w:r>
          </w:p>
          <w:p w14:paraId="1F2A5710" w14:textId="77777777" w:rsidR="00054265" w:rsidRDefault="005A0E08">
            <w:pPr>
              <w:pStyle w:val="NoSpacing"/>
              <w:jc w:val="both"/>
            </w:pPr>
            <w:r>
              <w:t xml:space="preserve">Valoarea creditelor de angajament este pentru lansarea sesiunii pentru Programul privind protecția speciilor de faună sălbatică, prin instalarea de echipamente și/sau dispozitive de tipul gardurilor electrice ori a altor </w:t>
            </w:r>
            <w:r>
              <w:lastRenderedPageBreak/>
              <w:t>mijloace permise de lege destinate alungării sau împiedicării pătrunderii animalelor în interiorul culturilor sau așezărilor.</w:t>
            </w:r>
          </w:p>
          <w:p w14:paraId="365AD3C2" w14:textId="77777777" w:rsidR="00054265" w:rsidRDefault="005A0E08">
            <w:pPr>
              <w:pStyle w:val="NoSpacing"/>
              <w:jc w:val="both"/>
            </w:pPr>
            <w:r>
              <w:t>- credite bugetare – 10.000 mii lei;</w:t>
            </w:r>
          </w:p>
          <w:p w14:paraId="557A963D" w14:textId="77777777" w:rsidR="00054265" w:rsidRDefault="005A0E08">
            <w:pPr>
              <w:pStyle w:val="NoSpacing"/>
              <w:jc w:val="both"/>
            </w:pPr>
            <w:r>
              <w:t>Valoare creditelor bugetare este de 10.000 mii lei pentru plata contractelor care urmează a se încheia până la sfârșitul anului 2021.</w:t>
            </w:r>
          </w:p>
          <w:p w14:paraId="5AE2770D" w14:textId="77777777" w:rsidR="00054265" w:rsidRDefault="00054265">
            <w:pPr>
              <w:pStyle w:val="NoSpacing"/>
              <w:jc w:val="both"/>
            </w:pPr>
          </w:p>
          <w:p w14:paraId="3CFE2635" w14:textId="77777777" w:rsidR="00054265" w:rsidRDefault="005A0E08">
            <w:pPr>
              <w:pStyle w:val="NoSpacing"/>
              <w:jc w:val="both"/>
              <w:rPr>
                <w:b/>
                <w:bCs/>
              </w:rPr>
            </w:pPr>
            <w:r>
              <w:rPr>
                <w:b/>
                <w:bCs/>
              </w:rPr>
              <w:t>ANEXA 2b</w:t>
            </w:r>
          </w:p>
          <w:p w14:paraId="7D0C9C16" w14:textId="66E76021" w:rsidR="00054265" w:rsidRDefault="005A0E08">
            <w:pPr>
              <w:pStyle w:val="NoSpacing"/>
              <w:jc w:val="both"/>
              <w:rPr>
                <w:b/>
                <w:bCs/>
              </w:rPr>
            </w:pPr>
            <w:r>
              <w:t xml:space="preserve">  În ceea ce privește liniile de finanțare prevăzute în anexa nr. 2b, acestea au la bază lista categoriilor de proiecte prioritare pentru anul 2021, aprobată prin Ordinul </w:t>
            </w:r>
            <w:r w:rsidR="000174FA">
              <w:t>m</w:t>
            </w:r>
            <w:r>
              <w:t xml:space="preserve">inistrului </w:t>
            </w:r>
            <w:r w:rsidR="000174FA">
              <w:t>m</w:t>
            </w:r>
            <w:r>
              <w:t xml:space="preserve">ediului, </w:t>
            </w:r>
            <w:r w:rsidR="000174FA">
              <w:t>a</w:t>
            </w:r>
            <w:r>
              <w:t xml:space="preserve">pelor </w:t>
            </w:r>
            <w:r w:rsidR="000174FA">
              <w:t>ș</w:t>
            </w:r>
            <w:r>
              <w:t xml:space="preserve">i </w:t>
            </w:r>
            <w:r w:rsidR="000174FA">
              <w:t>pă</w:t>
            </w:r>
            <w:r>
              <w:t xml:space="preserve">durilor nr. </w:t>
            </w:r>
            <w:r w:rsidRPr="001577AB">
              <w:t>2084/11.11.2021</w:t>
            </w:r>
            <w:r>
              <w:t xml:space="preserve">, fiind alocate sume atât pentru finanțarea unor programe în curs de implementare, cât și pentru lansarea unor noi programe de finanțare. </w:t>
            </w:r>
          </w:p>
          <w:p w14:paraId="67CCFA37" w14:textId="77777777" w:rsidR="00054265" w:rsidRDefault="005A0E08">
            <w:pPr>
              <w:pStyle w:val="NoSpacing"/>
              <w:jc w:val="both"/>
              <w:rPr>
                <w:b/>
                <w:bCs/>
              </w:rPr>
            </w:pPr>
            <w:r>
              <w:rPr>
                <w:b/>
                <w:bCs/>
              </w:rPr>
              <w:t>I.Transferuri din sumele obținute din vânzarea certificatelor de emisii de gaze cu efect de seră pentru finanțarea proiectelor de investiții.</w:t>
            </w:r>
          </w:p>
          <w:p w14:paraId="3DA8047F" w14:textId="77777777" w:rsidR="00054265" w:rsidRDefault="005A0E08">
            <w:pPr>
              <w:pStyle w:val="NoSpacing"/>
              <w:jc w:val="both"/>
              <w:rPr>
                <w:i/>
                <w:iCs/>
              </w:rPr>
            </w:pPr>
            <w:r>
              <w:rPr>
                <w:i/>
                <w:iCs/>
              </w:rPr>
              <w:t>1) litera d) - Programul privind instalarea de sisteme fotovoltaice pentru gospodăriile izolate neracordate la rețeaua de distribuție a energiei electrice</w:t>
            </w:r>
          </w:p>
          <w:p w14:paraId="71C140EB" w14:textId="77777777" w:rsidR="00054265" w:rsidRDefault="005A0E08">
            <w:pPr>
              <w:pStyle w:val="NoSpacing"/>
              <w:jc w:val="both"/>
            </w:pPr>
            <w:r>
              <w:t>- credite angajament – 75 mii lei</w:t>
            </w:r>
          </w:p>
          <w:p w14:paraId="1DE46DD6" w14:textId="77777777" w:rsidR="00054265" w:rsidRDefault="005A0E08">
            <w:pPr>
              <w:pStyle w:val="NoSpacing"/>
              <w:jc w:val="both"/>
            </w:pPr>
            <w:r>
              <w:t>Valoarea creditelor de angajament s-a diminuat cu 249.925 mii lei, cele 75 de mii de lei fiind aferente a două contracte încheiate în anul 2021.</w:t>
            </w:r>
          </w:p>
          <w:p w14:paraId="5F5664F6" w14:textId="77777777" w:rsidR="00054265" w:rsidRDefault="005A0E08">
            <w:pPr>
              <w:pStyle w:val="NoSpacing"/>
              <w:jc w:val="both"/>
            </w:pPr>
            <w:r>
              <w:t>- credite bugetare – 15.000 mii lei</w:t>
            </w:r>
          </w:p>
          <w:p w14:paraId="106C1061" w14:textId="77777777" w:rsidR="00054265" w:rsidRDefault="005A0E08">
            <w:pPr>
              <w:pStyle w:val="NoSpacing"/>
              <w:jc w:val="both"/>
            </w:pPr>
            <w:r>
              <w:t>Valoarea creditelor bugetare se diminuează cu 15.000 mii lei în baza estimării plăților contractelor încheiate în urma sesiunii din 2019 – 2020.</w:t>
            </w:r>
          </w:p>
          <w:p w14:paraId="1CBD1901" w14:textId="77777777" w:rsidR="00054265" w:rsidRDefault="005A0E08">
            <w:pPr>
              <w:pStyle w:val="NoSpacing"/>
              <w:jc w:val="both"/>
              <w:rPr>
                <w:i/>
                <w:iCs/>
              </w:rPr>
            </w:pPr>
            <w:r>
              <w:rPr>
                <w:i/>
                <w:iCs/>
              </w:rPr>
              <w:t>2) litera e) - Programul multianual de finanțare a investițiilor pentru modernizarea, reabilitarea, retehnologizarea și extinderea sau înființarea sistemelor de alimentare centralizată cu energie termică a localităților (Programul național de termoficare – OUG 53/2019)</w:t>
            </w:r>
          </w:p>
          <w:p w14:paraId="1D7504F2" w14:textId="77777777" w:rsidR="00054265" w:rsidRDefault="005A0E08">
            <w:pPr>
              <w:pStyle w:val="NoSpacing"/>
              <w:jc w:val="both"/>
            </w:pPr>
            <w:r>
              <w:t>- credite angajament – 72.130 mii lei</w:t>
            </w:r>
          </w:p>
          <w:p w14:paraId="2D4B79A1" w14:textId="77777777" w:rsidR="00054265" w:rsidRDefault="005A0E08">
            <w:pPr>
              <w:pStyle w:val="NoSpacing"/>
              <w:jc w:val="both"/>
            </w:pPr>
            <w:r>
              <w:t xml:space="preserve">Diminuarea creditelor cu angajament cu suma de 27.870 mii lei în baza solicitării MLPDA </w:t>
            </w:r>
          </w:p>
          <w:p w14:paraId="4385D46E" w14:textId="77777777" w:rsidR="00054265" w:rsidRDefault="005A0E08">
            <w:pPr>
              <w:pStyle w:val="NoSpacing"/>
              <w:jc w:val="both"/>
            </w:pPr>
            <w:r>
              <w:t>- credite bugetare – 50.000 mii lei</w:t>
            </w:r>
          </w:p>
          <w:p w14:paraId="0033499F" w14:textId="77777777" w:rsidR="00054265" w:rsidRDefault="005A0E08">
            <w:pPr>
              <w:pStyle w:val="NoSpacing"/>
              <w:jc w:val="both"/>
            </w:pPr>
            <w:r>
              <w:t>Diminuarea creditelor bugetare cu suma de 50.000 mii lei în baza solicitării MLPDA.</w:t>
            </w:r>
          </w:p>
          <w:p w14:paraId="4A9BFB14" w14:textId="77777777" w:rsidR="00054265" w:rsidRDefault="005A0E08">
            <w:pPr>
              <w:pStyle w:val="NoSpacing"/>
              <w:jc w:val="both"/>
              <w:rPr>
                <w:i/>
                <w:iCs/>
              </w:rPr>
            </w:pPr>
            <w:r>
              <w:rPr>
                <w:i/>
                <w:iCs/>
              </w:rPr>
              <w:t>3) litera f) -   Programul privind iluminatul public stradal (lămpi cu LED)</w:t>
            </w:r>
          </w:p>
          <w:p w14:paraId="5CFC0F73" w14:textId="77777777" w:rsidR="00054265" w:rsidRDefault="005A0E08">
            <w:pPr>
              <w:pStyle w:val="NoSpacing"/>
              <w:jc w:val="both"/>
            </w:pPr>
            <w:r>
              <w:t>- credite angajament – 800.000 mii lei</w:t>
            </w:r>
          </w:p>
          <w:p w14:paraId="4CE98731" w14:textId="77777777" w:rsidR="00054265" w:rsidRDefault="005A0E08">
            <w:pPr>
              <w:pStyle w:val="NoSpacing"/>
              <w:jc w:val="both"/>
            </w:pPr>
            <w:r>
              <w:t>Valoarea creditelor de angajament rămâne neschimbată.</w:t>
            </w:r>
          </w:p>
          <w:p w14:paraId="35F44987" w14:textId="77777777" w:rsidR="00054265" w:rsidRDefault="005A0E08">
            <w:pPr>
              <w:pStyle w:val="NoSpacing"/>
              <w:jc w:val="both"/>
            </w:pPr>
            <w:r>
              <w:t>- credite bugetare – 30.000 mii lei</w:t>
            </w:r>
          </w:p>
          <w:p w14:paraId="77B59B01" w14:textId="77777777" w:rsidR="00054265" w:rsidRDefault="005A0E08">
            <w:pPr>
              <w:pStyle w:val="NoSpacing"/>
              <w:jc w:val="both"/>
            </w:pPr>
            <w:r>
              <w:t>Valoarea creditelor bugetare s-a diminuat cu 270.000 mii lei în baza estimării plăților contractelor în vigoare.</w:t>
            </w:r>
          </w:p>
          <w:p w14:paraId="0D0862D6" w14:textId="77777777" w:rsidR="00054265" w:rsidRDefault="005A0E08">
            <w:pPr>
              <w:pStyle w:val="NoSpacing"/>
              <w:jc w:val="both"/>
              <w:rPr>
                <w:i/>
                <w:iCs/>
              </w:rPr>
            </w:pPr>
            <w:r>
              <w:rPr>
                <w:i/>
                <w:iCs/>
              </w:rPr>
              <w:t>4) litera g) - Programul privind creșterea eficienței energetice în clădiri publice</w:t>
            </w:r>
          </w:p>
          <w:p w14:paraId="15C46DC2" w14:textId="77777777" w:rsidR="00054265" w:rsidRDefault="005A0E08">
            <w:pPr>
              <w:pStyle w:val="NoSpacing"/>
              <w:jc w:val="both"/>
            </w:pPr>
            <w:r>
              <w:t>- credite angajament – 1.400.000 mii lei</w:t>
            </w:r>
          </w:p>
          <w:p w14:paraId="2BB35FEE" w14:textId="77777777" w:rsidR="00054265" w:rsidRDefault="005A0E08">
            <w:pPr>
              <w:pStyle w:val="NoSpacing"/>
              <w:jc w:val="both"/>
            </w:pPr>
            <w:r>
              <w:t>Valoarea creditelor de angajament rămâne neschimbată.</w:t>
            </w:r>
          </w:p>
          <w:p w14:paraId="1B73E6A2" w14:textId="77777777" w:rsidR="00054265" w:rsidRDefault="005A0E08">
            <w:pPr>
              <w:pStyle w:val="NoSpacing"/>
              <w:jc w:val="both"/>
            </w:pPr>
            <w:r>
              <w:t>- credite bugetare – 30.000 mii lei</w:t>
            </w:r>
          </w:p>
          <w:p w14:paraId="48639F08" w14:textId="77777777" w:rsidR="00054265" w:rsidRDefault="005A0E08">
            <w:pPr>
              <w:pStyle w:val="NoSpacing"/>
              <w:jc w:val="both"/>
            </w:pPr>
            <w:r>
              <w:t>Valoarea creditelor bugetare s-a diminuat cu 170.000 mii lei în baza estimării plăților contractelor în vigoare.</w:t>
            </w:r>
          </w:p>
          <w:p w14:paraId="30D8C901" w14:textId="77777777" w:rsidR="00054265" w:rsidRDefault="005A0E08">
            <w:pPr>
              <w:pStyle w:val="NoSpacing"/>
              <w:jc w:val="both"/>
              <w:rPr>
                <w:i/>
                <w:iCs/>
              </w:rPr>
            </w:pPr>
            <w:r>
              <w:rPr>
                <w:i/>
                <w:iCs/>
              </w:rPr>
              <w:t>5) litera i) - Program privind îmbunătățirea calității aerului și reducerea emisiilor de gaze cu efect de seră utilizând autovehicule mai puțin poluante în transportul elevilor-microbuze electric-hibride, electrice, GNC</w:t>
            </w:r>
          </w:p>
          <w:p w14:paraId="07A3EFB4" w14:textId="77777777" w:rsidR="00054265" w:rsidRDefault="005A0E08">
            <w:pPr>
              <w:pStyle w:val="NoSpacing"/>
              <w:jc w:val="both"/>
            </w:pPr>
            <w:r>
              <w:lastRenderedPageBreak/>
              <w:t>- credite angajament – 600.000 mii lei</w:t>
            </w:r>
          </w:p>
          <w:p w14:paraId="372F72AE" w14:textId="77777777" w:rsidR="00054265" w:rsidRDefault="005A0E08">
            <w:pPr>
              <w:pStyle w:val="NoSpacing"/>
              <w:jc w:val="both"/>
            </w:pPr>
            <w:r>
              <w:t>Valoarea creditelor de angajament rămâne neschimbată.</w:t>
            </w:r>
          </w:p>
          <w:p w14:paraId="324F5015" w14:textId="77777777" w:rsidR="00054265" w:rsidRDefault="005A0E08">
            <w:pPr>
              <w:pStyle w:val="NoSpacing"/>
              <w:jc w:val="both"/>
            </w:pPr>
            <w:r>
              <w:t>- credite bugetare – 100.000 mii lei</w:t>
            </w:r>
          </w:p>
          <w:p w14:paraId="27C00B6C" w14:textId="77777777" w:rsidR="00054265" w:rsidRDefault="005A0E08">
            <w:pPr>
              <w:pStyle w:val="NoSpacing"/>
              <w:jc w:val="both"/>
            </w:pPr>
            <w:r>
              <w:t>Valoarea creditelor bugetare rămâne neschimbată.</w:t>
            </w:r>
          </w:p>
          <w:p w14:paraId="0D830741" w14:textId="77777777" w:rsidR="00054265" w:rsidRDefault="005A0E08">
            <w:pPr>
              <w:pStyle w:val="NoSpacing"/>
              <w:jc w:val="both"/>
              <w:rPr>
                <w:i/>
                <w:iCs/>
              </w:rPr>
            </w:pPr>
            <w:r>
              <w:rPr>
                <w:i/>
                <w:iCs/>
              </w:rPr>
              <w:t>6) litera  j) - Programul privind dezvoltarea infrastructurii de reîncărcare pentru vehicule electrice și electrice hibrid plug-in in localități</w:t>
            </w:r>
          </w:p>
          <w:p w14:paraId="76B9F3FE" w14:textId="77777777" w:rsidR="00054265" w:rsidRDefault="005A0E08">
            <w:pPr>
              <w:pStyle w:val="NoSpacing"/>
              <w:jc w:val="both"/>
            </w:pPr>
            <w:r>
              <w:t>- credite angajament – 500.000 mii lei</w:t>
            </w:r>
          </w:p>
          <w:p w14:paraId="56D25DFE" w14:textId="77777777" w:rsidR="00054265" w:rsidRDefault="005A0E08">
            <w:pPr>
              <w:pStyle w:val="NoSpacing"/>
              <w:jc w:val="both"/>
            </w:pPr>
            <w:r>
              <w:t>Valoarea creditelor de angajament rămâne neschimbată.</w:t>
            </w:r>
          </w:p>
          <w:p w14:paraId="5F6CC9E4" w14:textId="77777777" w:rsidR="00054265" w:rsidRDefault="005A0E08">
            <w:pPr>
              <w:pStyle w:val="NoSpacing"/>
              <w:jc w:val="both"/>
            </w:pPr>
            <w:r>
              <w:t>- credite bugetare – 0 mii lei</w:t>
            </w:r>
          </w:p>
          <w:p w14:paraId="6B8A09E4" w14:textId="77777777" w:rsidR="00054265" w:rsidRDefault="005A0E08">
            <w:pPr>
              <w:pStyle w:val="NoSpacing"/>
              <w:jc w:val="both"/>
            </w:pPr>
            <w:r>
              <w:t>Valoarea creditelor bugetare s-a diminuat cu 150.000 mii lei având în vedere că nu sunt contracte în vigoare.</w:t>
            </w:r>
          </w:p>
          <w:p w14:paraId="29AA5668" w14:textId="77777777" w:rsidR="00054265" w:rsidRDefault="005A0E08">
            <w:pPr>
              <w:pStyle w:val="NoSpacing"/>
              <w:jc w:val="both"/>
              <w:rPr>
                <w:i/>
                <w:iCs/>
              </w:rPr>
            </w:pPr>
            <w:r>
              <w:rPr>
                <w:i/>
                <w:iCs/>
              </w:rPr>
              <w:t>7) litera k) -  Dezvoltarea infrastructurii velo în Romania. Finanțare piste de biciclete</w:t>
            </w:r>
          </w:p>
          <w:p w14:paraId="06C1A0E3" w14:textId="77777777" w:rsidR="00054265" w:rsidRDefault="005A0E08">
            <w:pPr>
              <w:pStyle w:val="NoSpacing"/>
              <w:jc w:val="both"/>
            </w:pPr>
            <w:r>
              <w:t xml:space="preserve">- credite angajament – 500.000 mii lei </w:t>
            </w:r>
          </w:p>
          <w:p w14:paraId="4D45D46B" w14:textId="77777777" w:rsidR="00054265" w:rsidRDefault="005A0E08">
            <w:pPr>
              <w:pStyle w:val="NoSpacing"/>
              <w:jc w:val="both"/>
            </w:pPr>
            <w:r>
              <w:t>Valoarea creditelor de angajament rămâne neschimbată.</w:t>
            </w:r>
          </w:p>
          <w:p w14:paraId="0AF2F04E" w14:textId="77777777" w:rsidR="00054265" w:rsidRDefault="005A0E08">
            <w:pPr>
              <w:pStyle w:val="NoSpacing"/>
              <w:jc w:val="both"/>
            </w:pPr>
            <w:r>
              <w:t>- credite bugetare – 250.000 mii lei</w:t>
            </w:r>
          </w:p>
          <w:p w14:paraId="24F9953D" w14:textId="77777777" w:rsidR="00054265" w:rsidRDefault="005A0E08">
            <w:pPr>
              <w:pStyle w:val="NoSpacing"/>
              <w:jc w:val="both"/>
            </w:pPr>
            <w:r>
              <w:t>Valoarae creditelor bugetare rămâne neschimbată.</w:t>
            </w:r>
          </w:p>
          <w:p w14:paraId="15DF01C8" w14:textId="77777777" w:rsidR="00054265" w:rsidRDefault="00054265">
            <w:pPr>
              <w:pStyle w:val="NoSpacing"/>
              <w:jc w:val="both"/>
            </w:pPr>
          </w:p>
          <w:p w14:paraId="2754071C" w14:textId="77777777" w:rsidR="00054265" w:rsidRDefault="005A0E08">
            <w:pPr>
              <w:pStyle w:val="NoSpacing"/>
              <w:jc w:val="both"/>
              <w:rPr>
                <w:b/>
                <w:bCs/>
              </w:rPr>
            </w:pPr>
            <w:r>
              <w:rPr>
                <w:b/>
                <w:bCs/>
              </w:rPr>
              <w:t>II. Transferuri interne.</w:t>
            </w:r>
          </w:p>
          <w:p w14:paraId="5DA19284" w14:textId="77777777" w:rsidR="00054265" w:rsidRDefault="005A0E08">
            <w:pPr>
              <w:pStyle w:val="NoSpacing"/>
              <w:jc w:val="both"/>
            </w:pPr>
            <w:r>
              <w:t>a) Programul privind dezvoltarea infrastructurii de reîncărcare pentru vehicule electrice și electrice hibrid plug-in la nivelul autostrăzilor, drumurilor europene și drumurilor naționale</w:t>
            </w:r>
          </w:p>
          <w:p w14:paraId="1A7EA786" w14:textId="77777777" w:rsidR="00054265" w:rsidRPr="001F71E1" w:rsidRDefault="005A0E08">
            <w:pPr>
              <w:pStyle w:val="NoSpacing"/>
              <w:jc w:val="both"/>
            </w:pPr>
            <w:r>
              <w:t xml:space="preserve">- credite angajament – </w:t>
            </w:r>
            <w:r w:rsidRPr="001F71E1">
              <w:t>78.475 mii lei</w:t>
            </w:r>
          </w:p>
          <w:p w14:paraId="07ED83CB" w14:textId="5FD98A15" w:rsidR="00054265" w:rsidRDefault="005A0E08">
            <w:pPr>
              <w:pStyle w:val="NoSpacing"/>
              <w:jc w:val="both"/>
              <w:rPr>
                <w:b/>
                <w:lang w:eastAsia="ro-RO"/>
              </w:rPr>
            </w:pPr>
            <w:r w:rsidRPr="001F71E1">
              <w:rPr>
                <w:bCs/>
                <w:lang w:eastAsia="ro-RO"/>
              </w:rPr>
              <w:t>Creditele de angajament necesare punerii în aplicare a Sentinței civile nr.70/21.06.2019, definitivă pr</w:t>
            </w:r>
            <w:r w:rsidR="00611A15">
              <w:rPr>
                <w:bCs/>
                <w:lang w:eastAsia="ro-RO"/>
              </w:rPr>
              <w:t>i</w:t>
            </w:r>
            <w:r w:rsidRPr="001F71E1">
              <w:rPr>
                <w:bCs/>
                <w:lang w:eastAsia="ro-RO"/>
              </w:rPr>
              <w:t xml:space="preserve">n Decizia ICCJ nr. 5337/2021, prin care Curtea de Apel Iași obligă AFM la verificarea pe fond a caracterului eligibil al proiectului depus, cu respectarea celorlalte etape reglementate de art.7 din Ordinul </w:t>
            </w:r>
            <w:r w:rsidR="001F71E1">
              <w:rPr>
                <w:bCs/>
                <w:lang w:eastAsia="ro-RO"/>
              </w:rPr>
              <w:t>m</w:t>
            </w:r>
            <w:r w:rsidR="001F71E1" w:rsidRPr="001F71E1">
              <w:rPr>
                <w:bCs/>
                <w:lang w:eastAsia="ro-RO"/>
              </w:rPr>
              <w:t xml:space="preserve">inistrului </w:t>
            </w:r>
            <w:r w:rsidR="001F71E1">
              <w:rPr>
                <w:bCs/>
                <w:lang w:eastAsia="ro-RO"/>
              </w:rPr>
              <w:t>m</w:t>
            </w:r>
            <w:r w:rsidR="001F71E1" w:rsidRPr="001F71E1">
              <w:rPr>
                <w:bCs/>
                <w:lang w:eastAsia="ro-RO"/>
              </w:rPr>
              <w:t>ediului.</w:t>
            </w:r>
            <w:r w:rsidRPr="001F71E1">
              <w:rPr>
                <w:bCs/>
                <w:lang w:eastAsia="ro-RO"/>
              </w:rPr>
              <w:t>nr. 741/2018</w:t>
            </w:r>
            <w:r w:rsidR="001F71E1">
              <w:rPr>
                <w:bCs/>
                <w:lang w:eastAsia="ro-RO"/>
              </w:rPr>
              <w:t>.</w:t>
            </w:r>
          </w:p>
          <w:p w14:paraId="3DE5BA7E" w14:textId="77777777" w:rsidR="00054265" w:rsidRDefault="00054265">
            <w:pPr>
              <w:pStyle w:val="NoSpacing"/>
              <w:jc w:val="both"/>
            </w:pPr>
          </w:p>
          <w:p w14:paraId="31305302" w14:textId="77777777" w:rsidR="00054265" w:rsidRDefault="005A0E08">
            <w:pPr>
              <w:pStyle w:val="NoSpacing"/>
              <w:jc w:val="both"/>
            </w:pPr>
            <w:r>
              <w:t>Valoarea creditelor de angajament s-a diminuat cu 175.000 mii lei având în vedere că anul acesta nu se vor mai lansa sesiuni de finanțare.</w:t>
            </w:r>
          </w:p>
          <w:p w14:paraId="25ED4866" w14:textId="77777777" w:rsidR="00054265" w:rsidRDefault="005A0E08">
            <w:pPr>
              <w:pStyle w:val="NoSpacing"/>
              <w:jc w:val="both"/>
            </w:pPr>
            <w:r>
              <w:t>- credite bugetare – 0 mii lei</w:t>
            </w:r>
          </w:p>
          <w:p w14:paraId="1AFF2E46" w14:textId="77777777" w:rsidR="00054265" w:rsidRDefault="005A0E08">
            <w:pPr>
              <w:pStyle w:val="NoSpacing"/>
              <w:jc w:val="both"/>
            </w:pPr>
            <w:r>
              <w:t>Valoarea creditelor bugetare a rămas neschimbată.</w:t>
            </w:r>
          </w:p>
          <w:p w14:paraId="4A9EF644" w14:textId="37933F84" w:rsidR="00054265" w:rsidRDefault="005A0E08">
            <w:pPr>
              <w:pStyle w:val="NoSpacing"/>
              <w:jc w:val="both"/>
            </w:pPr>
            <w:r>
              <w:t xml:space="preserve">b) Programul privind instalarea sistemelor de panouri fotovoltaice pentru producerea de energie electrică, în vederea acoperirii necesarului de consum și livrării surplusului în rețeaua națională  </w:t>
            </w:r>
          </w:p>
          <w:p w14:paraId="4F5A6971" w14:textId="2ED75378" w:rsidR="00054265" w:rsidRDefault="005A0E08">
            <w:pPr>
              <w:pStyle w:val="NoSpacing"/>
              <w:jc w:val="both"/>
            </w:pPr>
            <w:r>
              <w:t xml:space="preserve">- </w:t>
            </w:r>
            <w:r w:rsidR="0053555E">
              <w:t>c</w:t>
            </w:r>
            <w:r>
              <w:t xml:space="preserve">redite angajament – 54.000 mii lei </w:t>
            </w:r>
          </w:p>
          <w:p w14:paraId="5A8BEC9D" w14:textId="77777777" w:rsidR="00054265" w:rsidRDefault="005A0E08">
            <w:pPr>
              <w:pStyle w:val="NoSpacing"/>
              <w:jc w:val="both"/>
            </w:pPr>
            <w:r>
              <w:t>Valoarea creditelor de angajament rămâne neschimbată.</w:t>
            </w:r>
          </w:p>
          <w:p w14:paraId="450137B3" w14:textId="77777777" w:rsidR="00054265" w:rsidRDefault="005A0E08">
            <w:pPr>
              <w:pStyle w:val="NoSpacing"/>
              <w:jc w:val="both"/>
            </w:pPr>
            <w:r>
              <w:t xml:space="preserve">- credite bugetare – </w:t>
            </w:r>
            <w:r w:rsidRPr="00B17C64">
              <w:t>35.000 mii lei</w:t>
            </w:r>
          </w:p>
          <w:p w14:paraId="5AC2A0BF" w14:textId="77777777" w:rsidR="00054265" w:rsidRDefault="005A0E08">
            <w:pPr>
              <w:pStyle w:val="NoSpacing"/>
              <w:jc w:val="both"/>
            </w:pPr>
            <w:r>
              <w:t>Valoarea creditelor bugetare  se suplimentează cu 8.000 mii lei pentru plata sistemelor de panouri fotovoltaice montate în regiunea București-Ilfov.</w:t>
            </w:r>
          </w:p>
          <w:p w14:paraId="779DAD9A" w14:textId="77777777" w:rsidR="00054265" w:rsidRDefault="005A0E08">
            <w:pPr>
              <w:pStyle w:val="NoSpacing"/>
              <w:jc w:val="both"/>
            </w:pPr>
            <w:r>
              <w:t>c) Programul privind reducerea emisiilor de gaze cu efect de seră în transporturi, prin promovarea vehiculelor de transport rutier nepoluante şi eficiente din punct de vedere energetic, 2020-2024 – lit. w) de la art. 13, alin. (1) din OUG nr. 196/2005 privind Fondul pentru pentru mediu (Rabla PLUS)</w:t>
            </w:r>
          </w:p>
          <w:p w14:paraId="7719F490" w14:textId="77777777" w:rsidR="00054265" w:rsidRDefault="005A0E08">
            <w:pPr>
              <w:pStyle w:val="NoSpacing"/>
              <w:jc w:val="both"/>
            </w:pPr>
            <w:r>
              <w:t>- credite angajament – 1.000.000 mii lei</w:t>
            </w:r>
          </w:p>
          <w:p w14:paraId="39C82FD3" w14:textId="77777777" w:rsidR="00054265" w:rsidRDefault="005A0E08">
            <w:pPr>
              <w:pStyle w:val="NoSpacing"/>
              <w:jc w:val="both"/>
            </w:pPr>
            <w:r>
              <w:t xml:space="preserve">Suplimentarea creditelor de angajament cu </w:t>
            </w:r>
            <w:r w:rsidRPr="00B17C64">
              <w:t>100.000 mii lei,</w:t>
            </w:r>
            <w:r>
              <w:t xml:space="preserve"> având în vedere interesul manifestat atât de persoanele fizice, cât și juridice, pentru acest program</w:t>
            </w:r>
          </w:p>
          <w:p w14:paraId="4FDF80B3" w14:textId="77777777" w:rsidR="00054265" w:rsidRDefault="005A0E08">
            <w:pPr>
              <w:pStyle w:val="NoSpacing"/>
              <w:jc w:val="both"/>
            </w:pPr>
            <w:r>
              <w:t>- credite bugetare – 450.000 mii lei</w:t>
            </w:r>
          </w:p>
          <w:p w14:paraId="4C594511" w14:textId="77777777" w:rsidR="00054265" w:rsidRDefault="005A0E08">
            <w:pPr>
              <w:pStyle w:val="NoSpacing"/>
              <w:jc w:val="both"/>
            </w:pPr>
            <w:r>
              <w:lastRenderedPageBreak/>
              <w:t>Valoarea creditelor de angajament rămâne neschimbată.</w:t>
            </w:r>
          </w:p>
          <w:p w14:paraId="17BB888D" w14:textId="77777777" w:rsidR="00054265" w:rsidRDefault="005A0E08">
            <w:pPr>
              <w:pStyle w:val="NoSpacing"/>
              <w:jc w:val="both"/>
            </w:pPr>
            <w:r>
              <w:t>d) Programul privind creșterea eficienței energetice în clădiri unifamiliale</w:t>
            </w:r>
          </w:p>
          <w:p w14:paraId="107247DE" w14:textId="77777777" w:rsidR="00054265" w:rsidRDefault="005A0E08">
            <w:pPr>
              <w:pStyle w:val="NoSpacing"/>
              <w:jc w:val="both"/>
            </w:pPr>
            <w:r>
              <w:t>- credite angajament – 130.000 mii lei.</w:t>
            </w:r>
          </w:p>
          <w:p w14:paraId="0B3BBD6F" w14:textId="77777777" w:rsidR="00054265" w:rsidRDefault="005A0E08">
            <w:pPr>
              <w:pStyle w:val="NoSpacing"/>
              <w:jc w:val="both"/>
            </w:pPr>
            <w:r>
              <w:t>Valoarea creditelor de angajament se diminuează cu 299.000 mii lei pentru încheierea contractelor în urma evaluării dosarelor depuse în sesiunea aflată în desfășurare</w:t>
            </w:r>
          </w:p>
          <w:p w14:paraId="0DDEFE21" w14:textId="77777777" w:rsidR="00054265" w:rsidRDefault="005A0E08">
            <w:pPr>
              <w:pStyle w:val="NoSpacing"/>
              <w:jc w:val="both"/>
            </w:pPr>
            <w:r>
              <w:t>- credite bugetare – 5.000 mii lei</w:t>
            </w:r>
          </w:p>
          <w:p w14:paraId="3EC7F14F" w14:textId="77777777" w:rsidR="00054265" w:rsidRDefault="005A0E08">
            <w:pPr>
              <w:pStyle w:val="NoSpacing"/>
              <w:jc w:val="both"/>
            </w:pPr>
            <w:r>
              <w:t>e)Programul național de înlocuire a echipamentelor electrice și electronice uzate cu unele mai performante din punct de vedere energetic</w:t>
            </w:r>
          </w:p>
          <w:p w14:paraId="17813BD1" w14:textId="77777777" w:rsidR="00054265" w:rsidRDefault="005A0E08">
            <w:pPr>
              <w:pStyle w:val="NoSpacing"/>
              <w:jc w:val="both"/>
            </w:pPr>
            <w:r>
              <w:t>- credite angajament – 75.000 mii lei</w:t>
            </w:r>
          </w:p>
          <w:p w14:paraId="53E08BC7" w14:textId="77777777" w:rsidR="00054265" w:rsidRDefault="005A0E08">
            <w:pPr>
              <w:pStyle w:val="NoSpacing"/>
              <w:jc w:val="both"/>
            </w:pPr>
            <w:r>
              <w:t>Valoarea creditelor de angajament rămâne neschimbată.</w:t>
            </w:r>
          </w:p>
          <w:p w14:paraId="685F3CBD" w14:textId="77777777" w:rsidR="00054265" w:rsidRDefault="005A0E08">
            <w:pPr>
              <w:pStyle w:val="NoSpacing"/>
              <w:jc w:val="both"/>
            </w:pPr>
            <w:r>
              <w:t>- credite bugetare – 50.000 mii lei</w:t>
            </w:r>
          </w:p>
          <w:p w14:paraId="28AA0AA2" w14:textId="77777777" w:rsidR="00054265" w:rsidRDefault="005A0E08">
            <w:pPr>
              <w:pStyle w:val="NoSpacing"/>
              <w:jc w:val="both"/>
            </w:pPr>
            <w:r>
              <w:t>Valoarea creditelor bugetare rămâne neschimbată.</w:t>
            </w:r>
          </w:p>
          <w:p w14:paraId="1E66B8E1" w14:textId="77777777" w:rsidR="00054265" w:rsidRDefault="005A0E08">
            <w:pPr>
              <w:pStyle w:val="NoSpacing"/>
              <w:jc w:val="both"/>
            </w:pPr>
            <w:r>
              <w:t>f)Programul privind reducerea emisiilor prin creșterea eficienței energetice în complexuri de producere a energiei</w:t>
            </w:r>
          </w:p>
          <w:p w14:paraId="65CF42EA" w14:textId="77777777" w:rsidR="00054265" w:rsidRDefault="005A0E08">
            <w:pPr>
              <w:pStyle w:val="NoSpacing"/>
              <w:jc w:val="both"/>
            </w:pPr>
            <w:r>
              <w:t>- credite angajament – 0 mii lei, valoare modificată</w:t>
            </w:r>
          </w:p>
          <w:p w14:paraId="5B46E72B" w14:textId="77777777" w:rsidR="00054265" w:rsidRDefault="005A0E08">
            <w:pPr>
              <w:pStyle w:val="NoSpacing"/>
              <w:jc w:val="both"/>
            </w:pPr>
            <w:r>
              <w:t>Valoarea creditelor de angajament rămâne neschimbată.</w:t>
            </w:r>
          </w:p>
          <w:p w14:paraId="4A1F467F" w14:textId="77777777" w:rsidR="00054265" w:rsidRDefault="005A0E08">
            <w:pPr>
              <w:pStyle w:val="NoSpacing"/>
              <w:jc w:val="both"/>
            </w:pPr>
            <w:r>
              <w:t>- credite bugetare – 0 mii lei</w:t>
            </w:r>
          </w:p>
          <w:p w14:paraId="2CE042DD" w14:textId="77777777" w:rsidR="00054265" w:rsidRDefault="005A0E08">
            <w:pPr>
              <w:pStyle w:val="NoSpacing"/>
              <w:jc w:val="both"/>
            </w:pPr>
            <w:r>
              <w:t>Valoarea creditelor bugetare rămâne neschimbată.</w:t>
            </w:r>
          </w:p>
          <w:p w14:paraId="3271F220" w14:textId="77777777" w:rsidR="00054265" w:rsidRDefault="005A0E08">
            <w:pPr>
              <w:pStyle w:val="NoSpacing"/>
              <w:jc w:val="both"/>
            </w:pPr>
            <w:r>
              <w:t>g) Gestionare deșeuri-instalații de biogaz/compost</w:t>
            </w:r>
          </w:p>
          <w:p w14:paraId="5862874C" w14:textId="77777777" w:rsidR="00054265" w:rsidRDefault="005A0E08">
            <w:pPr>
              <w:pStyle w:val="NoSpacing"/>
              <w:jc w:val="both"/>
            </w:pPr>
            <w:r>
              <w:t xml:space="preserve">- credite angajament – 0 mii lei </w:t>
            </w:r>
          </w:p>
          <w:p w14:paraId="56ED47FF" w14:textId="77777777" w:rsidR="00054265" w:rsidRDefault="005A0E08">
            <w:pPr>
              <w:pStyle w:val="NoSpacing"/>
              <w:jc w:val="both"/>
            </w:pPr>
            <w:r>
              <w:t>Valoare creditelor de angajament se diminuează cu 500.000 mii având în vedere că anul acesta nu se vor mai lansa sesiuni de finanțare.</w:t>
            </w:r>
          </w:p>
          <w:p w14:paraId="67EFF639" w14:textId="77777777" w:rsidR="00054265" w:rsidRDefault="005A0E08">
            <w:pPr>
              <w:pStyle w:val="NoSpacing"/>
              <w:jc w:val="both"/>
            </w:pPr>
            <w:r>
              <w:t>- credite bugetare – 0 mii lei</w:t>
            </w:r>
          </w:p>
          <w:p w14:paraId="7BC5DAD2" w14:textId="77777777" w:rsidR="00054265" w:rsidRDefault="005A0E08">
            <w:pPr>
              <w:pStyle w:val="NoSpacing"/>
              <w:jc w:val="both"/>
            </w:pPr>
            <w:r>
              <w:t>Valoarea creditelor bugetare se diminuează cu 250.000 mii lei având în vedere că nu sunt contracte în vigoare.</w:t>
            </w:r>
          </w:p>
          <w:p w14:paraId="70689CA1" w14:textId="77777777" w:rsidR="00054265" w:rsidRDefault="005A0E08">
            <w:pPr>
              <w:pStyle w:val="NoSpacing"/>
              <w:jc w:val="both"/>
            </w:pPr>
            <w:r>
              <w:t xml:space="preserve"> h) Programul privind reducerea emisiilor de gaze cu efect de seră prin împădurirea terenurilor</w:t>
            </w:r>
          </w:p>
          <w:p w14:paraId="784DAD84" w14:textId="77777777" w:rsidR="00054265" w:rsidRDefault="005A0E08">
            <w:pPr>
              <w:pStyle w:val="NoSpacing"/>
              <w:jc w:val="both"/>
            </w:pPr>
            <w:r>
              <w:t>- credite angajament – 20.000 mii lei</w:t>
            </w:r>
          </w:p>
          <w:p w14:paraId="5706A9D9" w14:textId="77777777" w:rsidR="00054265" w:rsidRDefault="005A0E08">
            <w:pPr>
              <w:pStyle w:val="NoSpacing"/>
              <w:jc w:val="both"/>
            </w:pPr>
            <w:r>
              <w:t>Valoarea creditelor de angajament s-a diminuat cu 180.000 mii lei pentru lansarea Programului de reîmpăduriri.</w:t>
            </w:r>
          </w:p>
          <w:p w14:paraId="35AEBE47" w14:textId="77777777" w:rsidR="00054265" w:rsidRDefault="005A0E08">
            <w:pPr>
              <w:pStyle w:val="NoSpacing"/>
              <w:jc w:val="both"/>
            </w:pPr>
            <w:r>
              <w:t>- credite bugetare – 0 mii lei</w:t>
            </w:r>
          </w:p>
          <w:p w14:paraId="0BC67879" w14:textId="77777777" w:rsidR="00054265" w:rsidRDefault="005A0E08">
            <w:pPr>
              <w:pStyle w:val="NoSpacing"/>
              <w:jc w:val="both"/>
            </w:pPr>
            <w:r>
              <w:t>Valoarea creditelor bugetare s-a diminuat cu 50.000 mii lei având în vedere că nu sunt contracte în vigoare.</w:t>
            </w:r>
          </w:p>
          <w:p w14:paraId="580862CB" w14:textId="77777777" w:rsidR="00054265" w:rsidRDefault="00054265">
            <w:pPr>
              <w:pStyle w:val="NoSpacing"/>
              <w:jc w:val="both"/>
            </w:pPr>
          </w:p>
          <w:p w14:paraId="54C2DF5C" w14:textId="057A32F9" w:rsidR="00054265" w:rsidRDefault="005A0E08">
            <w:pPr>
              <w:pStyle w:val="NoSpacing"/>
              <w:jc w:val="both"/>
            </w:pPr>
            <w:r>
              <w:t>Luând în considerare că</w:t>
            </w:r>
            <w:r w:rsidR="002D0488">
              <w:t>,</w:t>
            </w:r>
            <w:r>
              <w:t xml:space="preserve"> în cadrul Programului național de înlocuire a echipamentelor electrice și electronice uzate cu unele mai performante din punct de vedere energetic, comunicarea se efectuează prin transmiterea de SMS-uri, prin serviciul de transmitere a acestora pus la dispoziție de Serviciul de Telecomunicații Speciale, Direcția Generală Proiecte propune suplimentarea bugetului cu 54.374,93 lei reprezentând atât contravaloarea sumelor ce trebuie achitate către S.T.S. ca urmare a serviciului prestat, cât și o estimare a sumelor necesare pentru serviciile ce vor fi prestate ca urmare a lansării unei noi sesiuni în cadrul programului cunoscut generic sub numele de Rabla pentru Electrocasnice.</w:t>
            </w:r>
          </w:p>
          <w:p w14:paraId="52FFAF8D" w14:textId="77777777" w:rsidR="00054265" w:rsidRDefault="00054265">
            <w:pPr>
              <w:pStyle w:val="NoSpacing"/>
              <w:jc w:val="both"/>
            </w:pPr>
          </w:p>
          <w:p w14:paraId="35FE99FA" w14:textId="48E82A3B" w:rsidR="00054265" w:rsidRDefault="005A0E08">
            <w:pPr>
              <w:pStyle w:val="NoSpacing"/>
              <w:jc w:val="both"/>
            </w:pPr>
            <w:r>
              <w:t xml:space="preserve">Suma de 53.492 mii lei (prevăzută în H.G. nr. 469/2021 pentru aprobarea bugetului de venituri şi cheltuieli pe anul 2021 al Fondului  pentru mediu şi al Administraţiei Fondului pentru Mediu) se utilizează din excedent din anii precedenţi din „Alte impozite şi taxe fiscale“ şi „Venituri din dobânzi“ pentru continuarea restituirii sumelor reprezentând taxa specială </w:t>
            </w:r>
            <w:r>
              <w:lastRenderedPageBreak/>
              <w:t>pentru autoturisme şi autovehicule, taxa pe poluare pentru autovehicule, taxa pentru emisiile poluante provenite de la autovehicule şi timbrul de mediu pentru autovehicule, restituire prevăzută în temeiul Ordonanţei de urgenţă a Guvernului nr. 52/2017 privind restituirea sumelor reprezentând taxa specială pentru autoturisme şi autovehicule, taxa pe poluare pentru autovehicule, taxa pentru emisiile poluante provenite de la autovehicule şi timbrul de mediu pentru autovehicule, aprobată prin Legea nr. 258/2018, cu modificările şi completările ulterioare, precum şi al Ordinului viceprim-ministrului, ministrul mediului, şi al ministrului finanţelor publice nr. 1.488/3.198/2017 pentru aprobarea Normelor metodologice de aplicare a Ordonanţei de urgenţă a Guvernului nr. 52/2017 privind restituirea sumelor reprezentând taxa specială pentru autoturisme şi autovehicule, taxa pe poluare pentru autovehicule, taxa pentru emisiile poluante provenite de la autovehicule şi timbrul de mediu pentru autovehicule, cu modificările ulterioare.</w:t>
            </w:r>
          </w:p>
          <w:p w14:paraId="0DA8FA9E" w14:textId="77777777" w:rsidR="004837CB" w:rsidRDefault="004837CB">
            <w:pPr>
              <w:pStyle w:val="NoSpacing"/>
              <w:jc w:val="both"/>
            </w:pPr>
          </w:p>
          <w:p w14:paraId="0365D8ED" w14:textId="77777777" w:rsidR="00054265" w:rsidRPr="00B17C64" w:rsidRDefault="005A0E08">
            <w:pPr>
              <w:autoSpaceDE w:val="0"/>
              <w:autoSpaceDN w:val="0"/>
              <w:adjustRightInd w:val="0"/>
              <w:spacing w:after="0" w:line="240" w:lineRule="auto"/>
              <w:ind w:right="142"/>
              <w:jc w:val="both"/>
              <w:rPr>
                <w:rFonts w:ascii="Times New Roman" w:hAnsi="Times New Roman"/>
                <w:sz w:val="24"/>
                <w:szCs w:val="24"/>
                <w:lang w:eastAsia="ro-RO"/>
              </w:rPr>
            </w:pPr>
            <w:r w:rsidRPr="00B17C64">
              <w:rPr>
                <w:rFonts w:ascii="Times New Roman" w:hAnsi="Times New Roman"/>
                <w:sz w:val="24"/>
                <w:szCs w:val="24"/>
                <w:lang w:eastAsia="ro-RO"/>
              </w:rPr>
              <w:t>Suma de 338.372,51 mii lei se utilizează din excedent din anii precedenţi din „Alte impozite şi taxe fiscale“ şi „Venituri din dobânzi“ pentru ducerea la îndeplinire a măsurii nr.1 a Curții de Conturi a României, Decizia nr.7/11.05.2021, referitor la regularizarea sumelor privind alocarea din Fondul de rezervă bugetrară la dispoziția Guvernului pentru restituirirea sumelor reprezentând taxa specială pentru autoturisme şi autovehicule, taxa pe poluare pentru autovehicule, taxa pentru emisiile poluante provenite de la autovehicule şi timbrul de mediu pentru autovehicule, restituire prevăzută în temeiul Ordonanţei de urgenţă a Guvernului nr. 52/2017 privind restituirea sumelor reprezentând taxa specială pentru autoturisme şi autovehicule, taxa pe poluare pentru autovehicule, taxa pentru emisiile poluante provenite de la autovehicule şi timbrul de mediu pentru autovehicule, aprobată prin Legea nr. 258/2018, cu modificările şi completările ulterioare, precum şi al Ordinului viceprim-ministrului, ministrul mediului, şi al ministrului finanţelor publice nr. 1.488/3.198/2017 pentru aprobarea Normelor metodologice de aplicare a Ordonanţei de urgenţă a Guvernului nr. 52/2017 privind restituirea sumelor reprezentând taxa specială pentru autoturisme şi autovehicule, taxa pe poluare pentru autovehicule, taxa pentru emisiile poluante provenite de la autovehicule şi timbrul de mediu pentru autovehicule, cu modificările ulterioare.</w:t>
            </w:r>
          </w:p>
          <w:p w14:paraId="753FAC0D" w14:textId="77777777" w:rsidR="00054265" w:rsidRDefault="00054265">
            <w:pPr>
              <w:pStyle w:val="NoSpacing"/>
              <w:jc w:val="both"/>
            </w:pPr>
          </w:p>
          <w:p w14:paraId="26B85228" w14:textId="77777777" w:rsidR="00054265" w:rsidRDefault="005A0E08">
            <w:pPr>
              <w:pStyle w:val="NoSpacing"/>
              <w:jc w:val="both"/>
            </w:pPr>
            <w:r>
              <w:t>Excedentul de 410.928 mii lei este constituit din 291.584 mii lei, reprezentând excedent din  " Venituri din vânzarea certificatelor de emisii de gaze cu efect de seră”, care  va fi utilizat cu aceeași destinație în exercițiul bugetar viitor  (GES), și din 119.344 mii lei, reprezentând excedent din”Alte impozite și taxe fiscale” și ”Venituri din dobânzi”.</w:t>
            </w:r>
          </w:p>
          <w:p w14:paraId="08347D82" w14:textId="77777777" w:rsidR="00054265" w:rsidRDefault="00054265">
            <w:pPr>
              <w:pStyle w:val="NoSpacing"/>
              <w:jc w:val="both"/>
            </w:pPr>
          </w:p>
        </w:tc>
      </w:tr>
      <w:tr w:rsidR="00054265" w14:paraId="26E32DB6" w14:textId="77777777">
        <w:tc>
          <w:tcPr>
            <w:tcW w:w="2566" w:type="dxa"/>
          </w:tcPr>
          <w:p w14:paraId="3395AA42" w14:textId="77777777" w:rsidR="00054265" w:rsidRDefault="005A0E08">
            <w:pPr>
              <w:spacing w:after="0"/>
              <w:jc w:val="both"/>
              <w:rPr>
                <w:rFonts w:ascii="Times New Roman" w:hAnsi="Times New Roman"/>
                <w:sz w:val="24"/>
                <w:szCs w:val="24"/>
              </w:rPr>
            </w:pPr>
            <w:r>
              <w:rPr>
                <w:rFonts w:ascii="Times New Roman" w:hAnsi="Times New Roman"/>
                <w:sz w:val="24"/>
                <w:szCs w:val="24"/>
              </w:rPr>
              <w:lastRenderedPageBreak/>
              <w:t>3. Alte informaţii</w:t>
            </w:r>
          </w:p>
        </w:tc>
        <w:tc>
          <w:tcPr>
            <w:tcW w:w="7215" w:type="dxa"/>
            <w:gridSpan w:val="2"/>
          </w:tcPr>
          <w:p w14:paraId="0FB17BB3" w14:textId="77777777" w:rsidR="00054265" w:rsidRDefault="005A0E08">
            <w:pPr>
              <w:spacing w:after="0"/>
              <w:jc w:val="both"/>
              <w:rPr>
                <w:rFonts w:ascii="Times New Roman" w:hAnsi="Times New Roman"/>
                <w:sz w:val="24"/>
                <w:szCs w:val="24"/>
              </w:rPr>
            </w:pPr>
            <w:r>
              <w:rPr>
                <w:rFonts w:ascii="Times New Roman" w:hAnsi="Times New Roman"/>
                <w:sz w:val="24"/>
                <w:szCs w:val="24"/>
              </w:rPr>
              <w:t>Nu au fost identificate.</w:t>
            </w:r>
          </w:p>
        </w:tc>
      </w:tr>
      <w:tr w:rsidR="00054265" w14:paraId="405DC788" w14:textId="77777777">
        <w:tc>
          <w:tcPr>
            <w:tcW w:w="9781" w:type="dxa"/>
            <w:gridSpan w:val="3"/>
          </w:tcPr>
          <w:p w14:paraId="745D74FB" w14:textId="77777777" w:rsidR="00054265" w:rsidRDefault="005A0E08">
            <w:pPr>
              <w:spacing w:after="0"/>
              <w:jc w:val="center"/>
              <w:rPr>
                <w:rFonts w:ascii="Times New Roman" w:hAnsi="Times New Roman"/>
                <w:b/>
                <w:sz w:val="24"/>
                <w:szCs w:val="24"/>
              </w:rPr>
            </w:pPr>
            <w:r>
              <w:rPr>
                <w:rFonts w:ascii="Times New Roman" w:hAnsi="Times New Roman"/>
                <w:b/>
                <w:sz w:val="24"/>
                <w:szCs w:val="24"/>
              </w:rPr>
              <w:t>Secţiunea a 3-a: Impactul socio-economic al proiectului de act normativ</w:t>
            </w:r>
          </w:p>
        </w:tc>
      </w:tr>
      <w:tr w:rsidR="00054265" w14:paraId="5C68750D" w14:textId="77777777">
        <w:tc>
          <w:tcPr>
            <w:tcW w:w="3959" w:type="dxa"/>
            <w:gridSpan w:val="2"/>
          </w:tcPr>
          <w:p w14:paraId="68BC7A1B" w14:textId="77777777" w:rsidR="00054265" w:rsidRDefault="005A0E08">
            <w:pPr>
              <w:spacing w:after="0"/>
              <w:jc w:val="both"/>
              <w:rPr>
                <w:rFonts w:ascii="Times New Roman" w:hAnsi="Times New Roman"/>
                <w:sz w:val="24"/>
                <w:szCs w:val="24"/>
              </w:rPr>
            </w:pPr>
            <w:r>
              <w:rPr>
                <w:rFonts w:ascii="Times New Roman" w:hAnsi="Times New Roman"/>
                <w:sz w:val="24"/>
                <w:szCs w:val="24"/>
              </w:rPr>
              <w:t>1. Impactul macroeconomic</w:t>
            </w:r>
          </w:p>
        </w:tc>
        <w:tc>
          <w:tcPr>
            <w:tcW w:w="5822" w:type="dxa"/>
          </w:tcPr>
          <w:p w14:paraId="21A54583" w14:textId="77777777" w:rsidR="00054265" w:rsidRDefault="005A0E08">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054265" w14:paraId="33962A7D" w14:textId="77777777">
        <w:tc>
          <w:tcPr>
            <w:tcW w:w="3959" w:type="dxa"/>
            <w:gridSpan w:val="2"/>
          </w:tcPr>
          <w:p w14:paraId="2E5F51FC" w14:textId="77777777" w:rsidR="00054265" w:rsidRDefault="005A0E08">
            <w:pPr>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1</w:t>
            </w:r>
            <w:r>
              <w:rPr>
                <w:rFonts w:ascii="Times New Roman" w:hAnsi="Times New Roman"/>
                <w:iCs/>
                <w:sz w:val="24"/>
                <w:szCs w:val="24"/>
                <w:vertAlign w:val="superscript"/>
              </w:rPr>
              <w:t>1</w:t>
            </w:r>
            <w:r>
              <w:rPr>
                <w:rFonts w:ascii="Times New Roman" w:hAnsi="Times New Roman"/>
                <w:iCs/>
                <w:sz w:val="24"/>
                <w:szCs w:val="24"/>
              </w:rPr>
              <w:t>. Impactul asupra mediului                                             concurenţial şi domeniului                                 ajutoarelor de stat</w:t>
            </w:r>
            <w:r>
              <w:rPr>
                <w:rFonts w:ascii="Times New Roman" w:hAnsi="Times New Roman"/>
                <w:i/>
                <w:iCs/>
                <w:sz w:val="24"/>
                <w:szCs w:val="24"/>
              </w:rPr>
              <w:t xml:space="preserve">        </w:t>
            </w:r>
          </w:p>
        </w:tc>
        <w:tc>
          <w:tcPr>
            <w:tcW w:w="5822" w:type="dxa"/>
          </w:tcPr>
          <w:p w14:paraId="19D8F75B" w14:textId="77777777" w:rsidR="00054265" w:rsidRDefault="005A0E08">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054265" w14:paraId="3FFDEECC" w14:textId="77777777">
        <w:tc>
          <w:tcPr>
            <w:tcW w:w="3959" w:type="dxa"/>
            <w:gridSpan w:val="2"/>
          </w:tcPr>
          <w:p w14:paraId="22E8BB61" w14:textId="77777777" w:rsidR="00054265" w:rsidRDefault="005A0E08">
            <w:pPr>
              <w:spacing w:after="0"/>
              <w:jc w:val="both"/>
              <w:rPr>
                <w:rFonts w:ascii="Times New Roman" w:hAnsi="Times New Roman"/>
                <w:sz w:val="24"/>
                <w:szCs w:val="24"/>
              </w:rPr>
            </w:pPr>
            <w:r>
              <w:rPr>
                <w:rFonts w:ascii="Times New Roman" w:hAnsi="Times New Roman"/>
                <w:sz w:val="24"/>
                <w:szCs w:val="24"/>
              </w:rPr>
              <w:t>2. Impactul asupra mediului de afaceri</w:t>
            </w:r>
          </w:p>
        </w:tc>
        <w:tc>
          <w:tcPr>
            <w:tcW w:w="5822" w:type="dxa"/>
            <w:shd w:val="clear" w:color="auto" w:fill="FFFFFF"/>
          </w:tcPr>
          <w:p w14:paraId="55693408" w14:textId="77777777" w:rsidR="00054265" w:rsidRDefault="005A0E08">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054265" w14:paraId="3D8CD40A" w14:textId="77777777">
        <w:tc>
          <w:tcPr>
            <w:tcW w:w="3959" w:type="dxa"/>
            <w:gridSpan w:val="2"/>
          </w:tcPr>
          <w:p w14:paraId="0BBEE46D" w14:textId="77777777" w:rsidR="00054265" w:rsidRDefault="005A0E08">
            <w:pPr>
              <w:spacing w:after="0"/>
              <w:jc w:val="both"/>
              <w:rPr>
                <w:rFonts w:ascii="Times New Roman" w:hAnsi="Times New Roman"/>
                <w:sz w:val="24"/>
                <w:szCs w:val="24"/>
                <w:vertAlign w:val="superscript"/>
              </w:rPr>
            </w:pPr>
            <w:r>
              <w:rPr>
                <w:rFonts w:ascii="Times New Roman" w:hAnsi="Times New Roman"/>
                <w:sz w:val="24"/>
                <w:szCs w:val="24"/>
              </w:rPr>
              <w:lastRenderedPageBreak/>
              <w:t>2</w:t>
            </w:r>
            <w:r>
              <w:rPr>
                <w:rFonts w:ascii="Times New Roman" w:hAnsi="Times New Roman"/>
                <w:sz w:val="24"/>
                <w:szCs w:val="24"/>
                <w:vertAlign w:val="superscript"/>
              </w:rPr>
              <w:t xml:space="preserve">1  </w:t>
            </w:r>
          </w:p>
          <w:p w14:paraId="354DD4AF" w14:textId="77777777" w:rsidR="00054265" w:rsidRDefault="005A0E08">
            <w:pPr>
              <w:spacing w:after="0"/>
              <w:jc w:val="both"/>
              <w:rPr>
                <w:rFonts w:ascii="Times New Roman" w:hAnsi="Times New Roman"/>
                <w:sz w:val="24"/>
                <w:szCs w:val="24"/>
              </w:rPr>
            </w:pPr>
            <w:r>
              <w:rPr>
                <w:rFonts w:ascii="Times New Roman" w:hAnsi="Times New Roman"/>
                <w:sz w:val="24"/>
                <w:szCs w:val="24"/>
              </w:rPr>
              <w:t xml:space="preserve">Impactul asupra sarcinilor administrative </w:t>
            </w:r>
          </w:p>
        </w:tc>
        <w:tc>
          <w:tcPr>
            <w:tcW w:w="5822" w:type="dxa"/>
            <w:shd w:val="clear" w:color="auto" w:fill="FFFFFF"/>
          </w:tcPr>
          <w:p w14:paraId="05E50210" w14:textId="77777777" w:rsidR="00054265" w:rsidRDefault="005A0E08">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054265" w14:paraId="49D7FDCD" w14:textId="77777777">
        <w:tc>
          <w:tcPr>
            <w:tcW w:w="3959" w:type="dxa"/>
            <w:gridSpan w:val="2"/>
          </w:tcPr>
          <w:p w14:paraId="5EAF4E43" w14:textId="77777777" w:rsidR="00054265" w:rsidRDefault="005A0E08">
            <w:pPr>
              <w:spacing w:after="0"/>
              <w:jc w:val="both"/>
              <w:rPr>
                <w:rFonts w:ascii="Times New Roman" w:hAnsi="Times New Roman"/>
                <w:sz w:val="24"/>
                <w:szCs w:val="24"/>
                <w:vertAlign w:val="superscript"/>
              </w:rPr>
            </w:pPr>
            <w:r>
              <w:rPr>
                <w:rFonts w:ascii="Times New Roman" w:hAnsi="Times New Roman"/>
                <w:sz w:val="24"/>
                <w:szCs w:val="24"/>
              </w:rPr>
              <w:t>2</w:t>
            </w:r>
            <w:r>
              <w:rPr>
                <w:rFonts w:ascii="Times New Roman" w:hAnsi="Times New Roman"/>
                <w:sz w:val="24"/>
                <w:szCs w:val="24"/>
                <w:vertAlign w:val="superscript"/>
              </w:rPr>
              <w:t xml:space="preserve">2 </w:t>
            </w:r>
          </w:p>
          <w:p w14:paraId="065A36E3" w14:textId="77777777" w:rsidR="00054265" w:rsidRDefault="005A0E08">
            <w:pPr>
              <w:spacing w:after="0"/>
              <w:jc w:val="both"/>
              <w:rPr>
                <w:rFonts w:ascii="Times New Roman" w:hAnsi="Times New Roman"/>
                <w:sz w:val="24"/>
                <w:szCs w:val="24"/>
              </w:rPr>
            </w:pPr>
            <w:r>
              <w:rPr>
                <w:rFonts w:ascii="Times New Roman" w:hAnsi="Times New Roman"/>
                <w:sz w:val="24"/>
                <w:szCs w:val="24"/>
              </w:rPr>
              <w:t xml:space="preserve">Impactul asupra întreprinderilor mici și mijlocii </w:t>
            </w:r>
          </w:p>
        </w:tc>
        <w:tc>
          <w:tcPr>
            <w:tcW w:w="5822" w:type="dxa"/>
            <w:shd w:val="clear" w:color="auto" w:fill="FFFFFF"/>
          </w:tcPr>
          <w:p w14:paraId="4DF84E13" w14:textId="77777777" w:rsidR="00054265" w:rsidRDefault="005A0E08">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054265" w14:paraId="494E19C8" w14:textId="77777777">
        <w:trPr>
          <w:trHeight w:val="263"/>
        </w:trPr>
        <w:tc>
          <w:tcPr>
            <w:tcW w:w="3959" w:type="dxa"/>
            <w:gridSpan w:val="2"/>
          </w:tcPr>
          <w:p w14:paraId="7E308593" w14:textId="77777777" w:rsidR="00054265" w:rsidRDefault="005A0E08">
            <w:pPr>
              <w:spacing w:after="0"/>
              <w:jc w:val="both"/>
              <w:rPr>
                <w:rFonts w:ascii="Times New Roman" w:hAnsi="Times New Roman"/>
                <w:sz w:val="24"/>
                <w:szCs w:val="24"/>
              </w:rPr>
            </w:pPr>
            <w:r>
              <w:rPr>
                <w:rFonts w:ascii="Times New Roman" w:hAnsi="Times New Roman"/>
                <w:sz w:val="24"/>
                <w:szCs w:val="24"/>
              </w:rPr>
              <w:t>3. Impactul social</w:t>
            </w:r>
          </w:p>
        </w:tc>
        <w:tc>
          <w:tcPr>
            <w:tcW w:w="5822" w:type="dxa"/>
          </w:tcPr>
          <w:p w14:paraId="26814C05" w14:textId="77777777" w:rsidR="00054265" w:rsidRDefault="005A0E08">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054265" w14:paraId="2D32FC74" w14:textId="77777777">
        <w:tc>
          <w:tcPr>
            <w:tcW w:w="3959" w:type="dxa"/>
            <w:gridSpan w:val="2"/>
          </w:tcPr>
          <w:p w14:paraId="543FEFD0" w14:textId="77777777" w:rsidR="00054265" w:rsidRDefault="005A0E08">
            <w:pPr>
              <w:spacing w:after="0"/>
              <w:jc w:val="both"/>
              <w:rPr>
                <w:rFonts w:ascii="Times New Roman" w:hAnsi="Times New Roman"/>
                <w:sz w:val="24"/>
                <w:szCs w:val="24"/>
              </w:rPr>
            </w:pPr>
            <w:r>
              <w:rPr>
                <w:rFonts w:ascii="Times New Roman" w:hAnsi="Times New Roman"/>
                <w:sz w:val="24"/>
                <w:szCs w:val="24"/>
              </w:rPr>
              <w:t>4. Impactul asupra mediului</w:t>
            </w:r>
          </w:p>
        </w:tc>
        <w:tc>
          <w:tcPr>
            <w:tcW w:w="5822" w:type="dxa"/>
          </w:tcPr>
          <w:p w14:paraId="33DFD674" w14:textId="77777777" w:rsidR="00054265" w:rsidRDefault="005A0E08">
            <w:pPr>
              <w:pStyle w:val="ListParagraph"/>
              <w:spacing w:after="0"/>
              <w:ind w:left="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4837CB" w14:paraId="462F8C32" w14:textId="77777777">
        <w:tc>
          <w:tcPr>
            <w:tcW w:w="3959" w:type="dxa"/>
            <w:gridSpan w:val="2"/>
          </w:tcPr>
          <w:p w14:paraId="180BBF97"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5.Alte informaţii</w:t>
            </w:r>
          </w:p>
        </w:tc>
        <w:tc>
          <w:tcPr>
            <w:tcW w:w="5822" w:type="dxa"/>
          </w:tcPr>
          <w:p w14:paraId="15C1C858" w14:textId="47B37FE3" w:rsidR="004837CB" w:rsidRDefault="004837CB" w:rsidP="004837CB">
            <w:pPr>
              <w:spacing w:after="0"/>
              <w:jc w:val="both"/>
              <w:rPr>
                <w:rFonts w:ascii="Times New Roman" w:hAnsi="Times New Roman"/>
                <w:sz w:val="24"/>
                <w:szCs w:val="24"/>
              </w:rPr>
            </w:pPr>
            <w:r>
              <w:rPr>
                <w:rFonts w:ascii="Times New Roman" w:hAnsi="Times New Roman"/>
                <w:sz w:val="24"/>
                <w:szCs w:val="24"/>
              </w:rPr>
              <w:t>Nu au fost identificate.</w:t>
            </w:r>
          </w:p>
        </w:tc>
      </w:tr>
      <w:tr w:rsidR="004837CB" w14:paraId="41FD26DB" w14:textId="77777777">
        <w:trPr>
          <w:trHeight w:val="575"/>
        </w:trPr>
        <w:tc>
          <w:tcPr>
            <w:tcW w:w="9781" w:type="dxa"/>
            <w:gridSpan w:val="3"/>
          </w:tcPr>
          <w:p w14:paraId="292224CB" w14:textId="77777777" w:rsidR="004837CB" w:rsidRDefault="004837CB" w:rsidP="004837CB">
            <w:pPr>
              <w:spacing w:after="0"/>
              <w:jc w:val="center"/>
              <w:rPr>
                <w:rFonts w:ascii="Times New Roman" w:hAnsi="Times New Roman"/>
                <w:b/>
                <w:sz w:val="24"/>
                <w:szCs w:val="24"/>
              </w:rPr>
            </w:pPr>
            <w:r>
              <w:rPr>
                <w:rFonts w:ascii="Times New Roman" w:hAnsi="Times New Roman"/>
                <w:b/>
                <w:sz w:val="24"/>
                <w:szCs w:val="24"/>
              </w:rPr>
              <w:t xml:space="preserve">Secţiunea a 4-a: </w:t>
            </w:r>
          </w:p>
          <w:p w14:paraId="1DEA564A" w14:textId="77777777" w:rsidR="004837CB" w:rsidRDefault="004837CB" w:rsidP="004837CB">
            <w:pPr>
              <w:spacing w:after="0"/>
              <w:jc w:val="center"/>
              <w:rPr>
                <w:rFonts w:ascii="Times New Roman" w:hAnsi="Times New Roman"/>
                <w:b/>
                <w:sz w:val="24"/>
                <w:szCs w:val="24"/>
              </w:rPr>
            </w:pPr>
            <w:r>
              <w:rPr>
                <w:rFonts w:ascii="Times New Roman" w:hAnsi="Times New Roman"/>
                <w:b/>
                <w:sz w:val="24"/>
                <w:szCs w:val="24"/>
              </w:rPr>
              <w:t>Impactul financiar asupra bugetului general consolidat, atât pe termen scurt, pentru anul curent, cât şi pe termen lung (pe 5 ani)</w:t>
            </w:r>
          </w:p>
        </w:tc>
      </w:tr>
      <w:tr w:rsidR="004837CB" w14:paraId="299D8E12" w14:textId="77777777">
        <w:tc>
          <w:tcPr>
            <w:tcW w:w="3959" w:type="dxa"/>
            <w:gridSpan w:val="2"/>
            <w:tcBorders>
              <w:top w:val="single" w:sz="4" w:space="0" w:color="auto"/>
              <w:left w:val="single" w:sz="4" w:space="0" w:color="auto"/>
              <w:bottom w:val="single" w:sz="4" w:space="0" w:color="auto"/>
              <w:right w:val="single" w:sz="4" w:space="0" w:color="auto"/>
            </w:tcBorders>
          </w:tcPr>
          <w:p w14:paraId="27C86E76" w14:textId="77777777" w:rsidR="004837CB" w:rsidRDefault="004837CB" w:rsidP="004837CB">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1. Modificări ale veniturilor bugetare, plus/minus,  din care:                 </w:t>
            </w:r>
          </w:p>
          <w:p w14:paraId="4F42629C" w14:textId="77777777" w:rsidR="004837CB" w:rsidRDefault="004837CB" w:rsidP="004837CB">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a) buget de stat, din acesta:            </w:t>
            </w:r>
          </w:p>
          <w:p w14:paraId="40CDC7EC" w14:textId="77777777" w:rsidR="004837CB" w:rsidRDefault="004837CB" w:rsidP="004837CB">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(i) impozit pe profit                 </w:t>
            </w:r>
          </w:p>
          <w:p w14:paraId="317B8CFD" w14:textId="77777777" w:rsidR="004837CB" w:rsidRDefault="004837CB" w:rsidP="004837CB">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(ii) impozit pe venit                 </w:t>
            </w:r>
          </w:p>
          <w:p w14:paraId="6BDCA118" w14:textId="77777777" w:rsidR="004837CB" w:rsidRDefault="004837CB" w:rsidP="004837CB">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b) bugete locale:                        </w:t>
            </w:r>
          </w:p>
          <w:p w14:paraId="0A1D1819" w14:textId="77777777" w:rsidR="004837CB" w:rsidRDefault="004837CB" w:rsidP="004837CB">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(i) impozit pe profit                        </w:t>
            </w:r>
          </w:p>
          <w:p w14:paraId="19322CA9" w14:textId="77777777" w:rsidR="004837CB" w:rsidRDefault="004837CB" w:rsidP="004837CB">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c) bugetul asigurărilor sociale de stat: </w:t>
            </w:r>
          </w:p>
          <w:p w14:paraId="34E7FE00"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 xml:space="preserve">  (i) contribuţii de asigurări </w:t>
            </w:r>
          </w:p>
        </w:tc>
        <w:tc>
          <w:tcPr>
            <w:tcW w:w="5822" w:type="dxa"/>
            <w:tcBorders>
              <w:left w:val="single" w:sz="4" w:space="0" w:color="auto"/>
              <w:bottom w:val="single" w:sz="4" w:space="0" w:color="auto"/>
            </w:tcBorders>
          </w:tcPr>
          <w:p w14:paraId="43081F17"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4837CB" w14:paraId="67B977B0" w14:textId="77777777">
        <w:tc>
          <w:tcPr>
            <w:tcW w:w="3959" w:type="dxa"/>
            <w:gridSpan w:val="2"/>
          </w:tcPr>
          <w:p w14:paraId="1C6024C7"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2. Modificări ale cheltuielilor bugetare,plus/minus, din care:</w:t>
            </w:r>
          </w:p>
          <w:p w14:paraId="2F6FB0C6" w14:textId="77777777" w:rsidR="004837CB" w:rsidRDefault="004837CB" w:rsidP="004837CB">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a) buget de stat, din acesta:            </w:t>
            </w:r>
          </w:p>
          <w:p w14:paraId="6ADD6488" w14:textId="77777777" w:rsidR="004837CB" w:rsidRDefault="004837CB" w:rsidP="004837CB">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(i) cheltuieli de personal            </w:t>
            </w:r>
          </w:p>
          <w:p w14:paraId="4A66B5FC" w14:textId="77777777" w:rsidR="004837CB" w:rsidRDefault="004837CB" w:rsidP="004837CB">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(ii) bunuri şi servicii               </w:t>
            </w:r>
          </w:p>
          <w:p w14:paraId="616052B2" w14:textId="77777777" w:rsidR="004837CB" w:rsidRDefault="004837CB" w:rsidP="004837CB">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b) bugete locale:     </w:t>
            </w:r>
          </w:p>
          <w:p w14:paraId="475161D0" w14:textId="77777777" w:rsidR="004837CB" w:rsidRDefault="004837CB" w:rsidP="004837CB">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(i) cheltuieli de personal            </w:t>
            </w:r>
          </w:p>
          <w:p w14:paraId="182238AA" w14:textId="77777777" w:rsidR="004837CB" w:rsidRDefault="004837CB" w:rsidP="004837CB">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(ii) bunuri şi servicii                         c) bugetul asigurărilor sociale: </w:t>
            </w:r>
          </w:p>
          <w:p w14:paraId="73E48BE6" w14:textId="77777777" w:rsidR="004837CB" w:rsidRDefault="004837CB" w:rsidP="004837CB">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(i) cheltuieli de personal                    </w:t>
            </w:r>
          </w:p>
          <w:p w14:paraId="21D7F4F6"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 xml:space="preserve">    (ii) bunuri şi servicii           </w:t>
            </w:r>
          </w:p>
        </w:tc>
        <w:tc>
          <w:tcPr>
            <w:tcW w:w="5822" w:type="dxa"/>
          </w:tcPr>
          <w:p w14:paraId="74DD4553"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4837CB" w14:paraId="37AE61EE" w14:textId="77777777">
        <w:tc>
          <w:tcPr>
            <w:tcW w:w="3959" w:type="dxa"/>
            <w:gridSpan w:val="2"/>
          </w:tcPr>
          <w:p w14:paraId="51318290"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3. Impact financiar, plus/minus, din care:</w:t>
            </w:r>
          </w:p>
          <w:p w14:paraId="736AB02B" w14:textId="77777777" w:rsidR="004837CB" w:rsidRDefault="004837CB" w:rsidP="004837CB">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a) buget de stat                         </w:t>
            </w:r>
          </w:p>
          <w:p w14:paraId="5EF54400"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b) bugete locale</w:t>
            </w:r>
          </w:p>
        </w:tc>
        <w:tc>
          <w:tcPr>
            <w:tcW w:w="5822" w:type="dxa"/>
          </w:tcPr>
          <w:p w14:paraId="023EA0E0" w14:textId="77777777" w:rsidR="004837CB" w:rsidRDefault="004837CB" w:rsidP="004837C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Proiectul de act normativ nu are impact asupra bugetului de stat sau bugetului local. </w:t>
            </w:r>
          </w:p>
        </w:tc>
      </w:tr>
      <w:tr w:rsidR="004837CB" w14:paraId="747887B7" w14:textId="77777777">
        <w:tc>
          <w:tcPr>
            <w:tcW w:w="3959" w:type="dxa"/>
            <w:gridSpan w:val="2"/>
          </w:tcPr>
          <w:p w14:paraId="37EFB5EA"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4. Propuneri pentru acoperirea creşterii cheltuielilor bugetare</w:t>
            </w:r>
          </w:p>
        </w:tc>
        <w:tc>
          <w:tcPr>
            <w:tcW w:w="5822" w:type="dxa"/>
          </w:tcPr>
          <w:p w14:paraId="0222A34F"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p w14:paraId="05DFC440" w14:textId="77777777" w:rsidR="004837CB" w:rsidRDefault="004837CB" w:rsidP="004837CB">
            <w:pPr>
              <w:spacing w:after="0"/>
              <w:jc w:val="both"/>
              <w:rPr>
                <w:rFonts w:ascii="Times New Roman" w:hAnsi="Times New Roman"/>
                <w:sz w:val="24"/>
                <w:szCs w:val="24"/>
              </w:rPr>
            </w:pPr>
          </w:p>
        </w:tc>
      </w:tr>
      <w:tr w:rsidR="004837CB" w14:paraId="274698AF" w14:textId="77777777">
        <w:tc>
          <w:tcPr>
            <w:tcW w:w="3959" w:type="dxa"/>
            <w:gridSpan w:val="2"/>
          </w:tcPr>
          <w:p w14:paraId="4EFB7EB7"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5. Propuneri pentru a compensa reducerea veniturilor bugetare</w:t>
            </w:r>
          </w:p>
        </w:tc>
        <w:tc>
          <w:tcPr>
            <w:tcW w:w="5822" w:type="dxa"/>
          </w:tcPr>
          <w:p w14:paraId="21391E28"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4837CB" w14:paraId="41FE41D5" w14:textId="77777777">
        <w:tc>
          <w:tcPr>
            <w:tcW w:w="3959" w:type="dxa"/>
            <w:gridSpan w:val="2"/>
          </w:tcPr>
          <w:p w14:paraId="5A5C353C"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6. Calcule detaliate privind fundamentarea modificărilor veniturilor şi/sau a cheltuielilor bugetare</w:t>
            </w:r>
          </w:p>
        </w:tc>
        <w:tc>
          <w:tcPr>
            <w:tcW w:w="5822" w:type="dxa"/>
          </w:tcPr>
          <w:p w14:paraId="1E731976"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p w14:paraId="40A49577" w14:textId="77777777" w:rsidR="004837CB" w:rsidRDefault="004837CB" w:rsidP="004837CB">
            <w:pPr>
              <w:spacing w:after="0"/>
              <w:jc w:val="both"/>
              <w:rPr>
                <w:rFonts w:ascii="Times New Roman" w:hAnsi="Times New Roman"/>
                <w:sz w:val="24"/>
                <w:szCs w:val="24"/>
              </w:rPr>
            </w:pPr>
          </w:p>
          <w:p w14:paraId="0506C8A8" w14:textId="77777777" w:rsidR="004837CB" w:rsidRDefault="004837CB" w:rsidP="004837CB">
            <w:pPr>
              <w:spacing w:after="0"/>
              <w:jc w:val="both"/>
              <w:rPr>
                <w:rFonts w:ascii="Times New Roman" w:hAnsi="Times New Roman"/>
                <w:sz w:val="24"/>
                <w:szCs w:val="24"/>
              </w:rPr>
            </w:pPr>
          </w:p>
          <w:p w14:paraId="704C8103" w14:textId="77777777" w:rsidR="004837CB" w:rsidRDefault="004837CB" w:rsidP="004837CB">
            <w:pPr>
              <w:spacing w:after="0"/>
              <w:jc w:val="both"/>
              <w:rPr>
                <w:rFonts w:ascii="Times New Roman" w:hAnsi="Times New Roman"/>
                <w:sz w:val="24"/>
                <w:szCs w:val="24"/>
              </w:rPr>
            </w:pPr>
          </w:p>
        </w:tc>
      </w:tr>
      <w:tr w:rsidR="004837CB" w14:paraId="11784B1F" w14:textId="77777777">
        <w:tc>
          <w:tcPr>
            <w:tcW w:w="3959" w:type="dxa"/>
            <w:gridSpan w:val="2"/>
          </w:tcPr>
          <w:p w14:paraId="23ADE19B" w14:textId="533A3CDA" w:rsidR="004837CB" w:rsidRDefault="004837CB" w:rsidP="004837CB">
            <w:pPr>
              <w:spacing w:after="0"/>
              <w:jc w:val="both"/>
              <w:rPr>
                <w:rFonts w:ascii="Times New Roman" w:hAnsi="Times New Roman"/>
                <w:sz w:val="24"/>
                <w:szCs w:val="24"/>
              </w:rPr>
            </w:pPr>
            <w:r>
              <w:rPr>
                <w:rFonts w:ascii="Times New Roman" w:hAnsi="Times New Roman"/>
                <w:sz w:val="24"/>
                <w:szCs w:val="24"/>
              </w:rPr>
              <w:t>7. Alte informaţii</w:t>
            </w:r>
          </w:p>
        </w:tc>
        <w:tc>
          <w:tcPr>
            <w:tcW w:w="5822" w:type="dxa"/>
          </w:tcPr>
          <w:p w14:paraId="60B4C1B6"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Nu au fost identificate.</w:t>
            </w:r>
          </w:p>
        </w:tc>
      </w:tr>
      <w:tr w:rsidR="004837CB" w14:paraId="466C0AB5" w14:textId="77777777">
        <w:tc>
          <w:tcPr>
            <w:tcW w:w="9781" w:type="dxa"/>
            <w:gridSpan w:val="3"/>
          </w:tcPr>
          <w:p w14:paraId="4EE69C3C" w14:textId="77777777" w:rsidR="004837CB" w:rsidRDefault="004837CB" w:rsidP="004837CB">
            <w:pPr>
              <w:spacing w:after="0"/>
              <w:jc w:val="center"/>
              <w:rPr>
                <w:rFonts w:ascii="Times New Roman" w:hAnsi="Times New Roman"/>
                <w:b/>
                <w:sz w:val="24"/>
                <w:szCs w:val="24"/>
              </w:rPr>
            </w:pPr>
            <w:r>
              <w:rPr>
                <w:rFonts w:ascii="Times New Roman" w:hAnsi="Times New Roman"/>
                <w:b/>
                <w:sz w:val="24"/>
                <w:szCs w:val="24"/>
              </w:rPr>
              <w:lastRenderedPageBreak/>
              <w:t>Secţiunea a 5-a:</w:t>
            </w:r>
          </w:p>
          <w:p w14:paraId="00047794" w14:textId="77777777" w:rsidR="004837CB" w:rsidRDefault="004837CB" w:rsidP="004837CB">
            <w:pPr>
              <w:spacing w:after="0"/>
              <w:jc w:val="center"/>
              <w:rPr>
                <w:rFonts w:ascii="Times New Roman" w:hAnsi="Times New Roman"/>
                <w:b/>
                <w:sz w:val="24"/>
                <w:szCs w:val="24"/>
              </w:rPr>
            </w:pPr>
            <w:r>
              <w:rPr>
                <w:rFonts w:ascii="Times New Roman" w:hAnsi="Times New Roman"/>
                <w:b/>
                <w:sz w:val="24"/>
                <w:szCs w:val="24"/>
              </w:rPr>
              <w:t>Efectele proiectului de act normativ asupra legislaţiei în vigoare</w:t>
            </w:r>
          </w:p>
        </w:tc>
      </w:tr>
      <w:tr w:rsidR="004837CB" w14:paraId="2F149350" w14:textId="77777777">
        <w:tc>
          <w:tcPr>
            <w:tcW w:w="3959" w:type="dxa"/>
            <w:gridSpan w:val="2"/>
          </w:tcPr>
          <w:p w14:paraId="39E3A676" w14:textId="77777777" w:rsidR="004837CB" w:rsidRDefault="004837CB" w:rsidP="004837CB">
            <w:pPr>
              <w:autoSpaceDE w:val="0"/>
              <w:autoSpaceDN w:val="0"/>
              <w:adjustRightInd w:val="0"/>
              <w:spacing w:after="0"/>
              <w:rPr>
                <w:rFonts w:ascii="Times New Roman" w:hAnsi="Times New Roman"/>
                <w:iCs/>
                <w:sz w:val="24"/>
                <w:szCs w:val="24"/>
              </w:rPr>
            </w:pPr>
            <w:r>
              <w:rPr>
                <w:rFonts w:ascii="Times New Roman" w:hAnsi="Times New Roman"/>
                <w:iCs/>
                <w:sz w:val="24"/>
                <w:szCs w:val="24"/>
              </w:rPr>
              <w:t xml:space="preserve">1. Măsuri normative necesare pentru                                         </w:t>
            </w:r>
          </w:p>
          <w:p w14:paraId="6D75C2FF" w14:textId="77777777" w:rsidR="004837CB" w:rsidRDefault="004837CB" w:rsidP="004837CB">
            <w:pPr>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 xml:space="preserve">aplicarea prevederilor proiectului de act normativ:                                           </w:t>
            </w:r>
          </w:p>
          <w:p w14:paraId="59C6B170" w14:textId="77777777" w:rsidR="004837CB" w:rsidRDefault="004837CB" w:rsidP="004837CB">
            <w:pPr>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 xml:space="preserve">a) acte normative în vigoare ce vor                                       fi modificate sau abrogate, ca urmare a intrării în vigoare a proiectului;                                         </w:t>
            </w:r>
          </w:p>
          <w:p w14:paraId="3691F8D2" w14:textId="77777777" w:rsidR="004837CB" w:rsidRDefault="004837CB" w:rsidP="004837CB">
            <w:pPr>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b) acte normative ce urmează a fi                                          elaborate în vederea implementării noilor dispoziţii</w:t>
            </w:r>
            <w:r>
              <w:rPr>
                <w:rFonts w:ascii="Times New Roman" w:hAnsi="Times New Roman"/>
                <w:i/>
                <w:iCs/>
                <w:sz w:val="24"/>
                <w:szCs w:val="24"/>
              </w:rPr>
              <w:t>.</w:t>
            </w:r>
          </w:p>
        </w:tc>
        <w:tc>
          <w:tcPr>
            <w:tcW w:w="5822" w:type="dxa"/>
            <w:shd w:val="clear" w:color="auto" w:fill="auto"/>
          </w:tcPr>
          <w:p w14:paraId="19034FAE" w14:textId="77777777" w:rsidR="004837CB" w:rsidRDefault="004837CB" w:rsidP="004837CB">
            <w:pPr>
              <w:spacing w:after="0"/>
              <w:jc w:val="both"/>
              <w:rPr>
                <w:rFonts w:ascii="Times New Roman" w:hAnsi="Times New Roman"/>
                <w:sz w:val="24"/>
                <w:szCs w:val="24"/>
              </w:rPr>
            </w:pPr>
            <w:r>
              <w:rPr>
                <w:rFonts w:ascii="Times New Roman" w:hAnsi="Times New Roman"/>
                <w:bCs/>
                <w:sz w:val="24"/>
                <w:szCs w:val="24"/>
                <w:shd w:val="clear" w:color="auto" w:fill="FFFFFF"/>
                <w:lang w:eastAsia="ro-RO"/>
              </w:rPr>
              <w:t xml:space="preserve"> Proiectul de act normativ nu se referă la acest subiect.</w:t>
            </w:r>
          </w:p>
        </w:tc>
      </w:tr>
      <w:tr w:rsidR="004837CB" w14:paraId="2A67730A" w14:textId="77777777">
        <w:trPr>
          <w:trHeight w:val="1980"/>
        </w:trPr>
        <w:tc>
          <w:tcPr>
            <w:tcW w:w="3959" w:type="dxa"/>
            <w:gridSpan w:val="2"/>
            <w:tcBorders>
              <w:bottom w:val="single" w:sz="4" w:space="0" w:color="auto"/>
            </w:tcBorders>
          </w:tcPr>
          <w:p w14:paraId="43643A61" w14:textId="77777777" w:rsidR="004837CB" w:rsidRDefault="004837CB" w:rsidP="004837CB">
            <w:pPr>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1</w:t>
            </w:r>
            <w:r>
              <w:rPr>
                <w:rFonts w:ascii="Times New Roman" w:hAnsi="Times New Roman"/>
                <w:iCs/>
                <w:sz w:val="24"/>
                <w:szCs w:val="24"/>
                <w:vertAlign w:val="superscript"/>
              </w:rPr>
              <w:t>1</w:t>
            </w:r>
            <w:r>
              <w:rPr>
                <w:rFonts w:ascii="Times New Roman" w:hAnsi="Times New Roman"/>
                <w:iCs/>
                <w:sz w:val="24"/>
                <w:szCs w:val="24"/>
              </w:rPr>
              <w:t xml:space="preserve"> Compatibilitatea proiectului de act normativ cu legislaţia în domeniul achiziţiilor publice:</w:t>
            </w:r>
          </w:p>
          <w:p w14:paraId="77207EAA" w14:textId="77777777" w:rsidR="004837CB" w:rsidRDefault="004837CB" w:rsidP="004837CB">
            <w:pPr>
              <w:numPr>
                <w:ilvl w:val="0"/>
                <w:numId w:val="25"/>
              </w:numPr>
              <w:autoSpaceDE w:val="0"/>
              <w:autoSpaceDN w:val="0"/>
              <w:adjustRightInd w:val="0"/>
              <w:spacing w:after="0"/>
              <w:ind w:left="0" w:firstLine="0"/>
              <w:rPr>
                <w:rFonts w:ascii="Times New Roman" w:hAnsi="Times New Roman"/>
                <w:iCs/>
                <w:sz w:val="24"/>
                <w:szCs w:val="24"/>
              </w:rPr>
            </w:pPr>
            <w:r>
              <w:rPr>
                <w:rFonts w:ascii="Times New Roman" w:hAnsi="Times New Roman"/>
                <w:iCs/>
                <w:sz w:val="24"/>
                <w:szCs w:val="24"/>
              </w:rPr>
              <w:t>impact legislativ - prevederi de modificare şi completare a cadrului normativ în domeniul achiziţiilor publice, prevederi derogatorii;</w:t>
            </w:r>
          </w:p>
          <w:p w14:paraId="34A84163" w14:textId="77777777" w:rsidR="004837CB" w:rsidRDefault="004837CB" w:rsidP="004837CB">
            <w:pPr>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b) norme cu impact la nivel operaţional/tehnic - sisteme electronice utilizate în desfăşurarea procedurilor de achiziţie publică, unităţi centralizate de achiziţii publice, structură organizatorică internă a autorităţilor contractante.</w:t>
            </w:r>
          </w:p>
          <w:p w14:paraId="35E12FBC" w14:textId="77777777" w:rsidR="004837CB" w:rsidRDefault="004837CB" w:rsidP="004837CB">
            <w:pPr>
              <w:autoSpaceDE w:val="0"/>
              <w:autoSpaceDN w:val="0"/>
              <w:adjustRightInd w:val="0"/>
              <w:spacing w:after="0"/>
              <w:jc w:val="both"/>
              <w:rPr>
                <w:rFonts w:ascii="Times New Roman" w:hAnsi="Times New Roman"/>
                <w:iCs/>
                <w:sz w:val="24"/>
                <w:szCs w:val="24"/>
              </w:rPr>
            </w:pPr>
          </w:p>
        </w:tc>
        <w:tc>
          <w:tcPr>
            <w:tcW w:w="5822" w:type="dxa"/>
            <w:tcBorders>
              <w:bottom w:val="single" w:sz="4" w:space="0" w:color="auto"/>
            </w:tcBorders>
            <w:shd w:val="clear" w:color="auto" w:fill="FFFFFF"/>
          </w:tcPr>
          <w:p w14:paraId="1AF0FEB0"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4837CB" w14:paraId="7A5DF003" w14:textId="77777777">
        <w:trPr>
          <w:trHeight w:val="504"/>
        </w:trPr>
        <w:tc>
          <w:tcPr>
            <w:tcW w:w="3959" w:type="dxa"/>
            <w:gridSpan w:val="2"/>
            <w:tcBorders>
              <w:top w:val="single" w:sz="4" w:space="0" w:color="auto"/>
            </w:tcBorders>
          </w:tcPr>
          <w:p w14:paraId="5DB51CF3" w14:textId="77777777" w:rsidR="004837CB" w:rsidRDefault="004837CB" w:rsidP="004837CB">
            <w:pPr>
              <w:autoSpaceDE w:val="0"/>
              <w:autoSpaceDN w:val="0"/>
              <w:adjustRightInd w:val="0"/>
              <w:spacing w:after="0"/>
              <w:jc w:val="both"/>
              <w:rPr>
                <w:rFonts w:ascii="Times New Roman" w:hAnsi="Times New Roman"/>
                <w:iCs/>
                <w:sz w:val="24"/>
                <w:szCs w:val="24"/>
              </w:rPr>
            </w:pPr>
            <w:r>
              <w:rPr>
                <w:rFonts w:ascii="Times New Roman" w:hAnsi="Times New Roman"/>
                <w:sz w:val="24"/>
                <w:szCs w:val="24"/>
              </w:rPr>
              <w:t xml:space="preserve">2. Conformitatea proiectului de act normativ cu legislaţia comunitară  </w:t>
            </w:r>
            <w:r>
              <w:rPr>
                <w:rFonts w:ascii="Times New Roman" w:hAnsi="Times New Roman"/>
                <w:iCs/>
                <w:sz w:val="24"/>
                <w:szCs w:val="24"/>
              </w:rPr>
              <w:t>în cazul proiectelor ce transpun prevederi comunitare</w:t>
            </w:r>
          </w:p>
        </w:tc>
        <w:tc>
          <w:tcPr>
            <w:tcW w:w="5822" w:type="dxa"/>
            <w:tcBorders>
              <w:top w:val="single" w:sz="4" w:space="0" w:color="auto"/>
            </w:tcBorders>
            <w:shd w:val="clear" w:color="auto" w:fill="FFFFFF"/>
          </w:tcPr>
          <w:p w14:paraId="082479B6"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4837CB" w14:paraId="225E784C" w14:textId="77777777">
        <w:tc>
          <w:tcPr>
            <w:tcW w:w="3959" w:type="dxa"/>
            <w:gridSpan w:val="2"/>
          </w:tcPr>
          <w:p w14:paraId="00CDAC70"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3. Măsuri normative necesare aplicării directe a actelor normative comunitare</w:t>
            </w:r>
          </w:p>
        </w:tc>
        <w:tc>
          <w:tcPr>
            <w:tcW w:w="5822" w:type="dxa"/>
          </w:tcPr>
          <w:p w14:paraId="6D5CF636"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4837CB" w14:paraId="5ABDFF8B" w14:textId="77777777">
        <w:tc>
          <w:tcPr>
            <w:tcW w:w="3959" w:type="dxa"/>
            <w:gridSpan w:val="2"/>
          </w:tcPr>
          <w:p w14:paraId="1D39B23C"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4. Hotărâri ale Curţii de Justiţie a Uniunii Europene</w:t>
            </w:r>
          </w:p>
        </w:tc>
        <w:tc>
          <w:tcPr>
            <w:tcW w:w="5822" w:type="dxa"/>
          </w:tcPr>
          <w:p w14:paraId="49776B3B"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p w14:paraId="0559A28F" w14:textId="77777777" w:rsidR="004837CB" w:rsidRDefault="004837CB" w:rsidP="004837CB">
            <w:pPr>
              <w:spacing w:after="0"/>
              <w:jc w:val="both"/>
              <w:rPr>
                <w:rFonts w:ascii="Times New Roman" w:hAnsi="Times New Roman"/>
                <w:sz w:val="24"/>
                <w:szCs w:val="24"/>
              </w:rPr>
            </w:pPr>
          </w:p>
        </w:tc>
      </w:tr>
      <w:tr w:rsidR="004837CB" w14:paraId="6E45B2FA" w14:textId="77777777">
        <w:tc>
          <w:tcPr>
            <w:tcW w:w="3959" w:type="dxa"/>
            <w:gridSpan w:val="2"/>
          </w:tcPr>
          <w:p w14:paraId="46016F28"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5. Alte acte normative şi/sau documente internaţionale din care decurg angajamente</w:t>
            </w:r>
          </w:p>
        </w:tc>
        <w:tc>
          <w:tcPr>
            <w:tcW w:w="5822" w:type="dxa"/>
          </w:tcPr>
          <w:p w14:paraId="40122E71"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p w14:paraId="148C87E2" w14:textId="77777777" w:rsidR="004837CB" w:rsidRDefault="004837CB" w:rsidP="004837CB">
            <w:pPr>
              <w:spacing w:after="0"/>
              <w:jc w:val="both"/>
              <w:rPr>
                <w:rFonts w:ascii="Times New Roman" w:hAnsi="Times New Roman"/>
                <w:sz w:val="24"/>
                <w:szCs w:val="24"/>
              </w:rPr>
            </w:pPr>
          </w:p>
        </w:tc>
      </w:tr>
      <w:tr w:rsidR="004837CB" w14:paraId="11CABBC1" w14:textId="77777777">
        <w:trPr>
          <w:trHeight w:val="287"/>
        </w:trPr>
        <w:tc>
          <w:tcPr>
            <w:tcW w:w="3959" w:type="dxa"/>
            <w:gridSpan w:val="2"/>
          </w:tcPr>
          <w:p w14:paraId="02F024C6"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6. Alte informaţii</w:t>
            </w:r>
          </w:p>
        </w:tc>
        <w:tc>
          <w:tcPr>
            <w:tcW w:w="5822" w:type="dxa"/>
          </w:tcPr>
          <w:p w14:paraId="51BF6E76"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Nu au fost identificate.</w:t>
            </w:r>
          </w:p>
          <w:p w14:paraId="37FD76FE" w14:textId="77777777" w:rsidR="004837CB" w:rsidRDefault="004837CB" w:rsidP="004837CB">
            <w:pPr>
              <w:spacing w:after="0"/>
              <w:jc w:val="both"/>
              <w:rPr>
                <w:rFonts w:ascii="Times New Roman" w:hAnsi="Times New Roman"/>
                <w:sz w:val="24"/>
                <w:szCs w:val="24"/>
              </w:rPr>
            </w:pPr>
          </w:p>
        </w:tc>
      </w:tr>
      <w:tr w:rsidR="004837CB" w14:paraId="47311AB6" w14:textId="77777777">
        <w:tc>
          <w:tcPr>
            <w:tcW w:w="9781" w:type="dxa"/>
            <w:gridSpan w:val="3"/>
          </w:tcPr>
          <w:p w14:paraId="2991878C" w14:textId="77777777" w:rsidR="004837CB" w:rsidRDefault="004837CB" w:rsidP="004837CB">
            <w:pPr>
              <w:spacing w:after="0"/>
              <w:jc w:val="center"/>
              <w:rPr>
                <w:rFonts w:ascii="Times New Roman" w:hAnsi="Times New Roman"/>
                <w:b/>
                <w:sz w:val="24"/>
                <w:szCs w:val="24"/>
              </w:rPr>
            </w:pPr>
            <w:r>
              <w:rPr>
                <w:rFonts w:ascii="Times New Roman" w:hAnsi="Times New Roman"/>
                <w:b/>
                <w:sz w:val="24"/>
                <w:szCs w:val="24"/>
              </w:rPr>
              <w:t xml:space="preserve">Secţiunea a 6-a: </w:t>
            </w:r>
          </w:p>
          <w:p w14:paraId="4F09D4AF" w14:textId="77777777" w:rsidR="004837CB" w:rsidRDefault="004837CB" w:rsidP="004837CB">
            <w:pPr>
              <w:spacing w:after="0"/>
              <w:jc w:val="center"/>
              <w:rPr>
                <w:rFonts w:ascii="Times New Roman" w:hAnsi="Times New Roman"/>
                <w:b/>
                <w:sz w:val="24"/>
                <w:szCs w:val="24"/>
              </w:rPr>
            </w:pPr>
            <w:r>
              <w:rPr>
                <w:rFonts w:ascii="Times New Roman" w:hAnsi="Times New Roman"/>
                <w:b/>
                <w:sz w:val="24"/>
                <w:szCs w:val="24"/>
              </w:rPr>
              <w:t>Consultările efectuate în vederea elaborării proiectului de act normativ</w:t>
            </w:r>
          </w:p>
        </w:tc>
      </w:tr>
      <w:tr w:rsidR="004837CB" w14:paraId="69E94997" w14:textId="77777777">
        <w:tc>
          <w:tcPr>
            <w:tcW w:w="3959" w:type="dxa"/>
            <w:gridSpan w:val="2"/>
          </w:tcPr>
          <w:p w14:paraId="41DA897D"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1. Informaţii privind procesul de consultare cu organizaţii neguvernamentale, institute de cercetare şi alte organisme implicate</w:t>
            </w:r>
          </w:p>
        </w:tc>
        <w:tc>
          <w:tcPr>
            <w:tcW w:w="5822" w:type="dxa"/>
          </w:tcPr>
          <w:p w14:paraId="77D96449" w14:textId="77777777" w:rsidR="004837CB" w:rsidRDefault="004837CB" w:rsidP="004837CB">
            <w:pPr>
              <w:autoSpaceDE w:val="0"/>
              <w:autoSpaceDN w:val="0"/>
              <w:adjustRightInd w:val="0"/>
              <w:spacing w:after="0"/>
              <w:rPr>
                <w:rFonts w:ascii="Times New Roman" w:hAnsi="Times New Roman"/>
                <w:sz w:val="24"/>
                <w:szCs w:val="24"/>
              </w:rPr>
            </w:pPr>
            <w:r>
              <w:rPr>
                <w:rFonts w:ascii="Times New Roman" w:hAnsi="Times New Roman"/>
                <w:sz w:val="24"/>
                <w:szCs w:val="24"/>
              </w:rPr>
              <w:t>Proiectul de act normativ nu se referă la acest subiect.</w:t>
            </w:r>
          </w:p>
        </w:tc>
      </w:tr>
      <w:tr w:rsidR="004837CB" w14:paraId="6CE287B7" w14:textId="77777777">
        <w:tc>
          <w:tcPr>
            <w:tcW w:w="3959" w:type="dxa"/>
            <w:gridSpan w:val="2"/>
          </w:tcPr>
          <w:p w14:paraId="35B91679"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lastRenderedPageBreak/>
              <w:t>2. Fundamentarea alegerii organizaţiilor cu care a avut loc consultarea, precum şi a modului  în care activitatea acestor organizaţii este legată de obiectul proiectului de act normativ</w:t>
            </w:r>
          </w:p>
        </w:tc>
        <w:tc>
          <w:tcPr>
            <w:tcW w:w="5822" w:type="dxa"/>
          </w:tcPr>
          <w:p w14:paraId="189FFA06"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p w14:paraId="4C477865" w14:textId="77777777" w:rsidR="004837CB" w:rsidRDefault="004837CB" w:rsidP="004837CB">
            <w:pPr>
              <w:spacing w:after="0"/>
              <w:jc w:val="both"/>
              <w:rPr>
                <w:rFonts w:ascii="Times New Roman" w:hAnsi="Times New Roman"/>
                <w:sz w:val="24"/>
                <w:szCs w:val="24"/>
              </w:rPr>
            </w:pPr>
          </w:p>
        </w:tc>
      </w:tr>
      <w:tr w:rsidR="004837CB" w14:paraId="12C5AF75" w14:textId="77777777">
        <w:tc>
          <w:tcPr>
            <w:tcW w:w="3959" w:type="dxa"/>
            <w:gridSpan w:val="2"/>
          </w:tcPr>
          <w:p w14:paraId="497D6D31"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5822" w:type="dxa"/>
          </w:tcPr>
          <w:p w14:paraId="6BD2D86D"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 xml:space="preserve"> Proiectul de act normativ nu se referă la acest subiect.</w:t>
            </w:r>
          </w:p>
        </w:tc>
      </w:tr>
      <w:tr w:rsidR="004837CB" w14:paraId="1D9B5A44" w14:textId="77777777">
        <w:tc>
          <w:tcPr>
            <w:tcW w:w="3959" w:type="dxa"/>
            <w:gridSpan w:val="2"/>
          </w:tcPr>
          <w:p w14:paraId="44E8D7AC"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4. Consultările desfăşurate în cadrul consiliilor interministeriale, în conformitate cu prevederile Hotărârii Guvernului nr. 750/2005 privind constituirea consiliilor interministeriale permanente</w:t>
            </w:r>
          </w:p>
        </w:tc>
        <w:tc>
          <w:tcPr>
            <w:tcW w:w="5822" w:type="dxa"/>
          </w:tcPr>
          <w:p w14:paraId="33A6B5DB"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4837CB" w14:paraId="00EEBFA6" w14:textId="77777777">
        <w:tc>
          <w:tcPr>
            <w:tcW w:w="3959" w:type="dxa"/>
            <w:gridSpan w:val="2"/>
          </w:tcPr>
          <w:p w14:paraId="6BE2B605"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5. Informaţii privind avizarea de către:</w:t>
            </w:r>
          </w:p>
          <w:p w14:paraId="736DDD6B"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a) Consiliul Legislativ</w:t>
            </w:r>
          </w:p>
          <w:p w14:paraId="58D43899"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b) Consiliul Suprem de Apărare a Ţării</w:t>
            </w:r>
          </w:p>
          <w:p w14:paraId="608C209E"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c) Consiliul Economic şi Social</w:t>
            </w:r>
          </w:p>
          <w:p w14:paraId="7ACC41D5"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d) Consiliul Concurenţei;</w:t>
            </w:r>
          </w:p>
          <w:p w14:paraId="090692ED"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e) Curtea de Conturi.</w:t>
            </w:r>
          </w:p>
        </w:tc>
        <w:tc>
          <w:tcPr>
            <w:tcW w:w="5822" w:type="dxa"/>
          </w:tcPr>
          <w:p w14:paraId="5C3F3C07"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4837CB" w14:paraId="3CBCC6DE" w14:textId="77777777">
        <w:tc>
          <w:tcPr>
            <w:tcW w:w="3959" w:type="dxa"/>
            <w:gridSpan w:val="2"/>
          </w:tcPr>
          <w:p w14:paraId="623AF462"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6. Alte informaţii</w:t>
            </w:r>
          </w:p>
        </w:tc>
        <w:tc>
          <w:tcPr>
            <w:tcW w:w="5822" w:type="dxa"/>
          </w:tcPr>
          <w:p w14:paraId="0ABE2C79"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Nu au fost identificate.</w:t>
            </w:r>
          </w:p>
        </w:tc>
      </w:tr>
      <w:tr w:rsidR="004837CB" w14:paraId="1CBC9D72" w14:textId="77777777">
        <w:tc>
          <w:tcPr>
            <w:tcW w:w="9781" w:type="dxa"/>
            <w:gridSpan w:val="3"/>
          </w:tcPr>
          <w:p w14:paraId="3126133B" w14:textId="77777777" w:rsidR="004837CB" w:rsidRDefault="004837CB" w:rsidP="004837CB">
            <w:pPr>
              <w:spacing w:after="0"/>
              <w:jc w:val="both"/>
              <w:rPr>
                <w:rFonts w:ascii="Times New Roman" w:hAnsi="Times New Roman"/>
                <w:b/>
                <w:sz w:val="24"/>
                <w:szCs w:val="24"/>
              </w:rPr>
            </w:pPr>
            <w:r>
              <w:rPr>
                <w:rFonts w:ascii="Times New Roman" w:hAnsi="Times New Roman"/>
                <w:b/>
                <w:sz w:val="24"/>
                <w:szCs w:val="24"/>
              </w:rPr>
              <w:t>Secţiunea a 7-a: Activităţi de informare publică privind elaborarea şi implementarea proiectului de act normativ</w:t>
            </w:r>
          </w:p>
        </w:tc>
      </w:tr>
      <w:tr w:rsidR="004837CB" w14:paraId="6A1682F5" w14:textId="77777777">
        <w:tc>
          <w:tcPr>
            <w:tcW w:w="3959" w:type="dxa"/>
            <w:gridSpan w:val="2"/>
          </w:tcPr>
          <w:p w14:paraId="0AF0DE2E"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1. Informarea societăţii civile cu privire la necesitatea elaborării proiectului de act normativ</w:t>
            </w:r>
          </w:p>
        </w:tc>
        <w:tc>
          <w:tcPr>
            <w:tcW w:w="5822" w:type="dxa"/>
          </w:tcPr>
          <w:p w14:paraId="5588544A" w14:textId="2292F6A5" w:rsidR="004837CB" w:rsidRDefault="004837CB" w:rsidP="004837CB">
            <w:pPr>
              <w:spacing w:after="0"/>
              <w:jc w:val="both"/>
              <w:rPr>
                <w:rFonts w:ascii="Times New Roman" w:hAnsi="Times New Roman"/>
                <w:sz w:val="24"/>
                <w:szCs w:val="24"/>
              </w:rPr>
            </w:pPr>
            <w:r>
              <w:rPr>
                <w:rFonts w:ascii="Times New Roman" w:hAnsi="Times New Roman"/>
                <w:sz w:val="24"/>
                <w:szCs w:val="24"/>
              </w:rPr>
              <w:t xml:space="preserve"> În procesul de elaborare a prezentului proiect de act normativ au fost respectate regulile procedurale aplicabile pentru asigurarea transparenţei decizionale, prevăzute de Legea nr.52/2003 privind transparenţa decizională în administraţia publică, republicată. </w:t>
            </w:r>
          </w:p>
        </w:tc>
      </w:tr>
      <w:tr w:rsidR="004837CB" w14:paraId="0AC7F264" w14:textId="77777777">
        <w:tc>
          <w:tcPr>
            <w:tcW w:w="3959" w:type="dxa"/>
            <w:gridSpan w:val="2"/>
          </w:tcPr>
          <w:p w14:paraId="7CAAD64E"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2. Informarea societăţii civile cu privire la eventualul impact asupra mediului în urma implementării proiectului de act normativ, precum şi efectele asupra sănătăţii şi securităţii cetăţenilor sau diversităţii biologice</w:t>
            </w:r>
          </w:p>
        </w:tc>
        <w:tc>
          <w:tcPr>
            <w:tcW w:w="5822" w:type="dxa"/>
          </w:tcPr>
          <w:p w14:paraId="40EC5E5B"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p w14:paraId="46EC91D0" w14:textId="77777777" w:rsidR="004837CB" w:rsidRDefault="004837CB" w:rsidP="004837CB">
            <w:pPr>
              <w:spacing w:after="0"/>
              <w:jc w:val="both"/>
              <w:rPr>
                <w:rFonts w:ascii="Times New Roman" w:hAnsi="Times New Roman"/>
                <w:sz w:val="24"/>
                <w:szCs w:val="24"/>
              </w:rPr>
            </w:pPr>
          </w:p>
          <w:p w14:paraId="7CA2C0B6" w14:textId="77777777" w:rsidR="004837CB" w:rsidRDefault="004837CB" w:rsidP="004837CB">
            <w:pPr>
              <w:spacing w:after="0"/>
              <w:jc w:val="both"/>
              <w:rPr>
                <w:rFonts w:ascii="Times New Roman" w:hAnsi="Times New Roman"/>
                <w:sz w:val="24"/>
                <w:szCs w:val="24"/>
              </w:rPr>
            </w:pPr>
          </w:p>
        </w:tc>
      </w:tr>
      <w:tr w:rsidR="004837CB" w14:paraId="5F967F28" w14:textId="77777777">
        <w:tc>
          <w:tcPr>
            <w:tcW w:w="3959" w:type="dxa"/>
            <w:gridSpan w:val="2"/>
          </w:tcPr>
          <w:p w14:paraId="33AAABF0"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3. Alte informaţii</w:t>
            </w:r>
          </w:p>
        </w:tc>
        <w:tc>
          <w:tcPr>
            <w:tcW w:w="5822" w:type="dxa"/>
          </w:tcPr>
          <w:p w14:paraId="32FD09CE"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Nu au fost identificate.</w:t>
            </w:r>
          </w:p>
          <w:p w14:paraId="3592E636" w14:textId="68DAF52F" w:rsidR="004837CB" w:rsidRDefault="004837CB" w:rsidP="004837CB">
            <w:pPr>
              <w:spacing w:after="0"/>
              <w:jc w:val="both"/>
              <w:rPr>
                <w:rFonts w:ascii="Times New Roman" w:hAnsi="Times New Roman"/>
                <w:sz w:val="24"/>
                <w:szCs w:val="24"/>
              </w:rPr>
            </w:pPr>
          </w:p>
        </w:tc>
      </w:tr>
      <w:tr w:rsidR="004837CB" w14:paraId="2749592D" w14:textId="77777777">
        <w:tc>
          <w:tcPr>
            <w:tcW w:w="9781" w:type="dxa"/>
            <w:gridSpan w:val="3"/>
          </w:tcPr>
          <w:p w14:paraId="2B98FDB2" w14:textId="77777777" w:rsidR="004837CB" w:rsidRDefault="004837CB" w:rsidP="004837CB">
            <w:pPr>
              <w:spacing w:after="0"/>
              <w:jc w:val="both"/>
              <w:rPr>
                <w:rFonts w:ascii="Times New Roman" w:hAnsi="Times New Roman"/>
                <w:b/>
                <w:sz w:val="24"/>
                <w:szCs w:val="24"/>
              </w:rPr>
            </w:pPr>
            <w:r>
              <w:rPr>
                <w:rFonts w:ascii="Times New Roman" w:hAnsi="Times New Roman"/>
                <w:b/>
                <w:sz w:val="24"/>
                <w:szCs w:val="24"/>
              </w:rPr>
              <w:lastRenderedPageBreak/>
              <w:t>Secţiunea a 8-a: Măsuri de implementare</w:t>
            </w:r>
          </w:p>
        </w:tc>
      </w:tr>
      <w:tr w:rsidR="004837CB" w14:paraId="20750DD1" w14:textId="77777777">
        <w:tc>
          <w:tcPr>
            <w:tcW w:w="3959" w:type="dxa"/>
            <w:gridSpan w:val="2"/>
          </w:tcPr>
          <w:p w14:paraId="43EEE013" w14:textId="77777777" w:rsidR="004837CB" w:rsidRDefault="004837CB" w:rsidP="004837CB">
            <w:pPr>
              <w:numPr>
                <w:ilvl w:val="0"/>
                <w:numId w:val="1"/>
              </w:numPr>
              <w:tabs>
                <w:tab w:val="left" w:pos="210"/>
              </w:tabs>
              <w:spacing w:after="0"/>
              <w:ind w:left="0" w:firstLine="0"/>
              <w:jc w:val="both"/>
              <w:rPr>
                <w:rFonts w:ascii="Times New Roman" w:hAnsi="Times New Roman"/>
                <w:sz w:val="24"/>
                <w:szCs w:val="24"/>
              </w:rPr>
            </w:pPr>
            <w:r>
              <w:rPr>
                <w:rFonts w:ascii="Times New Roman" w:hAnsi="Times New Roman"/>
                <w:sz w:val="24"/>
                <w:szCs w:val="24"/>
              </w:rPr>
              <w:t>Măsurile de punere în aplicare a proiectului de act normativ de către autorităţile administraţiei publice centrale şi/sau locale, înfiinţarea de noi organisme sau extinderea competenţelor instituţiilor existente</w:t>
            </w:r>
          </w:p>
        </w:tc>
        <w:tc>
          <w:tcPr>
            <w:tcW w:w="5822" w:type="dxa"/>
          </w:tcPr>
          <w:p w14:paraId="3E1712BE"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p w14:paraId="1636D4B3" w14:textId="77777777" w:rsidR="004837CB" w:rsidRDefault="004837CB" w:rsidP="004837CB">
            <w:pPr>
              <w:spacing w:after="0"/>
              <w:jc w:val="both"/>
              <w:rPr>
                <w:rFonts w:ascii="Times New Roman" w:hAnsi="Times New Roman"/>
                <w:sz w:val="24"/>
                <w:szCs w:val="24"/>
                <w:lang w:val="pt-PT"/>
              </w:rPr>
            </w:pPr>
          </w:p>
          <w:p w14:paraId="508A8A0E" w14:textId="77777777" w:rsidR="004837CB" w:rsidRDefault="004837CB" w:rsidP="004837CB">
            <w:pPr>
              <w:spacing w:after="0"/>
              <w:jc w:val="both"/>
              <w:rPr>
                <w:rFonts w:ascii="Times New Roman" w:hAnsi="Times New Roman"/>
                <w:sz w:val="24"/>
                <w:szCs w:val="24"/>
              </w:rPr>
            </w:pPr>
          </w:p>
          <w:p w14:paraId="6DDF094F" w14:textId="77777777" w:rsidR="004837CB" w:rsidRDefault="004837CB" w:rsidP="004837CB">
            <w:pPr>
              <w:spacing w:after="0"/>
              <w:jc w:val="both"/>
              <w:rPr>
                <w:rFonts w:ascii="Times New Roman" w:hAnsi="Times New Roman"/>
                <w:sz w:val="24"/>
                <w:szCs w:val="24"/>
              </w:rPr>
            </w:pPr>
          </w:p>
        </w:tc>
      </w:tr>
      <w:tr w:rsidR="004837CB" w14:paraId="4BE3C2E2" w14:textId="77777777">
        <w:tc>
          <w:tcPr>
            <w:tcW w:w="3959" w:type="dxa"/>
            <w:gridSpan w:val="2"/>
          </w:tcPr>
          <w:p w14:paraId="459FD6FA"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2. Alte informaţii</w:t>
            </w:r>
          </w:p>
        </w:tc>
        <w:tc>
          <w:tcPr>
            <w:tcW w:w="5822" w:type="dxa"/>
          </w:tcPr>
          <w:p w14:paraId="20071CAC" w14:textId="77777777" w:rsidR="004837CB" w:rsidRDefault="004837CB" w:rsidP="004837CB">
            <w:pPr>
              <w:spacing w:after="0"/>
              <w:jc w:val="both"/>
              <w:rPr>
                <w:rFonts w:ascii="Times New Roman" w:hAnsi="Times New Roman"/>
                <w:sz w:val="24"/>
                <w:szCs w:val="24"/>
              </w:rPr>
            </w:pPr>
            <w:r>
              <w:rPr>
                <w:rFonts w:ascii="Times New Roman" w:hAnsi="Times New Roman"/>
                <w:sz w:val="24"/>
                <w:szCs w:val="24"/>
              </w:rPr>
              <w:t>Nu au fost identificate.</w:t>
            </w:r>
          </w:p>
        </w:tc>
      </w:tr>
    </w:tbl>
    <w:p w14:paraId="7BB82E1E" w14:textId="77777777" w:rsidR="00054265" w:rsidRDefault="00054265"/>
    <w:p w14:paraId="63CE22D1" w14:textId="25CBA3AF" w:rsidR="00054265" w:rsidRDefault="00054265"/>
    <w:p w14:paraId="10533669" w14:textId="635B18B5" w:rsidR="004837CB" w:rsidRDefault="004837CB"/>
    <w:p w14:paraId="38CFCB4B" w14:textId="16B6D989" w:rsidR="004837CB" w:rsidRDefault="004837CB"/>
    <w:p w14:paraId="7FC415B6" w14:textId="2081E91F" w:rsidR="004837CB" w:rsidRDefault="004837CB"/>
    <w:p w14:paraId="32D9036F" w14:textId="4A658381" w:rsidR="004837CB" w:rsidRDefault="004837CB"/>
    <w:p w14:paraId="3372BEF6" w14:textId="5414A7B3" w:rsidR="004837CB" w:rsidRDefault="004837CB"/>
    <w:p w14:paraId="3772710B" w14:textId="3C6785DE" w:rsidR="004837CB" w:rsidRDefault="004837CB"/>
    <w:p w14:paraId="6A876B70" w14:textId="6831A710" w:rsidR="004837CB" w:rsidRDefault="004837CB"/>
    <w:p w14:paraId="53E308EC" w14:textId="47DA2618" w:rsidR="004837CB" w:rsidRDefault="004837CB"/>
    <w:p w14:paraId="16F430D3" w14:textId="3101DAC8" w:rsidR="004837CB" w:rsidRDefault="004837CB"/>
    <w:p w14:paraId="2F32F31D" w14:textId="50A56BD0" w:rsidR="004837CB" w:rsidRDefault="004837CB"/>
    <w:p w14:paraId="7525E0F4" w14:textId="4933DB0A" w:rsidR="004837CB" w:rsidRDefault="004837CB"/>
    <w:p w14:paraId="6566E5C6" w14:textId="3789C049" w:rsidR="004837CB" w:rsidRDefault="004837CB"/>
    <w:p w14:paraId="3AA284D1" w14:textId="07CE06AB" w:rsidR="004837CB" w:rsidRDefault="004837CB"/>
    <w:p w14:paraId="05E27F34" w14:textId="5D36A064" w:rsidR="004837CB" w:rsidRDefault="004837CB"/>
    <w:p w14:paraId="13B40681" w14:textId="7C6A4519" w:rsidR="004837CB" w:rsidRDefault="004837CB"/>
    <w:p w14:paraId="13E9BFCE" w14:textId="096FEEB9" w:rsidR="004837CB" w:rsidRDefault="004837CB"/>
    <w:p w14:paraId="2625DB1E" w14:textId="26FA2B42" w:rsidR="004837CB" w:rsidRDefault="004837CB"/>
    <w:p w14:paraId="665A5578" w14:textId="328DDC46" w:rsidR="00E80C40" w:rsidRDefault="00E80C40"/>
    <w:p w14:paraId="074830B1" w14:textId="77809FCF" w:rsidR="00E80C40" w:rsidRDefault="00E80C40"/>
    <w:p w14:paraId="1C7FBA2B" w14:textId="6B15C1BC" w:rsidR="00E80C40" w:rsidRDefault="00E80C40"/>
    <w:p w14:paraId="3CB63964" w14:textId="35C480FA" w:rsidR="00E80C40" w:rsidRDefault="00E80C40"/>
    <w:p w14:paraId="4E94D3E1" w14:textId="77777777" w:rsidR="00E80C40" w:rsidRDefault="00E80C40"/>
    <w:p w14:paraId="4BB7F452" w14:textId="77777777" w:rsidR="004837CB" w:rsidRDefault="004837CB"/>
    <w:p w14:paraId="761A97BF" w14:textId="77777777" w:rsidR="00054265" w:rsidRDefault="005A0E08">
      <w:pPr>
        <w:pStyle w:val="Heading1"/>
        <w:spacing w:line="264" w:lineRule="auto"/>
        <w:ind w:right="34"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Având în vedere cele de mai sus, a fost elaborat proiectul de hotărâre pentru aprobarea bugetului de venituri şi cheltuieli pe anul 2021 al Fondului pentru mediu şi al Administraţiei Fondului pentru Mediu, rectificat.</w:t>
      </w:r>
    </w:p>
    <w:p w14:paraId="753C62D5" w14:textId="77777777" w:rsidR="00054265" w:rsidRDefault="00054265">
      <w:pPr>
        <w:spacing w:after="0"/>
        <w:rPr>
          <w:rFonts w:ascii="Times New Roman" w:hAnsi="Times New Roman"/>
          <w:b/>
          <w:sz w:val="24"/>
          <w:szCs w:val="24"/>
        </w:rPr>
      </w:pPr>
    </w:p>
    <w:p w14:paraId="28A88DAD" w14:textId="77777777" w:rsidR="00054265" w:rsidRDefault="00054265">
      <w:pPr>
        <w:spacing w:after="0"/>
        <w:rPr>
          <w:rFonts w:ascii="Times New Roman" w:hAnsi="Times New Roman"/>
          <w:b/>
          <w:sz w:val="24"/>
          <w:szCs w:val="24"/>
        </w:rPr>
      </w:pPr>
    </w:p>
    <w:p w14:paraId="654FE8E8" w14:textId="3EEFF701" w:rsidR="00054265" w:rsidRDefault="005A0E08">
      <w:pPr>
        <w:spacing w:after="0"/>
        <w:jc w:val="center"/>
        <w:rPr>
          <w:rFonts w:ascii="Times New Roman" w:hAnsi="Times New Roman"/>
          <w:b/>
          <w:sz w:val="24"/>
          <w:szCs w:val="24"/>
        </w:rPr>
      </w:pPr>
      <w:r>
        <w:rPr>
          <w:rFonts w:ascii="Times New Roman" w:hAnsi="Times New Roman"/>
          <w:b/>
          <w:sz w:val="24"/>
          <w:szCs w:val="24"/>
        </w:rPr>
        <w:t>MINISTRUL MEDIULUI, APELOR ȘI PĂDURILOR</w:t>
      </w:r>
    </w:p>
    <w:p w14:paraId="45A6FBED" w14:textId="77777777" w:rsidR="00054265" w:rsidRDefault="005A0E08">
      <w:pPr>
        <w:spacing w:after="0"/>
        <w:jc w:val="center"/>
        <w:rPr>
          <w:rFonts w:ascii="Times New Roman" w:hAnsi="Times New Roman"/>
          <w:b/>
          <w:sz w:val="24"/>
          <w:szCs w:val="24"/>
          <w:u w:val="single"/>
        </w:rPr>
      </w:pPr>
      <w:r>
        <w:rPr>
          <w:rFonts w:ascii="Times New Roman" w:hAnsi="Times New Roman"/>
          <w:b/>
          <w:sz w:val="24"/>
          <w:szCs w:val="24"/>
        </w:rPr>
        <w:t xml:space="preserve">TÁNCZOS Barna </w:t>
      </w:r>
    </w:p>
    <w:p w14:paraId="321B7F4D" w14:textId="77777777" w:rsidR="00054265" w:rsidRDefault="00054265">
      <w:pPr>
        <w:spacing w:after="0"/>
        <w:rPr>
          <w:rFonts w:ascii="Times New Roman" w:hAnsi="Times New Roman"/>
          <w:b/>
          <w:sz w:val="24"/>
          <w:szCs w:val="24"/>
          <w:u w:val="single"/>
        </w:rPr>
      </w:pPr>
    </w:p>
    <w:p w14:paraId="63EF7C65" w14:textId="77777777" w:rsidR="00054265" w:rsidRDefault="00054265">
      <w:pPr>
        <w:spacing w:after="0"/>
        <w:rPr>
          <w:rFonts w:ascii="Times New Roman" w:hAnsi="Times New Roman"/>
          <w:b/>
          <w:sz w:val="24"/>
          <w:szCs w:val="24"/>
          <w:u w:val="single"/>
        </w:rPr>
      </w:pPr>
    </w:p>
    <w:p w14:paraId="75841D35" w14:textId="77777777" w:rsidR="00054265" w:rsidRDefault="00054265">
      <w:pPr>
        <w:spacing w:after="0"/>
        <w:rPr>
          <w:rFonts w:ascii="Times New Roman" w:hAnsi="Times New Roman"/>
          <w:b/>
          <w:sz w:val="24"/>
          <w:szCs w:val="24"/>
          <w:u w:val="single"/>
        </w:rPr>
      </w:pPr>
    </w:p>
    <w:p w14:paraId="6AEB34AA" w14:textId="77777777" w:rsidR="001D70C6" w:rsidRDefault="001D70C6" w:rsidP="001D70C6">
      <w:pPr>
        <w:spacing w:after="0" w:line="240" w:lineRule="auto"/>
        <w:jc w:val="center"/>
        <w:rPr>
          <w:rFonts w:ascii="Times New Roman" w:hAnsi="Times New Roman"/>
          <w:b/>
          <w:sz w:val="24"/>
          <w:szCs w:val="24"/>
          <w:u w:val="single"/>
        </w:rPr>
      </w:pPr>
      <w:r>
        <w:rPr>
          <w:rFonts w:ascii="Times New Roman" w:hAnsi="Times New Roman"/>
          <w:b/>
          <w:sz w:val="24"/>
          <w:szCs w:val="24"/>
          <w:u w:val="single"/>
        </w:rPr>
        <w:t>AVIZĂM:</w:t>
      </w:r>
    </w:p>
    <w:p w14:paraId="5C5040F6" w14:textId="77777777" w:rsidR="001D70C6" w:rsidRDefault="001D70C6" w:rsidP="001D70C6">
      <w:pPr>
        <w:spacing w:after="0" w:line="240" w:lineRule="auto"/>
        <w:jc w:val="center"/>
        <w:rPr>
          <w:rFonts w:ascii="Times New Roman" w:hAnsi="Times New Roman"/>
          <w:b/>
          <w:sz w:val="24"/>
          <w:szCs w:val="24"/>
          <w:u w:val="single"/>
        </w:rPr>
      </w:pPr>
    </w:p>
    <w:p w14:paraId="0DD90A17" w14:textId="77777777" w:rsidR="001D70C6" w:rsidRDefault="001D70C6" w:rsidP="001D70C6">
      <w:pPr>
        <w:spacing w:after="0" w:line="240" w:lineRule="auto"/>
        <w:jc w:val="center"/>
        <w:rPr>
          <w:rFonts w:ascii="Times New Roman" w:hAnsi="Times New Roman"/>
          <w:b/>
          <w:sz w:val="24"/>
          <w:szCs w:val="24"/>
          <w:u w:val="single"/>
        </w:rPr>
      </w:pPr>
    </w:p>
    <w:p w14:paraId="5A64DD56" w14:textId="77777777" w:rsidR="001D70C6" w:rsidRDefault="001D70C6" w:rsidP="001D70C6">
      <w:pPr>
        <w:spacing w:after="0" w:line="360" w:lineRule="auto"/>
        <w:jc w:val="center"/>
        <w:rPr>
          <w:rFonts w:ascii="Times New Roman" w:hAnsi="Times New Roman"/>
          <w:b/>
          <w:sz w:val="24"/>
          <w:szCs w:val="24"/>
        </w:rPr>
      </w:pPr>
      <w:r>
        <w:rPr>
          <w:rFonts w:ascii="Times New Roman" w:hAnsi="Times New Roman"/>
          <w:b/>
          <w:sz w:val="24"/>
          <w:szCs w:val="24"/>
        </w:rPr>
        <w:t>V</w:t>
      </w:r>
      <w:r w:rsidRPr="00785F18">
        <w:rPr>
          <w:rFonts w:ascii="Times New Roman" w:hAnsi="Times New Roman"/>
          <w:b/>
          <w:sz w:val="24"/>
          <w:szCs w:val="24"/>
        </w:rPr>
        <w:t>ICEPRIM-MINISTRU,</w:t>
      </w:r>
    </w:p>
    <w:p w14:paraId="6A8C02EF" w14:textId="77777777" w:rsidR="001D70C6" w:rsidRDefault="001D70C6" w:rsidP="001D70C6">
      <w:pPr>
        <w:spacing w:after="0" w:line="360" w:lineRule="auto"/>
        <w:jc w:val="center"/>
        <w:rPr>
          <w:rFonts w:ascii="Times New Roman" w:hAnsi="Times New Roman"/>
          <w:b/>
          <w:sz w:val="24"/>
          <w:szCs w:val="24"/>
        </w:rPr>
      </w:pPr>
      <w:r>
        <w:rPr>
          <w:rFonts w:ascii="Times New Roman" w:hAnsi="Times New Roman"/>
          <w:b/>
          <w:sz w:val="24"/>
          <w:szCs w:val="24"/>
        </w:rPr>
        <w:t>H</w:t>
      </w:r>
      <w:r w:rsidRPr="00785F18">
        <w:rPr>
          <w:rFonts w:ascii="Times New Roman" w:hAnsi="Times New Roman"/>
          <w:b/>
          <w:sz w:val="24"/>
          <w:szCs w:val="24"/>
        </w:rPr>
        <w:t xml:space="preserve">UNOR KELEMEN </w:t>
      </w:r>
    </w:p>
    <w:p w14:paraId="18596ABC" w14:textId="77777777" w:rsidR="001D70C6" w:rsidRDefault="001D70C6" w:rsidP="001D70C6">
      <w:pPr>
        <w:spacing w:after="0" w:line="240" w:lineRule="auto"/>
        <w:jc w:val="center"/>
        <w:rPr>
          <w:rFonts w:ascii="Times New Roman" w:hAnsi="Times New Roman"/>
          <w:b/>
          <w:sz w:val="24"/>
          <w:szCs w:val="24"/>
        </w:rPr>
      </w:pPr>
    </w:p>
    <w:p w14:paraId="396074F4" w14:textId="77777777" w:rsidR="001D70C6" w:rsidRPr="00785F18" w:rsidRDefault="001D70C6" w:rsidP="001D70C6">
      <w:pPr>
        <w:spacing w:after="0" w:line="240" w:lineRule="auto"/>
        <w:jc w:val="center"/>
        <w:rPr>
          <w:rFonts w:ascii="Times New Roman" w:hAnsi="Times New Roman"/>
          <w:b/>
          <w:sz w:val="24"/>
          <w:szCs w:val="24"/>
        </w:rPr>
      </w:pPr>
    </w:p>
    <w:p w14:paraId="4473997F" w14:textId="77777777" w:rsidR="001D70C6" w:rsidRDefault="001D70C6" w:rsidP="001D70C6">
      <w:pPr>
        <w:spacing w:after="0" w:line="240" w:lineRule="auto"/>
        <w:jc w:val="center"/>
        <w:rPr>
          <w:rFonts w:ascii="Times New Roman" w:hAnsi="Times New Roman"/>
          <w:b/>
          <w:sz w:val="24"/>
          <w:szCs w:val="24"/>
          <w:u w:val="single"/>
        </w:rPr>
      </w:pPr>
    </w:p>
    <w:p w14:paraId="71DE45EB" w14:textId="6DB5B168" w:rsidR="00A278E1" w:rsidRDefault="001D70C6" w:rsidP="001D70C6">
      <w:pPr>
        <w:tabs>
          <w:tab w:val="left" w:pos="6075"/>
        </w:tabs>
        <w:spacing w:after="0" w:line="240" w:lineRule="auto"/>
        <w:rPr>
          <w:rFonts w:ascii="Times New Roman" w:hAnsi="Times New Roman"/>
          <w:b/>
          <w:sz w:val="24"/>
          <w:szCs w:val="24"/>
        </w:rPr>
      </w:pPr>
      <w:r>
        <w:rPr>
          <w:rFonts w:ascii="Times New Roman" w:hAnsi="Times New Roman"/>
          <w:b/>
          <w:sz w:val="24"/>
          <w:szCs w:val="24"/>
        </w:rPr>
        <w:t>MINISTRUL FINANŢELOR,</w:t>
      </w:r>
      <w:r w:rsidRPr="004C79F7">
        <w:rPr>
          <w:rFonts w:ascii="Times New Roman" w:hAnsi="Times New Roman"/>
          <w:b/>
          <w:sz w:val="24"/>
          <w:szCs w:val="24"/>
        </w:rPr>
        <w:t xml:space="preserve"> </w:t>
      </w:r>
      <w:r>
        <w:rPr>
          <w:rFonts w:ascii="Times New Roman" w:hAnsi="Times New Roman"/>
          <w:b/>
          <w:sz w:val="24"/>
          <w:szCs w:val="24"/>
        </w:rPr>
        <w:t xml:space="preserve">                 </w:t>
      </w:r>
      <w:r w:rsidR="00A278E1">
        <w:rPr>
          <w:rFonts w:ascii="Times New Roman" w:hAnsi="Times New Roman"/>
          <w:b/>
          <w:sz w:val="24"/>
          <w:szCs w:val="24"/>
        </w:rPr>
        <w:t xml:space="preserve">                     </w:t>
      </w:r>
      <w:r>
        <w:rPr>
          <w:rFonts w:ascii="Times New Roman" w:hAnsi="Times New Roman"/>
          <w:b/>
          <w:sz w:val="24"/>
          <w:szCs w:val="24"/>
        </w:rPr>
        <w:t>MINISTRUL</w:t>
      </w:r>
      <w:r w:rsidR="00A278E1" w:rsidRPr="00A278E1">
        <w:t xml:space="preserve"> </w:t>
      </w:r>
      <w:r w:rsidR="00A278E1" w:rsidRPr="00A278E1">
        <w:rPr>
          <w:rFonts w:ascii="Times New Roman" w:hAnsi="Times New Roman"/>
          <w:b/>
          <w:sz w:val="24"/>
          <w:szCs w:val="24"/>
        </w:rPr>
        <w:t xml:space="preserve">MUNCII ŞI </w:t>
      </w:r>
    </w:p>
    <w:p w14:paraId="0BF229D0" w14:textId="61666329" w:rsidR="001D70C6" w:rsidRDefault="00A278E1" w:rsidP="001D70C6">
      <w:pPr>
        <w:tabs>
          <w:tab w:val="left" w:pos="6075"/>
        </w:tabs>
        <w:spacing w:after="0" w:line="240" w:lineRule="auto"/>
        <w:rPr>
          <w:rFonts w:ascii="Times New Roman" w:hAnsi="Times New Roman"/>
          <w:b/>
          <w:sz w:val="24"/>
          <w:szCs w:val="24"/>
          <w:u w:val="single"/>
        </w:rPr>
      </w:pPr>
      <w:r>
        <w:rPr>
          <w:rFonts w:ascii="Times New Roman" w:hAnsi="Times New Roman"/>
          <w:b/>
          <w:sz w:val="24"/>
          <w:szCs w:val="24"/>
        </w:rPr>
        <w:t xml:space="preserve">                                                                                         </w:t>
      </w:r>
      <w:r w:rsidRPr="00A278E1">
        <w:rPr>
          <w:rFonts w:ascii="Times New Roman" w:hAnsi="Times New Roman"/>
          <w:b/>
          <w:sz w:val="24"/>
          <w:szCs w:val="24"/>
        </w:rPr>
        <w:t>SOLIDARITĂŢII SOCIALE</w:t>
      </w:r>
      <w:r>
        <w:rPr>
          <w:rFonts w:ascii="Times New Roman" w:hAnsi="Times New Roman"/>
          <w:b/>
          <w:sz w:val="24"/>
          <w:szCs w:val="24"/>
        </w:rPr>
        <w:t xml:space="preserve"> </w:t>
      </w:r>
      <w:r w:rsidR="001D70C6">
        <w:rPr>
          <w:rFonts w:ascii="Times New Roman" w:hAnsi="Times New Roman"/>
          <w:b/>
          <w:sz w:val="24"/>
          <w:szCs w:val="24"/>
        </w:rPr>
        <w:t>,</w:t>
      </w:r>
    </w:p>
    <w:p w14:paraId="643AC96E" w14:textId="77777777" w:rsidR="001D70C6" w:rsidRDefault="001D70C6" w:rsidP="001D70C6">
      <w:pPr>
        <w:tabs>
          <w:tab w:val="left" w:pos="6075"/>
        </w:tabs>
        <w:spacing w:after="0" w:line="240" w:lineRule="auto"/>
        <w:rPr>
          <w:rFonts w:ascii="Times New Roman" w:hAnsi="Times New Roman"/>
          <w:b/>
          <w:sz w:val="24"/>
          <w:szCs w:val="24"/>
        </w:rPr>
      </w:pPr>
    </w:p>
    <w:p w14:paraId="3E4E7BFE" w14:textId="519B0A5A" w:rsidR="001D70C6" w:rsidRDefault="001D70C6" w:rsidP="001D70C6">
      <w:pPr>
        <w:tabs>
          <w:tab w:val="left" w:pos="6075"/>
        </w:tabs>
        <w:spacing w:after="0" w:line="240" w:lineRule="auto"/>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b/>
          <w:bCs/>
          <w:sz w:val="24"/>
          <w:szCs w:val="24"/>
        </w:rPr>
        <w:t xml:space="preserve">ADRIAN CÂCIU                                               </w:t>
      </w:r>
      <w:r w:rsidR="00A278E1" w:rsidRPr="00A278E1">
        <w:rPr>
          <w:rFonts w:ascii="Times New Roman" w:hAnsi="Times New Roman"/>
          <w:b/>
          <w:sz w:val="24"/>
          <w:szCs w:val="24"/>
        </w:rPr>
        <w:t>MARIUS-CONSTANTIN BUDĂI</w:t>
      </w:r>
    </w:p>
    <w:p w14:paraId="63F7A2DA" w14:textId="77777777" w:rsidR="001D70C6" w:rsidRDefault="001D70C6" w:rsidP="001D70C6">
      <w:pPr>
        <w:spacing w:after="0" w:line="240" w:lineRule="auto"/>
        <w:jc w:val="both"/>
        <w:rPr>
          <w:rFonts w:ascii="Times New Roman" w:hAnsi="Times New Roman"/>
          <w:b/>
          <w:sz w:val="24"/>
          <w:szCs w:val="24"/>
        </w:rPr>
      </w:pPr>
      <w:r>
        <w:rPr>
          <w:rFonts w:ascii="Times New Roman" w:hAnsi="Times New Roman"/>
          <w:b/>
          <w:bCs/>
          <w:sz w:val="24"/>
          <w:szCs w:val="24"/>
        </w:rPr>
        <w:tab/>
        <w:t xml:space="preserve">            </w:t>
      </w:r>
    </w:p>
    <w:p w14:paraId="7421D133" w14:textId="77777777" w:rsidR="00054265" w:rsidRDefault="00054265">
      <w:pPr>
        <w:spacing w:after="0" w:line="240" w:lineRule="auto"/>
        <w:ind w:right="36"/>
        <w:jc w:val="center"/>
        <w:rPr>
          <w:rFonts w:ascii="Times New Roman" w:hAnsi="Times New Roman"/>
          <w:b/>
        </w:rPr>
      </w:pPr>
    </w:p>
    <w:p w14:paraId="506391F4" w14:textId="77777777" w:rsidR="00054265" w:rsidRDefault="00054265">
      <w:pPr>
        <w:spacing w:after="0" w:line="240" w:lineRule="auto"/>
        <w:ind w:right="36"/>
        <w:rPr>
          <w:rFonts w:ascii="Times New Roman" w:hAnsi="Times New Roman"/>
          <w:b/>
          <w:sz w:val="24"/>
          <w:szCs w:val="24"/>
          <w:lang w:val="it-IT"/>
        </w:rPr>
      </w:pPr>
    </w:p>
    <w:p w14:paraId="16E3245F" w14:textId="77777777" w:rsidR="00054265" w:rsidRDefault="00054265">
      <w:pPr>
        <w:spacing w:after="0" w:line="240" w:lineRule="auto"/>
        <w:ind w:right="36"/>
        <w:rPr>
          <w:rFonts w:ascii="Times New Roman" w:hAnsi="Times New Roman"/>
          <w:b/>
          <w:sz w:val="24"/>
          <w:szCs w:val="24"/>
          <w:lang w:val="it-IT"/>
        </w:rPr>
      </w:pPr>
    </w:p>
    <w:p w14:paraId="22F7051D" w14:textId="77777777" w:rsidR="00054265" w:rsidRDefault="00054265">
      <w:pPr>
        <w:spacing w:after="0" w:line="240" w:lineRule="auto"/>
        <w:ind w:right="36"/>
        <w:rPr>
          <w:rFonts w:ascii="Times New Roman" w:hAnsi="Times New Roman"/>
          <w:b/>
          <w:sz w:val="24"/>
          <w:szCs w:val="24"/>
          <w:lang w:val="it-IT"/>
        </w:rPr>
      </w:pPr>
    </w:p>
    <w:p w14:paraId="798BF0A4" w14:textId="165A775F" w:rsidR="00054265" w:rsidRDefault="00054265">
      <w:pPr>
        <w:tabs>
          <w:tab w:val="left" w:pos="0"/>
        </w:tabs>
        <w:spacing w:after="0" w:line="240" w:lineRule="auto"/>
        <w:jc w:val="both"/>
        <w:rPr>
          <w:rFonts w:ascii="Times New Roman" w:eastAsia="Times New Roman" w:hAnsi="Times New Roman"/>
          <w:sz w:val="24"/>
          <w:szCs w:val="24"/>
        </w:rPr>
      </w:pPr>
    </w:p>
    <w:p w14:paraId="27A24224" w14:textId="16D035A0" w:rsidR="00B32567" w:rsidRDefault="00B32567">
      <w:pPr>
        <w:tabs>
          <w:tab w:val="left" w:pos="0"/>
        </w:tabs>
        <w:spacing w:after="0" w:line="240" w:lineRule="auto"/>
        <w:jc w:val="both"/>
        <w:rPr>
          <w:rFonts w:ascii="Times New Roman" w:eastAsia="Times New Roman" w:hAnsi="Times New Roman"/>
          <w:sz w:val="24"/>
          <w:szCs w:val="24"/>
        </w:rPr>
      </w:pPr>
    </w:p>
    <w:p w14:paraId="4CA5E6BC" w14:textId="13918933" w:rsidR="00B32567" w:rsidRDefault="00B32567">
      <w:pPr>
        <w:tabs>
          <w:tab w:val="left" w:pos="0"/>
        </w:tabs>
        <w:spacing w:after="0" w:line="240" w:lineRule="auto"/>
        <w:jc w:val="both"/>
        <w:rPr>
          <w:rFonts w:ascii="Times New Roman" w:eastAsia="Times New Roman" w:hAnsi="Times New Roman"/>
          <w:sz w:val="24"/>
          <w:szCs w:val="24"/>
        </w:rPr>
      </w:pPr>
    </w:p>
    <w:p w14:paraId="51492744" w14:textId="7E744F50" w:rsidR="00B32567" w:rsidRDefault="00B32567">
      <w:pPr>
        <w:tabs>
          <w:tab w:val="left" w:pos="0"/>
        </w:tabs>
        <w:spacing w:after="0" w:line="240" w:lineRule="auto"/>
        <w:jc w:val="both"/>
        <w:rPr>
          <w:rFonts w:ascii="Times New Roman" w:eastAsia="Times New Roman" w:hAnsi="Times New Roman"/>
          <w:sz w:val="24"/>
          <w:szCs w:val="24"/>
        </w:rPr>
      </w:pPr>
    </w:p>
    <w:p w14:paraId="4F13BAAE" w14:textId="42ED808C" w:rsidR="00B32567" w:rsidRDefault="00B32567">
      <w:pPr>
        <w:tabs>
          <w:tab w:val="left" w:pos="0"/>
        </w:tabs>
        <w:spacing w:after="0" w:line="240" w:lineRule="auto"/>
        <w:jc w:val="both"/>
        <w:rPr>
          <w:rFonts w:ascii="Times New Roman" w:eastAsia="Times New Roman" w:hAnsi="Times New Roman"/>
          <w:sz w:val="24"/>
          <w:szCs w:val="24"/>
        </w:rPr>
      </w:pPr>
    </w:p>
    <w:p w14:paraId="2C6964CF" w14:textId="624D2CE4" w:rsidR="00B32567" w:rsidRDefault="00B32567">
      <w:pPr>
        <w:tabs>
          <w:tab w:val="left" w:pos="0"/>
        </w:tabs>
        <w:spacing w:after="0" w:line="240" w:lineRule="auto"/>
        <w:jc w:val="both"/>
        <w:rPr>
          <w:rFonts w:ascii="Times New Roman" w:eastAsia="Times New Roman" w:hAnsi="Times New Roman"/>
          <w:sz w:val="24"/>
          <w:szCs w:val="24"/>
        </w:rPr>
      </w:pPr>
    </w:p>
    <w:p w14:paraId="45C022E9" w14:textId="6B24BC89" w:rsidR="00B32567" w:rsidRDefault="00B32567">
      <w:pPr>
        <w:tabs>
          <w:tab w:val="left" w:pos="0"/>
        </w:tabs>
        <w:spacing w:after="0" w:line="240" w:lineRule="auto"/>
        <w:jc w:val="both"/>
        <w:rPr>
          <w:rFonts w:ascii="Times New Roman" w:eastAsia="Times New Roman" w:hAnsi="Times New Roman"/>
          <w:sz w:val="24"/>
          <w:szCs w:val="24"/>
        </w:rPr>
      </w:pPr>
    </w:p>
    <w:p w14:paraId="7B61D04C" w14:textId="7280EF9D" w:rsidR="004837CB" w:rsidRDefault="004837CB">
      <w:pPr>
        <w:tabs>
          <w:tab w:val="left" w:pos="0"/>
        </w:tabs>
        <w:spacing w:after="0" w:line="240" w:lineRule="auto"/>
        <w:jc w:val="both"/>
        <w:rPr>
          <w:rFonts w:ascii="Times New Roman" w:eastAsia="Times New Roman" w:hAnsi="Times New Roman"/>
          <w:sz w:val="24"/>
          <w:szCs w:val="24"/>
        </w:rPr>
      </w:pPr>
    </w:p>
    <w:p w14:paraId="57754B8D" w14:textId="49E04141" w:rsidR="004837CB" w:rsidRDefault="004837CB">
      <w:pPr>
        <w:tabs>
          <w:tab w:val="left" w:pos="0"/>
        </w:tabs>
        <w:spacing w:after="0" w:line="240" w:lineRule="auto"/>
        <w:jc w:val="both"/>
        <w:rPr>
          <w:rFonts w:ascii="Times New Roman" w:eastAsia="Times New Roman" w:hAnsi="Times New Roman"/>
          <w:sz w:val="24"/>
          <w:szCs w:val="24"/>
        </w:rPr>
      </w:pPr>
    </w:p>
    <w:p w14:paraId="3B343D12" w14:textId="5E17A8F0" w:rsidR="004837CB" w:rsidRDefault="004837CB">
      <w:pPr>
        <w:tabs>
          <w:tab w:val="left" w:pos="0"/>
        </w:tabs>
        <w:spacing w:after="0" w:line="240" w:lineRule="auto"/>
        <w:jc w:val="both"/>
        <w:rPr>
          <w:rFonts w:ascii="Times New Roman" w:eastAsia="Times New Roman" w:hAnsi="Times New Roman"/>
          <w:sz w:val="24"/>
          <w:szCs w:val="24"/>
        </w:rPr>
      </w:pPr>
    </w:p>
    <w:p w14:paraId="4CB8F161" w14:textId="6E10E92E" w:rsidR="004837CB" w:rsidRDefault="004837CB">
      <w:pPr>
        <w:tabs>
          <w:tab w:val="left" w:pos="0"/>
        </w:tabs>
        <w:spacing w:after="0" w:line="240" w:lineRule="auto"/>
        <w:jc w:val="both"/>
        <w:rPr>
          <w:rFonts w:ascii="Times New Roman" w:eastAsia="Times New Roman" w:hAnsi="Times New Roman"/>
          <w:sz w:val="24"/>
          <w:szCs w:val="24"/>
        </w:rPr>
      </w:pPr>
    </w:p>
    <w:p w14:paraId="19CE8CD7" w14:textId="77777777" w:rsidR="004837CB" w:rsidRDefault="004837CB">
      <w:pPr>
        <w:tabs>
          <w:tab w:val="left" w:pos="0"/>
        </w:tabs>
        <w:spacing w:after="0" w:line="240" w:lineRule="auto"/>
        <w:jc w:val="both"/>
        <w:rPr>
          <w:rFonts w:ascii="Times New Roman" w:eastAsia="Times New Roman" w:hAnsi="Times New Roman"/>
          <w:sz w:val="24"/>
          <w:szCs w:val="24"/>
        </w:rPr>
      </w:pPr>
    </w:p>
    <w:p w14:paraId="0C5B5A2C" w14:textId="279F03C2" w:rsidR="00B32567" w:rsidRDefault="00B32567">
      <w:pPr>
        <w:tabs>
          <w:tab w:val="left" w:pos="0"/>
        </w:tabs>
        <w:spacing w:after="0" w:line="240" w:lineRule="auto"/>
        <w:jc w:val="both"/>
        <w:rPr>
          <w:rFonts w:ascii="Times New Roman" w:eastAsia="Times New Roman" w:hAnsi="Times New Roman"/>
          <w:sz w:val="24"/>
          <w:szCs w:val="24"/>
        </w:rPr>
      </w:pPr>
    </w:p>
    <w:p w14:paraId="1A5FDEAE" w14:textId="77777777" w:rsidR="00B32567" w:rsidRDefault="00B32567">
      <w:pPr>
        <w:tabs>
          <w:tab w:val="left" w:pos="0"/>
        </w:tabs>
        <w:spacing w:after="0" w:line="240" w:lineRule="auto"/>
        <w:jc w:val="both"/>
        <w:rPr>
          <w:rFonts w:ascii="Times New Roman" w:eastAsia="Times New Roman" w:hAnsi="Times New Roman"/>
          <w:sz w:val="24"/>
          <w:szCs w:val="24"/>
        </w:rPr>
      </w:pPr>
    </w:p>
    <w:p w14:paraId="089BABE2" w14:textId="43E90BB7" w:rsidR="00054265" w:rsidRDefault="00054265">
      <w:pPr>
        <w:tabs>
          <w:tab w:val="left" w:pos="0"/>
        </w:tabs>
        <w:spacing w:after="0" w:line="240" w:lineRule="auto"/>
        <w:jc w:val="both"/>
        <w:rPr>
          <w:rFonts w:ascii="Times New Roman" w:eastAsia="Times New Roman" w:hAnsi="Times New Roman"/>
          <w:sz w:val="24"/>
          <w:szCs w:val="24"/>
        </w:rPr>
      </w:pPr>
    </w:p>
    <w:p w14:paraId="5E735055" w14:textId="08DDB974" w:rsidR="00A278E1" w:rsidRDefault="00A278E1">
      <w:pPr>
        <w:tabs>
          <w:tab w:val="left" w:pos="0"/>
        </w:tabs>
        <w:spacing w:after="0" w:line="240" w:lineRule="auto"/>
        <w:jc w:val="both"/>
        <w:rPr>
          <w:rFonts w:ascii="Times New Roman" w:eastAsia="Times New Roman" w:hAnsi="Times New Roman"/>
          <w:sz w:val="24"/>
          <w:szCs w:val="24"/>
        </w:rPr>
      </w:pPr>
    </w:p>
    <w:p w14:paraId="3D20522F" w14:textId="1BFDB403" w:rsidR="00A278E1" w:rsidRDefault="00A278E1">
      <w:pPr>
        <w:tabs>
          <w:tab w:val="left" w:pos="0"/>
        </w:tabs>
        <w:spacing w:after="0" w:line="240" w:lineRule="auto"/>
        <w:jc w:val="both"/>
        <w:rPr>
          <w:rFonts w:ascii="Times New Roman" w:eastAsia="Times New Roman" w:hAnsi="Times New Roman"/>
          <w:sz w:val="24"/>
          <w:szCs w:val="24"/>
        </w:rPr>
      </w:pPr>
    </w:p>
    <w:p w14:paraId="6EEF8FE2" w14:textId="776FC52A" w:rsidR="00A278E1" w:rsidRDefault="00A278E1">
      <w:pPr>
        <w:tabs>
          <w:tab w:val="left" w:pos="0"/>
        </w:tabs>
        <w:spacing w:after="0" w:line="240" w:lineRule="auto"/>
        <w:jc w:val="both"/>
        <w:rPr>
          <w:rFonts w:ascii="Times New Roman" w:eastAsia="Times New Roman" w:hAnsi="Times New Roman"/>
          <w:sz w:val="24"/>
          <w:szCs w:val="24"/>
        </w:rPr>
      </w:pPr>
    </w:p>
    <w:p w14:paraId="15EBC409" w14:textId="10CC56C7" w:rsidR="00A278E1" w:rsidRDefault="00A278E1">
      <w:pPr>
        <w:tabs>
          <w:tab w:val="left" w:pos="0"/>
        </w:tabs>
        <w:spacing w:after="0" w:line="240" w:lineRule="auto"/>
        <w:jc w:val="both"/>
        <w:rPr>
          <w:rFonts w:ascii="Times New Roman" w:eastAsia="Times New Roman" w:hAnsi="Times New Roman"/>
          <w:sz w:val="24"/>
          <w:szCs w:val="24"/>
        </w:rPr>
      </w:pPr>
    </w:p>
    <w:p w14:paraId="0A29CB0A" w14:textId="005F01B3" w:rsidR="00A278E1" w:rsidRDefault="00A278E1">
      <w:pPr>
        <w:tabs>
          <w:tab w:val="left" w:pos="0"/>
        </w:tabs>
        <w:spacing w:after="0" w:line="240" w:lineRule="auto"/>
        <w:jc w:val="both"/>
        <w:rPr>
          <w:rFonts w:ascii="Times New Roman" w:eastAsia="Times New Roman" w:hAnsi="Times New Roman"/>
          <w:sz w:val="24"/>
          <w:szCs w:val="24"/>
        </w:rPr>
      </w:pPr>
    </w:p>
    <w:p w14:paraId="57D0D2F1" w14:textId="77777777" w:rsidR="00A278E1" w:rsidRDefault="00A278E1">
      <w:pPr>
        <w:tabs>
          <w:tab w:val="left" w:pos="0"/>
        </w:tabs>
        <w:spacing w:after="0" w:line="240" w:lineRule="auto"/>
        <w:jc w:val="both"/>
        <w:rPr>
          <w:rFonts w:ascii="Times New Roman" w:eastAsia="Times New Roman" w:hAnsi="Times New Roman"/>
          <w:sz w:val="24"/>
          <w:szCs w:val="24"/>
        </w:rPr>
      </w:pPr>
    </w:p>
    <w:p w14:paraId="571DAA95" w14:textId="77777777" w:rsidR="00054265" w:rsidRDefault="00054265">
      <w:pPr>
        <w:tabs>
          <w:tab w:val="left" w:pos="0"/>
        </w:tabs>
        <w:spacing w:after="0" w:line="240" w:lineRule="auto"/>
        <w:rPr>
          <w:rFonts w:ascii="Times New Roman" w:eastAsia="Times New Roman" w:hAnsi="Times New Roman"/>
          <w:b/>
          <w:sz w:val="24"/>
          <w:szCs w:val="24"/>
        </w:rPr>
      </w:pPr>
    </w:p>
    <w:p w14:paraId="2825F9C9" w14:textId="77777777" w:rsidR="00054265" w:rsidRDefault="005A0E08">
      <w:pPr>
        <w:tabs>
          <w:tab w:val="left" w:pos="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SECRETAR GENERAL</w:t>
      </w:r>
    </w:p>
    <w:p w14:paraId="53EC5DD3" w14:textId="77777777" w:rsidR="00054265" w:rsidRDefault="005A0E08">
      <w:pPr>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Corvin NEDELCU</w:t>
      </w:r>
    </w:p>
    <w:p w14:paraId="2DD83E45" w14:textId="23FDC2CA" w:rsidR="00054265" w:rsidRDefault="00054265">
      <w:pPr>
        <w:tabs>
          <w:tab w:val="left" w:pos="0"/>
        </w:tabs>
        <w:spacing w:after="0" w:line="240" w:lineRule="auto"/>
        <w:rPr>
          <w:rFonts w:ascii="Times New Roman" w:eastAsia="Times New Roman" w:hAnsi="Times New Roman"/>
          <w:sz w:val="24"/>
          <w:szCs w:val="24"/>
        </w:rPr>
      </w:pPr>
    </w:p>
    <w:p w14:paraId="59267914" w14:textId="77777777" w:rsidR="004837CB" w:rsidRDefault="004837CB">
      <w:pPr>
        <w:tabs>
          <w:tab w:val="left" w:pos="0"/>
        </w:tabs>
        <w:spacing w:after="0" w:line="240" w:lineRule="auto"/>
        <w:rPr>
          <w:rFonts w:ascii="Times New Roman" w:eastAsia="Times New Roman" w:hAnsi="Times New Roman"/>
          <w:sz w:val="24"/>
          <w:szCs w:val="24"/>
        </w:rPr>
      </w:pPr>
    </w:p>
    <w:p w14:paraId="5BD9B601" w14:textId="77777777" w:rsidR="00054265" w:rsidRDefault="00054265">
      <w:pPr>
        <w:tabs>
          <w:tab w:val="left" w:pos="0"/>
        </w:tabs>
        <w:spacing w:after="0" w:line="240" w:lineRule="auto"/>
        <w:rPr>
          <w:rFonts w:ascii="Times New Roman" w:eastAsia="Times New Roman" w:hAnsi="Times New Roman"/>
          <w:sz w:val="24"/>
          <w:szCs w:val="24"/>
        </w:rPr>
      </w:pPr>
    </w:p>
    <w:p w14:paraId="4A283581" w14:textId="77777777" w:rsidR="00054265" w:rsidRDefault="005A0E08">
      <w:pPr>
        <w:tabs>
          <w:tab w:val="left" w:pos="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SECRETAR GENERAL ADJUNCT</w:t>
      </w:r>
    </w:p>
    <w:p w14:paraId="03997A59" w14:textId="77777777" w:rsidR="00054265" w:rsidRDefault="005A0E08">
      <w:pPr>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Teodor DULCEAŢĂ</w:t>
      </w:r>
    </w:p>
    <w:p w14:paraId="31F74BB3" w14:textId="33FFC8DC" w:rsidR="00054265" w:rsidRDefault="00054265">
      <w:pPr>
        <w:tabs>
          <w:tab w:val="left" w:pos="0"/>
        </w:tabs>
        <w:spacing w:after="0" w:line="240" w:lineRule="auto"/>
        <w:rPr>
          <w:rFonts w:ascii="Times New Roman" w:eastAsia="Times New Roman" w:hAnsi="Times New Roman"/>
          <w:sz w:val="24"/>
          <w:szCs w:val="24"/>
        </w:rPr>
      </w:pPr>
    </w:p>
    <w:p w14:paraId="76C97C88" w14:textId="77777777" w:rsidR="004837CB" w:rsidRDefault="004837CB">
      <w:pPr>
        <w:tabs>
          <w:tab w:val="left" w:pos="0"/>
        </w:tabs>
        <w:spacing w:after="0" w:line="240" w:lineRule="auto"/>
        <w:rPr>
          <w:rFonts w:ascii="Times New Roman" w:eastAsia="Times New Roman" w:hAnsi="Times New Roman"/>
          <w:sz w:val="24"/>
          <w:szCs w:val="24"/>
        </w:rPr>
      </w:pPr>
    </w:p>
    <w:p w14:paraId="771FE1AC" w14:textId="77777777" w:rsidR="00054265" w:rsidRDefault="00054265">
      <w:pPr>
        <w:tabs>
          <w:tab w:val="left" w:pos="0"/>
        </w:tabs>
        <w:spacing w:after="0" w:line="240" w:lineRule="auto"/>
        <w:rPr>
          <w:rFonts w:ascii="Times New Roman" w:eastAsia="Times New Roman" w:hAnsi="Times New Roman"/>
          <w:b/>
          <w:sz w:val="24"/>
          <w:szCs w:val="24"/>
        </w:rPr>
      </w:pPr>
    </w:p>
    <w:p w14:paraId="1D2186E9" w14:textId="77777777" w:rsidR="00054265" w:rsidRDefault="005A0E08">
      <w:pPr>
        <w:tabs>
          <w:tab w:val="left" w:pos="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DIRECŢIA JURIDICĂ </w:t>
      </w:r>
    </w:p>
    <w:p w14:paraId="2A416333" w14:textId="77777777" w:rsidR="00054265" w:rsidRDefault="005A0E08">
      <w:pPr>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Director,</w:t>
      </w:r>
    </w:p>
    <w:p w14:paraId="29876B1A" w14:textId="77777777" w:rsidR="00054265" w:rsidRDefault="005A0E08">
      <w:pPr>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Cristian ALEXE</w:t>
      </w:r>
    </w:p>
    <w:p w14:paraId="4B249A8A" w14:textId="2ABB5ABA" w:rsidR="00054265" w:rsidRDefault="00054265">
      <w:pPr>
        <w:tabs>
          <w:tab w:val="left" w:pos="0"/>
        </w:tabs>
        <w:spacing w:after="0" w:line="240" w:lineRule="auto"/>
        <w:rPr>
          <w:rFonts w:ascii="Times New Roman" w:eastAsia="Times New Roman" w:hAnsi="Times New Roman"/>
          <w:sz w:val="24"/>
          <w:szCs w:val="24"/>
        </w:rPr>
      </w:pPr>
    </w:p>
    <w:p w14:paraId="70946C02" w14:textId="77777777" w:rsidR="004837CB" w:rsidRDefault="004837CB">
      <w:pPr>
        <w:tabs>
          <w:tab w:val="left" w:pos="0"/>
        </w:tabs>
        <w:spacing w:after="0" w:line="240" w:lineRule="auto"/>
        <w:rPr>
          <w:rFonts w:ascii="Times New Roman" w:eastAsia="Times New Roman" w:hAnsi="Times New Roman"/>
          <w:sz w:val="24"/>
          <w:szCs w:val="24"/>
        </w:rPr>
      </w:pPr>
    </w:p>
    <w:p w14:paraId="56496EA8" w14:textId="77777777" w:rsidR="00054265" w:rsidRDefault="00054265">
      <w:pPr>
        <w:tabs>
          <w:tab w:val="left" w:pos="0"/>
        </w:tabs>
        <w:spacing w:after="0" w:line="240" w:lineRule="auto"/>
        <w:rPr>
          <w:rFonts w:ascii="Times New Roman" w:eastAsia="Times New Roman" w:hAnsi="Times New Roman"/>
          <w:b/>
          <w:sz w:val="24"/>
          <w:szCs w:val="24"/>
        </w:rPr>
      </w:pPr>
    </w:p>
    <w:p w14:paraId="5A270AA8" w14:textId="77777777" w:rsidR="00054265" w:rsidRDefault="005A0E08">
      <w:pPr>
        <w:tabs>
          <w:tab w:val="left" w:pos="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DIRECŢIA ECONOMICO-FINANCIARĂ</w:t>
      </w:r>
    </w:p>
    <w:p w14:paraId="26D0B0E4" w14:textId="77777777" w:rsidR="00054265" w:rsidRDefault="005A0E08">
      <w:pPr>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Director,</w:t>
      </w:r>
    </w:p>
    <w:p w14:paraId="2F1ED6D9" w14:textId="77777777" w:rsidR="00054265" w:rsidRDefault="005A0E08">
      <w:pPr>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Dinu NICOLESCU</w:t>
      </w:r>
    </w:p>
    <w:p w14:paraId="4D250944" w14:textId="09006BC9" w:rsidR="00054265" w:rsidRDefault="00054265">
      <w:pPr>
        <w:tabs>
          <w:tab w:val="left" w:pos="0"/>
        </w:tabs>
        <w:spacing w:after="0" w:line="240" w:lineRule="auto"/>
        <w:rPr>
          <w:rFonts w:ascii="Times New Roman" w:eastAsia="Times New Roman" w:hAnsi="Times New Roman"/>
          <w:sz w:val="24"/>
          <w:szCs w:val="24"/>
        </w:rPr>
      </w:pPr>
    </w:p>
    <w:p w14:paraId="7033B696" w14:textId="77777777" w:rsidR="004837CB" w:rsidRDefault="004837CB">
      <w:pPr>
        <w:tabs>
          <w:tab w:val="left" w:pos="0"/>
        </w:tabs>
        <w:spacing w:after="0" w:line="240" w:lineRule="auto"/>
        <w:rPr>
          <w:rFonts w:ascii="Times New Roman" w:eastAsia="Times New Roman" w:hAnsi="Times New Roman"/>
          <w:sz w:val="24"/>
          <w:szCs w:val="24"/>
        </w:rPr>
      </w:pPr>
    </w:p>
    <w:p w14:paraId="20E145A7" w14:textId="77777777" w:rsidR="00054265" w:rsidRDefault="00054265">
      <w:pPr>
        <w:tabs>
          <w:tab w:val="left" w:pos="0"/>
        </w:tabs>
        <w:spacing w:after="0" w:line="240" w:lineRule="auto"/>
        <w:rPr>
          <w:rFonts w:ascii="Times New Roman" w:eastAsia="Times New Roman" w:hAnsi="Times New Roman"/>
          <w:sz w:val="24"/>
          <w:szCs w:val="24"/>
        </w:rPr>
      </w:pPr>
    </w:p>
    <w:p w14:paraId="7D39EA3C" w14:textId="77777777" w:rsidR="00054265" w:rsidRDefault="005A0E08">
      <w:pPr>
        <w:tabs>
          <w:tab w:val="left" w:pos="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DIRECȚIA EVALUARE IMPACT ȘI CONTROLUL POLUĂRII</w:t>
      </w:r>
    </w:p>
    <w:p w14:paraId="31DC0672" w14:textId="77777777" w:rsidR="00054265" w:rsidRDefault="005A0E08">
      <w:pPr>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Director,</w:t>
      </w:r>
    </w:p>
    <w:p w14:paraId="60F006A0" w14:textId="77777777" w:rsidR="00054265" w:rsidRDefault="005A0E08">
      <w:pPr>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Dorina MOCANU</w:t>
      </w:r>
    </w:p>
    <w:p w14:paraId="733AFF57" w14:textId="0AF09E05" w:rsidR="00054265" w:rsidRDefault="00054265">
      <w:pPr>
        <w:tabs>
          <w:tab w:val="left" w:pos="0"/>
        </w:tabs>
        <w:spacing w:after="0" w:line="240" w:lineRule="auto"/>
        <w:rPr>
          <w:rFonts w:ascii="Times New Roman" w:eastAsia="Times New Roman" w:hAnsi="Times New Roman"/>
          <w:sz w:val="24"/>
          <w:szCs w:val="24"/>
        </w:rPr>
      </w:pPr>
    </w:p>
    <w:p w14:paraId="4BEACD4E" w14:textId="77777777" w:rsidR="004837CB" w:rsidRDefault="004837CB">
      <w:pPr>
        <w:tabs>
          <w:tab w:val="left" w:pos="0"/>
        </w:tabs>
        <w:spacing w:after="0" w:line="240" w:lineRule="auto"/>
        <w:rPr>
          <w:rFonts w:ascii="Times New Roman" w:eastAsia="Times New Roman" w:hAnsi="Times New Roman"/>
          <w:sz w:val="24"/>
          <w:szCs w:val="24"/>
        </w:rPr>
      </w:pPr>
    </w:p>
    <w:p w14:paraId="396296EE" w14:textId="77777777" w:rsidR="00054265" w:rsidRDefault="00054265">
      <w:pPr>
        <w:tabs>
          <w:tab w:val="left" w:pos="0"/>
        </w:tabs>
        <w:spacing w:after="0" w:line="240" w:lineRule="auto"/>
        <w:rPr>
          <w:rFonts w:ascii="Times New Roman" w:eastAsia="Times New Roman" w:hAnsi="Times New Roman"/>
          <w:sz w:val="24"/>
          <w:szCs w:val="24"/>
        </w:rPr>
      </w:pPr>
    </w:p>
    <w:p w14:paraId="1644F8B6" w14:textId="77777777" w:rsidR="00054265" w:rsidRDefault="005A0E08">
      <w:pPr>
        <w:tabs>
          <w:tab w:val="left" w:pos="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DIRECŢIA GESTIONAREA DEŞEURILOR</w:t>
      </w:r>
    </w:p>
    <w:p w14:paraId="6F062632" w14:textId="77777777" w:rsidR="00054265" w:rsidRDefault="005A0E08">
      <w:pPr>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Director,</w:t>
      </w:r>
    </w:p>
    <w:p w14:paraId="59F44253" w14:textId="77777777" w:rsidR="00054265" w:rsidRDefault="005A0E08">
      <w:pPr>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Cosmin TEODORU</w:t>
      </w:r>
    </w:p>
    <w:p w14:paraId="0AA1553A" w14:textId="09D2F89D" w:rsidR="00054265" w:rsidRDefault="00054265">
      <w:pPr>
        <w:tabs>
          <w:tab w:val="left" w:pos="0"/>
        </w:tabs>
        <w:spacing w:after="0" w:line="240" w:lineRule="auto"/>
        <w:rPr>
          <w:rFonts w:ascii="Times New Roman" w:eastAsia="Times New Roman" w:hAnsi="Times New Roman"/>
          <w:sz w:val="24"/>
          <w:szCs w:val="24"/>
        </w:rPr>
      </w:pPr>
    </w:p>
    <w:p w14:paraId="7D985940" w14:textId="77777777" w:rsidR="004837CB" w:rsidRDefault="004837CB">
      <w:pPr>
        <w:tabs>
          <w:tab w:val="left" w:pos="0"/>
        </w:tabs>
        <w:spacing w:after="0" w:line="240" w:lineRule="auto"/>
        <w:rPr>
          <w:rFonts w:ascii="Times New Roman" w:eastAsia="Times New Roman" w:hAnsi="Times New Roman"/>
          <w:sz w:val="24"/>
          <w:szCs w:val="24"/>
        </w:rPr>
      </w:pPr>
    </w:p>
    <w:p w14:paraId="6A4F5B33" w14:textId="77777777" w:rsidR="00054265" w:rsidRDefault="00054265">
      <w:pPr>
        <w:tabs>
          <w:tab w:val="left" w:pos="0"/>
        </w:tabs>
        <w:spacing w:after="0" w:line="240" w:lineRule="auto"/>
        <w:rPr>
          <w:rFonts w:ascii="Times New Roman" w:eastAsia="Times New Roman" w:hAnsi="Times New Roman"/>
          <w:sz w:val="24"/>
          <w:szCs w:val="24"/>
        </w:rPr>
      </w:pPr>
    </w:p>
    <w:p w14:paraId="016A9829" w14:textId="77777777" w:rsidR="00054265" w:rsidRDefault="005A0E08">
      <w:pPr>
        <w:tabs>
          <w:tab w:val="left" w:pos="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DIRECȚIA SCHIMBĂRI CLIMATICE ȘI DEZVOLTARE DURABILĂ</w:t>
      </w:r>
    </w:p>
    <w:p w14:paraId="715C0E32" w14:textId="77777777" w:rsidR="00054265" w:rsidRDefault="005A0E08">
      <w:pPr>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Director </w:t>
      </w:r>
    </w:p>
    <w:p w14:paraId="739981EF" w14:textId="77777777" w:rsidR="00054265" w:rsidRDefault="005A0E08">
      <w:pPr>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Gabriela DOROJAN</w:t>
      </w:r>
    </w:p>
    <w:p w14:paraId="631A973F" w14:textId="58A4F19F" w:rsidR="00054265" w:rsidRDefault="00054265">
      <w:pPr>
        <w:tabs>
          <w:tab w:val="left" w:pos="0"/>
        </w:tabs>
        <w:spacing w:after="0" w:line="240" w:lineRule="auto"/>
        <w:rPr>
          <w:rFonts w:ascii="Times New Roman" w:eastAsia="Times New Roman" w:hAnsi="Times New Roman"/>
          <w:sz w:val="24"/>
          <w:szCs w:val="24"/>
        </w:rPr>
      </w:pPr>
    </w:p>
    <w:p w14:paraId="4AD646E3" w14:textId="77777777" w:rsidR="004837CB" w:rsidRDefault="004837CB">
      <w:pPr>
        <w:tabs>
          <w:tab w:val="left" w:pos="0"/>
        </w:tabs>
        <w:spacing w:after="0" w:line="240" w:lineRule="auto"/>
        <w:rPr>
          <w:rFonts w:ascii="Times New Roman" w:eastAsia="Times New Roman" w:hAnsi="Times New Roman"/>
          <w:sz w:val="24"/>
          <w:szCs w:val="24"/>
        </w:rPr>
      </w:pPr>
    </w:p>
    <w:p w14:paraId="0E293B9C" w14:textId="77777777" w:rsidR="00054265" w:rsidRDefault="00054265">
      <w:pPr>
        <w:tabs>
          <w:tab w:val="left" w:pos="0"/>
        </w:tabs>
        <w:spacing w:after="0" w:line="240" w:lineRule="auto"/>
        <w:rPr>
          <w:rFonts w:ascii="Times New Roman" w:eastAsia="Times New Roman" w:hAnsi="Times New Roman"/>
          <w:sz w:val="24"/>
          <w:szCs w:val="24"/>
        </w:rPr>
      </w:pPr>
    </w:p>
    <w:p w14:paraId="5EE07C7A" w14:textId="77777777" w:rsidR="00054265" w:rsidRDefault="005A0E08">
      <w:pPr>
        <w:tabs>
          <w:tab w:val="left" w:pos="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ADMINISTRAŢIA FONDULUI PENTRU MEDIU</w:t>
      </w:r>
    </w:p>
    <w:p w14:paraId="651445FC" w14:textId="77777777" w:rsidR="00054265" w:rsidRDefault="005A0E08">
      <w:pPr>
        <w:tabs>
          <w:tab w:val="left" w:pos="0"/>
        </w:tabs>
        <w:spacing w:after="0" w:line="240" w:lineRule="auto"/>
        <w:rPr>
          <w:rFonts w:ascii="Times New Roman" w:eastAsia="Times New Roman" w:hAnsi="Times New Roman"/>
          <w:b/>
          <w:sz w:val="24"/>
          <w:szCs w:val="24"/>
        </w:rPr>
      </w:pPr>
      <w:r>
        <w:rPr>
          <w:rFonts w:ascii="Times New Roman" w:eastAsia="Times New Roman" w:hAnsi="Times New Roman"/>
          <w:sz w:val="24"/>
          <w:szCs w:val="24"/>
        </w:rPr>
        <w:t>PREŞEDINTE,</w:t>
      </w:r>
    </w:p>
    <w:p w14:paraId="55CDC371" w14:textId="77777777" w:rsidR="00054265" w:rsidRDefault="005A0E08">
      <w:pPr>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Fülöp Lóránd-Árpád</w:t>
      </w:r>
    </w:p>
    <w:p w14:paraId="51CF994C" w14:textId="77777777" w:rsidR="00054265" w:rsidRDefault="00054265">
      <w:pPr>
        <w:spacing w:line="240" w:lineRule="auto"/>
        <w:rPr>
          <w:rFonts w:ascii="Times New Roman" w:hAnsi="Times New Roman"/>
          <w:b/>
          <w:bCs/>
          <w:sz w:val="24"/>
          <w:szCs w:val="24"/>
          <w:lang w:eastAsia="ro-RO"/>
        </w:rPr>
      </w:pPr>
    </w:p>
    <w:p w14:paraId="2438CAE2" w14:textId="77777777" w:rsidR="00054265" w:rsidRDefault="00054265">
      <w:pPr>
        <w:spacing w:line="240" w:lineRule="auto"/>
        <w:jc w:val="both"/>
        <w:rPr>
          <w:rFonts w:ascii="Times New Roman" w:hAnsi="Times New Roman"/>
          <w:b/>
          <w:sz w:val="24"/>
          <w:szCs w:val="24"/>
        </w:rPr>
      </w:pPr>
    </w:p>
    <w:p w14:paraId="7AD5E935" w14:textId="3A9D113F" w:rsidR="00054265" w:rsidRDefault="00054265">
      <w:pPr>
        <w:rPr>
          <w:rFonts w:ascii="Times New Roman" w:hAnsi="Times New Roman"/>
          <w:sz w:val="24"/>
          <w:szCs w:val="24"/>
        </w:rPr>
      </w:pPr>
    </w:p>
    <w:p w14:paraId="36AB769A" w14:textId="6AF1CE2E" w:rsidR="00237663" w:rsidRPr="00237663" w:rsidRDefault="00237663" w:rsidP="00237663">
      <w:pPr>
        <w:rPr>
          <w:rFonts w:ascii="Times New Roman" w:hAnsi="Times New Roman"/>
          <w:sz w:val="24"/>
          <w:szCs w:val="24"/>
        </w:rPr>
      </w:pPr>
    </w:p>
    <w:p w14:paraId="597FAB8D" w14:textId="2E62A7CB" w:rsidR="00237663" w:rsidRPr="00237663" w:rsidRDefault="00771EB5" w:rsidP="00771EB5">
      <w:pPr>
        <w:tabs>
          <w:tab w:val="left" w:pos="4929"/>
        </w:tabs>
        <w:rPr>
          <w:rFonts w:ascii="Times New Roman" w:hAnsi="Times New Roman"/>
          <w:sz w:val="24"/>
          <w:szCs w:val="24"/>
        </w:rPr>
      </w:pPr>
      <w:r>
        <w:rPr>
          <w:rFonts w:ascii="Times New Roman" w:hAnsi="Times New Roman"/>
          <w:sz w:val="24"/>
          <w:szCs w:val="24"/>
        </w:rPr>
        <w:tab/>
      </w:r>
    </w:p>
    <w:sectPr w:rsidR="00237663" w:rsidRPr="00237663">
      <w:headerReference w:type="even" r:id="rId8"/>
      <w:headerReference w:type="default" r:id="rId9"/>
      <w:footerReference w:type="default" r:id="rId10"/>
      <w:headerReference w:type="first" r:id="rId11"/>
      <w:type w:val="continuous"/>
      <w:pgSz w:w="11906" w:h="16838"/>
      <w:pgMar w:top="709" w:right="991" w:bottom="993" w:left="1985" w:header="708" w:footer="708"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329F1" w14:textId="77777777" w:rsidR="00B20443" w:rsidRDefault="00B20443">
      <w:pPr>
        <w:spacing w:after="0" w:line="240" w:lineRule="auto"/>
      </w:pPr>
      <w:r>
        <w:separator/>
      </w:r>
    </w:p>
  </w:endnote>
  <w:endnote w:type="continuationSeparator" w:id="0">
    <w:p w14:paraId="18FD506F" w14:textId="77777777" w:rsidR="00B20443" w:rsidRDefault="00B20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604713029"/>
      <w:docPartObj>
        <w:docPartGallery w:val="Page Numbers (Bottom of Page)"/>
        <w:docPartUnique/>
      </w:docPartObj>
    </w:sdtPr>
    <w:sdtEndPr>
      <w:rPr>
        <w:noProof/>
      </w:rPr>
    </w:sdtEndPr>
    <w:sdtContent>
      <w:p w14:paraId="4C8513C9" w14:textId="77777777" w:rsidR="00054265" w:rsidRDefault="005A0E08">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1</w:t>
        </w:r>
        <w:r>
          <w:rPr>
            <w:rFonts w:ascii="Times New Roman" w:hAnsi="Times New Roman"/>
            <w:noProof/>
          </w:rPr>
          <w:t>2</w:t>
        </w:r>
        <w:r>
          <w:rPr>
            <w:rFonts w:ascii="Times New Roman" w:hAnsi="Times New Roman"/>
            <w:noProof/>
          </w:rPr>
          <w:fldChar w:fldCharType="end"/>
        </w:r>
      </w:p>
    </w:sdtContent>
  </w:sdt>
  <w:p w14:paraId="2854EEB2" w14:textId="77777777" w:rsidR="00054265" w:rsidRDefault="00054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A42D7" w14:textId="77777777" w:rsidR="00B20443" w:rsidRDefault="00B20443">
      <w:pPr>
        <w:spacing w:after="0" w:line="240" w:lineRule="auto"/>
      </w:pPr>
      <w:r>
        <w:separator/>
      </w:r>
    </w:p>
  </w:footnote>
  <w:footnote w:type="continuationSeparator" w:id="0">
    <w:p w14:paraId="1E1C7E58" w14:textId="77777777" w:rsidR="00B20443" w:rsidRDefault="00B20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8D48" w14:textId="1535559E" w:rsidR="00867C41" w:rsidRDefault="00B20443">
    <w:pPr>
      <w:pStyle w:val="Header"/>
    </w:pPr>
    <w:r>
      <w:rPr>
        <w:noProof/>
      </w:rPr>
      <w:pict w14:anchorId="1B5133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56641" o:spid="_x0000_s1026" type="#_x0000_t136" style="position:absolute;margin-left:0;margin-top:0;width:440.65pt;height:188.85pt;rotation:315;z-index:-251655168;mso-position-horizontal:center;mso-position-horizontal-relative:margin;mso-position-vertical:center;mso-position-vertical-relative:margin" o:allowincell="f" fillcolor="#5b9bd5 [320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E7E4" w14:textId="3C907F40" w:rsidR="00867C41" w:rsidRDefault="00B20443">
    <w:pPr>
      <w:pStyle w:val="Header"/>
    </w:pPr>
    <w:r>
      <w:rPr>
        <w:noProof/>
      </w:rPr>
      <w:pict w14:anchorId="3263DF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56642" o:spid="_x0000_s1027" type="#_x0000_t136" style="position:absolute;margin-left:0;margin-top:0;width:440.65pt;height:188.85pt;rotation:315;z-index:-251653120;mso-position-horizontal:center;mso-position-horizontal-relative:margin;mso-position-vertical:center;mso-position-vertical-relative:margin" o:allowincell="f" fillcolor="#5b9bd5 [3204]"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E488" w14:textId="369AAA96" w:rsidR="00867C41" w:rsidRDefault="00B20443">
    <w:pPr>
      <w:pStyle w:val="Header"/>
    </w:pPr>
    <w:r>
      <w:rPr>
        <w:noProof/>
      </w:rPr>
      <w:pict w14:anchorId="0AD55E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56640" o:spid="_x0000_s1025" type="#_x0000_t136" style="position:absolute;margin-left:0;margin-top:0;width:440.65pt;height:188.85pt;rotation:315;z-index:-251657216;mso-position-horizontal:center;mso-position-horizontal-relative:margin;mso-position-vertical:center;mso-position-vertical-relative:margin" o:allowincell="f" fillcolor="#5b9bd5 [3204]"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849E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239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44A5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2053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0EA2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9A72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A242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7CAF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BA7F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E04A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6"/>
    <w:lvl w:ilvl="0">
      <w:start w:val="14"/>
      <w:numFmt w:val="bullet"/>
      <w:lvlText w:val="-"/>
      <w:lvlJc w:val="left"/>
      <w:pPr>
        <w:tabs>
          <w:tab w:val="num" w:pos="0"/>
        </w:tabs>
        <w:ind w:left="1068" w:hanging="360"/>
      </w:pPr>
      <w:rPr>
        <w:rFonts w:ascii="Times New Roman" w:hAnsi="Times New Roman" w:cs="Times New Roman"/>
        <w:sz w:val="26"/>
        <w:szCs w:val="26"/>
        <w:lang w:val="it-IT"/>
      </w:rPr>
    </w:lvl>
  </w:abstractNum>
  <w:abstractNum w:abstractNumId="11" w15:restartNumberingAfterBreak="0">
    <w:nsid w:val="0158486D"/>
    <w:multiLevelType w:val="hybridMultilevel"/>
    <w:tmpl w:val="3AB0CA3C"/>
    <w:lvl w:ilvl="0" w:tplc="08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45F56FE"/>
    <w:multiLevelType w:val="hybridMultilevel"/>
    <w:tmpl w:val="78D61866"/>
    <w:lvl w:ilvl="0" w:tplc="7E8E98EE">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087B0963"/>
    <w:multiLevelType w:val="hybridMultilevel"/>
    <w:tmpl w:val="1C80B58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0BC408EC"/>
    <w:multiLevelType w:val="hybridMultilevel"/>
    <w:tmpl w:val="BC4E97D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A544FF8"/>
    <w:multiLevelType w:val="hybridMultilevel"/>
    <w:tmpl w:val="0450B274"/>
    <w:lvl w:ilvl="0" w:tplc="D1FC2AC4">
      <w:start w:val="1"/>
      <w:numFmt w:val="upperLetter"/>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F5956FB"/>
    <w:multiLevelType w:val="hybridMultilevel"/>
    <w:tmpl w:val="2A5EB3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550500"/>
    <w:multiLevelType w:val="hybridMultilevel"/>
    <w:tmpl w:val="37C030C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646132D"/>
    <w:multiLevelType w:val="hybridMultilevel"/>
    <w:tmpl w:val="EEFE15B6"/>
    <w:lvl w:ilvl="0" w:tplc="6F3E376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E444B8"/>
    <w:multiLevelType w:val="hybridMultilevel"/>
    <w:tmpl w:val="71AEC222"/>
    <w:lvl w:ilvl="0" w:tplc="0E681582">
      <w:start w:val="1"/>
      <w:numFmt w:val="bullet"/>
      <w:lvlText w:val="-"/>
      <w:lvlJc w:val="left"/>
      <w:pPr>
        <w:ind w:left="720" w:hanging="360"/>
      </w:pPr>
      <w:rPr>
        <w:rFonts w:ascii="Times New Roman" w:eastAsia="MS Mincho"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6EB4EBB"/>
    <w:multiLevelType w:val="hybridMultilevel"/>
    <w:tmpl w:val="CBA63A86"/>
    <w:lvl w:ilvl="0" w:tplc="50F89976">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7953C6D"/>
    <w:multiLevelType w:val="hybridMultilevel"/>
    <w:tmpl w:val="C8DC12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D0C5527"/>
    <w:multiLevelType w:val="hybridMultilevel"/>
    <w:tmpl w:val="084CB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06D0B99"/>
    <w:multiLevelType w:val="hybridMultilevel"/>
    <w:tmpl w:val="321CCC9C"/>
    <w:lvl w:ilvl="0" w:tplc="901E6BD4">
      <w:start w:val="5"/>
      <w:numFmt w:val="bullet"/>
      <w:lvlText w:val="−"/>
      <w:lvlJc w:val="left"/>
      <w:pPr>
        <w:ind w:left="575" w:hanging="360"/>
      </w:pPr>
      <w:rPr>
        <w:rFonts w:ascii="Calibri" w:eastAsia="Times New Roman" w:hAnsi="Calibri" w:cs="Times New Roman" w:hint="default"/>
        <w:i w:val="0"/>
        <w:u w:val="none"/>
      </w:rPr>
    </w:lvl>
    <w:lvl w:ilvl="1" w:tplc="04070003" w:tentative="1">
      <w:start w:val="1"/>
      <w:numFmt w:val="bullet"/>
      <w:lvlText w:val="o"/>
      <w:lvlJc w:val="left"/>
      <w:pPr>
        <w:ind w:left="1295" w:hanging="360"/>
      </w:pPr>
      <w:rPr>
        <w:rFonts w:ascii="Courier New" w:hAnsi="Courier New" w:cs="Courier New" w:hint="default"/>
      </w:rPr>
    </w:lvl>
    <w:lvl w:ilvl="2" w:tplc="04070005" w:tentative="1">
      <w:start w:val="1"/>
      <w:numFmt w:val="bullet"/>
      <w:lvlText w:val=""/>
      <w:lvlJc w:val="left"/>
      <w:pPr>
        <w:ind w:left="2015" w:hanging="360"/>
      </w:pPr>
      <w:rPr>
        <w:rFonts w:ascii="Wingdings" w:hAnsi="Wingdings" w:hint="default"/>
      </w:rPr>
    </w:lvl>
    <w:lvl w:ilvl="3" w:tplc="04070001" w:tentative="1">
      <w:start w:val="1"/>
      <w:numFmt w:val="bullet"/>
      <w:lvlText w:val=""/>
      <w:lvlJc w:val="left"/>
      <w:pPr>
        <w:ind w:left="2735" w:hanging="360"/>
      </w:pPr>
      <w:rPr>
        <w:rFonts w:ascii="Symbol" w:hAnsi="Symbol" w:hint="default"/>
      </w:rPr>
    </w:lvl>
    <w:lvl w:ilvl="4" w:tplc="04070003" w:tentative="1">
      <w:start w:val="1"/>
      <w:numFmt w:val="bullet"/>
      <w:lvlText w:val="o"/>
      <w:lvlJc w:val="left"/>
      <w:pPr>
        <w:ind w:left="3455" w:hanging="360"/>
      </w:pPr>
      <w:rPr>
        <w:rFonts w:ascii="Courier New" w:hAnsi="Courier New" w:cs="Courier New" w:hint="default"/>
      </w:rPr>
    </w:lvl>
    <w:lvl w:ilvl="5" w:tplc="04070005" w:tentative="1">
      <w:start w:val="1"/>
      <w:numFmt w:val="bullet"/>
      <w:lvlText w:val=""/>
      <w:lvlJc w:val="left"/>
      <w:pPr>
        <w:ind w:left="4175" w:hanging="360"/>
      </w:pPr>
      <w:rPr>
        <w:rFonts w:ascii="Wingdings" w:hAnsi="Wingdings" w:hint="default"/>
      </w:rPr>
    </w:lvl>
    <w:lvl w:ilvl="6" w:tplc="04070001" w:tentative="1">
      <w:start w:val="1"/>
      <w:numFmt w:val="bullet"/>
      <w:lvlText w:val=""/>
      <w:lvlJc w:val="left"/>
      <w:pPr>
        <w:ind w:left="4895" w:hanging="360"/>
      </w:pPr>
      <w:rPr>
        <w:rFonts w:ascii="Symbol" w:hAnsi="Symbol" w:hint="default"/>
      </w:rPr>
    </w:lvl>
    <w:lvl w:ilvl="7" w:tplc="04070003" w:tentative="1">
      <w:start w:val="1"/>
      <w:numFmt w:val="bullet"/>
      <w:lvlText w:val="o"/>
      <w:lvlJc w:val="left"/>
      <w:pPr>
        <w:ind w:left="5615" w:hanging="360"/>
      </w:pPr>
      <w:rPr>
        <w:rFonts w:ascii="Courier New" w:hAnsi="Courier New" w:cs="Courier New" w:hint="default"/>
      </w:rPr>
    </w:lvl>
    <w:lvl w:ilvl="8" w:tplc="04070005" w:tentative="1">
      <w:start w:val="1"/>
      <w:numFmt w:val="bullet"/>
      <w:lvlText w:val=""/>
      <w:lvlJc w:val="left"/>
      <w:pPr>
        <w:ind w:left="6335" w:hanging="360"/>
      </w:pPr>
      <w:rPr>
        <w:rFonts w:ascii="Wingdings" w:hAnsi="Wingdings" w:hint="default"/>
      </w:rPr>
    </w:lvl>
  </w:abstractNum>
  <w:abstractNum w:abstractNumId="24" w15:restartNumberingAfterBreak="0">
    <w:nsid w:val="32AA63E8"/>
    <w:multiLevelType w:val="hybridMultilevel"/>
    <w:tmpl w:val="08587766"/>
    <w:lvl w:ilvl="0" w:tplc="C28E38AC">
      <w:start w:val="1"/>
      <w:numFmt w:val="decimal"/>
      <w:lvlText w:val="%1."/>
      <w:lvlJc w:val="left"/>
      <w:pPr>
        <w:ind w:left="720" w:hanging="72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335A5302"/>
    <w:multiLevelType w:val="hybridMultilevel"/>
    <w:tmpl w:val="4F06F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852283"/>
    <w:multiLevelType w:val="hybridMultilevel"/>
    <w:tmpl w:val="DD9AE4A6"/>
    <w:lvl w:ilvl="0" w:tplc="C37CEA4A">
      <w:start w:val="1"/>
      <w:numFmt w:val="bullet"/>
      <w:lvlText w:val="-"/>
      <w:lvlJc w:val="left"/>
      <w:pPr>
        <w:ind w:left="720" w:hanging="360"/>
      </w:pPr>
      <w:rPr>
        <w:rFonts w:ascii="Times New Roman" w:eastAsia="Calibri" w:hAnsi="Times New Roman" w:cs="Times New Roman" w:hint="default"/>
        <w:b/>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36F16D99"/>
    <w:multiLevelType w:val="hybridMultilevel"/>
    <w:tmpl w:val="1F00CEC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372F502A"/>
    <w:multiLevelType w:val="hybridMultilevel"/>
    <w:tmpl w:val="81D0AADA"/>
    <w:lvl w:ilvl="0" w:tplc="5022B7FA">
      <w:start w:val="2"/>
      <w:numFmt w:val="bullet"/>
      <w:lvlText w:val="-"/>
      <w:lvlJc w:val="left"/>
      <w:pPr>
        <w:ind w:left="720" w:hanging="360"/>
      </w:pPr>
      <w:rPr>
        <w:rFonts w:ascii="Times New Roman" w:eastAsia="Calibri" w:hAnsi="Times New Roman" w:cs="Times New Roman" w:hint="default"/>
        <w:i w:val="0"/>
        <w:sz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9" w15:restartNumberingAfterBreak="0">
    <w:nsid w:val="39F94E34"/>
    <w:multiLevelType w:val="hybridMultilevel"/>
    <w:tmpl w:val="19E27AE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47DB699A"/>
    <w:multiLevelType w:val="hybridMultilevel"/>
    <w:tmpl w:val="D13CAB20"/>
    <w:lvl w:ilvl="0" w:tplc="5B4E2FBC">
      <w:start w:val="248"/>
      <w:numFmt w:val="bullet"/>
      <w:lvlText w:val="-"/>
      <w:lvlJc w:val="left"/>
      <w:pPr>
        <w:tabs>
          <w:tab w:val="num" w:pos="720"/>
        </w:tabs>
        <w:ind w:left="720" w:hanging="360"/>
      </w:pPr>
      <w:rPr>
        <w:rFonts w:ascii="Times New Roman" w:eastAsia="Calibri" w:hAnsi="Times New Roman"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2457F1"/>
    <w:multiLevelType w:val="hybridMultilevel"/>
    <w:tmpl w:val="2FBEEB40"/>
    <w:lvl w:ilvl="0" w:tplc="A1326982">
      <w:numFmt w:val="bullet"/>
      <w:lvlText w:val="-"/>
      <w:lvlJc w:val="left"/>
      <w:pPr>
        <w:ind w:left="720" w:hanging="360"/>
      </w:pPr>
      <w:rPr>
        <w:rFonts w:ascii="Times New Roman" w:eastAsia="MS Mincho"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6BA623A"/>
    <w:multiLevelType w:val="hybridMultilevel"/>
    <w:tmpl w:val="2F7CFF12"/>
    <w:lvl w:ilvl="0" w:tplc="CD12C0C2">
      <w:start w:val="2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7B72F7"/>
    <w:multiLevelType w:val="hybridMultilevel"/>
    <w:tmpl w:val="15C45A9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B7C61B1"/>
    <w:multiLevelType w:val="hybridMultilevel"/>
    <w:tmpl w:val="6C96349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5F767B5E"/>
    <w:multiLevelType w:val="hybridMultilevel"/>
    <w:tmpl w:val="BAE2EC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6A04E2B"/>
    <w:multiLevelType w:val="hybridMultilevel"/>
    <w:tmpl w:val="088C4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8B65FD4"/>
    <w:multiLevelType w:val="hybridMultilevel"/>
    <w:tmpl w:val="14D69798"/>
    <w:lvl w:ilvl="0" w:tplc="BDDC41AE">
      <w:start w:val="1"/>
      <w:numFmt w:val="bullet"/>
      <w:lvlText w:val="-"/>
      <w:lvlJc w:val="left"/>
      <w:pPr>
        <w:ind w:left="720" w:hanging="360"/>
      </w:pPr>
      <w:rPr>
        <w:rFonts w:ascii="Times New Roman" w:eastAsia="MS Mincho"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994146A"/>
    <w:multiLevelType w:val="hybridMultilevel"/>
    <w:tmpl w:val="5526EC18"/>
    <w:lvl w:ilvl="0" w:tplc="FC68C948">
      <w:start w:val="1"/>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776C9C"/>
    <w:multiLevelType w:val="hybridMultilevel"/>
    <w:tmpl w:val="E9CE3754"/>
    <w:lvl w:ilvl="0" w:tplc="DCAC3064">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40" w15:restartNumberingAfterBreak="0">
    <w:nsid w:val="71144F2E"/>
    <w:multiLevelType w:val="hybridMultilevel"/>
    <w:tmpl w:val="585A0E34"/>
    <w:lvl w:ilvl="0" w:tplc="4BFEE484">
      <w:start w:val="3"/>
      <w:numFmt w:val="bullet"/>
      <w:lvlText w:val="-"/>
      <w:lvlJc w:val="left"/>
      <w:pPr>
        <w:ind w:left="720" w:hanging="360"/>
      </w:pPr>
      <w:rPr>
        <w:rFonts w:ascii="Times New Roman" w:eastAsia="MS Mincho"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2935030"/>
    <w:multiLevelType w:val="hybridMultilevel"/>
    <w:tmpl w:val="160411E6"/>
    <w:lvl w:ilvl="0" w:tplc="01C0943C">
      <w:start w:val="1"/>
      <w:numFmt w:val="decimal"/>
      <w:lvlText w:val="(%1)"/>
      <w:lvlJc w:val="left"/>
      <w:pPr>
        <w:ind w:left="704" w:hanging="42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42" w15:restartNumberingAfterBreak="0">
    <w:nsid w:val="72D52369"/>
    <w:multiLevelType w:val="hybridMultilevel"/>
    <w:tmpl w:val="734EE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39C786C"/>
    <w:multiLevelType w:val="hybridMultilevel"/>
    <w:tmpl w:val="361AE3DA"/>
    <w:lvl w:ilvl="0" w:tplc="CD12C0C2">
      <w:start w:val="2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5B3C5D"/>
    <w:multiLevelType w:val="hybridMultilevel"/>
    <w:tmpl w:val="1B9C7C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C383F77"/>
    <w:multiLevelType w:val="hybridMultilevel"/>
    <w:tmpl w:val="6AE40B5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EA8432C"/>
    <w:multiLevelType w:val="multilevel"/>
    <w:tmpl w:val="6F441E3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4"/>
  </w:num>
  <w:num w:numId="14">
    <w:abstractNumId w:val="44"/>
  </w:num>
  <w:num w:numId="15">
    <w:abstractNumId w:val="33"/>
  </w:num>
  <w:num w:numId="16">
    <w:abstractNumId w:val="29"/>
  </w:num>
  <w:num w:numId="17">
    <w:abstractNumId w:val="35"/>
  </w:num>
  <w:num w:numId="18">
    <w:abstractNumId w:val="45"/>
  </w:num>
  <w:num w:numId="19">
    <w:abstractNumId w:val="27"/>
  </w:num>
  <w:num w:numId="20">
    <w:abstractNumId w:val="36"/>
  </w:num>
  <w:num w:numId="21">
    <w:abstractNumId w:val="13"/>
  </w:num>
  <w:num w:numId="22">
    <w:abstractNumId w:val="38"/>
  </w:num>
  <w:num w:numId="23">
    <w:abstractNumId w:val="30"/>
  </w:num>
  <w:num w:numId="24">
    <w:abstractNumId w:val="42"/>
  </w:num>
  <w:num w:numId="25">
    <w:abstractNumId w:val="17"/>
  </w:num>
  <w:num w:numId="26">
    <w:abstractNumId w:val="39"/>
  </w:num>
  <w:num w:numId="27">
    <w:abstractNumId w:val="12"/>
  </w:num>
  <w:num w:numId="28">
    <w:abstractNumId w:val="26"/>
  </w:num>
  <w:num w:numId="29">
    <w:abstractNumId w:val="20"/>
  </w:num>
  <w:num w:numId="30">
    <w:abstractNumId w:val="28"/>
  </w:num>
  <w:num w:numId="31">
    <w:abstractNumId w:val="22"/>
  </w:num>
  <w:num w:numId="32">
    <w:abstractNumId w:val="23"/>
  </w:num>
  <w:num w:numId="33">
    <w:abstractNumId w:val="21"/>
  </w:num>
  <w:num w:numId="34">
    <w:abstractNumId w:val="11"/>
  </w:num>
  <w:num w:numId="35">
    <w:abstractNumId w:val="14"/>
  </w:num>
  <w:num w:numId="36">
    <w:abstractNumId w:val="15"/>
  </w:num>
  <w:num w:numId="37">
    <w:abstractNumId w:val="24"/>
  </w:num>
  <w:num w:numId="38">
    <w:abstractNumId w:val="32"/>
  </w:num>
  <w:num w:numId="39">
    <w:abstractNumId w:val="43"/>
  </w:num>
  <w:num w:numId="40">
    <w:abstractNumId w:val="46"/>
  </w:num>
  <w:num w:numId="41">
    <w:abstractNumId w:val="25"/>
  </w:num>
  <w:num w:numId="42">
    <w:abstractNumId w:val="10"/>
  </w:num>
  <w:num w:numId="43">
    <w:abstractNumId w:val="31"/>
  </w:num>
  <w:num w:numId="44">
    <w:abstractNumId w:val="19"/>
  </w:num>
  <w:num w:numId="45">
    <w:abstractNumId w:val="37"/>
  </w:num>
  <w:num w:numId="46">
    <w:abstractNumId w:val="40"/>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265"/>
    <w:rsid w:val="00007E2F"/>
    <w:rsid w:val="000174FA"/>
    <w:rsid w:val="00054265"/>
    <w:rsid w:val="000F1CD9"/>
    <w:rsid w:val="00151CFE"/>
    <w:rsid w:val="001577AB"/>
    <w:rsid w:val="00174D5E"/>
    <w:rsid w:val="001D70C6"/>
    <w:rsid w:val="001F71E1"/>
    <w:rsid w:val="00226B0C"/>
    <w:rsid w:val="00237663"/>
    <w:rsid w:val="00282D80"/>
    <w:rsid w:val="002949B0"/>
    <w:rsid w:val="002C4D08"/>
    <w:rsid w:val="002D0488"/>
    <w:rsid w:val="003453F0"/>
    <w:rsid w:val="00375BD9"/>
    <w:rsid w:val="003B53B4"/>
    <w:rsid w:val="003B76D5"/>
    <w:rsid w:val="003C280D"/>
    <w:rsid w:val="004837CB"/>
    <w:rsid w:val="004E4D42"/>
    <w:rsid w:val="0053555E"/>
    <w:rsid w:val="005371B4"/>
    <w:rsid w:val="005A0E08"/>
    <w:rsid w:val="00611A15"/>
    <w:rsid w:val="00771EB5"/>
    <w:rsid w:val="00835F0A"/>
    <w:rsid w:val="00867C41"/>
    <w:rsid w:val="008D15CA"/>
    <w:rsid w:val="00931029"/>
    <w:rsid w:val="009F6BCA"/>
    <w:rsid w:val="00A278E1"/>
    <w:rsid w:val="00A96B6B"/>
    <w:rsid w:val="00B17C64"/>
    <w:rsid w:val="00B20443"/>
    <w:rsid w:val="00B32567"/>
    <w:rsid w:val="00B620F4"/>
    <w:rsid w:val="00BE70F8"/>
    <w:rsid w:val="00CA7844"/>
    <w:rsid w:val="00D9333D"/>
    <w:rsid w:val="00E77C13"/>
    <w:rsid w:val="00E80C40"/>
    <w:rsid w:val="00F4615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7285E"/>
  <w15:docId w15:val="{04A6C3CF-7FA1-463F-A66D-574E3B4E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pPr>
      <w:spacing w:before="100" w:beforeAutospacing="1" w:after="100" w:afterAutospacing="1" w:line="240" w:lineRule="auto"/>
      <w:outlineLvl w:val="1"/>
    </w:pPr>
    <w:rPr>
      <w:rFonts w:ascii="Times New Roman" w:eastAsia="Times New Roman" w:hAnsi="Times New Roman"/>
      <w:b/>
      <w:bCs/>
      <w:sz w:val="36"/>
      <w:szCs w:val="36"/>
      <w:lang w:eastAsia="ro-RO"/>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eastAsia="Calibri" w:hAnsi="Tahoma" w:cs="Times New Roman"/>
      <w:sz w:val="16"/>
      <w:szCs w:val="16"/>
      <w:lang w:val="x-none"/>
    </w:rPr>
  </w:style>
  <w:style w:type="character" w:customStyle="1" w:styleId="do1">
    <w:name w:val="do1"/>
    <w:rPr>
      <w:b/>
      <w:bCs/>
      <w:sz w:val="26"/>
      <w:szCs w:val="26"/>
    </w:rPr>
  </w:style>
  <w:style w:type="table" w:styleId="TableGrid">
    <w:name w:val="Table Grid"/>
    <w:aliases w:val="Tabellengitternetz"/>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style>
  <w:style w:type="character" w:styleId="Emphasis">
    <w:name w:val="Emphasis"/>
    <w:qFormat/>
    <w:rPr>
      <w:b/>
      <w:bCs/>
      <w:i w:val="0"/>
      <w:iCs w:val="0"/>
    </w:rPr>
  </w:style>
  <w:style w:type="paragraph" w:styleId="FootnoteText">
    <w:name w:val="footnote text"/>
    <w:basedOn w:val="Normal"/>
    <w:link w:val="FootnoteTextChar"/>
    <w:semiHidden/>
    <w:pPr>
      <w:spacing w:after="0" w:line="240" w:lineRule="auto"/>
    </w:pPr>
    <w:rPr>
      <w:rFonts w:ascii="Times New Roman" w:eastAsia="Times New Roman" w:hAnsi="Times New Roman"/>
      <w:sz w:val="20"/>
      <w:szCs w:val="20"/>
      <w:lang w:val="en-US"/>
    </w:rPr>
  </w:style>
  <w:style w:type="character" w:customStyle="1" w:styleId="FootnoteTextChar">
    <w:name w:val="Footnote Text Char"/>
    <w:link w:val="FootnoteText"/>
    <w:semiHidden/>
    <w:rPr>
      <w:rFonts w:ascii="Times New Roman" w:eastAsia="Times New Roman" w:hAnsi="Times New Roman"/>
      <w:lang w:val="en-US" w:eastAsia="en-US"/>
    </w:rPr>
  </w:style>
  <w:style w:type="character" w:styleId="FootnoteReference">
    <w:name w:val="footnote reference"/>
    <w:aliases w:val="Footnote symbol,Footnote Reference Number,Footnote Reference Superscript"/>
    <w:uiPriority w:val="99"/>
    <w:semiHidden/>
    <w:rPr>
      <w:vertAlign w:val="superscript"/>
    </w:rPr>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pPr>
      <w:ind w:left="720"/>
      <w:contextualSpacing/>
    </w:pPr>
  </w:style>
  <w:style w:type="character" w:customStyle="1" w:styleId="tpt1">
    <w:name w:val="tpt1"/>
  </w:style>
  <w:style w:type="character" w:customStyle="1" w:styleId="Heading2Char">
    <w:name w:val="Heading 2 Char"/>
    <w:basedOn w:val="DefaultParagraphFont"/>
    <w:link w:val="Heading2"/>
    <w:uiPriority w:val="9"/>
    <w:rPr>
      <w:rFonts w:ascii="Times New Roman" w:eastAsia="Times New Roman" w:hAnsi="Times New Roman"/>
      <w:b/>
      <w:bCs/>
      <w:sz w:val="36"/>
      <w:szCs w:val="3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en-U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sz w:val="22"/>
      <w:szCs w:val="22"/>
      <w:lang w:eastAsia="en-U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basedOn w:val="DefaultParagraphFont"/>
    <w:link w:val="ListParagraph"/>
    <w:uiPriority w:val="34"/>
    <w:rPr>
      <w:sz w:val="22"/>
      <w:szCs w:val="22"/>
      <w:lang w:eastAsia="en-US"/>
    </w:rPr>
  </w:style>
  <w:style w:type="paragraph" w:styleId="Caption">
    <w:name w:val="caption"/>
    <w:aliases w:val="Caption Char Char Char Char Char Char,Map,Caption Char1,Caption Char Char"/>
    <w:basedOn w:val="Normal"/>
    <w:next w:val="Normal"/>
    <w:link w:val="CaptionChar"/>
    <w:uiPriority w:val="99"/>
    <w:qFormat/>
    <w:pPr>
      <w:spacing w:before="170" w:after="100" w:line="170" w:lineRule="atLeast"/>
      <w:jc w:val="both"/>
    </w:pPr>
    <w:rPr>
      <w:rFonts w:ascii="Verdana" w:eastAsia="Times New Roman" w:hAnsi="Verdana"/>
      <w:b/>
      <w:bCs/>
      <w:sz w:val="18"/>
      <w:szCs w:val="20"/>
      <w:lang w:val="en-GB" w:eastAsia="da-DK"/>
    </w:rPr>
  </w:style>
  <w:style w:type="character" w:customStyle="1" w:styleId="CaptionChar">
    <w:name w:val="Caption Char"/>
    <w:aliases w:val="Caption Char Char Char Char Char Char Char,Map Char,Caption Char1 Char,Caption Char Char Char"/>
    <w:link w:val="Caption"/>
    <w:uiPriority w:val="99"/>
    <w:rPr>
      <w:rFonts w:ascii="Verdana" w:eastAsia="Times New Roman" w:hAnsi="Verdana"/>
      <w:b/>
      <w:bCs/>
      <w:sz w:val="18"/>
      <w:lang w:val="en-GB" w:eastAsia="da-DK"/>
    </w:rPr>
  </w:style>
  <w:style w:type="character" w:customStyle="1" w:styleId="al1">
    <w:name w:val="al1"/>
    <w:basedOn w:val="DefaultParagraphFont"/>
    <w:rPr>
      <w:b/>
      <w:bCs/>
      <w:color w:val="008F00"/>
    </w:rPr>
  </w:style>
  <w:style w:type="character" w:customStyle="1" w:styleId="tal1">
    <w:name w:val="tal1"/>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eastAsia="en-US"/>
    </w:rPr>
  </w:style>
  <w:style w:type="paragraph" w:styleId="NoSpacing">
    <w:name w:val="No Spacing"/>
    <w:uiPriority w:val="1"/>
    <w:qFormat/>
    <w:rPr>
      <w:rFonts w:ascii="Times New Roman" w:eastAsia="MS Mincho" w:hAnsi="Times New Roman"/>
      <w:sz w:val="24"/>
      <w:szCs w:val="24"/>
      <w:lang w:eastAsia="en-US"/>
    </w:rPr>
  </w:style>
  <w:style w:type="paragraph" w:styleId="Revision">
    <w:name w:val="Revision"/>
    <w:hidden/>
    <w:uiPriority w:val="99"/>
    <w:semiHidden/>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1305">
      <w:bodyDiv w:val="1"/>
      <w:marLeft w:val="0"/>
      <w:marRight w:val="0"/>
      <w:marTop w:val="0"/>
      <w:marBottom w:val="0"/>
      <w:divBdr>
        <w:top w:val="none" w:sz="0" w:space="0" w:color="auto"/>
        <w:left w:val="none" w:sz="0" w:space="0" w:color="auto"/>
        <w:bottom w:val="none" w:sz="0" w:space="0" w:color="auto"/>
        <w:right w:val="none" w:sz="0" w:space="0" w:color="auto"/>
      </w:divBdr>
    </w:div>
    <w:div w:id="146095079">
      <w:bodyDiv w:val="1"/>
      <w:marLeft w:val="0"/>
      <w:marRight w:val="0"/>
      <w:marTop w:val="0"/>
      <w:marBottom w:val="0"/>
      <w:divBdr>
        <w:top w:val="none" w:sz="0" w:space="0" w:color="auto"/>
        <w:left w:val="none" w:sz="0" w:space="0" w:color="auto"/>
        <w:bottom w:val="none" w:sz="0" w:space="0" w:color="auto"/>
        <w:right w:val="none" w:sz="0" w:space="0" w:color="auto"/>
      </w:divBdr>
    </w:div>
    <w:div w:id="157424998">
      <w:bodyDiv w:val="1"/>
      <w:marLeft w:val="0"/>
      <w:marRight w:val="0"/>
      <w:marTop w:val="0"/>
      <w:marBottom w:val="0"/>
      <w:divBdr>
        <w:top w:val="none" w:sz="0" w:space="0" w:color="auto"/>
        <w:left w:val="none" w:sz="0" w:space="0" w:color="auto"/>
        <w:bottom w:val="none" w:sz="0" w:space="0" w:color="auto"/>
        <w:right w:val="none" w:sz="0" w:space="0" w:color="auto"/>
      </w:divBdr>
    </w:div>
    <w:div w:id="180516607">
      <w:bodyDiv w:val="1"/>
      <w:marLeft w:val="0"/>
      <w:marRight w:val="0"/>
      <w:marTop w:val="0"/>
      <w:marBottom w:val="0"/>
      <w:divBdr>
        <w:top w:val="none" w:sz="0" w:space="0" w:color="auto"/>
        <w:left w:val="none" w:sz="0" w:space="0" w:color="auto"/>
        <w:bottom w:val="none" w:sz="0" w:space="0" w:color="auto"/>
        <w:right w:val="none" w:sz="0" w:space="0" w:color="auto"/>
      </w:divBdr>
    </w:div>
    <w:div w:id="222840009">
      <w:bodyDiv w:val="1"/>
      <w:marLeft w:val="0"/>
      <w:marRight w:val="0"/>
      <w:marTop w:val="0"/>
      <w:marBottom w:val="0"/>
      <w:divBdr>
        <w:top w:val="none" w:sz="0" w:space="0" w:color="auto"/>
        <w:left w:val="none" w:sz="0" w:space="0" w:color="auto"/>
        <w:bottom w:val="none" w:sz="0" w:space="0" w:color="auto"/>
        <w:right w:val="none" w:sz="0" w:space="0" w:color="auto"/>
      </w:divBdr>
    </w:div>
    <w:div w:id="275212355">
      <w:bodyDiv w:val="1"/>
      <w:marLeft w:val="0"/>
      <w:marRight w:val="0"/>
      <w:marTop w:val="0"/>
      <w:marBottom w:val="0"/>
      <w:divBdr>
        <w:top w:val="none" w:sz="0" w:space="0" w:color="auto"/>
        <w:left w:val="none" w:sz="0" w:space="0" w:color="auto"/>
        <w:bottom w:val="none" w:sz="0" w:space="0" w:color="auto"/>
        <w:right w:val="none" w:sz="0" w:space="0" w:color="auto"/>
      </w:divBdr>
    </w:div>
    <w:div w:id="286353552">
      <w:bodyDiv w:val="1"/>
      <w:marLeft w:val="0"/>
      <w:marRight w:val="0"/>
      <w:marTop w:val="0"/>
      <w:marBottom w:val="0"/>
      <w:divBdr>
        <w:top w:val="none" w:sz="0" w:space="0" w:color="auto"/>
        <w:left w:val="none" w:sz="0" w:space="0" w:color="auto"/>
        <w:bottom w:val="none" w:sz="0" w:space="0" w:color="auto"/>
        <w:right w:val="none" w:sz="0" w:space="0" w:color="auto"/>
      </w:divBdr>
    </w:div>
    <w:div w:id="375089223">
      <w:bodyDiv w:val="1"/>
      <w:marLeft w:val="0"/>
      <w:marRight w:val="0"/>
      <w:marTop w:val="0"/>
      <w:marBottom w:val="0"/>
      <w:divBdr>
        <w:top w:val="none" w:sz="0" w:space="0" w:color="auto"/>
        <w:left w:val="none" w:sz="0" w:space="0" w:color="auto"/>
        <w:bottom w:val="none" w:sz="0" w:space="0" w:color="auto"/>
        <w:right w:val="none" w:sz="0" w:space="0" w:color="auto"/>
      </w:divBdr>
    </w:div>
    <w:div w:id="376854206">
      <w:bodyDiv w:val="1"/>
      <w:marLeft w:val="0"/>
      <w:marRight w:val="0"/>
      <w:marTop w:val="0"/>
      <w:marBottom w:val="0"/>
      <w:divBdr>
        <w:top w:val="none" w:sz="0" w:space="0" w:color="auto"/>
        <w:left w:val="none" w:sz="0" w:space="0" w:color="auto"/>
        <w:bottom w:val="none" w:sz="0" w:space="0" w:color="auto"/>
        <w:right w:val="none" w:sz="0" w:space="0" w:color="auto"/>
      </w:divBdr>
    </w:div>
    <w:div w:id="589899401">
      <w:bodyDiv w:val="1"/>
      <w:marLeft w:val="0"/>
      <w:marRight w:val="0"/>
      <w:marTop w:val="0"/>
      <w:marBottom w:val="0"/>
      <w:divBdr>
        <w:top w:val="none" w:sz="0" w:space="0" w:color="auto"/>
        <w:left w:val="none" w:sz="0" w:space="0" w:color="auto"/>
        <w:bottom w:val="none" w:sz="0" w:space="0" w:color="auto"/>
        <w:right w:val="none" w:sz="0" w:space="0" w:color="auto"/>
      </w:divBdr>
    </w:div>
    <w:div w:id="756706515">
      <w:bodyDiv w:val="1"/>
      <w:marLeft w:val="0"/>
      <w:marRight w:val="0"/>
      <w:marTop w:val="0"/>
      <w:marBottom w:val="0"/>
      <w:divBdr>
        <w:top w:val="none" w:sz="0" w:space="0" w:color="auto"/>
        <w:left w:val="none" w:sz="0" w:space="0" w:color="auto"/>
        <w:bottom w:val="none" w:sz="0" w:space="0" w:color="auto"/>
        <w:right w:val="none" w:sz="0" w:space="0" w:color="auto"/>
      </w:divBdr>
    </w:div>
    <w:div w:id="816066848">
      <w:bodyDiv w:val="1"/>
      <w:marLeft w:val="0"/>
      <w:marRight w:val="0"/>
      <w:marTop w:val="0"/>
      <w:marBottom w:val="0"/>
      <w:divBdr>
        <w:top w:val="none" w:sz="0" w:space="0" w:color="auto"/>
        <w:left w:val="none" w:sz="0" w:space="0" w:color="auto"/>
        <w:bottom w:val="none" w:sz="0" w:space="0" w:color="auto"/>
        <w:right w:val="none" w:sz="0" w:space="0" w:color="auto"/>
      </w:divBdr>
    </w:div>
    <w:div w:id="1023359249">
      <w:bodyDiv w:val="1"/>
      <w:marLeft w:val="0"/>
      <w:marRight w:val="0"/>
      <w:marTop w:val="0"/>
      <w:marBottom w:val="0"/>
      <w:divBdr>
        <w:top w:val="none" w:sz="0" w:space="0" w:color="auto"/>
        <w:left w:val="none" w:sz="0" w:space="0" w:color="auto"/>
        <w:bottom w:val="none" w:sz="0" w:space="0" w:color="auto"/>
        <w:right w:val="none" w:sz="0" w:space="0" w:color="auto"/>
      </w:divBdr>
    </w:div>
    <w:div w:id="1175412612">
      <w:bodyDiv w:val="1"/>
      <w:marLeft w:val="0"/>
      <w:marRight w:val="0"/>
      <w:marTop w:val="0"/>
      <w:marBottom w:val="0"/>
      <w:divBdr>
        <w:top w:val="none" w:sz="0" w:space="0" w:color="auto"/>
        <w:left w:val="none" w:sz="0" w:space="0" w:color="auto"/>
        <w:bottom w:val="none" w:sz="0" w:space="0" w:color="auto"/>
        <w:right w:val="none" w:sz="0" w:space="0" w:color="auto"/>
      </w:divBdr>
    </w:div>
    <w:div w:id="1230381425">
      <w:bodyDiv w:val="1"/>
      <w:marLeft w:val="0"/>
      <w:marRight w:val="0"/>
      <w:marTop w:val="0"/>
      <w:marBottom w:val="0"/>
      <w:divBdr>
        <w:top w:val="none" w:sz="0" w:space="0" w:color="auto"/>
        <w:left w:val="none" w:sz="0" w:space="0" w:color="auto"/>
        <w:bottom w:val="none" w:sz="0" w:space="0" w:color="auto"/>
        <w:right w:val="none" w:sz="0" w:space="0" w:color="auto"/>
      </w:divBdr>
    </w:div>
    <w:div w:id="1618367699">
      <w:bodyDiv w:val="1"/>
      <w:marLeft w:val="0"/>
      <w:marRight w:val="0"/>
      <w:marTop w:val="0"/>
      <w:marBottom w:val="0"/>
      <w:divBdr>
        <w:top w:val="none" w:sz="0" w:space="0" w:color="auto"/>
        <w:left w:val="none" w:sz="0" w:space="0" w:color="auto"/>
        <w:bottom w:val="none" w:sz="0" w:space="0" w:color="auto"/>
        <w:right w:val="none" w:sz="0" w:space="0" w:color="auto"/>
      </w:divBdr>
    </w:div>
    <w:div w:id="1692217645">
      <w:bodyDiv w:val="1"/>
      <w:marLeft w:val="0"/>
      <w:marRight w:val="0"/>
      <w:marTop w:val="0"/>
      <w:marBottom w:val="0"/>
      <w:divBdr>
        <w:top w:val="none" w:sz="0" w:space="0" w:color="auto"/>
        <w:left w:val="none" w:sz="0" w:space="0" w:color="auto"/>
        <w:bottom w:val="none" w:sz="0" w:space="0" w:color="auto"/>
        <w:right w:val="none" w:sz="0" w:space="0" w:color="auto"/>
      </w:divBdr>
    </w:div>
    <w:div w:id="1727797991">
      <w:bodyDiv w:val="1"/>
      <w:marLeft w:val="0"/>
      <w:marRight w:val="0"/>
      <w:marTop w:val="0"/>
      <w:marBottom w:val="0"/>
      <w:divBdr>
        <w:top w:val="none" w:sz="0" w:space="0" w:color="auto"/>
        <w:left w:val="none" w:sz="0" w:space="0" w:color="auto"/>
        <w:bottom w:val="none" w:sz="0" w:space="0" w:color="auto"/>
        <w:right w:val="none" w:sz="0" w:space="0" w:color="auto"/>
      </w:divBdr>
    </w:div>
    <w:div w:id="1804301632">
      <w:bodyDiv w:val="1"/>
      <w:marLeft w:val="0"/>
      <w:marRight w:val="0"/>
      <w:marTop w:val="0"/>
      <w:marBottom w:val="0"/>
      <w:divBdr>
        <w:top w:val="none" w:sz="0" w:space="0" w:color="auto"/>
        <w:left w:val="none" w:sz="0" w:space="0" w:color="auto"/>
        <w:bottom w:val="none" w:sz="0" w:space="0" w:color="auto"/>
        <w:right w:val="none" w:sz="0" w:space="0" w:color="auto"/>
      </w:divBdr>
    </w:div>
    <w:div w:id="1903834483">
      <w:bodyDiv w:val="1"/>
      <w:marLeft w:val="0"/>
      <w:marRight w:val="0"/>
      <w:marTop w:val="0"/>
      <w:marBottom w:val="0"/>
      <w:divBdr>
        <w:top w:val="none" w:sz="0" w:space="0" w:color="auto"/>
        <w:left w:val="none" w:sz="0" w:space="0" w:color="auto"/>
        <w:bottom w:val="none" w:sz="0" w:space="0" w:color="auto"/>
        <w:right w:val="none" w:sz="0" w:space="0" w:color="auto"/>
      </w:divBdr>
    </w:div>
    <w:div w:id="1913007898">
      <w:bodyDiv w:val="1"/>
      <w:marLeft w:val="0"/>
      <w:marRight w:val="0"/>
      <w:marTop w:val="0"/>
      <w:marBottom w:val="0"/>
      <w:divBdr>
        <w:top w:val="none" w:sz="0" w:space="0" w:color="auto"/>
        <w:left w:val="none" w:sz="0" w:space="0" w:color="auto"/>
        <w:bottom w:val="none" w:sz="0" w:space="0" w:color="auto"/>
        <w:right w:val="none" w:sz="0" w:space="0" w:color="auto"/>
      </w:divBdr>
    </w:div>
    <w:div w:id="2140342312">
      <w:bodyDiv w:val="1"/>
      <w:marLeft w:val="0"/>
      <w:marRight w:val="0"/>
      <w:marTop w:val="0"/>
      <w:marBottom w:val="0"/>
      <w:divBdr>
        <w:top w:val="none" w:sz="0" w:space="0" w:color="auto"/>
        <w:left w:val="none" w:sz="0" w:space="0" w:color="auto"/>
        <w:bottom w:val="none" w:sz="0" w:space="0" w:color="auto"/>
        <w:right w:val="none" w:sz="0" w:space="0" w:color="auto"/>
      </w:divBdr>
      <w:divsChild>
        <w:div w:id="1393457787">
          <w:marLeft w:val="0"/>
          <w:marRight w:val="0"/>
          <w:marTop w:val="0"/>
          <w:marBottom w:val="0"/>
          <w:divBdr>
            <w:top w:val="none" w:sz="0" w:space="0" w:color="auto"/>
            <w:left w:val="none" w:sz="0" w:space="0" w:color="auto"/>
            <w:bottom w:val="none" w:sz="0" w:space="0" w:color="auto"/>
            <w:right w:val="none" w:sz="0" w:space="0" w:color="auto"/>
          </w:divBdr>
          <w:divsChild>
            <w:div w:id="2122802859">
              <w:marLeft w:val="0"/>
              <w:marRight w:val="0"/>
              <w:marTop w:val="0"/>
              <w:marBottom w:val="0"/>
              <w:divBdr>
                <w:top w:val="dashed" w:sz="2" w:space="0" w:color="FFFFFF"/>
                <w:left w:val="dashed" w:sz="2" w:space="0" w:color="FFFFFF"/>
                <w:bottom w:val="dashed" w:sz="2" w:space="0" w:color="FFFFFF"/>
                <w:right w:val="dashed" w:sz="2" w:space="0" w:color="FFFFFF"/>
              </w:divBdr>
              <w:divsChild>
                <w:div w:id="1639341773">
                  <w:marLeft w:val="0"/>
                  <w:marRight w:val="0"/>
                  <w:marTop w:val="0"/>
                  <w:marBottom w:val="0"/>
                  <w:divBdr>
                    <w:top w:val="dashed" w:sz="2" w:space="0" w:color="FFFFFF"/>
                    <w:left w:val="dashed" w:sz="2" w:space="0" w:color="FFFFFF"/>
                    <w:bottom w:val="dashed" w:sz="2" w:space="0" w:color="FFFFFF"/>
                    <w:right w:val="dashed" w:sz="2" w:space="0" w:color="FFFFFF"/>
                  </w:divBdr>
                  <w:divsChild>
                    <w:div w:id="901061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64140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17237-502D-4210-A515-7C4E265DA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17</Pages>
  <Words>5957</Words>
  <Characters>34551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AFM</Company>
  <LinksUpToDate>false</LinksUpToDate>
  <CharactersWithSpaces>40428</CharactersWithSpaces>
  <SharedDoc>false</SharedDoc>
  <HLinks>
    <vt:vector size="18" baseType="variant">
      <vt:variant>
        <vt:i4>6815842</vt:i4>
      </vt:variant>
      <vt:variant>
        <vt:i4>6</vt:i4>
      </vt:variant>
      <vt:variant>
        <vt:i4>0</vt:i4>
      </vt:variant>
      <vt:variant>
        <vt:i4>5</vt:i4>
      </vt:variant>
      <vt:variant>
        <vt:lpwstr>http://www.mmediu.ro/beta/wp-content/uploads/2013/Local Settings/Temporary Internet Files/Content.Outlook/Local Settings/Temporary Internet Files/Local Settings/Temporary Internet Files/Content.Outlook/Local Settings/Temporary Internet Files/Content.IE5/Local Settings/Temporary Internet Files/Local Settings/Temporary Internet Files/Local Settings/Temporary Internet Files/Content.IE5/Local Settings/Temporary Internet Files/Content.IE5/AppData/Local/Microsoft/Windows/Temp/AppData/Local/Users/L.Hristodorescu/AppData/Local/Microsoft/Windows/Temporary Internet Files/Sintact 2.0/cache/Legislatie/temp/00089045.htm</vt:lpwstr>
      </vt:variant>
      <vt:variant>
        <vt:lpwstr/>
      </vt:variant>
      <vt:variant>
        <vt:i4>720990</vt:i4>
      </vt:variant>
      <vt:variant>
        <vt:i4>3</vt:i4>
      </vt:variant>
      <vt:variant>
        <vt:i4>0</vt:i4>
      </vt:variant>
      <vt:variant>
        <vt:i4>5</vt:i4>
      </vt:variant>
      <vt:variant>
        <vt:lpwstr>http://www.mmediu.ro/</vt:lpwstr>
      </vt:variant>
      <vt:variant>
        <vt:lpwstr/>
      </vt:variant>
      <vt:variant>
        <vt:i4>6815842</vt:i4>
      </vt:variant>
      <vt:variant>
        <vt:i4>0</vt:i4>
      </vt:variant>
      <vt:variant>
        <vt:i4>0</vt:i4>
      </vt:variant>
      <vt:variant>
        <vt:i4>5</vt:i4>
      </vt:variant>
      <vt:variant>
        <vt:lpwstr>http://www.mmediu.ro/beta/wp-content/uploads/2013/Local Settings/Temporary Internet Files/Content.Outlook/Local Settings/Temporary Internet Files/Local Settings/Temporary Internet Files/Content.Outlook/Local Settings/Temporary Internet Files/Content.IE5/Local Settings/Temporary Internet Files/Local Settings/Temporary Internet Files/Local Settings/Temporary Internet Files/Content.IE5/Local Settings/Temporary Internet Files/Content.IE5/AppData/Local/Microsoft/Windows/Temp/AppData/Local/Users/L.Hristodorescu/AppData/Local/Microsoft/Windows/Temporary Internet Files/Sintact 2.0/cache/Legislatie/temp/00089045.htm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Venituri</dc:creator>
  <cp:lastModifiedBy>Andreea COMAN</cp:lastModifiedBy>
  <cp:revision>203</cp:revision>
  <cp:lastPrinted>2021-12-17T08:38:00Z</cp:lastPrinted>
  <dcterms:created xsi:type="dcterms:W3CDTF">2021-10-21T10:31:00Z</dcterms:created>
  <dcterms:modified xsi:type="dcterms:W3CDTF">2021-12-17T08:38:00Z</dcterms:modified>
</cp:coreProperties>
</file>